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4315" w:rsidR="00C4096C" w:rsidP="00364959" w:rsidRDefault="00D712D6" w14:paraId="0663CA7E" w14:textId="1E2836E4">
      <w:pPr>
        <w:tabs>
          <w:tab w:val="center" w:pos="4320"/>
          <w:tab w:val="right" w:pos="9360"/>
        </w:tabs>
        <w:spacing w:line="240" w:lineRule="auto"/>
        <w:ind w:firstLine="0"/>
        <w:rPr>
          <w:b/>
        </w:rPr>
      </w:pPr>
      <w:r>
        <w:t>ALJ/SW9/sgu</w:t>
      </w:r>
      <w:r w:rsidR="007E0FEE">
        <w:tab/>
      </w:r>
      <w:r w:rsidR="00364959">
        <w:rPr>
          <w:rFonts w:ascii="Arial" w:hAnsi="Arial" w:cs="Arial"/>
          <w:b/>
          <w:sz w:val="32"/>
          <w:szCs w:val="32"/>
        </w:rPr>
        <w:tab/>
      </w:r>
      <w:r w:rsidRPr="00364959" w:rsidR="00364959">
        <w:rPr>
          <w:rFonts w:cs="Arial"/>
          <w:b/>
          <w:szCs w:val="26"/>
        </w:rPr>
        <w:t>Date of Issuance</w:t>
      </w:r>
      <w:r w:rsidR="00364959">
        <w:rPr>
          <w:rFonts w:cs="Arial"/>
          <w:b/>
          <w:szCs w:val="26"/>
        </w:rPr>
        <w:t xml:space="preserve"> 5/15/24</w:t>
      </w:r>
    </w:p>
    <w:p w:rsidR="00DA7B5D" w:rsidP="008F0116" w:rsidRDefault="00DA7B5D" w14:paraId="227691C3" w14:textId="77777777">
      <w:pPr>
        <w:ind w:firstLine="0"/>
      </w:pPr>
    </w:p>
    <w:p w:rsidR="00364959" w:rsidP="008F0116" w:rsidRDefault="00364959" w14:paraId="49C2F330" w14:textId="77777777">
      <w:pPr>
        <w:ind w:firstLine="0"/>
      </w:pPr>
    </w:p>
    <w:p w:rsidRPr="00EE3060" w:rsidR="00DA7B5D" w:rsidP="0098655A" w:rsidRDefault="00DA7B5D" w14:paraId="39C29C9D" w14:textId="5A65E76A">
      <w:pPr>
        <w:ind w:left="1080" w:hanging="1080"/>
      </w:pPr>
      <w:r>
        <w:t xml:space="preserve">Decision </w:t>
      </w:r>
      <w:r w:rsidRPr="00364959" w:rsidR="00364959">
        <w:t>24-05-028</w:t>
      </w:r>
      <w:r w:rsidR="00364959">
        <w:t xml:space="preserve"> May 9, 2024</w:t>
      </w:r>
    </w:p>
    <w:p w:rsidR="00DA7B5D" w:rsidP="00BB0243" w:rsidRDefault="00DA7B5D" w14:paraId="79FF0467" w14:textId="77777777">
      <w:pPr>
        <w:spacing w:line="240" w:lineRule="auto"/>
        <w:jc w:val="center"/>
        <w:rPr>
          <w:u w:val="single"/>
        </w:rPr>
      </w:pPr>
    </w:p>
    <w:p w:rsidR="00DA7B5D" w:rsidP="00BB0243" w:rsidRDefault="00DA7B5D" w14:paraId="4758EDA9"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39A24B2E"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4A582827"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E22BCF" w14:paraId="222AF4EF" w14:textId="2422F944">
            <w:pPr>
              <w:spacing w:line="240" w:lineRule="auto"/>
              <w:ind w:firstLine="0"/>
              <w:rPr>
                <w:rFonts w:cs="Arial"/>
                <w:szCs w:val="26"/>
              </w:rPr>
            </w:pPr>
            <w:r w:rsidRPr="00E22BCF">
              <w:rPr>
                <w:rFonts w:cs="Arial"/>
                <w:szCs w:val="26"/>
              </w:rPr>
              <w:t>Order Instituting Rulemaking to Advance Demand Flexibility Through Electric Rates.</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896BF5" w14:paraId="65034AC4" w14:textId="029BFBA7">
            <w:pPr>
              <w:spacing w:line="240" w:lineRule="auto"/>
              <w:ind w:firstLine="0"/>
              <w:jc w:val="center"/>
              <w:rPr>
                <w:rFonts w:cs="Arial"/>
                <w:szCs w:val="26"/>
              </w:rPr>
            </w:pPr>
            <w:r w:rsidRPr="00896BF5">
              <w:rPr>
                <w:rFonts w:cs="Arial"/>
                <w:szCs w:val="26"/>
              </w:rPr>
              <w:t>Rulemaking 22</w:t>
            </w:r>
            <w:r>
              <w:rPr>
                <w:rFonts w:cs="Arial"/>
                <w:szCs w:val="26"/>
              </w:rPr>
              <w:t>-</w:t>
            </w:r>
            <w:r w:rsidRPr="00896BF5">
              <w:rPr>
                <w:rFonts w:cs="Arial"/>
                <w:szCs w:val="26"/>
              </w:rPr>
              <w:t>07</w:t>
            </w:r>
            <w:r>
              <w:rPr>
                <w:rFonts w:cs="Arial"/>
                <w:szCs w:val="26"/>
              </w:rPr>
              <w:t>-</w:t>
            </w:r>
            <w:r w:rsidRPr="00896BF5">
              <w:rPr>
                <w:rFonts w:cs="Arial"/>
                <w:szCs w:val="26"/>
              </w:rPr>
              <w:t>005</w:t>
            </w:r>
          </w:p>
        </w:tc>
      </w:tr>
    </w:tbl>
    <w:p w:rsidR="00DA7B5D" w:rsidP="008F0116" w:rsidRDefault="00DA7B5D" w14:paraId="33095009" w14:textId="77777777">
      <w:pPr>
        <w:spacing w:line="240" w:lineRule="auto"/>
        <w:ind w:firstLine="0"/>
        <w:rPr>
          <w:rFonts w:ascii="Arial" w:hAnsi="Arial" w:cs="Arial"/>
          <w:sz w:val="24"/>
          <w:szCs w:val="24"/>
        </w:rPr>
      </w:pPr>
    </w:p>
    <w:p w:rsidR="00DA7B5D" w:rsidP="008F0116" w:rsidRDefault="00DA7B5D" w14:paraId="07504A61" w14:textId="77777777">
      <w:pPr>
        <w:spacing w:line="240" w:lineRule="auto"/>
        <w:ind w:firstLine="0"/>
        <w:rPr>
          <w:rFonts w:ascii="Arial" w:hAnsi="Arial" w:cs="Arial"/>
          <w:sz w:val="24"/>
          <w:szCs w:val="24"/>
        </w:rPr>
      </w:pPr>
    </w:p>
    <w:p w:rsidRPr="00F92385" w:rsidR="00F92385" w:rsidP="00B3087D" w:rsidRDefault="006C3D9D" w14:paraId="2E422E4D" w14:textId="63182A00">
      <w:pPr>
        <w:pStyle w:val="Dummy"/>
        <w:jc w:val="center"/>
        <w:sectPr w:rsidRPr="00F92385" w:rsidR="00F92385" w:rsidSect="0012402D">
          <w:headerReference w:type="first" r:id="rId11"/>
          <w:footerReference w:type="first" r:id="rId12"/>
          <w:pgSz w:w="12240" w:h="15840"/>
          <w:pgMar w:top="1440" w:right="1440" w:bottom="1440" w:left="1440" w:header="720" w:footer="720" w:gutter="0"/>
          <w:pgNumType w:start="1"/>
          <w:cols w:space="720"/>
          <w:titlePg/>
          <w:docGrid w:linePitch="360"/>
        </w:sectPr>
      </w:pPr>
      <w:bookmarkStart w:name="_Toc160790021" w:id="1"/>
      <w:r>
        <w:t xml:space="preserve">DECISION </w:t>
      </w:r>
      <w:r w:rsidR="0068070E">
        <w:t>ADDRESSING</w:t>
      </w:r>
      <w:r>
        <w:t xml:space="preserve"> </w:t>
      </w:r>
      <w:r w:rsidR="006E322B">
        <w:t>A</w:t>
      </w:r>
      <w:r w:rsidR="00576DF4">
        <w:t xml:space="preserve">SSEMBLY </w:t>
      </w:r>
      <w:r w:rsidR="006E322B">
        <w:t>B</w:t>
      </w:r>
      <w:r w:rsidR="00576DF4">
        <w:t>ILL</w:t>
      </w:r>
      <w:r w:rsidR="006E322B">
        <w:t xml:space="preserve"> 205 </w:t>
      </w:r>
      <w:r w:rsidR="0068070E">
        <w:t>REQUIREMENT</w:t>
      </w:r>
      <w:r>
        <w:t>S FOR ELECTRIC UTILITIES</w:t>
      </w:r>
      <w:bookmarkEnd w:id="1"/>
    </w:p>
    <w:p w:rsidRPr="001E2A62" w:rsidR="00D50119" w:rsidP="00F76650" w:rsidRDefault="00D50119" w14:paraId="3BF70941"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0F2ACED2"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D712D6" w:rsidRDefault="008C7413" w14:paraId="413F20E1" w14:textId="0C7F2178">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60790021">
            <w:r w:rsidRPr="00A94255" w:rsidR="00D712D6">
              <w:rPr>
                <w:rStyle w:val="Hyperlink"/>
                <w:noProof/>
              </w:rPr>
              <w:t xml:space="preserve">DECISION </w:t>
            </w:r>
            <w:r w:rsidR="0068070E">
              <w:rPr>
                <w:rStyle w:val="Hyperlink"/>
                <w:noProof/>
              </w:rPr>
              <w:t>ADDRESSING</w:t>
            </w:r>
            <w:r w:rsidRPr="00A94255" w:rsidR="00D712D6">
              <w:rPr>
                <w:rStyle w:val="Hyperlink"/>
                <w:noProof/>
              </w:rPr>
              <w:t xml:space="preserve"> ASSEMBLY BILL 205 </w:t>
            </w:r>
            <w:r w:rsidR="0068070E">
              <w:rPr>
                <w:rStyle w:val="Hyperlink"/>
                <w:noProof/>
              </w:rPr>
              <w:t>REQUIREMENTS</w:t>
            </w:r>
            <w:r w:rsidRPr="00A94255" w:rsidR="00D712D6">
              <w:rPr>
                <w:rStyle w:val="Hyperlink"/>
                <w:noProof/>
              </w:rPr>
              <w:t xml:space="preserve"> FOR ELECTRIC UTILITIES</w:t>
            </w:r>
            <w:r w:rsidR="00D712D6">
              <w:rPr>
                <w:noProof/>
                <w:webHidden/>
              </w:rPr>
              <w:tab/>
            </w:r>
            <w:r w:rsidR="00D712D6">
              <w:rPr>
                <w:noProof/>
                <w:webHidden/>
              </w:rPr>
              <w:fldChar w:fldCharType="begin"/>
            </w:r>
            <w:r w:rsidR="00D712D6">
              <w:rPr>
                <w:noProof/>
                <w:webHidden/>
              </w:rPr>
              <w:instrText xml:space="preserve"> PAGEREF _Toc160790021 \h </w:instrText>
            </w:r>
            <w:r w:rsidR="00D712D6">
              <w:rPr>
                <w:noProof/>
                <w:webHidden/>
              </w:rPr>
            </w:r>
            <w:r w:rsidR="00D712D6">
              <w:rPr>
                <w:noProof/>
                <w:webHidden/>
              </w:rPr>
              <w:fldChar w:fldCharType="separate"/>
            </w:r>
            <w:r w:rsidR="00FF7B59">
              <w:rPr>
                <w:noProof/>
                <w:webHidden/>
              </w:rPr>
              <w:t>1</w:t>
            </w:r>
            <w:r w:rsidR="00D712D6">
              <w:rPr>
                <w:noProof/>
                <w:webHidden/>
              </w:rPr>
              <w:fldChar w:fldCharType="end"/>
            </w:r>
          </w:hyperlink>
        </w:p>
        <w:p w:rsidR="00D712D6" w:rsidRDefault="00D941D8" w14:paraId="2DDD2A89" w14:textId="50599DCF">
          <w:pPr>
            <w:pStyle w:val="TOC1"/>
            <w:tabs>
              <w:tab w:val="right" w:leader="dot" w:pos="9350"/>
            </w:tabs>
            <w:rPr>
              <w:rFonts w:asciiTheme="minorHAnsi" w:hAnsiTheme="minorHAnsi" w:cstheme="minorBidi"/>
              <w:noProof/>
              <w:kern w:val="2"/>
              <w:sz w:val="24"/>
              <w:szCs w:val="24"/>
              <w14:ligatures w14:val="standardContextual"/>
            </w:rPr>
          </w:pPr>
          <w:hyperlink w:history="1" w:anchor="_Toc160790022">
            <w:r w:rsidRPr="00A94255" w:rsidR="00D712D6">
              <w:rPr>
                <w:rStyle w:val="Hyperlink"/>
                <w:noProof/>
              </w:rPr>
              <w:t>Summary</w:t>
            </w:r>
            <w:r w:rsidR="00D712D6">
              <w:rPr>
                <w:noProof/>
                <w:webHidden/>
              </w:rPr>
              <w:tab/>
            </w:r>
            <w:r w:rsidR="00D712D6">
              <w:rPr>
                <w:noProof/>
                <w:webHidden/>
              </w:rPr>
              <w:fldChar w:fldCharType="begin"/>
            </w:r>
            <w:r w:rsidR="00D712D6">
              <w:rPr>
                <w:noProof/>
                <w:webHidden/>
              </w:rPr>
              <w:instrText xml:space="preserve"> PAGEREF _Toc160790022 \h </w:instrText>
            </w:r>
            <w:r w:rsidR="00D712D6">
              <w:rPr>
                <w:noProof/>
                <w:webHidden/>
              </w:rPr>
            </w:r>
            <w:r w:rsidR="00D712D6">
              <w:rPr>
                <w:noProof/>
                <w:webHidden/>
              </w:rPr>
              <w:fldChar w:fldCharType="separate"/>
            </w:r>
            <w:r w:rsidR="00FF7B59">
              <w:rPr>
                <w:noProof/>
                <w:webHidden/>
              </w:rPr>
              <w:t>2</w:t>
            </w:r>
            <w:r w:rsidR="00D712D6">
              <w:rPr>
                <w:noProof/>
                <w:webHidden/>
              </w:rPr>
              <w:fldChar w:fldCharType="end"/>
            </w:r>
          </w:hyperlink>
        </w:p>
        <w:p w:rsidR="00D712D6" w:rsidRDefault="00D941D8" w14:paraId="18B59899" w14:textId="61BEFDE3">
          <w:pPr>
            <w:pStyle w:val="TOC1"/>
            <w:tabs>
              <w:tab w:val="right" w:leader="dot" w:pos="9350"/>
            </w:tabs>
            <w:rPr>
              <w:rFonts w:asciiTheme="minorHAnsi" w:hAnsiTheme="minorHAnsi" w:cstheme="minorBidi"/>
              <w:noProof/>
              <w:kern w:val="2"/>
              <w:sz w:val="24"/>
              <w:szCs w:val="24"/>
              <w14:ligatures w14:val="standardContextual"/>
            </w:rPr>
          </w:pPr>
          <w:hyperlink w:history="1" w:anchor="_Toc160790023">
            <w:r w:rsidRPr="00A94255" w:rsidR="00D712D6">
              <w:rPr>
                <w:rStyle w:val="Hyperlink"/>
                <w:noProof/>
              </w:rPr>
              <w:t>1.</w:t>
            </w:r>
            <w:r w:rsidR="00D712D6">
              <w:rPr>
                <w:rFonts w:asciiTheme="minorHAnsi" w:hAnsiTheme="minorHAnsi" w:cstheme="minorBidi"/>
                <w:noProof/>
                <w:kern w:val="2"/>
                <w:sz w:val="24"/>
                <w:szCs w:val="24"/>
                <w14:ligatures w14:val="standardContextual"/>
              </w:rPr>
              <w:tab/>
            </w:r>
            <w:r w:rsidRPr="00A94255" w:rsidR="00D712D6">
              <w:rPr>
                <w:rStyle w:val="Hyperlink"/>
                <w:noProof/>
              </w:rPr>
              <w:t>Background</w:t>
            </w:r>
            <w:r w:rsidR="00D712D6">
              <w:rPr>
                <w:noProof/>
                <w:webHidden/>
              </w:rPr>
              <w:tab/>
            </w:r>
            <w:r w:rsidR="00D712D6">
              <w:rPr>
                <w:noProof/>
                <w:webHidden/>
              </w:rPr>
              <w:fldChar w:fldCharType="begin"/>
            </w:r>
            <w:r w:rsidR="00D712D6">
              <w:rPr>
                <w:noProof/>
                <w:webHidden/>
              </w:rPr>
              <w:instrText xml:space="preserve"> PAGEREF _Toc160790023 \h </w:instrText>
            </w:r>
            <w:r w:rsidR="00D712D6">
              <w:rPr>
                <w:noProof/>
                <w:webHidden/>
              </w:rPr>
            </w:r>
            <w:r w:rsidR="00D712D6">
              <w:rPr>
                <w:noProof/>
                <w:webHidden/>
              </w:rPr>
              <w:fldChar w:fldCharType="separate"/>
            </w:r>
            <w:r w:rsidR="00FF7B59">
              <w:rPr>
                <w:noProof/>
                <w:webHidden/>
              </w:rPr>
              <w:t>5</w:t>
            </w:r>
            <w:r w:rsidR="00D712D6">
              <w:rPr>
                <w:noProof/>
                <w:webHidden/>
              </w:rPr>
              <w:fldChar w:fldCharType="end"/>
            </w:r>
          </w:hyperlink>
        </w:p>
        <w:p w:rsidR="00D712D6" w:rsidRDefault="00D941D8" w14:paraId="09ABDC5C" w14:textId="740CFEC7">
          <w:pPr>
            <w:pStyle w:val="TOC1"/>
            <w:tabs>
              <w:tab w:val="right" w:leader="dot" w:pos="9350"/>
            </w:tabs>
            <w:rPr>
              <w:rFonts w:asciiTheme="minorHAnsi" w:hAnsiTheme="minorHAnsi" w:cstheme="minorBidi"/>
              <w:noProof/>
              <w:kern w:val="2"/>
              <w:sz w:val="24"/>
              <w:szCs w:val="24"/>
              <w14:ligatures w14:val="standardContextual"/>
            </w:rPr>
          </w:pPr>
          <w:hyperlink w:history="1" w:anchor="_Toc160790024">
            <w:r w:rsidRPr="00A94255" w:rsidR="00D712D6">
              <w:rPr>
                <w:rStyle w:val="Hyperlink"/>
                <w:noProof/>
              </w:rPr>
              <w:t>2.</w:t>
            </w:r>
            <w:r w:rsidR="00D712D6">
              <w:rPr>
                <w:rFonts w:asciiTheme="minorHAnsi" w:hAnsiTheme="minorHAnsi" w:cstheme="minorBidi"/>
                <w:noProof/>
                <w:kern w:val="2"/>
                <w:sz w:val="24"/>
                <w:szCs w:val="24"/>
                <w14:ligatures w14:val="standardContextual"/>
              </w:rPr>
              <w:tab/>
            </w:r>
            <w:r w:rsidRPr="00A94255" w:rsidR="00D712D6">
              <w:rPr>
                <w:rStyle w:val="Hyperlink"/>
                <w:noProof/>
              </w:rPr>
              <w:t>Issues Before the Commission</w:t>
            </w:r>
            <w:r w:rsidR="00D712D6">
              <w:rPr>
                <w:noProof/>
                <w:webHidden/>
              </w:rPr>
              <w:tab/>
            </w:r>
            <w:r w:rsidR="00D712D6">
              <w:rPr>
                <w:noProof/>
                <w:webHidden/>
              </w:rPr>
              <w:fldChar w:fldCharType="begin"/>
            </w:r>
            <w:r w:rsidR="00D712D6">
              <w:rPr>
                <w:noProof/>
                <w:webHidden/>
              </w:rPr>
              <w:instrText xml:space="preserve"> PAGEREF _Toc160790024 \h </w:instrText>
            </w:r>
            <w:r w:rsidR="00D712D6">
              <w:rPr>
                <w:noProof/>
                <w:webHidden/>
              </w:rPr>
            </w:r>
            <w:r w:rsidR="00D712D6">
              <w:rPr>
                <w:noProof/>
                <w:webHidden/>
              </w:rPr>
              <w:fldChar w:fldCharType="separate"/>
            </w:r>
            <w:r w:rsidR="00FF7B59">
              <w:rPr>
                <w:noProof/>
                <w:webHidden/>
              </w:rPr>
              <w:t>8</w:t>
            </w:r>
            <w:r w:rsidR="00D712D6">
              <w:rPr>
                <w:noProof/>
                <w:webHidden/>
              </w:rPr>
              <w:fldChar w:fldCharType="end"/>
            </w:r>
          </w:hyperlink>
        </w:p>
        <w:p w:rsidR="00D712D6" w:rsidRDefault="00D941D8" w14:paraId="2131606F" w14:textId="0D908682">
          <w:pPr>
            <w:pStyle w:val="TOC1"/>
            <w:tabs>
              <w:tab w:val="right" w:leader="dot" w:pos="9350"/>
            </w:tabs>
            <w:rPr>
              <w:rFonts w:asciiTheme="minorHAnsi" w:hAnsiTheme="minorHAnsi" w:cstheme="minorBidi"/>
              <w:noProof/>
              <w:kern w:val="2"/>
              <w:sz w:val="24"/>
              <w:szCs w:val="24"/>
              <w14:ligatures w14:val="standardContextual"/>
            </w:rPr>
          </w:pPr>
          <w:hyperlink w:history="1" w:anchor="_Toc160790025">
            <w:r w:rsidRPr="00A94255" w:rsidR="00D712D6">
              <w:rPr>
                <w:rStyle w:val="Hyperlink"/>
                <w:noProof/>
              </w:rPr>
              <w:t>3.</w:t>
            </w:r>
            <w:r w:rsidR="00D712D6">
              <w:rPr>
                <w:rFonts w:asciiTheme="minorHAnsi" w:hAnsiTheme="minorHAnsi" w:cstheme="minorBidi"/>
                <w:noProof/>
                <w:kern w:val="2"/>
                <w:sz w:val="24"/>
                <w:szCs w:val="24"/>
                <w14:ligatures w14:val="standardContextual"/>
              </w:rPr>
              <w:tab/>
            </w:r>
            <w:r w:rsidRPr="00A94255" w:rsidR="00D712D6">
              <w:rPr>
                <w:rStyle w:val="Hyperlink"/>
                <w:noProof/>
              </w:rPr>
              <w:t>Interpretation of AB 205 Statutory Requirements</w:t>
            </w:r>
            <w:r w:rsidR="00D712D6">
              <w:rPr>
                <w:noProof/>
                <w:webHidden/>
              </w:rPr>
              <w:tab/>
            </w:r>
            <w:r w:rsidR="00D712D6">
              <w:rPr>
                <w:noProof/>
                <w:webHidden/>
              </w:rPr>
              <w:fldChar w:fldCharType="begin"/>
            </w:r>
            <w:r w:rsidR="00D712D6">
              <w:rPr>
                <w:noProof/>
                <w:webHidden/>
              </w:rPr>
              <w:instrText xml:space="preserve"> PAGEREF _Toc160790025 \h </w:instrText>
            </w:r>
            <w:r w:rsidR="00D712D6">
              <w:rPr>
                <w:noProof/>
                <w:webHidden/>
              </w:rPr>
            </w:r>
            <w:r w:rsidR="00D712D6">
              <w:rPr>
                <w:noProof/>
                <w:webHidden/>
              </w:rPr>
              <w:fldChar w:fldCharType="separate"/>
            </w:r>
            <w:r w:rsidR="00FF7B59">
              <w:rPr>
                <w:noProof/>
                <w:webHidden/>
              </w:rPr>
              <w:t>10</w:t>
            </w:r>
            <w:r w:rsidR="00D712D6">
              <w:rPr>
                <w:noProof/>
                <w:webHidden/>
              </w:rPr>
              <w:fldChar w:fldCharType="end"/>
            </w:r>
          </w:hyperlink>
        </w:p>
        <w:p w:rsidR="00D712D6" w:rsidRDefault="00D941D8" w14:paraId="7E4D3FD6" w14:textId="0E72E9D1">
          <w:pPr>
            <w:pStyle w:val="TOC2"/>
            <w:tabs>
              <w:tab w:val="right" w:leader="dot" w:pos="9350"/>
            </w:tabs>
            <w:rPr>
              <w:rFonts w:asciiTheme="minorHAnsi" w:hAnsiTheme="minorHAnsi" w:cstheme="minorBidi"/>
              <w:noProof/>
              <w:kern w:val="2"/>
              <w:sz w:val="24"/>
              <w:szCs w:val="24"/>
              <w14:ligatures w14:val="standardContextual"/>
            </w:rPr>
          </w:pPr>
          <w:hyperlink w:history="1" w:anchor="_Toc160790026">
            <w:r w:rsidRPr="00A94255" w:rsidR="00D712D6">
              <w:rPr>
                <w:rStyle w:val="Hyperlink"/>
                <w:noProof/>
              </w:rPr>
              <w:t>3.1.</w:t>
            </w:r>
            <w:r w:rsidR="00D712D6">
              <w:rPr>
                <w:rFonts w:asciiTheme="minorHAnsi" w:hAnsiTheme="minorHAnsi" w:cstheme="minorBidi"/>
                <w:noProof/>
                <w:kern w:val="2"/>
                <w:sz w:val="24"/>
                <w:szCs w:val="24"/>
                <w14:ligatures w14:val="standardContextual"/>
              </w:rPr>
              <w:tab/>
            </w:r>
            <w:r w:rsidRPr="00A94255" w:rsidR="00D712D6">
              <w:rPr>
                <w:rStyle w:val="Hyperlink"/>
                <w:noProof/>
              </w:rPr>
              <w:t>Fixed Charges Subject to Income Graduation</w:t>
            </w:r>
            <w:r w:rsidR="00D712D6">
              <w:rPr>
                <w:noProof/>
                <w:webHidden/>
              </w:rPr>
              <w:tab/>
            </w:r>
            <w:r w:rsidR="00D712D6">
              <w:rPr>
                <w:noProof/>
                <w:webHidden/>
              </w:rPr>
              <w:fldChar w:fldCharType="begin"/>
            </w:r>
            <w:r w:rsidR="00D712D6">
              <w:rPr>
                <w:noProof/>
                <w:webHidden/>
              </w:rPr>
              <w:instrText xml:space="preserve"> PAGEREF _Toc160790026 \h </w:instrText>
            </w:r>
            <w:r w:rsidR="00D712D6">
              <w:rPr>
                <w:noProof/>
                <w:webHidden/>
              </w:rPr>
            </w:r>
            <w:r w:rsidR="00D712D6">
              <w:rPr>
                <w:noProof/>
                <w:webHidden/>
              </w:rPr>
              <w:fldChar w:fldCharType="separate"/>
            </w:r>
            <w:r w:rsidR="00FF7B59">
              <w:rPr>
                <w:noProof/>
                <w:webHidden/>
              </w:rPr>
              <w:t>12</w:t>
            </w:r>
            <w:r w:rsidR="00D712D6">
              <w:rPr>
                <w:noProof/>
                <w:webHidden/>
              </w:rPr>
              <w:fldChar w:fldCharType="end"/>
            </w:r>
          </w:hyperlink>
        </w:p>
        <w:p w:rsidR="00D712D6" w:rsidRDefault="00D941D8" w14:paraId="7496F9D0" w14:textId="0B579D97">
          <w:pPr>
            <w:pStyle w:val="TOC2"/>
            <w:tabs>
              <w:tab w:val="right" w:leader="dot" w:pos="9350"/>
            </w:tabs>
            <w:rPr>
              <w:rFonts w:asciiTheme="minorHAnsi" w:hAnsiTheme="minorHAnsi" w:cstheme="minorBidi"/>
              <w:noProof/>
              <w:kern w:val="2"/>
              <w:sz w:val="24"/>
              <w:szCs w:val="24"/>
              <w14:ligatures w14:val="standardContextual"/>
            </w:rPr>
          </w:pPr>
          <w:hyperlink w:history="1" w:anchor="_Toc160790027">
            <w:r w:rsidRPr="00A94255" w:rsidR="00D712D6">
              <w:rPr>
                <w:rStyle w:val="Hyperlink"/>
                <w:noProof/>
              </w:rPr>
              <w:t>3.2.</w:t>
            </w:r>
            <w:r w:rsidR="00D712D6">
              <w:rPr>
                <w:rFonts w:asciiTheme="minorHAnsi" w:hAnsiTheme="minorHAnsi" w:cstheme="minorBidi"/>
                <w:noProof/>
                <w:kern w:val="2"/>
                <w:sz w:val="24"/>
                <w:szCs w:val="24"/>
                <w14:ligatures w14:val="standardContextual"/>
              </w:rPr>
              <w:tab/>
            </w:r>
            <w:r w:rsidRPr="00A94255" w:rsidR="00D712D6">
              <w:rPr>
                <w:rStyle w:val="Hyperlink"/>
                <w:noProof/>
              </w:rPr>
              <w:t>Customer</w:t>
            </w:r>
            <w:r w:rsidR="00D712D6">
              <w:rPr>
                <w:noProof/>
                <w:webHidden/>
              </w:rPr>
              <w:tab/>
            </w:r>
            <w:r w:rsidR="00D712D6">
              <w:rPr>
                <w:noProof/>
                <w:webHidden/>
              </w:rPr>
              <w:fldChar w:fldCharType="begin"/>
            </w:r>
            <w:r w:rsidR="00D712D6">
              <w:rPr>
                <w:noProof/>
                <w:webHidden/>
              </w:rPr>
              <w:instrText xml:space="preserve"> PAGEREF _Toc160790027 \h </w:instrText>
            </w:r>
            <w:r w:rsidR="00D712D6">
              <w:rPr>
                <w:noProof/>
                <w:webHidden/>
              </w:rPr>
            </w:r>
            <w:r w:rsidR="00D712D6">
              <w:rPr>
                <w:noProof/>
                <w:webHidden/>
              </w:rPr>
              <w:fldChar w:fldCharType="separate"/>
            </w:r>
            <w:r w:rsidR="00FF7B59">
              <w:rPr>
                <w:noProof/>
                <w:webHidden/>
              </w:rPr>
              <w:t>14</w:t>
            </w:r>
            <w:r w:rsidR="00D712D6">
              <w:rPr>
                <w:noProof/>
                <w:webHidden/>
              </w:rPr>
              <w:fldChar w:fldCharType="end"/>
            </w:r>
          </w:hyperlink>
        </w:p>
        <w:p w:rsidR="00D712D6" w:rsidRDefault="00D941D8" w14:paraId="5EFA912E" w14:textId="6E28E269">
          <w:pPr>
            <w:pStyle w:val="TOC2"/>
            <w:tabs>
              <w:tab w:val="right" w:leader="dot" w:pos="9350"/>
            </w:tabs>
            <w:rPr>
              <w:rFonts w:asciiTheme="minorHAnsi" w:hAnsiTheme="minorHAnsi" w:cstheme="minorBidi"/>
              <w:noProof/>
              <w:kern w:val="2"/>
              <w:sz w:val="24"/>
              <w:szCs w:val="24"/>
              <w14:ligatures w14:val="standardContextual"/>
            </w:rPr>
          </w:pPr>
          <w:hyperlink w:history="1" w:anchor="_Toc160790028">
            <w:r w:rsidRPr="00A94255" w:rsidR="00D712D6">
              <w:rPr>
                <w:rStyle w:val="Hyperlink"/>
                <w:noProof/>
              </w:rPr>
              <w:t>3.3.</w:t>
            </w:r>
            <w:r w:rsidR="00D712D6">
              <w:rPr>
                <w:rFonts w:asciiTheme="minorHAnsi" w:hAnsiTheme="minorHAnsi" w:cstheme="minorBidi"/>
                <w:noProof/>
                <w:kern w:val="2"/>
                <w:sz w:val="24"/>
                <w:szCs w:val="24"/>
                <w14:ligatures w14:val="standardContextual"/>
              </w:rPr>
              <w:tab/>
            </w:r>
            <w:r w:rsidRPr="00A94255" w:rsidR="00D712D6">
              <w:rPr>
                <w:rStyle w:val="Hyperlink"/>
                <w:noProof/>
              </w:rPr>
              <w:t>Number of Tiers</w:t>
            </w:r>
            <w:r w:rsidR="00D712D6">
              <w:rPr>
                <w:noProof/>
                <w:webHidden/>
              </w:rPr>
              <w:tab/>
            </w:r>
            <w:r w:rsidR="00D712D6">
              <w:rPr>
                <w:noProof/>
                <w:webHidden/>
              </w:rPr>
              <w:fldChar w:fldCharType="begin"/>
            </w:r>
            <w:r w:rsidR="00D712D6">
              <w:rPr>
                <w:noProof/>
                <w:webHidden/>
              </w:rPr>
              <w:instrText xml:space="preserve"> PAGEREF _Toc160790028 \h </w:instrText>
            </w:r>
            <w:r w:rsidR="00D712D6">
              <w:rPr>
                <w:noProof/>
                <w:webHidden/>
              </w:rPr>
            </w:r>
            <w:r w:rsidR="00D712D6">
              <w:rPr>
                <w:noProof/>
                <w:webHidden/>
              </w:rPr>
              <w:fldChar w:fldCharType="separate"/>
            </w:r>
            <w:r w:rsidR="00FF7B59">
              <w:rPr>
                <w:noProof/>
                <w:webHidden/>
              </w:rPr>
              <w:t>16</w:t>
            </w:r>
            <w:r w:rsidR="00D712D6">
              <w:rPr>
                <w:noProof/>
                <w:webHidden/>
              </w:rPr>
              <w:fldChar w:fldCharType="end"/>
            </w:r>
          </w:hyperlink>
        </w:p>
        <w:p w:rsidR="00D712D6" w:rsidRDefault="00D941D8" w14:paraId="4DA06BD9" w14:textId="0377254F">
          <w:pPr>
            <w:pStyle w:val="TOC2"/>
            <w:tabs>
              <w:tab w:val="right" w:leader="dot" w:pos="9350"/>
            </w:tabs>
            <w:rPr>
              <w:rFonts w:asciiTheme="minorHAnsi" w:hAnsiTheme="minorHAnsi" w:cstheme="minorBidi"/>
              <w:noProof/>
              <w:kern w:val="2"/>
              <w:sz w:val="24"/>
              <w:szCs w:val="24"/>
              <w14:ligatures w14:val="standardContextual"/>
            </w:rPr>
          </w:pPr>
          <w:hyperlink w:history="1" w:anchor="_Toc160790029">
            <w:r w:rsidRPr="00A94255" w:rsidR="00D712D6">
              <w:rPr>
                <w:rStyle w:val="Hyperlink"/>
                <w:noProof/>
              </w:rPr>
              <w:t>3.4.</w:t>
            </w:r>
            <w:r w:rsidR="00D712D6">
              <w:rPr>
                <w:rFonts w:asciiTheme="minorHAnsi" w:hAnsiTheme="minorHAnsi" w:cstheme="minorBidi"/>
                <w:noProof/>
                <w:kern w:val="2"/>
                <w:sz w:val="24"/>
                <w:szCs w:val="24"/>
                <w14:ligatures w14:val="standardContextual"/>
              </w:rPr>
              <w:tab/>
            </w:r>
            <w:r w:rsidRPr="00A94255" w:rsidR="00D712D6">
              <w:rPr>
                <w:rStyle w:val="Hyperlink"/>
                <w:noProof/>
              </w:rPr>
              <w:t>Low-Income Ratepayer</w:t>
            </w:r>
            <w:r w:rsidR="00D712D6">
              <w:rPr>
                <w:noProof/>
                <w:webHidden/>
              </w:rPr>
              <w:tab/>
            </w:r>
            <w:r w:rsidR="00D712D6">
              <w:rPr>
                <w:noProof/>
                <w:webHidden/>
              </w:rPr>
              <w:fldChar w:fldCharType="begin"/>
            </w:r>
            <w:r w:rsidR="00D712D6">
              <w:rPr>
                <w:noProof/>
                <w:webHidden/>
              </w:rPr>
              <w:instrText xml:space="preserve"> PAGEREF _Toc160790029 \h </w:instrText>
            </w:r>
            <w:r w:rsidR="00D712D6">
              <w:rPr>
                <w:noProof/>
                <w:webHidden/>
              </w:rPr>
            </w:r>
            <w:r w:rsidR="00D712D6">
              <w:rPr>
                <w:noProof/>
                <w:webHidden/>
              </w:rPr>
              <w:fldChar w:fldCharType="separate"/>
            </w:r>
            <w:r w:rsidR="00FF7B59">
              <w:rPr>
                <w:noProof/>
                <w:webHidden/>
              </w:rPr>
              <w:t>17</w:t>
            </w:r>
            <w:r w:rsidR="00D712D6">
              <w:rPr>
                <w:noProof/>
                <w:webHidden/>
              </w:rPr>
              <w:fldChar w:fldCharType="end"/>
            </w:r>
          </w:hyperlink>
        </w:p>
        <w:p w:rsidR="00D712D6" w:rsidRDefault="00D941D8" w14:paraId="1E565161" w14:textId="5E9C3E72">
          <w:pPr>
            <w:pStyle w:val="TOC2"/>
            <w:tabs>
              <w:tab w:val="right" w:leader="dot" w:pos="9350"/>
            </w:tabs>
            <w:rPr>
              <w:rFonts w:asciiTheme="minorHAnsi" w:hAnsiTheme="minorHAnsi" w:cstheme="minorBidi"/>
              <w:noProof/>
              <w:kern w:val="2"/>
              <w:sz w:val="24"/>
              <w:szCs w:val="24"/>
              <w14:ligatures w14:val="standardContextual"/>
            </w:rPr>
          </w:pPr>
          <w:hyperlink w:history="1" w:anchor="_Toc160790030">
            <w:r w:rsidRPr="00A94255" w:rsidR="00D712D6">
              <w:rPr>
                <w:rStyle w:val="Hyperlink"/>
                <w:noProof/>
              </w:rPr>
              <w:t>3.5.</w:t>
            </w:r>
            <w:r w:rsidR="00D712D6">
              <w:rPr>
                <w:rFonts w:asciiTheme="minorHAnsi" w:hAnsiTheme="minorHAnsi" w:cstheme="minorBidi"/>
                <w:noProof/>
                <w:kern w:val="2"/>
                <w:sz w:val="24"/>
                <w:szCs w:val="24"/>
                <w14:ligatures w14:val="standardContextual"/>
              </w:rPr>
              <w:tab/>
            </w:r>
            <w:r w:rsidRPr="00A94255" w:rsidR="00D712D6">
              <w:rPr>
                <w:rStyle w:val="Hyperlink"/>
                <w:noProof/>
              </w:rPr>
              <w:t>Fixed Costs</w:t>
            </w:r>
            <w:r w:rsidR="00D712D6">
              <w:rPr>
                <w:noProof/>
                <w:webHidden/>
              </w:rPr>
              <w:tab/>
            </w:r>
            <w:r w:rsidR="00D712D6">
              <w:rPr>
                <w:noProof/>
                <w:webHidden/>
              </w:rPr>
              <w:fldChar w:fldCharType="begin"/>
            </w:r>
            <w:r w:rsidR="00D712D6">
              <w:rPr>
                <w:noProof/>
                <w:webHidden/>
              </w:rPr>
              <w:instrText xml:space="preserve"> PAGEREF _Toc160790030 \h </w:instrText>
            </w:r>
            <w:r w:rsidR="00D712D6">
              <w:rPr>
                <w:noProof/>
                <w:webHidden/>
              </w:rPr>
            </w:r>
            <w:r w:rsidR="00D712D6">
              <w:rPr>
                <w:noProof/>
                <w:webHidden/>
              </w:rPr>
              <w:fldChar w:fldCharType="separate"/>
            </w:r>
            <w:r w:rsidR="00FF7B59">
              <w:rPr>
                <w:noProof/>
                <w:webHidden/>
              </w:rPr>
              <w:t>20</w:t>
            </w:r>
            <w:r w:rsidR="00D712D6">
              <w:rPr>
                <w:noProof/>
                <w:webHidden/>
              </w:rPr>
              <w:fldChar w:fldCharType="end"/>
            </w:r>
          </w:hyperlink>
        </w:p>
        <w:p w:rsidR="00D712D6" w:rsidRDefault="00D941D8" w14:paraId="707CBF24" w14:textId="4B6A2A35">
          <w:pPr>
            <w:pStyle w:val="TOC2"/>
            <w:tabs>
              <w:tab w:val="right" w:leader="dot" w:pos="9350"/>
            </w:tabs>
            <w:rPr>
              <w:rFonts w:asciiTheme="minorHAnsi" w:hAnsiTheme="minorHAnsi" w:cstheme="minorBidi"/>
              <w:noProof/>
              <w:kern w:val="2"/>
              <w:sz w:val="24"/>
              <w:szCs w:val="24"/>
              <w14:ligatures w14:val="standardContextual"/>
            </w:rPr>
          </w:pPr>
          <w:hyperlink w:history="1" w:anchor="_Toc160790031">
            <w:r w:rsidRPr="00A94255" w:rsidR="00D712D6">
              <w:rPr>
                <w:rStyle w:val="Hyperlink"/>
                <w:noProof/>
              </w:rPr>
              <w:t>3.6.</w:t>
            </w:r>
            <w:r w:rsidR="00D712D6">
              <w:rPr>
                <w:rFonts w:asciiTheme="minorHAnsi" w:hAnsiTheme="minorHAnsi" w:cstheme="minorBidi"/>
                <w:noProof/>
                <w:kern w:val="2"/>
                <w:sz w:val="24"/>
                <w:szCs w:val="24"/>
                <w14:ligatures w14:val="standardContextual"/>
              </w:rPr>
              <w:tab/>
            </w:r>
            <w:r w:rsidRPr="00A94255" w:rsidR="00D712D6">
              <w:rPr>
                <w:rStyle w:val="Hyperlink"/>
                <w:noProof/>
              </w:rPr>
              <w:t>Composite Tier Methodology</w:t>
            </w:r>
            <w:r w:rsidR="00D712D6">
              <w:rPr>
                <w:noProof/>
                <w:webHidden/>
              </w:rPr>
              <w:tab/>
            </w:r>
            <w:r w:rsidR="00D712D6">
              <w:rPr>
                <w:noProof/>
                <w:webHidden/>
              </w:rPr>
              <w:fldChar w:fldCharType="begin"/>
            </w:r>
            <w:r w:rsidR="00D712D6">
              <w:rPr>
                <w:noProof/>
                <w:webHidden/>
              </w:rPr>
              <w:instrText xml:space="preserve"> PAGEREF _Toc160790031 \h </w:instrText>
            </w:r>
            <w:r w:rsidR="00D712D6">
              <w:rPr>
                <w:noProof/>
                <w:webHidden/>
              </w:rPr>
            </w:r>
            <w:r w:rsidR="00D712D6">
              <w:rPr>
                <w:noProof/>
                <w:webHidden/>
              </w:rPr>
              <w:fldChar w:fldCharType="separate"/>
            </w:r>
            <w:r w:rsidR="00FF7B59">
              <w:rPr>
                <w:noProof/>
                <w:webHidden/>
              </w:rPr>
              <w:t>24</w:t>
            </w:r>
            <w:r w:rsidR="00D712D6">
              <w:rPr>
                <w:noProof/>
                <w:webHidden/>
              </w:rPr>
              <w:fldChar w:fldCharType="end"/>
            </w:r>
          </w:hyperlink>
        </w:p>
        <w:p w:rsidR="00D712D6" w:rsidRDefault="00D941D8" w14:paraId="7CBDBE29" w14:textId="74C40766">
          <w:pPr>
            <w:pStyle w:val="TOC2"/>
            <w:tabs>
              <w:tab w:val="right" w:leader="dot" w:pos="9350"/>
            </w:tabs>
            <w:rPr>
              <w:rFonts w:asciiTheme="minorHAnsi" w:hAnsiTheme="minorHAnsi" w:cstheme="minorBidi"/>
              <w:noProof/>
              <w:kern w:val="2"/>
              <w:sz w:val="24"/>
              <w:szCs w:val="24"/>
              <w14:ligatures w14:val="standardContextual"/>
            </w:rPr>
          </w:pPr>
          <w:hyperlink w:history="1" w:anchor="_Toc160790032">
            <w:r w:rsidRPr="00A94255" w:rsidR="00D712D6">
              <w:rPr>
                <w:rStyle w:val="Hyperlink"/>
                <w:noProof/>
              </w:rPr>
              <w:t>3.7.</w:t>
            </w:r>
            <w:r w:rsidR="00D712D6">
              <w:rPr>
                <w:rFonts w:asciiTheme="minorHAnsi" w:hAnsiTheme="minorHAnsi" w:cstheme="minorBidi"/>
                <w:noProof/>
                <w:kern w:val="2"/>
                <w:sz w:val="24"/>
                <w:szCs w:val="24"/>
                <w14:ligatures w14:val="standardContextual"/>
              </w:rPr>
              <w:tab/>
            </w:r>
            <w:r w:rsidRPr="00A94255" w:rsidR="00D712D6">
              <w:rPr>
                <w:rStyle w:val="Hyperlink"/>
                <w:noProof/>
              </w:rPr>
              <w:t>Average Effective CARE Discount</w:t>
            </w:r>
            <w:r w:rsidR="00D712D6">
              <w:rPr>
                <w:noProof/>
                <w:webHidden/>
              </w:rPr>
              <w:tab/>
            </w:r>
            <w:r w:rsidR="00D712D6">
              <w:rPr>
                <w:noProof/>
                <w:webHidden/>
              </w:rPr>
              <w:fldChar w:fldCharType="begin"/>
            </w:r>
            <w:r w:rsidR="00D712D6">
              <w:rPr>
                <w:noProof/>
                <w:webHidden/>
              </w:rPr>
              <w:instrText xml:space="preserve"> PAGEREF _Toc160790032 \h </w:instrText>
            </w:r>
            <w:r w:rsidR="00D712D6">
              <w:rPr>
                <w:noProof/>
                <w:webHidden/>
              </w:rPr>
            </w:r>
            <w:r w:rsidR="00D712D6">
              <w:rPr>
                <w:noProof/>
                <w:webHidden/>
              </w:rPr>
              <w:fldChar w:fldCharType="separate"/>
            </w:r>
            <w:r w:rsidR="00FF7B59">
              <w:rPr>
                <w:noProof/>
                <w:webHidden/>
              </w:rPr>
              <w:t>26</w:t>
            </w:r>
            <w:r w:rsidR="00D712D6">
              <w:rPr>
                <w:noProof/>
                <w:webHidden/>
              </w:rPr>
              <w:fldChar w:fldCharType="end"/>
            </w:r>
          </w:hyperlink>
        </w:p>
        <w:p w:rsidR="00D712D6" w:rsidRDefault="00D941D8" w14:paraId="1635354A" w14:textId="435C86EF">
          <w:pPr>
            <w:pStyle w:val="TOC1"/>
            <w:tabs>
              <w:tab w:val="right" w:leader="dot" w:pos="9350"/>
            </w:tabs>
            <w:rPr>
              <w:rFonts w:asciiTheme="minorHAnsi" w:hAnsiTheme="minorHAnsi" w:cstheme="minorBidi"/>
              <w:noProof/>
              <w:kern w:val="2"/>
              <w:sz w:val="24"/>
              <w:szCs w:val="24"/>
              <w14:ligatures w14:val="standardContextual"/>
            </w:rPr>
          </w:pPr>
          <w:hyperlink w:history="1" w:anchor="_Toc160790033">
            <w:r w:rsidRPr="00A94255" w:rsidR="00D712D6">
              <w:rPr>
                <w:rStyle w:val="Hyperlink"/>
                <w:noProof/>
              </w:rPr>
              <w:t>4.</w:t>
            </w:r>
            <w:r w:rsidR="00D712D6">
              <w:rPr>
                <w:rFonts w:asciiTheme="minorHAnsi" w:hAnsiTheme="minorHAnsi" w:cstheme="minorBidi"/>
                <w:noProof/>
                <w:kern w:val="2"/>
                <w:sz w:val="24"/>
                <w:szCs w:val="24"/>
                <w14:ligatures w14:val="standardContextual"/>
              </w:rPr>
              <w:tab/>
            </w:r>
            <w:r w:rsidRPr="00A94255" w:rsidR="00D712D6">
              <w:rPr>
                <w:rStyle w:val="Hyperlink"/>
                <w:noProof/>
              </w:rPr>
              <w:t>Implementation Pathway</w:t>
            </w:r>
            <w:r w:rsidR="00D712D6">
              <w:rPr>
                <w:noProof/>
                <w:webHidden/>
              </w:rPr>
              <w:tab/>
            </w:r>
            <w:r w:rsidR="00D712D6">
              <w:rPr>
                <w:noProof/>
                <w:webHidden/>
              </w:rPr>
              <w:fldChar w:fldCharType="begin"/>
            </w:r>
            <w:r w:rsidR="00D712D6">
              <w:rPr>
                <w:noProof/>
                <w:webHidden/>
              </w:rPr>
              <w:instrText xml:space="preserve"> PAGEREF _Toc160790033 \h </w:instrText>
            </w:r>
            <w:r w:rsidR="00D712D6">
              <w:rPr>
                <w:noProof/>
                <w:webHidden/>
              </w:rPr>
            </w:r>
            <w:r w:rsidR="00D712D6">
              <w:rPr>
                <w:noProof/>
                <w:webHidden/>
              </w:rPr>
              <w:fldChar w:fldCharType="separate"/>
            </w:r>
            <w:r w:rsidR="00FF7B59">
              <w:rPr>
                <w:noProof/>
                <w:webHidden/>
              </w:rPr>
              <w:t>30</w:t>
            </w:r>
            <w:r w:rsidR="00D712D6">
              <w:rPr>
                <w:noProof/>
                <w:webHidden/>
              </w:rPr>
              <w:fldChar w:fldCharType="end"/>
            </w:r>
          </w:hyperlink>
        </w:p>
        <w:p w:rsidR="00D712D6" w:rsidRDefault="00D941D8" w14:paraId="124A1E3E" w14:textId="60BA6DE7">
          <w:pPr>
            <w:pStyle w:val="TOC2"/>
            <w:tabs>
              <w:tab w:val="right" w:leader="dot" w:pos="9350"/>
            </w:tabs>
            <w:rPr>
              <w:rFonts w:asciiTheme="minorHAnsi" w:hAnsiTheme="minorHAnsi" w:cstheme="minorBidi"/>
              <w:noProof/>
              <w:kern w:val="2"/>
              <w:sz w:val="24"/>
              <w:szCs w:val="24"/>
              <w14:ligatures w14:val="standardContextual"/>
            </w:rPr>
          </w:pPr>
          <w:hyperlink w:history="1" w:anchor="_Toc160790034">
            <w:r w:rsidRPr="00A94255" w:rsidR="00D712D6">
              <w:rPr>
                <w:rStyle w:val="Hyperlink"/>
                <w:noProof/>
              </w:rPr>
              <w:t>4.1.</w:t>
            </w:r>
            <w:r w:rsidR="00D712D6">
              <w:rPr>
                <w:rFonts w:asciiTheme="minorHAnsi" w:hAnsiTheme="minorHAnsi" w:cstheme="minorBidi"/>
                <w:noProof/>
                <w:kern w:val="2"/>
                <w:sz w:val="24"/>
                <w:szCs w:val="24"/>
                <w14:ligatures w14:val="standardContextual"/>
              </w:rPr>
              <w:tab/>
            </w:r>
            <w:r w:rsidRPr="00A94255" w:rsidR="00D712D6">
              <w:rPr>
                <w:rStyle w:val="Hyperlink"/>
                <w:noProof/>
              </w:rPr>
              <w:t>Procedure for Implementing Income-Graduated Fixed Charges</w:t>
            </w:r>
            <w:r w:rsidR="00D712D6">
              <w:rPr>
                <w:noProof/>
                <w:webHidden/>
              </w:rPr>
              <w:tab/>
            </w:r>
            <w:r w:rsidR="00D712D6">
              <w:rPr>
                <w:noProof/>
                <w:webHidden/>
              </w:rPr>
              <w:fldChar w:fldCharType="begin"/>
            </w:r>
            <w:r w:rsidR="00D712D6">
              <w:rPr>
                <w:noProof/>
                <w:webHidden/>
              </w:rPr>
              <w:instrText xml:space="preserve"> PAGEREF _Toc160790034 \h </w:instrText>
            </w:r>
            <w:r w:rsidR="00D712D6">
              <w:rPr>
                <w:noProof/>
                <w:webHidden/>
              </w:rPr>
            </w:r>
            <w:r w:rsidR="00D712D6">
              <w:rPr>
                <w:noProof/>
                <w:webHidden/>
              </w:rPr>
              <w:fldChar w:fldCharType="separate"/>
            </w:r>
            <w:r w:rsidR="00FF7B59">
              <w:rPr>
                <w:noProof/>
                <w:webHidden/>
              </w:rPr>
              <w:t>32</w:t>
            </w:r>
            <w:r w:rsidR="00D712D6">
              <w:rPr>
                <w:noProof/>
                <w:webHidden/>
              </w:rPr>
              <w:fldChar w:fldCharType="end"/>
            </w:r>
          </w:hyperlink>
        </w:p>
        <w:p w:rsidR="00D712D6" w:rsidRDefault="00D941D8" w14:paraId="4076F981" w14:textId="72E1667E">
          <w:pPr>
            <w:pStyle w:val="TOC2"/>
            <w:tabs>
              <w:tab w:val="right" w:leader="dot" w:pos="9350"/>
            </w:tabs>
            <w:rPr>
              <w:rFonts w:asciiTheme="minorHAnsi" w:hAnsiTheme="minorHAnsi" w:cstheme="minorBidi"/>
              <w:noProof/>
              <w:kern w:val="2"/>
              <w:sz w:val="24"/>
              <w:szCs w:val="24"/>
              <w14:ligatures w14:val="standardContextual"/>
            </w:rPr>
          </w:pPr>
          <w:hyperlink w:history="1" w:anchor="_Toc160790035">
            <w:r w:rsidRPr="00A94255" w:rsidR="00D712D6">
              <w:rPr>
                <w:rStyle w:val="Hyperlink"/>
                <w:noProof/>
              </w:rPr>
              <w:t>4.2.</w:t>
            </w:r>
            <w:r w:rsidR="00D712D6">
              <w:rPr>
                <w:rFonts w:asciiTheme="minorHAnsi" w:hAnsiTheme="minorHAnsi" w:cstheme="minorBidi"/>
                <w:noProof/>
                <w:kern w:val="2"/>
                <w:sz w:val="24"/>
                <w:szCs w:val="24"/>
                <w14:ligatures w14:val="standardContextual"/>
              </w:rPr>
              <w:tab/>
            </w:r>
            <w:r w:rsidRPr="00A94255" w:rsidR="00D712D6">
              <w:rPr>
                <w:rStyle w:val="Hyperlink"/>
                <w:noProof/>
              </w:rPr>
              <w:t>Income-Verification Implementation Pathway</w:t>
            </w:r>
            <w:r w:rsidR="00D712D6">
              <w:rPr>
                <w:noProof/>
                <w:webHidden/>
              </w:rPr>
              <w:tab/>
            </w:r>
            <w:r w:rsidR="00D712D6">
              <w:rPr>
                <w:noProof/>
                <w:webHidden/>
              </w:rPr>
              <w:fldChar w:fldCharType="begin"/>
            </w:r>
            <w:r w:rsidR="00D712D6">
              <w:rPr>
                <w:noProof/>
                <w:webHidden/>
              </w:rPr>
              <w:instrText xml:space="preserve"> PAGEREF _Toc160790035 \h </w:instrText>
            </w:r>
            <w:r w:rsidR="00D712D6">
              <w:rPr>
                <w:noProof/>
                <w:webHidden/>
              </w:rPr>
            </w:r>
            <w:r w:rsidR="00D712D6">
              <w:rPr>
                <w:noProof/>
                <w:webHidden/>
              </w:rPr>
              <w:fldChar w:fldCharType="separate"/>
            </w:r>
            <w:r w:rsidR="00FF7B59">
              <w:rPr>
                <w:noProof/>
                <w:webHidden/>
              </w:rPr>
              <w:t>36</w:t>
            </w:r>
            <w:r w:rsidR="00D712D6">
              <w:rPr>
                <w:noProof/>
                <w:webHidden/>
              </w:rPr>
              <w:fldChar w:fldCharType="end"/>
            </w:r>
          </w:hyperlink>
        </w:p>
        <w:p w:rsidR="00D712D6" w:rsidRDefault="00D941D8" w14:paraId="2F4EA08F" w14:textId="66DB96E9">
          <w:pPr>
            <w:pStyle w:val="TOC2"/>
            <w:tabs>
              <w:tab w:val="right" w:leader="dot" w:pos="9350"/>
            </w:tabs>
            <w:rPr>
              <w:rFonts w:asciiTheme="minorHAnsi" w:hAnsiTheme="minorHAnsi" w:cstheme="minorBidi"/>
              <w:noProof/>
              <w:kern w:val="2"/>
              <w:sz w:val="24"/>
              <w:szCs w:val="24"/>
              <w14:ligatures w14:val="standardContextual"/>
            </w:rPr>
          </w:pPr>
          <w:hyperlink w:history="1" w:anchor="_Toc160790036">
            <w:r w:rsidRPr="00A94255" w:rsidR="00D712D6">
              <w:rPr>
                <w:rStyle w:val="Hyperlink"/>
                <w:noProof/>
              </w:rPr>
              <w:t>4.3.</w:t>
            </w:r>
            <w:r w:rsidR="00D712D6">
              <w:rPr>
                <w:rFonts w:asciiTheme="minorHAnsi" w:hAnsiTheme="minorHAnsi" w:cstheme="minorBidi"/>
                <w:noProof/>
                <w:kern w:val="2"/>
                <w:sz w:val="24"/>
                <w:szCs w:val="24"/>
                <w14:ligatures w14:val="standardContextual"/>
              </w:rPr>
              <w:tab/>
            </w:r>
            <w:r w:rsidRPr="00A94255" w:rsidR="00D712D6">
              <w:rPr>
                <w:rStyle w:val="Hyperlink"/>
                <w:noProof/>
              </w:rPr>
              <w:t>Process for Improving Income-Graduated Fixed Charges and Alternative Solutions</w:t>
            </w:r>
            <w:r w:rsidR="00D712D6">
              <w:rPr>
                <w:noProof/>
                <w:webHidden/>
              </w:rPr>
              <w:tab/>
            </w:r>
            <w:r w:rsidR="00D712D6">
              <w:rPr>
                <w:noProof/>
                <w:webHidden/>
              </w:rPr>
              <w:fldChar w:fldCharType="begin"/>
            </w:r>
            <w:r w:rsidR="00D712D6">
              <w:rPr>
                <w:noProof/>
                <w:webHidden/>
              </w:rPr>
              <w:instrText xml:space="preserve"> PAGEREF _Toc160790036 \h </w:instrText>
            </w:r>
            <w:r w:rsidR="00D712D6">
              <w:rPr>
                <w:noProof/>
                <w:webHidden/>
              </w:rPr>
            </w:r>
            <w:r w:rsidR="00D712D6">
              <w:rPr>
                <w:noProof/>
                <w:webHidden/>
              </w:rPr>
              <w:fldChar w:fldCharType="separate"/>
            </w:r>
            <w:r w:rsidR="00FF7B59">
              <w:rPr>
                <w:noProof/>
                <w:webHidden/>
              </w:rPr>
              <w:t>45</w:t>
            </w:r>
            <w:r w:rsidR="00D712D6">
              <w:rPr>
                <w:noProof/>
                <w:webHidden/>
              </w:rPr>
              <w:fldChar w:fldCharType="end"/>
            </w:r>
          </w:hyperlink>
        </w:p>
        <w:p w:rsidR="00D712D6" w:rsidRDefault="00D941D8" w14:paraId="7672477E" w14:textId="5E75ECAC">
          <w:pPr>
            <w:pStyle w:val="TOC1"/>
            <w:tabs>
              <w:tab w:val="right" w:leader="dot" w:pos="9350"/>
            </w:tabs>
            <w:rPr>
              <w:rFonts w:asciiTheme="minorHAnsi" w:hAnsiTheme="minorHAnsi" w:cstheme="minorBidi"/>
              <w:noProof/>
              <w:kern w:val="2"/>
              <w:sz w:val="24"/>
              <w:szCs w:val="24"/>
              <w14:ligatures w14:val="standardContextual"/>
            </w:rPr>
          </w:pPr>
          <w:hyperlink w:history="1" w:anchor="_Toc160790037">
            <w:r w:rsidRPr="00A94255" w:rsidR="00D712D6">
              <w:rPr>
                <w:rStyle w:val="Hyperlink"/>
                <w:noProof/>
              </w:rPr>
              <w:t>5.</w:t>
            </w:r>
            <w:r w:rsidR="00D712D6">
              <w:rPr>
                <w:rFonts w:asciiTheme="minorHAnsi" w:hAnsiTheme="minorHAnsi" w:cstheme="minorBidi"/>
                <w:noProof/>
                <w:kern w:val="2"/>
                <w:sz w:val="24"/>
                <w:szCs w:val="24"/>
                <w14:ligatures w14:val="standardContextual"/>
              </w:rPr>
              <w:tab/>
            </w:r>
            <w:r w:rsidRPr="00A94255" w:rsidR="00D712D6">
              <w:rPr>
                <w:rStyle w:val="Hyperlink"/>
                <w:noProof/>
              </w:rPr>
              <w:t>Income-Graduated Fixed Charges of the Large Utilities</w:t>
            </w:r>
            <w:r w:rsidR="00D712D6">
              <w:rPr>
                <w:noProof/>
                <w:webHidden/>
              </w:rPr>
              <w:tab/>
            </w:r>
            <w:r w:rsidR="00D712D6">
              <w:rPr>
                <w:noProof/>
                <w:webHidden/>
              </w:rPr>
              <w:fldChar w:fldCharType="begin"/>
            </w:r>
            <w:r w:rsidR="00D712D6">
              <w:rPr>
                <w:noProof/>
                <w:webHidden/>
              </w:rPr>
              <w:instrText xml:space="preserve"> PAGEREF _Toc160790037 \h </w:instrText>
            </w:r>
            <w:r w:rsidR="00D712D6">
              <w:rPr>
                <w:noProof/>
                <w:webHidden/>
              </w:rPr>
            </w:r>
            <w:r w:rsidR="00D712D6">
              <w:rPr>
                <w:noProof/>
                <w:webHidden/>
              </w:rPr>
              <w:fldChar w:fldCharType="separate"/>
            </w:r>
            <w:r w:rsidR="00FF7B59">
              <w:rPr>
                <w:noProof/>
                <w:webHidden/>
              </w:rPr>
              <w:t>49</w:t>
            </w:r>
            <w:r w:rsidR="00D712D6">
              <w:rPr>
                <w:noProof/>
                <w:webHidden/>
              </w:rPr>
              <w:fldChar w:fldCharType="end"/>
            </w:r>
          </w:hyperlink>
        </w:p>
        <w:p w:rsidR="00D712D6" w:rsidRDefault="00D941D8" w14:paraId="192D99CC" w14:textId="03A4F774">
          <w:pPr>
            <w:pStyle w:val="TOC2"/>
            <w:tabs>
              <w:tab w:val="right" w:leader="dot" w:pos="9350"/>
            </w:tabs>
            <w:rPr>
              <w:rFonts w:asciiTheme="minorHAnsi" w:hAnsiTheme="minorHAnsi" w:cstheme="minorBidi"/>
              <w:noProof/>
              <w:kern w:val="2"/>
              <w:sz w:val="24"/>
              <w:szCs w:val="24"/>
              <w14:ligatures w14:val="standardContextual"/>
            </w:rPr>
          </w:pPr>
          <w:hyperlink w:history="1" w:anchor="_Toc160790038">
            <w:r w:rsidRPr="00A94255" w:rsidR="00D712D6">
              <w:rPr>
                <w:rStyle w:val="Hyperlink"/>
                <w:noProof/>
              </w:rPr>
              <w:t>5.1.</w:t>
            </w:r>
            <w:r w:rsidR="00D712D6">
              <w:rPr>
                <w:rFonts w:asciiTheme="minorHAnsi" w:hAnsiTheme="minorHAnsi" w:cstheme="minorBidi"/>
                <w:noProof/>
                <w:kern w:val="2"/>
                <w:sz w:val="24"/>
                <w:szCs w:val="24"/>
                <w14:ligatures w14:val="standardContextual"/>
              </w:rPr>
              <w:tab/>
            </w:r>
            <w:r w:rsidRPr="00A94255" w:rsidR="00D712D6">
              <w:rPr>
                <w:rStyle w:val="Hyperlink"/>
                <w:noProof/>
              </w:rPr>
              <w:t>Income Tiers and Verification</w:t>
            </w:r>
            <w:r w:rsidR="00D712D6">
              <w:rPr>
                <w:noProof/>
                <w:webHidden/>
              </w:rPr>
              <w:tab/>
            </w:r>
            <w:r w:rsidR="00D712D6">
              <w:rPr>
                <w:noProof/>
                <w:webHidden/>
              </w:rPr>
              <w:fldChar w:fldCharType="begin"/>
            </w:r>
            <w:r w:rsidR="00D712D6">
              <w:rPr>
                <w:noProof/>
                <w:webHidden/>
              </w:rPr>
              <w:instrText xml:space="preserve"> PAGEREF _Toc160790038 \h </w:instrText>
            </w:r>
            <w:r w:rsidR="00D712D6">
              <w:rPr>
                <w:noProof/>
                <w:webHidden/>
              </w:rPr>
            </w:r>
            <w:r w:rsidR="00D712D6">
              <w:rPr>
                <w:noProof/>
                <w:webHidden/>
              </w:rPr>
              <w:fldChar w:fldCharType="separate"/>
            </w:r>
            <w:r w:rsidR="00FF7B59">
              <w:rPr>
                <w:noProof/>
                <w:webHidden/>
              </w:rPr>
              <w:t>49</w:t>
            </w:r>
            <w:r w:rsidR="00D712D6">
              <w:rPr>
                <w:noProof/>
                <w:webHidden/>
              </w:rPr>
              <w:fldChar w:fldCharType="end"/>
            </w:r>
          </w:hyperlink>
        </w:p>
        <w:p w:rsidR="00D712D6" w:rsidRDefault="00D941D8" w14:paraId="0571E5AE" w14:textId="5E66F42B">
          <w:pPr>
            <w:pStyle w:val="TOC2"/>
            <w:tabs>
              <w:tab w:val="right" w:leader="dot" w:pos="9350"/>
            </w:tabs>
            <w:rPr>
              <w:rFonts w:asciiTheme="minorHAnsi" w:hAnsiTheme="minorHAnsi" w:cstheme="minorBidi"/>
              <w:noProof/>
              <w:kern w:val="2"/>
              <w:sz w:val="24"/>
              <w:szCs w:val="24"/>
              <w14:ligatures w14:val="standardContextual"/>
            </w:rPr>
          </w:pPr>
          <w:hyperlink w:history="1" w:anchor="_Toc160790039">
            <w:r w:rsidRPr="00A94255" w:rsidR="00D712D6">
              <w:rPr>
                <w:rStyle w:val="Hyperlink"/>
                <w:noProof/>
              </w:rPr>
              <w:t>5.2.</w:t>
            </w:r>
            <w:r w:rsidR="00D712D6">
              <w:rPr>
                <w:rFonts w:asciiTheme="minorHAnsi" w:hAnsiTheme="minorHAnsi" w:cstheme="minorBidi"/>
                <w:noProof/>
                <w:kern w:val="2"/>
                <w:sz w:val="24"/>
                <w:szCs w:val="24"/>
                <w14:ligatures w14:val="standardContextual"/>
              </w:rPr>
              <w:tab/>
            </w:r>
            <w:r w:rsidRPr="00A94255" w:rsidR="00D712D6">
              <w:rPr>
                <w:rStyle w:val="Hyperlink"/>
                <w:noProof/>
              </w:rPr>
              <w:t>Fixed Costs and Fixed Charge Levels</w:t>
            </w:r>
            <w:r w:rsidR="00D712D6">
              <w:rPr>
                <w:noProof/>
                <w:webHidden/>
              </w:rPr>
              <w:tab/>
            </w:r>
            <w:r w:rsidR="00D712D6">
              <w:rPr>
                <w:noProof/>
                <w:webHidden/>
              </w:rPr>
              <w:fldChar w:fldCharType="begin"/>
            </w:r>
            <w:r w:rsidR="00D712D6">
              <w:rPr>
                <w:noProof/>
                <w:webHidden/>
              </w:rPr>
              <w:instrText xml:space="preserve"> PAGEREF _Toc160790039 \h </w:instrText>
            </w:r>
            <w:r w:rsidR="00D712D6">
              <w:rPr>
                <w:noProof/>
                <w:webHidden/>
              </w:rPr>
            </w:r>
            <w:r w:rsidR="00D712D6">
              <w:rPr>
                <w:noProof/>
                <w:webHidden/>
              </w:rPr>
              <w:fldChar w:fldCharType="separate"/>
            </w:r>
            <w:r w:rsidR="00FF7B59">
              <w:rPr>
                <w:noProof/>
                <w:webHidden/>
              </w:rPr>
              <w:t>59</w:t>
            </w:r>
            <w:r w:rsidR="00D712D6">
              <w:rPr>
                <w:noProof/>
                <w:webHidden/>
              </w:rPr>
              <w:fldChar w:fldCharType="end"/>
            </w:r>
          </w:hyperlink>
        </w:p>
        <w:p w:rsidR="00D712D6" w:rsidRDefault="00D941D8" w14:paraId="7D84EB05" w14:textId="7EF0E8DC">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60790040">
            <w:r w:rsidRPr="00A94255" w:rsidR="00D712D6">
              <w:rPr>
                <w:rStyle w:val="Hyperlink"/>
                <w:noProof/>
              </w:rPr>
              <w:t>5.2.1.</w:t>
            </w:r>
            <w:r w:rsidR="00D712D6">
              <w:rPr>
                <w:rFonts w:asciiTheme="minorHAnsi" w:hAnsiTheme="minorHAnsi" w:cstheme="minorBidi"/>
                <w:noProof/>
                <w:kern w:val="2"/>
                <w:sz w:val="24"/>
                <w:szCs w:val="24"/>
                <w14:ligatures w14:val="standardContextual"/>
              </w:rPr>
              <w:tab/>
            </w:r>
            <w:r w:rsidRPr="00A94255" w:rsidR="00D712D6">
              <w:rPr>
                <w:rStyle w:val="Hyperlink"/>
                <w:noProof/>
              </w:rPr>
              <w:t>Fixed Charge Levels</w:t>
            </w:r>
            <w:r w:rsidR="00D712D6">
              <w:rPr>
                <w:noProof/>
                <w:webHidden/>
              </w:rPr>
              <w:tab/>
            </w:r>
            <w:r w:rsidR="00D712D6">
              <w:rPr>
                <w:noProof/>
                <w:webHidden/>
              </w:rPr>
              <w:fldChar w:fldCharType="begin"/>
            </w:r>
            <w:r w:rsidR="00D712D6">
              <w:rPr>
                <w:noProof/>
                <w:webHidden/>
              </w:rPr>
              <w:instrText xml:space="preserve"> PAGEREF _Toc160790040 \h </w:instrText>
            </w:r>
            <w:r w:rsidR="00D712D6">
              <w:rPr>
                <w:noProof/>
                <w:webHidden/>
              </w:rPr>
            </w:r>
            <w:r w:rsidR="00D712D6">
              <w:rPr>
                <w:noProof/>
                <w:webHidden/>
              </w:rPr>
              <w:fldChar w:fldCharType="separate"/>
            </w:r>
            <w:r w:rsidR="00FF7B59">
              <w:rPr>
                <w:noProof/>
                <w:webHidden/>
              </w:rPr>
              <w:t>60</w:t>
            </w:r>
            <w:r w:rsidR="00D712D6">
              <w:rPr>
                <w:noProof/>
                <w:webHidden/>
              </w:rPr>
              <w:fldChar w:fldCharType="end"/>
            </w:r>
          </w:hyperlink>
        </w:p>
        <w:p w:rsidR="00D712D6" w:rsidRDefault="00D941D8" w14:paraId="6F392276" w14:textId="695C7BE4">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60790041">
            <w:r w:rsidRPr="00A94255" w:rsidR="00D712D6">
              <w:rPr>
                <w:rStyle w:val="Hyperlink"/>
                <w:noProof/>
              </w:rPr>
              <w:t>5.2.2.</w:t>
            </w:r>
            <w:r w:rsidR="00D712D6">
              <w:rPr>
                <w:rFonts w:asciiTheme="minorHAnsi" w:hAnsiTheme="minorHAnsi" w:cstheme="minorBidi"/>
                <w:noProof/>
                <w:kern w:val="2"/>
                <w:sz w:val="24"/>
                <w:szCs w:val="24"/>
                <w14:ligatures w14:val="standardContextual"/>
              </w:rPr>
              <w:tab/>
            </w:r>
            <w:r w:rsidRPr="00A94255" w:rsidR="00D712D6">
              <w:rPr>
                <w:rStyle w:val="Hyperlink"/>
                <w:noProof/>
              </w:rPr>
              <w:t>Fixed Costs</w:t>
            </w:r>
            <w:r w:rsidR="00D712D6">
              <w:rPr>
                <w:noProof/>
                <w:webHidden/>
              </w:rPr>
              <w:tab/>
            </w:r>
            <w:r w:rsidR="00D712D6">
              <w:rPr>
                <w:noProof/>
                <w:webHidden/>
              </w:rPr>
              <w:fldChar w:fldCharType="begin"/>
            </w:r>
            <w:r w:rsidR="00D712D6">
              <w:rPr>
                <w:noProof/>
                <w:webHidden/>
              </w:rPr>
              <w:instrText xml:space="preserve"> PAGEREF _Toc160790041 \h </w:instrText>
            </w:r>
            <w:r w:rsidR="00D712D6">
              <w:rPr>
                <w:noProof/>
                <w:webHidden/>
              </w:rPr>
            </w:r>
            <w:r w:rsidR="00D712D6">
              <w:rPr>
                <w:noProof/>
                <w:webHidden/>
              </w:rPr>
              <w:fldChar w:fldCharType="separate"/>
            </w:r>
            <w:r w:rsidR="00FF7B59">
              <w:rPr>
                <w:noProof/>
                <w:webHidden/>
              </w:rPr>
              <w:t>64</w:t>
            </w:r>
            <w:r w:rsidR="00D712D6">
              <w:rPr>
                <w:noProof/>
                <w:webHidden/>
              </w:rPr>
              <w:fldChar w:fldCharType="end"/>
            </w:r>
          </w:hyperlink>
        </w:p>
        <w:p w:rsidR="00D712D6" w:rsidRDefault="00D941D8" w14:paraId="7DEC0E9C" w14:textId="3E40D62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60790042">
            <w:r w:rsidRPr="00A94255" w:rsidR="00D712D6">
              <w:rPr>
                <w:rStyle w:val="Hyperlink"/>
                <w:noProof/>
              </w:rPr>
              <w:t>5.2.3.</w:t>
            </w:r>
            <w:r w:rsidR="00D712D6">
              <w:rPr>
                <w:rFonts w:asciiTheme="minorHAnsi" w:hAnsiTheme="minorHAnsi" w:cstheme="minorBidi"/>
                <w:noProof/>
                <w:kern w:val="2"/>
                <w:sz w:val="24"/>
                <w:szCs w:val="24"/>
                <w14:ligatures w14:val="standardContextual"/>
              </w:rPr>
              <w:tab/>
            </w:r>
            <w:r w:rsidRPr="00A94255" w:rsidR="00D712D6">
              <w:rPr>
                <w:rStyle w:val="Hyperlink"/>
                <w:noProof/>
              </w:rPr>
              <w:t>Fixed Charges for Each Tier</w:t>
            </w:r>
            <w:r w:rsidR="00D712D6">
              <w:rPr>
                <w:noProof/>
                <w:webHidden/>
              </w:rPr>
              <w:tab/>
            </w:r>
            <w:r w:rsidR="00D712D6">
              <w:rPr>
                <w:noProof/>
                <w:webHidden/>
              </w:rPr>
              <w:fldChar w:fldCharType="begin"/>
            </w:r>
            <w:r w:rsidR="00D712D6">
              <w:rPr>
                <w:noProof/>
                <w:webHidden/>
              </w:rPr>
              <w:instrText xml:space="preserve"> PAGEREF _Toc160790042 \h </w:instrText>
            </w:r>
            <w:r w:rsidR="00D712D6">
              <w:rPr>
                <w:noProof/>
                <w:webHidden/>
              </w:rPr>
            </w:r>
            <w:r w:rsidR="00D712D6">
              <w:rPr>
                <w:noProof/>
                <w:webHidden/>
              </w:rPr>
              <w:fldChar w:fldCharType="separate"/>
            </w:r>
            <w:r w:rsidR="00FF7B59">
              <w:rPr>
                <w:noProof/>
                <w:webHidden/>
              </w:rPr>
              <w:t>72</w:t>
            </w:r>
            <w:r w:rsidR="00D712D6">
              <w:rPr>
                <w:noProof/>
                <w:webHidden/>
              </w:rPr>
              <w:fldChar w:fldCharType="end"/>
            </w:r>
          </w:hyperlink>
        </w:p>
        <w:p w:rsidR="00D712D6" w:rsidRDefault="00D941D8" w14:paraId="63F97FB7" w14:textId="04904C49">
          <w:pPr>
            <w:pStyle w:val="TOC2"/>
            <w:tabs>
              <w:tab w:val="right" w:leader="dot" w:pos="9350"/>
            </w:tabs>
            <w:rPr>
              <w:rFonts w:asciiTheme="minorHAnsi" w:hAnsiTheme="minorHAnsi" w:cstheme="minorBidi"/>
              <w:noProof/>
              <w:kern w:val="2"/>
              <w:sz w:val="24"/>
              <w:szCs w:val="24"/>
              <w14:ligatures w14:val="standardContextual"/>
            </w:rPr>
          </w:pPr>
          <w:hyperlink w:history="1" w:anchor="_Toc160790043">
            <w:r w:rsidRPr="00A94255" w:rsidR="00D712D6">
              <w:rPr>
                <w:rStyle w:val="Hyperlink"/>
                <w:noProof/>
              </w:rPr>
              <w:t>5.3.</w:t>
            </w:r>
            <w:r w:rsidR="00D712D6">
              <w:rPr>
                <w:rFonts w:asciiTheme="minorHAnsi" w:hAnsiTheme="minorHAnsi" w:cstheme="minorBidi"/>
                <w:noProof/>
                <w:kern w:val="2"/>
                <w:sz w:val="24"/>
                <w:szCs w:val="24"/>
                <w14:ligatures w14:val="standardContextual"/>
              </w:rPr>
              <w:tab/>
            </w:r>
            <w:r w:rsidRPr="00A94255" w:rsidR="00D712D6">
              <w:rPr>
                <w:rStyle w:val="Hyperlink"/>
                <w:noProof/>
              </w:rPr>
              <w:t>Small and Large Customer Differentiation</w:t>
            </w:r>
            <w:r w:rsidR="00D712D6">
              <w:rPr>
                <w:noProof/>
                <w:webHidden/>
              </w:rPr>
              <w:tab/>
            </w:r>
            <w:r w:rsidR="00D712D6">
              <w:rPr>
                <w:noProof/>
                <w:webHidden/>
              </w:rPr>
              <w:fldChar w:fldCharType="begin"/>
            </w:r>
            <w:r w:rsidR="00D712D6">
              <w:rPr>
                <w:noProof/>
                <w:webHidden/>
              </w:rPr>
              <w:instrText xml:space="preserve"> PAGEREF _Toc160790043 \h </w:instrText>
            </w:r>
            <w:r w:rsidR="00D712D6">
              <w:rPr>
                <w:noProof/>
                <w:webHidden/>
              </w:rPr>
            </w:r>
            <w:r w:rsidR="00D712D6">
              <w:rPr>
                <w:noProof/>
                <w:webHidden/>
              </w:rPr>
              <w:fldChar w:fldCharType="separate"/>
            </w:r>
            <w:r w:rsidR="00FF7B59">
              <w:rPr>
                <w:noProof/>
                <w:webHidden/>
              </w:rPr>
              <w:t>78</w:t>
            </w:r>
            <w:r w:rsidR="00D712D6">
              <w:rPr>
                <w:noProof/>
                <w:webHidden/>
              </w:rPr>
              <w:fldChar w:fldCharType="end"/>
            </w:r>
          </w:hyperlink>
        </w:p>
        <w:p w:rsidR="00D712D6" w:rsidRDefault="00D941D8" w14:paraId="75A571DC" w14:textId="4690E93D">
          <w:pPr>
            <w:pStyle w:val="TOC2"/>
            <w:tabs>
              <w:tab w:val="right" w:leader="dot" w:pos="9350"/>
            </w:tabs>
            <w:rPr>
              <w:rFonts w:asciiTheme="minorHAnsi" w:hAnsiTheme="minorHAnsi" w:cstheme="minorBidi"/>
              <w:noProof/>
              <w:kern w:val="2"/>
              <w:sz w:val="24"/>
              <w:szCs w:val="24"/>
              <w14:ligatures w14:val="standardContextual"/>
            </w:rPr>
          </w:pPr>
          <w:hyperlink w:history="1" w:anchor="_Toc160790044">
            <w:r w:rsidRPr="00A94255" w:rsidR="00D712D6">
              <w:rPr>
                <w:rStyle w:val="Hyperlink"/>
                <w:noProof/>
              </w:rPr>
              <w:t>5.4.</w:t>
            </w:r>
            <w:r w:rsidR="00D712D6">
              <w:rPr>
                <w:rFonts w:asciiTheme="minorHAnsi" w:hAnsiTheme="minorHAnsi" w:cstheme="minorBidi"/>
                <w:noProof/>
                <w:kern w:val="2"/>
                <w:sz w:val="24"/>
                <w:szCs w:val="24"/>
                <w14:ligatures w14:val="standardContextual"/>
              </w:rPr>
              <w:tab/>
            </w:r>
            <w:r w:rsidRPr="00A94255" w:rsidR="00D712D6">
              <w:rPr>
                <w:rStyle w:val="Hyperlink"/>
                <w:noProof/>
              </w:rPr>
              <w:t>Adjustments to Default Residential Rate Components</w:t>
            </w:r>
            <w:r w:rsidR="00D712D6">
              <w:rPr>
                <w:noProof/>
                <w:webHidden/>
              </w:rPr>
              <w:tab/>
            </w:r>
            <w:r w:rsidR="00D712D6">
              <w:rPr>
                <w:noProof/>
                <w:webHidden/>
              </w:rPr>
              <w:fldChar w:fldCharType="begin"/>
            </w:r>
            <w:r w:rsidR="00D712D6">
              <w:rPr>
                <w:noProof/>
                <w:webHidden/>
              </w:rPr>
              <w:instrText xml:space="preserve"> PAGEREF _Toc160790044 \h </w:instrText>
            </w:r>
            <w:r w:rsidR="00D712D6">
              <w:rPr>
                <w:noProof/>
                <w:webHidden/>
              </w:rPr>
            </w:r>
            <w:r w:rsidR="00D712D6">
              <w:rPr>
                <w:noProof/>
                <w:webHidden/>
              </w:rPr>
              <w:fldChar w:fldCharType="separate"/>
            </w:r>
            <w:r w:rsidR="00FF7B59">
              <w:rPr>
                <w:noProof/>
                <w:webHidden/>
              </w:rPr>
              <w:t>80</w:t>
            </w:r>
            <w:r w:rsidR="00D712D6">
              <w:rPr>
                <w:noProof/>
                <w:webHidden/>
              </w:rPr>
              <w:fldChar w:fldCharType="end"/>
            </w:r>
          </w:hyperlink>
        </w:p>
        <w:p w:rsidR="00D712D6" w:rsidRDefault="00D941D8" w14:paraId="670DF1B7" w14:textId="7216B6D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60790045">
            <w:r w:rsidRPr="00A94255" w:rsidR="00D712D6">
              <w:rPr>
                <w:rStyle w:val="Hyperlink"/>
                <w:noProof/>
              </w:rPr>
              <w:t>5.4.1.</w:t>
            </w:r>
            <w:r w:rsidR="00D712D6">
              <w:rPr>
                <w:rFonts w:asciiTheme="minorHAnsi" w:hAnsiTheme="minorHAnsi" w:cstheme="minorBidi"/>
                <w:noProof/>
                <w:kern w:val="2"/>
                <w:sz w:val="24"/>
                <w:szCs w:val="24"/>
                <w14:ligatures w14:val="standardContextual"/>
              </w:rPr>
              <w:tab/>
            </w:r>
            <w:r w:rsidRPr="00A94255" w:rsidR="00D712D6">
              <w:rPr>
                <w:rStyle w:val="Hyperlink"/>
                <w:noProof/>
              </w:rPr>
              <w:t>Minimum Bill</w:t>
            </w:r>
            <w:r w:rsidR="00D712D6">
              <w:rPr>
                <w:noProof/>
                <w:webHidden/>
              </w:rPr>
              <w:tab/>
            </w:r>
            <w:r w:rsidR="00D712D6">
              <w:rPr>
                <w:noProof/>
                <w:webHidden/>
              </w:rPr>
              <w:fldChar w:fldCharType="begin"/>
            </w:r>
            <w:r w:rsidR="00D712D6">
              <w:rPr>
                <w:noProof/>
                <w:webHidden/>
              </w:rPr>
              <w:instrText xml:space="preserve"> PAGEREF _Toc160790045 \h </w:instrText>
            </w:r>
            <w:r w:rsidR="00D712D6">
              <w:rPr>
                <w:noProof/>
                <w:webHidden/>
              </w:rPr>
            </w:r>
            <w:r w:rsidR="00D712D6">
              <w:rPr>
                <w:noProof/>
                <w:webHidden/>
              </w:rPr>
              <w:fldChar w:fldCharType="separate"/>
            </w:r>
            <w:r w:rsidR="00FF7B59">
              <w:rPr>
                <w:noProof/>
                <w:webHidden/>
              </w:rPr>
              <w:t>80</w:t>
            </w:r>
            <w:r w:rsidR="00D712D6">
              <w:rPr>
                <w:noProof/>
                <w:webHidden/>
              </w:rPr>
              <w:fldChar w:fldCharType="end"/>
            </w:r>
          </w:hyperlink>
        </w:p>
        <w:p w:rsidR="00D712D6" w:rsidRDefault="00D941D8" w14:paraId="1CFEEFCB" w14:textId="373BA6A8">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60790046">
            <w:r w:rsidRPr="00A94255" w:rsidR="00D712D6">
              <w:rPr>
                <w:rStyle w:val="Hyperlink"/>
                <w:noProof/>
              </w:rPr>
              <w:t>5.4.2.</w:t>
            </w:r>
            <w:r w:rsidR="00D712D6">
              <w:rPr>
                <w:rFonts w:asciiTheme="minorHAnsi" w:hAnsiTheme="minorHAnsi" w:cstheme="minorBidi"/>
                <w:noProof/>
                <w:kern w:val="2"/>
                <w:sz w:val="24"/>
                <w:szCs w:val="24"/>
                <w14:ligatures w14:val="standardContextual"/>
              </w:rPr>
              <w:tab/>
            </w:r>
            <w:r w:rsidRPr="00A94255" w:rsidR="00D712D6">
              <w:rPr>
                <w:rStyle w:val="Hyperlink"/>
                <w:noProof/>
              </w:rPr>
              <w:t>Volumetric Rate Adjustments</w:t>
            </w:r>
            <w:r w:rsidR="00D712D6">
              <w:rPr>
                <w:noProof/>
                <w:webHidden/>
              </w:rPr>
              <w:tab/>
            </w:r>
            <w:r w:rsidR="00D712D6">
              <w:rPr>
                <w:noProof/>
                <w:webHidden/>
              </w:rPr>
              <w:fldChar w:fldCharType="begin"/>
            </w:r>
            <w:r w:rsidR="00D712D6">
              <w:rPr>
                <w:noProof/>
                <w:webHidden/>
              </w:rPr>
              <w:instrText xml:space="preserve"> PAGEREF _Toc160790046 \h </w:instrText>
            </w:r>
            <w:r w:rsidR="00D712D6">
              <w:rPr>
                <w:noProof/>
                <w:webHidden/>
              </w:rPr>
            </w:r>
            <w:r w:rsidR="00D712D6">
              <w:rPr>
                <w:noProof/>
                <w:webHidden/>
              </w:rPr>
              <w:fldChar w:fldCharType="separate"/>
            </w:r>
            <w:r w:rsidR="00FF7B59">
              <w:rPr>
                <w:noProof/>
                <w:webHidden/>
              </w:rPr>
              <w:t>81</w:t>
            </w:r>
            <w:r w:rsidR="00D712D6">
              <w:rPr>
                <w:noProof/>
                <w:webHidden/>
              </w:rPr>
              <w:fldChar w:fldCharType="end"/>
            </w:r>
          </w:hyperlink>
        </w:p>
        <w:p w:rsidR="00D712D6" w:rsidRDefault="00D941D8" w14:paraId="7B421150" w14:textId="5F2036DA">
          <w:pPr>
            <w:pStyle w:val="TOC2"/>
            <w:tabs>
              <w:tab w:val="right" w:leader="dot" w:pos="9350"/>
            </w:tabs>
            <w:rPr>
              <w:rFonts w:asciiTheme="minorHAnsi" w:hAnsiTheme="minorHAnsi" w:cstheme="minorBidi"/>
              <w:noProof/>
              <w:kern w:val="2"/>
              <w:sz w:val="24"/>
              <w:szCs w:val="24"/>
              <w14:ligatures w14:val="standardContextual"/>
            </w:rPr>
          </w:pPr>
          <w:hyperlink w:history="1" w:anchor="_Toc160790047">
            <w:r w:rsidRPr="00A94255" w:rsidR="00D712D6">
              <w:rPr>
                <w:rStyle w:val="Hyperlink"/>
                <w:noProof/>
              </w:rPr>
              <w:t>5.5.</w:t>
            </w:r>
            <w:r w:rsidR="00D712D6">
              <w:rPr>
                <w:rFonts w:asciiTheme="minorHAnsi" w:hAnsiTheme="minorHAnsi" w:cstheme="minorBidi"/>
                <w:noProof/>
                <w:kern w:val="2"/>
                <w:sz w:val="24"/>
                <w:szCs w:val="24"/>
                <w14:ligatures w14:val="standardContextual"/>
              </w:rPr>
              <w:tab/>
            </w:r>
            <w:r w:rsidRPr="00A94255" w:rsidR="00D712D6">
              <w:rPr>
                <w:rStyle w:val="Hyperlink"/>
                <w:noProof/>
              </w:rPr>
              <w:t>Optional Rates and Master-Metered Rates</w:t>
            </w:r>
            <w:r w:rsidR="00D712D6">
              <w:rPr>
                <w:noProof/>
                <w:webHidden/>
              </w:rPr>
              <w:tab/>
            </w:r>
            <w:r w:rsidR="00D712D6">
              <w:rPr>
                <w:noProof/>
                <w:webHidden/>
              </w:rPr>
              <w:fldChar w:fldCharType="begin"/>
            </w:r>
            <w:r w:rsidR="00D712D6">
              <w:rPr>
                <w:noProof/>
                <w:webHidden/>
              </w:rPr>
              <w:instrText xml:space="preserve"> PAGEREF _Toc160790047 \h </w:instrText>
            </w:r>
            <w:r w:rsidR="00D712D6">
              <w:rPr>
                <w:noProof/>
                <w:webHidden/>
              </w:rPr>
            </w:r>
            <w:r w:rsidR="00D712D6">
              <w:rPr>
                <w:noProof/>
                <w:webHidden/>
              </w:rPr>
              <w:fldChar w:fldCharType="separate"/>
            </w:r>
            <w:r w:rsidR="00FF7B59">
              <w:rPr>
                <w:noProof/>
                <w:webHidden/>
              </w:rPr>
              <w:t>84</w:t>
            </w:r>
            <w:r w:rsidR="00D712D6">
              <w:rPr>
                <w:noProof/>
                <w:webHidden/>
              </w:rPr>
              <w:fldChar w:fldCharType="end"/>
            </w:r>
          </w:hyperlink>
        </w:p>
        <w:p w:rsidR="00D712D6" w:rsidRDefault="00D941D8" w14:paraId="309F30B6" w14:textId="033AEB5F">
          <w:pPr>
            <w:pStyle w:val="TOC2"/>
            <w:tabs>
              <w:tab w:val="right" w:leader="dot" w:pos="9350"/>
            </w:tabs>
            <w:rPr>
              <w:rFonts w:asciiTheme="minorHAnsi" w:hAnsiTheme="minorHAnsi" w:cstheme="minorBidi"/>
              <w:noProof/>
              <w:kern w:val="2"/>
              <w:sz w:val="24"/>
              <w:szCs w:val="24"/>
              <w14:ligatures w14:val="standardContextual"/>
            </w:rPr>
          </w:pPr>
          <w:hyperlink w:history="1" w:anchor="_Toc160790048">
            <w:r w:rsidRPr="00A94255" w:rsidR="00D712D6">
              <w:rPr>
                <w:rStyle w:val="Hyperlink"/>
                <w:noProof/>
              </w:rPr>
              <w:t>5.6.</w:t>
            </w:r>
            <w:r w:rsidR="00D712D6">
              <w:rPr>
                <w:rFonts w:asciiTheme="minorHAnsi" w:hAnsiTheme="minorHAnsi" w:cstheme="minorBidi"/>
                <w:noProof/>
                <w:kern w:val="2"/>
                <w:sz w:val="24"/>
                <w:szCs w:val="24"/>
                <w14:ligatures w14:val="standardContextual"/>
              </w:rPr>
              <w:tab/>
            </w:r>
            <w:r w:rsidRPr="00A94255" w:rsidR="00D712D6">
              <w:rPr>
                <w:rStyle w:val="Hyperlink"/>
                <w:noProof/>
              </w:rPr>
              <w:t>Marketing, Education, and Outreach</w:t>
            </w:r>
            <w:r w:rsidR="00D712D6">
              <w:rPr>
                <w:noProof/>
                <w:webHidden/>
              </w:rPr>
              <w:tab/>
            </w:r>
            <w:r w:rsidR="00D712D6">
              <w:rPr>
                <w:noProof/>
                <w:webHidden/>
              </w:rPr>
              <w:fldChar w:fldCharType="begin"/>
            </w:r>
            <w:r w:rsidR="00D712D6">
              <w:rPr>
                <w:noProof/>
                <w:webHidden/>
              </w:rPr>
              <w:instrText xml:space="preserve"> PAGEREF _Toc160790048 \h </w:instrText>
            </w:r>
            <w:r w:rsidR="00D712D6">
              <w:rPr>
                <w:noProof/>
                <w:webHidden/>
              </w:rPr>
            </w:r>
            <w:r w:rsidR="00D712D6">
              <w:rPr>
                <w:noProof/>
                <w:webHidden/>
              </w:rPr>
              <w:fldChar w:fldCharType="separate"/>
            </w:r>
            <w:r w:rsidR="00FF7B59">
              <w:rPr>
                <w:noProof/>
                <w:webHidden/>
              </w:rPr>
              <w:t>90</w:t>
            </w:r>
            <w:r w:rsidR="00D712D6">
              <w:rPr>
                <w:noProof/>
                <w:webHidden/>
              </w:rPr>
              <w:fldChar w:fldCharType="end"/>
            </w:r>
          </w:hyperlink>
        </w:p>
        <w:p w:rsidR="00D712D6" w:rsidRDefault="00D941D8" w14:paraId="661C7953" w14:textId="4F3D2858">
          <w:pPr>
            <w:pStyle w:val="TOC2"/>
            <w:tabs>
              <w:tab w:val="right" w:leader="dot" w:pos="9350"/>
            </w:tabs>
            <w:rPr>
              <w:rFonts w:asciiTheme="minorHAnsi" w:hAnsiTheme="minorHAnsi" w:cstheme="minorBidi"/>
              <w:noProof/>
              <w:kern w:val="2"/>
              <w:sz w:val="24"/>
              <w:szCs w:val="24"/>
              <w14:ligatures w14:val="standardContextual"/>
            </w:rPr>
          </w:pPr>
          <w:hyperlink w:history="1" w:anchor="_Toc160790049">
            <w:r w:rsidRPr="00A94255" w:rsidR="00D712D6">
              <w:rPr>
                <w:rStyle w:val="Hyperlink"/>
                <w:noProof/>
              </w:rPr>
              <w:t>5.7.</w:t>
            </w:r>
            <w:r w:rsidR="00D712D6">
              <w:rPr>
                <w:rFonts w:asciiTheme="minorHAnsi" w:hAnsiTheme="minorHAnsi" w:cstheme="minorBidi"/>
                <w:noProof/>
                <w:kern w:val="2"/>
                <w:sz w:val="24"/>
                <w:szCs w:val="24"/>
                <w14:ligatures w14:val="standardContextual"/>
              </w:rPr>
              <w:tab/>
            </w:r>
            <w:r w:rsidRPr="00A94255" w:rsidR="00D712D6">
              <w:rPr>
                <w:rStyle w:val="Hyperlink"/>
                <w:noProof/>
              </w:rPr>
              <w:t>Adjustments to Address Revenue Imbalances</w:t>
            </w:r>
            <w:r w:rsidR="00D712D6">
              <w:rPr>
                <w:noProof/>
                <w:webHidden/>
              </w:rPr>
              <w:tab/>
            </w:r>
            <w:r w:rsidR="00D712D6">
              <w:rPr>
                <w:noProof/>
                <w:webHidden/>
              </w:rPr>
              <w:fldChar w:fldCharType="begin"/>
            </w:r>
            <w:r w:rsidR="00D712D6">
              <w:rPr>
                <w:noProof/>
                <w:webHidden/>
              </w:rPr>
              <w:instrText xml:space="preserve"> PAGEREF _Toc160790049 \h </w:instrText>
            </w:r>
            <w:r w:rsidR="00D712D6">
              <w:rPr>
                <w:noProof/>
                <w:webHidden/>
              </w:rPr>
            </w:r>
            <w:r w:rsidR="00D712D6">
              <w:rPr>
                <w:noProof/>
                <w:webHidden/>
              </w:rPr>
              <w:fldChar w:fldCharType="separate"/>
            </w:r>
            <w:r w:rsidR="00FF7B59">
              <w:rPr>
                <w:noProof/>
                <w:webHidden/>
              </w:rPr>
              <w:t>98</w:t>
            </w:r>
            <w:r w:rsidR="00D712D6">
              <w:rPr>
                <w:noProof/>
                <w:webHidden/>
              </w:rPr>
              <w:fldChar w:fldCharType="end"/>
            </w:r>
          </w:hyperlink>
        </w:p>
        <w:p w:rsidR="00D712D6" w:rsidRDefault="00D941D8" w14:paraId="6D6762BB" w14:textId="095A6725">
          <w:pPr>
            <w:pStyle w:val="TOC2"/>
            <w:tabs>
              <w:tab w:val="right" w:leader="dot" w:pos="9350"/>
            </w:tabs>
            <w:rPr>
              <w:rFonts w:asciiTheme="minorHAnsi" w:hAnsiTheme="minorHAnsi" w:cstheme="minorBidi"/>
              <w:noProof/>
              <w:kern w:val="2"/>
              <w:sz w:val="24"/>
              <w:szCs w:val="24"/>
              <w14:ligatures w14:val="standardContextual"/>
            </w:rPr>
          </w:pPr>
          <w:hyperlink w:history="1" w:anchor="_Toc160790050">
            <w:r w:rsidRPr="00A94255" w:rsidR="00D712D6">
              <w:rPr>
                <w:rStyle w:val="Hyperlink"/>
                <w:noProof/>
              </w:rPr>
              <w:t>5.8.</w:t>
            </w:r>
            <w:r w:rsidR="00D712D6">
              <w:rPr>
                <w:rFonts w:asciiTheme="minorHAnsi" w:hAnsiTheme="minorHAnsi" w:cstheme="minorBidi"/>
                <w:noProof/>
                <w:kern w:val="2"/>
                <w:sz w:val="24"/>
                <w:szCs w:val="24"/>
                <w14:ligatures w14:val="standardContextual"/>
              </w:rPr>
              <w:tab/>
            </w:r>
            <w:r w:rsidRPr="00A94255" w:rsidR="00D712D6">
              <w:rPr>
                <w:rStyle w:val="Hyperlink"/>
                <w:noProof/>
              </w:rPr>
              <w:t>Evaluation and Implementation Working Group</w:t>
            </w:r>
            <w:r w:rsidR="00D712D6">
              <w:rPr>
                <w:noProof/>
                <w:webHidden/>
              </w:rPr>
              <w:tab/>
            </w:r>
            <w:r w:rsidR="00D712D6">
              <w:rPr>
                <w:noProof/>
                <w:webHidden/>
              </w:rPr>
              <w:fldChar w:fldCharType="begin"/>
            </w:r>
            <w:r w:rsidR="00D712D6">
              <w:rPr>
                <w:noProof/>
                <w:webHidden/>
              </w:rPr>
              <w:instrText xml:space="preserve"> PAGEREF _Toc160790050 \h </w:instrText>
            </w:r>
            <w:r w:rsidR="00D712D6">
              <w:rPr>
                <w:noProof/>
                <w:webHidden/>
              </w:rPr>
            </w:r>
            <w:r w:rsidR="00D712D6">
              <w:rPr>
                <w:noProof/>
                <w:webHidden/>
              </w:rPr>
              <w:fldChar w:fldCharType="separate"/>
            </w:r>
            <w:r w:rsidR="00FF7B59">
              <w:rPr>
                <w:noProof/>
                <w:webHidden/>
              </w:rPr>
              <w:t>100</w:t>
            </w:r>
            <w:r w:rsidR="00D712D6">
              <w:rPr>
                <w:noProof/>
                <w:webHidden/>
              </w:rPr>
              <w:fldChar w:fldCharType="end"/>
            </w:r>
          </w:hyperlink>
        </w:p>
        <w:p w:rsidR="00D712D6" w:rsidRDefault="00D941D8" w14:paraId="32438A42" w14:textId="13A5FE15">
          <w:pPr>
            <w:pStyle w:val="TOC2"/>
            <w:tabs>
              <w:tab w:val="right" w:leader="dot" w:pos="9350"/>
            </w:tabs>
            <w:rPr>
              <w:rFonts w:asciiTheme="minorHAnsi" w:hAnsiTheme="minorHAnsi" w:cstheme="minorBidi"/>
              <w:noProof/>
              <w:kern w:val="2"/>
              <w:sz w:val="24"/>
              <w:szCs w:val="24"/>
              <w14:ligatures w14:val="standardContextual"/>
            </w:rPr>
          </w:pPr>
          <w:hyperlink w:history="1" w:anchor="_Toc160790051">
            <w:r w:rsidRPr="00A94255" w:rsidR="00D712D6">
              <w:rPr>
                <w:rStyle w:val="Hyperlink"/>
                <w:noProof/>
              </w:rPr>
              <w:t>5.9.</w:t>
            </w:r>
            <w:r w:rsidR="00D712D6">
              <w:rPr>
                <w:rFonts w:asciiTheme="minorHAnsi" w:hAnsiTheme="minorHAnsi" w:cstheme="minorBidi"/>
                <w:noProof/>
                <w:kern w:val="2"/>
                <w:sz w:val="24"/>
                <w:szCs w:val="24"/>
                <w14:ligatures w14:val="standardContextual"/>
              </w:rPr>
              <w:tab/>
            </w:r>
            <w:r w:rsidRPr="00A94255" w:rsidR="00D712D6">
              <w:rPr>
                <w:rStyle w:val="Hyperlink"/>
                <w:noProof/>
              </w:rPr>
              <w:t>Timing of Implementation</w:t>
            </w:r>
            <w:r w:rsidR="00D712D6">
              <w:rPr>
                <w:noProof/>
                <w:webHidden/>
              </w:rPr>
              <w:tab/>
            </w:r>
            <w:r w:rsidR="00D712D6">
              <w:rPr>
                <w:noProof/>
                <w:webHidden/>
              </w:rPr>
              <w:fldChar w:fldCharType="begin"/>
            </w:r>
            <w:r w:rsidR="00D712D6">
              <w:rPr>
                <w:noProof/>
                <w:webHidden/>
              </w:rPr>
              <w:instrText xml:space="preserve"> PAGEREF _Toc160790051 \h </w:instrText>
            </w:r>
            <w:r w:rsidR="00D712D6">
              <w:rPr>
                <w:noProof/>
                <w:webHidden/>
              </w:rPr>
            </w:r>
            <w:r w:rsidR="00D712D6">
              <w:rPr>
                <w:noProof/>
                <w:webHidden/>
              </w:rPr>
              <w:fldChar w:fldCharType="separate"/>
            </w:r>
            <w:r w:rsidR="00FF7B59">
              <w:rPr>
                <w:noProof/>
                <w:webHidden/>
              </w:rPr>
              <w:t>104</w:t>
            </w:r>
            <w:r w:rsidR="00D712D6">
              <w:rPr>
                <w:noProof/>
                <w:webHidden/>
              </w:rPr>
              <w:fldChar w:fldCharType="end"/>
            </w:r>
          </w:hyperlink>
        </w:p>
        <w:p w:rsidR="00D712D6" w:rsidRDefault="00D941D8" w14:paraId="641BD639" w14:textId="47AF0BCA">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60790052">
            <w:r w:rsidRPr="00A94255" w:rsidR="00D712D6">
              <w:rPr>
                <w:rStyle w:val="Hyperlink"/>
                <w:noProof/>
              </w:rPr>
              <w:t>5.10.</w:t>
            </w:r>
            <w:r w:rsidR="00D712D6">
              <w:rPr>
                <w:rFonts w:asciiTheme="minorHAnsi" w:hAnsiTheme="minorHAnsi" w:cstheme="minorBidi"/>
                <w:noProof/>
                <w:kern w:val="2"/>
                <w:sz w:val="24"/>
                <w:szCs w:val="24"/>
                <w14:ligatures w14:val="standardContextual"/>
              </w:rPr>
              <w:tab/>
            </w:r>
            <w:r w:rsidRPr="00A94255" w:rsidR="00D712D6">
              <w:rPr>
                <w:rStyle w:val="Hyperlink"/>
                <w:noProof/>
              </w:rPr>
              <w:t>Implementation Budget and Cost Recovery</w:t>
            </w:r>
            <w:r w:rsidR="00D712D6">
              <w:rPr>
                <w:noProof/>
                <w:webHidden/>
              </w:rPr>
              <w:tab/>
            </w:r>
            <w:r w:rsidR="00D712D6">
              <w:rPr>
                <w:noProof/>
                <w:webHidden/>
              </w:rPr>
              <w:fldChar w:fldCharType="begin"/>
            </w:r>
            <w:r w:rsidR="00D712D6">
              <w:rPr>
                <w:noProof/>
                <w:webHidden/>
              </w:rPr>
              <w:instrText xml:space="preserve"> PAGEREF _Toc160790052 \h </w:instrText>
            </w:r>
            <w:r w:rsidR="00D712D6">
              <w:rPr>
                <w:noProof/>
                <w:webHidden/>
              </w:rPr>
            </w:r>
            <w:r w:rsidR="00D712D6">
              <w:rPr>
                <w:noProof/>
                <w:webHidden/>
              </w:rPr>
              <w:fldChar w:fldCharType="separate"/>
            </w:r>
            <w:r w:rsidR="00FF7B59">
              <w:rPr>
                <w:noProof/>
                <w:webHidden/>
              </w:rPr>
              <w:t>108</w:t>
            </w:r>
            <w:r w:rsidR="00D712D6">
              <w:rPr>
                <w:noProof/>
                <w:webHidden/>
              </w:rPr>
              <w:fldChar w:fldCharType="end"/>
            </w:r>
          </w:hyperlink>
        </w:p>
        <w:p w:rsidR="00D712D6" w:rsidRDefault="00D941D8" w14:paraId="1AF63727" w14:textId="17C30F93">
          <w:pPr>
            <w:pStyle w:val="TOC1"/>
            <w:tabs>
              <w:tab w:val="right" w:leader="dot" w:pos="9350"/>
            </w:tabs>
            <w:rPr>
              <w:rFonts w:asciiTheme="minorHAnsi" w:hAnsiTheme="minorHAnsi" w:cstheme="minorBidi"/>
              <w:noProof/>
              <w:kern w:val="2"/>
              <w:sz w:val="24"/>
              <w:szCs w:val="24"/>
              <w14:ligatures w14:val="standardContextual"/>
            </w:rPr>
          </w:pPr>
          <w:hyperlink w:history="1" w:anchor="_Toc160790053">
            <w:r w:rsidRPr="00A94255" w:rsidR="00D712D6">
              <w:rPr>
                <w:rStyle w:val="Hyperlink"/>
                <w:noProof/>
              </w:rPr>
              <w:t>6.</w:t>
            </w:r>
            <w:r w:rsidR="00D712D6">
              <w:rPr>
                <w:rFonts w:asciiTheme="minorHAnsi" w:hAnsiTheme="minorHAnsi" w:cstheme="minorBidi"/>
                <w:noProof/>
                <w:kern w:val="2"/>
                <w:sz w:val="24"/>
                <w:szCs w:val="24"/>
                <w14:ligatures w14:val="standardContextual"/>
              </w:rPr>
              <w:tab/>
            </w:r>
            <w:r w:rsidRPr="00A94255" w:rsidR="00D712D6">
              <w:rPr>
                <w:rStyle w:val="Hyperlink"/>
                <w:noProof/>
              </w:rPr>
              <w:t>Whether to Approve the Small Utilities Settlement Agreement</w:t>
            </w:r>
            <w:r w:rsidR="00D712D6">
              <w:rPr>
                <w:noProof/>
                <w:webHidden/>
              </w:rPr>
              <w:tab/>
            </w:r>
            <w:r w:rsidR="00D712D6">
              <w:rPr>
                <w:noProof/>
                <w:webHidden/>
              </w:rPr>
              <w:fldChar w:fldCharType="begin"/>
            </w:r>
            <w:r w:rsidR="00D712D6">
              <w:rPr>
                <w:noProof/>
                <w:webHidden/>
              </w:rPr>
              <w:instrText xml:space="preserve"> PAGEREF _Toc160790053 \h </w:instrText>
            </w:r>
            <w:r w:rsidR="00D712D6">
              <w:rPr>
                <w:noProof/>
                <w:webHidden/>
              </w:rPr>
            </w:r>
            <w:r w:rsidR="00D712D6">
              <w:rPr>
                <w:noProof/>
                <w:webHidden/>
              </w:rPr>
              <w:fldChar w:fldCharType="separate"/>
            </w:r>
            <w:r w:rsidR="00FF7B59">
              <w:rPr>
                <w:noProof/>
                <w:webHidden/>
              </w:rPr>
              <w:t>116</w:t>
            </w:r>
            <w:r w:rsidR="00D712D6">
              <w:rPr>
                <w:noProof/>
                <w:webHidden/>
              </w:rPr>
              <w:fldChar w:fldCharType="end"/>
            </w:r>
          </w:hyperlink>
        </w:p>
        <w:p w:rsidR="00D712D6" w:rsidRDefault="00D941D8" w14:paraId="72AEA2F7" w14:textId="79516607">
          <w:pPr>
            <w:pStyle w:val="TOC2"/>
            <w:tabs>
              <w:tab w:val="right" w:leader="dot" w:pos="9350"/>
            </w:tabs>
            <w:rPr>
              <w:rFonts w:asciiTheme="minorHAnsi" w:hAnsiTheme="minorHAnsi" w:cstheme="minorBidi"/>
              <w:noProof/>
              <w:kern w:val="2"/>
              <w:sz w:val="24"/>
              <w:szCs w:val="24"/>
              <w14:ligatures w14:val="standardContextual"/>
            </w:rPr>
          </w:pPr>
          <w:hyperlink w:history="1" w:anchor="_Toc160790054">
            <w:r w:rsidRPr="00A94255" w:rsidR="00D712D6">
              <w:rPr>
                <w:rStyle w:val="Hyperlink"/>
                <w:noProof/>
              </w:rPr>
              <w:t>6.1.</w:t>
            </w:r>
            <w:r w:rsidR="00D712D6">
              <w:rPr>
                <w:rFonts w:asciiTheme="minorHAnsi" w:hAnsiTheme="minorHAnsi" w:cstheme="minorBidi"/>
                <w:noProof/>
                <w:kern w:val="2"/>
                <w:sz w:val="24"/>
                <w:szCs w:val="24"/>
                <w14:ligatures w14:val="standardContextual"/>
              </w:rPr>
              <w:tab/>
            </w:r>
            <w:r w:rsidRPr="00A94255" w:rsidR="00D712D6">
              <w:rPr>
                <w:rStyle w:val="Hyperlink"/>
                <w:noProof/>
              </w:rPr>
              <w:t>Income Tiers and Income Verification</w:t>
            </w:r>
            <w:r w:rsidR="00D712D6">
              <w:rPr>
                <w:noProof/>
                <w:webHidden/>
              </w:rPr>
              <w:tab/>
            </w:r>
            <w:r w:rsidR="00D712D6">
              <w:rPr>
                <w:noProof/>
                <w:webHidden/>
              </w:rPr>
              <w:fldChar w:fldCharType="begin"/>
            </w:r>
            <w:r w:rsidR="00D712D6">
              <w:rPr>
                <w:noProof/>
                <w:webHidden/>
              </w:rPr>
              <w:instrText xml:space="preserve"> PAGEREF _Toc160790054 \h </w:instrText>
            </w:r>
            <w:r w:rsidR="00D712D6">
              <w:rPr>
                <w:noProof/>
                <w:webHidden/>
              </w:rPr>
            </w:r>
            <w:r w:rsidR="00D712D6">
              <w:rPr>
                <w:noProof/>
                <w:webHidden/>
              </w:rPr>
              <w:fldChar w:fldCharType="separate"/>
            </w:r>
            <w:r w:rsidR="00FF7B59">
              <w:rPr>
                <w:noProof/>
                <w:webHidden/>
              </w:rPr>
              <w:t>119</w:t>
            </w:r>
            <w:r w:rsidR="00D712D6">
              <w:rPr>
                <w:noProof/>
                <w:webHidden/>
              </w:rPr>
              <w:fldChar w:fldCharType="end"/>
            </w:r>
          </w:hyperlink>
        </w:p>
        <w:p w:rsidR="00D712D6" w:rsidRDefault="00D941D8" w14:paraId="30AEC8BB" w14:textId="783D2364">
          <w:pPr>
            <w:pStyle w:val="TOC2"/>
            <w:tabs>
              <w:tab w:val="right" w:leader="dot" w:pos="9350"/>
            </w:tabs>
            <w:rPr>
              <w:rFonts w:asciiTheme="minorHAnsi" w:hAnsiTheme="minorHAnsi" w:cstheme="minorBidi"/>
              <w:noProof/>
              <w:kern w:val="2"/>
              <w:sz w:val="24"/>
              <w:szCs w:val="24"/>
              <w14:ligatures w14:val="standardContextual"/>
            </w:rPr>
          </w:pPr>
          <w:hyperlink w:history="1" w:anchor="_Toc160790055">
            <w:r w:rsidRPr="00A94255" w:rsidR="00D712D6">
              <w:rPr>
                <w:rStyle w:val="Hyperlink"/>
                <w:noProof/>
              </w:rPr>
              <w:t>6.2.</w:t>
            </w:r>
            <w:r w:rsidR="00D712D6">
              <w:rPr>
                <w:rFonts w:asciiTheme="minorHAnsi" w:hAnsiTheme="minorHAnsi" w:cstheme="minorBidi"/>
                <w:noProof/>
                <w:kern w:val="2"/>
                <w:sz w:val="24"/>
                <w:szCs w:val="24"/>
                <w14:ligatures w14:val="standardContextual"/>
              </w:rPr>
              <w:tab/>
            </w:r>
            <w:r w:rsidRPr="00A94255" w:rsidR="00D712D6">
              <w:rPr>
                <w:rStyle w:val="Hyperlink"/>
                <w:noProof/>
              </w:rPr>
              <w:t>Fixed Costs and Fixed Charge Levels</w:t>
            </w:r>
            <w:r w:rsidR="00D712D6">
              <w:rPr>
                <w:noProof/>
                <w:webHidden/>
              </w:rPr>
              <w:tab/>
            </w:r>
            <w:r w:rsidR="00D712D6">
              <w:rPr>
                <w:noProof/>
                <w:webHidden/>
              </w:rPr>
              <w:fldChar w:fldCharType="begin"/>
            </w:r>
            <w:r w:rsidR="00D712D6">
              <w:rPr>
                <w:noProof/>
                <w:webHidden/>
              </w:rPr>
              <w:instrText xml:space="preserve"> PAGEREF _Toc160790055 \h </w:instrText>
            </w:r>
            <w:r w:rsidR="00D712D6">
              <w:rPr>
                <w:noProof/>
                <w:webHidden/>
              </w:rPr>
            </w:r>
            <w:r w:rsidR="00D712D6">
              <w:rPr>
                <w:noProof/>
                <w:webHidden/>
              </w:rPr>
              <w:fldChar w:fldCharType="separate"/>
            </w:r>
            <w:r w:rsidR="00FF7B59">
              <w:rPr>
                <w:noProof/>
                <w:webHidden/>
              </w:rPr>
              <w:t>123</w:t>
            </w:r>
            <w:r w:rsidR="00D712D6">
              <w:rPr>
                <w:noProof/>
                <w:webHidden/>
              </w:rPr>
              <w:fldChar w:fldCharType="end"/>
            </w:r>
          </w:hyperlink>
        </w:p>
        <w:p w:rsidR="00D712D6" w:rsidRDefault="00D941D8" w14:paraId="3C577019" w14:textId="4001C2D1">
          <w:pPr>
            <w:pStyle w:val="TOC2"/>
            <w:tabs>
              <w:tab w:val="right" w:leader="dot" w:pos="9350"/>
            </w:tabs>
            <w:rPr>
              <w:rFonts w:asciiTheme="minorHAnsi" w:hAnsiTheme="minorHAnsi" w:cstheme="minorBidi"/>
              <w:noProof/>
              <w:kern w:val="2"/>
              <w:sz w:val="24"/>
              <w:szCs w:val="24"/>
              <w14:ligatures w14:val="standardContextual"/>
            </w:rPr>
          </w:pPr>
          <w:hyperlink w:history="1" w:anchor="_Toc160790056">
            <w:r w:rsidRPr="00A94255" w:rsidR="00D712D6">
              <w:rPr>
                <w:rStyle w:val="Hyperlink"/>
                <w:noProof/>
              </w:rPr>
              <w:t>6.3.</w:t>
            </w:r>
            <w:r w:rsidR="00D712D6">
              <w:rPr>
                <w:rFonts w:asciiTheme="minorHAnsi" w:hAnsiTheme="minorHAnsi" w:cstheme="minorBidi"/>
                <w:noProof/>
                <w:kern w:val="2"/>
                <w:sz w:val="24"/>
                <w:szCs w:val="24"/>
                <w14:ligatures w14:val="standardContextual"/>
              </w:rPr>
              <w:tab/>
            </w:r>
            <w:r w:rsidRPr="00A94255" w:rsidR="00D712D6">
              <w:rPr>
                <w:rStyle w:val="Hyperlink"/>
                <w:noProof/>
              </w:rPr>
              <w:t>Small and Large Customer Differentiation</w:t>
            </w:r>
            <w:r w:rsidR="00D712D6">
              <w:rPr>
                <w:noProof/>
                <w:webHidden/>
              </w:rPr>
              <w:tab/>
            </w:r>
            <w:r w:rsidR="00D712D6">
              <w:rPr>
                <w:noProof/>
                <w:webHidden/>
              </w:rPr>
              <w:fldChar w:fldCharType="begin"/>
            </w:r>
            <w:r w:rsidR="00D712D6">
              <w:rPr>
                <w:noProof/>
                <w:webHidden/>
              </w:rPr>
              <w:instrText xml:space="preserve"> PAGEREF _Toc160790056 \h </w:instrText>
            </w:r>
            <w:r w:rsidR="00D712D6">
              <w:rPr>
                <w:noProof/>
                <w:webHidden/>
              </w:rPr>
            </w:r>
            <w:r w:rsidR="00D712D6">
              <w:rPr>
                <w:noProof/>
                <w:webHidden/>
              </w:rPr>
              <w:fldChar w:fldCharType="separate"/>
            </w:r>
            <w:r w:rsidR="00FF7B59">
              <w:rPr>
                <w:noProof/>
                <w:webHidden/>
              </w:rPr>
              <w:t>130</w:t>
            </w:r>
            <w:r w:rsidR="00D712D6">
              <w:rPr>
                <w:noProof/>
                <w:webHidden/>
              </w:rPr>
              <w:fldChar w:fldCharType="end"/>
            </w:r>
          </w:hyperlink>
        </w:p>
        <w:p w:rsidR="00D712D6" w:rsidRDefault="00D941D8" w14:paraId="01743179" w14:textId="53334D62">
          <w:pPr>
            <w:pStyle w:val="TOC2"/>
            <w:tabs>
              <w:tab w:val="right" w:leader="dot" w:pos="9350"/>
            </w:tabs>
            <w:rPr>
              <w:rFonts w:asciiTheme="minorHAnsi" w:hAnsiTheme="minorHAnsi" w:cstheme="minorBidi"/>
              <w:noProof/>
              <w:kern w:val="2"/>
              <w:sz w:val="24"/>
              <w:szCs w:val="24"/>
              <w14:ligatures w14:val="standardContextual"/>
            </w:rPr>
          </w:pPr>
          <w:hyperlink w:history="1" w:anchor="_Toc160790057">
            <w:r w:rsidRPr="00A94255" w:rsidR="00D712D6">
              <w:rPr>
                <w:rStyle w:val="Hyperlink"/>
                <w:noProof/>
              </w:rPr>
              <w:t>6.4.</w:t>
            </w:r>
            <w:r w:rsidR="00D712D6">
              <w:rPr>
                <w:rFonts w:asciiTheme="minorHAnsi" w:hAnsiTheme="minorHAnsi" w:cstheme="minorBidi"/>
                <w:noProof/>
                <w:kern w:val="2"/>
                <w:sz w:val="24"/>
                <w:szCs w:val="24"/>
                <w14:ligatures w14:val="standardContextual"/>
              </w:rPr>
              <w:tab/>
            </w:r>
            <w:r w:rsidRPr="00A94255" w:rsidR="00D712D6">
              <w:rPr>
                <w:rStyle w:val="Hyperlink"/>
                <w:noProof/>
              </w:rPr>
              <w:t>Rate Adjustments</w:t>
            </w:r>
            <w:r w:rsidR="00D712D6">
              <w:rPr>
                <w:noProof/>
                <w:webHidden/>
              </w:rPr>
              <w:tab/>
            </w:r>
            <w:r w:rsidR="00D712D6">
              <w:rPr>
                <w:noProof/>
                <w:webHidden/>
              </w:rPr>
              <w:fldChar w:fldCharType="begin"/>
            </w:r>
            <w:r w:rsidR="00D712D6">
              <w:rPr>
                <w:noProof/>
                <w:webHidden/>
              </w:rPr>
              <w:instrText xml:space="preserve"> PAGEREF _Toc160790057 \h </w:instrText>
            </w:r>
            <w:r w:rsidR="00D712D6">
              <w:rPr>
                <w:noProof/>
                <w:webHidden/>
              </w:rPr>
            </w:r>
            <w:r w:rsidR="00D712D6">
              <w:rPr>
                <w:noProof/>
                <w:webHidden/>
              </w:rPr>
              <w:fldChar w:fldCharType="separate"/>
            </w:r>
            <w:r w:rsidR="00FF7B59">
              <w:rPr>
                <w:noProof/>
                <w:webHidden/>
              </w:rPr>
              <w:t>131</w:t>
            </w:r>
            <w:r w:rsidR="00D712D6">
              <w:rPr>
                <w:noProof/>
                <w:webHidden/>
              </w:rPr>
              <w:fldChar w:fldCharType="end"/>
            </w:r>
          </w:hyperlink>
        </w:p>
        <w:p w:rsidR="00D712D6" w:rsidRDefault="00D941D8" w14:paraId="619A9FE2" w14:textId="33BCB66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60790058">
            <w:r w:rsidRPr="00A94255" w:rsidR="00D712D6">
              <w:rPr>
                <w:rStyle w:val="Hyperlink"/>
                <w:noProof/>
              </w:rPr>
              <w:t>6.4.1.</w:t>
            </w:r>
            <w:r w:rsidR="00D712D6">
              <w:rPr>
                <w:rFonts w:asciiTheme="minorHAnsi" w:hAnsiTheme="minorHAnsi" w:cstheme="minorBidi"/>
                <w:noProof/>
                <w:kern w:val="2"/>
                <w:sz w:val="24"/>
                <w:szCs w:val="24"/>
                <w14:ligatures w14:val="standardContextual"/>
              </w:rPr>
              <w:tab/>
            </w:r>
            <w:r w:rsidRPr="00A94255" w:rsidR="00D712D6">
              <w:rPr>
                <w:rStyle w:val="Hyperlink"/>
                <w:noProof/>
              </w:rPr>
              <w:t>Volumetric Rate Adjustments</w:t>
            </w:r>
            <w:r w:rsidR="00D712D6">
              <w:rPr>
                <w:noProof/>
                <w:webHidden/>
              </w:rPr>
              <w:tab/>
            </w:r>
            <w:r w:rsidR="00D712D6">
              <w:rPr>
                <w:noProof/>
                <w:webHidden/>
              </w:rPr>
              <w:fldChar w:fldCharType="begin"/>
            </w:r>
            <w:r w:rsidR="00D712D6">
              <w:rPr>
                <w:noProof/>
                <w:webHidden/>
              </w:rPr>
              <w:instrText xml:space="preserve"> PAGEREF _Toc160790058 \h </w:instrText>
            </w:r>
            <w:r w:rsidR="00D712D6">
              <w:rPr>
                <w:noProof/>
                <w:webHidden/>
              </w:rPr>
            </w:r>
            <w:r w:rsidR="00D712D6">
              <w:rPr>
                <w:noProof/>
                <w:webHidden/>
              </w:rPr>
              <w:fldChar w:fldCharType="separate"/>
            </w:r>
            <w:r w:rsidR="00FF7B59">
              <w:rPr>
                <w:noProof/>
                <w:webHidden/>
              </w:rPr>
              <w:t>131</w:t>
            </w:r>
            <w:r w:rsidR="00D712D6">
              <w:rPr>
                <w:noProof/>
                <w:webHidden/>
              </w:rPr>
              <w:fldChar w:fldCharType="end"/>
            </w:r>
          </w:hyperlink>
        </w:p>
        <w:p w:rsidR="00D712D6" w:rsidRDefault="00D941D8" w14:paraId="03F49266" w14:textId="44DDF8A8">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60790059">
            <w:r w:rsidRPr="00A94255" w:rsidR="00D712D6">
              <w:rPr>
                <w:rStyle w:val="Hyperlink"/>
                <w:noProof/>
              </w:rPr>
              <w:t>6.4.2.</w:t>
            </w:r>
            <w:r w:rsidR="00D712D6">
              <w:rPr>
                <w:rFonts w:asciiTheme="minorHAnsi" w:hAnsiTheme="minorHAnsi" w:cstheme="minorBidi"/>
                <w:noProof/>
                <w:kern w:val="2"/>
                <w:sz w:val="24"/>
                <w:szCs w:val="24"/>
                <w14:ligatures w14:val="standardContextual"/>
              </w:rPr>
              <w:tab/>
            </w:r>
            <w:r w:rsidRPr="00A94255" w:rsidR="00D712D6">
              <w:rPr>
                <w:rStyle w:val="Hyperlink"/>
                <w:noProof/>
              </w:rPr>
              <w:t>CARE Adjustments</w:t>
            </w:r>
            <w:r w:rsidR="00D712D6">
              <w:rPr>
                <w:noProof/>
                <w:webHidden/>
              </w:rPr>
              <w:tab/>
            </w:r>
            <w:r w:rsidR="00D712D6">
              <w:rPr>
                <w:noProof/>
                <w:webHidden/>
              </w:rPr>
              <w:fldChar w:fldCharType="begin"/>
            </w:r>
            <w:r w:rsidR="00D712D6">
              <w:rPr>
                <w:noProof/>
                <w:webHidden/>
              </w:rPr>
              <w:instrText xml:space="preserve"> PAGEREF _Toc160790059 \h </w:instrText>
            </w:r>
            <w:r w:rsidR="00D712D6">
              <w:rPr>
                <w:noProof/>
                <w:webHidden/>
              </w:rPr>
            </w:r>
            <w:r w:rsidR="00D712D6">
              <w:rPr>
                <w:noProof/>
                <w:webHidden/>
              </w:rPr>
              <w:fldChar w:fldCharType="separate"/>
            </w:r>
            <w:r w:rsidR="00FF7B59">
              <w:rPr>
                <w:noProof/>
                <w:webHidden/>
              </w:rPr>
              <w:t>132</w:t>
            </w:r>
            <w:r w:rsidR="00D712D6">
              <w:rPr>
                <w:noProof/>
                <w:webHidden/>
              </w:rPr>
              <w:fldChar w:fldCharType="end"/>
            </w:r>
          </w:hyperlink>
        </w:p>
        <w:p w:rsidR="00D712D6" w:rsidRDefault="00D941D8" w14:paraId="58A10435" w14:textId="15B57489">
          <w:pPr>
            <w:pStyle w:val="TOC2"/>
            <w:tabs>
              <w:tab w:val="right" w:leader="dot" w:pos="9350"/>
            </w:tabs>
            <w:rPr>
              <w:rFonts w:asciiTheme="minorHAnsi" w:hAnsiTheme="minorHAnsi" w:cstheme="minorBidi"/>
              <w:noProof/>
              <w:kern w:val="2"/>
              <w:sz w:val="24"/>
              <w:szCs w:val="24"/>
              <w14:ligatures w14:val="standardContextual"/>
            </w:rPr>
          </w:pPr>
          <w:hyperlink w:history="1" w:anchor="_Toc160790060">
            <w:r w:rsidRPr="00A94255" w:rsidR="00D712D6">
              <w:rPr>
                <w:rStyle w:val="Hyperlink"/>
                <w:noProof/>
              </w:rPr>
              <w:t>6.5.</w:t>
            </w:r>
            <w:r w:rsidR="00D712D6">
              <w:rPr>
                <w:rFonts w:asciiTheme="minorHAnsi" w:hAnsiTheme="minorHAnsi" w:cstheme="minorBidi"/>
                <w:noProof/>
                <w:kern w:val="2"/>
                <w:sz w:val="24"/>
                <w:szCs w:val="24"/>
                <w14:ligatures w14:val="standardContextual"/>
              </w:rPr>
              <w:tab/>
            </w:r>
            <w:r w:rsidRPr="00A94255" w:rsidR="00D712D6">
              <w:rPr>
                <w:rStyle w:val="Hyperlink"/>
                <w:noProof/>
              </w:rPr>
              <w:t>Optional Rates and Master-Metered Rates</w:t>
            </w:r>
            <w:r w:rsidR="00D712D6">
              <w:rPr>
                <w:noProof/>
                <w:webHidden/>
              </w:rPr>
              <w:tab/>
            </w:r>
            <w:r w:rsidR="00D712D6">
              <w:rPr>
                <w:noProof/>
                <w:webHidden/>
              </w:rPr>
              <w:fldChar w:fldCharType="begin"/>
            </w:r>
            <w:r w:rsidR="00D712D6">
              <w:rPr>
                <w:noProof/>
                <w:webHidden/>
              </w:rPr>
              <w:instrText xml:space="preserve"> PAGEREF _Toc160790060 \h </w:instrText>
            </w:r>
            <w:r w:rsidR="00D712D6">
              <w:rPr>
                <w:noProof/>
                <w:webHidden/>
              </w:rPr>
            </w:r>
            <w:r w:rsidR="00D712D6">
              <w:rPr>
                <w:noProof/>
                <w:webHidden/>
              </w:rPr>
              <w:fldChar w:fldCharType="separate"/>
            </w:r>
            <w:r w:rsidR="00FF7B59">
              <w:rPr>
                <w:noProof/>
                <w:webHidden/>
              </w:rPr>
              <w:t>133</w:t>
            </w:r>
            <w:r w:rsidR="00D712D6">
              <w:rPr>
                <w:noProof/>
                <w:webHidden/>
              </w:rPr>
              <w:fldChar w:fldCharType="end"/>
            </w:r>
          </w:hyperlink>
        </w:p>
        <w:p w:rsidR="00D712D6" w:rsidRDefault="00D941D8" w14:paraId="342B4517" w14:textId="71F2D1F9">
          <w:pPr>
            <w:pStyle w:val="TOC2"/>
            <w:tabs>
              <w:tab w:val="right" w:leader="dot" w:pos="9350"/>
            </w:tabs>
            <w:rPr>
              <w:rFonts w:asciiTheme="minorHAnsi" w:hAnsiTheme="minorHAnsi" w:cstheme="minorBidi"/>
              <w:noProof/>
              <w:kern w:val="2"/>
              <w:sz w:val="24"/>
              <w:szCs w:val="24"/>
              <w14:ligatures w14:val="standardContextual"/>
            </w:rPr>
          </w:pPr>
          <w:hyperlink w:history="1" w:anchor="_Toc160790061">
            <w:r w:rsidRPr="00A94255" w:rsidR="00D712D6">
              <w:rPr>
                <w:rStyle w:val="Hyperlink"/>
                <w:noProof/>
              </w:rPr>
              <w:t>6.6.</w:t>
            </w:r>
            <w:r w:rsidR="00D712D6">
              <w:rPr>
                <w:rFonts w:asciiTheme="minorHAnsi" w:hAnsiTheme="minorHAnsi" w:cstheme="minorBidi"/>
                <w:noProof/>
                <w:kern w:val="2"/>
                <w:sz w:val="24"/>
                <w:szCs w:val="24"/>
                <w14:ligatures w14:val="standardContextual"/>
              </w:rPr>
              <w:tab/>
            </w:r>
            <w:r w:rsidRPr="00A94255" w:rsidR="00D712D6">
              <w:rPr>
                <w:rStyle w:val="Hyperlink"/>
                <w:noProof/>
              </w:rPr>
              <w:t>Marketing, Education, and Outreach</w:t>
            </w:r>
            <w:r w:rsidR="00D712D6">
              <w:rPr>
                <w:noProof/>
                <w:webHidden/>
              </w:rPr>
              <w:tab/>
            </w:r>
            <w:r w:rsidR="00D712D6">
              <w:rPr>
                <w:noProof/>
                <w:webHidden/>
              </w:rPr>
              <w:fldChar w:fldCharType="begin"/>
            </w:r>
            <w:r w:rsidR="00D712D6">
              <w:rPr>
                <w:noProof/>
                <w:webHidden/>
              </w:rPr>
              <w:instrText xml:space="preserve"> PAGEREF _Toc160790061 \h </w:instrText>
            </w:r>
            <w:r w:rsidR="00D712D6">
              <w:rPr>
                <w:noProof/>
                <w:webHidden/>
              </w:rPr>
            </w:r>
            <w:r w:rsidR="00D712D6">
              <w:rPr>
                <w:noProof/>
                <w:webHidden/>
              </w:rPr>
              <w:fldChar w:fldCharType="separate"/>
            </w:r>
            <w:r w:rsidR="00FF7B59">
              <w:rPr>
                <w:noProof/>
                <w:webHidden/>
              </w:rPr>
              <w:t>134</w:t>
            </w:r>
            <w:r w:rsidR="00D712D6">
              <w:rPr>
                <w:noProof/>
                <w:webHidden/>
              </w:rPr>
              <w:fldChar w:fldCharType="end"/>
            </w:r>
          </w:hyperlink>
        </w:p>
        <w:p w:rsidR="00D712D6" w:rsidRDefault="00D941D8" w14:paraId="7B06430B" w14:textId="1B40FC2F">
          <w:pPr>
            <w:pStyle w:val="TOC2"/>
            <w:tabs>
              <w:tab w:val="right" w:leader="dot" w:pos="9350"/>
            </w:tabs>
            <w:rPr>
              <w:rFonts w:asciiTheme="minorHAnsi" w:hAnsiTheme="minorHAnsi" w:cstheme="minorBidi"/>
              <w:noProof/>
              <w:kern w:val="2"/>
              <w:sz w:val="24"/>
              <w:szCs w:val="24"/>
              <w14:ligatures w14:val="standardContextual"/>
            </w:rPr>
          </w:pPr>
          <w:hyperlink w:history="1" w:anchor="_Toc160790062">
            <w:r w:rsidRPr="00A94255" w:rsidR="00D712D6">
              <w:rPr>
                <w:rStyle w:val="Hyperlink"/>
                <w:noProof/>
              </w:rPr>
              <w:t>6.7.</w:t>
            </w:r>
            <w:r w:rsidR="00D712D6">
              <w:rPr>
                <w:rFonts w:asciiTheme="minorHAnsi" w:hAnsiTheme="minorHAnsi" w:cstheme="minorBidi"/>
                <w:noProof/>
                <w:kern w:val="2"/>
                <w:sz w:val="24"/>
                <w:szCs w:val="24"/>
                <w14:ligatures w14:val="standardContextual"/>
              </w:rPr>
              <w:tab/>
            </w:r>
            <w:r w:rsidRPr="00A94255" w:rsidR="00D712D6">
              <w:rPr>
                <w:rStyle w:val="Hyperlink"/>
                <w:noProof/>
              </w:rPr>
              <w:t>Revenue Shortfalls and Overcollection</w:t>
            </w:r>
            <w:r w:rsidR="00D712D6">
              <w:rPr>
                <w:noProof/>
                <w:webHidden/>
              </w:rPr>
              <w:tab/>
            </w:r>
            <w:r w:rsidR="00D712D6">
              <w:rPr>
                <w:noProof/>
                <w:webHidden/>
              </w:rPr>
              <w:fldChar w:fldCharType="begin"/>
            </w:r>
            <w:r w:rsidR="00D712D6">
              <w:rPr>
                <w:noProof/>
                <w:webHidden/>
              </w:rPr>
              <w:instrText xml:space="preserve"> PAGEREF _Toc160790062 \h </w:instrText>
            </w:r>
            <w:r w:rsidR="00D712D6">
              <w:rPr>
                <w:noProof/>
                <w:webHidden/>
              </w:rPr>
            </w:r>
            <w:r w:rsidR="00D712D6">
              <w:rPr>
                <w:noProof/>
                <w:webHidden/>
              </w:rPr>
              <w:fldChar w:fldCharType="separate"/>
            </w:r>
            <w:r w:rsidR="00FF7B59">
              <w:rPr>
                <w:noProof/>
                <w:webHidden/>
              </w:rPr>
              <w:t>135</w:t>
            </w:r>
            <w:r w:rsidR="00D712D6">
              <w:rPr>
                <w:noProof/>
                <w:webHidden/>
              </w:rPr>
              <w:fldChar w:fldCharType="end"/>
            </w:r>
          </w:hyperlink>
        </w:p>
        <w:p w:rsidR="00D712D6" w:rsidRDefault="00D941D8" w14:paraId="3A46E5F9" w14:textId="45F2599B">
          <w:pPr>
            <w:pStyle w:val="TOC2"/>
            <w:tabs>
              <w:tab w:val="right" w:leader="dot" w:pos="9350"/>
            </w:tabs>
            <w:rPr>
              <w:rFonts w:asciiTheme="minorHAnsi" w:hAnsiTheme="minorHAnsi" w:cstheme="minorBidi"/>
              <w:noProof/>
              <w:kern w:val="2"/>
              <w:sz w:val="24"/>
              <w:szCs w:val="24"/>
              <w14:ligatures w14:val="standardContextual"/>
            </w:rPr>
          </w:pPr>
          <w:hyperlink w:history="1" w:anchor="_Toc160790063">
            <w:r w:rsidRPr="00A94255" w:rsidR="00D712D6">
              <w:rPr>
                <w:rStyle w:val="Hyperlink"/>
                <w:noProof/>
              </w:rPr>
              <w:t>6.8.</w:t>
            </w:r>
            <w:r w:rsidR="00D712D6">
              <w:rPr>
                <w:rFonts w:asciiTheme="minorHAnsi" w:hAnsiTheme="minorHAnsi" w:cstheme="minorBidi"/>
                <w:noProof/>
                <w:kern w:val="2"/>
                <w:sz w:val="24"/>
                <w:szCs w:val="24"/>
                <w14:ligatures w14:val="standardContextual"/>
              </w:rPr>
              <w:tab/>
            </w:r>
            <w:r w:rsidRPr="00A94255" w:rsidR="00D712D6">
              <w:rPr>
                <w:rStyle w:val="Hyperlink"/>
                <w:noProof/>
              </w:rPr>
              <w:t>Metrics and Evaluation</w:t>
            </w:r>
            <w:r w:rsidR="00D712D6">
              <w:rPr>
                <w:noProof/>
                <w:webHidden/>
              </w:rPr>
              <w:tab/>
            </w:r>
            <w:r w:rsidR="00D712D6">
              <w:rPr>
                <w:noProof/>
                <w:webHidden/>
              </w:rPr>
              <w:fldChar w:fldCharType="begin"/>
            </w:r>
            <w:r w:rsidR="00D712D6">
              <w:rPr>
                <w:noProof/>
                <w:webHidden/>
              </w:rPr>
              <w:instrText xml:space="preserve"> PAGEREF _Toc160790063 \h </w:instrText>
            </w:r>
            <w:r w:rsidR="00D712D6">
              <w:rPr>
                <w:noProof/>
                <w:webHidden/>
              </w:rPr>
            </w:r>
            <w:r w:rsidR="00D712D6">
              <w:rPr>
                <w:noProof/>
                <w:webHidden/>
              </w:rPr>
              <w:fldChar w:fldCharType="separate"/>
            </w:r>
            <w:r w:rsidR="00FF7B59">
              <w:rPr>
                <w:noProof/>
                <w:webHidden/>
              </w:rPr>
              <w:t>139</w:t>
            </w:r>
            <w:r w:rsidR="00D712D6">
              <w:rPr>
                <w:noProof/>
                <w:webHidden/>
              </w:rPr>
              <w:fldChar w:fldCharType="end"/>
            </w:r>
          </w:hyperlink>
        </w:p>
        <w:p w:rsidR="00D712D6" w:rsidRDefault="00D941D8" w14:paraId="4CF1475D" w14:textId="11FCF324">
          <w:pPr>
            <w:pStyle w:val="TOC2"/>
            <w:tabs>
              <w:tab w:val="right" w:leader="dot" w:pos="9350"/>
            </w:tabs>
            <w:rPr>
              <w:rFonts w:asciiTheme="minorHAnsi" w:hAnsiTheme="minorHAnsi" w:cstheme="minorBidi"/>
              <w:noProof/>
              <w:kern w:val="2"/>
              <w:sz w:val="24"/>
              <w:szCs w:val="24"/>
              <w14:ligatures w14:val="standardContextual"/>
            </w:rPr>
          </w:pPr>
          <w:hyperlink w:history="1" w:anchor="_Toc160790064">
            <w:r w:rsidRPr="00A94255" w:rsidR="00D712D6">
              <w:rPr>
                <w:rStyle w:val="Hyperlink"/>
                <w:noProof/>
              </w:rPr>
              <w:t>6.9.</w:t>
            </w:r>
            <w:r w:rsidR="00D712D6">
              <w:rPr>
                <w:rFonts w:asciiTheme="minorHAnsi" w:hAnsiTheme="minorHAnsi" w:cstheme="minorBidi"/>
                <w:noProof/>
                <w:kern w:val="2"/>
                <w:sz w:val="24"/>
                <w:szCs w:val="24"/>
                <w14:ligatures w14:val="standardContextual"/>
              </w:rPr>
              <w:tab/>
            </w:r>
            <w:r w:rsidRPr="00A94255" w:rsidR="00D712D6">
              <w:rPr>
                <w:rStyle w:val="Hyperlink"/>
                <w:noProof/>
              </w:rPr>
              <w:t>Implementation Costs</w:t>
            </w:r>
            <w:r w:rsidR="00D712D6">
              <w:rPr>
                <w:noProof/>
                <w:webHidden/>
              </w:rPr>
              <w:tab/>
            </w:r>
            <w:r w:rsidR="00D712D6">
              <w:rPr>
                <w:noProof/>
                <w:webHidden/>
              </w:rPr>
              <w:fldChar w:fldCharType="begin"/>
            </w:r>
            <w:r w:rsidR="00D712D6">
              <w:rPr>
                <w:noProof/>
                <w:webHidden/>
              </w:rPr>
              <w:instrText xml:space="preserve"> PAGEREF _Toc160790064 \h </w:instrText>
            </w:r>
            <w:r w:rsidR="00D712D6">
              <w:rPr>
                <w:noProof/>
                <w:webHidden/>
              </w:rPr>
            </w:r>
            <w:r w:rsidR="00D712D6">
              <w:rPr>
                <w:noProof/>
                <w:webHidden/>
              </w:rPr>
              <w:fldChar w:fldCharType="separate"/>
            </w:r>
            <w:r w:rsidR="00FF7B59">
              <w:rPr>
                <w:noProof/>
                <w:webHidden/>
              </w:rPr>
              <w:t>140</w:t>
            </w:r>
            <w:r w:rsidR="00D712D6">
              <w:rPr>
                <w:noProof/>
                <w:webHidden/>
              </w:rPr>
              <w:fldChar w:fldCharType="end"/>
            </w:r>
          </w:hyperlink>
        </w:p>
        <w:p w:rsidR="00D712D6" w:rsidRDefault="00D941D8" w14:paraId="5F4BA6AE" w14:textId="4DCD8AAB">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60790065">
            <w:r w:rsidRPr="00A94255" w:rsidR="00D712D6">
              <w:rPr>
                <w:rStyle w:val="Hyperlink"/>
                <w:noProof/>
              </w:rPr>
              <w:t>6.10.</w:t>
            </w:r>
            <w:r w:rsidR="00D712D6">
              <w:rPr>
                <w:rFonts w:asciiTheme="minorHAnsi" w:hAnsiTheme="minorHAnsi" w:cstheme="minorBidi"/>
                <w:noProof/>
                <w:kern w:val="2"/>
                <w:sz w:val="24"/>
                <w:szCs w:val="24"/>
                <w14:ligatures w14:val="standardContextual"/>
              </w:rPr>
              <w:tab/>
            </w:r>
            <w:r w:rsidRPr="00A94255" w:rsidR="00D712D6">
              <w:rPr>
                <w:rStyle w:val="Hyperlink"/>
                <w:noProof/>
              </w:rPr>
              <w:t>Timing of Implementation</w:t>
            </w:r>
            <w:r w:rsidR="00D712D6">
              <w:rPr>
                <w:noProof/>
                <w:webHidden/>
              </w:rPr>
              <w:tab/>
            </w:r>
            <w:r w:rsidR="00D712D6">
              <w:rPr>
                <w:noProof/>
                <w:webHidden/>
              </w:rPr>
              <w:fldChar w:fldCharType="begin"/>
            </w:r>
            <w:r w:rsidR="00D712D6">
              <w:rPr>
                <w:noProof/>
                <w:webHidden/>
              </w:rPr>
              <w:instrText xml:space="preserve"> PAGEREF _Toc160790065 \h </w:instrText>
            </w:r>
            <w:r w:rsidR="00D712D6">
              <w:rPr>
                <w:noProof/>
                <w:webHidden/>
              </w:rPr>
            </w:r>
            <w:r w:rsidR="00D712D6">
              <w:rPr>
                <w:noProof/>
                <w:webHidden/>
              </w:rPr>
              <w:fldChar w:fldCharType="separate"/>
            </w:r>
            <w:r w:rsidR="00FF7B59">
              <w:rPr>
                <w:noProof/>
                <w:webHidden/>
              </w:rPr>
              <w:t>141</w:t>
            </w:r>
            <w:r w:rsidR="00D712D6">
              <w:rPr>
                <w:noProof/>
                <w:webHidden/>
              </w:rPr>
              <w:fldChar w:fldCharType="end"/>
            </w:r>
          </w:hyperlink>
        </w:p>
        <w:p w:rsidR="00D712D6" w:rsidRDefault="00D941D8" w14:paraId="744650A0" w14:textId="7B92A4F2">
          <w:pPr>
            <w:pStyle w:val="TOC1"/>
            <w:tabs>
              <w:tab w:val="right" w:leader="dot" w:pos="9350"/>
            </w:tabs>
            <w:rPr>
              <w:rFonts w:asciiTheme="minorHAnsi" w:hAnsiTheme="minorHAnsi" w:cstheme="minorBidi"/>
              <w:noProof/>
              <w:kern w:val="2"/>
              <w:sz w:val="24"/>
              <w:szCs w:val="24"/>
              <w14:ligatures w14:val="standardContextual"/>
            </w:rPr>
          </w:pPr>
          <w:hyperlink w:history="1" w:anchor="_Toc160790066">
            <w:r w:rsidRPr="00A94255" w:rsidR="00D712D6">
              <w:rPr>
                <w:rStyle w:val="Hyperlink"/>
                <w:noProof/>
              </w:rPr>
              <w:t>7.</w:t>
            </w:r>
            <w:r w:rsidR="00D712D6">
              <w:rPr>
                <w:rFonts w:asciiTheme="minorHAnsi" w:hAnsiTheme="minorHAnsi" w:cstheme="minorBidi"/>
                <w:noProof/>
                <w:kern w:val="2"/>
                <w:sz w:val="24"/>
                <w:szCs w:val="24"/>
                <w14:ligatures w14:val="standardContextual"/>
              </w:rPr>
              <w:tab/>
            </w:r>
            <w:r w:rsidRPr="00A94255" w:rsidR="00D712D6">
              <w:rPr>
                <w:rStyle w:val="Hyperlink"/>
                <w:noProof/>
              </w:rPr>
              <w:t>Summary of Public Comment</w:t>
            </w:r>
            <w:r w:rsidR="00D712D6">
              <w:rPr>
                <w:noProof/>
                <w:webHidden/>
              </w:rPr>
              <w:tab/>
            </w:r>
            <w:r w:rsidR="00D712D6">
              <w:rPr>
                <w:noProof/>
                <w:webHidden/>
              </w:rPr>
              <w:fldChar w:fldCharType="begin"/>
            </w:r>
            <w:r w:rsidR="00D712D6">
              <w:rPr>
                <w:noProof/>
                <w:webHidden/>
              </w:rPr>
              <w:instrText xml:space="preserve"> PAGEREF _Toc160790066 \h </w:instrText>
            </w:r>
            <w:r w:rsidR="00D712D6">
              <w:rPr>
                <w:noProof/>
                <w:webHidden/>
              </w:rPr>
            </w:r>
            <w:r w:rsidR="00D712D6">
              <w:rPr>
                <w:noProof/>
                <w:webHidden/>
              </w:rPr>
              <w:fldChar w:fldCharType="separate"/>
            </w:r>
            <w:r w:rsidR="00FF7B59">
              <w:rPr>
                <w:noProof/>
                <w:webHidden/>
              </w:rPr>
              <w:t>142</w:t>
            </w:r>
            <w:r w:rsidR="00D712D6">
              <w:rPr>
                <w:noProof/>
                <w:webHidden/>
              </w:rPr>
              <w:fldChar w:fldCharType="end"/>
            </w:r>
          </w:hyperlink>
        </w:p>
        <w:p w:rsidR="00D712D6" w:rsidRDefault="00D941D8" w14:paraId="48900E26" w14:textId="72203ED0">
          <w:pPr>
            <w:pStyle w:val="TOC1"/>
            <w:tabs>
              <w:tab w:val="right" w:leader="dot" w:pos="9350"/>
            </w:tabs>
            <w:rPr>
              <w:rFonts w:asciiTheme="minorHAnsi" w:hAnsiTheme="minorHAnsi" w:cstheme="minorBidi"/>
              <w:noProof/>
              <w:kern w:val="2"/>
              <w:sz w:val="24"/>
              <w:szCs w:val="24"/>
              <w14:ligatures w14:val="standardContextual"/>
            </w:rPr>
          </w:pPr>
          <w:hyperlink w:history="1" w:anchor="_Toc160790067">
            <w:r w:rsidRPr="00A94255" w:rsidR="00D712D6">
              <w:rPr>
                <w:rStyle w:val="Hyperlink"/>
                <w:noProof/>
              </w:rPr>
              <w:t>8.</w:t>
            </w:r>
            <w:r w:rsidR="00D712D6">
              <w:rPr>
                <w:rFonts w:asciiTheme="minorHAnsi" w:hAnsiTheme="minorHAnsi" w:cstheme="minorBidi"/>
                <w:noProof/>
                <w:kern w:val="2"/>
                <w:sz w:val="24"/>
                <w:szCs w:val="24"/>
                <w14:ligatures w14:val="standardContextual"/>
              </w:rPr>
              <w:tab/>
            </w:r>
            <w:r w:rsidRPr="00A94255" w:rsidR="00D712D6">
              <w:rPr>
                <w:rStyle w:val="Hyperlink"/>
                <w:noProof/>
              </w:rPr>
              <w:t>Procedural Matters</w:t>
            </w:r>
            <w:r w:rsidR="00D712D6">
              <w:rPr>
                <w:noProof/>
                <w:webHidden/>
              </w:rPr>
              <w:tab/>
            </w:r>
            <w:r w:rsidR="00D712D6">
              <w:rPr>
                <w:noProof/>
                <w:webHidden/>
              </w:rPr>
              <w:fldChar w:fldCharType="begin"/>
            </w:r>
            <w:r w:rsidR="00D712D6">
              <w:rPr>
                <w:noProof/>
                <w:webHidden/>
              </w:rPr>
              <w:instrText xml:space="preserve"> PAGEREF _Toc160790067 \h </w:instrText>
            </w:r>
            <w:r w:rsidR="00D712D6">
              <w:rPr>
                <w:noProof/>
                <w:webHidden/>
              </w:rPr>
            </w:r>
            <w:r w:rsidR="00D712D6">
              <w:rPr>
                <w:noProof/>
                <w:webHidden/>
              </w:rPr>
              <w:fldChar w:fldCharType="separate"/>
            </w:r>
            <w:r w:rsidR="00FF7B59">
              <w:rPr>
                <w:noProof/>
                <w:webHidden/>
              </w:rPr>
              <w:t>143</w:t>
            </w:r>
            <w:r w:rsidR="00D712D6">
              <w:rPr>
                <w:noProof/>
                <w:webHidden/>
              </w:rPr>
              <w:fldChar w:fldCharType="end"/>
            </w:r>
          </w:hyperlink>
        </w:p>
        <w:p w:rsidR="00D712D6" w:rsidRDefault="00D941D8" w14:paraId="597BA3BE" w14:textId="33B71DA3">
          <w:pPr>
            <w:pStyle w:val="TOC1"/>
            <w:tabs>
              <w:tab w:val="right" w:leader="dot" w:pos="9350"/>
            </w:tabs>
            <w:rPr>
              <w:rFonts w:asciiTheme="minorHAnsi" w:hAnsiTheme="minorHAnsi" w:cstheme="minorBidi"/>
              <w:noProof/>
              <w:kern w:val="2"/>
              <w:sz w:val="24"/>
              <w:szCs w:val="24"/>
              <w14:ligatures w14:val="standardContextual"/>
            </w:rPr>
          </w:pPr>
          <w:hyperlink w:history="1" w:anchor="_Toc160790068">
            <w:r w:rsidRPr="00A94255" w:rsidR="00D712D6">
              <w:rPr>
                <w:rStyle w:val="Hyperlink"/>
                <w:noProof/>
              </w:rPr>
              <w:t>9.</w:t>
            </w:r>
            <w:r w:rsidR="00D712D6">
              <w:rPr>
                <w:rFonts w:asciiTheme="minorHAnsi" w:hAnsiTheme="minorHAnsi" w:cstheme="minorBidi"/>
                <w:noProof/>
                <w:kern w:val="2"/>
                <w:sz w:val="24"/>
                <w:szCs w:val="24"/>
                <w14:ligatures w14:val="standardContextual"/>
              </w:rPr>
              <w:tab/>
            </w:r>
            <w:r w:rsidRPr="00A94255" w:rsidR="00D712D6">
              <w:rPr>
                <w:rStyle w:val="Hyperlink"/>
                <w:noProof/>
              </w:rPr>
              <w:t>Comments on Proposed Decision</w:t>
            </w:r>
            <w:r w:rsidR="00D712D6">
              <w:rPr>
                <w:noProof/>
                <w:webHidden/>
              </w:rPr>
              <w:tab/>
            </w:r>
            <w:r w:rsidR="00D712D6">
              <w:rPr>
                <w:noProof/>
                <w:webHidden/>
              </w:rPr>
              <w:fldChar w:fldCharType="begin"/>
            </w:r>
            <w:r w:rsidR="00D712D6">
              <w:rPr>
                <w:noProof/>
                <w:webHidden/>
              </w:rPr>
              <w:instrText xml:space="preserve"> PAGEREF _Toc160790068 \h </w:instrText>
            </w:r>
            <w:r w:rsidR="00D712D6">
              <w:rPr>
                <w:noProof/>
                <w:webHidden/>
              </w:rPr>
            </w:r>
            <w:r w:rsidR="00D712D6">
              <w:rPr>
                <w:noProof/>
                <w:webHidden/>
              </w:rPr>
              <w:fldChar w:fldCharType="separate"/>
            </w:r>
            <w:r w:rsidR="00FF7B59">
              <w:rPr>
                <w:noProof/>
                <w:webHidden/>
              </w:rPr>
              <w:t>143</w:t>
            </w:r>
            <w:r w:rsidR="00D712D6">
              <w:rPr>
                <w:noProof/>
                <w:webHidden/>
              </w:rPr>
              <w:fldChar w:fldCharType="end"/>
            </w:r>
          </w:hyperlink>
        </w:p>
        <w:p w:rsidR="00D712D6" w:rsidRDefault="00D941D8" w14:paraId="774584FD" w14:textId="6E7D98D1">
          <w:pPr>
            <w:pStyle w:val="TOC1"/>
            <w:tabs>
              <w:tab w:val="right" w:leader="dot" w:pos="9350"/>
            </w:tabs>
            <w:rPr>
              <w:rFonts w:asciiTheme="minorHAnsi" w:hAnsiTheme="minorHAnsi" w:cstheme="minorBidi"/>
              <w:noProof/>
              <w:kern w:val="2"/>
              <w:sz w:val="24"/>
              <w:szCs w:val="24"/>
              <w14:ligatures w14:val="standardContextual"/>
            </w:rPr>
          </w:pPr>
          <w:hyperlink w:history="1" w:anchor="_Toc160790069">
            <w:r w:rsidRPr="00A94255" w:rsidR="00D712D6">
              <w:rPr>
                <w:rStyle w:val="Hyperlink"/>
                <w:noProof/>
              </w:rPr>
              <w:t>10.</w:t>
            </w:r>
            <w:r w:rsidR="00D712D6">
              <w:rPr>
                <w:rFonts w:asciiTheme="minorHAnsi" w:hAnsiTheme="minorHAnsi" w:cstheme="minorBidi"/>
                <w:noProof/>
                <w:kern w:val="2"/>
                <w:sz w:val="24"/>
                <w:szCs w:val="24"/>
                <w14:ligatures w14:val="standardContextual"/>
              </w:rPr>
              <w:tab/>
            </w:r>
            <w:r w:rsidRPr="00A94255" w:rsidR="00D712D6">
              <w:rPr>
                <w:rStyle w:val="Hyperlink"/>
                <w:noProof/>
              </w:rPr>
              <w:t>Assignment of Proceeding</w:t>
            </w:r>
            <w:r w:rsidR="00D712D6">
              <w:rPr>
                <w:noProof/>
                <w:webHidden/>
              </w:rPr>
              <w:tab/>
            </w:r>
            <w:r w:rsidR="00D712D6">
              <w:rPr>
                <w:noProof/>
                <w:webHidden/>
              </w:rPr>
              <w:fldChar w:fldCharType="begin"/>
            </w:r>
            <w:r w:rsidR="00D712D6">
              <w:rPr>
                <w:noProof/>
                <w:webHidden/>
              </w:rPr>
              <w:instrText xml:space="preserve"> PAGEREF _Toc160790069 \h </w:instrText>
            </w:r>
            <w:r w:rsidR="00D712D6">
              <w:rPr>
                <w:noProof/>
                <w:webHidden/>
              </w:rPr>
            </w:r>
            <w:r w:rsidR="00D712D6">
              <w:rPr>
                <w:noProof/>
                <w:webHidden/>
              </w:rPr>
              <w:fldChar w:fldCharType="separate"/>
            </w:r>
            <w:r w:rsidR="00FF7B59">
              <w:rPr>
                <w:noProof/>
                <w:webHidden/>
              </w:rPr>
              <w:t>144</w:t>
            </w:r>
            <w:r w:rsidR="00D712D6">
              <w:rPr>
                <w:noProof/>
                <w:webHidden/>
              </w:rPr>
              <w:fldChar w:fldCharType="end"/>
            </w:r>
          </w:hyperlink>
        </w:p>
        <w:p w:rsidR="00D712D6" w:rsidRDefault="00D941D8" w14:paraId="410BDD5D" w14:textId="6C96EEEA">
          <w:pPr>
            <w:pStyle w:val="TOC1"/>
            <w:tabs>
              <w:tab w:val="right" w:leader="dot" w:pos="9350"/>
            </w:tabs>
            <w:rPr>
              <w:rFonts w:asciiTheme="minorHAnsi" w:hAnsiTheme="minorHAnsi" w:cstheme="minorBidi"/>
              <w:noProof/>
              <w:kern w:val="2"/>
              <w:sz w:val="24"/>
              <w:szCs w:val="24"/>
              <w14:ligatures w14:val="standardContextual"/>
            </w:rPr>
          </w:pPr>
          <w:hyperlink w:history="1" w:anchor="_Toc160790070">
            <w:r w:rsidRPr="00A94255" w:rsidR="00D712D6">
              <w:rPr>
                <w:rStyle w:val="Hyperlink"/>
                <w:noProof/>
              </w:rPr>
              <w:t>Findings of Fact</w:t>
            </w:r>
            <w:r w:rsidR="00D712D6">
              <w:rPr>
                <w:noProof/>
                <w:webHidden/>
              </w:rPr>
              <w:tab/>
            </w:r>
            <w:r w:rsidR="00D712D6">
              <w:rPr>
                <w:noProof/>
                <w:webHidden/>
              </w:rPr>
              <w:fldChar w:fldCharType="begin"/>
            </w:r>
            <w:r w:rsidR="00D712D6">
              <w:rPr>
                <w:noProof/>
                <w:webHidden/>
              </w:rPr>
              <w:instrText xml:space="preserve"> PAGEREF _Toc160790070 \h </w:instrText>
            </w:r>
            <w:r w:rsidR="00D712D6">
              <w:rPr>
                <w:noProof/>
                <w:webHidden/>
              </w:rPr>
            </w:r>
            <w:r w:rsidR="00D712D6">
              <w:rPr>
                <w:noProof/>
                <w:webHidden/>
              </w:rPr>
              <w:fldChar w:fldCharType="separate"/>
            </w:r>
            <w:r w:rsidR="00FF7B59">
              <w:rPr>
                <w:noProof/>
                <w:webHidden/>
              </w:rPr>
              <w:t>144</w:t>
            </w:r>
            <w:r w:rsidR="00D712D6">
              <w:rPr>
                <w:noProof/>
                <w:webHidden/>
              </w:rPr>
              <w:fldChar w:fldCharType="end"/>
            </w:r>
          </w:hyperlink>
        </w:p>
        <w:p w:rsidR="00D712D6" w:rsidRDefault="00D941D8" w14:paraId="7F381192" w14:textId="5C00C5B6">
          <w:pPr>
            <w:pStyle w:val="TOC1"/>
            <w:tabs>
              <w:tab w:val="right" w:leader="dot" w:pos="9350"/>
            </w:tabs>
            <w:rPr>
              <w:rFonts w:asciiTheme="minorHAnsi" w:hAnsiTheme="minorHAnsi" w:cstheme="minorBidi"/>
              <w:noProof/>
              <w:kern w:val="2"/>
              <w:sz w:val="24"/>
              <w:szCs w:val="24"/>
              <w14:ligatures w14:val="standardContextual"/>
            </w:rPr>
          </w:pPr>
          <w:hyperlink w:history="1" w:anchor="_Toc160790071">
            <w:r w:rsidRPr="00A94255" w:rsidR="00D712D6">
              <w:rPr>
                <w:rStyle w:val="Hyperlink"/>
                <w:noProof/>
              </w:rPr>
              <w:t>Conclusions of Law</w:t>
            </w:r>
            <w:r w:rsidR="00D712D6">
              <w:rPr>
                <w:noProof/>
                <w:webHidden/>
              </w:rPr>
              <w:tab/>
            </w:r>
            <w:r w:rsidR="00D712D6">
              <w:rPr>
                <w:noProof/>
                <w:webHidden/>
              </w:rPr>
              <w:fldChar w:fldCharType="begin"/>
            </w:r>
            <w:r w:rsidR="00D712D6">
              <w:rPr>
                <w:noProof/>
                <w:webHidden/>
              </w:rPr>
              <w:instrText xml:space="preserve"> PAGEREF _Toc160790071 \h </w:instrText>
            </w:r>
            <w:r w:rsidR="00D712D6">
              <w:rPr>
                <w:noProof/>
                <w:webHidden/>
              </w:rPr>
            </w:r>
            <w:r w:rsidR="00D712D6">
              <w:rPr>
                <w:noProof/>
                <w:webHidden/>
              </w:rPr>
              <w:fldChar w:fldCharType="separate"/>
            </w:r>
            <w:r w:rsidR="00FF7B59">
              <w:rPr>
                <w:noProof/>
                <w:webHidden/>
              </w:rPr>
              <w:t>147</w:t>
            </w:r>
            <w:r w:rsidR="00D712D6">
              <w:rPr>
                <w:noProof/>
                <w:webHidden/>
              </w:rPr>
              <w:fldChar w:fldCharType="end"/>
            </w:r>
          </w:hyperlink>
        </w:p>
        <w:p w:rsidR="00D712D6" w:rsidRDefault="00D941D8" w14:paraId="2507179C" w14:textId="3808660E">
          <w:pPr>
            <w:pStyle w:val="TOC1"/>
            <w:tabs>
              <w:tab w:val="right" w:leader="dot" w:pos="9350"/>
            </w:tabs>
            <w:rPr>
              <w:rFonts w:asciiTheme="minorHAnsi" w:hAnsiTheme="minorHAnsi" w:cstheme="minorBidi"/>
              <w:noProof/>
              <w:kern w:val="2"/>
              <w:sz w:val="24"/>
              <w:szCs w:val="24"/>
              <w14:ligatures w14:val="standardContextual"/>
            </w:rPr>
          </w:pPr>
          <w:hyperlink w:history="1" w:anchor="_Toc160790072">
            <w:r w:rsidRPr="00A94255" w:rsidR="00D712D6">
              <w:rPr>
                <w:rStyle w:val="Hyperlink"/>
                <w:noProof/>
              </w:rPr>
              <w:t>ORDER</w:t>
            </w:r>
            <w:r w:rsidR="00D712D6">
              <w:rPr>
                <w:noProof/>
                <w:webHidden/>
              </w:rPr>
              <w:tab/>
            </w:r>
            <w:r w:rsidR="00D712D6">
              <w:rPr>
                <w:noProof/>
                <w:webHidden/>
              </w:rPr>
              <w:fldChar w:fldCharType="begin"/>
            </w:r>
            <w:r w:rsidR="00D712D6">
              <w:rPr>
                <w:noProof/>
                <w:webHidden/>
              </w:rPr>
              <w:instrText xml:space="preserve"> PAGEREF _Toc160790072 \h </w:instrText>
            </w:r>
            <w:r w:rsidR="00D712D6">
              <w:rPr>
                <w:noProof/>
                <w:webHidden/>
              </w:rPr>
            </w:r>
            <w:r w:rsidR="00D712D6">
              <w:rPr>
                <w:noProof/>
                <w:webHidden/>
              </w:rPr>
              <w:fldChar w:fldCharType="separate"/>
            </w:r>
            <w:r w:rsidR="00FF7B59">
              <w:rPr>
                <w:noProof/>
                <w:webHidden/>
              </w:rPr>
              <w:t>163</w:t>
            </w:r>
            <w:r w:rsidR="00D712D6">
              <w:rPr>
                <w:noProof/>
                <w:webHidden/>
              </w:rPr>
              <w:fldChar w:fldCharType="end"/>
            </w:r>
          </w:hyperlink>
        </w:p>
        <w:p w:rsidR="00D82A43" w:rsidP="008C7413" w:rsidRDefault="008C7413" w14:paraId="00C610F5" w14:textId="1C218208">
          <w:pPr>
            <w:pStyle w:val="TOC1"/>
            <w:tabs>
              <w:tab w:val="right" w:leader="dot" w:pos="9350"/>
            </w:tabs>
          </w:pPr>
          <w:r>
            <w:rPr>
              <w:rFonts w:asciiTheme="minorHAnsi" w:hAnsiTheme="minorHAnsi"/>
              <w:sz w:val="22"/>
            </w:rPr>
            <w:fldChar w:fldCharType="end"/>
          </w:r>
        </w:p>
      </w:sdtContent>
    </w:sdt>
    <w:p w:rsidRPr="0098655A" w:rsidR="0098655A" w:rsidP="00D50119" w:rsidRDefault="0098655A" w14:paraId="49853695" w14:textId="1AA76AB9">
      <w:pPr>
        <w:spacing w:line="240" w:lineRule="auto"/>
        <w:ind w:firstLine="0"/>
        <w:rPr>
          <w:rFonts w:cs="Arial"/>
          <w:szCs w:val="26"/>
        </w:rPr>
      </w:pPr>
      <w:r w:rsidRPr="0098655A">
        <w:rPr>
          <w:rFonts w:cs="Arial"/>
          <w:b/>
          <w:szCs w:val="26"/>
        </w:rPr>
        <w:t>A</w:t>
      </w:r>
      <w:r w:rsidR="00386FD1">
        <w:rPr>
          <w:rFonts w:cs="Arial"/>
          <w:b/>
          <w:szCs w:val="26"/>
        </w:rPr>
        <w:t>ttachment</w:t>
      </w:r>
      <w:r w:rsidRPr="0098655A">
        <w:rPr>
          <w:rFonts w:cs="Arial"/>
          <w:b/>
          <w:szCs w:val="26"/>
        </w:rPr>
        <w:t xml:space="preserve"> A</w:t>
      </w:r>
      <w:r w:rsidRPr="0098655A">
        <w:rPr>
          <w:rFonts w:cs="Arial"/>
          <w:szCs w:val="26"/>
        </w:rPr>
        <w:t xml:space="preserve"> –</w:t>
      </w:r>
      <w:r w:rsidR="00E23CBB">
        <w:rPr>
          <w:rFonts w:cs="Arial"/>
          <w:szCs w:val="26"/>
        </w:rPr>
        <w:t xml:space="preserve"> </w:t>
      </w:r>
      <w:r w:rsidRPr="00386FD1" w:rsidR="00386FD1">
        <w:rPr>
          <w:rFonts w:cs="Arial"/>
          <w:szCs w:val="26"/>
        </w:rPr>
        <w:t>Estimated Bill Impacts for Customers of Large Utilities with Average Usage</w:t>
      </w:r>
    </w:p>
    <w:p w:rsidR="0098655A" w:rsidP="00D50119" w:rsidRDefault="0098655A" w14:paraId="168BD916" w14:textId="14005D38">
      <w:pPr>
        <w:spacing w:line="240" w:lineRule="auto"/>
        <w:ind w:firstLine="0"/>
        <w:rPr>
          <w:rFonts w:cs="Arial"/>
          <w:szCs w:val="26"/>
        </w:rPr>
      </w:pPr>
      <w:r w:rsidRPr="0098655A">
        <w:rPr>
          <w:rFonts w:cs="Arial"/>
          <w:b/>
          <w:szCs w:val="26"/>
        </w:rPr>
        <w:t>A</w:t>
      </w:r>
      <w:r w:rsidR="00386FD1">
        <w:rPr>
          <w:rFonts w:cs="Arial"/>
          <w:b/>
          <w:szCs w:val="26"/>
        </w:rPr>
        <w:t>ttachment</w:t>
      </w:r>
      <w:r w:rsidRPr="0098655A">
        <w:rPr>
          <w:rFonts w:cs="Arial"/>
          <w:b/>
          <w:szCs w:val="26"/>
        </w:rPr>
        <w:t xml:space="preserve"> B</w:t>
      </w:r>
      <w:r w:rsidRPr="0098655A">
        <w:rPr>
          <w:rFonts w:cs="Arial"/>
          <w:szCs w:val="26"/>
        </w:rPr>
        <w:t xml:space="preserve"> – </w:t>
      </w:r>
      <w:r w:rsidRPr="002165CD" w:rsidR="002165CD">
        <w:rPr>
          <w:rFonts w:cs="Arial"/>
          <w:szCs w:val="26"/>
        </w:rPr>
        <w:t>Estimated Bill Impacts for Electrified Customers of Large Utilities</w:t>
      </w:r>
    </w:p>
    <w:p w:rsidRPr="00D908A3" w:rsidR="00D44DB6" w:rsidP="00D44DB6" w:rsidRDefault="00D908A3" w14:paraId="64EA1433" w14:textId="0A55DE09">
      <w:pPr>
        <w:spacing w:line="240" w:lineRule="auto"/>
        <w:ind w:firstLine="0"/>
        <w:rPr>
          <w:rFonts w:cs="Arial"/>
          <w:szCs w:val="26"/>
        </w:rPr>
        <w:sectPr w:rsidRPr="00D908A3" w:rsidR="00D44DB6" w:rsidSect="0012402D">
          <w:headerReference w:type="default" r:id="rId13"/>
          <w:footerReference w:type="default" r:id="rId14"/>
          <w:pgSz w:w="12240" w:h="15840"/>
          <w:pgMar w:top="1728" w:right="1440" w:bottom="1440" w:left="1440" w:header="720" w:footer="720" w:gutter="0"/>
          <w:pgNumType w:fmt="lowerRoman" w:start="1"/>
          <w:cols w:space="720"/>
          <w:docGrid w:linePitch="360"/>
        </w:sectPr>
      </w:pPr>
      <w:r w:rsidRPr="00D908A3">
        <w:rPr>
          <w:rFonts w:cs="Arial"/>
          <w:b/>
          <w:bCs/>
          <w:szCs w:val="26"/>
        </w:rPr>
        <w:t>Attachment C</w:t>
      </w:r>
      <w:r>
        <w:rPr>
          <w:rFonts w:cs="Arial"/>
          <w:szCs w:val="26"/>
        </w:rPr>
        <w:t xml:space="preserve"> – Settlement Agreement for Small Utilities</w:t>
      </w:r>
    </w:p>
    <w:p w:rsidR="0098655A" w:rsidP="00D82A43" w:rsidRDefault="003B262E" w14:paraId="0315C4C5" w14:textId="57F394DB">
      <w:pPr>
        <w:pStyle w:val="Main"/>
        <w:spacing w:after="240"/>
      </w:pPr>
      <w:r w:rsidRPr="003B262E">
        <w:lastRenderedPageBreak/>
        <w:t xml:space="preserve">DECISION </w:t>
      </w:r>
      <w:r w:rsidR="0068070E">
        <w:t>ADDRESSING</w:t>
      </w:r>
      <w:r w:rsidRPr="003B262E">
        <w:t xml:space="preserve"> </w:t>
      </w:r>
      <w:r w:rsidR="006E322B">
        <w:t>a</w:t>
      </w:r>
      <w:r w:rsidR="00576DF4">
        <w:t xml:space="preserve">SSEMBLY </w:t>
      </w:r>
      <w:r w:rsidR="006E322B">
        <w:t>b</w:t>
      </w:r>
      <w:r w:rsidR="00576DF4">
        <w:t>ILL</w:t>
      </w:r>
      <w:r w:rsidR="006E322B">
        <w:t xml:space="preserve"> 205 </w:t>
      </w:r>
      <w:r w:rsidR="0068070E">
        <w:t>REQUIREMENT</w:t>
      </w:r>
      <w:r w:rsidRPr="003B262E">
        <w:t>S FOR ELECTRIC UTILITIES</w:t>
      </w:r>
    </w:p>
    <w:p w:rsidR="004B1C38" w:rsidP="00007821" w:rsidRDefault="005A148C" w14:paraId="2FD7873C" w14:textId="24F64F1E">
      <w:pPr>
        <w:pStyle w:val="Dummy"/>
      </w:pPr>
      <w:bookmarkStart w:name="_Toc8123714" w:id="2"/>
      <w:bookmarkStart w:name="_Toc160790022" w:id="3"/>
      <w:r>
        <w:t>Summary</w:t>
      </w:r>
      <w:bookmarkEnd w:id="2"/>
      <w:bookmarkEnd w:id="3"/>
    </w:p>
    <w:p w:rsidR="00520F41" w:rsidP="00EC7F8F" w:rsidRDefault="003B262E" w14:paraId="412F641B" w14:textId="01466DCA">
      <w:pPr>
        <w:pStyle w:val="Standard"/>
      </w:pPr>
      <w:r>
        <w:t xml:space="preserve">This decision </w:t>
      </w:r>
      <w:r w:rsidR="00EB64C7">
        <w:t xml:space="preserve">authorizes </w:t>
      </w:r>
      <w:r w:rsidR="009D7B48">
        <w:t xml:space="preserve">all investor-owned </w:t>
      </w:r>
      <w:r w:rsidR="00DE6E49">
        <w:t>electric utilities</w:t>
      </w:r>
      <w:r w:rsidR="00EB64C7">
        <w:t xml:space="preserve"> </w:t>
      </w:r>
      <w:bookmarkStart w:name="_Hlk161646254" w:id="4"/>
      <w:r w:rsidR="00EB64C7">
        <w:t xml:space="preserve">to </w:t>
      </w:r>
      <w:r w:rsidRPr="00EB64C7" w:rsidR="00EB64C7">
        <w:rPr>
          <w:bCs/>
        </w:rPr>
        <w:t>change the structure of residential customer bills</w:t>
      </w:r>
      <w:r w:rsidR="00EB64C7">
        <w:t xml:space="preserve"> </w:t>
      </w:r>
      <w:bookmarkEnd w:id="4"/>
      <w:r w:rsidR="00576DF4">
        <w:t>in accordance with Assembly Bill 205,</w:t>
      </w:r>
      <w:r w:rsidRPr="00E470A4" w:rsidR="00E470A4">
        <w:t xml:space="preserve"> Stats. 2022, ch. 61</w:t>
      </w:r>
      <w:r w:rsidR="002C7FE9">
        <w:t>.</w:t>
      </w:r>
    </w:p>
    <w:p w:rsidRPr="00C628AC" w:rsidR="00C628AC" w:rsidP="00C628AC" w:rsidRDefault="00C628AC" w14:paraId="5DE58B1E" w14:textId="77777777">
      <w:pPr>
        <w:pStyle w:val="Standard"/>
      </w:pPr>
      <w:r w:rsidRPr="00C628AC">
        <w:t xml:space="preserve">Today, California’s investor-owned electric utilities recover nearly all costs of providing electricity service through the volumetric (cost per unit) portion of each residential customer’s bill. However, a large portion of these costs are fixed costs that do not directly vary based on the electricity usage of the customer from whom the revenue is being collected, such as the costs of installing final line transformers that make it possible for customers to access the grid. Most utilities nationwide and many publicly-owned utilities in California assess fixed charges on customer bills to recover these fixed costs, consistent with the general ratemaking principle that rates should be based on cost causation. </w:t>
      </w:r>
    </w:p>
    <w:p w:rsidRPr="00C628AC" w:rsidR="00C628AC" w:rsidP="00C628AC" w:rsidRDefault="00C628AC" w14:paraId="4A16F21D" w14:textId="77777777">
      <w:pPr>
        <w:pStyle w:val="Standard"/>
      </w:pPr>
      <w:r w:rsidRPr="00C628AC">
        <w:t xml:space="preserve">As directed by Assembly Bill 205, this decision authorizes all investor-owned utilities to change the structure of residential customer bills by shifting the recovery of a portion of fixed costs from volumetric rates to a separate, fixed amount on bills without changing the total costs that utilities may recover from customers. As a result, this decision reduces the volumetric price of electricity (in cents per kilowatt hour) for all residential customers of investor-owned utilities. </w:t>
      </w:r>
    </w:p>
    <w:p w:rsidR="00C628AC" w:rsidP="00C628AC" w:rsidRDefault="00C628AC" w14:paraId="071CFC2F" w14:textId="43391B43">
      <w:pPr>
        <w:pStyle w:val="Standard"/>
      </w:pPr>
      <w:r w:rsidRPr="00C628AC">
        <w:t xml:space="preserve">The new billing structure </w:t>
      </w:r>
      <w:r w:rsidR="00BD52E7">
        <w:t xml:space="preserve">more evenly allocates fixed costs among customers and </w:t>
      </w:r>
      <w:r w:rsidRPr="00C628AC">
        <w:t>will encourage customers to adopt electric vehicles and</w:t>
      </w:r>
      <w:r w:rsidR="00BD52E7">
        <w:t xml:space="preserve"> replace gas</w:t>
      </w:r>
      <w:r w:rsidRPr="00C628AC">
        <w:t xml:space="preserve"> appliances</w:t>
      </w:r>
      <w:r w:rsidR="00BD52E7">
        <w:t xml:space="preserve"> with electric appliances</w:t>
      </w:r>
      <w:r w:rsidRPr="00C628AC">
        <w:t xml:space="preserve"> because it will be less expensive to charge electric vehicles and operate electric appliances</w:t>
      </w:r>
      <w:r>
        <w:t>.</w:t>
      </w:r>
    </w:p>
    <w:p w:rsidR="00E8444B" w:rsidP="00A60A22" w:rsidRDefault="00E8444B" w14:paraId="31B5515C" w14:textId="335CDEAE">
      <w:pPr>
        <w:pStyle w:val="Standard"/>
      </w:pPr>
      <w:r>
        <w:lastRenderedPageBreak/>
        <w:t>This decision adopts a gradual</w:t>
      </w:r>
      <w:r w:rsidR="00C628AC">
        <w:t>,</w:t>
      </w:r>
      <w:r>
        <w:t xml:space="preserve"> incremental approach to</w:t>
      </w:r>
      <w:r w:rsidR="00BD52E7">
        <w:t xml:space="preserve"> implementing</w:t>
      </w:r>
      <w:r>
        <w:t xml:space="preserve"> </w:t>
      </w:r>
      <w:r w:rsidRPr="00C628AC" w:rsidR="00C628AC">
        <w:t xml:space="preserve">Assembly Bill 205 requirements, including the requirement </w:t>
      </w:r>
      <w:r w:rsidR="00BD52E7">
        <w:t>to offer</w:t>
      </w:r>
      <w:r w:rsidRPr="00C628AC" w:rsidR="00C628AC">
        <w:t xml:space="preserve"> income-graduated</w:t>
      </w:r>
      <w:r w:rsidR="00BD52E7">
        <w:t xml:space="preserve"> fixed charge amounts</w:t>
      </w:r>
      <w:r>
        <w:t xml:space="preserve">. </w:t>
      </w:r>
      <w:r w:rsidR="00E25B84">
        <w:t xml:space="preserve">The </w:t>
      </w:r>
      <w:r w:rsidR="007F1DDE">
        <w:t xml:space="preserve">adopted </w:t>
      </w:r>
      <w:r w:rsidR="00C628AC">
        <w:t>billing structure</w:t>
      </w:r>
      <w:r w:rsidR="00E25B84">
        <w:t xml:space="preserve"> will </w:t>
      </w:r>
      <w:r w:rsidR="00BD52E7">
        <w:t>offer discounts based</w:t>
      </w:r>
      <w:r w:rsidR="00E25B84">
        <w:t xml:space="preserve"> on the existing income-verification processes of the utilities’ </w:t>
      </w:r>
      <w:r w:rsidRPr="00E25B84" w:rsidR="00E25B84">
        <w:t>California Alternate Rates for Energy</w:t>
      </w:r>
      <w:r w:rsidR="00E25B84">
        <w:t xml:space="preserve"> and </w:t>
      </w:r>
      <w:r w:rsidRPr="00E25B84" w:rsidR="00E25B84">
        <w:t>Family Electric Rate Assistance</w:t>
      </w:r>
      <w:r w:rsidR="00E25B84">
        <w:t xml:space="preserve"> programs.</w:t>
      </w:r>
      <w:r w:rsidR="00D75A49">
        <w:t xml:space="preserve"> The Commission will consider </w:t>
      </w:r>
      <w:r w:rsidR="007F1DDE">
        <w:t xml:space="preserve">improvements to </w:t>
      </w:r>
      <w:r w:rsidR="00C628AC">
        <w:t>the new billing structure</w:t>
      </w:r>
      <w:r w:rsidR="007F1DDE">
        <w:t xml:space="preserve"> based on </w:t>
      </w:r>
      <w:r w:rsidR="00014791">
        <w:t xml:space="preserve">the </w:t>
      </w:r>
      <w:r w:rsidR="00BA46CA">
        <w:t xml:space="preserve">initial </w:t>
      </w:r>
      <w:r w:rsidR="00014791">
        <w:t xml:space="preserve">results of </w:t>
      </w:r>
      <w:r w:rsidR="00C63BD8">
        <w:t>implementation</w:t>
      </w:r>
      <w:r w:rsidR="00D75A49">
        <w:t xml:space="preserve"> and</w:t>
      </w:r>
      <w:r w:rsidR="008C5C05">
        <w:t xml:space="preserve"> </w:t>
      </w:r>
      <w:r w:rsidR="004E66D9">
        <w:t xml:space="preserve">a </w:t>
      </w:r>
      <w:r w:rsidR="00456B38">
        <w:t>working group proposal</w:t>
      </w:r>
      <w:r w:rsidR="008C5C05">
        <w:t xml:space="preserve"> </w:t>
      </w:r>
      <w:r w:rsidR="00123C85">
        <w:t>in the next phase of this proceeding.</w:t>
      </w:r>
    </w:p>
    <w:p w:rsidR="00C63BD8" w:rsidP="00A60A22" w:rsidRDefault="00C63BD8" w14:paraId="3F49613E" w14:textId="0B3D071A">
      <w:pPr>
        <w:pStyle w:val="Standard"/>
      </w:pPr>
      <w:r w:rsidRPr="00C63BD8">
        <w:t>Parties to this proceeding concurrently proposed how to implement the requirements of Assembly Bill 205. This decision adopts elements of several party proposals rather than adopting one party’s proposal</w:t>
      </w:r>
      <w:r>
        <w:t>.</w:t>
      </w:r>
    </w:p>
    <w:p w:rsidR="00B32DC4" w:rsidP="00C64950" w:rsidRDefault="006639E0" w14:paraId="6FA6F2DB" w14:textId="50BC8F05">
      <w:pPr>
        <w:pStyle w:val="Standard"/>
      </w:pPr>
      <w:r>
        <w:t>Southern California Edison Company and San Diego Gas</w:t>
      </w:r>
      <w:r w:rsidR="002D51FE">
        <w:t xml:space="preserve"> &amp;</w:t>
      </w:r>
      <w:r>
        <w:t xml:space="preserve"> Electric Company shall </w:t>
      </w:r>
      <w:r w:rsidR="002D51FE">
        <w:t xml:space="preserve">begin to apply </w:t>
      </w:r>
      <w:r w:rsidR="00495E5A">
        <w:t xml:space="preserve">the </w:t>
      </w:r>
      <w:r w:rsidR="00C63BD8">
        <w:t>adopted changes</w:t>
      </w:r>
      <w:r w:rsidR="002D51FE">
        <w:t xml:space="preserve"> to residential customer bills</w:t>
      </w:r>
      <w:r>
        <w:t xml:space="preserve"> </w:t>
      </w:r>
      <w:r w:rsidR="00720CE4">
        <w:t>during</w:t>
      </w:r>
      <w:r w:rsidR="002D51FE">
        <w:t xml:space="preserve"> the fourth quarter of 2025. Pacific Gas and Electric Company, </w:t>
      </w:r>
      <w:r w:rsidRPr="00AB7C8C" w:rsidR="00AB7C8C">
        <w:t>Bear Valley Electric Service, Inc., Liberty Utilities, and PacificCorp d/b/a Pacific Power</w:t>
      </w:r>
      <w:r w:rsidR="0077253F">
        <w:t xml:space="preserve"> shall begin to apply </w:t>
      </w:r>
      <w:r w:rsidR="00495E5A">
        <w:t xml:space="preserve">the </w:t>
      </w:r>
      <w:r w:rsidR="00C63BD8">
        <w:t>adopted change</w:t>
      </w:r>
      <w:r w:rsidR="0077253F">
        <w:t xml:space="preserve">s </w:t>
      </w:r>
      <w:r w:rsidR="00720CE4">
        <w:t xml:space="preserve">to </w:t>
      </w:r>
      <w:r w:rsidRPr="0077253F" w:rsidR="0077253F">
        <w:t xml:space="preserve">residential customer bills </w:t>
      </w:r>
      <w:r w:rsidR="00720CE4">
        <w:t>during</w:t>
      </w:r>
      <w:r w:rsidRPr="0077253F" w:rsidR="0077253F">
        <w:t xml:space="preserve"> the </w:t>
      </w:r>
      <w:r w:rsidR="0077253F">
        <w:t>first quarter of 2026.</w:t>
      </w:r>
    </w:p>
    <w:p w:rsidR="00B300E1" w:rsidP="00C64950" w:rsidRDefault="00DA619E" w14:paraId="270EAACD" w14:textId="16B5A6EA">
      <w:pPr>
        <w:pStyle w:val="Standard"/>
      </w:pPr>
      <w:r>
        <w:t>The</w:t>
      </w:r>
      <w:r w:rsidR="00FC2106">
        <w:t xml:space="preserve"> large electric utilities </w:t>
      </w:r>
      <w:r w:rsidR="000125C1">
        <w:t xml:space="preserve">shall </w:t>
      </w:r>
      <w:r>
        <w:t xml:space="preserve">each </w:t>
      </w:r>
      <w:r w:rsidRPr="00C63BD8" w:rsidR="00C63BD8">
        <w:t xml:space="preserve">implement the adopted billing structure changes through </w:t>
      </w:r>
      <w:r w:rsidR="00E1465C">
        <w:t>a Tier 3 advice letter</w:t>
      </w:r>
      <w:r w:rsidR="00B76734">
        <w:t xml:space="preserve"> </w:t>
      </w:r>
      <w:r w:rsidR="00C63BD8">
        <w:t>as follows</w:t>
      </w:r>
      <w:r w:rsidR="000125C1">
        <w:t>:</w:t>
      </w:r>
    </w:p>
    <w:p w:rsidR="000125C1" w:rsidP="00146CF9" w:rsidRDefault="00EB1D84" w14:paraId="077EE481" w14:textId="2B7C6439">
      <w:pPr>
        <w:pStyle w:val="ListAlpha"/>
        <w:ind w:right="1440"/>
      </w:pPr>
      <w:r w:rsidRPr="00EB1D84">
        <w:rPr>
          <w:b/>
          <w:bCs/>
        </w:rPr>
        <w:t>Tier 1</w:t>
      </w:r>
      <w:r>
        <w:t>: Customers</w:t>
      </w:r>
      <w:r w:rsidR="00870002">
        <w:t xml:space="preserve"> enrolled in the California Altern</w:t>
      </w:r>
      <w:r w:rsidR="00916332">
        <w:t>ate</w:t>
      </w:r>
      <w:r w:rsidR="00870002">
        <w:t xml:space="preserve"> Rates for Energy program shall</w:t>
      </w:r>
      <w:r w:rsidR="003F6E47">
        <w:t xml:space="preserve"> automatically</w:t>
      </w:r>
      <w:r w:rsidR="00870002">
        <w:t xml:space="preserve"> </w:t>
      </w:r>
      <w:r w:rsidR="00E12EE2">
        <w:t xml:space="preserve">pay </w:t>
      </w:r>
      <w:r w:rsidR="00254573">
        <w:t xml:space="preserve">the lowest </w:t>
      </w:r>
      <w:r w:rsidR="008171A6">
        <w:t xml:space="preserve">discounted </w:t>
      </w:r>
      <w:r w:rsidR="00254573">
        <w:t xml:space="preserve">fixed </w:t>
      </w:r>
      <w:r w:rsidR="00C63BD8">
        <w:t>amount</w:t>
      </w:r>
      <w:r w:rsidR="00254573">
        <w:t xml:space="preserve"> (approximately $6 per month</w:t>
      </w:r>
      <w:r w:rsidR="00490245">
        <w:t>).</w:t>
      </w:r>
    </w:p>
    <w:p w:rsidR="0025691B" w:rsidP="00146CF9" w:rsidRDefault="00254573" w14:paraId="569A8CA4" w14:textId="32B9C180">
      <w:pPr>
        <w:pStyle w:val="ListAlpha"/>
        <w:ind w:right="1440"/>
      </w:pPr>
      <w:r>
        <w:rPr>
          <w:b/>
          <w:bCs/>
        </w:rPr>
        <w:t>Tier 2</w:t>
      </w:r>
      <w:r w:rsidRPr="00254573">
        <w:t>:</w:t>
      </w:r>
      <w:r>
        <w:t xml:space="preserve"> Customers </w:t>
      </w:r>
      <w:r w:rsidR="007A0367">
        <w:t>enrolled in the Famil</w:t>
      </w:r>
      <w:r w:rsidR="0055645E">
        <w:t>y Electric Rate Assistance program</w:t>
      </w:r>
      <w:r w:rsidR="007A0367">
        <w:t xml:space="preserve"> </w:t>
      </w:r>
      <w:r w:rsidR="00466F09">
        <w:t xml:space="preserve">or </w:t>
      </w:r>
      <w:r w:rsidR="00470965">
        <w:t xml:space="preserve">who live in affordable housing restricted to residents with incomes at or below </w:t>
      </w:r>
      <w:r w:rsidR="0025691B">
        <w:t>80</w:t>
      </w:r>
      <w:r w:rsidR="00C1241D">
        <w:t xml:space="preserve"> percent</w:t>
      </w:r>
      <w:r w:rsidR="0025691B">
        <w:t xml:space="preserve"> of Area Median Income</w:t>
      </w:r>
      <w:r w:rsidR="00470965">
        <w:t xml:space="preserve"> </w:t>
      </w:r>
      <w:r w:rsidR="00A658BC">
        <w:t>shall</w:t>
      </w:r>
      <w:r w:rsidR="003F6E47">
        <w:t xml:space="preserve"> automatically</w:t>
      </w:r>
      <w:r w:rsidR="00A658BC">
        <w:t xml:space="preserve"> </w:t>
      </w:r>
      <w:r w:rsidR="00E12EE2">
        <w:t>pay</w:t>
      </w:r>
      <w:r w:rsidR="00A658BC">
        <w:t xml:space="preserve"> a discounted fixed </w:t>
      </w:r>
      <w:r w:rsidR="00C63BD8">
        <w:t>amount</w:t>
      </w:r>
      <w:r w:rsidR="00A658BC">
        <w:t xml:space="preserve"> (approximately $12 per month).</w:t>
      </w:r>
    </w:p>
    <w:p w:rsidR="003C2B78" w:rsidP="00146CF9" w:rsidRDefault="00A658BC" w14:paraId="14FEAFD5" w14:textId="7DD7C1A0">
      <w:pPr>
        <w:pStyle w:val="ListAlpha"/>
        <w:ind w:right="1440"/>
      </w:pPr>
      <w:r>
        <w:rPr>
          <w:b/>
          <w:bCs/>
        </w:rPr>
        <w:lastRenderedPageBreak/>
        <w:t>Tier 3</w:t>
      </w:r>
      <w:r w:rsidRPr="00A658BC">
        <w:t>:</w:t>
      </w:r>
      <w:r w:rsidR="00490245">
        <w:t xml:space="preserve"> All other customers will </w:t>
      </w:r>
      <w:r w:rsidR="00E12EE2">
        <w:t>pay</w:t>
      </w:r>
      <w:r w:rsidR="00490245">
        <w:t xml:space="preserve"> a fixed </w:t>
      </w:r>
      <w:r w:rsidR="00C63BD8">
        <w:t xml:space="preserve">amount </w:t>
      </w:r>
      <w:r w:rsidR="00490245">
        <w:t xml:space="preserve">of </w:t>
      </w:r>
      <w:r w:rsidR="00E01726">
        <w:t>$24.1</w:t>
      </w:r>
      <w:r w:rsidR="00585AB0">
        <w:t>5</w:t>
      </w:r>
      <w:r w:rsidR="00E01726">
        <w:t xml:space="preserve"> per month. </w:t>
      </w:r>
      <w:r w:rsidR="00D11145">
        <w:t xml:space="preserve"> </w:t>
      </w:r>
    </w:p>
    <w:p w:rsidR="00B170C8" w:rsidP="00535B9C" w:rsidRDefault="005D199E" w14:paraId="0AC8B3A0" w14:textId="5944F156">
      <w:pPr>
        <w:pStyle w:val="Standard"/>
      </w:pPr>
      <w:r>
        <w:t>In accordance with A</w:t>
      </w:r>
      <w:r w:rsidR="00734DB5">
        <w:t xml:space="preserve">ssembly </w:t>
      </w:r>
      <w:r>
        <w:t>B</w:t>
      </w:r>
      <w:r w:rsidR="00734DB5">
        <w:t>ill</w:t>
      </w:r>
      <w:r>
        <w:t xml:space="preserve"> 205, t</w:t>
      </w:r>
      <w:r w:rsidRPr="00B170C8" w:rsidR="00B170C8">
        <w:t xml:space="preserve">he revenues </w:t>
      </w:r>
      <w:r w:rsidR="00312BDA">
        <w:t xml:space="preserve">from </w:t>
      </w:r>
      <w:r w:rsidR="00F53611">
        <w:t>the</w:t>
      </w:r>
      <w:r w:rsidR="00B170C8">
        <w:t xml:space="preserve"> </w:t>
      </w:r>
      <w:r w:rsidRPr="00B170C8" w:rsidR="00B170C8">
        <w:t xml:space="preserve">fixed charges will </w:t>
      </w:r>
      <w:r w:rsidR="005E4F67">
        <w:t>be used to</w:t>
      </w:r>
      <w:r>
        <w:t xml:space="preserve"> (a) ensure that </w:t>
      </w:r>
      <w:r w:rsidR="003E6F48">
        <w:t>a</w:t>
      </w:r>
      <w:r>
        <w:t xml:space="preserve"> </w:t>
      </w:r>
      <w:r w:rsidRPr="005D199E">
        <w:t>low-income customer</w:t>
      </w:r>
      <w:r w:rsidR="003E6F48">
        <w:t xml:space="preserve"> with average electricity usage</w:t>
      </w:r>
      <w:r w:rsidRPr="005D199E">
        <w:t xml:space="preserve"> will realize bill savings in each baseline territory without changes to usage</w:t>
      </w:r>
      <w:r>
        <w:t>, and (b) reduce volumetric rates for all residential customers.</w:t>
      </w:r>
      <w:r w:rsidR="00270CF5">
        <w:t xml:space="preserve"> </w:t>
      </w:r>
    </w:p>
    <w:p w:rsidR="000C1D0E" w:rsidP="000C1D0E" w:rsidRDefault="00E04E4A" w14:paraId="5D5F3017" w14:textId="7E3936B5">
      <w:pPr>
        <w:pStyle w:val="Standard"/>
      </w:pPr>
      <w:r w:rsidRPr="000C1D0E">
        <w:t xml:space="preserve">The </w:t>
      </w:r>
      <w:r w:rsidRPr="00F53611" w:rsidR="00F53611">
        <w:t>new billing structure shall apply to all residential rates</w:t>
      </w:r>
      <w:r w:rsidRPr="00F53611" w:rsidDel="00F53611" w:rsidR="00F53611">
        <w:t xml:space="preserve"> </w:t>
      </w:r>
      <w:r w:rsidR="00F53611">
        <w:t>of</w:t>
      </w:r>
      <w:r w:rsidR="009B0E96">
        <w:t xml:space="preserve"> the</w:t>
      </w:r>
      <w:r w:rsidRPr="000C1D0E">
        <w:t xml:space="preserve"> investor-owned electric utilities, except for master-metered rates that are not sub-metered, separately-metered electric vehicle rates for customers whose primary meter has an income-graduated fixed charge, or rate schedules that are scheduled to be eliminated by the second quarter of 2026.</w:t>
      </w:r>
      <w:r w:rsidR="00B6656B">
        <w:t xml:space="preserve"> </w:t>
      </w:r>
      <w:r w:rsidR="00BD45A1">
        <w:t xml:space="preserve">The revenues </w:t>
      </w:r>
      <w:r w:rsidR="00F53611">
        <w:t xml:space="preserve">from fixed charges </w:t>
      </w:r>
      <w:r w:rsidR="00BD45A1">
        <w:t xml:space="preserve">will be applied to </w:t>
      </w:r>
      <w:r w:rsidRPr="00BD45A1" w:rsidR="00BD45A1">
        <w:t>reduce volumetric rates equally across all time</w:t>
      </w:r>
      <w:r w:rsidR="00F53611">
        <w:t>-of-use</w:t>
      </w:r>
      <w:r w:rsidRPr="00BD45A1" w:rsidR="00BD45A1">
        <w:t xml:space="preserve"> periods.</w:t>
      </w:r>
    </w:p>
    <w:p w:rsidRPr="000C1D0E" w:rsidR="005F1340" w:rsidP="000C1D0E" w:rsidRDefault="00367047" w14:paraId="7C4D603C" w14:textId="3C57B745">
      <w:pPr>
        <w:pStyle w:val="Standard"/>
      </w:pPr>
      <w:r>
        <w:t xml:space="preserve">This decision approves </w:t>
      </w:r>
      <w:r w:rsidR="00A61727">
        <w:t>a</w:t>
      </w:r>
      <w:r w:rsidR="0069648E">
        <w:t>n aggregate</w:t>
      </w:r>
      <w:r w:rsidR="00A61727">
        <w:t xml:space="preserve"> total of </w:t>
      </w:r>
      <w:r w:rsidR="00F0293B">
        <w:t xml:space="preserve">up to </w:t>
      </w:r>
      <w:r w:rsidR="00A61727">
        <w:t xml:space="preserve">$35.6 million </w:t>
      </w:r>
      <w:r w:rsidR="00847EE4">
        <w:t xml:space="preserve">for the </w:t>
      </w:r>
      <w:r w:rsidR="00F53611">
        <w:t xml:space="preserve">implementation costs of the </w:t>
      </w:r>
      <w:r w:rsidR="00A61727">
        <w:t xml:space="preserve">three </w:t>
      </w:r>
      <w:r w:rsidR="00847EE4">
        <w:t xml:space="preserve">large utilities. </w:t>
      </w:r>
      <w:r w:rsidR="004C5742">
        <w:t xml:space="preserve">Each of the large utilities shall propose a plan and budget for customer education and outreach </w:t>
      </w:r>
      <w:r w:rsidR="00DE6DE8">
        <w:t>through a Tier 3 advice letter.</w:t>
      </w:r>
    </w:p>
    <w:p w:rsidR="0041779D" w:rsidP="000A3071" w:rsidRDefault="002736EA" w14:paraId="22763CD9" w14:textId="5104D741">
      <w:pPr>
        <w:pStyle w:val="Standard"/>
      </w:pPr>
      <w:r>
        <w:t xml:space="preserve">This decision </w:t>
      </w:r>
      <w:r w:rsidR="00307083">
        <w:t>approves the settlement agreement</w:t>
      </w:r>
      <w:r w:rsidR="00665626">
        <w:t xml:space="preserve"> regarding </w:t>
      </w:r>
      <w:r w:rsidR="006023A7">
        <w:t>Assembly Bill 205 implementation</w:t>
      </w:r>
      <w:r w:rsidR="00307083">
        <w:t xml:space="preserve"> between </w:t>
      </w:r>
      <w:r w:rsidRPr="0012073F" w:rsidR="0012073F">
        <w:t>Bear Valley Electric Service, Inc., Liberty Utilities, PacificCorp d/b/a Pacific Power</w:t>
      </w:r>
      <w:r w:rsidR="0012073F">
        <w:t>,</w:t>
      </w:r>
      <w:r w:rsidRPr="0012073F" w:rsidR="0012073F">
        <w:t xml:space="preserve"> </w:t>
      </w:r>
      <w:r w:rsidR="00307083">
        <w:t xml:space="preserve">and </w:t>
      </w:r>
      <w:r w:rsidR="0041779D">
        <w:t>the Public Advocates Office at the California Public Utilities Commission</w:t>
      </w:r>
      <w:r w:rsidR="004813C7">
        <w:t>,</w:t>
      </w:r>
      <w:r w:rsidR="0041779D">
        <w:t xml:space="preserve"> </w:t>
      </w:r>
      <w:r w:rsidRPr="00BE4A0B" w:rsidR="00BE4A0B">
        <w:t>with exceptions to ensure compliance with statutory requirements</w:t>
      </w:r>
      <w:r w:rsidRPr="0041779D" w:rsidR="0041779D">
        <w:t xml:space="preserve">. </w:t>
      </w:r>
      <w:r w:rsidR="009A2F94">
        <w:t>The</w:t>
      </w:r>
      <w:r w:rsidR="001F52FD">
        <w:t xml:space="preserve"> small and multijurisdictional utilities shall each file </w:t>
      </w:r>
      <w:r w:rsidR="00B47005">
        <w:t>a</w:t>
      </w:r>
      <w:r w:rsidRPr="0041779D" w:rsidR="0041779D">
        <w:t xml:space="preserve"> Tier 3 advice letter</w:t>
      </w:r>
      <w:r w:rsidR="00B47005">
        <w:t xml:space="preserve"> </w:t>
      </w:r>
      <w:r w:rsidR="001F52FD">
        <w:t>to p</w:t>
      </w:r>
      <w:r w:rsidR="00F06AD5">
        <w:t>rovide additional information about base revenues, propose a customer education and outreach plan, and propose</w:t>
      </w:r>
      <w:r w:rsidR="005F1340">
        <w:t xml:space="preserve"> an</w:t>
      </w:r>
      <w:r w:rsidR="00F06AD5">
        <w:t xml:space="preserve"> implementation budget.</w:t>
      </w:r>
    </w:p>
    <w:p w:rsidR="00B33C5D" w:rsidP="00EC10EF" w:rsidRDefault="0057697E" w14:paraId="5455972C" w14:textId="7F11F495">
      <w:pPr>
        <w:pStyle w:val="Standard"/>
      </w:pPr>
      <w:r>
        <w:lastRenderedPageBreak/>
        <w:t xml:space="preserve">This decision also </w:t>
      </w:r>
      <w:r w:rsidRPr="00E728F9" w:rsidR="00E728F9">
        <w:t>adjust</w:t>
      </w:r>
      <w:r w:rsidR="00D25F82">
        <w:t>s</w:t>
      </w:r>
      <w:r w:rsidRPr="00E728F9" w:rsidR="00E728F9">
        <w:t xml:space="preserve"> the </w:t>
      </w:r>
      <w:r w:rsidR="006A7330">
        <w:t xml:space="preserve">methodology for calculating the </w:t>
      </w:r>
      <w:r w:rsidR="008B14F0">
        <w:t>l</w:t>
      </w:r>
      <w:r w:rsidR="006A7330">
        <w:t xml:space="preserve">arge </w:t>
      </w:r>
      <w:r w:rsidR="008B14F0">
        <w:t>u</w:t>
      </w:r>
      <w:r w:rsidR="006A7330">
        <w:t>tilities’</w:t>
      </w:r>
      <w:r w:rsidRPr="00E728F9" w:rsidR="00E728F9">
        <w:t xml:space="preserve"> average effective discount for California Alternate Rates for Energy </w:t>
      </w:r>
      <w:r w:rsidR="00D25F82">
        <w:t>in accordance with Assembly Bill 205.</w:t>
      </w:r>
      <w:r w:rsidR="00EC10EF">
        <w:t xml:space="preserve"> </w:t>
      </w:r>
    </w:p>
    <w:p w:rsidR="000A12F5" w:rsidP="00EC10EF" w:rsidRDefault="00B33C5D" w14:paraId="209DCFBA" w14:textId="00309FE8">
      <w:pPr>
        <w:pStyle w:val="Standard"/>
      </w:pPr>
      <w:r>
        <w:t xml:space="preserve">This decision addresses all Phase 1 Track A issues. </w:t>
      </w:r>
      <w:r w:rsidR="00186C20">
        <w:t xml:space="preserve">This proceeding remains open to address </w:t>
      </w:r>
      <w:r w:rsidR="009C1112">
        <w:t>the remaining</w:t>
      </w:r>
      <w:r w:rsidR="00EC10EF">
        <w:t xml:space="preserve"> Phase 1 </w:t>
      </w:r>
      <w:r w:rsidR="00CE78DD">
        <w:t>Track B</w:t>
      </w:r>
      <w:r w:rsidR="00EC10EF">
        <w:t xml:space="preserve"> issues.</w:t>
      </w:r>
    </w:p>
    <w:p w:rsidRPr="00121089" w:rsidR="005A148C" w:rsidP="00AD3531" w:rsidRDefault="002C7FE9" w14:paraId="785E2756" w14:textId="77777777">
      <w:pPr>
        <w:pStyle w:val="Heading1"/>
        <w:numPr>
          <w:ilvl w:val="0"/>
          <w:numId w:val="17"/>
        </w:numPr>
      </w:pPr>
      <w:bookmarkStart w:name="_Toc8123715" w:id="5"/>
      <w:bookmarkStart w:name="_Toc160790023" w:id="6"/>
      <w:r w:rsidRPr="00121089">
        <w:t>Background</w:t>
      </w:r>
      <w:bookmarkEnd w:id="5"/>
      <w:bookmarkEnd w:id="6"/>
    </w:p>
    <w:p w:rsidRPr="008D2161" w:rsidR="00945B56" w:rsidP="00945B56" w:rsidRDefault="003F7E2A" w14:paraId="14D70E0E" w14:textId="40A6C44D">
      <w:pPr>
        <w:pStyle w:val="Standard"/>
      </w:pPr>
      <w:r w:rsidRPr="003F7E2A">
        <w:t xml:space="preserve">On June 30, 2022, Assembly Bill (AB) 205, Stats. 2022, ch. 61 was signed into law. </w:t>
      </w:r>
      <w:r w:rsidRPr="008D2161" w:rsidR="00945B56">
        <w:t>On July 14, 2022, the Commission issued an Order Instituting Rulemaking to establish demand flexibility policies and modify electric rates to advance the following objectives: (a) enhance the reliability of California’s electric system; (b) make electric bills more affordable and equitable; (c) reduce the curtailment of renewable energy and greenhouse gas emissions associated with meeting the state’s future system load; (d) enable widespread electrification of buildings and transportation to meet the state’s climate goals; (e) reduce long</w:t>
      </w:r>
      <w:r w:rsidR="73052F7D">
        <w:t xml:space="preserve"> </w:t>
      </w:r>
      <w:r w:rsidRPr="008D2161" w:rsidR="00945B56">
        <w:t>term system costs through more efficient pricing of electricity; and (f) enable participation in demand flexibility by both bundled and unbundled customers.</w:t>
      </w:r>
    </w:p>
    <w:p w:rsidR="00016D50" w:rsidP="008B048B" w:rsidRDefault="00945B56" w14:paraId="1AD2A89D" w14:textId="0A8E2E45">
      <w:pPr>
        <w:pStyle w:val="Standard"/>
      </w:pPr>
      <w:r w:rsidRPr="008D2161">
        <w:t>The assigned Administrative Law Judge (ALJ)</w:t>
      </w:r>
      <w:r w:rsidR="00B043D8">
        <w:t xml:space="preserve"> Wang</w:t>
      </w:r>
      <w:r w:rsidRPr="008D2161">
        <w:t xml:space="preserve"> held a prehearing conference on September 16, 2022. The assigned Commissioner issued a </w:t>
      </w:r>
      <w:r w:rsidR="009E3914">
        <w:t xml:space="preserve">Phase 1 </w:t>
      </w:r>
      <w:r w:rsidRPr="008D2161">
        <w:t>Scoping Memo and Ruling (</w:t>
      </w:r>
      <w:r>
        <w:t>S</w:t>
      </w:r>
      <w:r w:rsidRPr="008D2161">
        <w:t xml:space="preserve">coping </w:t>
      </w:r>
      <w:r>
        <w:t>M</w:t>
      </w:r>
      <w:r w:rsidRPr="008D2161">
        <w:t>emo) on November 2, 2022</w:t>
      </w:r>
      <w:r w:rsidR="00B76734">
        <w:t>,</w:t>
      </w:r>
      <w:r>
        <w:t xml:space="preserve"> that </w:t>
      </w:r>
      <w:r w:rsidR="009E3914">
        <w:t xml:space="preserve">established Track A of this proceeding to </w:t>
      </w:r>
      <w:r w:rsidR="00CC7540">
        <w:t>determine</w:t>
      </w:r>
      <w:r w:rsidR="0092308C">
        <w:t xml:space="preserve"> how </w:t>
      </w:r>
      <w:r w:rsidR="00CC7540">
        <w:t xml:space="preserve">to </w:t>
      </w:r>
      <w:r w:rsidR="0092308C">
        <w:t xml:space="preserve">implement the requirements of </w:t>
      </w:r>
      <w:r w:rsidR="000F6AAA">
        <w:t>AB 205</w:t>
      </w:r>
      <w:r w:rsidR="00967D85">
        <w:t>.</w:t>
      </w:r>
      <w:r w:rsidR="008B048B">
        <w:t xml:space="preserve"> </w:t>
      </w:r>
      <w:r w:rsidR="00016D50">
        <w:t xml:space="preserve">The Scoping Memo directed parties to file </w:t>
      </w:r>
      <w:r w:rsidR="009A778D">
        <w:t>concurrent opening testimony with proposals for implementing AB 205.</w:t>
      </w:r>
      <w:r w:rsidR="000D6945">
        <w:t xml:space="preserve"> </w:t>
      </w:r>
    </w:p>
    <w:p w:rsidR="00763F2B" w:rsidP="005F6D85" w:rsidRDefault="00763F2B" w14:paraId="4DF11CE5" w14:textId="32CBAAD0">
      <w:pPr>
        <w:pStyle w:val="Standard"/>
      </w:pPr>
      <w:r>
        <w:t xml:space="preserve">On </w:t>
      </w:r>
      <w:r w:rsidRPr="00763F2B">
        <w:t xml:space="preserve">November 29, 2022, the Commission’s Energy Division held a </w:t>
      </w:r>
      <w:r w:rsidR="005C468F">
        <w:t xml:space="preserve">public </w:t>
      </w:r>
      <w:r w:rsidRPr="00763F2B">
        <w:t xml:space="preserve">workshop to </w:t>
      </w:r>
      <w:r w:rsidR="00C419FB">
        <w:t xml:space="preserve">discuss </w:t>
      </w:r>
      <w:r w:rsidR="00967D85">
        <w:t xml:space="preserve">how to interpret </w:t>
      </w:r>
      <w:r w:rsidR="00BF28DF">
        <w:t xml:space="preserve">the </w:t>
      </w:r>
      <w:r w:rsidRPr="00967D85" w:rsidR="00967D85">
        <w:t>AB 205 amendments to the Public Utilities Code (Pub. Util. Code).</w:t>
      </w:r>
    </w:p>
    <w:p w:rsidR="001D0627" w:rsidP="005B5C15" w:rsidRDefault="00967CDD" w14:paraId="37F5F255" w14:textId="124C979B">
      <w:pPr>
        <w:pStyle w:val="Standard"/>
      </w:pPr>
      <w:r>
        <w:lastRenderedPageBreak/>
        <w:t xml:space="preserve">On </w:t>
      </w:r>
      <w:r w:rsidR="003B70EB">
        <w:t>December 9, 2022</w:t>
      </w:r>
      <w:r>
        <w:t xml:space="preserve">, ALJ </w:t>
      </w:r>
      <w:r w:rsidR="00B043D8">
        <w:t xml:space="preserve">Wang </w:t>
      </w:r>
      <w:r w:rsidR="003B70EB">
        <w:t>issued a ruling to request statutory interpretation</w:t>
      </w:r>
      <w:r w:rsidR="00CC2662">
        <w:t xml:space="preserve"> briefs</w:t>
      </w:r>
      <w:r w:rsidR="00AC6BA8">
        <w:t xml:space="preserve">. </w:t>
      </w:r>
      <w:r w:rsidR="001F2C55">
        <w:t xml:space="preserve">The following parties </w:t>
      </w:r>
      <w:r w:rsidR="00CC6CCB">
        <w:t xml:space="preserve">filed opening statutory </w:t>
      </w:r>
      <w:r w:rsidR="005C468F">
        <w:t xml:space="preserve">interpretation </w:t>
      </w:r>
      <w:r w:rsidR="00CC6CCB">
        <w:t xml:space="preserve">briefs </w:t>
      </w:r>
      <w:r w:rsidR="006E7957">
        <w:t>by</w:t>
      </w:r>
      <w:r w:rsidR="00E762EF">
        <w:t xml:space="preserve"> January 2</w:t>
      </w:r>
      <w:r w:rsidR="006E7957">
        <w:t>3</w:t>
      </w:r>
      <w:r w:rsidR="00E762EF">
        <w:t>, 2023</w:t>
      </w:r>
      <w:r w:rsidR="001F2C55">
        <w:t>,</w:t>
      </w:r>
      <w:r w:rsidR="006E7957">
        <w:rPr>
          <w:rStyle w:val="FootnoteReference"/>
        </w:rPr>
        <w:footnoteReference w:id="2"/>
      </w:r>
      <w:r w:rsidR="001F2C55">
        <w:t xml:space="preserve"> or</w:t>
      </w:r>
      <w:r w:rsidR="00E762EF">
        <w:t xml:space="preserve"> </w:t>
      </w:r>
      <w:r w:rsidR="006E7957">
        <w:t xml:space="preserve">reply briefs by </w:t>
      </w:r>
      <w:r w:rsidR="003476E5">
        <w:t>February 13, 2023</w:t>
      </w:r>
      <w:r w:rsidR="000B5CA0">
        <w:t>:</w:t>
      </w:r>
      <w:r w:rsidR="00F11B82">
        <w:rPr>
          <w:rStyle w:val="FootnoteReference"/>
        </w:rPr>
        <w:footnoteReference w:id="3"/>
      </w:r>
      <w:r w:rsidR="00D200C8">
        <w:t xml:space="preserve"> </w:t>
      </w:r>
      <w:r w:rsidRPr="001D0627" w:rsidR="001D0627">
        <w:t>California Community Choice Association (CalCCA)</w:t>
      </w:r>
      <w:r w:rsidR="001D0627">
        <w:t xml:space="preserve">; </w:t>
      </w:r>
      <w:r w:rsidRPr="001D0627" w:rsidR="001D0627">
        <w:t>Center for Accessible Technology</w:t>
      </w:r>
      <w:r w:rsidR="00731E4E">
        <w:t xml:space="preserve"> (CforAT)</w:t>
      </w:r>
      <w:r w:rsidR="001D0627">
        <w:t xml:space="preserve">; </w:t>
      </w:r>
      <w:r w:rsidR="0063365B">
        <w:t xml:space="preserve">Clean Coalition; </w:t>
      </w:r>
      <w:r w:rsidRPr="00003D53" w:rsidR="00003D53">
        <w:t>Coalition of California Utility Employees</w:t>
      </w:r>
      <w:r w:rsidR="005912B7">
        <w:t xml:space="preserve"> (CUE)</w:t>
      </w:r>
      <w:r w:rsidR="00003D53">
        <w:t xml:space="preserve">; </w:t>
      </w:r>
      <w:r w:rsidR="00BA12AE">
        <w:t>P</w:t>
      </w:r>
      <w:r w:rsidRPr="00BA12AE" w:rsidR="00BA12AE">
        <w:t>acific Gas and Electric Company (PG&amp;E), Southern California Edison Company (SCE), and San Diego Gas &amp; Electric Company (together, the Large Utilities)</w:t>
      </w:r>
      <w:r w:rsidR="006C4849">
        <w:t>;</w:t>
      </w:r>
      <w:r w:rsidR="0018796F">
        <w:t xml:space="preserve"> </w:t>
      </w:r>
      <w:r w:rsidRPr="00B643D9" w:rsidR="00B643D9">
        <w:t>Public Advocates Office at the California Public Utilities Commission (Cal Advocates)</w:t>
      </w:r>
      <w:r w:rsidR="006C4849">
        <w:t xml:space="preserve">; </w:t>
      </w:r>
      <w:r w:rsidRPr="00B643D9" w:rsidR="00B643D9">
        <w:t>California Environmental Justice Alliance (CEJA)</w:t>
      </w:r>
      <w:r w:rsidR="00B643D9">
        <w:t xml:space="preserve"> and</w:t>
      </w:r>
      <w:r w:rsidR="00EE2D01">
        <w:t xml:space="preserve"> </w:t>
      </w:r>
      <w:r w:rsidR="00B643D9">
        <w:t>Sierra Club</w:t>
      </w:r>
      <w:r w:rsidR="0018796F">
        <w:t>;</w:t>
      </w:r>
      <w:r w:rsidR="006C4849">
        <w:t xml:space="preserve"> </w:t>
      </w:r>
      <w:r w:rsidRPr="001B65C2" w:rsidR="001B65C2">
        <w:t>Solar Energy Industries Association (SEIA)</w:t>
      </w:r>
      <w:r w:rsidR="00BA12AE">
        <w:t xml:space="preserve">; and </w:t>
      </w:r>
      <w:r w:rsidRPr="00BA12AE" w:rsidR="00BA12AE">
        <w:t>The Utility Reform Network and Natural Resources Defense Council (TURN/NRDC)</w:t>
      </w:r>
      <w:r w:rsidR="00BA12AE">
        <w:t>.</w:t>
      </w:r>
      <w:r w:rsidR="00D32136">
        <w:t xml:space="preserve"> </w:t>
      </w:r>
    </w:p>
    <w:p w:rsidR="00935CFB" w:rsidP="00945B56" w:rsidRDefault="00AC6BA8" w14:paraId="1FB9E54E" w14:textId="0678C888">
      <w:pPr>
        <w:pStyle w:val="Standard"/>
      </w:pPr>
      <w:r>
        <w:t xml:space="preserve">On </w:t>
      </w:r>
      <w:r w:rsidR="00042C26">
        <w:t>January 17, 2023</w:t>
      </w:r>
      <w:r w:rsidR="00631E16">
        <w:t>,</w:t>
      </w:r>
      <w:r w:rsidR="001257AB">
        <w:t xml:space="preserve"> and</w:t>
      </w:r>
      <w:r w:rsidR="00631E16">
        <w:t xml:space="preserve"> on</w:t>
      </w:r>
      <w:r w:rsidR="001257AB">
        <w:t xml:space="preserve"> </w:t>
      </w:r>
      <w:r w:rsidR="00631E16">
        <w:t>March 23, 2023</w:t>
      </w:r>
      <w:r w:rsidR="00042C26">
        <w:t xml:space="preserve">, ALJ </w:t>
      </w:r>
      <w:r w:rsidR="00F9678C">
        <w:t xml:space="preserve">Wang </w:t>
      </w:r>
      <w:r w:rsidR="00042C26">
        <w:t>issued</w:t>
      </w:r>
      <w:r w:rsidR="003476E5">
        <w:t xml:space="preserve"> a</w:t>
      </w:r>
      <w:r w:rsidR="00631E16">
        <w:t xml:space="preserve"> </w:t>
      </w:r>
      <w:r w:rsidR="00042C26">
        <w:t xml:space="preserve">ruling </w:t>
      </w:r>
      <w:r w:rsidR="00DA619E">
        <w:t xml:space="preserve">that </w:t>
      </w:r>
      <w:r w:rsidR="00042C26">
        <w:t>provid</w:t>
      </w:r>
      <w:r w:rsidR="00DA619E">
        <w:t>ed</w:t>
      </w:r>
      <w:r w:rsidR="00042C26">
        <w:t xml:space="preserve"> guidance </w:t>
      </w:r>
      <w:r w:rsidR="00B76734">
        <w:t>to</w:t>
      </w:r>
      <w:r w:rsidR="00BE736A">
        <w:t xml:space="preserve"> parties to serve</w:t>
      </w:r>
      <w:r w:rsidR="00042C26">
        <w:t xml:space="preserve"> </w:t>
      </w:r>
      <w:r w:rsidR="00BC05DC">
        <w:t xml:space="preserve">income-graduated fixed charge </w:t>
      </w:r>
      <w:r w:rsidR="001257AB">
        <w:t>proposals</w:t>
      </w:r>
      <w:r w:rsidR="00685D00">
        <w:t xml:space="preserve"> as concurrent opening testimony</w:t>
      </w:r>
      <w:r w:rsidR="001257AB">
        <w:t>.</w:t>
      </w:r>
      <w:r w:rsidR="000B4F06">
        <w:t xml:space="preserve"> </w:t>
      </w:r>
    </w:p>
    <w:p w:rsidR="00C8383A" w:rsidP="009C7213" w:rsidRDefault="00C8383A" w14:paraId="7F297C9D" w14:textId="4E15AC3D">
      <w:pPr>
        <w:pStyle w:val="Standard"/>
      </w:pPr>
      <w:r>
        <w:t>On April 6, 2023, the Commission issued De</w:t>
      </w:r>
      <w:r w:rsidR="009A0A81">
        <w:t xml:space="preserve">cision (D.) </w:t>
      </w:r>
      <w:r w:rsidRPr="009A0A81" w:rsidR="009A0A81">
        <w:t>23-04-008</w:t>
      </w:r>
      <w:r w:rsidR="009A0A81">
        <w:t xml:space="preserve"> to authorize </w:t>
      </w:r>
      <w:r w:rsidR="004C4652">
        <w:t xml:space="preserve">a scope of work and budget for a third-party contractor to </w:t>
      </w:r>
      <w:r w:rsidR="008374DA">
        <w:t xml:space="preserve">develop a </w:t>
      </w:r>
      <w:r w:rsidR="00DD0946">
        <w:t xml:space="preserve">public </w:t>
      </w:r>
      <w:r w:rsidR="008374DA">
        <w:t>spreadsheet tool</w:t>
      </w:r>
      <w:r w:rsidR="009C7213">
        <w:t xml:space="preserve"> (</w:t>
      </w:r>
      <w:r w:rsidR="00DD0946">
        <w:t>Public</w:t>
      </w:r>
      <w:r w:rsidR="009C7213">
        <w:t xml:space="preserve"> Tool)</w:t>
      </w:r>
      <w:r w:rsidR="008374DA">
        <w:t xml:space="preserve"> to allow parties to understand the volumetric rate impact associated with a chosen </w:t>
      </w:r>
      <w:r w:rsidR="009C7213">
        <w:t xml:space="preserve">income-graduated </w:t>
      </w:r>
      <w:r w:rsidR="008374DA">
        <w:t>fixed charge, and to design an income-graduated fixed charge that allows</w:t>
      </w:r>
      <w:r w:rsidR="009C7213">
        <w:t xml:space="preserve"> </w:t>
      </w:r>
      <w:r w:rsidR="008374DA">
        <w:t>for equitable revenue collection while avoiding a revenue shortfall.</w:t>
      </w:r>
    </w:p>
    <w:p w:rsidR="00B7667C" w:rsidP="009508CB" w:rsidRDefault="00B7667C" w14:paraId="37FC42E4" w14:textId="105A73B5">
      <w:pPr>
        <w:pStyle w:val="Standard"/>
      </w:pPr>
      <w:r w:rsidRPr="00B7667C">
        <w:t xml:space="preserve">The following </w:t>
      </w:r>
      <w:r w:rsidR="00E4162C">
        <w:t>p</w:t>
      </w:r>
      <w:r w:rsidRPr="00B7667C">
        <w:t xml:space="preserve">arties served income-graduated fixed charge proposals </w:t>
      </w:r>
      <w:r>
        <w:t>in</w:t>
      </w:r>
      <w:r w:rsidRPr="00B7667C">
        <w:t xml:space="preserve"> </w:t>
      </w:r>
      <w:r w:rsidR="00204476">
        <w:t xml:space="preserve">concurrent </w:t>
      </w:r>
      <w:r w:rsidRPr="00B7667C">
        <w:t>opening testimony</w:t>
      </w:r>
      <w:r>
        <w:t xml:space="preserve"> </w:t>
      </w:r>
      <w:r w:rsidR="00204476">
        <w:t>by April 7,</w:t>
      </w:r>
      <w:r>
        <w:t xml:space="preserve"> 2023,</w:t>
      </w:r>
      <w:r w:rsidRPr="00B7667C">
        <w:t xml:space="preserve"> </w:t>
      </w:r>
      <w:r>
        <w:t>or in</w:t>
      </w:r>
      <w:r w:rsidRPr="00B7667C">
        <w:t xml:space="preserve"> </w:t>
      </w:r>
      <w:r w:rsidR="00204476">
        <w:t xml:space="preserve">concurrent </w:t>
      </w:r>
      <w:r w:rsidRPr="00B7667C">
        <w:t>reply testimony</w:t>
      </w:r>
      <w:r>
        <w:t xml:space="preserve"> </w:t>
      </w:r>
      <w:r w:rsidR="00204476">
        <w:t>by June 2</w:t>
      </w:r>
      <w:r>
        <w:t>, 2023</w:t>
      </w:r>
      <w:r w:rsidRPr="00B7667C">
        <w:t xml:space="preserve">: </w:t>
      </w:r>
      <w:r w:rsidR="00046861">
        <w:t xml:space="preserve">Bear Valley Electric Service, Inc. (Bear Valley); </w:t>
      </w:r>
      <w:r w:rsidRPr="001B65C2" w:rsidR="001B65C2">
        <w:t xml:space="preserve">Cal Advocates; </w:t>
      </w:r>
      <w:r w:rsidRPr="001B65C2" w:rsidR="001B65C2">
        <w:lastRenderedPageBreak/>
        <w:t>CEJA; the Clean Coalition; Liberty Utilities; the Large Utilities; NRDC/TURN; PacificCorp d/b/a Pacific Power (PacifiCorp); Sierra Club; and SEIA.</w:t>
      </w:r>
    </w:p>
    <w:p w:rsidR="00AD1D1C" w:rsidP="009508CB" w:rsidRDefault="00AD1D1C" w14:paraId="4A709C8D" w14:textId="071AD883">
      <w:pPr>
        <w:pStyle w:val="Standard"/>
      </w:pPr>
      <w:r>
        <w:t xml:space="preserve">The following </w:t>
      </w:r>
      <w:r w:rsidR="003E7B94">
        <w:t xml:space="preserve">additional </w:t>
      </w:r>
      <w:r>
        <w:t xml:space="preserve">parties </w:t>
      </w:r>
      <w:r w:rsidR="00A5734A">
        <w:t>served</w:t>
      </w:r>
      <w:r>
        <w:t xml:space="preserve"> reply</w:t>
      </w:r>
      <w:r w:rsidR="003E7B94">
        <w:t xml:space="preserve"> testimony to address parties’ income-graduated fixed charge proposals by June 2, 2023: </w:t>
      </w:r>
      <w:r w:rsidRPr="001B65C2" w:rsidR="009508CB">
        <w:t xml:space="preserve">Advanced Energy United; CalCCA; </w:t>
      </w:r>
      <w:r w:rsidR="00731E4E">
        <w:t>CforAT</w:t>
      </w:r>
      <w:r w:rsidRPr="001B65C2" w:rsidR="009508CB">
        <w:t>; and Utility Consumers’ Action Network.</w:t>
      </w:r>
    </w:p>
    <w:p w:rsidR="001257AB" w:rsidP="00945B56" w:rsidRDefault="001257AB" w14:paraId="63AEC307" w14:textId="4E0A807F">
      <w:pPr>
        <w:pStyle w:val="Standard"/>
      </w:pPr>
      <w:r>
        <w:t xml:space="preserve">On </w:t>
      </w:r>
      <w:r w:rsidR="00F22E9F">
        <w:t>June 19, 2023, ALJ</w:t>
      </w:r>
      <w:r w:rsidR="00F9678C">
        <w:t xml:space="preserve"> Wang</w:t>
      </w:r>
      <w:r w:rsidR="00F22E9F">
        <w:t xml:space="preserve"> issued a ruling</w:t>
      </w:r>
      <w:r w:rsidR="00A60028">
        <w:t xml:space="preserve"> </w:t>
      </w:r>
      <w:r w:rsidR="00DA619E">
        <w:t>that requested</w:t>
      </w:r>
      <w:r w:rsidR="00F22E9F">
        <w:t xml:space="preserve"> comments on the implementation pathway for </w:t>
      </w:r>
      <w:r w:rsidR="00A60028">
        <w:t xml:space="preserve">income-graduated fixed charges. </w:t>
      </w:r>
      <w:r w:rsidR="00A92D54">
        <w:t xml:space="preserve">The following parties filed comments </w:t>
      </w:r>
      <w:r w:rsidR="00AF5D90">
        <w:t xml:space="preserve">by July 31, 2023, </w:t>
      </w:r>
      <w:r w:rsidR="0020752A">
        <w:t xml:space="preserve">or replies </w:t>
      </w:r>
      <w:r w:rsidR="00AF5D90">
        <w:t xml:space="preserve">by </w:t>
      </w:r>
      <w:r w:rsidR="00083B74">
        <w:t>August 21</w:t>
      </w:r>
      <w:r w:rsidR="00AF5D90">
        <w:t>, 2023</w:t>
      </w:r>
      <w:r w:rsidR="0020752A">
        <w:t>:</w:t>
      </w:r>
      <w:r w:rsidR="008B0678">
        <w:t xml:space="preserve"> </w:t>
      </w:r>
      <w:r w:rsidRPr="00137DF3" w:rsidR="00137DF3">
        <w:t>Advanced Energy United</w:t>
      </w:r>
      <w:r w:rsidR="00137DF3">
        <w:t xml:space="preserve">; </w:t>
      </w:r>
      <w:r w:rsidRPr="00137DF3" w:rsidR="00137DF3">
        <w:t>Alexis K. Wodtke</w:t>
      </w:r>
      <w:r w:rsidR="00137DF3">
        <w:t xml:space="preserve">; </w:t>
      </w:r>
      <w:r w:rsidR="008C09AF">
        <w:t xml:space="preserve">Bear Valley; </w:t>
      </w:r>
      <w:r w:rsidR="00137DF3">
        <w:t xml:space="preserve">Cal Advocates; </w:t>
      </w:r>
      <w:r w:rsidRPr="008B0678" w:rsidR="008B0678">
        <w:t>California Energy Storage Alliance</w:t>
      </w:r>
      <w:r w:rsidR="008B0678">
        <w:t>;</w:t>
      </w:r>
      <w:r w:rsidR="0020752A">
        <w:t xml:space="preserve"> </w:t>
      </w:r>
      <w:r w:rsidR="00E60F71">
        <w:t xml:space="preserve">CalCCA; </w:t>
      </w:r>
      <w:r w:rsidRPr="008B0678" w:rsidR="008B0678">
        <w:t>California Solar &amp; Storage Association</w:t>
      </w:r>
      <w:r w:rsidR="008B0678">
        <w:t xml:space="preserve">; </w:t>
      </w:r>
      <w:r w:rsidR="00922860">
        <w:t>CEJA and Sierra Club;</w:t>
      </w:r>
      <w:r w:rsidR="00146B6A">
        <w:t xml:space="preserve"> </w:t>
      </w:r>
      <w:r w:rsidRPr="00146B6A" w:rsidR="00146B6A">
        <w:t>California Efficiency + Demand Management Council</w:t>
      </w:r>
      <w:r w:rsidR="00146B6A">
        <w:t xml:space="preserve">; </w:t>
      </w:r>
      <w:r w:rsidR="00000545">
        <w:t xml:space="preserve">Clean Coalition; </w:t>
      </w:r>
      <w:r w:rsidR="005912B7">
        <w:t>CUE</w:t>
      </w:r>
      <w:r w:rsidR="00000545">
        <w:t xml:space="preserve">; Liberty Utilities; </w:t>
      </w:r>
      <w:r w:rsidR="00146B6A">
        <w:t xml:space="preserve">SEIA; </w:t>
      </w:r>
      <w:r w:rsidRPr="001B65C2" w:rsidR="00E60F71">
        <w:t>Utility Consumers’ Action Network</w:t>
      </w:r>
      <w:r w:rsidR="00E60F71">
        <w:t xml:space="preserve">; </w:t>
      </w:r>
      <w:r w:rsidR="00631091">
        <w:t>We</w:t>
      </w:r>
      <w:r w:rsidRPr="00146B6A" w:rsidR="00146B6A">
        <w:t>stern Manufactured Housing Communities Association</w:t>
      </w:r>
      <w:r w:rsidR="00631091">
        <w:t xml:space="preserve">; and </w:t>
      </w:r>
      <w:r w:rsidRPr="00631091" w:rsidR="00631091">
        <w:t>350 Bay Area</w:t>
      </w:r>
      <w:r w:rsidR="00631091">
        <w:t>.</w:t>
      </w:r>
    </w:p>
    <w:p w:rsidR="00D95539" w:rsidP="00945B56" w:rsidRDefault="00F24F03" w14:paraId="6B5BB988" w14:textId="30F0AAC3">
      <w:pPr>
        <w:pStyle w:val="Standard"/>
      </w:pPr>
      <w:r w:rsidRPr="00F24F03">
        <w:t xml:space="preserve">On August 2, 2023, </w:t>
      </w:r>
      <w:r w:rsidR="00F9678C">
        <w:t>ALJ Wang</w:t>
      </w:r>
      <w:r w:rsidRPr="00F24F03">
        <w:t xml:space="preserve"> issued a ruling to deny a motion to dismiss this rulemaking</w:t>
      </w:r>
      <w:r>
        <w:t>.</w:t>
      </w:r>
      <w:r w:rsidR="009D1878">
        <w:t xml:space="preserve"> </w:t>
      </w:r>
      <w:r w:rsidR="00C45EE5">
        <w:t xml:space="preserve">On August 15, 2023, </w:t>
      </w:r>
      <w:r w:rsidR="00F9678C">
        <w:t>ALJ</w:t>
      </w:r>
      <w:r w:rsidR="007D0DCB">
        <w:t xml:space="preserve"> </w:t>
      </w:r>
      <w:r w:rsidR="00F9678C">
        <w:t>Wang</w:t>
      </w:r>
      <w:r w:rsidR="007D0DCB">
        <w:t xml:space="preserve"> issued a ruling to deny a motion for public participation hearings</w:t>
      </w:r>
      <w:r w:rsidR="00A5734A">
        <w:t>,</w:t>
      </w:r>
      <w:r w:rsidR="00052ED6">
        <w:t xml:space="preserve"> because </w:t>
      </w:r>
      <w:r w:rsidR="005258EC">
        <w:t>the motion was not timely</w:t>
      </w:r>
      <w:r w:rsidR="00FE6BAD">
        <w:t>.</w:t>
      </w:r>
      <w:r w:rsidR="009D1878">
        <w:t xml:space="preserve"> </w:t>
      </w:r>
      <w:r w:rsidR="00D95539">
        <w:t>On August 22, 2023</w:t>
      </w:r>
      <w:r w:rsidR="007E4657">
        <w:t>, and on August 24, 2023</w:t>
      </w:r>
      <w:r w:rsidR="00D95539">
        <w:t xml:space="preserve">, ALJ </w:t>
      </w:r>
      <w:r w:rsidR="00F9678C">
        <w:t xml:space="preserve">Wang </w:t>
      </w:r>
      <w:r w:rsidR="007E4657">
        <w:t xml:space="preserve">issued rulings to </w:t>
      </w:r>
      <w:r w:rsidR="006C0D47">
        <w:t>remove evidentiary hearings</w:t>
      </w:r>
      <w:r w:rsidR="00455D57">
        <w:t>,</w:t>
      </w:r>
      <w:r w:rsidR="006C0D47">
        <w:t xml:space="preserve"> </w:t>
      </w:r>
      <w:r w:rsidR="00153642">
        <w:t>provide guidance for opening briefs</w:t>
      </w:r>
      <w:r w:rsidR="00455D57">
        <w:t>, and provide directions for filing an exhibits motion.</w:t>
      </w:r>
    </w:p>
    <w:p w:rsidR="00EA38B8" w:rsidP="00945B56" w:rsidRDefault="00EA38B8" w14:paraId="7057652E" w14:textId="3E08AB57">
      <w:pPr>
        <w:pStyle w:val="Standard"/>
      </w:pPr>
      <w:r>
        <w:t xml:space="preserve">On </w:t>
      </w:r>
      <w:r w:rsidR="00DA7406">
        <w:t xml:space="preserve">September </w:t>
      </w:r>
      <w:r w:rsidR="00D06B65">
        <w:t>26</w:t>
      </w:r>
      <w:r w:rsidR="00DA7406">
        <w:t>, 2023, ALJ</w:t>
      </w:r>
      <w:r w:rsidR="00F9678C">
        <w:t xml:space="preserve"> Wang</w:t>
      </w:r>
      <w:r w:rsidR="00DA7406">
        <w:t xml:space="preserve"> </w:t>
      </w:r>
      <w:r w:rsidR="00A5734A">
        <w:t xml:space="preserve">admitted </w:t>
      </w:r>
      <w:r w:rsidR="00EF6B51">
        <w:t>Track A</w:t>
      </w:r>
      <w:r w:rsidR="00D06B65">
        <w:t xml:space="preserve"> exhibits into evidence</w:t>
      </w:r>
      <w:r w:rsidR="00EF6B51">
        <w:t>.</w:t>
      </w:r>
    </w:p>
    <w:p w:rsidR="00583183" w:rsidP="00583183" w:rsidRDefault="0000020D" w14:paraId="11D6F202" w14:textId="6521F818">
      <w:pPr>
        <w:pStyle w:val="Standard"/>
      </w:pPr>
      <w:r>
        <w:t>The</w:t>
      </w:r>
      <w:r w:rsidR="0066703F">
        <w:t xml:space="preserve"> following parties filed opening briefs</w:t>
      </w:r>
      <w:r>
        <w:t xml:space="preserve"> </w:t>
      </w:r>
      <w:r w:rsidR="00583183">
        <w:t>by</w:t>
      </w:r>
      <w:r>
        <w:t xml:space="preserve"> </w:t>
      </w:r>
      <w:r w:rsidR="00D70D60">
        <w:t>October 6</w:t>
      </w:r>
      <w:r>
        <w:t xml:space="preserve">, 2023, or reply briefs </w:t>
      </w:r>
      <w:r w:rsidR="00583183">
        <w:t>by</w:t>
      </w:r>
      <w:r>
        <w:t xml:space="preserve"> </w:t>
      </w:r>
      <w:r w:rsidR="00D3164E">
        <w:t>November 3,</w:t>
      </w:r>
      <w:r>
        <w:t xml:space="preserve"> 2023</w:t>
      </w:r>
      <w:r w:rsidR="0066703F">
        <w:t xml:space="preserve">: </w:t>
      </w:r>
      <w:r w:rsidRPr="006C7430" w:rsidR="006C7430">
        <w:t>Alexis K. Wodtke</w:t>
      </w:r>
      <w:r w:rsidR="006C7430">
        <w:t>;</w:t>
      </w:r>
      <w:r w:rsidRPr="003C7256" w:rsidR="003C7256">
        <w:t xml:space="preserve"> </w:t>
      </w:r>
      <w:r w:rsidR="005912B7">
        <w:t>CUE</w:t>
      </w:r>
      <w:r w:rsidR="003C7256">
        <w:t>;</w:t>
      </w:r>
      <w:r w:rsidR="006C7430">
        <w:t xml:space="preserve"> </w:t>
      </w:r>
      <w:r w:rsidR="00402420">
        <w:t xml:space="preserve">CalCCA; </w:t>
      </w:r>
      <w:r w:rsidR="006C7430">
        <w:t xml:space="preserve">Cal Advocates; </w:t>
      </w:r>
      <w:r w:rsidR="005B3650">
        <w:t>CforAT</w:t>
      </w:r>
      <w:r w:rsidR="00C85A1C">
        <w:t xml:space="preserve">; </w:t>
      </w:r>
      <w:r w:rsidR="00402420">
        <w:t xml:space="preserve">Clean Coalition; </w:t>
      </w:r>
      <w:r w:rsidR="00D33DAF">
        <w:t xml:space="preserve">Liberty Utilities, PacifiCorp, and Bear Valley </w:t>
      </w:r>
      <w:r w:rsidR="00FC3A40">
        <w:t xml:space="preserve">(together, </w:t>
      </w:r>
      <w:r w:rsidR="00FC3A40">
        <w:lastRenderedPageBreak/>
        <w:t>Small Utilities)</w:t>
      </w:r>
      <w:r w:rsidR="00D33DAF">
        <w:t xml:space="preserve">; </w:t>
      </w:r>
      <w:r w:rsidR="006C7430">
        <w:t xml:space="preserve">NRDC/TURN; </w:t>
      </w:r>
      <w:r w:rsidRPr="003C7256" w:rsidR="003C7256">
        <w:t>PearlX Infrastructure LLC</w:t>
      </w:r>
      <w:r w:rsidR="003C7256">
        <w:t xml:space="preserve"> (PearlX);</w:t>
      </w:r>
      <w:r w:rsidR="0063664F">
        <w:t xml:space="preserve"> Sierra Club and CEJA;</w:t>
      </w:r>
      <w:r w:rsidR="003C7256">
        <w:t xml:space="preserve"> </w:t>
      </w:r>
      <w:r w:rsidR="00C85A1C">
        <w:t>SEIA;</w:t>
      </w:r>
      <w:r w:rsidR="0063664F">
        <w:t xml:space="preserve"> and</w:t>
      </w:r>
      <w:r w:rsidR="00C85A1C">
        <w:t xml:space="preserve"> </w:t>
      </w:r>
      <w:r w:rsidRPr="00C85A1C" w:rsidR="00C85A1C">
        <w:t>Utility Consumers' Action Network</w:t>
      </w:r>
      <w:r w:rsidR="00C85A1C">
        <w:t>.</w:t>
      </w:r>
      <w:r w:rsidR="00A5734A">
        <w:rPr>
          <w:rStyle w:val="FootnoteReference"/>
        </w:rPr>
        <w:footnoteReference w:id="4"/>
      </w:r>
      <w:r w:rsidR="004C6E18">
        <w:t xml:space="preserve"> </w:t>
      </w:r>
    </w:p>
    <w:p w:rsidR="00583183" w:rsidP="00583183" w:rsidRDefault="00583183" w14:paraId="57AFD4D0" w14:textId="37F2749C">
      <w:pPr>
        <w:pStyle w:val="Standard"/>
      </w:pPr>
      <w:r w:rsidRPr="00C31F83">
        <w:t xml:space="preserve">On </w:t>
      </w:r>
      <w:r w:rsidRPr="00C31F83" w:rsidR="0015324C">
        <w:t xml:space="preserve">December </w:t>
      </w:r>
      <w:r w:rsidRPr="00C31F83" w:rsidR="0081422F">
        <w:t>18,</w:t>
      </w:r>
      <w:r w:rsidRPr="00C31F83">
        <w:t xml:space="preserve"> 2023, </w:t>
      </w:r>
      <w:r>
        <w:t xml:space="preserve">ALJ </w:t>
      </w:r>
      <w:r w:rsidR="00F9678C">
        <w:t xml:space="preserve">Wang </w:t>
      </w:r>
      <w:r>
        <w:t xml:space="preserve">issued a ruling </w:t>
      </w:r>
      <w:r w:rsidR="00BD156A">
        <w:t xml:space="preserve">(Budget and Timing Ruling) </w:t>
      </w:r>
      <w:r>
        <w:t>to direct the Large Utilities to file additional information about budgets and implementation timing and request party comments on implementation timing.</w:t>
      </w:r>
      <w:r w:rsidR="0015324C">
        <w:t xml:space="preserve"> </w:t>
      </w:r>
      <w:r w:rsidRPr="00790C3A" w:rsidR="00790C3A">
        <w:t xml:space="preserve">The following parties filed </w:t>
      </w:r>
      <w:r w:rsidR="00790C3A">
        <w:t>comments by January 24, 2024</w:t>
      </w:r>
      <w:r w:rsidRPr="00790C3A" w:rsidR="00790C3A">
        <w:t>, or repl</w:t>
      </w:r>
      <w:r w:rsidR="00790C3A">
        <w:t xml:space="preserve">ies </w:t>
      </w:r>
      <w:r w:rsidRPr="00790C3A" w:rsidR="00790C3A">
        <w:t xml:space="preserve">by </w:t>
      </w:r>
      <w:r w:rsidRPr="000973FD" w:rsidR="00790C3A">
        <w:t xml:space="preserve">February </w:t>
      </w:r>
      <w:r w:rsidRPr="000973FD" w:rsidR="0081422F">
        <w:t>12</w:t>
      </w:r>
      <w:r w:rsidRPr="000973FD" w:rsidR="00790C3A">
        <w:t xml:space="preserve">, 2024: </w:t>
      </w:r>
      <w:r w:rsidR="009A7D9E">
        <w:t xml:space="preserve">Advanced Energy United, </w:t>
      </w:r>
      <w:r w:rsidR="004A300A">
        <w:t xml:space="preserve">Cal Advocates, </w:t>
      </w:r>
      <w:r w:rsidRPr="001C1C8C" w:rsidR="001C1C8C">
        <w:t>California Efficiency + Demand Management Council</w:t>
      </w:r>
      <w:r w:rsidR="001C1C8C">
        <w:t xml:space="preserve"> (</w:t>
      </w:r>
      <w:r w:rsidR="008B6FDA">
        <w:t>CEDMC</w:t>
      </w:r>
      <w:r w:rsidR="001C1C8C">
        <w:t>)</w:t>
      </w:r>
      <w:r w:rsidR="008B6FDA">
        <w:t xml:space="preserve">, </w:t>
      </w:r>
      <w:r w:rsidR="00971D90">
        <w:t>CESA,</w:t>
      </w:r>
      <w:r w:rsidR="008B6FDA">
        <w:t xml:space="preserve"> </w:t>
      </w:r>
      <w:r w:rsidR="003A7993">
        <w:t xml:space="preserve">Clean Coalition, </w:t>
      </w:r>
      <w:r w:rsidR="00881220">
        <w:t>CUE,</w:t>
      </w:r>
      <w:r w:rsidR="003A7993">
        <w:t xml:space="preserve"> </w:t>
      </w:r>
      <w:r w:rsidR="00780F2B">
        <w:t xml:space="preserve">the Large Utilities, </w:t>
      </w:r>
      <w:r w:rsidR="00461E62">
        <w:t xml:space="preserve">SEIA, </w:t>
      </w:r>
      <w:r w:rsidR="00D1697A">
        <w:t xml:space="preserve">Sierra Club/CEJA, </w:t>
      </w:r>
      <w:r w:rsidR="00F55FC4">
        <w:t xml:space="preserve">TURN/NRDC, </w:t>
      </w:r>
      <w:r w:rsidR="00D14CAA">
        <w:t xml:space="preserve">UCAN, </w:t>
      </w:r>
      <w:r w:rsidR="00B521B9">
        <w:t>350 Bay Area,</w:t>
      </w:r>
      <w:r w:rsidR="00D14CAA">
        <w:t xml:space="preserve"> </w:t>
      </w:r>
      <w:r w:rsidR="00613FBF">
        <w:t>and Alexis K. Wodtke.</w:t>
      </w:r>
    </w:p>
    <w:p w:rsidR="00FA6FAA" w:rsidP="00583183" w:rsidRDefault="00EC306F" w14:paraId="50BA7E9A" w14:textId="6D13AAEA">
      <w:pPr>
        <w:pStyle w:val="Standard"/>
      </w:pPr>
      <w:r>
        <w:t xml:space="preserve">On </w:t>
      </w:r>
      <w:r w:rsidRPr="00971CE5">
        <w:t xml:space="preserve">January </w:t>
      </w:r>
      <w:r w:rsidRPr="00971CE5" w:rsidR="000E2A3F">
        <w:t>16</w:t>
      </w:r>
      <w:r w:rsidRPr="00971CE5">
        <w:t xml:space="preserve">, 2024, </w:t>
      </w:r>
      <w:r w:rsidRPr="00971CE5" w:rsidR="00971CE5">
        <w:t xml:space="preserve">the </w:t>
      </w:r>
      <w:r w:rsidR="005605DA">
        <w:t>Small Utilities</w:t>
      </w:r>
      <w:r w:rsidRPr="00971CE5" w:rsidR="00971CE5">
        <w:t xml:space="preserve"> and Cal Advocates</w:t>
      </w:r>
      <w:r w:rsidR="00971CE5">
        <w:t xml:space="preserve"> filed a joint motion </w:t>
      </w:r>
      <w:r w:rsidR="000A41D0">
        <w:t xml:space="preserve">(Settlement Motion) </w:t>
      </w:r>
      <w:r w:rsidR="00C61393">
        <w:t xml:space="preserve">for adoption of a Track A </w:t>
      </w:r>
      <w:r w:rsidRPr="00C61393" w:rsidR="00C61393">
        <w:t xml:space="preserve">settlement agreement </w:t>
      </w:r>
      <w:r w:rsidRPr="00C61393" w:rsidR="00677AF9">
        <w:t>(</w:t>
      </w:r>
      <w:r w:rsidR="00B6383E">
        <w:t>Settlement Agreement</w:t>
      </w:r>
      <w:r w:rsidRPr="00C61393" w:rsidR="00677AF9">
        <w:t>)</w:t>
      </w:r>
      <w:r w:rsidRPr="00C61393">
        <w:t>.</w:t>
      </w:r>
      <w:r w:rsidR="00F43583">
        <w:t xml:space="preserve"> On </w:t>
      </w:r>
      <w:r w:rsidR="00E540B0">
        <w:t xml:space="preserve">February 14, 2024, </w:t>
      </w:r>
      <w:r w:rsidR="000302B4">
        <w:t xml:space="preserve">CforAT, the Large Utilities, </w:t>
      </w:r>
      <w:r w:rsidRPr="0010550F" w:rsidR="0010550F">
        <w:t>Sierra Club</w:t>
      </w:r>
      <w:r w:rsidR="0010550F">
        <w:t xml:space="preserve">/CEJA, SEIA, </w:t>
      </w:r>
      <w:r w:rsidR="000302B4">
        <w:t>and</w:t>
      </w:r>
      <w:r w:rsidR="0010550F">
        <w:t xml:space="preserve"> </w:t>
      </w:r>
      <w:r w:rsidR="00E540B0">
        <w:t>TURN/NRDC</w:t>
      </w:r>
      <w:r w:rsidR="000302B4">
        <w:t xml:space="preserve"> filed</w:t>
      </w:r>
      <w:r w:rsidR="00E540B0">
        <w:t xml:space="preserve"> </w:t>
      </w:r>
      <w:r w:rsidR="006E30DA">
        <w:t xml:space="preserve">comments on the </w:t>
      </w:r>
      <w:r w:rsidR="000A41D0">
        <w:t>Settlement Motion</w:t>
      </w:r>
      <w:r w:rsidR="002B5C75">
        <w:t xml:space="preserve">. </w:t>
      </w:r>
      <w:bookmarkStart w:name="_Hlk160437874" w:id="7"/>
      <w:r w:rsidRPr="00C824BE" w:rsidR="002B5C75">
        <w:t xml:space="preserve">On </w:t>
      </w:r>
      <w:r w:rsidRPr="00C824BE" w:rsidR="00313BD8">
        <w:t xml:space="preserve">March 1, 2024, </w:t>
      </w:r>
      <w:r w:rsidRPr="00C824BE" w:rsidR="0019790E">
        <w:t>the Small Utilities</w:t>
      </w:r>
      <w:r w:rsidRPr="00C824BE" w:rsidR="00C0605B">
        <w:t xml:space="preserve">, CEJA, </w:t>
      </w:r>
      <w:r w:rsidRPr="00C824BE" w:rsidR="00C824BE">
        <w:t xml:space="preserve">and the Large Utilities </w:t>
      </w:r>
      <w:r w:rsidRPr="00C824BE" w:rsidR="0019790E">
        <w:t xml:space="preserve">filed </w:t>
      </w:r>
      <w:r w:rsidRPr="00C824BE" w:rsidR="00C0605B">
        <w:t>replies</w:t>
      </w:r>
      <w:r w:rsidRPr="00C824BE" w:rsidR="004A7FAB">
        <w:t xml:space="preserve"> to comments on the Settlement Motion</w:t>
      </w:r>
      <w:r w:rsidRPr="00C824BE" w:rsidR="0019790E">
        <w:t>.</w:t>
      </w:r>
      <w:bookmarkEnd w:id="7"/>
    </w:p>
    <w:p w:rsidR="00683B2C" w:rsidP="00D35574" w:rsidRDefault="00683B2C" w14:paraId="4741CBBB" w14:textId="734C4016">
      <w:pPr>
        <w:pStyle w:val="Standard"/>
      </w:pPr>
      <w:r w:rsidRPr="00FF0265">
        <w:t xml:space="preserve">This matter was </w:t>
      </w:r>
      <w:r w:rsidRPr="00585599">
        <w:t xml:space="preserve">submitted on </w:t>
      </w:r>
      <w:r w:rsidR="00316D62">
        <w:t>March 1</w:t>
      </w:r>
      <w:r w:rsidRPr="009C4C39" w:rsidR="00790C3A">
        <w:t>, 2024</w:t>
      </w:r>
      <w:r w:rsidRPr="00585599" w:rsidR="00D35574">
        <w:t>, upon the filing of</w:t>
      </w:r>
      <w:r w:rsidR="004A7FAB">
        <w:t xml:space="preserve"> repl</w:t>
      </w:r>
      <w:r w:rsidR="00C824BE">
        <w:t>ies</w:t>
      </w:r>
      <w:r w:rsidR="00677AF9">
        <w:t xml:space="preserve"> to </w:t>
      </w:r>
      <w:r w:rsidR="0019790E">
        <w:t>comments on</w:t>
      </w:r>
      <w:r w:rsidR="00677AF9">
        <w:t xml:space="preserve"> the Settlement </w:t>
      </w:r>
      <w:r w:rsidR="00D2735E">
        <w:t>Motion</w:t>
      </w:r>
      <w:r w:rsidRPr="00585599" w:rsidR="00790C3A">
        <w:t>.</w:t>
      </w:r>
    </w:p>
    <w:p w:rsidR="005A148C" w:rsidP="00476643" w:rsidRDefault="005939A5" w14:paraId="74D9B525" w14:textId="77777777">
      <w:pPr>
        <w:pStyle w:val="Heading1"/>
      </w:pPr>
      <w:bookmarkStart w:name="_Toc8123719" w:id="8"/>
      <w:bookmarkStart w:name="_Toc160790024" w:id="9"/>
      <w:r>
        <w:t xml:space="preserve">Issues Before the </w:t>
      </w:r>
      <w:bookmarkEnd w:id="8"/>
      <w:r w:rsidR="008A08BF">
        <w:t>Commission</w:t>
      </w:r>
      <w:bookmarkEnd w:id="9"/>
    </w:p>
    <w:p w:rsidR="005939A5" w:rsidP="00A44E8D" w:rsidRDefault="00754413" w14:paraId="6E23BE30" w14:textId="7E5F287A">
      <w:pPr>
        <w:pStyle w:val="Standard"/>
      </w:pPr>
      <w:r>
        <w:t xml:space="preserve">The </w:t>
      </w:r>
      <w:r w:rsidR="00800F65">
        <w:t xml:space="preserve">Phase 1 Track A </w:t>
      </w:r>
      <w:r>
        <w:t>issues before the Commission are as follows:</w:t>
      </w:r>
    </w:p>
    <w:p w:rsidR="00117FC1" w:rsidP="0008492E" w:rsidRDefault="00BF5FC5" w14:paraId="52AA22A7" w14:textId="2D459389">
      <w:pPr>
        <w:pStyle w:val="ListAlpha"/>
        <w:ind w:right="1440"/>
      </w:pPr>
      <w:r w:rsidRPr="00BF5FC5">
        <w:t xml:space="preserve">How should the Commission establish an income-graduated fixed charge for residential rates for all investor-owned electric utilities in accordance with AB 205 and Pub. Util. Code Section 739.9? </w:t>
      </w:r>
      <w:r w:rsidR="008D3957">
        <w:t xml:space="preserve">(i) </w:t>
      </w:r>
      <w:r w:rsidRPr="00BF5FC5">
        <w:t xml:space="preserve">Should the Commission establish an income-graduated fixed charge for all residential rates or only certain residential rates? </w:t>
      </w:r>
      <w:r w:rsidR="008D3957">
        <w:t xml:space="preserve">(ii) </w:t>
      </w:r>
      <w:r w:rsidRPr="00BF5FC5">
        <w:t xml:space="preserve">What </w:t>
      </w:r>
      <w:r w:rsidRPr="00BF5FC5">
        <w:lastRenderedPageBreak/>
        <w:t xml:space="preserve">costs should be recovered through the fixed charge and what methodology should be used to calculate these costs? </w:t>
      </w:r>
      <w:r w:rsidR="008D3957">
        <w:t xml:space="preserve">(iii) </w:t>
      </w:r>
      <w:r w:rsidRPr="00BF5FC5">
        <w:t xml:space="preserve">What income thresholds should the Commission establish for the income-graduated fixed charge? </w:t>
      </w:r>
      <w:r w:rsidR="008D3957">
        <w:t>(iv)</w:t>
      </w:r>
      <w:r w:rsidRPr="00BF5FC5">
        <w:t xml:space="preserve"> How should the fixed charge vary by income threshold? </w:t>
      </w:r>
      <w:r w:rsidR="008D3957">
        <w:t xml:space="preserve">(v) </w:t>
      </w:r>
      <w:r w:rsidRPr="00BF5FC5">
        <w:t xml:space="preserve">How should the fixed charge be designed so that a low-income customer </w:t>
      </w:r>
      <w:r w:rsidR="001B46B5">
        <w:t xml:space="preserve">in each baseline territory </w:t>
      </w:r>
      <w:r w:rsidRPr="00BF5FC5">
        <w:t xml:space="preserve">would realize a lower average monthly bill without making any changes to usage? </w:t>
      </w:r>
      <w:r w:rsidR="008D3957">
        <w:t>(vi)</w:t>
      </w:r>
      <w:r w:rsidRPr="00BF5FC5">
        <w:t xml:space="preserve"> How should the fixed charge vary between default residential rates and </w:t>
      </w:r>
      <w:r w:rsidR="0052443C">
        <w:t>optional</w:t>
      </w:r>
      <w:r w:rsidRPr="00BF5FC5">
        <w:t xml:space="preserve"> residential rates? </w:t>
      </w:r>
      <w:r w:rsidR="008D3957">
        <w:t>(vii)</w:t>
      </w:r>
      <w:r w:rsidRPr="00BF5FC5">
        <w:t xml:space="preserve"> How should income levels be verified, and how often should verification occur? </w:t>
      </w:r>
      <w:r w:rsidR="008D3957">
        <w:t>(viii)</w:t>
      </w:r>
      <w:r w:rsidRPr="00BF5FC5">
        <w:t xml:space="preserve"> How should customers be informed about the fixed charge and impacts on their bills? </w:t>
      </w:r>
      <w:r w:rsidR="004103B0">
        <w:t>(</w:t>
      </w:r>
      <w:r w:rsidR="00CC47E4">
        <w:t>ix</w:t>
      </w:r>
      <w:r w:rsidR="002D2BBD">
        <w:t xml:space="preserve">) </w:t>
      </w:r>
      <w:r w:rsidRPr="004103B0" w:rsidR="004103B0">
        <w:t>How should residential rate components of investor-owned utilities’ electric rates, including volumetric rates and the California Alternate Rates for Energy (CARE) discount methodology, be adjusted to reflect fixed charges in accordance with AB 205?</w:t>
      </w:r>
    </w:p>
    <w:p w:rsidR="00CC47E4" w:rsidP="0008492E" w:rsidRDefault="00CC47E4" w14:paraId="494B4C01" w14:textId="4AA24570">
      <w:pPr>
        <w:pStyle w:val="ListAlpha"/>
        <w:ind w:right="1440"/>
      </w:pPr>
      <w:r>
        <w:t xml:space="preserve">What implementation pathway should the Commission establish for implementing income-graduated fixed charges? (i) </w:t>
      </w:r>
      <w:r w:rsidRPr="003C53F2" w:rsidR="003C53F2">
        <w:t>What metrics and evaluation requirements should the Commission establish</w:t>
      </w:r>
      <w:r w:rsidR="003E6187">
        <w:t xml:space="preserve"> for </w:t>
      </w:r>
      <w:r w:rsidRPr="003E6187" w:rsidR="003E6187">
        <w:t>income-graduated fixed charges</w:t>
      </w:r>
      <w:r w:rsidRPr="003C53F2" w:rsidR="003C53F2">
        <w:t>? (</w:t>
      </w:r>
      <w:r w:rsidR="003C53F2">
        <w:t>ii</w:t>
      </w:r>
      <w:r w:rsidRPr="003C53F2" w:rsidR="003C53F2">
        <w:t xml:space="preserve">) When should </w:t>
      </w:r>
      <w:r w:rsidR="00CA6C2B">
        <w:t xml:space="preserve">income-graduated </w:t>
      </w:r>
      <w:r w:rsidRPr="003C53F2" w:rsidR="003C53F2">
        <w:t>fixed charges be implemented?</w:t>
      </w:r>
    </w:p>
    <w:p w:rsidR="00BF5FC5" w:rsidP="0008492E" w:rsidRDefault="002A36A9" w14:paraId="208EE553" w14:textId="21453F76">
      <w:pPr>
        <w:pStyle w:val="ListAlpha"/>
        <w:ind w:right="1440"/>
      </w:pPr>
      <w:r w:rsidRPr="002A36A9">
        <w:t>How should the Commission implement the requirements of AB 205 to adjust the average effective discount for CARE so that it does not reflect any charges for which CARE customers are exempted, discounts to fixed charges or other rates paid by non-CARE customers, or bill savings resulting from participation in other programs?</w:t>
      </w:r>
    </w:p>
    <w:p w:rsidRPr="00117FC1" w:rsidR="000801B9" w:rsidP="0008492E" w:rsidRDefault="000801B9" w14:paraId="5723A1C1" w14:textId="199E795A">
      <w:pPr>
        <w:pStyle w:val="ListAlpha"/>
        <w:ind w:right="1440"/>
      </w:pPr>
      <w:r>
        <w:t xml:space="preserve">Should the Commission adopt the </w:t>
      </w:r>
      <w:r w:rsidR="00944357">
        <w:t>Settlement Agreement?</w:t>
      </w:r>
    </w:p>
    <w:p w:rsidR="00CD6424" w:rsidP="006742D4" w:rsidRDefault="00117FC1" w14:paraId="78A224C0" w14:textId="6FAB7DFA">
      <w:pPr>
        <w:pStyle w:val="Standard"/>
      </w:pPr>
      <w:r>
        <w:t>T</w:t>
      </w:r>
      <w:r w:rsidR="00D97F98">
        <w:t xml:space="preserve">his decision addresses all </w:t>
      </w:r>
      <w:r w:rsidR="000618BC">
        <w:t>of the</w:t>
      </w:r>
      <w:r w:rsidR="00D97F98">
        <w:t xml:space="preserve"> Phase 1 Track A issues in the Scoping Memo</w:t>
      </w:r>
      <w:r w:rsidR="00E93464">
        <w:t>, including</w:t>
      </w:r>
      <w:r w:rsidR="00511DE8">
        <w:t xml:space="preserve"> all issues necessary to </w:t>
      </w:r>
      <w:r w:rsidR="00AB6855">
        <w:t>comply with AB 205</w:t>
      </w:r>
      <w:r w:rsidR="006742D4">
        <w:t xml:space="preserve">. </w:t>
      </w:r>
    </w:p>
    <w:p w:rsidR="00286953" w:rsidP="00476643" w:rsidRDefault="006F70D0" w14:paraId="5285DC2C" w14:textId="162EB360">
      <w:pPr>
        <w:pStyle w:val="Heading1"/>
      </w:pPr>
      <w:bookmarkStart w:name="_Toc160790025" w:id="10"/>
      <w:r>
        <w:lastRenderedPageBreak/>
        <w:t>Interpretation of</w:t>
      </w:r>
      <w:r w:rsidR="00333499">
        <w:t xml:space="preserve"> AB 205</w:t>
      </w:r>
      <w:r>
        <w:t xml:space="preserve"> Statutory </w:t>
      </w:r>
      <w:r w:rsidR="00A560A5">
        <w:t>Requirements</w:t>
      </w:r>
      <w:bookmarkEnd w:id="10"/>
    </w:p>
    <w:p w:rsidR="00923E93" w:rsidP="00E37C4E" w:rsidRDefault="00923E93" w14:paraId="153AE4CA" w14:textId="0E747D1E">
      <w:pPr>
        <w:pStyle w:val="Standard"/>
      </w:pPr>
      <w:r>
        <w:t xml:space="preserve">This section discusses how to interpret the </w:t>
      </w:r>
      <w:r w:rsidR="003B4219">
        <w:t>new statutory requirement</w:t>
      </w:r>
      <w:r w:rsidR="002F161E">
        <w:t>s</w:t>
      </w:r>
      <w:r w:rsidR="003B4219">
        <w:t xml:space="preserve"> established by AB 205 in Sections 739.9</w:t>
      </w:r>
      <w:r w:rsidR="00F23A70">
        <w:t xml:space="preserve">, </w:t>
      </w:r>
      <w:r w:rsidR="00E9114E">
        <w:t>831(a)</w:t>
      </w:r>
      <w:r w:rsidR="003B4219">
        <w:t xml:space="preserve"> and </w:t>
      </w:r>
      <w:r w:rsidRPr="00F0068B" w:rsidR="003B4219">
        <w:t>739.1(c)(1) of the Pub. Util. Code</w:t>
      </w:r>
      <w:r w:rsidR="003B4219">
        <w:t>.</w:t>
      </w:r>
    </w:p>
    <w:p w:rsidR="00E37C4E" w:rsidP="00E37C4E" w:rsidRDefault="00E37C4E" w14:paraId="09B182D3" w14:textId="20667248">
      <w:pPr>
        <w:pStyle w:val="Standard"/>
      </w:pPr>
      <w:r>
        <w:t xml:space="preserve">AB 205 amended </w:t>
      </w:r>
      <w:r w:rsidR="00334CED">
        <w:t xml:space="preserve">Section 739.9 of </w:t>
      </w:r>
      <w:r w:rsidRPr="00333499" w:rsidR="00334CED">
        <w:t>the Pub</w:t>
      </w:r>
      <w:r w:rsidRPr="00333499" w:rsidR="00D11246">
        <w:t>. Util. Code</w:t>
      </w:r>
      <w:r w:rsidRPr="00333499" w:rsidR="002D740A">
        <w:t xml:space="preserve"> to read as follows:</w:t>
      </w:r>
    </w:p>
    <w:p w:rsidR="00594377" w:rsidP="0008492E" w:rsidRDefault="009A41E8" w14:paraId="06350254" w14:textId="58F76CE7">
      <w:pPr>
        <w:pStyle w:val="BlockQuote"/>
        <w:ind w:right="1440"/>
      </w:pPr>
      <w:r>
        <w:t xml:space="preserve">(a) </w:t>
      </w:r>
      <w:r w:rsidR="00594377">
        <w:t>“Fixed charge” means any fixed customer charge, basic service fee, demand differentiated basic service fee, demand charge, or other charge not based on the volume of electricity consumed.</w:t>
      </w:r>
    </w:p>
    <w:p w:rsidR="00594377" w:rsidP="0008492E" w:rsidRDefault="009A41E8" w14:paraId="6652A7D8" w14:textId="09839F81">
      <w:pPr>
        <w:pStyle w:val="BlockQuote"/>
        <w:ind w:right="1440"/>
      </w:pPr>
      <w:r>
        <w:t xml:space="preserve">(b) </w:t>
      </w:r>
      <w:r w:rsidR="00594377">
        <w:t>Increases to electrical rates and charges in rate design proceedings, including any reduction in the California Alternate Rates for Energy (CARE) discount, shall be reasonable and subject to a reasonable phase-in schedule relative to the rates and charges in effect before January 1, 2014.</w:t>
      </w:r>
    </w:p>
    <w:p w:rsidR="00DC480B" w:rsidP="0008492E" w:rsidRDefault="009A41E8" w14:paraId="1CFDC577" w14:textId="75400D4C">
      <w:pPr>
        <w:pStyle w:val="BlockQuote"/>
        <w:ind w:right="1440"/>
      </w:pPr>
      <w:r>
        <w:t xml:space="preserve">(c) </w:t>
      </w:r>
      <w:r w:rsidR="00594377">
        <w:t>Consistent with the requirements of Section 739, the commission may modify the seasonal definitions and applicable percentage of average consumption for one or more climatic zones.</w:t>
      </w:r>
    </w:p>
    <w:p w:rsidR="00DC480B" w:rsidP="0008492E" w:rsidRDefault="00594377" w14:paraId="68209BA0" w14:textId="77777777">
      <w:pPr>
        <w:pStyle w:val="BlockQuote"/>
        <w:ind w:right="1440"/>
      </w:pPr>
      <w:r>
        <w:t>(d) The commission may adopt new, or expand existing, fixed charges for the purpose of collecting a reasonable portion of the fixed costs of providing electrical service to residential customers. The commission shall ensure that any approved charges do all of the following:</w:t>
      </w:r>
    </w:p>
    <w:p w:rsidR="00DC480B" w:rsidP="0008492E" w:rsidRDefault="00740C92" w14:paraId="16ADBCB6" w14:textId="2A626C00">
      <w:pPr>
        <w:pStyle w:val="BlockQuote"/>
        <w:ind w:right="1440"/>
      </w:pPr>
      <w:r>
        <w:t xml:space="preserve">   </w:t>
      </w:r>
      <w:r w:rsidR="00594377">
        <w:t>(1) Reasonably reflect an appropriate portion of the different costs of serving small and large customers.</w:t>
      </w:r>
    </w:p>
    <w:p w:rsidR="00594377" w:rsidP="0008492E" w:rsidRDefault="00740C92" w14:paraId="7564F3E5" w14:textId="7A084595">
      <w:pPr>
        <w:pStyle w:val="BlockQuote"/>
        <w:ind w:right="1440"/>
      </w:pPr>
      <w:bookmarkStart w:name="_Hlk159321195" w:id="11"/>
      <w:r>
        <w:t xml:space="preserve">   </w:t>
      </w:r>
      <w:r w:rsidR="00594377">
        <w:t>(2) Not unreasonably impair incentives for conservation, energy efficiency, and beneficial electrification and greenhouse gas emissions reduction.</w:t>
      </w:r>
    </w:p>
    <w:bookmarkEnd w:id="11"/>
    <w:p w:rsidR="00594377" w:rsidP="0008492E" w:rsidRDefault="00740C92" w14:paraId="3CED8F67" w14:textId="2FDA804F">
      <w:pPr>
        <w:pStyle w:val="BlockQuote"/>
        <w:ind w:right="1440"/>
      </w:pPr>
      <w:r>
        <w:t xml:space="preserve">   </w:t>
      </w:r>
      <w:r w:rsidR="00594377">
        <w:t>(3) Are set at levels that do not overburden low-income customers.</w:t>
      </w:r>
    </w:p>
    <w:p w:rsidR="00594377" w:rsidP="0008492E" w:rsidRDefault="00594377" w14:paraId="00A33BF6" w14:textId="18DDD2BC">
      <w:pPr>
        <w:pStyle w:val="BlockQuote"/>
        <w:ind w:right="1440"/>
      </w:pPr>
      <w:r>
        <w:t xml:space="preserve">(e) (1) For the purposes of this section and Section 739.1, the commission may authorize fixed charges for any rate schedule applicable to a residential customer account. The fixed charge </w:t>
      </w:r>
      <w:r>
        <w:lastRenderedPageBreak/>
        <w:t>shall be established on an income-graduated basis with no fewer than three income thresholds so that a low-income ratepayer in each baseline territory would realize a lower average monthly bill without making any changes in usage. The commission shall, no later than July 1, 2024, authorize a fixed charge for default residential rates.</w:t>
      </w:r>
    </w:p>
    <w:p w:rsidR="00594377" w:rsidP="0008492E" w:rsidRDefault="00081594" w14:paraId="1140022B" w14:textId="4CA5764B">
      <w:pPr>
        <w:pStyle w:val="BlockQuote"/>
        <w:ind w:right="1440"/>
      </w:pPr>
      <w:r>
        <w:t xml:space="preserve">   </w:t>
      </w:r>
      <w:r w:rsidR="00594377">
        <w:t>(2)  For purposes of this subdivision, “income-graduated” means that low-income customers pay a smaller fixed charge than high-income customers.</w:t>
      </w:r>
    </w:p>
    <w:p w:rsidR="006A501E" w:rsidP="0008492E" w:rsidRDefault="00594377" w14:paraId="0DE0AA35" w14:textId="761A92F3">
      <w:pPr>
        <w:pStyle w:val="BlockQuote"/>
        <w:ind w:right="1440"/>
      </w:pPr>
      <w:r>
        <w:t>(f)  Notwithstanding the requirements of subdivision (d) of Section 739 and Section 739.7, the commission shall not apply the composite tier method to the treatment of any revenues resulting from any fixed charge adopted pursuant to this section.</w:t>
      </w:r>
    </w:p>
    <w:p w:rsidR="00E37FFB" w:rsidP="00B830DE" w:rsidRDefault="00333499" w14:paraId="13FA1F6A" w14:textId="5148BBBF">
      <w:pPr>
        <w:pStyle w:val="Standard"/>
      </w:pPr>
      <w:r>
        <w:t xml:space="preserve">AB 205 </w:t>
      </w:r>
      <w:r w:rsidR="00F0068B">
        <w:t xml:space="preserve">also amended </w:t>
      </w:r>
      <w:r w:rsidRPr="00F0068B" w:rsidR="00F0068B">
        <w:t xml:space="preserve">Section </w:t>
      </w:r>
      <w:r w:rsidR="00E37FFB">
        <w:t xml:space="preserve">831(a) of the Pub. Util. Code to </w:t>
      </w:r>
      <w:r w:rsidRPr="00572C2E" w:rsidR="00572C2E">
        <w:t xml:space="preserve">eliminate the previous requirement that certain Public Purpose Program costs be collected on the basis of usage </w:t>
      </w:r>
      <w:r w:rsidR="00572C2E">
        <w:t xml:space="preserve">and </w:t>
      </w:r>
      <w:r w:rsidR="006B4639">
        <w:t xml:space="preserve">to </w:t>
      </w:r>
      <w:r w:rsidR="00E37FFB">
        <w:t>read as follows:</w:t>
      </w:r>
    </w:p>
    <w:p w:rsidR="00E37FFB" w:rsidP="0008492E" w:rsidRDefault="00E15C74" w14:paraId="7F98EF0C" w14:textId="12C37B95">
      <w:pPr>
        <w:pStyle w:val="BlockQuote"/>
        <w:ind w:right="1350"/>
      </w:pPr>
      <w:r>
        <w:t xml:space="preserve">(a) </w:t>
      </w:r>
      <w:r w:rsidRPr="00E15C74">
        <w:t xml:space="preserve">To ensure that the funding for the programs described in subdivision (b) and Section 382 are not commingled with other revenues, the </w:t>
      </w:r>
      <w:r w:rsidR="00BA50C4">
        <w:t>[C]</w:t>
      </w:r>
      <w:r w:rsidRPr="00E15C74">
        <w:t>ommission shall require each electrical corporation to identify a separate rate component to collect the revenues used to fund these programs. The rate component shall be a nonbypassable element of the local distribution service.</w:t>
      </w:r>
    </w:p>
    <w:p w:rsidRPr="00F0068B" w:rsidR="00F0068B" w:rsidP="00B830DE" w:rsidRDefault="0045252E" w14:paraId="634D76EE" w14:textId="164C3F8E">
      <w:pPr>
        <w:pStyle w:val="Standard"/>
      </w:pPr>
      <w:r>
        <w:t xml:space="preserve">In addition, </w:t>
      </w:r>
      <w:r w:rsidR="00333499">
        <w:t xml:space="preserve">AB 205 </w:t>
      </w:r>
      <w:r w:rsidR="00F0068B">
        <w:t xml:space="preserve">amended </w:t>
      </w:r>
      <w:r w:rsidRPr="00F0068B" w:rsidR="00F0068B">
        <w:t>Section 739.1(c)(1) of the Pub. Util. Code</w:t>
      </w:r>
      <w:r w:rsidR="00F0068B">
        <w:t xml:space="preserve"> </w:t>
      </w:r>
      <w:r w:rsidR="00B830DE">
        <w:t xml:space="preserve">to read </w:t>
      </w:r>
      <w:r w:rsidR="00F0068B">
        <w:t>as follows</w:t>
      </w:r>
      <w:r w:rsidRPr="00F0068B" w:rsidR="00F0068B">
        <w:t xml:space="preserve">: </w:t>
      </w:r>
    </w:p>
    <w:p w:rsidRPr="006A501E" w:rsidR="00923E93" w:rsidP="0008492E" w:rsidRDefault="00F0068B" w14:paraId="6676A4E8" w14:textId="3A7DE70F">
      <w:pPr>
        <w:pStyle w:val="BlockQuote"/>
        <w:tabs>
          <w:tab w:val="left" w:pos="7920"/>
          <w:tab w:val="left" w:pos="8010"/>
        </w:tabs>
        <w:ind w:right="1440"/>
      </w:pPr>
      <w:r w:rsidRPr="00F0068B">
        <w:t>The average effective CARE discount shall not be less than 30</w:t>
      </w:r>
      <w:r w:rsidR="002812BB">
        <w:t> </w:t>
      </w:r>
      <w:r w:rsidRPr="00F0068B">
        <w:t xml:space="preserve">percent or more than 35 percent of the revenues that would have been produced for the same billed usage by non-CARE customers. The average effective discount determined by the commission shall not reflect any charges for which CARE customers are exempted, discounts to fixed charges or other rates paid by non-CARE customers, or bill savings resulting from participation in other programs, including the medical baseline allowance pursuant to subdivision (c) of Section 739. </w:t>
      </w:r>
      <w:r w:rsidRPr="00F0068B">
        <w:lastRenderedPageBreak/>
        <w:t>The average effective CARE discount shall be calculated as a weighted average of the CARE discounts provided to individual customers.</w:t>
      </w:r>
    </w:p>
    <w:p w:rsidR="0037247D" w:rsidP="00702F6F" w:rsidRDefault="00286953" w14:paraId="2130BC72" w14:textId="77777777">
      <w:pPr>
        <w:pStyle w:val="Heading2"/>
      </w:pPr>
      <w:bookmarkStart w:name="_Toc160790026" w:id="12"/>
      <w:r>
        <w:t>Fixed Charg</w:t>
      </w:r>
      <w:r w:rsidR="00F105AB">
        <w:t>e</w:t>
      </w:r>
      <w:r w:rsidR="00C44AC8">
        <w:t>s</w:t>
      </w:r>
      <w:r w:rsidR="003340D2">
        <w:t xml:space="preserve"> Subject to Income Graduation</w:t>
      </w:r>
      <w:bookmarkEnd w:id="12"/>
    </w:p>
    <w:p w:rsidR="00B765EB" w:rsidP="003868F0" w:rsidRDefault="004A7EEA" w14:paraId="7236A39F" w14:textId="6B280FD4">
      <w:pPr>
        <w:pStyle w:val="Standard"/>
      </w:pPr>
      <w:r>
        <w:t xml:space="preserve">The </w:t>
      </w:r>
      <w:r w:rsidR="00955000">
        <w:t>ALJ ruling issued on December 9, 2022 (Statutory Briefs Ruling) asked parties what</w:t>
      </w:r>
      <w:r w:rsidRPr="00B2351B" w:rsidR="00B2351B">
        <w:t xml:space="preserve"> types of residential charges and service fees should be considered “fixed charges” subject to </w:t>
      </w:r>
      <w:r w:rsidR="003340D2">
        <w:t xml:space="preserve">the </w:t>
      </w:r>
      <w:r w:rsidRPr="00B2351B" w:rsidR="00B2351B">
        <w:t>income</w:t>
      </w:r>
      <w:r w:rsidR="003340D2">
        <w:t xml:space="preserve"> </w:t>
      </w:r>
      <w:r w:rsidRPr="00B2351B" w:rsidR="00B2351B">
        <w:t xml:space="preserve">graduation requirements of </w:t>
      </w:r>
      <w:r w:rsidR="00961C9C">
        <w:t>Section</w:t>
      </w:r>
      <w:r w:rsidR="0008492E">
        <w:t> </w:t>
      </w:r>
      <w:r w:rsidRPr="00B2351B" w:rsidR="00B2351B">
        <w:t>739.9(e)</w:t>
      </w:r>
      <w:r w:rsidR="00B765EB">
        <w:t>.</w:t>
      </w:r>
    </w:p>
    <w:p w:rsidR="00E509E0" w:rsidP="00E509E0" w:rsidRDefault="0064156A" w14:paraId="4EAF4C1D" w14:textId="2FF2C252">
      <w:pPr>
        <w:pStyle w:val="Standard"/>
      </w:pPr>
      <w:r>
        <w:t>Section 739.9</w:t>
      </w:r>
      <w:r w:rsidRPr="00E509E0" w:rsidR="00E509E0">
        <w:t>(a)</w:t>
      </w:r>
      <w:r>
        <w:t xml:space="preserve"> provides that a</w:t>
      </w:r>
      <w:r w:rsidRPr="00E509E0" w:rsidR="00E509E0">
        <w:t xml:space="preserve"> </w:t>
      </w:r>
      <w:r>
        <w:t>“f</w:t>
      </w:r>
      <w:r w:rsidRPr="00E509E0" w:rsidR="00E509E0">
        <w:t xml:space="preserve">ixed charge” means </w:t>
      </w:r>
      <w:r>
        <w:t>“</w:t>
      </w:r>
      <w:r w:rsidRPr="00E509E0" w:rsidR="00E509E0">
        <w:t>any fixed customer charge, basic service fee, demand differentiated basic service fee, demand charge, or other charge not based on the volume of electricity consumed.</w:t>
      </w:r>
      <w:r>
        <w:t>”</w:t>
      </w:r>
    </w:p>
    <w:p w:rsidR="00692D4B" w:rsidP="008D3365" w:rsidRDefault="00961AFE" w14:paraId="5B11A33F" w14:textId="09EAEBDC">
      <w:pPr>
        <w:pStyle w:val="Standard"/>
      </w:pPr>
      <w:r>
        <w:t xml:space="preserve">SEIA </w:t>
      </w:r>
      <w:r w:rsidR="00E47B29">
        <w:t>argued that AB 205 did not modify the definition of fixed charges in Section 739.9(a), and therefore</w:t>
      </w:r>
      <w:r w:rsidR="00721268">
        <w:t>,</w:t>
      </w:r>
      <w:r w:rsidR="00E47B29">
        <w:t xml:space="preserve"> the Commission’s previous interpretation of this </w:t>
      </w:r>
      <w:r>
        <w:t>term</w:t>
      </w:r>
      <w:r w:rsidR="00E47B29">
        <w:t xml:space="preserve"> should apply.</w:t>
      </w:r>
      <w:r w:rsidR="0052633A">
        <w:rPr>
          <w:rStyle w:val="FootnoteReference"/>
        </w:rPr>
        <w:footnoteReference w:id="5"/>
      </w:r>
      <w:r w:rsidR="00E47B29">
        <w:t xml:space="preserve"> </w:t>
      </w:r>
      <w:r w:rsidR="00E17B40">
        <w:t>We agree that the Commission’s interpretation of Section</w:t>
      </w:r>
      <w:r w:rsidR="0008492E">
        <w:t> </w:t>
      </w:r>
      <w:r w:rsidR="00E17B40">
        <w:t xml:space="preserve">739.9(a) in D.15-07-001 should </w:t>
      </w:r>
      <w:r w:rsidR="0089003A">
        <w:t xml:space="preserve">continue to </w:t>
      </w:r>
      <w:r w:rsidR="00E17B40">
        <w:t>apply.</w:t>
      </w:r>
      <w:r w:rsidR="00784ECB">
        <w:t xml:space="preserve"> </w:t>
      </w:r>
    </w:p>
    <w:p w:rsidR="000F287D" w:rsidP="008D3365" w:rsidRDefault="00101309" w14:paraId="15614D10" w14:textId="1CBCD739">
      <w:pPr>
        <w:pStyle w:val="Standard"/>
      </w:pPr>
      <w:r>
        <w:t xml:space="preserve">D.15-07-001 </w:t>
      </w:r>
      <w:r w:rsidR="005C6BE9">
        <w:t xml:space="preserve">interpreted </w:t>
      </w:r>
      <w:r w:rsidR="003E7707">
        <w:t>Section 739.9(a) as</w:t>
      </w:r>
      <w:r w:rsidR="00E53422">
        <w:t xml:space="preserve"> refer</w:t>
      </w:r>
      <w:r w:rsidR="003E7707">
        <w:t>ring</w:t>
      </w:r>
      <w:r w:rsidR="00E53422">
        <w:t xml:space="preserve"> “</w:t>
      </w:r>
      <w:r w:rsidRPr="00E53422" w:rsidR="00E53422">
        <w:t>exclusively to non-volumetric charges that apply based on demand or the mere existence of a customer account.</w:t>
      </w:r>
      <w:r w:rsidR="00E53422">
        <w:t>”</w:t>
      </w:r>
      <w:r w:rsidR="0052633A">
        <w:rPr>
          <w:rStyle w:val="FootnoteReference"/>
        </w:rPr>
        <w:footnoteReference w:id="6"/>
      </w:r>
      <w:r w:rsidR="003F7882">
        <w:t xml:space="preserve"> </w:t>
      </w:r>
      <w:r w:rsidR="004F21C4">
        <w:t xml:space="preserve">It is reasonable to interpret </w:t>
      </w:r>
      <w:r w:rsidR="004D7E4E">
        <w:t xml:space="preserve">the reference in Section 739.9(a) to “any </w:t>
      </w:r>
      <w:r w:rsidRPr="004D7E4E" w:rsidR="004D7E4E">
        <w:t>other charge not based on the volume of electricity consumed</w:t>
      </w:r>
      <w:r w:rsidR="004D7E4E">
        <w:t xml:space="preserve">” </w:t>
      </w:r>
      <w:r w:rsidR="003E0152">
        <w:t xml:space="preserve">as meaning any </w:t>
      </w:r>
      <w:r w:rsidRPr="003E0152" w:rsidR="003E0152">
        <w:t>non-volumetric charge that appl</w:t>
      </w:r>
      <w:r w:rsidR="003E0152">
        <w:t>ies</w:t>
      </w:r>
      <w:r w:rsidRPr="003E0152" w:rsidR="003E0152">
        <w:t xml:space="preserve"> based on demand or the mere existence of a customer account</w:t>
      </w:r>
      <w:r w:rsidR="00990366">
        <w:t>.</w:t>
      </w:r>
    </w:p>
    <w:p w:rsidRPr="003F7882" w:rsidR="003F7882" w:rsidP="008D3365" w:rsidRDefault="003F7882" w14:paraId="66EEF10F" w14:textId="275DD347">
      <w:pPr>
        <w:pStyle w:val="Standard"/>
      </w:pPr>
      <w:r w:rsidRPr="003F7882">
        <w:t>TURN/NRDC argued that the income-differentiation requirements of Section 739.9(e) should not apply to additional utility service fees</w:t>
      </w:r>
      <w:r w:rsidR="000416EE">
        <w:t xml:space="preserve">, </w:t>
      </w:r>
      <w:r w:rsidRPr="003F7882">
        <w:t xml:space="preserve">such as </w:t>
      </w:r>
      <w:r w:rsidR="003709DD">
        <w:t xml:space="preserve">fees for </w:t>
      </w:r>
      <w:r w:rsidRPr="003F7882">
        <w:t xml:space="preserve">interconnection, service extension, undergrounding, </w:t>
      </w:r>
      <w:r w:rsidR="00F46C1A">
        <w:t xml:space="preserve">and </w:t>
      </w:r>
      <w:r w:rsidRPr="003F7882">
        <w:t>smart meter opt-</w:t>
      </w:r>
      <w:r w:rsidRPr="003F7882">
        <w:lastRenderedPageBreak/>
        <w:t>out.</w:t>
      </w:r>
      <w:r w:rsidR="00D5537E">
        <w:rPr>
          <w:rStyle w:val="FootnoteReference"/>
        </w:rPr>
        <w:footnoteReference w:id="7"/>
      </w:r>
      <w:r w:rsidR="003A6385">
        <w:t xml:space="preserve"> We agree that </w:t>
      </w:r>
      <w:r w:rsidR="003F7338">
        <w:t xml:space="preserve">the additional utility service fees listed by TURN/NRDC </w:t>
      </w:r>
      <w:r w:rsidR="00643ED8">
        <w:t>are</w:t>
      </w:r>
      <w:r w:rsidR="000416EE">
        <w:t xml:space="preserve"> examples of fees that are</w:t>
      </w:r>
      <w:r w:rsidR="00643ED8">
        <w:t xml:space="preserve"> not fixed charges</w:t>
      </w:r>
      <w:r w:rsidR="003911CD">
        <w:t xml:space="preserve"> subject to Section 739.9(e)</w:t>
      </w:r>
      <w:r w:rsidR="00643ED8">
        <w:t>.</w:t>
      </w:r>
      <w:r w:rsidR="00DA56F6">
        <w:t xml:space="preserve"> Such </w:t>
      </w:r>
      <w:r w:rsidR="00717F5E">
        <w:t>additional service fees do not apply based on demand or the mere existence of a customer account.</w:t>
      </w:r>
      <w:r w:rsidR="00643ED8">
        <w:t xml:space="preserve"> </w:t>
      </w:r>
    </w:p>
    <w:p w:rsidR="00FF0D76" w:rsidP="00A33E36" w:rsidRDefault="00A33E36" w14:paraId="2931D4D0" w14:textId="2F9C8076">
      <w:pPr>
        <w:pStyle w:val="Standard"/>
      </w:pPr>
      <w:r>
        <w:t>Some parties argued that the Commission should interpret Section 739.9 as applying to only a subset of demand charges</w:t>
      </w:r>
      <w:r w:rsidR="005B6DA3">
        <w:t xml:space="preserve"> that do not vary based on the volume of electricity consumed</w:t>
      </w:r>
      <w:r>
        <w:t xml:space="preserve">. For example, </w:t>
      </w:r>
      <w:r w:rsidR="00E136F9">
        <w:t>the Large Utilities</w:t>
      </w:r>
      <w:r>
        <w:t xml:space="preserve"> argued that the provision should only apply to demand charges that are “predetermined” and do not vary from month to month. SEIA</w:t>
      </w:r>
      <w:r w:rsidR="00AA2DCE">
        <w:t>, Sierra Club, and CEJA</w:t>
      </w:r>
      <w:r>
        <w:t xml:space="preserve"> similarly argued that</w:t>
      </w:r>
      <w:r w:rsidR="00FF0D76">
        <w:t xml:space="preserve"> demand charges based on individual customers’ max</w:t>
      </w:r>
      <w:r>
        <w:t>imum</w:t>
      </w:r>
      <w:r w:rsidR="00FF0D76">
        <w:t xml:space="preserve"> demand should be excluded from </w:t>
      </w:r>
      <w:r w:rsidR="00F46C1A">
        <w:t xml:space="preserve">the </w:t>
      </w:r>
      <w:r w:rsidR="00FF0D76">
        <w:t>definition of fixed charge</w:t>
      </w:r>
      <w:r w:rsidR="00D70245">
        <w:t xml:space="preserve"> because such charges are based on the volume of electricity consumed.</w:t>
      </w:r>
    </w:p>
    <w:p w:rsidR="005F14A5" w:rsidP="005F14A5" w:rsidRDefault="00B630B5" w14:paraId="23C31AD9" w14:textId="5FA8320F">
      <w:pPr>
        <w:pStyle w:val="Standard"/>
      </w:pPr>
      <w:r>
        <w:t>TURN/NRDC disagreed in reply briefs, arguing that the language of Section 739.9(a)</w:t>
      </w:r>
      <w:r w:rsidR="00AA2DCE">
        <w:t xml:space="preserve"> explicitly</w:t>
      </w:r>
      <w:r>
        <w:t xml:space="preserve"> states that</w:t>
      </w:r>
      <w:r w:rsidR="00F342F4">
        <w:t xml:space="preserve"> any</w:t>
      </w:r>
      <w:r>
        <w:t xml:space="preserve"> demand charge</w:t>
      </w:r>
      <w:r w:rsidR="00001F7A">
        <w:t xml:space="preserve"> </w:t>
      </w:r>
      <w:r w:rsidR="00175948">
        <w:t>is a</w:t>
      </w:r>
      <w:r w:rsidR="00001F7A">
        <w:t xml:space="preserve"> fixed charge and does not provide any exceptions.</w:t>
      </w:r>
      <w:r w:rsidR="002C0E3A">
        <w:rPr>
          <w:rStyle w:val="FootnoteReference"/>
        </w:rPr>
        <w:footnoteReference w:id="8"/>
      </w:r>
      <w:r w:rsidR="00001F7A">
        <w:t xml:space="preserve"> </w:t>
      </w:r>
      <w:r w:rsidR="00F342F4">
        <w:t xml:space="preserve">We agree that the statute clearly provides that </w:t>
      </w:r>
      <w:r w:rsidR="00175948">
        <w:t>any</w:t>
      </w:r>
      <w:r w:rsidR="00F342F4">
        <w:t xml:space="preserve"> residential demand charg</w:t>
      </w:r>
      <w:r w:rsidR="00175948">
        <w:t>e</w:t>
      </w:r>
      <w:r w:rsidR="00F342F4">
        <w:t xml:space="preserve"> </w:t>
      </w:r>
      <w:r w:rsidR="00175948">
        <w:t>is a</w:t>
      </w:r>
      <w:r w:rsidR="00F342F4">
        <w:t xml:space="preserve"> fixed charge subject to Section 739.9(e).</w:t>
      </w:r>
    </w:p>
    <w:p w:rsidR="00632125" w:rsidP="00632125" w:rsidRDefault="00632125" w14:paraId="59C9DFC6" w14:textId="0301704E">
      <w:pPr>
        <w:pStyle w:val="Standard"/>
      </w:pPr>
      <w:r w:rsidRPr="00632125">
        <w:t xml:space="preserve">For purposes of Section 739.9(e), </w:t>
      </w:r>
      <w:r w:rsidR="00AB5262">
        <w:t>it is reasonable to interpret</w:t>
      </w:r>
      <w:r w:rsidR="007D12DD">
        <w:t xml:space="preserve"> a</w:t>
      </w:r>
      <w:r w:rsidRPr="00632125">
        <w:t xml:space="preserve"> “fixed charge” </w:t>
      </w:r>
      <w:r w:rsidR="00AB5262">
        <w:t>as meaning</w:t>
      </w:r>
      <w:r w:rsidRPr="00632125">
        <w:t xml:space="preserve"> any fixed customer charge, basic service fee, demand differentiated basic service fee, </w:t>
      </w:r>
      <w:r w:rsidR="005922F4">
        <w:t xml:space="preserve">demand charge, </w:t>
      </w:r>
      <w:r w:rsidRPr="00632125">
        <w:t xml:space="preserve">or </w:t>
      </w:r>
      <w:r w:rsidR="005D5CB0">
        <w:t xml:space="preserve">other </w:t>
      </w:r>
      <w:r w:rsidRPr="00632125">
        <w:t>non-volumetric charge that applies based on demand or the mere existence of a customer account.</w:t>
      </w:r>
    </w:p>
    <w:p w:rsidR="003A6A2B" w:rsidP="00BF2E1A" w:rsidRDefault="0037247D" w14:paraId="5876AB0B" w14:textId="6634A309">
      <w:pPr>
        <w:pStyle w:val="Standard"/>
      </w:pPr>
      <w:r>
        <w:t xml:space="preserve">The Statutory Briefs Ruling also asked parties whether </w:t>
      </w:r>
      <w:r w:rsidR="00BF2E1A">
        <w:t xml:space="preserve">the Commission may </w:t>
      </w:r>
      <w:r w:rsidRPr="003A6A2B" w:rsidR="003A6A2B">
        <w:t xml:space="preserve">authorize a bundle of fixed charges that collectively comply with the </w:t>
      </w:r>
      <w:r w:rsidRPr="003A6A2B" w:rsidR="003A6A2B">
        <w:lastRenderedPageBreak/>
        <w:t>requirements of</w:t>
      </w:r>
      <w:r w:rsidR="00BF2E1A">
        <w:t xml:space="preserve"> Section</w:t>
      </w:r>
      <w:r w:rsidRPr="003A6A2B" w:rsidR="003A6A2B">
        <w:t xml:space="preserve"> 739.9(e)</w:t>
      </w:r>
      <w:r w:rsidR="00BF2E1A">
        <w:t>, or whether each individual fixed charge must comply with Section 739.9(e).</w:t>
      </w:r>
    </w:p>
    <w:p w:rsidR="00F90450" w:rsidP="00F90450" w:rsidRDefault="00291C76" w14:paraId="062A2163" w14:textId="3205EE63">
      <w:pPr>
        <w:pStyle w:val="Standard"/>
      </w:pPr>
      <w:r>
        <w:t xml:space="preserve">TURN/NRDC </w:t>
      </w:r>
      <w:r w:rsidR="00425B3A">
        <w:t xml:space="preserve">and the </w:t>
      </w:r>
      <w:r w:rsidR="00E136F9">
        <w:t>Large Utilities</w:t>
      </w:r>
      <w:r w:rsidR="00425B3A">
        <w:t xml:space="preserve"> argued that the Commission may authorize a bundle of fixed charges that collectively comply with</w:t>
      </w:r>
      <w:r w:rsidR="00ED74EB">
        <w:t xml:space="preserve"> </w:t>
      </w:r>
      <w:r w:rsidR="00425B3A">
        <w:t>Section</w:t>
      </w:r>
      <w:r w:rsidR="003762A0">
        <w:t> </w:t>
      </w:r>
      <w:r w:rsidR="00425B3A">
        <w:t xml:space="preserve">739.9(e). </w:t>
      </w:r>
      <w:r w:rsidR="00F90450">
        <w:t>These parties argued that nothing in the statute prohibits this approach.</w:t>
      </w:r>
      <w:r w:rsidR="004C4757">
        <w:rPr>
          <w:rStyle w:val="FootnoteReference"/>
        </w:rPr>
        <w:footnoteReference w:id="9"/>
      </w:r>
      <w:r w:rsidR="00F90450">
        <w:t xml:space="preserve"> SEIA, on the other hand, </w:t>
      </w:r>
      <w:r w:rsidR="00865730">
        <w:t>argued that</w:t>
      </w:r>
      <w:r w:rsidR="00C50922">
        <w:t xml:space="preserve"> the language of</w:t>
      </w:r>
      <w:r w:rsidR="00865730">
        <w:t xml:space="preserve"> Section 739.9(e) requires </w:t>
      </w:r>
      <w:r w:rsidR="002318A5">
        <w:t>each individual fixed charge to be</w:t>
      </w:r>
      <w:r w:rsidR="007251AA">
        <w:t xml:space="preserve"> established on an income-graduated basis</w:t>
      </w:r>
      <w:r w:rsidR="002318A5">
        <w:t>.</w:t>
      </w:r>
      <w:r w:rsidR="004C4757">
        <w:rPr>
          <w:rStyle w:val="FootnoteReference"/>
        </w:rPr>
        <w:footnoteReference w:id="10"/>
      </w:r>
    </w:p>
    <w:p w:rsidR="003A6A2B" w:rsidP="004C4757" w:rsidRDefault="00C50922" w14:paraId="05DD1E50" w14:textId="6224DC86">
      <w:pPr>
        <w:pStyle w:val="Standard"/>
      </w:pPr>
      <w:r>
        <w:t>Section 739.9(e)</w:t>
      </w:r>
      <w:r w:rsidR="00F129E7">
        <w:t xml:space="preserve"> does not explicitly address the potential for the Commission to authorize a bundle of fixed charges that collectively comply with the income-graduation requirements. </w:t>
      </w:r>
      <w:r w:rsidR="00DE55BE">
        <w:t xml:space="preserve">Allowing a bundle of fixed charges to comply with the </w:t>
      </w:r>
      <w:r w:rsidR="00AB50FB">
        <w:t>requirements of Section 739.9(e)</w:t>
      </w:r>
      <w:r w:rsidR="00F97D6E">
        <w:t xml:space="preserve"> will provide the Commission with more options for designing fixed charges </w:t>
      </w:r>
      <w:r w:rsidR="004C4757">
        <w:t>without undue administrative complexity.</w:t>
      </w:r>
      <w:r w:rsidR="00DE55BE">
        <w:t xml:space="preserve"> </w:t>
      </w:r>
    </w:p>
    <w:p w:rsidR="0011724D" w:rsidP="00296802" w:rsidRDefault="00581D46" w14:paraId="7C0E1A10" w14:textId="53160113">
      <w:pPr>
        <w:pStyle w:val="Standard"/>
      </w:pPr>
      <w:r>
        <w:t xml:space="preserve">It is reasonable </w:t>
      </w:r>
      <w:r w:rsidR="0011724D">
        <w:t xml:space="preserve">for </w:t>
      </w:r>
      <w:r w:rsidRPr="00581D46">
        <w:t xml:space="preserve">a bundle of fixed charges </w:t>
      </w:r>
      <w:r w:rsidR="00462304">
        <w:t>to</w:t>
      </w:r>
      <w:r w:rsidRPr="00581D46">
        <w:t xml:space="preserve"> collectively comply with the </w:t>
      </w:r>
      <w:r>
        <w:t>requirements of Section 739.9(e).</w:t>
      </w:r>
    </w:p>
    <w:p w:rsidR="0011724D" w:rsidP="00702F6F" w:rsidRDefault="0011724D" w14:paraId="63105A8E" w14:textId="77777777">
      <w:pPr>
        <w:pStyle w:val="Heading2"/>
      </w:pPr>
      <w:bookmarkStart w:name="_Toc160790027" w:id="13"/>
      <w:r>
        <w:t>Customer</w:t>
      </w:r>
      <w:bookmarkEnd w:id="13"/>
    </w:p>
    <w:p w:rsidR="00CB5F14" w:rsidP="007B0117" w:rsidRDefault="007B0117" w14:paraId="554FB584" w14:textId="6567F69A">
      <w:pPr>
        <w:pStyle w:val="Standard"/>
      </w:pPr>
      <w:r>
        <w:t xml:space="preserve">The Statutory Briefs Ruling asked parties how to define </w:t>
      </w:r>
      <w:r w:rsidRPr="00CB5F14" w:rsidR="00CB5F14">
        <w:t xml:space="preserve">“customers” in the context of </w:t>
      </w:r>
      <w:r w:rsidR="006A3FA3">
        <w:t xml:space="preserve">Section </w:t>
      </w:r>
      <w:r w:rsidRPr="00CB5F14" w:rsidR="00CB5F14">
        <w:t>739.9(e)(2)</w:t>
      </w:r>
      <w:r w:rsidR="006A3FA3">
        <w:t>, which provides that “</w:t>
      </w:r>
      <w:r w:rsidRPr="00CB5F14" w:rsidR="00CB5F14">
        <w:t>income-graduated</w:t>
      </w:r>
      <w:r w:rsidR="006A3FA3">
        <w:t>”</w:t>
      </w:r>
      <w:r w:rsidRPr="00CB5F14" w:rsidR="00CB5F14">
        <w:t xml:space="preserve"> means that low-income customers pay a smaller fixed charge than high-income customers</w:t>
      </w:r>
      <w:r w:rsidR="006A3FA3">
        <w:t>.</w:t>
      </w:r>
      <w:r w:rsidR="00071D42">
        <w:t xml:space="preserve"> </w:t>
      </w:r>
    </w:p>
    <w:p w:rsidR="00E436D8" w:rsidP="00E436D8" w:rsidRDefault="005A0B84" w14:paraId="3BFC39D1" w14:textId="52102332">
      <w:pPr>
        <w:pStyle w:val="Standard"/>
      </w:pPr>
      <w:r>
        <w:t xml:space="preserve">Sierra Club/CEJA, CforAT, Cal Advocates, </w:t>
      </w:r>
      <w:r w:rsidR="008008B2">
        <w:t xml:space="preserve">and </w:t>
      </w:r>
      <w:r w:rsidR="0016174B">
        <w:t xml:space="preserve">the </w:t>
      </w:r>
      <w:r w:rsidR="00E136F9">
        <w:t>Large Utilities</w:t>
      </w:r>
      <w:r w:rsidR="008008B2">
        <w:t xml:space="preserve"> </w:t>
      </w:r>
      <w:r w:rsidR="004927E7">
        <w:t xml:space="preserve">asserted </w:t>
      </w:r>
      <w:r w:rsidR="00F144EE">
        <w:t xml:space="preserve">that a customer should be defined </w:t>
      </w:r>
      <w:r w:rsidR="00271321">
        <w:t>as a</w:t>
      </w:r>
      <w:r w:rsidR="00F144EE">
        <w:t xml:space="preserve"> household for purposes of Section 739.9</w:t>
      </w:r>
      <w:r w:rsidR="008D358F">
        <w:t xml:space="preserve">. </w:t>
      </w:r>
      <w:r w:rsidR="00E33002">
        <w:lastRenderedPageBreak/>
        <w:t xml:space="preserve">Cal Advocates and the Large Utilities argued that the definition of customer should be consistent with </w:t>
      </w:r>
      <w:r w:rsidR="00D13159">
        <w:t>the CARE program</w:t>
      </w:r>
      <w:r w:rsidR="00E33002">
        <w:t>, which</w:t>
      </w:r>
      <w:r w:rsidR="00D13159">
        <w:t xml:space="preserve"> defines </w:t>
      </w:r>
      <w:r w:rsidR="00533AED">
        <w:t xml:space="preserve">eligible </w:t>
      </w:r>
      <w:r w:rsidR="00D13159">
        <w:t xml:space="preserve">customers </w:t>
      </w:r>
      <w:r w:rsidR="00533AED">
        <w:t>based on household income.</w:t>
      </w:r>
      <w:r w:rsidRPr="00D86EA0" w:rsidR="00D86EA0">
        <w:rPr>
          <w:vertAlign w:val="superscript"/>
        </w:rPr>
        <w:footnoteReference w:id="11"/>
      </w:r>
    </w:p>
    <w:p w:rsidR="008D358F" w:rsidP="005D25A5" w:rsidRDefault="00626A41" w14:paraId="5D7547DA" w14:textId="3E1029AC">
      <w:pPr>
        <w:pStyle w:val="Standard"/>
      </w:pPr>
      <w:r>
        <w:t xml:space="preserve">CforAT </w:t>
      </w:r>
      <w:r w:rsidR="00626323">
        <w:t xml:space="preserve">recommended </w:t>
      </w:r>
      <w:r w:rsidR="00472F34">
        <w:t xml:space="preserve">that the Commission consider whether to define a household </w:t>
      </w:r>
      <w:r w:rsidR="00530B55">
        <w:t>in terms of people served by a single meter, or whether to define a household based on the California LifeLine program definition</w:t>
      </w:r>
      <w:r w:rsidR="00600D58">
        <w:t xml:space="preserve"> in General Order 153</w:t>
      </w:r>
      <w:r w:rsidR="00530B55">
        <w:t xml:space="preserve">, which </w:t>
      </w:r>
      <w:r w:rsidR="00163A03">
        <w:t xml:space="preserve">provides for </w:t>
      </w:r>
      <w:r w:rsidR="00AF0914">
        <w:t xml:space="preserve">multiple households </w:t>
      </w:r>
      <w:r w:rsidR="00163A03">
        <w:t xml:space="preserve">to </w:t>
      </w:r>
      <w:r w:rsidR="00AF0914">
        <w:t>live in one dwelling.</w:t>
      </w:r>
      <w:r w:rsidRPr="00481B56" w:rsidR="00481B56">
        <w:rPr>
          <w:vertAlign w:val="superscript"/>
        </w:rPr>
        <w:footnoteReference w:id="12"/>
      </w:r>
      <w:r w:rsidR="00093085">
        <w:t xml:space="preserve"> CforAT </w:t>
      </w:r>
      <w:r w:rsidR="00D86EA0">
        <w:t xml:space="preserve">asserted </w:t>
      </w:r>
      <w:r w:rsidR="00093085">
        <w:t>that</w:t>
      </w:r>
      <w:r w:rsidR="005D25A5">
        <w:t xml:space="preserve"> both options are consistent with AB 205, and that</w:t>
      </w:r>
      <w:r w:rsidR="00093085">
        <w:t xml:space="preserve"> it may be more efficient </w:t>
      </w:r>
      <w:r w:rsidR="00A2378A">
        <w:t xml:space="preserve">to define a household in terms of people </w:t>
      </w:r>
      <w:r w:rsidR="0049026C">
        <w:t>served by a single meter.</w:t>
      </w:r>
      <w:r w:rsidR="00AF0914">
        <w:rPr>
          <w:rStyle w:val="FootnoteReference"/>
        </w:rPr>
        <w:footnoteReference w:id="13"/>
      </w:r>
    </w:p>
    <w:p w:rsidR="0059315D" w:rsidP="005D25A5" w:rsidRDefault="00163A03" w14:paraId="41E1C30E" w14:textId="44200178">
      <w:pPr>
        <w:pStyle w:val="Standard"/>
      </w:pPr>
      <w:r w:rsidRPr="00163A03">
        <w:t>The Large Utilities</w:t>
      </w:r>
      <w:r w:rsidR="00ED7E97">
        <w:t xml:space="preserve"> and TURN/NRDC</w:t>
      </w:r>
      <w:r w:rsidRPr="00163A03">
        <w:t xml:space="preserve"> argued that a </w:t>
      </w:r>
      <w:r w:rsidR="00DC1A5B">
        <w:t xml:space="preserve">customer </w:t>
      </w:r>
      <w:r w:rsidRPr="00163A03">
        <w:t xml:space="preserve">should </w:t>
      </w:r>
      <w:r w:rsidR="00DC1A5B">
        <w:t>include</w:t>
      </w:r>
      <w:r w:rsidRPr="00163A03">
        <w:t xml:space="preserve"> all persons served by the same electric meter.</w:t>
      </w:r>
      <w:r w:rsidR="005D25A5">
        <w:t xml:space="preserve"> </w:t>
      </w:r>
      <w:r w:rsidR="00167539">
        <w:t xml:space="preserve">The Large Utilities </w:t>
      </w:r>
      <w:r w:rsidR="004977B3">
        <w:t xml:space="preserve">asserted </w:t>
      </w:r>
      <w:r w:rsidR="00167539">
        <w:t xml:space="preserve">that </w:t>
      </w:r>
      <w:r w:rsidR="00381A15">
        <w:t xml:space="preserve">allocating an income-graduated fixed charge to more than one household </w:t>
      </w:r>
      <w:r w:rsidR="009F60BB">
        <w:t xml:space="preserve">under a single billed account is not </w:t>
      </w:r>
      <w:r w:rsidR="00A41DE8">
        <w:t>feasible</w:t>
      </w:r>
      <w:r w:rsidR="009F60BB">
        <w:t xml:space="preserve"> because electric </w:t>
      </w:r>
      <w:r w:rsidRPr="00167539" w:rsidR="00167539">
        <w:t xml:space="preserve">bills are calculated based on total metered usage and not the unique usage patterns of </w:t>
      </w:r>
      <w:r w:rsidR="0065707E">
        <w:t>separate households</w:t>
      </w:r>
      <w:r w:rsidRPr="00167539" w:rsidR="00167539">
        <w:t xml:space="preserve"> </w:t>
      </w:r>
      <w:r w:rsidR="0065707E">
        <w:t>that are billed as a single metered account</w:t>
      </w:r>
      <w:r w:rsidRPr="00167539" w:rsidR="00167539">
        <w:t>.</w:t>
      </w:r>
      <w:r w:rsidR="003546B8">
        <w:rPr>
          <w:rStyle w:val="FootnoteReference"/>
        </w:rPr>
        <w:footnoteReference w:id="14"/>
      </w:r>
      <w:r w:rsidR="00225BFE">
        <w:t xml:space="preserve"> </w:t>
      </w:r>
    </w:p>
    <w:p w:rsidR="00C76719" w:rsidP="005A4945" w:rsidRDefault="004927E7" w14:paraId="63F11A67" w14:textId="7BD5A519">
      <w:pPr>
        <w:pStyle w:val="Standard"/>
      </w:pPr>
      <w:r>
        <w:t xml:space="preserve">The definition of a customer </w:t>
      </w:r>
      <w:r w:rsidR="00E94D62">
        <w:t xml:space="preserve">for purposes of </w:t>
      </w:r>
      <w:r w:rsidRPr="00E94D62" w:rsidR="00E94D62">
        <w:t>Section 739.9</w:t>
      </w:r>
      <w:r w:rsidR="00E94D62">
        <w:t xml:space="preserve"> should </w:t>
      </w:r>
      <w:r w:rsidR="00005046">
        <w:t>support administrative efficiency and consistency</w:t>
      </w:r>
      <w:r w:rsidR="00E94D62">
        <w:t xml:space="preserve"> with the implementation of the CARE program</w:t>
      </w:r>
      <w:r w:rsidR="00406608">
        <w:t>. It is reasonable to define “customer” for purposes of Section 739.9</w:t>
      </w:r>
      <w:r w:rsidR="00CD2D2D">
        <w:t xml:space="preserve"> as all </w:t>
      </w:r>
      <w:r w:rsidRPr="00163A03" w:rsidR="00CD2D2D">
        <w:t xml:space="preserve">persons </w:t>
      </w:r>
      <w:r w:rsidR="00005046">
        <w:t xml:space="preserve">residing in </w:t>
      </w:r>
      <w:r w:rsidR="00C34128">
        <w:t>one</w:t>
      </w:r>
      <w:r w:rsidR="00005046">
        <w:t xml:space="preserve"> </w:t>
      </w:r>
      <w:r w:rsidR="00505609">
        <w:t>dwelling</w:t>
      </w:r>
      <w:r w:rsidRPr="00163A03" w:rsidR="00505609">
        <w:t xml:space="preserve"> </w:t>
      </w:r>
      <w:r w:rsidR="00D7547C">
        <w:t xml:space="preserve">and </w:t>
      </w:r>
      <w:r w:rsidRPr="00163A03" w:rsidR="00CD2D2D">
        <w:t>served by the same electric meter</w:t>
      </w:r>
      <w:r w:rsidR="00005046">
        <w:t>.</w:t>
      </w:r>
    </w:p>
    <w:p w:rsidR="0011724D" w:rsidP="00702F6F" w:rsidRDefault="00B8067E" w14:paraId="7622DC52" w14:textId="7012B3F8">
      <w:pPr>
        <w:pStyle w:val="Heading2"/>
      </w:pPr>
      <w:bookmarkStart w:name="_Toc160790028" w:id="14"/>
      <w:r>
        <w:lastRenderedPageBreak/>
        <w:t>Number of</w:t>
      </w:r>
      <w:r w:rsidR="0011724D">
        <w:t xml:space="preserve"> Tiers</w:t>
      </w:r>
      <w:bookmarkEnd w:id="14"/>
    </w:p>
    <w:p w:rsidR="00816F99" w:rsidP="00816F99" w:rsidRDefault="004F1717" w14:paraId="54ECE677" w14:textId="26974686">
      <w:pPr>
        <w:pStyle w:val="Standard"/>
      </w:pPr>
      <w:r>
        <w:t>Section 739.9</w:t>
      </w:r>
      <w:r w:rsidRPr="004F1717">
        <w:t xml:space="preserve">(e)(1) </w:t>
      </w:r>
      <w:r>
        <w:t xml:space="preserve">provided that </w:t>
      </w:r>
      <w:r w:rsidR="008F3FE6">
        <w:t>a fixed charge “</w:t>
      </w:r>
      <w:r w:rsidRPr="004F1717">
        <w:t>shall be established on an income-graduated basis with no fewer than three income thresholds so that a low-income ratepayer in each baseline territory would realize a lower average monthly bill without making any changes in usage.</w:t>
      </w:r>
      <w:r w:rsidR="008F3FE6">
        <w:t>”</w:t>
      </w:r>
    </w:p>
    <w:p w:rsidR="00B8067E" w:rsidP="0007503B" w:rsidRDefault="00007385" w14:paraId="50D8DE9F" w14:textId="70E0E64C">
      <w:pPr>
        <w:pStyle w:val="Standard"/>
      </w:pPr>
      <w:r w:rsidRPr="00007385">
        <w:t xml:space="preserve">The Statutory Briefs Ruling asked parties </w:t>
      </w:r>
      <w:r w:rsidR="0007503B">
        <w:t xml:space="preserve">how to interpret the requirement </w:t>
      </w:r>
      <w:r w:rsidR="007B03F2">
        <w:t>to establish</w:t>
      </w:r>
      <w:r w:rsidR="0007503B">
        <w:t xml:space="preserve"> </w:t>
      </w:r>
      <w:r w:rsidRPr="00B8067E" w:rsidR="00B8067E">
        <w:t>“no fewer than three income thresholds”</w:t>
      </w:r>
      <w:r w:rsidR="007B03F2">
        <w:t xml:space="preserve"> for a fixed charge.</w:t>
      </w:r>
    </w:p>
    <w:p w:rsidR="0066491E" w:rsidP="00FC7E3D" w:rsidRDefault="004E79B9" w14:paraId="660CB3E6" w14:textId="0DD3A2E9">
      <w:pPr>
        <w:pStyle w:val="Standard"/>
        <w:ind w:firstLine="0"/>
      </w:pPr>
      <w:r>
        <w:tab/>
        <w:t xml:space="preserve">Most parties interpreted the </w:t>
      </w:r>
      <w:r w:rsidR="006D1721">
        <w:t xml:space="preserve">“no fewer than three income thresholds” </w:t>
      </w:r>
      <w:r w:rsidR="00FC7E3D">
        <w:t>requirement to mean that the Com</w:t>
      </w:r>
      <w:r w:rsidR="00325D14">
        <w:t xml:space="preserve">mission </w:t>
      </w:r>
      <w:r w:rsidR="00FC7E3D">
        <w:t>must establish a minimum of three income tiers</w:t>
      </w:r>
      <w:r w:rsidR="00EA3FEE">
        <w:t xml:space="preserve"> for a fixed charge</w:t>
      </w:r>
      <w:r w:rsidR="00FC7E3D">
        <w:t>.</w:t>
      </w:r>
      <w:r w:rsidR="00542229">
        <w:rPr>
          <w:rStyle w:val="FootnoteReference"/>
        </w:rPr>
        <w:footnoteReference w:id="15"/>
      </w:r>
      <w:r w:rsidR="00FC7E3D">
        <w:t xml:space="preserve"> </w:t>
      </w:r>
      <w:r w:rsidR="00816F99">
        <w:t>TURN/NRDC argued</w:t>
      </w:r>
      <w:r w:rsidR="00F82CF7">
        <w:t xml:space="preserve"> </w:t>
      </w:r>
      <w:r w:rsidR="00B12E7C">
        <w:t>t</w:t>
      </w:r>
      <w:r w:rsidR="00816F99">
        <w:t xml:space="preserve">hat the </w:t>
      </w:r>
      <w:r w:rsidR="006F4DE4">
        <w:t>legislative intent</w:t>
      </w:r>
      <w:r w:rsidR="00A60D1E">
        <w:t xml:space="preserve"> was to require a minimum of three tiers of fixed charge levels.</w:t>
      </w:r>
      <w:r w:rsidR="00A60D1E">
        <w:rPr>
          <w:rStyle w:val="FootnoteReference"/>
        </w:rPr>
        <w:footnoteReference w:id="16"/>
      </w:r>
      <w:r w:rsidR="009F085F">
        <w:t xml:space="preserve"> Cal Advocates</w:t>
      </w:r>
      <w:r w:rsidR="005C4446">
        <w:t xml:space="preserve">, </w:t>
      </w:r>
      <w:r w:rsidR="006B4588">
        <w:t>CforAT</w:t>
      </w:r>
      <w:r w:rsidR="005C4446">
        <w:t>, and SEIA</w:t>
      </w:r>
      <w:r w:rsidR="006B4588">
        <w:t xml:space="preserve"> each </w:t>
      </w:r>
      <w:r w:rsidR="009F085F">
        <w:t>argued that</w:t>
      </w:r>
      <w:r w:rsidR="00B97181">
        <w:t xml:space="preserve"> the </w:t>
      </w:r>
      <w:r w:rsidR="00897B89">
        <w:t xml:space="preserve">statute could be satisfied with three tiers if the </w:t>
      </w:r>
      <w:r w:rsidRPr="009F085F" w:rsidR="009F085F">
        <w:t xml:space="preserve">first tier </w:t>
      </w:r>
      <w:r w:rsidR="00897B89">
        <w:t>includes</w:t>
      </w:r>
      <w:r w:rsidRPr="009F085F" w:rsidR="009F085F">
        <w:t xml:space="preserve"> household incomes starting at</w:t>
      </w:r>
      <w:r w:rsidR="00ED5290">
        <w:t xml:space="preserve"> a threshold of</w:t>
      </w:r>
      <w:r w:rsidRPr="009F085F" w:rsidR="009F085F">
        <w:t xml:space="preserve"> </w:t>
      </w:r>
      <w:r w:rsidR="00314F0D">
        <w:t>$0</w:t>
      </w:r>
      <w:r w:rsidR="00E50C17">
        <w:t>.</w:t>
      </w:r>
      <w:r w:rsidR="00EA3FEE">
        <w:rPr>
          <w:rStyle w:val="FootnoteReference"/>
        </w:rPr>
        <w:footnoteReference w:id="17"/>
      </w:r>
    </w:p>
    <w:p w:rsidRPr="00FD04DE" w:rsidR="00FD04DE" w:rsidP="00DB7875" w:rsidRDefault="0066491E" w14:paraId="224CEE98" w14:textId="7BCCC015">
      <w:pPr>
        <w:pStyle w:val="Standard"/>
        <w:ind w:firstLine="0"/>
      </w:pPr>
      <w:r>
        <w:tab/>
        <w:t>Sierra Club/CEJA was the only party to argue that the statute require</w:t>
      </w:r>
      <w:r w:rsidR="00E04AF4">
        <w:t>s</w:t>
      </w:r>
      <w:r>
        <w:t xml:space="preserve"> four income tiers. However, </w:t>
      </w:r>
      <w:r w:rsidR="00E04AF4">
        <w:t xml:space="preserve">Sierra Club/CEJA acknowledged </w:t>
      </w:r>
      <w:r w:rsidR="00166783">
        <w:t>that</w:t>
      </w:r>
      <w:r w:rsidR="002008B8">
        <w:t>,</w:t>
      </w:r>
      <w:r w:rsidR="001672AE">
        <w:t xml:space="preserve"> </w:t>
      </w:r>
      <w:r w:rsidR="00E04AF4">
        <w:t xml:space="preserve">if the lowest threshold is </w:t>
      </w:r>
      <w:r w:rsidRPr="00687223" w:rsidR="00687223">
        <w:t>construed as the lowest limit on income</w:t>
      </w:r>
      <w:r w:rsidR="00946A7F">
        <w:t xml:space="preserve">, </w:t>
      </w:r>
      <w:r w:rsidRPr="00687223" w:rsidR="00687223">
        <w:t xml:space="preserve">three income thresholds </w:t>
      </w:r>
      <w:r w:rsidR="00946A7F">
        <w:t xml:space="preserve">could </w:t>
      </w:r>
      <w:r w:rsidRPr="00687223" w:rsidR="00687223">
        <w:t>result in three tiers.</w:t>
      </w:r>
      <w:r w:rsidR="008D5FEB">
        <w:rPr>
          <w:rStyle w:val="FootnoteReference"/>
        </w:rPr>
        <w:footnoteReference w:id="18"/>
      </w:r>
      <w:r w:rsidR="00DB7875">
        <w:t xml:space="preserve"> </w:t>
      </w:r>
    </w:p>
    <w:p w:rsidRPr="00EF14AC" w:rsidR="0011724D" w:rsidP="00314F0D" w:rsidRDefault="00D6436C" w14:paraId="326B3518" w14:textId="3E245673">
      <w:pPr>
        <w:pStyle w:val="Standard"/>
      </w:pPr>
      <w:r>
        <w:t xml:space="preserve">It is reasonable </w:t>
      </w:r>
      <w:r w:rsidR="00FF4EFB">
        <w:t>for</w:t>
      </w:r>
      <w:r w:rsidR="00D97EBB">
        <w:t xml:space="preserve"> a</w:t>
      </w:r>
      <w:r w:rsidR="00DB6A99">
        <w:t>n</w:t>
      </w:r>
      <w:r w:rsidR="00D97EBB">
        <w:t xml:space="preserve"> </w:t>
      </w:r>
      <w:r w:rsidR="00DB6A99">
        <w:t>income-graduated</w:t>
      </w:r>
      <w:r w:rsidR="00D97EBB">
        <w:t xml:space="preserve"> fixed charge </w:t>
      </w:r>
      <w:r w:rsidR="00FF4EFB">
        <w:t>to include</w:t>
      </w:r>
      <w:r w:rsidR="00D97EBB">
        <w:t xml:space="preserve"> a minimum of three income tiers</w:t>
      </w:r>
      <w:r w:rsidR="00314F0D">
        <w:t>.</w:t>
      </w:r>
    </w:p>
    <w:p w:rsidR="0011724D" w:rsidP="00702F6F" w:rsidRDefault="0011724D" w14:paraId="55E0A492" w14:textId="77777777">
      <w:pPr>
        <w:pStyle w:val="Heading2"/>
      </w:pPr>
      <w:bookmarkStart w:name="_Toc160790029" w:id="15"/>
      <w:r>
        <w:lastRenderedPageBreak/>
        <w:t>Low-Income Ratepayer</w:t>
      </w:r>
      <w:bookmarkEnd w:id="15"/>
    </w:p>
    <w:p w:rsidR="00257BAF" w:rsidP="00257BAF" w:rsidRDefault="00972A8C" w14:paraId="09C07A93" w14:textId="7FDEC776">
      <w:pPr>
        <w:pStyle w:val="Standard"/>
      </w:pPr>
      <w:r>
        <w:t>Section 739.9(</w:t>
      </w:r>
      <w:r w:rsidRPr="00972A8C">
        <w:t xml:space="preserve">e)(1) </w:t>
      </w:r>
      <w:r>
        <w:t xml:space="preserve">provides that the Commission </w:t>
      </w:r>
      <w:r w:rsidR="0042555A">
        <w:t>shall establish a fixed charge “</w:t>
      </w:r>
      <w:r w:rsidRPr="00972A8C">
        <w:t>so that a low-income ratepayer in each baseline territory would realize a lower average monthly bill without making any changes in usage.</w:t>
      </w:r>
      <w:r w:rsidR="00EF2C19">
        <w:t xml:space="preserve">” The Statutory Briefs Ruling asked parties how to </w:t>
      </w:r>
      <w:r w:rsidR="00A31EA6">
        <w:t xml:space="preserve">interpret </w:t>
      </w:r>
      <w:r w:rsidRPr="00A32D5B" w:rsidR="00A32D5B">
        <w:t>“a low-income ratepayer in each baseline territory</w:t>
      </w:r>
      <w:r w:rsidR="00A31EA6">
        <w:t>.</w:t>
      </w:r>
      <w:r w:rsidRPr="00A32D5B" w:rsidR="00A32D5B">
        <w:t>”</w:t>
      </w:r>
    </w:p>
    <w:p w:rsidR="006E33D5" w:rsidP="008030E5" w:rsidRDefault="007361B5" w14:paraId="21F1B926" w14:textId="4DB1D572">
      <w:pPr>
        <w:pStyle w:val="Standard"/>
      </w:pPr>
      <w:r>
        <w:t>The</w:t>
      </w:r>
      <w:r w:rsidR="00DF3FEB">
        <w:t xml:space="preserve"> Large Utilities</w:t>
      </w:r>
      <w:r w:rsidR="00B1359A">
        <w:t xml:space="preserve"> argued that a low-income ratepayer should be defined </w:t>
      </w:r>
      <w:r w:rsidR="009F212D">
        <w:t>in accordance with the</w:t>
      </w:r>
      <w:r w:rsidR="00057D9A">
        <w:t xml:space="preserve"> CARE program </w:t>
      </w:r>
      <w:r w:rsidR="009F212D">
        <w:t>definition of</w:t>
      </w:r>
      <w:r w:rsidR="00057D9A">
        <w:t xml:space="preserve"> “low-income electric and gas customers” in Section 739.1 of the Pub. Util. Code. </w:t>
      </w:r>
      <w:r w:rsidR="00DF3FEB">
        <w:t xml:space="preserve">The Large Utilities argued that </w:t>
      </w:r>
      <w:r w:rsidR="00CD7F6D">
        <w:t>the L</w:t>
      </w:r>
      <w:r w:rsidR="00BB6ADF">
        <w:t xml:space="preserve">egislature intended for the definition of low-income ratepayer to be consistent across Sections </w:t>
      </w:r>
      <w:r w:rsidR="006E33D5">
        <w:t>739.1 and 739.9 of the Pub. Util. Code. The Large Utilities also argued that a</w:t>
      </w:r>
      <w:r w:rsidRPr="006E33D5" w:rsidR="006E33D5">
        <w:t xml:space="preserve">ligning CARE eligibility with </w:t>
      </w:r>
      <w:r w:rsidR="0055027A">
        <w:t>the definition of low-income ratepayer for fixed charges would reduce</w:t>
      </w:r>
      <w:r w:rsidR="008030E5">
        <w:t xml:space="preserve"> administrative costs of implementing fixed charges.</w:t>
      </w:r>
      <w:r w:rsidR="008030E5">
        <w:rPr>
          <w:rStyle w:val="FootnoteReference"/>
        </w:rPr>
        <w:footnoteReference w:id="19"/>
      </w:r>
    </w:p>
    <w:p w:rsidR="007E1352" w:rsidP="007E1352" w:rsidRDefault="007E1352" w14:paraId="2AC4EC24" w14:textId="587E1B7D">
      <w:pPr>
        <w:pStyle w:val="Standard"/>
      </w:pPr>
      <w:r w:rsidRPr="007E1352">
        <w:t>CforAT and TURN/NRDC asserted that the Commission has the option to adopt either a definition based on the Federal Poverty Guidelines or Area Median Income. CforAT acknowledged that it may be less administratively complex for the utilities to continue to use Federal Poverty Guidelines but asserted that Area Median Income better reflects the differing purchasing power in different parts of the state.</w:t>
      </w:r>
      <w:r>
        <w:rPr>
          <w:rStyle w:val="FootnoteReference"/>
        </w:rPr>
        <w:footnoteReference w:id="20"/>
      </w:r>
      <w:r w:rsidR="007E63FA">
        <w:t xml:space="preserve"> </w:t>
      </w:r>
    </w:p>
    <w:p w:rsidR="00F2518A" w:rsidP="00B056BF" w:rsidRDefault="00FB5854" w14:paraId="3D457704" w14:textId="0A5D34D2">
      <w:pPr>
        <w:pStyle w:val="Standard"/>
      </w:pPr>
      <w:r>
        <w:t xml:space="preserve">Sierra Club/CEJA </w:t>
      </w:r>
      <w:r w:rsidR="00B056BF">
        <w:t xml:space="preserve">argued that a low-income ratepayer should be defined as a ratepayer whose income is below </w:t>
      </w:r>
      <w:r w:rsidRPr="000F2050" w:rsidR="000F2050">
        <w:t>80</w:t>
      </w:r>
      <w:r w:rsidR="00C1241D">
        <w:t xml:space="preserve"> percent</w:t>
      </w:r>
      <w:r w:rsidR="00B056BF">
        <w:t xml:space="preserve"> of</w:t>
      </w:r>
      <w:r w:rsidRPr="000F2050" w:rsidR="000F2050">
        <w:t xml:space="preserve"> A</w:t>
      </w:r>
      <w:r w:rsidR="00B056BF">
        <w:t xml:space="preserve">rea </w:t>
      </w:r>
      <w:r w:rsidRPr="000F2050" w:rsidR="000F2050">
        <w:t>M</w:t>
      </w:r>
      <w:r w:rsidR="00B056BF">
        <w:t xml:space="preserve">edian </w:t>
      </w:r>
      <w:r w:rsidRPr="000F2050" w:rsidR="000F2050">
        <w:t>I</w:t>
      </w:r>
      <w:r w:rsidR="00B056BF">
        <w:t>ncome</w:t>
      </w:r>
      <w:r w:rsidRPr="000F2050" w:rsidR="000F2050">
        <w:t xml:space="preserve"> or who qualifies for low-income programs such as CARE,</w:t>
      </w:r>
      <w:r w:rsidR="00F323B2">
        <w:t xml:space="preserve"> </w:t>
      </w:r>
      <w:r w:rsidRPr="000F2050" w:rsidR="000F2050">
        <w:t xml:space="preserve">CalFresh, </w:t>
      </w:r>
      <w:r w:rsidR="00F323B2">
        <w:t xml:space="preserve">or </w:t>
      </w:r>
      <w:r w:rsidR="00D36926">
        <w:t xml:space="preserve">affordable </w:t>
      </w:r>
      <w:r w:rsidR="00D36926">
        <w:lastRenderedPageBreak/>
        <w:t>housing</w:t>
      </w:r>
      <w:r w:rsidRPr="000F2050" w:rsidR="000F2050">
        <w:t xml:space="preserve">. </w:t>
      </w:r>
      <w:r w:rsidR="005051C0">
        <w:t xml:space="preserve">Sierra Club/CEJA also argued that </w:t>
      </w:r>
      <w:r w:rsidR="007E1352">
        <w:t xml:space="preserve">its proposed definition is consistent with the definition in the </w:t>
      </w:r>
      <w:r w:rsidR="00806086">
        <w:t>Commission’s Environmental and Social Justice Action Plan 2.0</w:t>
      </w:r>
      <w:r w:rsidR="007E1352">
        <w:t>.</w:t>
      </w:r>
      <w:r w:rsidR="0034244F">
        <w:rPr>
          <w:rStyle w:val="FootnoteReference"/>
        </w:rPr>
        <w:footnoteReference w:id="21"/>
      </w:r>
    </w:p>
    <w:p w:rsidR="00021336" w:rsidP="00A35C6F" w:rsidRDefault="00021336" w14:paraId="24A59819" w14:textId="2027D0E9">
      <w:pPr>
        <w:pStyle w:val="Standard"/>
      </w:pPr>
      <w:r>
        <w:t xml:space="preserve">The Large Utilities replied </w:t>
      </w:r>
      <w:r w:rsidR="00261E3A">
        <w:t>that defining low-income ratepayers</w:t>
      </w:r>
      <w:r w:rsidR="00E174A2">
        <w:t xml:space="preserve"> </w:t>
      </w:r>
      <w:r w:rsidR="00703153">
        <w:t xml:space="preserve">for the fixed charge differently from the </w:t>
      </w:r>
      <w:r w:rsidR="00E174A2">
        <w:t xml:space="preserve">CARE definition </w:t>
      </w:r>
      <w:r w:rsidR="00703153">
        <w:t xml:space="preserve">would </w:t>
      </w:r>
      <w:r w:rsidR="000C0A00">
        <w:t>cause significant customer confusion and additional administrative costs.</w:t>
      </w:r>
      <w:r w:rsidR="00E947CA">
        <w:t xml:space="preserve"> The Large Utilities </w:t>
      </w:r>
      <w:r w:rsidR="00220DC8">
        <w:t xml:space="preserve">emphasized the administrative efficiencies of </w:t>
      </w:r>
      <w:r w:rsidR="008860A0">
        <w:t xml:space="preserve">aligning the definition of low-income </w:t>
      </w:r>
      <w:r w:rsidR="00325B9B">
        <w:t>ratepayer with</w:t>
      </w:r>
      <w:r w:rsidR="00220DC8">
        <w:t xml:space="preserve"> CARE customer </w:t>
      </w:r>
      <w:r w:rsidR="001F764E">
        <w:t>eligibilit</w:t>
      </w:r>
      <w:r w:rsidR="005B5258">
        <w:t>y</w:t>
      </w:r>
      <w:r w:rsidR="007179F0">
        <w:t>.</w:t>
      </w:r>
      <w:r w:rsidR="00A35C6F">
        <w:rPr>
          <w:rStyle w:val="FootnoteReference"/>
        </w:rPr>
        <w:footnoteReference w:id="22"/>
      </w:r>
    </w:p>
    <w:p w:rsidR="00954FBE" w:rsidP="00CA6AFD" w:rsidRDefault="005112BC" w14:paraId="51DF16B6" w14:textId="3643EB25">
      <w:pPr>
        <w:pStyle w:val="Standard"/>
      </w:pPr>
      <w:r>
        <w:t xml:space="preserve">We agree that aligning the definition of low-income ratepayer for fixed charges </w:t>
      </w:r>
      <w:r w:rsidR="00F4765C">
        <w:t xml:space="preserve">with the CARE definition </w:t>
      </w:r>
      <w:r w:rsidR="002B7AA0">
        <w:t>would</w:t>
      </w:r>
      <w:r>
        <w:t xml:space="preserve"> </w:t>
      </w:r>
      <w:r w:rsidR="00E42F68">
        <w:t xml:space="preserve">allow utilities to leverage existing CARE income verification processes, reduce administrative costs, </w:t>
      </w:r>
      <w:r w:rsidR="00BF5477">
        <w:t xml:space="preserve">and </w:t>
      </w:r>
      <w:r w:rsidR="00E8572F">
        <w:t xml:space="preserve">avoid customer confusion. This approach </w:t>
      </w:r>
      <w:r w:rsidR="002B7AA0">
        <w:t>would</w:t>
      </w:r>
      <w:r w:rsidR="00E8572F">
        <w:t xml:space="preserve"> also </w:t>
      </w:r>
      <w:r w:rsidR="00192504">
        <w:t>simplify customer education</w:t>
      </w:r>
      <w:r w:rsidR="005F49EB">
        <w:t xml:space="preserve"> </w:t>
      </w:r>
      <w:r w:rsidR="00E8572F">
        <w:t>about the fixed charge</w:t>
      </w:r>
      <w:r w:rsidR="00192504">
        <w:t>.</w:t>
      </w:r>
      <w:r w:rsidR="00201369">
        <w:t xml:space="preserve"> </w:t>
      </w:r>
    </w:p>
    <w:p w:rsidR="00FE25DE" w:rsidP="00E45242" w:rsidRDefault="00767F44" w14:paraId="4AF8D827" w14:textId="51A2A787">
      <w:pPr>
        <w:pStyle w:val="Standard"/>
      </w:pPr>
      <w:r>
        <w:t xml:space="preserve">The Large Utilities </w:t>
      </w:r>
      <w:r w:rsidR="009D0B14">
        <w:t>proposed to define low-income ratepayers as customers enrolled in CARE</w:t>
      </w:r>
      <w:r w:rsidR="002A19B1">
        <w:t xml:space="preserve"> for ease of administration</w:t>
      </w:r>
      <w:r w:rsidR="009D0B14">
        <w:t>.</w:t>
      </w:r>
      <w:r w:rsidR="002A19B1">
        <w:rPr>
          <w:rStyle w:val="FootnoteReference"/>
        </w:rPr>
        <w:footnoteReference w:id="23"/>
      </w:r>
      <w:r w:rsidR="005C6AEA">
        <w:t xml:space="preserve"> </w:t>
      </w:r>
      <w:r w:rsidR="002A19B1">
        <w:t xml:space="preserve">CforAT argued that </w:t>
      </w:r>
      <w:r w:rsidR="006525AC">
        <w:t xml:space="preserve">the Legislature did not intend to limit the bill protections of </w:t>
      </w:r>
      <w:r w:rsidRPr="006525AC" w:rsidR="006525AC">
        <w:t>Section 739.9(e)(1)</w:t>
      </w:r>
      <w:r w:rsidR="006525AC">
        <w:t xml:space="preserve"> to the subset of low-income ratepayers who</w:t>
      </w:r>
      <w:r w:rsidR="00E45242">
        <w:t xml:space="preserve"> are enrolled in the CARE program.</w:t>
      </w:r>
      <w:r w:rsidR="00E45242">
        <w:rPr>
          <w:rStyle w:val="FootnoteReference"/>
        </w:rPr>
        <w:footnoteReference w:id="24"/>
      </w:r>
      <w:r w:rsidR="00E45242">
        <w:t xml:space="preserve"> </w:t>
      </w:r>
      <w:r w:rsidR="00DA58CD">
        <w:t xml:space="preserve">We agree that </w:t>
      </w:r>
      <w:r w:rsidR="00BF586F">
        <w:t xml:space="preserve">the definition of low-income ratepayer </w:t>
      </w:r>
      <w:r w:rsidR="00C63F6D">
        <w:t>should</w:t>
      </w:r>
      <w:r w:rsidR="00BF586F">
        <w:t xml:space="preserve"> not be limited to customers who are enrolled in a</w:t>
      </w:r>
      <w:r w:rsidR="00102CDC">
        <w:t xml:space="preserve"> specific</w:t>
      </w:r>
      <w:r w:rsidR="00BF586F">
        <w:t xml:space="preserve"> low-income assistance program.</w:t>
      </w:r>
    </w:p>
    <w:p w:rsidR="0085083C" w:rsidP="006159CF" w:rsidRDefault="0085083C" w14:paraId="392E1C7F" w14:textId="0F308EBA">
      <w:pPr>
        <w:pStyle w:val="Standard"/>
      </w:pPr>
      <w:r>
        <w:t>It is reasonable to define a low-incom</w:t>
      </w:r>
      <w:r w:rsidR="006C3840">
        <w:t>e ratepayer for purposes of designing a</w:t>
      </w:r>
      <w:r w:rsidR="008009A1">
        <w:t>n income-graduated</w:t>
      </w:r>
      <w:r w:rsidR="006C3840">
        <w:t xml:space="preserve"> fixed charge as a customer with a</w:t>
      </w:r>
      <w:r w:rsidRPr="0085083C">
        <w:t xml:space="preserve"> household income </w:t>
      </w:r>
      <w:r w:rsidR="00963463">
        <w:t xml:space="preserve">at or </w:t>
      </w:r>
      <w:r w:rsidR="00963463">
        <w:lastRenderedPageBreak/>
        <w:t xml:space="preserve">below </w:t>
      </w:r>
      <w:r w:rsidRPr="0085083C">
        <w:t>200</w:t>
      </w:r>
      <w:r w:rsidR="00C1241D">
        <w:t xml:space="preserve"> percent</w:t>
      </w:r>
      <w:r w:rsidRPr="0085083C">
        <w:t xml:space="preserve"> of the </w:t>
      </w:r>
      <w:r w:rsidR="006159CF">
        <w:t>Federal Poverty Guidelines level</w:t>
      </w:r>
      <w:r w:rsidRPr="0085083C">
        <w:t xml:space="preserve"> applicable to that household</w:t>
      </w:r>
      <w:r w:rsidR="006159CF">
        <w:t xml:space="preserve"> under the CARE program</w:t>
      </w:r>
      <w:r w:rsidRPr="0085083C">
        <w:t>.</w:t>
      </w:r>
    </w:p>
    <w:p w:rsidR="00257BAF" w:rsidP="00CA6AFD" w:rsidRDefault="00BF58BD" w14:paraId="210BA27D" w14:textId="3381EE04">
      <w:pPr>
        <w:pStyle w:val="Standard"/>
      </w:pPr>
      <w:r>
        <w:t>Parties also disagreed about whether Section</w:t>
      </w:r>
      <w:r w:rsidR="00E45C11">
        <w:t xml:space="preserve"> </w:t>
      </w:r>
      <w:r w:rsidRPr="00BF58BD">
        <w:t>739.9(e)(1)</w:t>
      </w:r>
      <w:r>
        <w:t xml:space="preserve"> </w:t>
      </w:r>
      <w:r w:rsidR="00FB3651">
        <w:t xml:space="preserve">requires a fixed charge to lower average monthly bills for every </w:t>
      </w:r>
      <w:r w:rsidR="00730FB1">
        <w:t>low-income ratepayer, or only the average low-income ratepayer in each baseline territory.</w:t>
      </w:r>
    </w:p>
    <w:p w:rsidR="00041FC9" w:rsidP="001D0E63" w:rsidRDefault="00420712" w14:paraId="165D1F34" w14:textId="56F35F5F">
      <w:pPr>
        <w:pStyle w:val="Standard"/>
      </w:pPr>
      <w:r>
        <w:t xml:space="preserve">CforAT argued that </w:t>
      </w:r>
      <w:r w:rsidR="00A33BD8">
        <w:t>the intent of AB 205 was to ensure that each and every low-income ratepayer benefits from the fixed charge.</w:t>
      </w:r>
      <w:r w:rsidRPr="00D21151" w:rsidR="00D21151">
        <w:rPr>
          <w:vertAlign w:val="superscript"/>
        </w:rPr>
        <w:footnoteReference w:id="25"/>
      </w:r>
      <w:r w:rsidR="00A33BD8">
        <w:t xml:space="preserve"> On the other hand,</w:t>
      </w:r>
      <w:r w:rsidR="001C1986">
        <w:t xml:space="preserve"> </w:t>
      </w:r>
      <w:r w:rsidR="00A33BD8">
        <w:t xml:space="preserve"> TURN/NRDC </w:t>
      </w:r>
      <w:r w:rsidR="001C1986">
        <w:t xml:space="preserve">and the Large Utilities </w:t>
      </w:r>
      <w:r w:rsidR="00A33BD8">
        <w:t>argued that</w:t>
      </w:r>
      <w:r w:rsidR="00D21151">
        <w:t xml:space="preserve"> the </w:t>
      </w:r>
      <w:r w:rsidR="00160EF9">
        <w:t>L</w:t>
      </w:r>
      <w:r w:rsidR="00D21151">
        <w:t xml:space="preserve">egislature intended for fixed charges to lower the monthly bills of the average low-income ratepayer. The Large Utilities argued that </w:t>
      </w:r>
      <w:r w:rsidR="00A33BD8">
        <w:t xml:space="preserve">the reference to </w:t>
      </w:r>
      <w:r w:rsidR="007374BA">
        <w:t>“a low-income ratepayer in each baseline territory”</w:t>
      </w:r>
      <w:r w:rsidR="00EB3A27">
        <w:rPr>
          <w:rStyle w:val="FootnoteReference"/>
        </w:rPr>
        <w:footnoteReference w:id="26"/>
      </w:r>
      <w:r w:rsidR="007374BA">
        <w:t xml:space="preserve"> makes it clear that the </w:t>
      </w:r>
      <w:r w:rsidR="001E41DB">
        <w:t>L</w:t>
      </w:r>
      <w:r w:rsidR="007374BA">
        <w:t xml:space="preserve">egislature intended for the </w:t>
      </w:r>
      <w:r w:rsidR="00762F4D">
        <w:t xml:space="preserve">fixed charge to lower monthly bills for the </w:t>
      </w:r>
      <w:r w:rsidR="007374BA">
        <w:t xml:space="preserve">average </w:t>
      </w:r>
      <w:r w:rsidR="00762F4D">
        <w:t>low-income ratepayer because there would be no need to refer to baseline territor</w:t>
      </w:r>
      <w:r w:rsidR="00230094">
        <w:t>ies</w:t>
      </w:r>
      <w:r w:rsidR="00762F4D">
        <w:t xml:space="preserve"> if the </w:t>
      </w:r>
      <w:r w:rsidR="0041579B">
        <w:t>L</w:t>
      </w:r>
      <w:r w:rsidR="00762F4D">
        <w:t xml:space="preserve">egislature intended for the </w:t>
      </w:r>
      <w:r w:rsidR="00230094">
        <w:t>fixed charge to lower monthly bills for</w:t>
      </w:r>
      <w:r w:rsidR="00762F4D">
        <w:t xml:space="preserve"> every single low-income ratepayer.</w:t>
      </w:r>
      <w:r w:rsidR="00EB3A27">
        <w:rPr>
          <w:rStyle w:val="FootnoteReference"/>
        </w:rPr>
        <w:footnoteReference w:id="27"/>
      </w:r>
      <w:r w:rsidR="00D21151">
        <w:t xml:space="preserve"> TURN/NRDC argued that</w:t>
      </w:r>
      <w:r w:rsidR="00234197">
        <w:t xml:space="preserve"> the </w:t>
      </w:r>
      <w:r w:rsidR="001E41DB">
        <w:t>Legislature intended</w:t>
      </w:r>
      <w:r w:rsidR="00234197">
        <w:t xml:space="preserve"> for the average low-income ratepayer to benefit, and that </w:t>
      </w:r>
      <w:r w:rsidR="00F923B7">
        <w:t>if a small number of low-income ratepayers who use an extremely low amount of electricity see a small bill increase, this would not violate the statutory requirement.</w:t>
      </w:r>
      <w:r w:rsidR="001C1986">
        <w:rPr>
          <w:rStyle w:val="FootnoteReference"/>
        </w:rPr>
        <w:footnoteReference w:id="28"/>
      </w:r>
      <w:r w:rsidR="001D0E63">
        <w:t xml:space="preserve"> </w:t>
      </w:r>
    </w:p>
    <w:p w:rsidR="00102C7A" w:rsidP="001D0E63" w:rsidRDefault="00041FC9" w14:paraId="18C528D7" w14:textId="3CB01221">
      <w:pPr>
        <w:pStyle w:val="Standard"/>
      </w:pPr>
      <w:r>
        <w:lastRenderedPageBreak/>
        <w:t xml:space="preserve">CforAT </w:t>
      </w:r>
      <w:r w:rsidR="004E01D3">
        <w:t>also argued</w:t>
      </w:r>
      <w:r>
        <w:t xml:space="preserve"> that the</w:t>
      </w:r>
      <w:r w:rsidR="00234B3C">
        <w:t xml:space="preserve"> only</w:t>
      </w:r>
      <w:r>
        <w:t xml:space="preserve"> way to ensure that</w:t>
      </w:r>
      <w:r w:rsidR="000B3D4F">
        <w:t xml:space="preserve"> a fixed charge lowers the average monthly bill for</w:t>
      </w:r>
      <w:r>
        <w:t xml:space="preserve"> each and every </w:t>
      </w:r>
      <w:r w:rsidR="000B3D4F">
        <w:t>low-income ratepayer is to set the fixed charge at $0 for low-income ratepayers.</w:t>
      </w:r>
      <w:r w:rsidRPr="00361BC3" w:rsidR="00361BC3">
        <w:rPr>
          <w:vertAlign w:val="superscript"/>
        </w:rPr>
        <w:footnoteReference w:id="29"/>
      </w:r>
      <w:r w:rsidR="000B3D4F">
        <w:t xml:space="preserve"> </w:t>
      </w:r>
      <w:r w:rsidR="00822B27">
        <w:t xml:space="preserve">However, </w:t>
      </w:r>
      <w:r w:rsidR="00FA3052">
        <w:t xml:space="preserve">AB 205 does not </w:t>
      </w:r>
      <w:r w:rsidR="00822B27">
        <w:t>direct the</w:t>
      </w:r>
      <w:r w:rsidR="00FA3052">
        <w:t xml:space="preserve"> Commission to exempt</w:t>
      </w:r>
      <w:r w:rsidR="005D67CA">
        <w:t xml:space="preserve"> low-income ratepayers from </w:t>
      </w:r>
      <w:r w:rsidR="00FA3052">
        <w:t xml:space="preserve">paying </w:t>
      </w:r>
      <w:r w:rsidR="005D67CA">
        <w:t>a fixed charge</w:t>
      </w:r>
      <w:r w:rsidR="00FA3052">
        <w:t>.</w:t>
      </w:r>
      <w:r w:rsidR="00562F60">
        <w:t xml:space="preserve"> </w:t>
      </w:r>
      <w:r w:rsidR="00AD6169">
        <w:t xml:space="preserve">The </w:t>
      </w:r>
      <w:r w:rsidR="14AC0B4D">
        <w:t>statutory language</w:t>
      </w:r>
      <w:r w:rsidR="00227BE3">
        <w:t xml:space="preserve"> referring to low-income ratepayers in each baseline territory</w:t>
      </w:r>
      <w:r w:rsidR="14AC0B4D">
        <w:t xml:space="preserve"> </w:t>
      </w:r>
      <w:r w:rsidR="00CD7C55">
        <w:t>indicates that the Legislature did not intend</w:t>
      </w:r>
      <w:r w:rsidR="00826396">
        <w:t xml:space="preserve"> to require </w:t>
      </w:r>
      <w:r w:rsidR="001D5022">
        <w:t xml:space="preserve">a fixed charge to lower the average monthly bill for </w:t>
      </w:r>
      <w:r w:rsidR="00826396">
        <w:t xml:space="preserve">each and every low-income ratepayer </w:t>
      </w:r>
      <w:r w:rsidR="001D5022">
        <w:t>without making changes to usage.</w:t>
      </w:r>
    </w:p>
    <w:p w:rsidRPr="00286953" w:rsidR="00485499" w:rsidP="00792266" w:rsidRDefault="004B7D6F" w14:paraId="1DA9E50B" w14:textId="466AA703">
      <w:pPr>
        <w:pStyle w:val="Standard"/>
      </w:pPr>
      <w:r>
        <w:t xml:space="preserve">It is reasonable </w:t>
      </w:r>
      <w:r w:rsidR="007E563A">
        <w:t>to adopt a</w:t>
      </w:r>
      <w:r>
        <w:t xml:space="preserve"> fixed charge </w:t>
      </w:r>
      <w:r w:rsidR="007E563A">
        <w:t>t</w:t>
      </w:r>
      <w:r w:rsidR="006F134E">
        <w:t>hat</w:t>
      </w:r>
      <w:r>
        <w:t xml:space="preserve"> </w:t>
      </w:r>
      <w:r w:rsidR="00012A7E">
        <w:t>lower</w:t>
      </w:r>
      <w:r w:rsidR="006F134E">
        <w:t>s</w:t>
      </w:r>
      <w:r w:rsidR="00012A7E">
        <w:t xml:space="preserve"> the average monthly bill for </w:t>
      </w:r>
      <w:r w:rsidR="00150B26">
        <w:t xml:space="preserve">a </w:t>
      </w:r>
      <w:r w:rsidR="00012A7E">
        <w:t xml:space="preserve">low-income ratepayer </w:t>
      </w:r>
      <w:r w:rsidR="00710696">
        <w:t xml:space="preserve">with average electricity usage </w:t>
      </w:r>
      <w:r w:rsidR="00012A7E">
        <w:t>in each baseline territory</w:t>
      </w:r>
      <w:r w:rsidR="001D5022">
        <w:t xml:space="preserve"> without making any changes to usage</w:t>
      </w:r>
      <w:r w:rsidR="00012A7E">
        <w:t xml:space="preserve">. In other words, </w:t>
      </w:r>
      <w:r w:rsidR="00A936B3">
        <w:t xml:space="preserve">a fixed charge must </w:t>
      </w:r>
      <w:r w:rsidR="00737FC7">
        <w:t xml:space="preserve">lower the monthly bill, averaged over the course of a calendar year, for </w:t>
      </w:r>
      <w:r w:rsidR="00A15155">
        <w:t>a low-income ratepayer with average electric</w:t>
      </w:r>
      <w:r w:rsidR="0085083C">
        <w:t>ity</w:t>
      </w:r>
      <w:r w:rsidR="00A15155">
        <w:t xml:space="preserve"> usage levels in each baseline territory.</w:t>
      </w:r>
    </w:p>
    <w:p w:rsidRPr="00286953" w:rsidR="00286953" w:rsidP="00702F6F" w:rsidRDefault="00286953" w14:paraId="185CC43F" w14:textId="69735E92">
      <w:pPr>
        <w:pStyle w:val="Heading2"/>
      </w:pPr>
      <w:bookmarkStart w:name="_Toc160790030" w:id="16"/>
      <w:r>
        <w:t>Fixed Cos</w:t>
      </w:r>
      <w:r w:rsidR="00F105AB">
        <w:t>t</w:t>
      </w:r>
      <w:r w:rsidR="00C44AC8">
        <w:t>s</w:t>
      </w:r>
      <w:bookmarkEnd w:id="16"/>
    </w:p>
    <w:p w:rsidR="002A0EA0" w:rsidP="00F95AF0" w:rsidRDefault="00890BB8" w14:paraId="6BED67E1" w14:textId="094D18B2">
      <w:pPr>
        <w:pStyle w:val="Standard"/>
      </w:pPr>
      <w:r w:rsidRPr="00890BB8">
        <w:t xml:space="preserve">The Legislature’s findings and declarations </w:t>
      </w:r>
      <w:r w:rsidR="00C45071">
        <w:t>for AB 205 state</w:t>
      </w:r>
      <w:r w:rsidRPr="00890BB8">
        <w:t xml:space="preserve"> that “only a portion of the electrical corporation’s costs directly vary based on how much electricity a customer consumes, while many infrastructure and operational costs do not.” Section 739.9(d) provides that the Commission “may adopt new, or expand existing, fixed charges for the purpose of collecting a reasonable portion of the fixed costs of providing electrical service to residential customers.”</w:t>
      </w:r>
    </w:p>
    <w:p w:rsidR="006B3A4F" w:rsidP="00C306C6" w:rsidRDefault="00F95AF0" w14:paraId="4EB31F70" w14:textId="0C43F095">
      <w:pPr>
        <w:pStyle w:val="Standard"/>
      </w:pPr>
      <w:r>
        <w:t xml:space="preserve">Parties generally agreed that </w:t>
      </w:r>
      <w:r w:rsidR="0006071D">
        <w:t>AB 205 provides that a</w:t>
      </w:r>
      <w:r>
        <w:t xml:space="preserve"> fixed cost should be defined as a </w:t>
      </w:r>
      <w:r w:rsidR="00191D96">
        <w:t xml:space="preserve">cost that does not vary </w:t>
      </w:r>
      <w:r w:rsidR="0006071D">
        <w:t>by how much electricity a customer consumes</w:t>
      </w:r>
      <w:r w:rsidR="00191D96">
        <w:t>.</w:t>
      </w:r>
      <w:r w:rsidR="00C306C6">
        <w:t xml:space="preserve"> </w:t>
      </w:r>
      <w:r w:rsidRPr="00EF5EA1" w:rsidR="00191D96">
        <w:t xml:space="preserve">However, parties disagreed </w:t>
      </w:r>
      <w:r w:rsidRPr="00EF5EA1" w:rsidR="00682A65">
        <w:t>a</w:t>
      </w:r>
      <w:r w:rsidRPr="00EF5EA1" w:rsidR="00EF5EA1">
        <w:t>bout how</w:t>
      </w:r>
      <w:r w:rsidR="00EF5EA1">
        <w:t xml:space="preserve"> to define fixed costs.</w:t>
      </w:r>
    </w:p>
    <w:p w:rsidR="00312103" w:rsidP="005473C7" w:rsidRDefault="00F33C02" w14:paraId="3C269837" w14:textId="782BFCA8">
      <w:pPr>
        <w:pStyle w:val="Standard"/>
      </w:pPr>
      <w:r>
        <w:lastRenderedPageBreak/>
        <w:t>SEIA proposed the narrowest definition of fixed cost</w:t>
      </w:r>
      <w:r w:rsidR="00EF5EA1">
        <w:t>s</w:t>
      </w:r>
      <w:r>
        <w:t xml:space="preserve">. </w:t>
      </w:r>
      <w:r w:rsidR="00924111">
        <w:t xml:space="preserve">SEIA </w:t>
      </w:r>
      <w:r w:rsidR="00942364">
        <w:t xml:space="preserve">argued that only </w:t>
      </w:r>
      <w:r w:rsidR="004450F0">
        <w:t>M</w:t>
      </w:r>
      <w:r w:rsidRPr="0005290F" w:rsidR="0005290F">
        <w:t xml:space="preserve">arginal </w:t>
      </w:r>
      <w:r w:rsidR="004450F0">
        <w:t>C</w:t>
      </w:r>
      <w:r w:rsidRPr="0005290F" w:rsidR="0005290F">
        <w:t xml:space="preserve">ustomer </w:t>
      </w:r>
      <w:r w:rsidR="004450F0">
        <w:t>A</w:t>
      </w:r>
      <w:r w:rsidRPr="0005290F" w:rsidR="0005290F">
        <w:t xml:space="preserve">ccess </w:t>
      </w:r>
      <w:r w:rsidR="004450F0">
        <w:t>C</w:t>
      </w:r>
      <w:r w:rsidRPr="0005290F" w:rsidR="0005290F">
        <w:t>osts</w:t>
      </w:r>
      <w:r w:rsidR="008F0711">
        <w:rPr>
          <w:rStyle w:val="FootnoteReference"/>
        </w:rPr>
        <w:footnoteReference w:id="30"/>
      </w:r>
      <w:r w:rsidR="0005290F">
        <w:t xml:space="preserve"> are fixed costs because all other costs</w:t>
      </w:r>
      <w:r w:rsidR="001D003B">
        <w:t xml:space="preserve"> are </w:t>
      </w:r>
      <w:r w:rsidR="008D2B37">
        <w:t>caused</w:t>
      </w:r>
      <w:r w:rsidR="00756401">
        <w:t xml:space="preserve"> or </w:t>
      </w:r>
      <w:r w:rsidR="00A61C19">
        <w:t>affected</w:t>
      </w:r>
      <w:r w:rsidR="008D2B37">
        <w:t xml:space="preserve"> by a customer’s use </w:t>
      </w:r>
      <w:r w:rsidR="00155866">
        <w:t>of</w:t>
      </w:r>
      <w:r w:rsidR="00212872">
        <w:t xml:space="preserve"> energy or capacity</w:t>
      </w:r>
      <w:r w:rsidR="009E0B62">
        <w:t xml:space="preserve"> from the electric system</w:t>
      </w:r>
      <w:r w:rsidR="001D003B">
        <w:t>.</w:t>
      </w:r>
      <w:r w:rsidR="004450F0">
        <w:t xml:space="preserve"> </w:t>
      </w:r>
      <w:r w:rsidR="0026066E">
        <w:t xml:space="preserve">For example, SEIA argued that </w:t>
      </w:r>
      <w:r w:rsidR="00B4365F">
        <w:t>energy efficiency and demand response program costs are not fixed costs because these costs wer</w:t>
      </w:r>
      <w:r w:rsidR="002605B7">
        <w:t>e</w:t>
      </w:r>
      <w:r w:rsidR="00B4365F">
        <w:t xml:space="preserve"> incurred to reduce </w:t>
      </w:r>
      <w:r w:rsidR="008F0F37">
        <w:t>demand by customers</w:t>
      </w:r>
      <w:r w:rsidR="006F7B2C">
        <w:t xml:space="preserve"> to avoid generation costs</w:t>
      </w:r>
      <w:r w:rsidR="008F0F37">
        <w:t>.</w:t>
      </w:r>
      <w:r w:rsidR="00972149">
        <w:t xml:space="preserve"> SEIA also argued that its definition of fixed costs is consistent with prior Commission decisions</w:t>
      </w:r>
      <w:r w:rsidR="009A227A">
        <w:t xml:space="preserve"> that </w:t>
      </w:r>
      <w:r w:rsidR="00617920">
        <w:t>provided that a fixed charge should only recover “customer-specific” fixed costs</w:t>
      </w:r>
      <w:r w:rsidR="00051160">
        <w:t>.</w:t>
      </w:r>
      <w:r w:rsidR="00D64CE8">
        <w:rPr>
          <w:rStyle w:val="FootnoteReference"/>
        </w:rPr>
        <w:footnoteReference w:id="31"/>
      </w:r>
      <w:r w:rsidR="00466D51">
        <w:t xml:space="preserve"> </w:t>
      </w:r>
      <w:r w:rsidR="00D97049">
        <w:t>The</w:t>
      </w:r>
      <w:r>
        <w:t xml:space="preserve"> </w:t>
      </w:r>
      <w:r w:rsidRPr="00D97049" w:rsidR="00D97049">
        <w:t>Clean Coalition</w:t>
      </w:r>
      <w:r w:rsidR="00726124">
        <w:t xml:space="preserve"> </w:t>
      </w:r>
      <w:r w:rsidR="00402FC7">
        <w:t xml:space="preserve">and </w:t>
      </w:r>
      <w:r w:rsidR="00230764">
        <w:t xml:space="preserve">the California Solar and Storage Association </w:t>
      </w:r>
      <w:r w:rsidR="0078717E">
        <w:t>similarly argued that only t</w:t>
      </w:r>
      <w:r w:rsidRPr="0078717E" w:rsidR="0078717E">
        <w:t>ransformer, service drop, meter, and billing</w:t>
      </w:r>
      <w:r w:rsidR="004F0586">
        <w:t xml:space="preserve"> costs should be included in the definition of fixed costs.</w:t>
      </w:r>
      <w:r w:rsidR="004F0586">
        <w:rPr>
          <w:rStyle w:val="FootnoteReference"/>
        </w:rPr>
        <w:footnoteReference w:id="32"/>
      </w:r>
    </w:p>
    <w:p w:rsidR="00284563" w:rsidP="00AA0A4B" w:rsidRDefault="001144CC" w14:paraId="57F96463" w14:textId="77777777">
      <w:pPr>
        <w:pStyle w:val="Standard"/>
      </w:pPr>
      <w:r>
        <w:t xml:space="preserve">TURN/NRDC replied that SEIA’s </w:t>
      </w:r>
      <w:r w:rsidR="00FD2CDC">
        <w:t xml:space="preserve">definition of fixed costs was </w:t>
      </w:r>
      <w:r w:rsidR="000F6858">
        <w:t>“excessively narrow</w:t>
      </w:r>
      <w:r w:rsidR="00C3589E">
        <w:t xml:space="preserve">” and </w:t>
      </w:r>
      <w:r w:rsidR="00051160">
        <w:t>that prior Commission decisions regarding the definition of fixed cost</w:t>
      </w:r>
      <w:r w:rsidR="00AD2CA0">
        <w:t xml:space="preserve">s are not relevant because </w:t>
      </w:r>
      <w:r w:rsidR="00A95A7C">
        <w:t xml:space="preserve">those decisions predate </w:t>
      </w:r>
      <w:r w:rsidR="005B4538">
        <w:t>AB 205</w:t>
      </w:r>
      <w:r w:rsidR="00E12D17">
        <w:t>, which</w:t>
      </w:r>
      <w:r w:rsidR="006A6491">
        <w:t xml:space="preserve"> removed a </w:t>
      </w:r>
      <w:r w:rsidR="00452BDD">
        <w:t xml:space="preserve">prior </w:t>
      </w:r>
      <w:r w:rsidR="006A6491">
        <w:t xml:space="preserve">requirement to cap </w:t>
      </w:r>
      <w:r w:rsidR="00F12D9F">
        <w:t xml:space="preserve">residential </w:t>
      </w:r>
      <w:r w:rsidR="006A6491">
        <w:t>fixed charges at $10</w:t>
      </w:r>
      <w:r w:rsidR="00F12D9F">
        <w:t xml:space="preserve"> per month and</w:t>
      </w:r>
      <w:r w:rsidR="00E12D17">
        <w:t xml:space="preserve"> added new goals</w:t>
      </w:r>
      <w:r w:rsidR="002B69EB">
        <w:t xml:space="preserve"> </w:t>
      </w:r>
      <w:r w:rsidR="0084054E">
        <w:t>for a fixed charge, including</w:t>
      </w:r>
      <w:r w:rsidR="00452BDD">
        <w:t xml:space="preserve"> </w:t>
      </w:r>
      <w:r w:rsidR="00CC61A5">
        <w:t>more equitable recovery of utilities’ fixed costs</w:t>
      </w:r>
      <w:r w:rsidR="00B051C5">
        <w:t xml:space="preserve">. </w:t>
      </w:r>
    </w:p>
    <w:p w:rsidR="004F01B7" w:rsidP="00AA0A4B" w:rsidRDefault="00493E65" w14:paraId="3BAA3D55" w14:textId="425D2E25">
      <w:pPr>
        <w:pStyle w:val="Standard"/>
      </w:pPr>
      <w:r w:rsidRPr="00493E65">
        <w:t>TURN/NRDC</w:t>
      </w:r>
      <w:r w:rsidR="003B3A2A">
        <w:t xml:space="preserve"> </w:t>
      </w:r>
      <w:r w:rsidR="00B051C5">
        <w:t xml:space="preserve">also </w:t>
      </w:r>
      <w:r w:rsidR="003B3A2A">
        <w:t xml:space="preserve">noted </w:t>
      </w:r>
      <w:r w:rsidRPr="00493E65">
        <w:t>that AB 205 revised Section 381</w:t>
      </w:r>
      <w:r w:rsidR="00D76049">
        <w:t>(a)</w:t>
      </w:r>
      <w:r w:rsidRPr="00493E65">
        <w:t xml:space="preserve"> of the Pub. Util. Code to eliminate the previous requirement that certain </w:t>
      </w:r>
      <w:r w:rsidR="009F0509">
        <w:t>P</w:t>
      </w:r>
      <w:r w:rsidRPr="00493E65">
        <w:t xml:space="preserve">ublic </w:t>
      </w:r>
      <w:r w:rsidR="009F0509">
        <w:t>P</w:t>
      </w:r>
      <w:r w:rsidRPr="00493E65">
        <w:t xml:space="preserve">urpose </w:t>
      </w:r>
      <w:r w:rsidR="009F0509">
        <w:t>P</w:t>
      </w:r>
      <w:r w:rsidRPr="00493E65">
        <w:t xml:space="preserve">rogram costs be collected on the basis of usage. </w:t>
      </w:r>
      <w:r w:rsidRPr="0034449E" w:rsidR="0034449E">
        <w:t>TURN/NRDC argued that this provision of AB 205 showed a legislative intent to allow the Commission to</w:t>
      </w:r>
      <w:r w:rsidR="00161A0D">
        <w:t xml:space="preserve"> </w:t>
      </w:r>
      <w:r w:rsidR="00161A0D">
        <w:lastRenderedPageBreak/>
        <w:t>authorize utilities to</w:t>
      </w:r>
      <w:r w:rsidRPr="0034449E" w:rsidR="0034449E">
        <w:t xml:space="preserve"> recover </w:t>
      </w:r>
      <w:r w:rsidR="00511D9E">
        <w:t>P</w:t>
      </w:r>
      <w:r w:rsidRPr="0034449E" w:rsidR="0034449E">
        <w:t xml:space="preserve">ublic </w:t>
      </w:r>
      <w:r w:rsidR="00511D9E">
        <w:t>P</w:t>
      </w:r>
      <w:r w:rsidRPr="0034449E" w:rsidR="0034449E">
        <w:t xml:space="preserve">urpose </w:t>
      </w:r>
      <w:r w:rsidR="00511D9E">
        <w:t>P</w:t>
      </w:r>
      <w:r w:rsidRPr="0034449E" w:rsidR="0034449E">
        <w:t>rogram costs through a fixed charge.</w:t>
      </w:r>
      <w:r w:rsidRPr="0034449E" w:rsidR="0034449E">
        <w:rPr>
          <w:vertAlign w:val="superscript"/>
        </w:rPr>
        <w:footnoteReference w:id="33"/>
      </w:r>
      <w:r w:rsidR="00F435A7">
        <w:t xml:space="preserve"> Cal Advocates</w:t>
      </w:r>
      <w:r w:rsidR="00E677E5">
        <w:t>,</w:t>
      </w:r>
      <w:r w:rsidR="001308BC">
        <w:t xml:space="preserve"> Sierra Club</w:t>
      </w:r>
      <w:r w:rsidR="003D06E4">
        <w:t xml:space="preserve">, </w:t>
      </w:r>
      <w:r w:rsidR="00E677E5">
        <w:t>and the Large Utilities</w:t>
      </w:r>
      <w:r w:rsidR="001308BC">
        <w:t xml:space="preserve"> agreed that Public Purpose Program costs </w:t>
      </w:r>
      <w:r w:rsidR="00AA0A4B">
        <w:t>should be considered fixed costs.</w:t>
      </w:r>
      <w:r w:rsidR="00AA0A4B">
        <w:rPr>
          <w:rStyle w:val="FootnoteReference"/>
        </w:rPr>
        <w:footnoteReference w:id="34"/>
      </w:r>
    </w:p>
    <w:p w:rsidR="001B7C46" w:rsidP="001B7C46" w:rsidRDefault="000708E2" w14:paraId="45306223" w14:textId="76FE1093">
      <w:pPr>
        <w:pStyle w:val="Standard"/>
      </w:pPr>
      <w:r>
        <w:t>AB 205</w:t>
      </w:r>
      <w:r w:rsidR="00F54C34">
        <w:t xml:space="preserve"> finds and declares that the Commission has found that “electrical corporation customers are facing two areas of increasing cost pressures: </w:t>
      </w:r>
      <w:r w:rsidRPr="000708E2">
        <w:t>growing electric transmission and distribution infrastructure and operation costs, including wildfire mitigation costs, and equitable recovery of utility fixed costs.</w:t>
      </w:r>
      <w:r w:rsidR="0041284B">
        <w:t xml:space="preserve"> </w:t>
      </w:r>
      <w:r w:rsidR="00DE0CF3">
        <w:t xml:space="preserve">Section 14 of AB 205 notes that a majority </w:t>
      </w:r>
      <w:r w:rsidR="0086243E">
        <w:t xml:space="preserve">of </w:t>
      </w:r>
      <w:r w:rsidR="00315713">
        <w:t xml:space="preserve">an electric utility’s </w:t>
      </w:r>
      <w:r w:rsidR="0086243E">
        <w:t>revenue requirement is recovered from customers by a volumetric rate, but only a portion of</w:t>
      </w:r>
      <w:r w:rsidR="00315713">
        <w:t xml:space="preserve"> a</w:t>
      </w:r>
      <w:r w:rsidR="00092CAC">
        <w:t>n</w:t>
      </w:r>
      <w:r w:rsidR="00315713">
        <w:t xml:space="preserve"> electric utility’s costs “directly vary based on how much electricity a customer consumes</w:t>
      </w:r>
      <w:r w:rsidRPr="000708E2">
        <w:t>, while many infrastructure and operational costs do not.</w:t>
      </w:r>
      <w:r w:rsidR="00315713">
        <w:t>”</w:t>
      </w:r>
      <w:r w:rsidR="001B7C46">
        <w:t xml:space="preserve"> </w:t>
      </w:r>
    </w:p>
    <w:p w:rsidR="004F2786" w:rsidP="001B7C46" w:rsidRDefault="00930616" w14:paraId="6228CE5D" w14:textId="044342D8">
      <w:pPr>
        <w:pStyle w:val="Standard"/>
      </w:pPr>
      <w:r>
        <w:t>AB</w:t>
      </w:r>
      <w:r w:rsidR="00F646E1">
        <w:t xml:space="preserve"> 205</w:t>
      </w:r>
      <w:r w:rsidR="00050A43">
        <w:t xml:space="preserve"> </w:t>
      </w:r>
      <w:r w:rsidR="001B7C46">
        <w:t xml:space="preserve">also </w:t>
      </w:r>
      <w:r w:rsidR="00050A43">
        <w:t>explicitly</w:t>
      </w:r>
      <w:r w:rsidR="00F646E1">
        <w:t xml:space="preserve"> </w:t>
      </w:r>
      <w:r>
        <w:t>states</w:t>
      </w:r>
      <w:r w:rsidR="00534A17">
        <w:t xml:space="preserve"> </w:t>
      </w:r>
      <w:r w:rsidR="00331DBB">
        <w:t xml:space="preserve">the Legislature’s intent for </w:t>
      </w:r>
      <w:r w:rsidR="00534A17">
        <w:t>the Commission to “</w:t>
      </w:r>
      <w:r w:rsidRPr="009C7671" w:rsidR="009C7671">
        <w:t>establish reasonable fixed charges on default residential customer rates to help stabilize rates and equitably allocate and recover costs among residential customers in each electrical corporation’s service territory</w:t>
      </w:r>
      <w:r w:rsidR="00534A17">
        <w:t>” and “</w:t>
      </w:r>
      <w:r w:rsidRPr="009C7671" w:rsidR="009C7671">
        <w:t>more fairly distribute the burden of supporting the elect</w:t>
      </w:r>
      <w:r w:rsidR="008E3C85">
        <w:t>ric</w:t>
      </w:r>
      <w:r w:rsidRPr="009C7671" w:rsidR="009C7671">
        <w:t xml:space="preserve"> system and achieving California’s climate change goa</w:t>
      </w:r>
      <w:r w:rsidR="008E3C85">
        <w:t>ls.”</w:t>
      </w:r>
      <w:r w:rsidR="00050A43">
        <w:rPr>
          <w:rStyle w:val="FootnoteReference"/>
        </w:rPr>
        <w:footnoteReference w:id="35"/>
      </w:r>
      <w:r w:rsidR="004F2786">
        <w:t xml:space="preserve"> </w:t>
      </w:r>
    </w:p>
    <w:p w:rsidR="005B7D41" w:rsidP="00121719" w:rsidRDefault="004F2786" w14:paraId="361A680C" w14:textId="43677BBE">
      <w:pPr>
        <w:pStyle w:val="Standard"/>
      </w:pPr>
      <w:r>
        <w:t xml:space="preserve">The definition of fixed costs must be broad enough to </w:t>
      </w:r>
      <w:r w:rsidR="00306C88">
        <w:t>achieve the Legislature’s intent.</w:t>
      </w:r>
      <w:r w:rsidR="009A7933">
        <w:t xml:space="preserve"> Further,</w:t>
      </w:r>
      <w:r w:rsidR="00092CAC">
        <w:t xml:space="preserve"> the declarations and findings of</w:t>
      </w:r>
      <w:r w:rsidR="009A7933">
        <w:t xml:space="preserve"> </w:t>
      </w:r>
      <w:r w:rsidR="001B7C46">
        <w:t xml:space="preserve">AB 205 </w:t>
      </w:r>
      <w:r w:rsidR="00092CAC">
        <w:t xml:space="preserve">refer to costs that “directly vary based on how much </w:t>
      </w:r>
      <w:r w:rsidR="004D2800">
        <w:t>electricity a customer consumes.”</w:t>
      </w:r>
      <w:r w:rsidR="000E6E8F">
        <w:t xml:space="preserve"> </w:t>
      </w:r>
      <w:r w:rsidR="00C27D4A">
        <w:t>T</w:t>
      </w:r>
      <w:r w:rsidR="00B122B1">
        <w:t>he intent of the</w:t>
      </w:r>
      <w:r w:rsidR="004D2800">
        <w:t xml:space="preserve"> Legislature was to </w:t>
      </w:r>
      <w:r w:rsidR="00B777A6">
        <w:t xml:space="preserve">address the recovery of fixed </w:t>
      </w:r>
      <w:r w:rsidR="004D2800">
        <w:t xml:space="preserve">costs that do not </w:t>
      </w:r>
      <w:r w:rsidR="00D60638">
        <w:t>“</w:t>
      </w:r>
      <w:r w:rsidR="00AB6689">
        <w:t>directly</w:t>
      </w:r>
      <w:r w:rsidR="00D60638">
        <w:t>”</w:t>
      </w:r>
      <w:r w:rsidR="00AB6689">
        <w:t xml:space="preserve"> vary based on how much a given customer uses</w:t>
      </w:r>
      <w:r w:rsidR="00B777A6">
        <w:t xml:space="preserve">. </w:t>
      </w:r>
      <w:r w:rsidRPr="0063284A" w:rsidR="0063284A">
        <w:t xml:space="preserve">In other words, a fixed cost has a revenue requirement that does not vary </w:t>
      </w:r>
      <w:r w:rsidRPr="002633AF" w:rsidR="0063284A">
        <w:t xml:space="preserve">based on </w:t>
      </w:r>
      <w:r w:rsidRPr="0063284A" w:rsidR="0063284A">
        <w:t xml:space="preserve">the </w:t>
      </w:r>
      <w:r w:rsidRPr="002633AF" w:rsidR="0063284A">
        <w:t xml:space="preserve">electricity </w:t>
      </w:r>
      <w:r w:rsidRPr="002633AF" w:rsidR="0063284A">
        <w:lastRenderedPageBreak/>
        <w:t xml:space="preserve">usage </w:t>
      </w:r>
      <w:r w:rsidRPr="0063284A" w:rsidR="0063284A">
        <w:t>of</w:t>
      </w:r>
      <w:r w:rsidRPr="002633AF" w:rsidR="0063284A">
        <w:t xml:space="preserve"> the customer from whom the revenue is being collected. </w:t>
      </w:r>
      <w:r w:rsidRPr="005B7D41" w:rsidR="005B7D41">
        <w:t xml:space="preserve">Cal Advocates </w:t>
      </w:r>
      <w:r w:rsidR="005B7D41">
        <w:t xml:space="preserve">supported this interpretation when it </w:t>
      </w:r>
      <w:r w:rsidRPr="005B7D41" w:rsidR="005B7D41">
        <w:t xml:space="preserve">argued that </w:t>
      </w:r>
      <w:r w:rsidR="001845A5">
        <w:t xml:space="preserve">non-bypassable charges should be </w:t>
      </w:r>
      <w:r w:rsidR="00EA640D">
        <w:t>recovered through a fixed charge because these costs</w:t>
      </w:r>
      <w:r w:rsidRPr="005B7D41" w:rsidR="005B7D41">
        <w:t xml:space="preserve"> “do not directly increase nor decrease” </w:t>
      </w:r>
      <w:r w:rsidR="009D2CBF">
        <w:t>due to</w:t>
      </w:r>
      <w:r w:rsidRPr="005B7D41" w:rsidR="005B7D41">
        <w:t xml:space="preserve"> changes to a customer’s consumption levels, and th</w:t>
      </w:r>
      <w:r w:rsidR="00B8375F">
        <w:t>erefore</w:t>
      </w:r>
      <w:r w:rsidR="00342AB9">
        <w:t>,</w:t>
      </w:r>
      <w:r w:rsidRPr="005B7D41" w:rsidR="005B7D41">
        <w:t xml:space="preserve"> a customer should not</w:t>
      </w:r>
      <w:r w:rsidR="00B8375F">
        <w:t xml:space="preserve"> be able to</w:t>
      </w:r>
      <w:r w:rsidRPr="005B7D41" w:rsidR="005B7D41">
        <w:t xml:space="preserve"> avoid paying such costs if they decrease their consumption level.</w:t>
      </w:r>
      <w:r w:rsidR="00131855">
        <w:rPr>
          <w:rStyle w:val="FootnoteReference"/>
        </w:rPr>
        <w:footnoteReference w:id="36"/>
      </w:r>
      <w:r w:rsidRPr="005B7D41" w:rsidR="005B7D41">
        <w:t xml:space="preserve"> </w:t>
      </w:r>
    </w:p>
    <w:p w:rsidRPr="00AA6D9F" w:rsidR="00AA6D9F" w:rsidP="00802741" w:rsidRDefault="00802741" w14:paraId="7504F675" w14:textId="5EE5A9FD">
      <w:pPr>
        <w:pStyle w:val="Standard"/>
      </w:pPr>
      <w:r>
        <w:t xml:space="preserve">For example, </w:t>
      </w:r>
      <w:r w:rsidR="00355C97">
        <w:t>t</w:t>
      </w:r>
      <w:r w:rsidRPr="00AA6D9F" w:rsidR="00AA6D9F">
        <w:t>he CARE surcharge is collected from non-CARE residential and non-residential customers and is used to provide a 30</w:t>
      </w:r>
      <w:r w:rsidR="743F5F12">
        <w:t xml:space="preserve"> to</w:t>
      </w:r>
      <w:r w:rsidR="000977EC">
        <w:t xml:space="preserve"> </w:t>
      </w:r>
      <w:r w:rsidRPr="00AA6D9F" w:rsidR="00AA6D9F">
        <w:t>35</w:t>
      </w:r>
      <w:r w:rsidR="00C1241D">
        <w:t xml:space="preserve"> percent</w:t>
      </w:r>
      <w:r w:rsidRPr="00AA6D9F" w:rsidR="00AA6D9F">
        <w:t xml:space="preserve"> bill discount for qualifying low-income residential customers. While the magnitude of the CARE revenue requirement is driven by CARE customers’ usage, that revenue requirement is collected from non-CARE customers whose usage does not impact the amount of money that needs to be collected. </w:t>
      </w:r>
      <w:r w:rsidR="00A3088F">
        <w:t>Accordingly, t</w:t>
      </w:r>
      <w:r w:rsidR="005F4DC4">
        <w:t>he CARE surcharge is an example of a fixed cost.</w:t>
      </w:r>
    </w:p>
    <w:p w:rsidR="004103B0" w:rsidP="00416131" w:rsidRDefault="00AA6D9F" w14:paraId="6B130D5A" w14:textId="2EF9F60F">
      <w:pPr>
        <w:pStyle w:val="Standard"/>
      </w:pPr>
      <w:r w:rsidRPr="00AA6D9F">
        <w:t xml:space="preserve">In contrast, some costs vary directly with </w:t>
      </w:r>
      <w:r w:rsidR="00A51569">
        <w:t xml:space="preserve">a specific </w:t>
      </w:r>
      <w:r w:rsidRPr="00AA6D9F">
        <w:t>customer</w:t>
      </w:r>
      <w:r w:rsidR="00A51569">
        <w:t>’s</w:t>
      </w:r>
      <w:r w:rsidRPr="00AA6D9F">
        <w:t xml:space="preserve"> usage. For example, marginal energy costs are directly proportional to the amount of electricity </w:t>
      </w:r>
      <w:r w:rsidR="00A51569">
        <w:t xml:space="preserve">a specific </w:t>
      </w:r>
      <w:r w:rsidRPr="00AA6D9F">
        <w:t>customer use</w:t>
      </w:r>
      <w:r w:rsidR="00A51569">
        <w:t>s</w:t>
      </w:r>
      <w:r w:rsidRPr="00AA6D9F">
        <w:t xml:space="preserve"> and </w:t>
      </w:r>
      <w:r w:rsidR="00416131">
        <w:t>are</w:t>
      </w:r>
      <w:r w:rsidRPr="00AA6D9F">
        <w:t xml:space="preserve"> not fixed</w:t>
      </w:r>
      <w:r w:rsidR="00416131">
        <w:t xml:space="preserve"> costs</w:t>
      </w:r>
      <w:r w:rsidRPr="00AA6D9F">
        <w:t>.</w:t>
      </w:r>
    </w:p>
    <w:p w:rsidR="00557FA1" w:rsidP="00557FA1" w:rsidRDefault="00557FA1" w14:paraId="31D747D3" w14:textId="71ED897C">
      <w:pPr>
        <w:pStyle w:val="Standard"/>
      </w:pPr>
      <w:r w:rsidRPr="00557FA1">
        <w:t xml:space="preserve">It is reasonable to define fixed costs as costs that do not directly vary </w:t>
      </w:r>
      <w:bookmarkStart w:name="_Hlk159837568" w:id="17"/>
      <w:r w:rsidRPr="00557FA1">
        <w:t xml:space="preserve">based on </w:t>
      </w:r>
      <w:r w:rsidRPr="00F203A2" w:rsidR="00F203A2">
        <w:t>the</w:t>
      </w:r>
      <w:r w:rsidRPr="00557FA1">
        <w:t xml:space="preserve"> electricity </w:t>
      </w:r>
      <w:r w:rsidRPr="00F203A2" w:rsidR="00F203A2">
        <w:t>usage of the</w:t>
      </w:r>
      <w:r w:rsidRPr="00557FA1">
        <w:t xml:space="preserve"> customer </w:t>
      </w:r>
      <w:r w:rsidRPr="00F203A2" w:rsidR="00F203A2">
        <w:t>from whom the revenue is being collected</w:t>
      </w:r>
      <w:bookmarkEnd w:id="17"/>
      <w:r w:rsidRPr="00557FA1">
        <w:t xml:space="preserve">. </w:t>
      </w:r>
    </w:p>
    <w:p w:rsidR="00213576" w:rsidP="00416131" w:rsidRDefault="003806A2" w14:paraId="4DEA6091" w14:textId="77777777">
      <w:pPr>
        <w:pStyle w:val="Standard"/>
      </w:pPr>
      <w:r>
        <w:t xml:space="preserve">While AB 205 </w:t>
      </w:r>
      <w:r w:rsidR="0042446D">
        <w:t>directs the Commission to</w:t>
      </w:r>
      <w:r>
        <w:t xml:space="preserve"> establish fixed charges to collect a reasonable portion of fixed costs,</w:t>
      </w:r>
      <w:r w:rsidR="006E343A">
        <w:t xml:space="preserve"> it leaves up to the Commission how to determine what is a reasonable portion of fixed costs</w:t>
      </w:r>
      <w:r w:rsidR="00073780">
        <w:t xml:space="preserve"> that should be</w:t>
      </w:r>
      <w:r w:rsidR="004F38AD">
        <w:t xml:space="preserve"> recovered</w:t>
      </w:r>
      <w:r w:rsidR="00073780">
        <w:t xml:space="preserve"> through a fixed charge</w:t>
      </w:r>
      <w:r w:rsidR="008B3AC4">
        <w:t>,</w:t>
      </w:r>
      <w:r w:rsidR="00073780">
        <w:t xml:space="preserve"> and which specific fixed costs </w:t>
      </w:r>
      <w:r w:rsidR="004F38AD">
        <w:t>to include in a fixed charge</w:t>
      </w:r>
      <w:r w:rsidR="00073780">
        <w:t xml:space="preserve">. </w:t>
      </w:r>
    </w:p>
    <w:p w:rsidR="00D648CD" w:rsidP="00416131" w:rsidRDefault="00EF6212" w14:paraId="7D367F79" w14:textId="1C10B286">
      <w:pPr>
        <w:pStyle w:val="Standard"/>
      </w:pPr>
      <w:r>
        <w:lastRenderedPageBreak/>
        <w:t>In</w:t>
      </w:r>
      <w:r w:rsidR="004F38AD">
        <w:t xml:space="preserve"> Section</w:t>
      </w:r>
      <w:r w:rsidR="005605DA">
        <w:t>s</w:t>
      </w:r>
      <w:r w:rsidR="004F38AD">
        <w:t xml:space="preserve"> 5 </w:t>
      </w:r>
      <w:r w:rsidR="005605DA">
        <w:t>and 6</w:t>
      </w:r>
      <w:r w:rsidR="004F38AD">
        <w:t xml:space="preserve"> below</w:t>
      </w:r>
      <w:r w:rsidR="00086B38">
        <w:t xml:space="preserve">, </w:t>
      </w:r>
      <w:r w:rsidR="00A76521">
        <w:t xml:space="preserve">we will discuss </w:t>
      </w:r>
      <w:r>
        <w:t xml:space="preserve">which specific fixed costs to include in the </w:t>
      </w:r>
      <w:r w:rsidR="008D182E">
        <w:t>adopted</w:t>
      </w:r>
      <w:r>
        <w:t xml:space="preserve"> income-graduated fixed charge</w:t>
      </w:r>
      <w:r w:rsidR="00206AE7">
        <w:t>s</w:t>
      </w:r>
      <w:r w:rsidR="00A76521">
        <w:t xml:space="preserve">. </w:t>
      </w:r>
    </w:p>
    <w:p w:rsidR="00EC5501" w:rsidP="00702F6F" w:rsidRDefault="00B51FD7" w14:paraId="34E3E37C" w14:textId="39F4EC93">
      <w:pPr>
        <w:pStyle w:val="Heading2"/>
      </w:pPr>
      <w:bookmarkStart w:name="_Toc160790031" w:id="18"/>
      <w:r>
        <w:t>Composite Tier Methodology</w:t>
      </w:r>
      <w:bookmarkEnd w:id="18"/>
    </w:p>
    <w:p w:rsidR="00727314" w:rsidP="006F3B98" w:rsidRDefault="006F3B98" w14:paraId="3F8BB800" w14:textId="36269813">
      <w:pPr>
        <w:pStyle w:val="Standard"/>
      </w:pPr>
      <w:r>
        <w:t>Some r</w:t>
      </w:r>
      <w:r w:rsidRPr="00343FC6">
        <w:t xml:space="preserve">esidential </w:t>
      </w:r>
      <w:r>
        <w:t xml:space="preserve">electric </w:t>
      </w:r>
      <w:r w:rsidRPr="00343FC6">
        <w:t xml:space="preserve">rates </w:t>
      </w:r>
      <w:r>
        <w:t xml:space="preserve">have </w:t>
      </w:r>
      <w:r w:rsidR="00A935EB">
        <w:t>usage</w:t>
      </w:r>
      <w:r>
        <w:t xml:space="preserve"> tiers </w:t>
      </w:r>
      <w:r w:rsidR="006056AF">
        <w:t>t</w:t>
      </w:r>
      <w:r w:rsidR="001C782E">
        <w:t>ha</w:t>
      </w:r>
      <w:r w:rsidR="008B6437">
        <w:t xml:space="preserve">t </w:t>
      </w:r>
      <w:r w:rsidR="007A5BB2">
        <w:t>increase</w:t>
      </w:r>
      <w:r w:rsidR="008B6437">
        <w:t xml:space="preserve"> a customer’s volumetric rate</w:t>
      </w:r>
      <w:r w:rsidR="006056AF">
        <w:t xml:space="preserve"> </w:t>
      </w:r>
      <w:r w:rsidR="00F02A13">
        <w:t>if they use more than</w:t>
      </w:r>
      <w:r w:rsidRPr="00343FC6">
        <w:t xml:space="preserve"> </w:t>
      </w:r>
      <w:r>
        <w:t xml:space="preserve">a </w:t>
      </w:r>
      <w:r w:rsidR="008749FB">
        <w:t>baseline amount of energy</w:t>
      </w:r>
      <w:r w:rsidR="00A61928">
        <w:t xml:space="preserve">. These </w:t>
      </w:r>
      <w:r w:rsidR="00A935EB">
        <w:t>usage</w:t>
      </w:r>
      <w:r w:rsidR="00A61928">
        <w:t xml:space="preserve"> tiers</w:t>
      </w:r>
      <w:r>
        <w:t xml:space="preserve"> </w:t>
      </w:r>
      <w:r w:rsidR="00A61928">
        <w:t>were adopted</w:t>
      </w:r>
      <w:r>
        <w:t xml:space="preserve"> to encourage energy efficiency and conservation.</w:t>
      </w:r>
    </w:p>
    <w:p w:rsidR="00343FC6" w:rsidP="003E2015" w:rsidRDefault="00B51FD7" w14:paraId="072A09FC" w14:textId="1C9EE130">
      <w:pPr>
        <w:pStyle w:val="Standard"/>
      </w:pPr>
      <w:r>
        <w:t>AB 205 amended Section 739.9(f) to</w:t>
      </w:r>
      <w:r w:rsidR="00761F99">
        <w:t xml:space="preserve"> provide that the</w:t>
      </w:r>
      <w:r w:rsidRPr="00B51FD7">
        <w:t xml:space="preserve"> </w:t>
      </w:r>
      <w:r w:rsidR="00761F99">
        <w:t>C</w:t>
      </w:r>
      <w:r w:rsidRPr="00B51FD7">
        <w:t xml:space="preserve">ommission </w:t>
      </w:r>
      <w:r w:rsidR="00761F99">
        <w:t>“</w:t>
      </w:r>
      <w:r w:rsidRPr="00B51FD7">
        <w:t>shall not apply the composite tier method to the treatment of any revenues resulting from any fixed charge adopted pursuant to this section.</w:t>
      </w:r>
      <w:r w:rsidR="00CD5C17">
        <w:t xml:space="preserve">” </w:t>
      </w:r>
    </w:p>
    <w:p w:rsidR="00B63EBA" w:rsidP="00175997" w:rsidRDefault="005C1295" w14:paraId="2A1AD19B" w14:textId="6CB30E55">
      <w:pPr>
        <w:pStyle w:val="Standard"/>
      </w:pPr>
      <w:r>
        <w:t xml:space="preserve">TURN/NRDC asserted that </w:t>
      </w:r>
      <w:r w:rsidRPr="00175997" w:rsidR="00175997">
        <w:t>this provision was intended to remove the previous legal requirement that fixed customer charge revenues must be included in the baseline usage tier for purposes of evaluating whether there are sufficient pricing differentials between usage tiers. This requirement, known as the “composite tier ratio</w:t>
      </w:r>
      <w:r w:rsidR="00175997">
        <w:t>,</w:t>
      </w:r>
      <w:r w:rsidRPr="00175997" w:rsidR="00175997">
        <w:t>”</w:t>
      </w:r>
      <w:r w:rsidR="00175997">
        <w:t xml:space="preserve"> </w:t>
      </w:r>
      <w:r w:rsidRPr="005C1295">
        <w:t>reflect</w:t>
      </w:r>
      <w:r w:rsidR="00A97089">
        <w:t>ed</w:t>
      </w:r>
      <w:r w:rsidRPr="005C1295">
        <w:t xml:space="preserve"> the results </w:t>
      </w:r>
      <w:r w:rsidR="00F23011">
        <w:t xml:space="preserve">of </w:t>
      </w:r>
      <w:r w:rsidR="00A97089">
        <w:t>the following</w:t>
      </w:r>
      <w:r w:rsidRPr="005C1295">
        <w:t xml:space="preserve"> statutory </w:t>
      </w:r>
      <w:r w:rsidR="00A97089">
        <w:t>requirements: (a)</w:t>
      </w:r>
      <w:r w:rsidRPr="005C1295">
        <w:t xml:space="preserve"> </w:t>
      </w:r>
      <w:r w:rsidR="00A97089">
        <w:t>Section</w:t>
      </w:r>
      <w:r w:rsidRPr="005C1295">
        <w:t xml:space="preserve"> 739(d)(1) requires the Commission “establish an appropriate gradual differential” between the baseline rate and the rate applicable to the next tier of electricity usag</w:t>
      </w:r>
      <w:r w:rsidR="00A97089">
        <w:t xml:space="preserve">e, and (b) Section </w:t>
      </w:r>
      <w:r w:rsidRPr="005C1295">
        <w:t>739.7 directs the Commission to “retain an appropriate inverted rate structure.”</w:t>
      </w:r>
      <w:r w:rsidR="00DB36C0">
        <w:t xml:space="preserve"> TURN/NRDC asserted that </w:t>
      </w:r>
      <w:r w:rsidRPr="00413FAA" w:rsidR="004D67B6">
        <w:t>Section</w:t>
      </w:r>
      <w:r w:rsidRPr="004D67B6" w:rsidR="004D67B6">
        <w:t xml:space="preserve"> 739.9(f)</w:t>
      </w:r>
      <w:r w:rsidR="004D67B6">
        <w:t xml:space="preserve"> reflects the request of their organizations and Cal Advocates for the Legislature to </w:t>
      </w:r>
      <w:r w:rsidR="00406B56">
        <w:t xml:space="preserve">specify that </w:t>
      </w:r>
      <w:r w:rsidR="004D67B6">
        <w:t>the income-graduated fixed charges would not be subject to these requirements.</w:t>
      </w:r>
      <w:r w:rsidR="00604EBE">
        <w:rPr>
          <w:rStyle w:val="FootnoteReference"/>
        </w:rPr>
        <w:footnoteReference w:id="37"/>
      </w:r>
      <w:r w:rsidR="00413FAA">
        <w:t xml:space="preserve"> </w:t>
      </w:r>
    </w:p>
    <w:p w:rsidR="007D121C" w:rsidP="00DE3041" w:rsidRDefault="002B56C4" w14:paraId="17BE5C10" w14:textId="562A5413">
      <w:pPr>
        <w:pStyle w:val="Standard"/>
      </w:pPr>
      <w:r>
        <w:t xml:space="preserve">Cal Advocates supported the prohibition of the use of the </w:t>
      </w:r>
      <w:r w:rsidR="00426556">
        <w:t>composite tier methodology for fixed charge revenues</w:t>
      </w:r>
      <w:r w:rsidR="006613F4">
        <w:t xml:space="preserve"> to</w:t>
      </w:r>
      <w:r w:rsidR="00AB63D1">
        <w:t xml:space="preserve"> encourage electrification.</w:t>
      </w:r>
      <w:r w:rsidR="00B63EBA">
        <w:t xml:space="preserve"> Cal Advocates</w:t>
      </w:r>
      <w:r w:rsidR="003A1EA8">
        <w:t xml:space="preserve"> asserted that </w:t>
      </w:r>
      <w:r w:rsidR="00482248">
        <w:t>this</w:t>
      </w:r>
      <w:r w:rsidR="004B1986">
        <w:t xml:space="preserve"> prohibition allow</w:t>
      </w:r>
      <w:r w:rsidR="00932215">
        <w:t>s</w:t>
      </w:r>
      <w:r w:rsidR="004B1986">
        <w:t xml:space="preserve"> revenue collected through a fixed </w:t>
      </w:r>
      <w:r w:rsidR="004B1986">
        <w:lastRenderedPageBreak/>
        <w:t xml:space="preserve">charge to reduce volumetric rates in all </w:t>
      </w:r>
      <w:r w:rsidR="00731D39">
        <w:t>usage</w:t>
      </w:r>
      <w:r w:rsidR="007D1760">
        <w:t xml:space="preserve"> </w:t>
      </w:r>
      <w:r w:rsidR="004B1986">
        <w:t xml:space="preserve">tiers. </w:t>
      </w:r>
      <w:r w:rsidRPr="00443723" w:rsidR="00443723">
        <w:t>In contrast, under the composite tier method, fixed charges could not reduce volumetric rates for usage above the baseline</w:t>
      </w:r>
      <w:r w:rsidR="00082145">
        <w:t xml:space="preserve"> usage</w:t>
      </w:r>
      <w:r w:rsidRPr="00443723" w:rsidR="00443723">
        <w:t xml:space="preserve"> tier. </w:t>
      </w:r>
      <w:r w:rsidR="009026ED">
        <w:t xml:space="preserve">Cal Advocates argued that this will help customers who install electrification technologies because </w:t>
      </w:r>
      <w:r w:rsidR="002579E6">
        <w:t xml:space="preserve">it reduces their rates </w:t>
      </w:r>
      <w:r w:rsidR="00DE3041">
        <w:t xml:space="preserve">for usage above the baseline </w:t>
      </w:r>
      <w:r w:rsidR="007D1760">
        <w:t xml:space="preserve">usage </w:t>
      </w:r>
      <w:r w:rsidR="00DE3041">
        <w:t>tier</w:t>
      </w:r>
      <w:r w:rsidR="0070585B">
        <w:t>.</w:t>
      </w:r>
      <w:r w:rsidRPr="009906C5" w:rsidR="009906C5">
        <w:rPr>
          <w:vertAlign w:val="superscript"/>
        </w:rPr>
        <w:footnoteReference w:id="38"/>
      </w:r>
    </w:p>
    <w:p w:rsidR="00EC5501" w:rsidP="003073D2" w:rsidRDefault="0070585B" w14:paraId="72AA7A70" w14:textId="0ECC6B78">
      <w:pPr>
        <w:pStyle w:val="Standard"/>
      </w:pPr>
      <w:r>
        <w:t xml:space="preserve">Cal Advocates </w:t>
      </w:r>
      <w:r w:rsidR="003073D2">
        <w:t>asserted</w:t>
      </w:r>
      <w:r w:rsidR="00570F48">
        <w:t xml:space="preserve"> </w:t>
      </w:r>
      <w:r w:rsidR="007B529C">
        <w:t xml:space="preserve">that </w:t>
      </w:r>
      <w:r w:rsidR="00570F48">
        <w:t>prohibition</w:t>
      </w:r>
      <w:r>
        <w:t xml:space="preserve"> of the composite tier method</w:t>
      </w:r>
      <w:r w:rsidR="00570F48">
        <w:t xml:space="preserve"> will not change the current volumetric tier differential</w:t>
      </w:r>
      <w:r w:rsidR="00A1554B">
        <w:t xml:space="preserve"> of 25</w:t>
      </w:r>
      <w:r w:rsidR="00C1241D">
        <w:t xml:space="preserve"> percent</w:t>
      </w:r>
      <w:r w:rsidR="00570F48">
        <w:t xml:space="preserve"> that was established in </w:t>
      </w:r>
      <w:r w:rsidRPr="00EC5501" w:rsidR="00EC5501">
        <w:t>D.15-07-001</w:t>
      </w:r>
      <w:r w:rsidR="00570F48">
        <w:t>.</w:t>
      </w:r>
      <w:r w:rsidR="003073D2">
        <w:t xml:space="preserve"> Cal Advocates argued that the fixed charge revenues </w:t>
      </w:r>
      <w:r w:rsidR="00F8103C">
        <w:t xml:space="preserve">must be applied </w:t>
      </w:r>
      <w:r w:rsidR="003073D2">
        <w:t xml:space="preserve">to each </w:t>
      </w:r>
      <w:r w:rsidR="009428C5">
        <w:t>usage</w:t>
      </w:r>
      <w:r w:rsidR="007D1760">
        <w:t xml:space="preserve"> </w:t>
      </w:r>
      <w:r w:rsidR="003073D2">
        <w:t xml:space="preserve">tier proportionally to ensure that the </w:t>
      </w:r>
      <w:r w:rsidRPr="003073D2" w:rsidR="003073D2">
        <w:t xml:space="preserve">ratio between the </w:t>
      </w:r>
      <w:r w:rsidR="00177D2E">
        <w:t>usage t</w:t>
      </w:r>
      <w:r w:rsidRPr="003073D2" w:rsidR="003073D2">
        <w:t xml:space="preserve">ier 2 and </w:t>
      </w:r>
      <w:r w:rsidR="00177D2E">
        <w:t>the usage t</w:t>
      </w:r>
      <w:r w:rsidRPr="003073D2" w:rsidR="003073D2">
        <w:t>ier 1 volumetric rate</w:t>
      </w:r>
      <w:r w:rsidR="00177D2E">
        <w:t>s</w:t>
      </w:r>
      <w:r w:rsidRPr="003073D2" w:rsidR="003073D2">
        <w:t xml:space="preserve"> </w:t>
      </w:r>
      <w:r w:rsidR="00177D2E">
        <w:t>are</w:t>
      </w:r>
      <w:r w:rsidRPr="003073D2" w:rsidR="003073D2">
        <w:t xml:space="preserve"> maintained at the required 25</w:t>
      </w:r>
      <w:r w:rsidR="00C1241D">
        <w:t xml:space="preserve"> percent</w:t>
      </w:r>
      <w:r w:rsidRPr="003073D2" w:rsidR="003073D2">
        <w:t xml:space="preserve"> level.</w:t>
      </w:r>
      <w:r w:rsidR="00A1554B">
        <w:rPr>
          <w:rStyle w:val="FootnoteReference"/>
        </w:rPr>
        <w:footnoteReference w:id="39"/>
      </w:r>
    </w:p>
    <w:p w:rsidR="00644DFB" w:rsidP="003073D2" w:rsidRDefault="00644DFB" w14:paraId="369E2576" w14:textId="215A5E53">
      <w:pPr>
        <w:pStyle w:val="Standard"/>
      </w:pPr>
      <w:r>
        <w:t xml:space="preserve">Sierra Club/CEJA and the Large Utilities </w:t>
      </w:r>
      <w:r w:rsidR="000F0F3A">
        <w:t>agreed that the composite tier methodology should not be used</w:t>
      </w:r>
      <w:r w:rsidR="00C16516">
        <w:t xml:space="preserve"> for fixed charge revenues</w:t>
      </w:r>
      <w:r w:rsidR="000F0F3A">
        <w:t xml:space="preserve"> in accordance with the statute.</w:t>
      </w:r>
      <w:r w:rsidR="000F0F3A">
        <w:rPr>
          <w:rStyle w:val="FootnoteReference"/>
        </w:rPr>
        <w:footnoteReference w:id="40"/>
      </w:r>
      <w:r>
        <w:t xml:space="preserve"> </w:t>
      </w:r>
    </w:p>
    <w:p w:rsidR="00426556" w:rsidP="00426556" w:rsidRDefault="004E44E0" w14:paraId="3EA0CC42" w14:textId="5709B5E0">
      <w:pPr>
        <w:pStyle w:val="Standard"/>
      </w:pPr>
      <w:r>
        <w:t xml:space="preserve">No party disputed TURN/NRDC’s interpretation of the statute or Cal Advocates’ arguments that the </w:t>
      </w:r>
      <w:r w:rsidR="00644DFB">
        <w:t>Commission should maintain the current volumetric tier differential established in D.15-07-001.</w:t>
      </w:r>
    </w:p>
    <w:p w:rsidR="003F055A" w:rsidP="003F055A" w:rsidRDefault="00C16516" w14:paraId="404D80B2" w14:textId="323D22EB">
      <w:pPr>
        <w:pStyle w:val="Standard"/>
      </w:pPr>
      <w:r>
        <w:t xml:space="preserve">It is reasonable to prohibit the use of the </w:t>
      </w:r>
      <w:r w:rsidR="002A64C5">
        <w:t xml:space="preserve">composite tier methodology </w:t>
      </w:r>
      <w:r w:rsidR="00477276">
        <w:t xml:space="preserve">for </w:t>
      </w:r>
      <w:r w:rsidRPr="00B51FD7" w:rsidR="002A64C5">
        <w:t xml:space="preserve">any revenues resulting from </w:t>
      </w:r>
      <w:r w:rsidR="00477276">
        <w:t xml:space="preserve">a fixed charge. </w:t>
      </w:r>
      <w:r w:rsidR="00910BE7">
        <w:t xml:space="preserve">This decision does not modify the requirement of D.15-07-001 </w:t>
      </w:r>
      <w:r w:rsidR="000E1044">
        <w:t xml:space="preserve">that </w:t>
      </w:r>
      <w:r w:rsidR="00910BE7">
        <w:t xml:space="preserve">changes to </w:t>
      </w:r>
      <w:r w:rsidRPr="00EC5501" w:rsidR="00910BE7">
        <w:t>volumetric rates must maintain the</w:t>
      </w:r>
      <w:r w:rsidR="005D7D3B">
        <w:t xml:space="preserve"> usage</w:t>
      </w:r>
      <w:r w:rsidRPr="00EC5501" w:rsidR="00910BE7">
        <w:t xml:space="preserve"> </w:t>
      </w:r>
      <w:r w:rsidR="005D7D3B">
        <w:t>tier differential specified in that decision.</w:t>
      </w:r>
      <w:r w:rsidR="00786B91">
        <w:t xml:space="preserve"> The income-graduated </w:t>
      </w:r>
      <w:r w:rsidRPr="00786B91" w:rsidR="00786B91">
        <w:t>fixed charge revenues</w:t>
      </w:r>
      <w:r w:rsidR="00786B91">
        <w:t xml:space="preserve"> should be applied</w:t>
      </w:r>
      <w:r w:rsidRPr="00786B91" w:rsidR="00786B91">
        <w:t xml:space="preserve"> to each </w:t>
      </w:r>
      <w:r w:rsidR="00786B91">
        <w:t xml:space="preserve">usage </w:t>
      </w:r>
      <w:r w:rsidRPr="00786B91" w:rsidR="00786B91">
        <w:t xml:space="preserve">tier proportionally to ensure </w:t>
      </w:r>
      <w:r w:rsidRPr="00786B91" w:rsidR="00786B91">
        <w:lastRenderedPageBreak/>
        <w:t xml:space="preserve">that the ratio between the usage tier 2 and the usage tier 1 volumetric rates are maintained at the required </w:t>
      </w:r>
      <w:r w:rsidR="00786B91">
        <w:t>level</w:t>
      </w:r>
      <w:r w:rsidRPr="00786B91" w:rsidR="00786B91">
        <w:t>.</w:t>
      </w:r>
      <w:r w:rsidRPr="00786B91" w:rsidDel="009B1BEE" w:rsidR="009B1BEE">
        <w:rPr>
          <w:vertAlign w:val="superscript"/>
        </w:rPr>
        <w:t xml:space="preserve"> </w:t>
      </w:r>
    </w:p>
    <w:p w:rsidR="003F055A" w:rsidP="00702F6F" w:rsidRDefault="00093F29" w14:paraId="631CDE26" w14:textId="7F014A2C">
      <w:pPr>
        <w:pStyle w:val="Heading2"/>
      </w:pPr>
      <w:bookmarkStart w:name="_Toc160790032" w:id="19"/>
      <w:r>
        <w:t>Average Effective CARE Discount</w:t>
      </w:r>
      <w:bookmarkEnd w:id="19"/>
    </w:p>
    <w:p w:rsidRPr="005D6415" w:rsidR="003F055A" w:rsidP="003F055A" w:rsidRDefault="003F055A" w14:paraId="65833FA7" w14:textId="77777777">
      <w:pPr>
        <w:pStyle w:val="Standard"/>
      </w:pPr>
      <w:r w:rsidRPr="005D6415">
        <w:t>Section 739.1(</w:t>
      </w:r>
      <w:r w:rsidRPr="00C00B9D">
        <w:t>c</w:t>
      </w:r>
      <w:r w:rsidRPr="005D6415">
        <w:t xml:space="preserve">)(1) of the Pub. Util. Code provides: </w:t>
      </w:r>
    </w:p>
    <w:p w:rsidR="003F055A" w:rsidP="0008492E" w:rsidRDefault="003F055A" w14:paraId="772DE06D" w14:textId="4204B208">
      <w:pPr>
        <w:pStyle w:val="BlockQuote"/>
        <w:ind w:right="1440"/>
      </w:pPr>
      <w:r w:rsidRPr="00263A4E">
        <w:t>The average effective CARE discount shall not be less than 30</w:t>
      </w:r>
      <w:r w:rsidR="0008492E">
        <w:t> </w:t>
      </w:r>
      <w:r w:rsidRPr="00263A4E">
        <w:t xml:space="preserve">percent or more than 35 percent of the revenues that would have been produced for the same billed usage by non-CARE customers. The average effective discount determined by the </w:t>
      </w:r>
      <w:r>
        <w:t>c</w:t>
      </w:r>
      <w:r w:rsidRPr="00263A4E">
        <w:t>ommission shall not reflect any charges for which CARE customers are exempted, discounts to fixed charges or other rates paid by non-CARE customers, or bill savings resulting from participation in other programs, including the medical baseline allowance pursuant to subdivision (c) of Section 739. The average effective CARE discount shall be calculated as a weighted average of the CARE discounts provided to individual customers.</w:t>
      </w:r>
    </w:p>
    <w:p w:rsidR="003F055A" w:rsidP="003F055A" w:rsidRDefault="003F055A" w14:paraId="3607B1FB" w14:textId="1E4E2445">
      <w:pPr>
        <w:pStyle w:val="Standard"/>
      </w:pPr>
      <w:r>
        <w:t>For</w:t>
      </w:r>
      <w:r w:rsidRPr="00BE7953">
        <w:t xml:space="preserve"> electric</w:t>
      </w:r>
      <w:r>
        <w:t xml:space="preserve"> utilities </w:t>
      </w:r>
      <w:r w:rsidRPr="00BE7953">
        <w:t xml:space="preserve">with 100,000 or more customer accounts, </w:t>
      </w:r>
      <w:r>
        <w:t>prior</w:t>
      </w:r>
      <w:r w:rsidRPr="00BE7953">
        <w:t xml:space="preserve"> law require</w:t>
      </w:r>
      <w:r>
        <w:t>d</w:t>
      </w:r>
      <w:r w:rsidRPr="00BE7953">
        <w:t xml:space="preserve"> the </w:t>
      </w:r>
      <w:r>
        <w:t xml:space="preserve">Commission </w:t>
      </w:r>
      <w:r w:rsidRPr="00BE7953">
        <w:t>to ensur</w:t>
      </w:r>
      <w:r>
        <w:t>e</w:t>
      </w:r>
      <w:r w:rsidRPr="00BE7953">
        <w:t xml:space="preserve"> that </w:t>
      </w:r>
      <w:r>
        <w:t xml:space="preserve">(a) </w:t>
      </w:r>
      <w:r w:rsidRPr="00BE7953">
        <w:t>the average effective CARE discount is not less than 30</w:t>
      </w:r>
      <w:r w:rsidR="00C1241D">
        <w:t xml:space="preserve"> percent</w:t>
      </w:r>
      <w:r w:rsidRPr="00BE7953">
        <w:t xml:space="preserve"> or more than 35</w:t>
      </w:r>
      <w:r w:rsidR="00C1241D">
        <w:t xml:space="preserve"> percent</w:t>
      </w:r>
      <w:r w:rsidRPr="00BE7953">
        <w:t xml:space="preserve"> of the revenues that would have been produced for the same billed usage by non-CARE customers and</w:t>
      </w:r>
      <w:r>
        <w:t xml:space="preserve"> (b)</w:t>
      </w:r>
      <w:r w:rsidR="0008492E">
        <w:t> </w:t>
      </w:r>
      <w:r w:rsidRPr="00BE7953">
        <w:t xml:space="preserve">the average effective discount </w:t>
      </w:r>
      <w:r>
        <w:t xml:space="preserve">would </w:t>
      </w:r>
      <w:r w:rsidRPr="00BE7953">
        <w:t>reflect any charges not paid by CARE customers.</w:t>
      </w:r>
      <w:r>
        <w:t xml:space="preserve"> AB 205 amended the provision to require the Commission to modify the calculation of the average effective CARE discount to “not reflect” any charges for which CARE customers are exempted, discounts</w:t>
      </w:r>
      <w:r w:rsidRPr="00D14622" w:rsidR="00D14622">
        <w:t xml:space="preserve"> to fixed charges or other rates paid by non-CARE customers, or bill savings resulting from participation in other programs, including the medical baseline allowance</w:t>
      </w:r>
      <w:r>
        <w:t>.</w:t>
      </w:r>
    </w:p>
    <w:p w:rsidR="003F055A" w:rsidP="003F055A" w:rsidRDefault="003F055A" w14:paraId="6043B1BD" w14:textId="1BB37FED">
      <w:pPr>
        <w:pStyle w:val="Standard"/>
      </w:pPr>
      <w:r>
        <w:t xml:space="preserve">TURN/NRDC </w:t>
      </w:r>
      <w:r w:rsidR="00B92F3D">
        <w:t>asserted that, based</w:t>
      </w:r>
      <w:r>
        <w:t xml:space="preserve"> on prior law, the utilities currently consider any portion of a retail rate or charge not paid by CARE customers to be part of the CARE discount and </w:t>
      </w:r>
      <w:r w:rsidRPr="0009049A">
        <w:t xml:space="preserve">reduce the </w:t>
      </w:r>
      <w:r>
        <w:t>CARE</w:t>
      </w:r>
      <w:r w:rsidRPr="0009049A">
        <w:t xml:space="preserve"> discount </w:t>
      </w:r>
      <w:r>
        <w:t xml:space="preserve">line-item </w:t>
      </w:r>
      <w:r w:rsidRPr="0009049A">
        <w:t>accordingly</w:t>
      </w:r>
      <w:r>
        <w:t xml:space="preserve">. TURN/NRDC </w:t>
      </w:r>
      <w:r w:rsidR="005A37FD">
        <w:t xml:space="preserve">argued that </w:t>
      </w:r>
      <w:r w:rsidR="0082500F">
        <w:t xml:space="preserve">the amendments to </w:t>
      </w:r>
      <w:r w:rsidRPr="005D6415" w:rsidR="0082500F">
        <w:t>Section 739.1(</w:t>
      </w:r>
      <w:r w:rsidRPr="0082500F" w:rsidR="0082500F">
        <w:t>c</w:t>
      </w:r>
      <w:r w:rsidRPr="005D6415" w:rsidR="0082500F">
        <w:t xml:space="preserve">)(1) </w:t>
      </w:r>
      <w:r w:rsidR="001D4C3D">
        <w:t xml:space="preserve">prohibit this </w:t>
      </w:r>
      <w:r w:rsidR="001D4C3D">
        <w:lastRenderedPageBreak/>
        <w:t>practice</w:t>
      </w:r>
      <w:r w:rsidR="00DF20D9">
        <w:t xml:space="preserve"> and are intended to </w:t>
      </w:r>
      <w:r w:rsidRPr="00DF20D9" w:rsidR="00DF20D9">
        <w:t xml:space="preserve">ensure that the average effective CARE discount is </w:t>
      </w:r>
      <w:r w:rsidR="00DF20D9">
        <w:t>“</w:t>
      </w:r>
      <w:r w:rsidRPr="00DF20D9" w:rsidR="00DF20D9">
        <w:t>additional</w:t>
      </w:r>
      <w:r w:rsidR="00DF20D9">
        <w:t>”</w:t>
      </w:r>
      <w:r w:rsidRPr="00DF20D9" w:rsidR="00DF20D9">
        <w:t xml:space="preserve"> to any other charge exemptions and discounts that CARE customers receive</w:t>
      </w:r>
      <w:r w:rsidR="001D4C3D">
        <w:t>.</w:t>
      </w:r>
      <w:r w:rsidRPr="001D4C3D" w:rsidR="001D4C3D">
        <w:rPr>
          <w:vertAlign w:val="superscript"/>
        </w:rPr>
        <w:footnoteReference w:id="41"/>
      </w:r>
      <w:r w:rsidR="001D4C3D">
        <w:t xml:space="preserve"> </w:t>
      </w:r>
      <w:r w:rsidR="00F65D70">
        <w:t>The Large Utilities agreed</w:t>
      </w:r>
      <w:r w:rsidR="00F13934">
        <w:t>.</w:t>
      </w:r>
      <w:r w:rsidR="00F13934">
        <w:rPr>
          <w:rStyle w:val="FootnoteReference"/>
        </w:rPr>
        <w:footnoteReference w:id="42"/>
      </w:r>
    </w:p>
    <w:p w:rsidR="007F4785" w:rsidP="007F4785" w:rsidRDefault="007F4785" w14:paraId="767A8E5A" w14:textId="0812C045">
      <w:pPr>
        <w:pStyle w:val="Standard"/>
      </w:pPr>
      <w:r>
        <w:t xml:space="preserve">This decision interprets </w:t>
      </w:r>
      <w:r w:rsidRPr="005D6415">
        <w:t>Section 739.1(</w:t>
      </w:r>
      <w:r w:rsidRPr="007F4785">
        <w:t>c</w:t>
      </w:r>
      <w:r w:rsidRPr="005D6415">
        <w:t>)(1)</w:t>
      </w:r>
      <w:r>
        <w:t xml:space="preserve"> as requiring the Commission to ensure that the a</w:t>
      </w:r>
      <w:r w:rsidR="00DF20D9">
        <w:t xml:space="preserve">verage effective </w:t>
      </w:r>
      <w:r w:rsidRPr="007F4785">
        <w:t>CARE discount</w:t>
      </w:r>
      <w:r w:rsidR="00DF20D9">
        <w:t xml:space="preserve"> is</w:t>
      </w:r>
      <w:r w:rsidRPr="007F4785">
        <w:t xml:space="preserve"> additional to any other charge exemptions and discounts that CARE customers receive.</w:t>
      </w:r>
    </w:p>
    <w:p w:rsidR="003F055A" w:rsidP="003F055A" w:rsidRDefault="001174C4" w14:paraId="20068B69" w14:textId="08A92980">
      <w:pPr>
        <w:pStyle w:val="Standard"/>
      </w:pPr>
      <w:r>
        <w:t xml:space="preserve">In opening briefs, </w:t>
      </w:r>
      <w:r w:rsidR="003F055A">
        <w:t xml:space="preserve">TURN/NRDC </w:t>
      </w:r>
      <w:r w:rsidR="00D54632">
        <w:t xml:space="preserve">made a revised </w:t>
      </w:r>
      <w:r w:rsidR="003F055A">
        <w:t>propo</w:t>
      </w:r>
      <w:r w:rsidR="00D54632">
        <w:t>sal with the</w:t>
      </w:r>
      <w:r w:rsidR="003F055A">
        <w:t xml:space="preserve"> following process to comply with the </w:t>
      </w:r>
      <w:r w:rsidR="0003585D">
        <w:t>amendments</w:t>
      </w:r>
      <w:r w:rsidR="003F055A">
        <w:t xml:space="preserve"> to </w:t>
      </w:r>
      <w:r w:rsidRPr="008A5A7B" w:rsidR="003F055A">
        <w:t xml:space="preserve">Section </w:t>
      </w:r>
      <w:r w:rsidRPr="005D6415" w:rsidR="003F055A">
        <w:t>739.1(</w:t>
      </w:r>
      <w:r w:rsidRPr="008A5A7B" w:rsidR="003F055A">
        <w:t>c</w:t>
      </w:r>
      <w:r w:rsidRPr="005D6415" w:rsidR="003F055A">
        <w:t>)(1)</w:t>
      </w:r>
      <w:r w:rsidR="003F055A">
        <w:t>:</w:t>
      </w:r>
      <w:r w:rsidR="003F055A">
        <w:rPr>
          <w:rStyle w:val="FootnoteReference"/>
        </w:rPr>
        <w:footnoteReference w:id="43"/>
      </w:r>
    </w:p>
    <w:p w:rsidR="003F055A" w:rsidP="0008492E" w:rsidRDefault="0082500F" w14:paraId="361EF644" w14:textId="63CF7DA9">
      <w:pPr>
        <w:pStyle w:val="ListBullet"/>
        <w:ind w:right="1440"/>
      </w:pPr>
      <w:r>
        <w:t>First,</w:t>
      </w:r>
      <w:r w:rsidR="003F055A">
        <w:t xml:space="preserve"> calculate a total CARE discount budget set between 30</w:t>
      </w:r>
      <w:r w:rsidR="002812BB">
        <w:t> </w:t>
      </w:r>
      <w:r w:rsidR="00C1241D">
        <w:t>percent</w:t>
      </w:r>
      <w:r w:rsidR="06B39069">
        <w:t xml:space="preserve"> to </w:t>
      </w:r>
      <w:r w:rsidR="003F055A">
        <w:t>35</w:t>
      </w:r>
      <w:r w:rsidR="00C1241D">
        <w:t xml:space="preserve"> percent</w:t>
      </w:r>
      <w:r w:rsidR="003F055A">
        <w:t xml:space="preserve"> of the </w:t>
      </w:r>
      <w:r w:rsidRPr="00A3150B" w:rsidR="003F055A">
        <w:t>revenues that would have been produced for the same billed usage by non-CARE customers</w:t>
      </w:r>
      <w:r w:rsidR="003F055A">
        <w:t>.</w:t>
      </w:r>
    </w:p>
    <w:p w:rsidR="003F055A" w:rsidP="0008492E" w:rsidRDefault="0082500F" w14:paraId="5CDA4E3E" w14:textId="425C598D">
      <w:pPr>
        <w:pStyle w:val="ListBullet"/>
        <w:ind w:right="1440"/>
      </w:pPr>
      <w:r>
        <w:t>Second,</w:t>
      </w:r>
      <w:r w:rsidR="003F055A">
        <w:t xml:space="preserve"> apply the total CARE discount budget in the form of a reduction in the overall bill for the eligible CARE customer. </w:t>
      </w:r>
    </w:p>
    <w:p w:rsidR="003F055A" w:rsidP="0008492E" w:rsidRDefault="003F055A" w14:paraId="3DF87B90" w14:textId="4443DFDA">
      <w:pPr>
        <w:pStyle w:val="ListBullet"/>
        <w:ind w:right="1440"/>
      </w:pPr>
      <w:r>
        <w:t>Next, apply all rate discounts, exemptions, and reductions, including income-graduated fixed charge discount</w:t>
      </w:r>
      <w:r w:rsidR="00407081">
        <w:t>s</w:t>
      </w:r>
      <w:r>
        <w:t>.</w:t>
      </w:r>
    </w:p>
    <w:p w:rsidR="003F055A" w:rsidP="0008492E" w:rsidRDefault="003F055A" w14:paraId="00A91164" w14:textId="1E4CFFA0">
      <w:pPr>
        <w:pStyle w:val="ListBullet"/>
        <w:ind w:right="1440"/>
      </w:pPr>
      <w:r>
        <w:t xml:space="preserve">Finally, allocate the CARE discount budget for collection on an equal cents per </w:t>
      </w:r>
      <w:r w:rsidR="00CD345E">
        <w:t>kilowatt hour (</w:t>
      </w:r>
      <w:r>
        <w:t>kWh</w:t>
      </w:r>
      <w:r w:rsidR="00CD345E">
        <w:t>)</w:t>
      </w:r>
      <w:r>
        <w:t xml:space="preserve"> basis.</w:t>
      </w:r>
    </w:p>
    <w:p w:rsidR="003F055A" w:rsidP="00E35855" w:rsidRDefault="003F055A" w14:paraId="710CE724" w14:textId="7934D295">
      <w:pPr>
        <w:pStyle w:val="Standard"/>
      </w:pPr>
      <w:r>
        <w:t xml:space="preserve">TURN/NRDC argued that its </w:t>
      </w:r>
      <w:r w:rsidR="00D54632">
        <w:t xml:space="preserve">revised proposal </w:t>
      </w:r>
      <w:r>
        <w:t xml:space="preserve">complies with the new average effective CARE discount requirements of AB 205 and ensures that the amount of the overall CARE discount budget is unaffected by the portion of total costs collected through fixed charges or volumetric rates. TURN/NRDC </w:t>
      </w:r>
      <w:r w:rsidR="0048253D">
        <w:t xml:space="preserve">noted </w:t>
      </w:r>
      <w:r>
        <w:t xml:space="preserve">that while the </w:t>
      </w:r>
      <w:r w:rsidRPr="007F1A26">
        <w:t>CARE discount budget is recovered from all non-exempt customers through an equal cents</w:t>
      </w:r>
      <w:r w:rsidR="00CD345E">
        <w:t xml:space="preserve"> per </w:t>
      </w:r>
      <w:r w:rsidRPr="007F1A26">
        <w:t xml:space="preserve">kWh method, </w:t>
      </w:r>
      <w:r w:rsidR="000908B8">
        <w:t xml:space="preserve">discounts provided to </w:t>
      </w:r>
      <w:r w:rsidR="00632077">
        <w:t xml:space="preserve">lower </w:t>
      </w:r>
      <w:r w:rsidR="00632077">
        <w:lastRenderedPageBreak/>
        <w:t>tiers of an income-graduated fixed charge</w:t>
      </w:r>
      <w:r w:rsidRPr="007F1A26">
        <w:t xml:space="preserve"> </w:t>
      </w:r>
      <w:r w:rsidR="00A536B2">
        <w:t>will be</w:t>
      </w:r>
      <w:r w:rsidRPr="007F1A26">
        <w:t xml:space="preserve"> assigned entirely to the residential class. </w:t>
      </w:r>
      <w:r>
        <w:t>TURN/NRDC argues that</w:t>
      </w:r>
      <w:r w:rsidR="00A536B2">
        <w:t xml:space="preserve"> providing a CARE discount </w:t>
      </w:r>
      <w:r w:rsidR="00E35855">
        <w:t xml:space="preserve">prior to removing exemptions and fixed charge discounts is necessary </w:t>
      </w:r>
      <w:r>
        <w:t>to prevent a reduction in the amount collected through the CARE surcharge</w:t>
      </w:r>
      <w:r w:rsidR="009D79E0">
        <w:t>.</w:t>
      </w:r>
      <w:r w:rsidRPr="009D79E0" w:rsidR="009D79E0">
        <w:rPr>
          <w:vertAlign w:val="superscript"/>
        </w:rPr>
        <w:footnoteReference w:id="44"/>
      </w:r>
    </w:p>
    <w:p w:rsidR="00954ED3" w:rsidP="008656D7" w:rsidRDefault="003F055A" w14:paraId="670A0359" w14:textId="57BFADA2">
      <w:pPr>
        <w:pStyle w:val="Standard"/>
      </w:pPr>
      <w:r>
        <w:t xml:space="preserve">The Large Utilities argued that </w:t>
      </w:r>
      <w:r w:rsidRPr="005D6415">
        <w:t xml:space="preserve">TURN/NRDC’s </w:t>
      </w:r>
      <w:r w:rsidR="0063310F">
        <w:t xml:space="preserve">revised proposal </w:t>
      </w:r>
      <w:r>
        <w:t>was</w:t>
      </w:r>
      <w:r w:rsidRPr="005D6415">
        <w:t xml:space="preserve"> inconsistent with the law</w:t>
      </w:r>
      <w:r w:rsidR="00954ED3">
        <w:t xml:space="preserve">. </w:t>
      </w:r>
      <w:r>
        <w:t xml:space="preserve">The Large Utilities argued that, </w:t>
      </w:r>
      <w:r w:rsidR="5A97A705">
        <w:t>because</w:t>
      </w:r>
      <w:r>
        <w:t xml:space="preserve"> </w:t>
      </w:r>
      <w:r w:rsidRPr="005D6415">
        <w:t xml:space="preserve">AB 205 requires the </w:t>
      </w:r>
      <w:r>
        <w:t xml:space="preserve">average </w:t>
      </w:r>
      <w:r w:rsidRPr="005D6415">
        <w:t xml:space="preserve">effective </w:t>
      </w:r>
      <w:r>
        <w:t xml:space="preserve">CARE </w:t>
      </w:r>
      <w:r w:rsidRPr="005D6415">
        <w:t xml:space="preserve">discount to </w:t>
      </w:r>
      <w:r w:rsidR="00954ED3">
        <w:t>“</w:t>
      </w:r>
      <w:r w:rsidRPr="005D6415">
        <w:t>not reflect</w:t>
      </w:r>
      <w:r w:rsidR="00954ED3">
        <w:t>”</w:t>
      </w:r>
      <w:r w:rsidRPr="005D6415">
        <w:t xml:space="preserve"> charges for which CARE customers are exempt</w:t>
      </w:r>
      <w:r w:rsidR="007E4E1F">
        <w:t>,</w:t>
      </w:r>
      <w:r w:rsidRPr="00456F32" w:rsidR="00F171F4">
        <w:rPr>
          <w:vertAlign w:val="superscript"/>
        </w:rPr>
        <w:footnoteReference w:id="45"/>
      </w:r>
      <w:r w:rsidR="007E4E1F">
        <w:t xml:space="preserve"> the exempt charges should </w:t>
      </w:r>
      <w:r w:rsidR="00A00140">
        <w:t>be removed from th</w:t>
      </w:r>
      <w:r w:rsidR="00F171F4">
        <w:t xml:space="preserve">e </w:t>
      </w:r>
      <w:r w:rsidR="00831511">
        <w:t xml:space="preserve">revenues used to calculate the </w:t>
      </w:r>
      <w:r w:rsidR="00F171F4">
        <w:t>CARE discount budget before the CARE discount is applied.</w:t>
      </w:r>
      <w:r w:rsidRPr="008F2267" w:rsidR="008F2267">
        <w:rPr>
          <w:vertAlign w:val="superscript"/>
        </w:rPr>
        <w:footnoteReference w:id="46"/>
      </w:r>
      <w:r w:rsidR="00CA41DA">
        <w:t xml:space="preserve"> </w:t>
      </w:r>
      <w:r w:rsidR="0059021F">
        <w:t xml:space="preserve">The Large Utilities </w:t>
      </w:r>
      <w:r w:rsidR="008F2267">
        <w:t xml:space="preserve">also </w:t>
      </w:r>
      <w:r w:rsidR="00F8231C">
        <w:t xml:space="preserve">argued that their proposal </w:t>
      </w:r>
      <w:r w:rsidR="00CA41DA">
        <w:t xml:space="preserve">would </w:t>
      </w:r>
      <w:r w:rsidR="00F8231C">
        <w:t xml:space="preserve">avoid </w:t>
      </w:r>
      <w:r w:rsidR="00F6447B">
        <w:t>alterations to</w:t>
      </w:r>
      <w:r w:rsidR="008F2267">
        <w:t xml:space="preserve"> </w:t>
      </w:r>
      <w:r w:rsidR="00CD0D1D">
        <w:t>revenue allocations</w:t>
      </w:r>
      <w:r w:rsidR="009841E2">
        <w:t xml:space="preserve"> between rate classes</w:t>
      </w:r>
      <w:r w:rsidR="00CD0D1D">
        <w:t>.</w:t>
      </w:r>
      <w:r w:rsidRPr="004F1BE7" w:rsidR="0060799A">
        <w:rPr>
          <w:vertAlign w:val="superscript"/>
        </w:rPr>
        <w:footnoteReference w:id="47"/>
      </w:r>
      <w:r w:rsidR="00407081">
        <w:t xml:space="preserve"> </w:t>
      </w:r>
    </w:p>
    <w:p w:rsidR="008C6464" w:rsidP="00C51990" w:rsidRDefault="009A5A01" w14:paraId="791CD4BB" w14:textId="1BF51808">
      <w:pPr>
        <w:pStyle w:val="Standard"/>
      </w:pPr>
      <w:r>
        <w:t xml:space="preserve">AB 205 did not </w:t>
      </w:r>
      <w:r w:rsidR="007A3190">
        <w:t xml:space="preserve">direct the Commission to </w:t>
      </w:r>
      <w:r w:rsidR="00143D14">
        <w:t>shift</w:t>
      </w:r>
      <w:r w:rsidR="007A3190">
        <w:t xml:space="preserve"> the </w:t>
      </w:r>
      <w:r w:rsidR="00143D14">
        <w:t>costs of the CARE program from</w:t>
      </w:r>
      <w:r w:rsidR="00E066E4">
        <w:t xml:space="preserve"> </w:t>
      </w:r>
      <w:r w:rsidR="00457F90">
        <w:t xml:space="preserve">one customer class to another. </w:t>
      </w:r>
      <w:r w:rsidR="00195DFB">
        <w:t xml:space="preserve">Nor did AB 205 </w:t>
      </w:r>
      <w:r w:rsidR="00E91022">
        <w:t>direct the Commission to give</w:t>
      </w:r>
      <w:r w:rsidRPr="00E91022" w:rsidR="00E91022">
        <w:t xml:space="preserve"> CARE customers an additional 30</w:t>
      </w:r>
      <w:r w:rsidR="00C1241D">
        <w:t xml:space="preserve"> percent</w:t>
      </w:r>
      <w:r w:rsidR="33D88A3E">
        <w:t xml:space="preserve"> to </w:t>
      </w:r>
      <w:r w:rsidRPr="00E91022" w:rsidR="00E91022">
        <w:t>35</w:t>
      </w:r>
      <w:r w:rsidR="00C1241D">
        <w:t xml:space="preserve"> percent</w:t>
      </w:r>
      <w:r w:rsidRPr="00E91022" w:rsidR="00E91022">
        <w:t xml:space="preserve"> “discount” on charges and discounts that they are exempt from paying.</w:t>
      </w:r>
      <w:r w:rsidR="00C51990">
        <w:t xml:space="preserve"> Further, the </w:t>
      </w:r>
      <w:r w:rsidR="00560623">
        <w:t xml:space="preserve">Large Utilities’ interpretation of Section </w:t>
      </w:r>
      <w:r w:rsidRPr="005D6415" w:rsidR="00560623">
        <w:t>739.1(</w:t>
      </w:r>
      <w:r w:rsidRPr="00560623" w:rsidR="00560623">
        <w:t>c</w:t>
      </w:r>
      <w:r w:rsidRPr="005D6415" w:rsidR="00560623">
        <w:t>)(1)</w:t>
      </w:r>
      <w:r w:rsidR="00560623">
        <w:t xml:space="preserve"> would </w:t>
      </w:r>
      <w:r w:rsidRPr="008C6464" w:rsidR="008C6464">
        <w:t xml:space="preserve">make the </w:t>
      </w:r>
      <w:r w:rsidR="00333B87">
        <w:t xml:space="preserve">average effective </w:t>
      </w:r>
      <w:r w:rsidRPr="008C6464" w:rsidR="008C6464">
        <w:t>CARE discount additional to any other charge exemptions and discounts that CARE customers receive</w:t>
      </w:r>
      <w:r w:rsidR="00E07B9B">
        <w:t xml:space="preserve"> as required by AB 205</w:t>
      </w:r>
      <w:r w:rsidRPr="008C6464" w:rsidR="008C6464">
        <w:t>.</w:t>
      </w:r>
    </w:p>
    <w:p w:rsidR="003F055A" w:rsidP="003F055A" w:rsidRDefault="003F055A" w14:paraId="527B40F6" w14:textId="46A0A59D">
      <w:pPr>
        <w:pStyle w:val="Standard"/>
      </w:pPr>
      <w:r>
        <w:t xml:space="preserve">It is reasonable to </w:t>
      </w:r>
      <w:r w:rsidR="00425A91">
        <w:t>adopt</w:t>
      </w:r>
      <w:r>
        <w:t xml:space="preserve"> the following process for </w:t>
      </w:r>
      <w:r w:rsidR="00DA562E">
        <w:t>calculating</w:t>
      </w:r>
      <w:r w:rsidR="00DA5AD7">
        <w:t xml:space="preserve"> and applying</w:t>
      </w:r>
      <w:r w:rsidR="00DA562E">
        <w:t xml:space="preserve"> </w:t>
      </w:r>
      <w:r>
        <w:t xml:space="preserve">CARE discounts: </w:t>
      </w:r>
    </w:p>
    <w:p w:rsidR="003F055A" w:rsidP="0008492E" w:rsidRDefault="003F055A" w14:paraId="5D77F807" w14:textId="136EF10C">
      <w:pPr>
        <w:pStyle w:val="ListAlpha"/>
        <w:ind w:right="1440"/>
      </w:pPr>
      <w:r>
        <w:lastRenderedPageBreak/>
        <w:t xml:space="preserve">First, calculate </w:t>
      </w:r>
      <w:r w:rsidR="00DD36AF">
        <w:t xml:space="preserve">the total </w:t>
      </w:r>
      <w:r>
        <w:t xml:space="preserve">revenues </w:t>
      </w:r>
      <w:r w:rsidR="00A22941">
        <w:t xml:space="preserve">for CARE customers </w:t>
      </w:r>
      <w:r>
        <w:t>that would have been produced for the same billed usage by non-CARE customers;</w:t>
      </w:r>
    </w:p>
    <w:p w:rsidR="003F055A" w:rsidP="0008492E" w:rsidRDefault="003F055A" w14:paraId="5E731C80" w14:textId="46718EF9">
      <w:pPr>
        <w:pStyle w:val="ListAlpha"/>
        <w:ind w:right="1440"/>
      </w:pPr>
      <w:r>
        <w:t>Second, remove fr</w:t>
      </w:r>
      <w:r w:rsidR="00A22941">
        <w:t xml:space="preserve">om the total revenues </w:t>
      </w:r>
      <w:r>
        <w:t xml:space="preserve">all of the charges that CARE customers are exempt from and </w:t>
      </w:r>
      <w:r w:rsidR="00FB0822">
        <w:t>all</w:t>
      </w:r>
      <w:r>
        <w:t xml:space="preserve"> rate and charge discounts that CARE customers receive, </w:t>
      </w:r>
      <w:r w:rsidR="00785A4D">
        <w:t xml:space="preserve">excluding </w:t>
      </w:r>
      <w:r>
        <w:t>discounts on income-graduated fixed charges;</w:t>
      </w:r>
    </w:p>
    <w:p w:rsidR="00AF1A3C" w:rsidP="0008492E" w:rsidRDefault="00AF1A3C" w14:paraId="2FA354C4" w14:textId="02FDC472">
      <w:pPr>
        <w:pStyle w:val="ListAlpha"/>
        <w:ind w:right="1440"/>
      </w:pPr>
      <w:r>
        <w:t xml:space="preserve">Third, apply the applicable CARE discount </w:t>
      </w:r>
      <w:r w:rsidR="00B265EE">
        <w:t xml:space="preserve">rate </w:t>
      </w:r>
      <w:r>
        <w:t>(</w:t>
      </w:r>
      <w:r w:rsidR="005C6164">
        <w:t xml:space="preserve">between </w:t>
      </w:r>
      <w:r>
        <w:t>30</w:t>
      </w:r>
      <w:r w:rsidR="5F4EF964">
        <w:t xml:space="preserve"> </w:t>
      </w:r>
      <w:r w:rsidR="005C6164">
        <w:t>and</w:t>
      </w:r>
      <w:r w:rsidR="5F4EF964">
        <w:t xml:space="preserve"> </w:t>
      </w:r>
      <w:r>
        <w:t>35</w:t>
      </w:r>
      <w:r w:rsidR="00C1241D">
        <w:t xml:space="preserve"> percent</w:t>
      </w:r>
      <w:r>
        <w:t>)</w:t>
      </w:r>
      <w:r w:rsidR="00B265EE">
        <w:t xml:space="preserve"> </w:t>
      </w:r>
      <w:r w:rsidR="00CA13E9">
        <w:t xml:space="preserve">to the volumetric and fixed components </w:t>
      </w:r>
      <w:r w:rsidR="00CF64BB">
        <w:t xml:space="preserve">of the </w:t>
      </w:r>
      <w:r w:rsidR="00DE7EBC">
        <w:t>rate</w:t>
      </w:r>
      <w:r>
        <w:t>;</w:t>
      </w:r>
    </w:p>
    <w:p w:rsidR="009A7363" w:rsidP="0008492E" w:rsidRDefault="005062AF" w14:paraId="46DDA3CC" w14:textId="1ACC3D4D">
      <w:pPr>
        <w:pStyle w:val="ListAlpha"/>
        <w:ind w:right="1440"/>
      </w:pPr>
      <w:r>
        <w:t xml:space="preserve">Fourth, apply </w:t>
      </w:r>
      <w:r w:rsidR="005809BF">
        <w:t>any re</w:t>
      </w:r>
      <w:r w:rsidR="006E5EBC">
        <w:t>maining</w:t>
      </w:r>
      <w:r w:rsidR="005809BF">
        <w:t xml:space="preserve"> </w:t>
      </w:r>
      <w:r w:rsidR="003E7A99">
        <w:t xml:space="preserve">discount to CARE customers’ fixed charge that is needed to </w:t>
      </w:r>
      <w:r w:rsidR="00BD43EA">
        <w:t>achieve</w:t>
      </w:r>
      <w:r w:rsidR="001453BA">
        <w:t xml:space="preserve"> the required </w:t>
      </w:r>
      <w:r w:rsidR="0043680E">
        <w:t>income-graduated fixed charge</w:t>
      </w:r>
      <w:r w:rsidR="005605C9">
        <w:t xml:space="preserve"> for CARE customers (note that this additional discount will not be funded by the CARE program, but will instead be </w:t>
      </w:r>
      <w:r w:rsidR="00382131">
        <w:t xml:space="preserve">funded by </w:t>
      </w:r>
      <w:r w:rsidR="005E3DAD">
        <w:t>income-graduated fixed charge</w:t>
      </w:r>
      <w:r w:rsidR="00382131">
        <w:t xml:space="preserve"> revenues collected from </w:t>
      </w:r>
      <w:r w:rsidR="00FD116C">
        <w:t>higher</w:t>
      </w:r>
      <w:r w:rsidR="00382131">
        <w:t xml:space="preserve"> income tiers</w:t>
      </w:r>
      <w:r w:rsidR="00587337">
        <w:t xml:space="preserve"> and is thus incremental </w:t>
      </w:r>
      <w:r w:rsidR="00841C44">
        <w:t xml:space="preserve">to the </w:t>
      </w:r>
      <w:r w:rsidR="009D590C">
        <w:t>CARE discount)</w:t>
      </w:r>
      <w:r w:rsidR="00E67648">
        <w:t>; and</w:t>
      </w:r>
      <w:r w:rsidR="00BD43EA">
        <w:t xml:space="preserve"> </w:t>
      </w:r>
    </w:p>
    <w:p w:rsidR="00425A91" w:rsidP="0008492E" w:rsidRDefault="00572EE0" w14:paraId="1EC4C864" w14:textId="16255F4C">
      <w:pPr>
        <w:pStyle w:val="ListAlpha"/>
        <w:ind w:right="1440"/>
      </w:pPr>
      <w:r w:rsidRPr="00572EE0">
        <w:t>Finally, allocate the CARE discount budget for collection on an equal cents per kWh basis</w:t>
      </w:r>
      <w:r w:rsidR="7C4CDF5A">
        <w:t>.</w:t>
      </w:r>
    </w:p>
    <w:p w:rsidR="00D14D63" w:rsidP="00425A91" w:rsidRDefault="00425A91" w14:paraId="0354BFD6" w14:textId="70B8ABFA">
      <w:pPr>
        <w:pStyle w:val="Standard"/>
      </w:pPr>
      <w:r w:rsidRPr="00E765C6">
        <w:t>TURN</w:t>
      </w:r>
      <w:r w:rsidR="00D14D63">
        <w:t>/NRDC</w:t>
      </w:r>
      <w:r w:rsidRPr="00E765C6">
        <w:t xml:space="preserve"> argued that utilities should implement these changes prior to implementation of income-graduated fixed charges.</w:t>
      </w:r>
      <w:r w:rsidRPr="00E765C6">
        <w:rPr>
          <w:vertAlign w:val="superscript"/>
        </w:rPr>
        <w:footnoteReference w:id="48"/>
      </w:r>
      <w:r w:rsidRPr="00E765C6">
        <w:t xml:space="preserve">  </w:t>
      </w:r>
      <w:r w:rsidR="00C22608">
        <w:t xml:space="preserve">In opening comments on the proposed decision, the </w:t>
      </w:r>
      <w:r w:rsidR="005C4CCD">
        <w:t xml:space="preserve">Large Utilities proposed to implement the adopted process </w:t>
      </w:r>
      <w:r w:rsidR="00415391">
        <w:t>around</w:t>
      </w:r>
      <w:r w:rsidR="43AB3731">
        <w:t xml:space="preserve"> the same time as</w:t>
      </w:r>
      <w:r w:rsidR="005C4CCD">
        <w:t xml:space="preserve"> the next </w:t>
      </w:r>
      <w:r w:rsidR="00912591">
        <w:t>annual electric true-up</w:t>
      </w:r>
      <w:r w:rsidRPr="00601E0C" w:rsidR="00601E0C">
        <w:t xml:space="preserve"> </w:t>
      </w:r>
      <w:r w:rsidR="00912591">
        <w:t>advice letter</w:t>
      </w:r>
      <w:r w:rsidR="000C5988">
        <w:t>, which is how the CARE surcharge is typically updated</w:t>
      </w:r>
      <w:r w:rsidR="001745BF">
        <w:t xml:space="preserve"> on January 1</w:t>
      </w:r>
      <w:r w:rsidRPr="00FF7B59" w:rsidR="001745BF">
        <w:rPr>
          <w:vertAlign w:val="superscript"/>
        </w:rPr>
        <w:t>st</w:t>
      </w:r>
      <w:r w:rsidR="001745BF">
        <w:rPr>
          <w:vertAlign w:val="superscript"/>
        </w:rPr>
        <w:t xml:space="preserve"> </w:t>
      </w:r>
      <w:r w:rsidR="001745BF">
        <w:t>of each year</w:t>
      </w:r>
      <w:r w:rsidRPr="00601E0C" w:rsidR="00601E0C">
        <w:t>.</w:t>
      </w:r>
      <w:r w:rsidR="00601E0C">
        <w:t xml:space="preserve"> This approach is reasonable.</w:t>
      </w:r>
    </w:p>
    <w:p w:rsidR="00572EE0" w:rsidP="00425A91" w:rsidRDefault="00425A91" w14:paraId="6C4C7397" w14:textId="07A8E52A">
      <w:pPr>
        <w:pStyle w:val="Standard"/>
      </w:pPr>
      <w:r>
        <w:t>Each of the</w:t>
      </w:r>
      <w:r w:rsidRPr="00425A91">
        <w:t xml:space="preserve"> Large Utilities </w:t>
      </w:r>
      <w:r>
        <w:t>shall</w:t>
      </w:r>
      <w:r w:rsidRPr="00425A91">
        <w:t xml:space="preserve"> </w:t>
      </w:r>
      <w:r w:rsidRPr="00425A91" w:rsidDel="00601E0C">
        <w:t xml:space="preserve">file a Tier 1 advice letter </w:t>
      </w:r>
      <w:r w:rsidR="1245EAA5">
        <w:t>by December 15, 2024</w:t>
      </w:r>
      <w:r w:rsidRPr="00425A91" w:rsidDel="00601E0C">
        <w:t xml:space="preserve"> to </w:t>
      </w:r>
      <w:r w:rsidRPr="00425A91">
        <w:t xml:space="preserve">implement the </w:t>
      </w:r>
      <w:r>
        <w:t xml:space="preserve">adopted </w:t>
      </w:r>
      <w:r w:rsidRPr="00425A91">
        <w:t>process for calculating and applying CARE discounts</w:t>
      </w:r>
      <w:r w:rsidR="00AA7A6C">
        <w:t>, effective January 1, 2025</w:t>
      </w:r>
      <w:r w:rsidRPr="00425A91">
        <w:t>, provided that the fourth step will not take effect until income-graduated fixed charges are implemented</w:t>
      </w:r>
      <w:r w:rsidRPr="00572EE0" w:rsidR="00572EE0">
        <w:t>.</w:t>
      </w:r>
    </w:p>
    <w:p w:rsidR="00B87E7D" w:rsidP="00B87E7D" w:rsidRDefault="00B87E7D" w14:paraId="512B7143" w14:textId="7EE4F436">
      <w:pPr>
        <w:pStyle w:val="Heading1"/>
      </w:pPr>
      <w:bookmarkStart w:name="_Toc160790033" w:id="20"/>
      <w:r>
        <w:lastRenderedPageBreak/>
        <w:t>Implementation Pathway</w:t>
      </w:r>
      <w:bookmarkEnd w:id="20"/>
    </w:p>
    <w:p w:rsidR="00F94994" w:rsidP="003E2015" w:rsidRDefault="00E1238F" w14:paraId="480C89E1" w14:textId="01443A54">
      <w:pPr>
        <w:pStyle w:val="Standard"/>
      </w:pPr>
      <w:r>
        <w:t>On June</w:t>
      </w:r>
      <w:r w:rsidR="00B043D8">
        <w:t xml:space="preserve"> 19, 2023, </w:t>
      </w:r>
      <w:r w:rsidR="00F9678C">
        <w:t xml:space="preserve">ALJ Wang issued a </w:t>
      </w:r>
      <w:r w:rsidR="00B45C9E">
        <w:t xml:space="preserve">ruling </w:t>
      </w:r>
      <w:r w:rsidR="003E2015">
        <w:t>that requested</w:t>
      </w:r>
      <w:r w:rsidR="00B45C9E">
        <w:t xml:space="preserve"> comments on the</w:t>
      </w:r>
      <w:r w:rsidR="003E2015">
        <w:t xml:space="preserve"> </w:t>
      </w:r>
      <w:r w:rsidRPr="00B45C9E" w:rsidR="00B45C9E">
        <w:t>implementation pathway for income-graduated fixed charges (</w:t>
      </w:r>
      <w:r w:rsidR="00076F98">
        <w:t xml:space="preserve">Implementation Pathway Ruling). The ruling </w:t>
      </w:r>
      <w:r w:rsidR="00AC3C3B">
        <w:t xml:space="preserve">noted that </w:t>
      </w:r>
      <w:r w:rsidR="001B26C7">
        <w:t xml:space="preserve">the </w:t>
      </w:r>
      <w:r w:rsidR="00F94994">
        <w:t xml:space="preserve">Commission </w:t>
      </w:r>
      <w:r w:rsidR="00E961DF">
        <w:t xml:space="preserve">must consider how to manage the transition to the new residential rate structure consistent with </w:t>
      </w:r>
      <w:r w:rsidR="00164BC5">
        <w:t>the principle</w:t>
      </w:r>
      <w:r w:rsidR="00E961DF">
        <w:t xml:space="preserve"> that </w:t>
      </w:r>
      <w:r w:rsidRPr="00E961DF" w:rsidR="00E961DF">
        <w:t>“[t]ransitions to new rate structures should (i) include customer education and outreach that enhances customer understanding and acceptance of new rates, and (ii) minimize or appropriately consider the bill impacts associated with such transitions.”</w:t>
      </w:r>
      <w:r w:rsidR="00F84045">
        <w:rPr>
          <w:rStyle w:val="FootnoteReference"/>
        </w:rPr>
        <w:footnoteReference w:id="49"/>
      </w:r>
    </w:p>
    <w:p w:rsidR="00742D7F" w:rsidP="00742D7F" w:rsidRDefault="00AE6ADA" w14:paraId="35EA7087" w14:textId="3F569A3F">
      <w:pPr>
        <w:pStyle w:val="Standard"/>
      </w:pPr>
      <w:r>
        <w:t xml:space="preserve">The Implementation Pathway Ruling noted that the </w:t>
      </w:r>
      <w:r w:rsidRPr="00AE6ADA">
        <w:t xml:space="preserve">Commission </w:t>
      </w:r>
      <w:r w:rsidR="00742D7F">
        <w:t xml:space="preserve">previously </w:t>
      </w:r>
      <w:r w:rsidRPr="00AE6ADA">
        <w:t xml:space="preserve">implemented </w:t>
      </w:r>
      <w:r w:rsidR="0060241A">
        <w:t>a five-year</w:t>
      </w:r>
      <w:r w:rsidRPr="00AE6ADA">
        <w:t xml:space="preserve"> transition to default residential time-of-use rates</w:t>
      </w:r>
      <w:r w:rsidR="0060241A">
        <w:t xml:space="preserve"> through</w:t>
      </w:r>
      <w:r w:rsidRPr="00AE6ADA">
        <w:t xml:space="preserve"> </w:t>
      </w:r>
      <w:r w:rsidR="0060241A">
        <w:t>D.</w:t>
      </w:r>
      <w:r w:rsidRPr="00AE6ADA">
        <w:t xml:space="preserve">15-07-001, </w:t>
      </w:r>
      <w:r w:rsidR="0060241A">
        <w:t xml:space="preserve">which </w:t>
      </w:r>
      <w:r w:rsidR="00CF3A9F">
        <w:t>established a schedule for</w:t>
      </w:r>
      <w:r w:rsidR="000E53A4">
        <w:t xml:space="preserve"> </w:t>
      </w:r>
      <w:r w:rsidR="00CF3A9F">
        <w:t>additional</w:t>
      </w:r>
      <w:r w:rsidR="000E53A4">
        <w:t xml:space="preserve"> </w:t>
      </w:r>
      <w:r w:rsidR="00CF3A9F">
        <w:t>rate reform activities, including utility applications, working groups</w:t>
      </w:r>
      <w:r w:rsidR="009147F0">
        <w:t xml:space="preserve">, consultants, marketing </w:t>
      </w:r>
      <w:r w:rsidRPr="000E53A4" w:rsidR="000E53A4">
        <w:t>education, and outreach (ME&amp;O) plans, studies, progress reports, and workshops.</w:t>
      </w:r>
    </w:p>
    <w:p w:rsidR="0072567B" w:rsidP="00D962A9" w:rsidRDefault="0072567B" w14:paraId="40E15666" w14:textId="00B7D757">
      <w:pPr>
        <w:pStyle w:val="Standard"/>
      </w:pPr>
      <w:r w:rsidRPr="0072567B">
        <w:t>California has not conducted pilots of income-graduated fixed charges for residential rates</w:t>
      </w:r>
      <w:r w:rsidR="00204DBA">
        <w:t>.</w:t>
      </w:r>
      <w:r w:rsidRPr="0072567B" w:rsidR="002960F0">
        <w:rPr>
          <w:vertAlign w:val="superscript"/>
        </w:rPr>
        <w:footnoteReference w:id="50"/>
      </w:r>
      <w:r w:rsidRPr="0072567B">
        <w:t xml:space="preserve"> </w:t>
      </w:r>
      <w:r w:rsidR="0034105E">
        <w:t xml:space="preserve">A key </w:t>
      </w:r>
      <w:r w:rsidR="000C73F3">
        <w:t xml:space="preserve">constraint </w:t>
      </w:r>
      <w:r w:rsidR="003D73BB">
        <w:t xml:space="preserve">for designing income-graduated fixed charges is </w:t>
      </w:r>
      <w:r w:rsidR="00C50082">
        <w:t>the feasibility of</w:t>
      </w:r>
      <w:r w:rsidR="003D73BB">
        <w:t xml:space="preserve"> verify</w:t>
      </w:r>
      <w:r w:rsidR="00C50082">
        <w:t>ing</w:t>
      </w:r>
      <w:r w:rsidR="003D73BB">
        <w:t xml:space="preserve"> the </w:t>
      </w:r>
      <w:r w:rsidR="003326FC">
        <w:t xml:space="preserve">incomes of moderate- or high-income customers. </w:t>
      </w:r>
      <w:r w:rsidR="005708EC">
        <w:t>P</w:t>
      </w:r>
      <w:r w:rsidR="00D36CB4">
        <w:t>arties agreed that</w:t>
      </w:r>
      <w:r w:rsidR="005708EC">
        <w:t>, without additional statutory authorization,</w:t>
      </w:r>
      <w:r w:rsidRPr="0072567B" w:rsidR="18289F67">
        <w:t xml:space="preserve"> </w:t>
      </w:r>
      <w:r w:rsidRPr="0072567B">
        <w:t xml:space="preserve">the </w:t>
      </w:r>
      <w:r w:rsidR="00743257">
        <w:t xml:space="preserve">Franchise Tax Board </w:t>
      </w:r>
      <w:r w:rsidR="00F324AE">
        <w:t>cannot share</w:t>
      </w:r>
      <w:r w:rsidRPr="0072567B">
        <w:t xml:space="preserve"> income information </w:t>
      </w:r>
      <w:r w:rsidR="00F324AE">
        <w:t>or confirm self-reported income information</w:t>
      </w:r>
      <w:r w:rsidRPr="0072567B">
        <w:t xml:space="preserve"> without </w:t>
      </w:r>
      <w:r w:rsidR="00C9682A">
        <w:t>a taxpayer’s</w:t>
      </w:r>
      <w:r w:rsidRPr="0072567B">
        <w:t xml:space="preserve"> written consent.</w:t>
      </w:r>
      <w:r w:rsidRPr="0072567B" w:rsidR="000F172B">
        <w:rPr>
          <w:vertAlign w:val="superscript"/>
        </w:rPr>
        <w:footnoteReference w:id="51"/>
      </w:r>
    </w:p>
    <w:p w:rsidR="007A4F07" w:rsidP="002D5165" w:rsidRDefault="00742D7F" w14:paraId="1F352762" w14:textId="387B4166">
      <w:pPr>
        <w:pStyle w:val="Standard"/>
      </w:pPr>
      <w:r>
        <w:t xml:space="preserve">The Implementation Pathway Ruling </w:t>
      </w:r>
      <w:r w:rsidR="00680F1D">
        <w:t xml:space="preserve">anticipated that this decision would establish a pathway for implementing income-graduated fixed charges over </w:t>
      </w:r>
      <w:r w:rsidR="00680F1D">
        <w:lastRenderedPageBreak/>
        <w:t>several years</w:t>
      </w:r>
      <w:r w:rsidR="00DB65A8">
        <w:t xml:space="preserve">. The ruling noted that a gradual approach would </w:t>
      </w:r>
      <w:r w:rsidRPr="00AC3C3B" w:rsidR="00AC3C3B">
        <w:t xml:space="preserve">allow the Commission to gain experience from the first version of </w:t>
      </w:r>
      <w:r w:rsidR="00954CA1">
        <w:t>fixed charges</w:t>
      </w:r>
      <w:r w:rsidRPr="00AC3C3B" w:rsidR="00AC3C3B">
        <w:t xml:space="preserve"> and</w:t>
      </w:r>
      <w:r w:rsidR="00954CA1">
        <w:t xml:space="preserve"> </w:t>
      </w:r>
      <w:r w:rsidRPr="00AC3C3B" w:rsidR="00AC3C3B">
        <w:t>conduct research and solicit stakeholder input before providing design guidance for the next version of</w:t>
      </w:r>
      <w:r w:rsidR="00954CA1">
        <w:t xml:space="preserve"> fixed charges</w:t>
      </w:r>
      <w:r w:rsidRPr="00AC3C3B" w:rsidR="00AC3C3B">
        <w:t xml:space="preserve">. </w:t>
      </w:r>
      <w:r w:rsidR="00ED7D69">
        <w:t xml:space="preserve">The ruling anticipated that </w:t>
      </w:r>
      <w:r w:rsidR="00E7482C">
        <w:t>a</w:t>
      </w:r>
      <w:r w:rsidR="00ED7D69">
        <w:t xml:space="preserve"> decision would</w:t>
      </w:r>
      <w:r w:rsidR="00E7482C">
        <w:t xml:space="preserve"> follow to</w:t>
      </w:r>
      <w:r w:rsidR="00ED7D69">
        <w:t xml:space="preserve"> </w:t>
      </w:r>
      <w:r w:rsidR="0029476B">
        <w:t xml:space="preserve">provide guidelines and directions for utility applications </w:t>
      </w:r>
      <w:r w:rsidR="00484469">
        <w:t xml:space="preserve">for income-graduated fixed charges, </w:t>
      </w:r>
      <w:r w:rsidR="008A09A2">
        <w:t xml:space="preserve">as well as </w:t>
      </w:r>
      <w:r w:rsidR="00484469">
        <w:t>authorize</w:t>
      </w:r>
      <w:r w:rsidR="008A09A2">
        <w:t xml:space="preserve"> processes and resources to develop ME&amp;O plans for income-graduated fixed charges</w:t>
      </w:r>
      <w:r w:rsidR="002D5165">
        <w:t xml:space="preserve"> and income-verification proposals for </w:t>
      </w:r>
      <w:r w:rsidR="00673437">
        <w:t xml:space="preserve">improving </w:t>
      </w:r>
      <w:r w:rsidR="002D5165">
        <w:t>income-graduated fixed charges.</w:t>
      </w:r>
      <w:r w:rsidR="00BE4FDE">
        <w:t xml:space="preserve"> </w:t>
      </w:r>
    </w:p>
    <w:p w:rsidR="00861B21" w:rsidP="002D5165" w:rsidRDefault="004A209A" w14:paraId="0E2A2DF1" w14:textId="26B8EBA7">
      <w:pPr>
        <w:pStyle w:val="Standard"/>
      </w:pPr>
      <w:r>
        <w:t xml:space="preserve">In opening comments on the Implementation Pathway Ruling, </w:t>
      </w:r>
      <w:r w:rsidR="00777C71">
        <w:t xml:space="preserve">UCAN strongly supported </w:t>
      </w:r>
      <w:r w:rsidR="001C0332">
        <w:t>a gradual</w:t>
      </w:r>
      <w:r w:rsidR="00417D3F">
        <w:t xml:space="preserve"> and</w:t>
      </w:r>
      <w:r w:rsidR="00DE147E">
        <w:t xml:space="preserve"> incremental</w:t>
      </w:r>
      <w:r w:rsidR="001C0332">
        <w:t xml:space="preserve"> approach to implementing income-graduated fixed charges</w:t>
      </w:r>
      <w:r w:rsidR="00A734E1">
        <w:t xml:space="preserve">. UCAN argued that attempting to do too much </w:t>
      </w:r>
      <w:r w:rsidR="00310F5F">
        <w:t>in the first step</w:t>
      </w:r>
      <w:r w:rsidR="00CF3E89">
        <w:t xml:space="preserve"> would be a “recipe for ratepayer dissatisfaction or failure” </w:t>
      </w:r>
      <w:r w:rsidR="00DA0A62">
        <w:t xml:space="preserve">and would undermine </w:t>
      </w:r>
      <w:r w:rsidR="00FE6632">
        <w:t xml:space="preserve">the goal for income-graduated fixed charges to be </w:t>
      </w:r>
      <w:r w:rsidR="001D767B">
        <w:t>successful.</w:t>
      </w:r>
      <w:r w:rsidR="00417D3F">
        <w:t xml:space="preserve"> </w:t>
      </w:r>
      <w:r w:rsidR="00E312AC">
        <w:t>SEIA</w:t>
      </w:r>
      <w:r w:rsidR="00E265A2">
        <w:t>,</w:t>
      </w:r>
      <w:r w:rsidR="00E312AC">
        <w:t xml:space="preserve"> </w:t>
      </w:r>
      <w:r w:rsidR="00417D3F">
        <w:t>Advanced Energy United</w:t>
      </w:r>
      <w:r w:rsidR="00E265A2">
        <w:t>, and the California Solar and Storage Association</w:t>
      </w:r>
      <w:r w:rsidR="00417D3F">
        <w:t xml:space="preserve"> also strongly supported a gradual </w:t>
      </w:r>
      <w:r w:rsidR="00D044F6">
        <w:t>and</w:t>
      </w:r>
      <w:r w:rsidR="00417D3F">
        <w:t xml:space="preserve"> incremental approach to implementing income-graduated fixed charges.</w:t>
      </w:r>
      <w:r w:rsidR="00D07D60">
        <w:rPr>
          <w:rStyle w:val="FootnoteReference"/>
        </w:rPr>
        <w:footnoteReference w:id="52"/>
      </w:r>
      <w:r w:rsidR="00F10DA4">
        <w:t xml:space="preserve"> </w:t>
      </w:r>
    </w:p>
    <w:p w:rsidR="00954CA1" w:rsidP="002D5165" w:rsidRDefault="00FB50DB" w14:paraId="73E0C916" w14:textId="0E56CD64">
      <w:pPr>
        <w:pStyle w:val="Standard"/>
      </w:pPr>
      <w:r>
        <w:t xml:space="preserve">No party opposed </w:t>
      </w:r>
      <w:r w:rsidR="00C973B8">
        <w:t xml:space="preserve">a multi-step pathway approach to implementing income-graduated fixed charges. </w:t>
      </w:r>
      <w:r w:rsidR="00C73134">
        <w:t>TURN/NRDC, Cal Advocates, and the Large Utilities</w:t>
      </w:r>
      <w:r w:rsidR="385528F3">
        <w:t>,</w:t>
      </w:r>
      <w:r w:rsidR="00350C80">
        <w:t xml:space="preserve"> </w:t>
      </w:r>
      <w:r w:rsidR="385528F3">
        <w:t>however,</w:t>
      </w:r>
      <w:r w:rsidR="00350C80">
        <w:t xml:space="preserve"> </w:t>
      </w:r>
      <w:r w:rsidR="009D1646">
        <w:t>urged</w:t>
      </w:r>
      <w:r w:rsidR="00E92930">
        <w:t xml:space="preserve"> the Commission</w:t>
      </w:r>
      <w:r w:rsidDel="009D1646" w:rsidR="00E92930">
        <w:t xml:space="preserve"> </w:t>
      </w:r>
      <w:r w:rsidR="009D1646">
        <w:t>to</w:t>
      </w:r>
      <w:r w:rsidR="00E92930">
        <w:t xml:space="preserve"> avoid unnecessary delays </w:t>
      </w:r>
      <w:r w:rsidR="00092565">
        <w:t xml:space="preserve">by </w:t>
      </w:r>
      <w:r w:rsidR="007E5B94">
        <w:t>implementing income-graduated fixed charges</w:t>
      </w:r>
      <w:r w:rsidR="00D82BF4">
        <w:t xml:space="preserve"> through an advice letter process rather than through separate rate design window applications. In </w:t>
      </w:r>
      <w:r w:rsidR="00BC6A8D">
        <w:t xml:space="preserve">a ruling issued on August 22, 2023, ALJ Wang </w:t>
      </w:r>
      <w:r w:rsidR="000836F8">
        <w:t>requested that parties address this issue</w:t>
      </w:r>
      <w:r w:rsidR="00612E97">
        <w:t xml:space="preserve"> </w:t>
      </w:r>
      <w:r w:rsidR="000836F8">
        <w:t>in opening briefs.</w:t>
      </w:r>
      <w:r w:rsidR="00813B70">
        <w:t xml:space="preserve"> </w:t>
      </w:r>
      <w:r w:rsidR="00E762A7">
        <w:t xml:space="preserve">We </w:t>
      </w:r>
      <w:r w:rsidR="00A40AA4">
        <w:t xml:space="preserve">will </w:t>
      </w:r>
      <w:r w:rsidR="00E762A7">
        <w:t>discuss these comments in Section 4.1 below.</w:t>
      </w:r>
    </w:p>
    <w:p w:rsidR="0027296F" w:rsidP="00931B06" w:rsidRDefault="002D5165" w14:paraId="58FB0DBD" w14:textId="04B7A7C5">
      <w:pPr>
        <w:pStyle w:val="Standard"/>
      </w:pPr>
      <w:r>
        <w:lastRenderedPageBreak/>
        <w:t>The Implementation Pathway Ruling</w:t>
      </w:r>
      <w:r w:rsidR="002A16F5">
        <w:t xml:space="preserve"> </w:t>
      </w:r>
      <w:r w:rsidR="001F22E9">
        <w:t>instructed parties to comment on how</w:t>
      </w:r>
      <w:r w:rsidR="002A16F5">
        <w:t xml:space="preserve"> </w:t>
      </w:r>
      <w:r w:rsidR="00A40AA4">
        <w:t xml:space="preserve">the first </w:t>
      </w:r>
      <w:r w:rsidR="00156247">
        <w:t xml:space="preserve">version of </w:t>
      </w:r>
      <w:r w:rsidR="00A40AA4">
        <w:t>income-graduated fixed charges</w:t>
      </w:r>
      <w:r w:rsidR="002A16F5">
        <w:t xml:space="preserve"> </w:t>
      </w:r>
      <w:r w:rsidR="001F22E9">
        <w:t>could</w:t>
      </w:r>
      <w:r w:rsidR="002A16F5">
        <w:t xml:space="preserve"> </w:t>
      </w:r>
      <w:r w:rsidRPr="00AC3C3B" w:rsidR="00AC3C3B">
        <w:t>leverage proven processes from existing low- and moderate-income assistance program</w:t>
      </w:r>
      <w:r w:rsidR="00AC3C3B">
        <w:t xml:space="preserve">s </w:t>
      </w:r>
      <w:r w:rsidRPr="00AC3C3B" w:rsidR="00AC3C3B">
        <w:t>to enable customers to self-attest and/or consent to verify their incomes to receive a lower fixed charge</w:t>
      </w:r>
      <w:r w:rsidR="00A60E8B">
        <w:t>.</w:t>
      </w:r>
      <w:r w:rsidR="00C37BA6">
        <w:t xml:space="preserve"> </w:t>
      </w:r>
      <w:r w:rsidR="00E762A7">
        <w:t xml:space="preserve">We </w:t>
      </w:r>
      <w:r w:rsidR="00A40AA4">
        <w:t xml:space="preserve">will </w:t>
      </w:r>
      <w:r w:rsidR="00E762A7">
        <w:t>discuss this issue in</w:t>
      </w:r>
      <w:r w:rsidR="0027296F">
        <w:t xml:space="preserve"> Section 4.2 below</w:t>
      </w:r>
      <w:r w:rsidR="00D863C7">
        <w:t xml:space="preserve">. </w:t>
      </w:r>
    </w:p>
    <w:p w:rsidR="007A4F07" w:rsidP="00996829" w:rsidRDefault="00093F97" w14:paraId="5B4B7BB2" w14:textId="6F0B467E">
      <w:pPr>
        <w:pStyle w:val="Standard"/>
      </w:pPr>
      <w:r>
        <w:t>Finally, in Section 4.3, we will discuss the</w:t>
      </w:r>
      <w:r w:rsidR="004D5FA9">
        <w:t xml:space="preserve"> procedural steps</w:t>
      </w:r>
      <w:r>
        <w:t xml:space="preserve"> for </w:t>
      </w:r>
      <w:r w:rsidR="003C5081">
        <w:t>improving</w:t>
      </w:r>
      <w:r>
        <w:t xml:space="preserve"> income-graduated fixed charges</w:t>
      </w:r>
      <w:r w:rsidR="00E8213B">
        <w:t>.</w:t>
      </w:r>
    </w:p>
    <w:p w:rsidR="00701FA2" w:rsidP="00702F6F" w:rsidRDefault="00BD2B21" w14:paraId="1E8F5744" w14:textId="6D57E7EB">
      <w:pPr>
        <w:pStyle w:val="Heading2"/>
      </w:pPr>
      <w:bookmarkStart w:name="_Toc160790034" w:id="21"/>
      <w:r>
        <w:t>Proce</w:t>
      </w:r>
      <w:r w:rsidR="008D0D25">
        <w:t>dure</w:t>
      </w:r>
      <w:r>
        <w:t xml:space="preserve"> for Implementing Income-Graduated Fixed Charges</w:t>
      </w:r>
      <w:bookmarkEnd w:id="21"/>
    </w:p>
    <w:p w:rsidR="00701FA2" w:rsidP="00C51B9F" w:rsidRDefault="004A4177" w14:paraId="63DDF50A" w14:textId="498BA2BB">
      <w:pPr>
        <w:pStyle w:val="Standard"/>
      </w:pPr>
      <w:r>
        <w:t xml:space="preserve">In opening briefs, </w:t>
      </w:r>
      <w:r w:rsidR="007726AE">
        <w:t>several environmental</w:t>
      </w:r>
      <w:r w:rsidR="00FD43F7">
        <w:t>,</w:t>
      </w:r>
      <w:r w:rsidR="007726AE">
        <w:t xml:space="preserve"> social justice</w:t>
      </w:r>
      <w:r w:rsidR="00FD43F7">
        <w:t>, and consumer advocacy</w:t>
      </w:r>
      <w:r w:rsidR="007726AE">
        <w:t xml:space="preserve"> organization</w:t>
      </w:r>
      <w:r w:rsidR="00967547">
        <w:t xml:space="preserve">s emphasized the urgency and importance of implementing AB 205. </w:t>
      </w:r>
      <w:r w:rsidR="00E623BA">
        <w:t xml:space="preserve">CEJA </w:t>
      </w:r>
      <w:r w:rsidRPr="004A4177">
        <w:t>argue</w:t>
      </w:r>
      <w:r w:rsidR="00E623BA">
        <w:t>d</w:t>
      </w:r>
      <w:r w:rsidRPr="004A4177">
        <w:t xml:space="preserve"> that California residents are facing an “energy emergency” and that AB 205 demands that the Commission </w:t>
      </w:r>
      <w:r w:rsidR="00E623BA">
        <w:t>take action</w:t>
      </w:r>
      <w:r w:rsidRPr="004A4177">
        <w:t xml:space="preserve"> so that low-income customers will realize lower bills without making changes in usage. </w:t>
      </w:r>
      <w:r w:rsidR="00145758">
        <w:t>Sierra Club argued that AB 205 is necessary to accelerate electrification and address the current unfair distribution of electric system costs.</w:t>
      </w:r>
      <w:r w:rsidR="00341A03">
        <w:rPr>
          <w:rStyle w:val="FootnoteReference"/>
        </w:rPr>
        <w:footnoteReference w:id="53"/>
      </w:r>
      <w:r w:rsidR="00145758">
        <w:t xml:space="preserve"> </w:t>
      </w:r>
    </w:p>
    <w:p w:rsidR="00893FD9" w:rsidP="007D6B6B" w:rsidRDefault="00584EFD" w14:paraId="39F45BB6" w14:textId="0CB1EE47">
      <w:pPr>
        <w:pStyle w:val="Standard"/>
      </w:pPr>
      <w:r>
        <w:t>TURN/NRDC agreed</w:t>
      </w:r>
      <w:r w:rsidR="00145758">
        <w:t xml:space="preserve"> with </w:t>
      </w:r>
      <w:r w:rsidR="000E7DAC">
        <w:t>CEJA and Sierra Club</w:t>
      </w:r>
      <w:r w:rsidR="00C51B9F">
        <w:t xml:space="preserve"> </w:t>
      </w:r>
      <w:r w:rsidR="00C74A31">
        <w:t xml:space="preserve">about the urgency of implementing AB 205 </w:t>
      </w:r>
      <w:r w:rsidR="00C51B9F">
        <w:t>and argued</w:t>
      </w:r>
      <w:r>
        <w:t xml:space="preserve"> that</w:t>
      </w:r>
      <w:r w:rsidR="002C709A">
        <w:t xml:space="preserve"> the Commission </w:t>
      </w:r>
      <w:r w:rsidR="00701FA2">
        <w:t xml:space="preserve">should </w:t>
      </w:r>
      <w:r w:rsidR="002C709A">
        <w:t>expeditiously</w:t>
      </w:r>
      <w:r w:rsidR="001B3174">
        <w:t xml:space="preserve"> </w:t>
      </w:r>
      <w:r w:rsidR="00C51B9F">
        <w:t>implement income-graduated fixed charges</w:t>
      </w:r>
      <w:r w:rsidR="00701FA2">
        <w:t xml:space="preserve"> through a Tier 3 advice letter process</w:t>
      </w:r>
      <w:r w:rsidR="00C51B9F">
        <w:t>.</w:t>
      </w:r>
      <w:r w:rsidR="00EB0F2F">
        <w:rPr>
          <w:rStyle w:val="FootnoteReference"/>
        </w:rPr>
        <w:footnoteReference w:id="54"/>
      </w:r>
      <w:r w:rsidR="001F7522">
        <w:t xml:space="preserve"> </w:t>
      </w:r>
    </w:p>
    <w:p w:rsidR="007D6B6B" w:rsidP="007D6B6B" w:rsidRDefault="001F7522" w14:paraId="053EC66D" w14:textId="6186AA40">
      <w:pPr>
        <w:pStyle w:val="Standard"/>
      </w:pPr>
      <w:r>
        <w:t>Cal Advocates similarly urged t</w:t>
      </w:r>
      <w:r w:rsidR="00155488">
        <w:t>he</w:t>
      </w:r>
      <w:r>
        <w:t xml:space="preserve"> Commission to </w:t>
      </w:r>
      <w:r w:rsidR="00A33B0B">
        <w:t xml:space="preserve">implement income-graduated fixed charges through </w:t>
      </w:r>
      <w:r w:rsidR="00611130">
        <w:t xml:space="preserve">an </w:t>
      </w:r>
      <w:r w:rsidR="00A33B0B">
        <w:t xml:space="preserve">advice letter process and </w:t>
      </w:r>
      <w:r w:rsidR="00611130">
        <w:t>reject proposals to delay implementation.</w:t>
      </w:r>
      <w:r w:rsidR="00893FD9">
        <w:t xml:space="preserve"> Cal </w:t>
      </w:r>
      <w:r w:rsidR="00E61E19">
        <w:t xml:space="preserve">Advocates argued that </w:t>
      </w:r>
      <w:r w:rsidR="00E2252D">
        <w:t xml:space="preserve">requiring additional rate design window applications would delay implementation of income-graduated </w:t>
      </w:r>
      <w:r w:rsidR="00E2252D">
        <w:lastRenderedPageBreak/>
        <w:t>fixed charges by at least 18 months</w:t>
      </w:r>
      <w:r w:rsidR="006548D2">
        <w:t xml:space="preserve"> and duplicate the sufficient existing record of this proceeding.</w:t>
      </w:r>
      <w:r w:rsidR="00C916C8">
        <w:rPr>
          <w:rStyle w:val="FootnoteReference"/>
        </w:rPr>
        <w:footnoteReference w:id="55"/>
      </w:r>
    </w:p>
    <w:p w:rsidR="00CF0234" w:rsidP="00392481" w:rsidRDefault="000B567C" w14:paraId="0BB47C68" w14:textId="1666A033">
      <w:pPr>
        <w:pStyle w:val="Standard"/>
      </w:pPr>
      <w:r>
        <w:t xml:space="preserve">On the other hand, </w:t>
      </w:r>
      <w:r w:rsidR="00693BDC">
        <w:t>SEIA</w:t>
      </w:r>
      <w:r w:rsidR="00392481">
        <w:t xml:space="preserve"> </w:t>
      </w:r>
      <w:r w:rsidR="00B26C1E">
        <w:t xml:space="preserve">argued that </w:t>
      </w:r>
      <w:r w:rsidR="004204BE">
        <w:t xml:space="preserve">the Commission should direct the utilities to file rate design window applications, rather than advice letters, to implement income-graduated fixed charges. SEIA argued that the record in this proceeding is </w:t>
      </w:r>
      <w:r w:rsidR="007209FF">
        <w:t xml:space="preserve">insufficient </w:t>
      </w:r>
      <w:r w:rsidR="00286926">
        <w:t xml:space="preserve">for the Commission to provide direction to </w:t>
      </w:r>
      <w:r w:rsidR="00D54743">
        <w:t>utilities to implement rates through an advice letter process.</w:t>
      </w:r>
      <w:r w:rsidR="00EB0F2F">
        <w:rPr>
          <w:rStyle w:val="FootnoteReference"/>
        </w:rPr>
        <w:footnoteReference w:id="56"/>
      </w:r>
      <w:r w:rsidR="00D54743">
        <w:t xml:space="preserve"> </w:t>
      </w:r>
      <w:r w:rsidRPr="00392481" w:rsidR="00392481">
        <w:t>CEDMC</w:t>
      </w:r>
      <w:r w:rsidR="00392481">
        <w:t xml:space="preserve"> </w:t>
      </w:r>
      <w:r w:rsidRPr="00392481" w:rsidR="00392481">
        <w:t xml:space="preserve">and the Clean Coalition </w:t>
      </w:r>
      <w:r w:rsidR="00392481">
        <w:t>agreed with SEIA</w:t>
      </w:r>
      <w:r w:rsidRPr="00392481" w:rsidR="00392481">
        <w:t>.</w:t>
      </w:r>
      <w:r w:rsidR="00320BCE">
        <w:rPr>
          <w:rStyle w:val="FootnoteReference"/>
        </w:rPr>
        <w:footnoteReference w:id="57"/>
      </w:r>
      <w:r w:rsidRPr="00392481" w:rsidR="00392481">
        <w:t xml:space="preserve"> </w:t>
      </w:r>
      <w:r w:rsidR="00A710EE">
        <w:t>TURN/NRDC re</w:t>
      </w:r>
      <w:r w:rsidR="00C56F88">
        <w:t>plied</w:t>
      </w:r>
      <w:r w:rsidR="00A710EE">
        <w:t xml:space="preserve"> that</w:t>
      </w:r>
      <w:r w:rsidR="00735381">
        <w:t xml:space="preserve"> the record of</w:t>
      </w:r>
      <w:r w:rsidR="00556902">
        <w:t xml:space="preserve"> </w:t>
      </w:r>
      <w:r w:rsidR="00A710EE">
        <w:t xml:space="preserve">this proceeding </w:t>
      </w:r>
      <w:r w:rsidR="00735381">
        <w:t xml:space="preserve">is sufficient to </w:t>
      </w:r>
      <w:r w:rsidR="00556902">
        <w:t xml:space="preserve">implement income-graduated fixed charges through an advice letter process because it includes </w:t>
      </w:r>
      <w:r w:rsidR="00735381">
        <w:t xml:space="preserve">detailed proposals from an array of parties </w:t>
      </w:r>
      <w:r w:rsidR="00556902">
        <w:t>accompanied by bill impact modeling.</w:t>
      </w:r>
      <w:r w:rsidR="00C56F88">
        <w:rPr>
          <w:rStyle w:val="FootnoteReference"/>
        </w:rPr>
        <w:footnoteReference w:id="58"/>
      </w:r>
      <w:r w:rsidR="00DF7737">
        <w:t xml:space="preserve"> </w:t>
      </w:r>
    </w:p>
    <w:p w:rsidR="0025328D" w:rsidP="00C0670A" w:rsidRDefault="00DF7737" w14:paraId="0A8C2918" w14:textId="25ED82B7">
      <w:pPr>
        <w:pStyle w:val="Standard"/>
      </w:pPr>
      <w:r>
        <w:t xml:space="preserve">We agree that the record of this proceeding is sufficient for the Commission to provide </w:t>
      </w:r>
      <w:r w:rsidR="00306642">
        <w:t xml:space="preserve">direction to utilities to implement </w:t>
      </w:r>
      <w:r w:rsidR="007A17ED">
        <w:t xml:space="preserve">income-graduated fixed charges </w:t>
      </w:r>
      <w:r w:rsidR="00306642">
        <w:t>through an advice letter process.</w:t>
      </w:r>
      <w:r w:rsidR="007A17ED">
        <w:t xml:space="preserve"> In addition to reviewing </w:t>
      </w:r>
      <w:r w:rsidR="003C38FF">
        <w:t xml:space="preserve">concurrent party proposals </w:t>
      </w:r>
      <w:r w:rsidR="001F7949">
        <w:t xml:space="preserve">and bill impact modeling </w:t>
      </w:r>
      <w:r w:rsidR="003C38FF">
        <w:t>served in testimony and reply testimony in this proceeding, we also reviewed</w:t>
      </w:r>
      <w:r w:rsidR="001F7949">
        <w:t xml:space="preserve"> parties’</w:t>
      </w:r>
      <w:r w:rsidR="003C38FF">
        <w:t xml:space="preserve"> statutory interpretation briefs, </w:t>
      </w:r>
      <w:r w:rsidR="00020527">
        <w:t xml:space="preserve">comments on the Implementation Pathway Ruling, </w:t>
      </w:r>
      <w:r w:rsidR="00C61BA9">
        <w:t xml:space="preserve">opening briefs and reply briefs filed in the fourth quarter of 2023, </w:t>
      </w:r>
      <w:r w:rsidR="00721887">
        <w:t xml:space="preserve">and comments on the implementation budget and </w:t>
      </w:r>
      <w:r w:rsidR="00BB30FC">
        <w:t xml:space="preserve">timing issues filed in the first quarter of 2024. </w:t>
      </w:r>
    </w:p>
    <w:p w:rsidR="00C75137" w:rsidP="00660632" w:rsidRDefault="00C0670A" w14:paraId="2B4A49C5" w14:textId="7A9FF0D0">
      <w:pPr>
        <w:pStyle w:val="Standard"/>
      </w:pPr>
      <w:r w:rsidRPr="00C0670A">
        <w:t xml:space="preserve">SEIA argued that the Commission </w:t>
      </w:r>
      <w:r w:rsidR="002A03FC">
        <w:t>does not have a sufficient record to determine</w:t>
      </w:r>
      <w:r w:rsidRPr="00C0670A">
        <w:t xml:space="preserve"> how to allocate the revenue received from fixed charges to</w:t>
      </w:r>
      <w:r w:rsidR="00AB6B2F">
        <w:t xml:space="preserve"> all</w:t>
      </w:r>
      <w:r w:rsidRPr="00C0670A">
        <w:t xml:space="preserve"> </w:t>
      </w:r>
      <w:r w:rsidRPr="00C0670A">
        <w:lastRenderedPageBreak/>
        <w:t>residential rate</w:t>
      </w:r>
      <w:r w:rsidR="00AB6B2F">
        <w:t xml:space="preserve"> schedules</w:t>
      </w:r>
      <w:r w:rsidRPr="00C0670A">
        <w:t>.</w:t>
      </w:r>
      <w:r w:rsidR="004B1AA1">
        <w:rPr>
          <w:rStyle w:val="FootnoteReference"/>
        </w:rPr>
        <w:footnoteReference w:id="59"/>
      </w:r>
      <w:r w:rsidR="0065323C">
        <w:t xml:space="preserve"> </w:t>
      </w:r>
      <w:r w:rsidR="004B1BB4">
        <w:t xml:space="preserve">As discussed in Section </w:t>
      </w:r>
      <w:r w:rsidR="00CB227F">
        <w:t>5</w:t>
      </w:r>
      <w:r w:rsidR="00562847">
        <w:t>.4</w:t>
      </w:r>
      <w:r w:rsidR="004B1BB4">
        <w:t xml:space="preserve"> below, t</w:t>
      </w:r>
      <w:r w:rsidR="00974182">
        <w:t>h</w:t>
      </w:r>
      <w:r w:rsidR="00BC75FD">
        <w:t xml:space="preserve">e record of this proceeding is sufficient to </w:t>
      </w:r>
      <w:r w:rsidR="00630521">
        <w:t>determine how to a</w:t>
      </w:r>
      <w:r w:rsidR="00293949">
        <w:t xml:space="preserve">llocate revenues received from </w:t>
      </w:r>
      <w:r w:rsidR="00530273">
        <w:t xml:space="preserve">income-graduated fixed charges to </w:t>
      </w:r>
      <w:r w:rsidR="0045500C">
        <w:t xml:space="preserve">reduce </w:t>
      </w:r>
      <w:r w:rsidR="00293949">
        <w:t>volumetric rates</w:t>
      </w:r>
      <w:r w:rsidR="00114F11">
        <w:t xml:space="preserve"> </w:t>
      </w:r>
      <w:r w:rsidR="000E3602">
        <w:t>(for default and optional rate schedules)</w:t>
      </w:r>
      <w:r w:rsidR="00293949">
        <w:t xml:space="preserve"> </w:t>
      </w:r>
      <w:r w:rsidR="00F04DCF">
        <w:t>equall</w:t>
      </w:r>
      <w:r w:rsidR="00660632">
        <w:t>y during all hours of the day.</w:t>
      </w:r>
      <w:r w:rsidR="00660632">
        <w:rPr>
          <w:rStyle w:val="CommentReference"/>
        </w:rPr>
        <w:t xml:space="preserve"> </w:t>
      </w:r>
    </w:p>
    <w:p w:rsidR="00953FA9" w:rsidP="00E76AF6" w:rsidRDefault="0023057F" w14:paraId="48A636A5" w14:textId="7D4E59DA">
      <w:pPr>
        <w:pStyle w:val="Standard"/>
      </w:pPr>
      <w:r>
        <w:t xml:space="preserve">SEIA argued that the </w:t>
      </w:r>
      <w:r w:rsidR="001F3E14">
        <w:t>Commission cannot directly authoriz</w:t>
      </w:r>
      <w:r w:rsidR="00E76AF6">
        <w:t xml:space="preserve">e rate changes in this rulemaking because </w:t>
      </w:r>
      <w:r w:rsidR="007C0D89">
        <w:t xml:space="preserve">the proceeding </w:t>
      </w:r>
      <w:r w:rsidR="00E76AF6">
        <w:t>is not subject to the requirement for utilities to give customers notice of a rate change in accordance with Pub. Util. Code Section 454(a).</w:t>
      </w:r>
      <w:r w:rsidR="003530C4">
        <w:rPr>
          <w:rStyle w:val="FootnoteReference"/>
        </w:rPr>
        <w:footnoteReference w:id="60"/>
      </w:r>
      <w:r w:rsidR="00E76AF6">
        <w:t xml:space="preserve"> </w:t>
      </w:r>
      <w:r w:rsidRPr="002E704E" w:rsidR="002E704E">
        <w:t xml:space="preserve">TURN/NRDC </w:t>
      </w:r>
      <w:r w:rsidR="00E76AF6">
        <w:t>disagreed and provided a list of examples of Commission decision</w:t>
      </w:r>
      <w:r w:rsidR="00D81A3C">
        <w:t>s in rulemaking proceedings not subject to Section 454(a) that made rate changes through advice letters.</w:t>
      </w:r>
      <w:r w:rsidR="003530C4">
        <w:rPr>
          <w:rStyle w:val="FootnoteReference"/>
        </w:rPr>
        <w:footnoteReference w:id="61"/>
      </w:r>
      <w:r w:rsidR="00D81A3C">
        <w:t xml:space="preserve"> </w:t>
      </w:r>
    </w:p>
    <w:p w:rsidR="00693BDC" w:rsidP="0081185F" w:rsidRDefault="00272B9C" w14:paraId="5F704275" w14:textId="21FABC17">
      <w:pPr>
        <w:pStyle w:val="Standard"/>
      </w:pPr>
      <w:r>
        <w:t xml:space="preserve">We agree with TURN/NRDC </w:t>
      </w:r>
      <w:r w:rsidR="007C0D89">
        <w:t xml:space="preserve">that this </w:t>
      </w:r>
      <w:r w:rsidR="00CF0234">
        <w:t>rulemaking</w:t>
      </w:r>
      <w:r w:rsidR="00953FA9">
        <w:t xml:space="preserve"> </w:t>
      </w:r>
      <w:r w:rsidR="004D4AED">
        <w:t>may set</w:t>
      </w:r>
      <w:r w:rsidR="00953FA9">
        <w:t xml:space="preserve"> rate changes</w:t>
      </w:r>
      <w:r w:rsidR="004D4AED">
        <w:t xml:space="preserve"> for implementation</w:t>
      </w:r>
      <w:r w:rsidR="00953FA9">
        <w:t xml:space="preserve"> through advice letters. This rulemaking </w:t>
      </w:r>
      <w:r w:rsidR="00613D75">
        <w:t xml:space="preserve">was designated a ratesetting proceeding in the </w:t>
      </w:r>
      <w:r w:rsidR="00D42911">
        <w:t>S</w:t>
      </w:r>
      <w:r w:rsidR="00613D75">
        <w:t xml:space="preserve">coping </w:t>
      </w:r>
      <w:r w:rsidR="00D42911">
        <w:t>M</w:t>
      </w:r>
      <w:r w:rsidR="00613D75">
        <w:t>emo</w:t>
      </w:r>
      <w:r w:rsidR="00953FA9">
        <w:t>.</w:t>
      </w:r>
      <w:r w:rsidR="00037799">
        <w:t xml:space="preserve"> In accordance with the Rules of Practice and Procedure (Rules) of this Commission, ratesetting proceedings</w:t>
      </w:r>
      <w:r w:rsidR="00C251AF">
        <w:t xml:space="preserve"> have the option to directly set rates</w:t>
      </w:r>
      <w:r w:rsidR="004D4AED">
        <w:t>.</w:t>
      </w:r>
      <w:r w:rsidRPr="147626FE">
        <w:rPr>
          <w:rStyle w:val="FootnoteReference"/>
        </w:rPr>
        <w:footnoteReference w:id="62"/>
      </w:r>
      <w:r w:rsidR="00953FA9">
        <w:t xml:space="preserve"> We </w:t>
      </w:r>
      <w:r w:rsidR="002E08B5">
        <w:t xml:space="preserve">also </w:t>
      </w:r>
      <w:r w:rsidR="00953FA9">
        <w:t xml:space="preserve">affirm the </w:t>
      </w:r>
      <w:r w:rsidR="00DA5175">
        <w:t xml:space="preserve">finding in the </w:t>
      </w:r>
      <w:r w:rsidR="00953FA9">
        <w:t xml:space="preserve">ALJ ruling filed on </w:t>
      </w:r>
      <w:r w:rsidR="00122A82">
        <w:t>August 2, 2023</w:t>
      </w:r>
      <w:r w:rsidR="00921E8F">
        <w:t>,</w:t>
      </w:r>
      <w:r w:rsidR="00DA5175">
        <w:t xml:space="preserve"> that this rulemaking is not subject </w:t>
      </w:r>
      <w:r w:rsidR="001B26C7">
        <w:t xml:space="preserve">to </w:t>
      </w:r>
      <w:r w:rsidR="00DA5175">
        <w:t>the notice requirements of Section 454(a)</w:t>
      </w:r>
      <w:r w:rsidR="0082659C">
        <w:t xml:space="preserve"> and that the </w:t>
      </w:r>
      <w:r w:rsidR="004455D5">
        <w:t>Commission provided sufficient public notice of this proceeding.</w:t>
      </w:r>
      <w:r w:rsidRPr="0B26A56E">
        <w:rPr>
          <w:rStyle w:val="FootnoteReference"/>
        </w:rPr>
        <w:footnoteReference w:id="63"/>
      </w:r>
    </w:p>
    <w:p w:rsidR="00446085" w:rsidP="00B114DD" w:rsidRDefault="0063792D" w14:paraId="288A363F" w14:textId="328203F6">
      <w:pPr>
        <w:pStyle w:val="Standard"/>
      </w:pPr>
      <w:r>
        <w:lastRenderedPageBreak/>
        <w:t xml:space="preserve">UCAN </w:t>
      </w:r>
      <w:r w:rsidR="000E1DA6">
        <w:t xml:space="preserve">recommended </w:t>
      </w:r>
      <w:r w:rsidR="00205408">
        <w:t xml:space="preserve">rate design window applications to (a) </w:t>
      </w:r>
      <w:r w:rsidR="00BB1BBF">
        <w:t xml:space="preserve">require utilities to present an analysis of bill impacts on customers with all types of usage profiles, not just customers with average usage profiles, and (b) </w:t>
      </w:r>
      <w:r w:rsidR="00FE730B">
        <w:t>provide UCAN with an opportunity to weigh in on implementation issues.</w:t>
      </w:r>
      <w:r w:rsidR="00EB0F2F">
        <w:rPr>
          <w:rStyle w:val="FootnoteReference"/>
        </w:rPr>
        <w:footnoteReference w:id="64"/>
      </w:r>
      <w:r w:rsidR="00CA60C6">
        <w:t xml:space="preserve"> With respect </w:t>
      </w:r>
      <w:r w:rsidR="00211246">
        <w:t xml:space="preserve">to </w:t>
      </w:r>
      <w:r w:rsidR="003E6F1A">
        <w:t>UCAN’s first issue</w:t>
      </w:r>
      <w:r w:rsidR="00CA60C6">
        <w:t xml:space="preserve">, </w:t>
      </w:r>
      <w:r w:rsidR="00FA57AE">
        <w:t xml:space="preserve">this decision determined that AB 205 requires the Commission to consider the impact of fixed charges on </w:t>
      </w:r>
      <w:r w:rsidR="000075A8">
        <w:t>low-income ratepayers with average usage</w:t>
      </w:r>
      <w:r w:rsidR="00B12F2C">
        <w:t>, rather than all types of usage,</w:t>
      </w:r>
      <w:r w:rsidR="003E6F1A">
        <w:t xml:space="preserve"> in each baseline territory</w:t>
      </w:r>
      <w:r w:rsidR="00B114DD">
        <w:t>.</w:t>
      </w:r>
      <w:r w:rsidR="00296EF9">
        <w:t xml:space="preserve"> In addition, the Public Tool </w:t>
      </w:r>
      <w:r w:rsidR="00AD7967">
        <w:t xml:space="preserve">enabled </w:t>
      </w:r>
      <w:r w:rsidR="0044157F">
        <w:t xml:space="preserve">parties to model bill impacts of income-graduated fixed charges </w:t>
      </w:r>
      <w:r w:rsidR="00E2600D">
        <w:t xml:space="preserve">on </w:t>
      </w:r>
      <w:r w:rsidR="008C75AD">
        <w:t>customers with</w:t>
      </w:r>
      <w:r w:rsidR="00E8275E">
        <w:t xml:space="preserve"> </w:t>
      </w:r>
      <w:r w:rsidR="008C75AD">
        <w:t>usage profiles</w:t>
      </w:r>
      <w:r w:rsidR="001E76ED">
        <w:t xml:space="preserve"> </w:t>
      </w:r>
      <w:r w:rsidR="007F1EE1">
        <w:t>that reflect adoption of</w:t>
      </w:r>
      <w:r w:rsidR="00215B0E">
        <w:t xml:space="preserve"> electrification technologies such as heat pumps and electric vehicles</w:t>
      </w:r>
      <w:r w:rsidR="00E2600D">
        <w:t>.</w:t>
      </w:r>
      <w:r w:rsidR="00B114DD">
        <w:t xml:space="preserve"> </w:t>
      </w:r>
      <w:r w:rsidR="003E6F1A">
        <w:t>With respect to UCAN’s second issue,</w:t>
      </w:r>
      <w:r w:rsidR="00381F1F">
        <w:t xml:space="preserve"> this proceeding has a sufficient record to addres</w:t>
      </w:r>
      <w:r w:rsidR="00B43E0B">
        <w:t xml:space="preserve">s how to implement income-graduated fixed charges. In addition, </w:t>
      </w:r>
      <w:r w:rsidR="00257217">
        <w:t>th</w:t>
      </w:r>
      <w:r w:rsidR="005605DA">
        <w:t>e evaluation section of</w:t>
      </w:r>
      <w:r w:rsidR="00B43E0B">
        <w:t xml:space="preserve"> </w:t>
      </w:r>
      <w:r w:rsidR="00257217">
        <w:t>this decision provides</w:t>
      </w:r>
      <w:r w:rsidR="00EC5C9B">
        <w:t xml:space="preserve"> stakeholders with the opportunity to weigh in on implementation issues through a working gr</w:t>
      </w:r>
      <w:r w:rsidR="00A501D6">
        <w:t>o</w:t>
      </w:r>
      <w:r w:rsidR="00EC5C9B">
        <w:t>up</w:t>
      </w:r>
      <w:r w:rsidR="00A501D6">
        <w:t>.</w:t>
      </w:r>
      <w:r w:rsidR="00EC5C9B">
        <w:t xml:space="preserve"> </w:t>
      </w:r>
    </w:p>
    <w:p w:rsidR="00946611" w:rsidP="00F17AD8" w:rsidRDefault="0063792D" w14:paraId="54AAD311" w14:textId="77777777">
      <w:pPr>
        <w:pStyle w:val="Standard"/>
      </w:pPr>
      <w:r>
        <w:t>C</w:t>
      </w:r>
      <w:r w:rsidR="00C90E6B">
        <w:t xml:space="preserve">forAT argued that it would be legal error </w:t>
      </w:r>
      <w:r w:rsidR="00B15B4B">
        <w:t xml:space="preserve">for the Commission to delegate to its staff the authority to approve income-graduated fixed charges by </w:t>
      </w:r>
      <w:r w:rsidR="00986411">
        <w:t>Tier 2 advice letter</w:t>
      </w:r>
      <w:r w:rsidR="009D1E76">
        <w:t>, as proposed by the Large Utilities,</w:t>
      </w:r>
      <w:r w:rsidR="00986411">
        <w:t xml:space="preserve"> because General Order 96-B </w:t>
      </w:r>
      <w:r w:rsidR="00480383">
        <w:t xml:space="preserve">provides that Tier 2 advice letters are only appropriate </w:t>
      </w:r>
      <w:r w:rsidR="00733C6A">
        <w:t xml:space="preserve">where the disposition of the advice letter would be a “ministerial” act by </w:t>
      </w:r>
      <w:r w:rsidR="000B43A1">
        <w:t xml:space="preserve">Commission’s </w:t>
      </w:r>
      <w:r w:rsidR="00733C6A">
        <w:t xml:space="preserve">staff. </w:t>
      </w:r>
      <w:r w:rsidR="001F3EA1">
        <w:t>CforAT</w:t>
      </w:r>
      <w:r w:rsidR="00426815">
        <w:t xml:space="preserve"> </w:t>
      </w:r>
      <w:r w:rsidR="00426815">
        <w:lastRenderedPageBreak/>
        <w:t xml:space="preserve">acknowledged </w:t>
      </w:r>
      <w:r w:rsidR="001F3EA1">
        <w:t>that the Commission could</w:t>
      </w:r>
      <w:r w:rsidR="00F972D0">
        <w:t xml:space="preserve"> direct utilities to file a</w:t>
      </w:r>
      <w:r w:rsidR="009D48DB">
        <w:t xml:space="preserve"> Tier 3 advice letter</w:t>
      </w:r>
      <w:r w:rsidR="00F972D0">
        <w:t>, which</w:t>
      </w:r>
      <w:r w:rsidR="009D48DB">
        <w:t xml:space="preserve"> </w:t>
      </w:r>
      <w:r w:rsidR="00F972D0">
        <w:t>requires a Commission vote on a resolution.</w:t>
      </w:r>
      <w:r w:rsidR="00B86E25">
        <w:t xml:space="preserve"> </w:t>
      </w:r>
      <w:r w:rsidRPr="007863B6" w:rsidR="007863B6">
        <w:t xml:space="preserve">CforAT </w:t>
      </w:r>
      <w:r w:rsidR="003951C4">
        <w:t xml:space="preserve">also </w:t>
      </w:r>
      <w:r w:rsidRPr="007863B6" w:rsidR="007863B6">
        <w:t>expressed concerns that an advice letter process would be insufficient to ensure that low-income ratepayers will receive bill savings if the Commission adopts the Large Utilities’ proposed fixed charges of up to $34 per month for CARE and</w:t>
      </w:r>
      <w:r w:rsidR="0055645E">
        <w:t xml:space="preserve"> </w:t>
      </w:r>
      <w:r w:rsidRPr="0055645E" w:rsidR="0055645E">
        <w:t xml:space="preserve">Family Electric Rate Assistance </w:t>
      </w:r>
      <w:r w:rsidR="0055645E">
        <w:t>(</w:t>
      </w:r>
      <w:r w:rsidRPr="007863B6" w:rsidR="007863B6">
        <w:t>FERA</w:t>
      </w:r>
      <w:r w:rsidR="0055645E">
        <w:t>)</w:t>
      </w:r>
      <w:r w:rsidRPr="007863B6" w:rsidR="007863B6">
        <w:t xml:space="preserve"> customers.</w:t>
      </w:r>
      <w:r w:rsidR="007863B6">
        <w:rPr>
          <w:rStyle w:val="FootnoteReference"/>
        </w:rPr>
        <w:footnoteReference w:id="65"/>
      </w:r>
      <w:r w:rsidRPr="007863B6" w:rsidR="007863B6">
        <w:t xml:space="preserve"> </w:t>
      </w:r>
    </w:p>
    <w:p w:rsidR="007863B6" w:rsidP="00F17AD8" w:rsidRDefault="007F7E94" w14:paraId="2560C0D0" w14:textId="2DD4A53F">
      <w:pPr>
        <w:pStyle w:val="Standard"/>
      </w:pPr>
      <w:r>
        <w:t>As discussed in Section 5 below, t</w:t>
      </w:r>
      <w:r w:rsidRPr="007863B6" w:rsidR="007863B6">
        <w:t>his decision does not adopt the Large Utilities’ fixed charge proposals</w:t>
      </w:r>
      <w:r w:rsidR="00632E00">
        <w:t>.</w:t>
      </w:r>
      <w:r w:rsidR="005A3EF7">
        <w:t xml:space="preserve"> </w:t>
      </w:r>
      <w:r w:rsidR="00632E00">
        <w:t>As discussed in Sections 5 and 6 below, this decision</w:t>
      </w:r>
      <w:r w:rsidR="005A3EF7">
        <w:t xml:space="preserve"> provides sufficient directions for the Large Utilities</w:t>
      </w:r>
      <w:r w:rsidR="00632E00">
        <w:t xml:space="preserve"> and the Small Utilities to</w:t>
      </w:r>
      <w:r w:rsidR="00EB0E12">
        <w:t xml:space="preserve"> </w:t>
      </w:r>
      <w:r w:rsidR="00D35D66">
        <w:t xml:space="preserve">ensure that </w:t>
      </w:r>
      <w:r w:rsidR="00632E00">
        <w:t>income-graduated</w:t>
      </w:r>
      <w:r w:rsidR="00EB0E12">
        <w:t xml:space="preserve"> fixed charges will comply with statutory requirements</w:t>
      </w:r>
      <w:r w:rsidR="00D35D66">
        <w:t xml:space="preserve"> for low-income ratepayers</w:t>
      </w:r>
      <w:r w:rsidR="00EB0E12">
        <w:t xml:space="preserve"> through a Tier 3 advice letter.</w:t>
      </w:r>
    </w:p>
    <w:p w:rsidR="00764B2E" w:rsidP="00764B2E" w:rsidRDefault="00921E8F" w14:paraId="141E1565" w14:textId="02A2FC5F">
      <w:pPr>
        <w:pStyle w:val="Standard"/>
      </w:pPr>
      <w:r>
        <w:t>Based on the foregoing</w:t>
      </w:r>
      <w:r w:rsidR="00764B2E">
        <w:t xml:space="preserve">, </w:t>
      </w:r>
      <w:bookmarkStart w:name="_Hlk159501381" w:id="22"/>
      <w:r w:rsidR="00764B2E">
        <w:t xml:space="preserve">it is reasonable to direct each </w:t>
      </w:r>
      <w:r w:rsidR="0038304B">
        <w:t xml:space="preserve">of the </w:t>
      </w:r>
      <w:r w:rsidR="00764B2E">
        <w:t>Large Utilit</w:t>
      </w:r>
      <w:r w:rsidR="0038304B">
        <w:t>ies</w:t>
      </w:r>
      <w:r w:rsidR="00764B2E">
        <w:t xml:space="preserve"> </w:t>
      </w:r>
      <w:r w:rsidR="00632E00">
        <w:t xml:space="preserve">and the Small Utilities </w:t>
      </w:r>
      <w:r w:rsidR="00764B2E">
        <w:t>to file a</w:t>
      </w:r>
      <w:r w:rsidR="007F7E94">
        <w:t xml:space="preserve"> Tier 3 </w:t>
      </w:r>
      <w:r w:rsidR="00764B2E">
        <w:t>advice letter to implement income-graduated fixed charges</w:t>
      </w:r>
      <w:r w:rsidR="009B1C3E">
        <w:t>.</w:t>
      </w:r>
      <w:bookmarkEnd w:id="22"/>
    </w:p>
    <w:p w:rsidR="00E774B4" w:rsidP="00702F6F" w:rsidRDefault="00BD2B21" w14:paraId="123F7B62" w14:textId="26353BD2">
      <w:pPr>
        <w:pStyle w:val="Heading2"/>
      </w:pPr>
      <w:bookmarkStart w:name="_Toc160790035" w:id="23"/>
      <w:r>
        <w:t>Income-Verification Implementation Pathway</w:t>
      </w:r>
      <w:bookmarkEnd w:id="23"/>
    </w:p>
    <w:p w:rsidR="000B3EC1" w:rsidP="00B13C76" w:rsidRDefault="00D04565" w14:paraId="15A5CC2B" w14:textId="0F2AD352">
      <w:pPr>
        <w:pStyle w:val="Standard"/>
      </w:pPr>
      <w:r>
        <w:t>O</w:t>
      </w:r>
      <w:r w:rsidR="009F4B74">
        <w:t xml:space="preserve">n January 17, 2023, </w:t>
      </w:r>
      <w:r w:rsidR="00113167">
        <w:t xml:space="preserve">ALJ Wang issued a ruling with </w:t>
      </w:r>
      <w:r w:rsidR="00A21427">
        <w:t>a memo</w:t>
      </w:r>
      <w:r w:rsidR="00113167">
        <w:t xml:space="preserve"> </w:t>
      </w:r>
      <w:r w:rsidR="00EE648C">
        <w:t xml:space="preserve">from the Commission’s staff </w:t>
      </w:r>
      <w:r w:rsidR="00FD2AF6">
        <w:t xml:space="preserve">(Staff Guidance Memo) </w:t>
      </w:r>
      <w:r w:rsidR="00B521F0">
        <w:t xml:space="preserve">that provided guidance </w:t>
      </w:r>
      <w:r w:rsidR="00113167">
        <w:t>for parties’ fixed charge proposals</w:t>
      </w:r>
      <w:r w:rsidR="00EE648C">
        <w:t>.</w:t>
      </w:r>
      <w:r w:rsidR="00DF0EF9">
        <w:t xml:space="preserve"> </w:t>
      </w:r>
      <w:r w:rsidR="00A21427">
        <w:t xml:space="preserve">The </w:t>
      </w:r>
      <w:r w:rsidR="00FD2AF6">
        <w:t>Staff Guidance Memo</w:t>
      </w:r>
      <w:r w:rsidR="006E309D">
        <w:t xml:space="preserve"> </w:t>
      </w:r>
      <w:r w:rsidR="000B3EC1">
        <w:t xml:space="preserve">shared the Commission’s staff initial findings about three potential </w:t>
      </w:r>
      <w:r w:rsidR="0023286C">
        <w:t xml:space="preserve">options </w:t>
      </w:r>
      <w:r w:rsidR="000B3EC1">
        <w:t>for income verification.</w:t>
      </w:r>
    </w:p>
    <w:p w:rsidR="00604917" w:rsidP="00B13C76" w:rsidRDefault="000B3EC1" w14:paraId="2C1D7E19" w14:textId="125C091A">
      <w:pPr>
        <w:pStyle w:val="Standard"/>
      </w:pPr>
      <w:r>
        <w:t xml:space="preserve">First, the Staff </w:t>
      </w:r>
      <w:r w:rsidR="00CD5970">
        <w:t>Guidance Memo</w:t>
      </w:r>
      <w:r>
        <w:t xml:space="preserve"> </w:t>
      </w:r>
      <w:r w:rsidR="00E358E4">
        <w:t>note</w:t>
      </w:r>
      <w:r w:rsidR="00267612">
        <w:t>d</w:t>
      </w:r>
      <w:r w:rsidR="00E358E4">
        <w:t xml:space="preserve"> that </w:t>
      </w:r>
      <w:r w:rsidRPr="00E358E4" w:rsidR="00E358E4">
        <w:t xml:space="preserve">Section 19452 </w:t>
      </w:r>
      <w:r w:rsidR="00E358E4">
        <w:t xml:space="preserve">of the </w:t>
      </w:r>
      <w:r w:rsidR="00921E8F">
        <w:t xml:space="preserve">California </w:t>
      </w:r>
      <w:r w:rsidRPr="00FD2AF6" w:rsidR="00FD2AF6">
        <w:t>Revenue and Taxation Code prohibits the F</w:t>
      </w:r>
      <w:r w:rsidR="00CC1586">
        <w:t>ra</w:t>
      </w:r>
      <w:r w:rsidR="00113FDE">
        <w:t>n</w:t>
      </w:r>
      <w:r w:rsidR="00CC1586">
        <w:t xml:space="preserve">chise </w:t>
      </w:r>
      <w:r w:rsidRPr="00FD2AF6" w:rsidR="00FD2AF6">
        <w:t>T</w:t>
      </w:r>
      <w:r w:rsidR="00CC1586">
        <w:t xml:space="preserve">ax </w:t>
      </w:r>
      <w:r w:rsidRPr="00FD2AF6" w:rsidR="00FD2AF6">
        <w:t>B</w:t>
      </w:r>
      <w:r w:rsidR="00CC1586">
        <w:t>oard</w:t>
      </w:r>
      <w:r w:rsidRPr="00FD2AF6" w:rsidR="00FD2AF6">
        <w:t xml:space="preserve"> from providing this data without taxpayer authorization, and this restriction </w:t>
      </w:r>
      <w:r w:rsidR="00CC1586">
        <w:t xml:space="preserve">also </w:t>
      </w:r>
      <w:r w:rsidRPr="00FD2AF6" w:rsidR="00FD2AF6">
        <w:t xml:space="preserve">applies to confirmation of any self-reported income data from the taxpayer. </w:t>
      </w:r>
      <w:r w:rsidR="00781450">
        <w:t xml:space="preserve">The Franchise </w:t>
      </w:r>
      <w:r w:rsidRPr="00FD2AF6" w:rsidR="00FD2AF6">
        <w:t>T</w:t>
      </w:r>
      <w:r w:rsidR="00781450">
        <w:t xml:space="preserve">ax </w:t>
      </w:r>
      <w:r w:rsidRPr="00FD2AF6" w:rsidR="00FD2AF6">
        <w:t>B</w:t>
      </w:r>
      <w:r w:rsidR="00781450">
        <w:t>oard</w:t>
      </w:r>
      <w:r w:rsidR="00AB5559">
        <w:t xml:space="preserve"> may only disclose the income of an individual taxpayer, not an entire </w:t>
      </w:r>
      <w:r w:rsidR="00AB5559">
        <w:lastRenderedPageBreak/>
        <w:t xml:space="preserve">household, upon </w:t>
      </w:r>
      <w:r w:rsidR="005B5358">
        <w:t xml:space="preserve">receipt of </w:t>
      </w:r>
      <w:r w:rsidR="007E014E">
        <w:t>written consent</w:t>
      </w:r>
      <w:r w:rsidR="005B5358">
        <w:t>.</w:t>
      </w:r>
      <w:r w:rsidRPr="00FD2AF6" w:rsidR="00FD2AF6">
        <w:t xml:space="preserve"> </w:t>
      </w:r>
      <w:r w:rsidR="00781450">
        <w:t xml:space="preserve">The </w:t>
      </w:r>
      <w:r w:rsidR="007B29F7">
        <w:t>Staff Guidance Memo</w:t>
      </w:r>
      <w:r w:rsidR="00781450">
        <w:t xml:space="preserve"> also noted</w:t>
      </w:r>
      <w:r w:rsidRPr="00FD2AF6" w:rsidR="00FD2AF6">
        <w:t xml:space="preserve"> that many low-income households do not file tax returns</w:t>
      </w:r>
      <w:r w:rsidR="00604917">
        <w:t>.</w:t>
      </w:r>
    </w:p>
    <w:p w:rsidR="00DA3537" w:rsidP="003A1560" w:rsidRDefault="000B3EC1" w14:paraId="11F90DD5" w14:textId="1B148CFD">
      <w:pPr>
        <w:pStyle w:val="Standard"/>
      </w:pPr>
      <w:r>
        <w:t xml:space="preserve">Second, the </w:t>
      </w:r>
      <w:r w:rsidR="00604917">
        <w:t xml:space="preserve">Staff Guidance Memo </w:t>
      </w:r>
      <w:r>
        <w:t xml:space="preserve">shared findings about the potential to </w:t>
      </w:r>
      <w:r w:rsidR="00154CD4">
        <w:t xml:space="preserve">leverage participation data from existing </w:t>
      </w:r>
      <w:r w:rsidR="00383DE3">
        <w:t xml:space="preserve">income-verified assistance programs administered by other state agencies. </w:t>
      </w:r>
      <w:r w:rsidR="00C73228">
        <w:t xml:space="preserve">The Commission’s staff </w:t>
      </w:r>
      <w:r w:rsidR="00953781">
        <w:t>consulted with staff from</w:t>
      </w:r>
      <w:r w:rsidRPr="00FD2AF6" w:rsidR="00FD2AF6">
        <w:t xml:space="preserve"> the California Department of Social</w:t>
      </w:r>
      <w:r w:rsidR="0013612E">
        <w:t xml:space="preserve"> </w:t>
      </w:r>
      <w:r w:rsidRPr="0013612E" w:rsidR="0013612E">
        <w:t>Services, which administers the CalFresh program. CalFresh</w:t>
      </w:r>
      <w:r w:rsidR="002D1950">
        <w:t xml:space="preserve"> </w:t>
      </w:r>
      <w:r w:rsidRPr="0013612E" w:rsidR="0013612E">
        <w:t>provides food benefits to low-income households through a state-supervised and county-operated program and has the same gross income threshold requirement as the CARE program (200</w:t>
      </w:r>
      <w:r w:rsidR="00C1241D">
        <w:t xml:space="preserve"> percent</w:t>
      </w:r>
      <w:r w:rsidRPr="0013612E" w:rsidR="0013612E">
        <w:t xml:space="preserve"> of Federal Poverty </w:t>
      </w:r>
      <w:r w:rsidR="00C257F2">
        <w:t>Guidelines</w:t>
      </w:r>
      <w:r w:rsidRPr="0013612E" w:rsidR="0013612E">
        <w:t>)</w:t>
      </w:r>
      <w:r w:rsidR="00C257F2">
        <w:t xml:space="preserve">. </w:t>
      </w:r>
      <w:r w:rsidR="00ED1D53">
        <w:t xml:space="preserve">The Staff Guidance Memo noted that </w:t>
      </w:r>
      <w:r w:rsidR="009F321B">
        <w:t>confirming enrollment of a</w:t>
      </w:r>
      <w:r w:rsidR="00ED1D53">
        <w:t xml:space="preserve"> </w:t>
      </w:r>
      <w:r w:rsidR="003A1560">
        <w:t>customer in</w:t>
      </w:r>
      <w:r w:rsidR="00ED1D53">
        <w:t xml:space="preserve"> </w:t>
      </w:r>
      <w:r w:rsidR="00827C41">
        <w:t>another low-income assistance program like CalFresh may also require customer consent.</w:t>
      </w:r>
      <w:r w:rsidRPr="0013612E" w:rsidR="0013612E">
        <w:t xml:space="preserve"> </w:t>
      </w:r>
      <w:r w:rsidR="003A1560">
        <w:t xml:space="preserve">For example, the Commission’s California LifeLine program obtains consent from </w:t>
      </w:r>
      <w:r w:rsidR="002466EA">
        <w:t xml:space="preserve">customers before checking the CalFresh database </w:t>
      </w:r>
      <w:r w:rsidR="0069503F">
        <w:t xml:space="preserve">to determine whether the customer is enrolled in </w:t>
      </w:r>
      <w:r w:rsidR="00560E2E">
        <w:t>CalFresh.</w:t>
      </w:r>
    </w:p>
    <w:p w:rsidR="00827C41" w:rsidP="00DA3537" w:rsidRDefault="00827C41" w14:paraId="45203A70" w14:textId="5E115F28">
      <w:pPr>
        <w:pStyle w:val="Standard"/>
      </w:pPr>
      <w:r>
        <w:t>The Staff Guidance Memo al</w:t>
      </w:r>
      <w:r w:rsidR="00E242FF">
        <w:t>so noted that a third option would be to submit proof of income level to a utility or third-party administrator.</w:t>
      </w:r>
    </w:p>
    <w:p w:rsidR="0061200F" w:rsidP="0061200F" w:rsidRDefault="00155BF1" w14:paraId="7AF4D9AB" w14:textId="448E140E">
      <w:pPr>
        <w:pStyle w:val="Standard"/>
      </w:pPr>
      <w:r>
        <w:t>The Staff Guidance Memo noted that because automatic verification of customers’ income</w:t>
      </w:r>
      <w:r w:rsidR="007B5563">
        <w:t xml:space="preserve"> by the Franchise Tax Board</w:t>
      </w:r>
      <w:r w:rsidR="003F182C">
        <w:t xml:space="preserve"> is not feasible without additional legislation, and because the Franchise Tax Board will not </w:t>
      </w:r>
      <w:r w:rsidR="007B5563">
        <w:t xml:space="preserve">have income data for all customers, parties should propose which fixed charge tier level </w:t>
      </w:r>
      <w:r w:rsidR="009C6CAA">
        <w:t>customers</w:t>
      </w:r>
      <w:r w:rsidR="007B5563">
        <w:t xml:space="preserve"> </w:t>
      </w:r>
      <w:r w:rsidR="009C6CAA">
        <w:t xml:space="preserve"> should be assigned by</w:t>
      </w:r>
      <w:r w:rsidR="00072A49">
        <w:t xml:space="preserve"> default</w:t>
      </w:r>
      <w:r w:rsidR="007B5563">
        <w:t xml:space="preserve"> </w:t>
      </w:r>
      <w:r w:rsidR="0061200F">
        <w:t>in the absence of income data. The Staff Guidance Memo also recommended that party proposals include realistic estimates of the degree to which customers will be unintentionally assigned to an incorrect fixed charge level</w:t>
      </w:r>
      <w:r w:rsidR="0072759C">
        <w:t>, along with the equity and revenue collection implications of misassignments.</w:t>
      </w:r>
    </w:p>
    <w:p w:rsidR="00A21427" w:rsidP="00EE648C" w:rsidRDefault="003D0F8E" w14:paraId="3F4399DE" w14:textId="5E04BE67">
      <w:pPr>
        <w:pStyle w:val="Standard"/>
      </w:pPr>
      <w:r>
        <w:lastRenderedPageBreak/>
        <w:t xml:space="preserve">The Staff Guidance Memo shared </w:t>
      </w:r>
      <w:r w:rsidR="001B3DAC">
        <w:t xml:space="preserve">enrollment rates of a few </w:t>
      </w:r>
      <w:r w:rsidR="007E1381">
        <w:t xml:space="preserve">California </w:t>
      </w:r>
      <w:r w:rsidR="001B3DAC">
        <w:t xml:space="preserve">low-income assistance programs to help parties </w:t>
      </w:r>
      <w:r w:rsidR="00657AAF">
        <w:t>assess the potential income verification and self-attestation rates for income</w:t>
      </w:r>
      <w:r w:rsidR="000C1562">
        <w:t>-graduated fixed charges</w:t>
      </w:r>
      <w:r w:rsidR="00407F8D">
        <w:t>:</w:t>
      </w:r>
    </w:p>
    <w:p w:rsidR="001B3DAC" w:rsidP="0008492E" w:rsidRDefault="000C1562" w14:paraId="32CF0B21" w14:textId="1E968F39">
      <w:pPr>
        <w:pStyle w:val="ListBullet"/>
        <w:ind w:right="1440"/>
      </w:pPr>
      <w:r>
        <w:t xml:space="preserve">In </w:t>
      </w:r>
      <w:r w:rsidR="00206C69">
        <w:t>2019</w:t>
      </w:r>
      <w:r>
        <w:t>, th</w:t>
      </w:r>
      <w:r w:rsidR="00D43432">
        <w:t xml:space="preserve">e </w:t>
      </w:r>
      <w:r w:rsidR="00206C69">
        <w:t xml:space="preserve">Large Utilities’ </w:t>
      </w:r>
      <w:r w:rsidR="00D43432">
        <w:t>estimated rates of enrollment of eligible customers in the CARE</w:t>
      </w:r>
      <w:r w:rsidR="00FC1B3B">
        <w:t xml:space="preserve"> and FERA</w:t>
      </w:r>
      <w:r w:rsidR="00D43432">
        <w:t xml:space="preserve"> program</w:t>
      </w:r>
      <w:r w:rsidR="00FC1B3B">
        <w:t>s</w:t>
      </w:r>
      <w:r w:rsidR="00D43432">
        <w:t xml:space="preserve"> were as follows: PG&amp;E (95</w:t>
      </w:r>
      <w:r w:rsidR="00C1241D">
        <w:t xml:space="preserve"> percent</w:t>
      </w:r>
      <w:r w:rsidR="00D43432">
        <w:t xml:space="preserve"> </w:t>
      </w:r>
      <w:r w:rsidR="00FC1B3B">
        <w:t>CARE, 13</w:t>
      </w:r>
      <w:r w:rsidR="00C1241D">
        <w:t xml:space="preserve"> percent</w:t>
      </w:r>
      <w:r w:rsidR="00FC1B3B">
        <w:t xml:space="preserve"> FERA), </w:t>
      </w:r>
      <w:r w:rsidR="00645DD5">
        <w:t>SCE (88</w:t>
      </w:r>
      <w:r w:rsidR="00C1241D">
        <w:t xml:space="preserve"> percent</w:t>
      </w:r>
      <w:r w:rsidR="00645DD5">
        <w:t xml:space="preserve"> CARE, 10</w:t>
      </w:r>
      <w:r w:rsidR="00C1241D">
        <w:t xml:space="preserve"> percent</w:t>
      </w:r>
      <w:r w:rsidR="00645DD5">
        <w:t xml:space="preserve"> FERA), SDG&amp;E (93</w:t>
      </w:r>
      <w:r w:rsidR="00C1241D">
        <w:t xml:space="preserve"> percent</w:t>
      </w:r>
      <w:r w:rsidR="00645DD5">
        <w:t xml:space="preserve"> CARE, 20</w:t>
      </w:r>
      <w:r w:rsidR="00C1241D">
        <w:t xml:space="preserve"> percent</w:t>
      </w:r>
      <w:r w:rsidR="00645DD5">
        <w:t xml:space="preserve"> FERA).</w:t>
      </w:r>
      <w:r w:rsidR="00B77DB4">
        <w:t xml:space="preserve"> </w:t>
      </w:r>
    </w:p>
    <w:p w:rsidR="00407F8D" w:rsidP="0008492E" w:rsidRDefault="00D50AC3" w14:paraId="6FAFD836" w14:textId="1E636288">
      <w:pPr>
        <w:pStyle w:val="ListBullet"/>
        <w:ind w:right="1440"/>
      </w:pPr>
      <w:r>
        <w:t xml:space="preserve">The </w:t>
      </w:r>
      <w:r w:rsidRPr="00D50AC3">
        <w:t>California Department of Social Services</w:t>
      </w:r>
      <w:r>
        <w:t xml:space="preserve"> estimated that 80.4</w:t>
      </w:r>
      <w:r w:rsidR="00C1241D">
        <w:t xml:space="preserve"> percent</w:t>
      </w:r>
      <w:r>
        <w:t xml:space="preserve"> of eligible customers were enrolled in CalFresh in 2020</w:t>
      </w:r>
      <w:r w:rsidR="004E79A0">
        <w:t xml:space="preserve">, </w:t>
      </w:r>
      <w:r w:rsidRPr="004E79A0" w:rsidR="004E79A0">
        <w:t>excluding Supplemental Security Income households</w:t>
      </w:r>
      <w:r>
        <w:t>.</w:t>
      </w:r>
      <w:r w:rsidR="00B77DB4">
        <w:t xml:space="preserve"> </w:t>
      </w:r>
      <w:r w:rsidR="00821909">
        <w:t>CalFresh requires customers to verify and reverify their incomes.</w:t>
      </w:r>
    </w:p>
    <w:p w:rsidR="00D50AC3" w:rsidP="0008492E" w:rsidRDefault="008E19C0" w14:paraId="3B159651" w14:textId="0499D0FB">
      <w:pPr>
        <w:pStyle w:val="ListBullet"/>
        <w:ind w:right="1440"/>
      </w:pPr>
      <w:r>
        <w:t xml:space="preserve">California LifeLine Program Assessment &amp; Evaluation Report </w:t>
      </w:r>
      <w:r w:rsidR="001769A2">
        <w:t>(May 2022) estimated that</w:t>
      </w:r>
      <w:r w:rsidR="003C1165">
        <w:t xml:space="preserve"> 34</w:t>
      </w:r>
      <w:r w:rsidR="00C1241D">
        <w:t xml:space="preserve"> percent</w:t>
      </w:r>
      <w:r w:rsidR="003C1165">
        <w:t xml:space="preserve"> of eligible households </w:t>
      </w:r>
      <w:r w:rsidR="007F109A">
        <w:t>were enrolled in</w:t>
      </w:r>
      <w:r w:rsidR="001769A2">
        <w:t xml:space="preserve"> </w:t>
      </w:r>
      <w:r w:rsidR="00BC6E2E">
        <w:t>California LifeLine</w:t>
      </w:r>
      <w:r w:rsidR="008419DE">
        <w:t>.</w:t>
      </w:r>
    </w:p>
    <w:p w:rsidR="001B3DAC" w:rsidP="0027158D" w:rsidRDefault="00997EA9" w14:paraId="081B0836" w14:textId="08CD5E8E">
      <w:pPr>
        <w:pStyle w:val="Standard"/>
      </w:pPr>
      <w:r>
        <w:t xml:space="preserve">The Staff Guidance Memo noted that CARE and FERA income verification is accomplished through </w:t>
      </w:r>
      <w:r w:rsidR="00A411DC">
        <w:t xml:space="preserve">self-attestation combined with post-enrollment </w:t>
      </w:r>
      <w:r w:rsidRPr="00D952AF" w:rsidR="00A411DC">
        <w:t xml:space="preserve">verification of </w:t>
      </w:r>
      <w:r w:rsidR="00CA00B9">
        <w:t xml:space="preserve">between </w:t>
      </w:r>
      <w:r w:rsidR="00C1241D">
        <w:t>4 and 8 percent</w:t>
      </w:r>
      <w:r w:rsidRPr="00D952AF" w:rsidR="00A411DC">
        <w:t xml:space="preserve"> of participants</w:t>
      </w:r>
      <w:r w:rsidR="00CA00B9">
        <w:t xml:space="preserve"> per year</w:t>
      </w:r>
      <w:r w:rsidRPr="00D952AF" w:rsidR="00A411DC">
        <w:t xml:space="preserve">. </w:t>
      </w:r>
      <w:r w:rsidR="003241CD">
        <w:t>The Staff Guidance Memo noted tha</w:t>
      </w:r>
      <w:r w:rsidR="00000546">
        <w:t xml:space="preserve">t </w:t>
      </w:r>
      <w:r w:rsidR="005E6B4B">
        <w:t xml:space="preserve">the following </w:t>
      </w:r>
      <w:r w:rsidRPr="001B26C7" w:rsidR="001B26C7">
        <w:t>share of the 4 to 8 percent</w:t>
      </w:r>
      <w:r w:rsidR="005E6B4B">
        <w:t xml:space="preserve"> of </w:t>
      </w:r>
      <w:r w:rsidR="00000546">
        <w:t>CARE households</w:t>
      </w:r>
      <w:r w:rsidR="00501A1C">
        <w:t xml:space="preserve"> selected for post-enrollment verification</w:t>
      </w:r>
      <w:r w:rsidR="00000546">
        <w:t xml:space="preserve"> were unenrolled due to no</w:t>
      </w:r>
      <w:r w:rsidR="00971437">
        <w:t xml:space="preserve">t responding to the income verification </w:t>
      </w:r>
      <w:r w:rsidR="0027158D">
        <w:t>request</w:t>
      </w:r>
      <w:r w:rsidR="00000546">
        <w:t xml:space="preserve"> in 2019: </w:t>
      </w:r>
      <w:r>
        <w:t>78</w:t>
      </w:r>
      <w:r w:rsidR="00C1241D">
        <w:t xml:space="preserve"> percent</w:t>
      </w:r>
      <w:r>
        <w:t xml:space="preserve"> </w:t>
      </w:r>
      <w:r w:rsidR="006E2AA8">
        <w:t xml:space="preserve">in </w:t>
      </w:r>
      <w:r>
        <w:t>PG&amp;E</w:t>
      </w:r>
      <w:r w:rsidR="006E2AA8">
        <w:t>’s territory</w:t>
      </w:r>
      <w:r>
        <w:t>, 49</w:t>
      </w:r>
      <w:r w:rsidR="002812BB">
        <w:t> </w:t>
      </w:r>
      <w:r w:rsidR="00C1241D">
        <w:t>percent</w:t>
      </w:r>
      <w:r>
        <w:t xml:space="preserve"> </w:t>
      </w:r>
      <w:r w:rsidR="006E2AA8">
        <w:t>in</w:t>
      </w:r>
      <w:r>
        <w:t xml:space="preserve"> SCE</w:t>
      </w:r>
      <w:r w:rsidR="006E2AA8">
        <w:t>’s territory</w:t>
      </w:r>
      <w:r>
        <w:t>, 49</w:t>
      </w:r>
      <w:r w:rsidR="00C1241D">
        <w:t xml:space="preserve"> percent</w:t>
      </w:r>
      <w:r>
        <w:t xml:space="preserve"> </w:t>
      </w:r>
      <w:r w:rsidR="006E2AA8">
        <w:t xml:space="preserve">in </w:t>
      </w:r>
      <w:r>
        <w:t>SDG&amp;E</w:t>
      </w:r>
      <w:r w:rsidR="006E2AA8">
        <w:t>’s territory</w:t>
      </w:r>
      <w:r>
        <w:t>, and 56</w:t>
      </w:r>
      <w:r w:rsidR="00C1241D">
        <w:t xml:space="preserve"> percent</w:t>
      </w:r>
      <w:r>
        <w:t xml:space="preserve"> </w:t>
      </w:r>
      <w:r w:rsidR="006E2AA8">
        <w:t>in</w:t>
      </w:r>
      <w:r>
        <w:t xml:space="preserve"> SoCalGas</w:t>
      </w:r>
      <w:r w:rsidR="006E2AA8">
        <w:t>’s territory</w:t>
      </w:r>
      <w:r>
        <w:t xml:space="preserve">. </w:t>
      </w:r>
    </w:p>
    <w:p w:rsidR="00EC016A" w:rsidP="0027158D" w:rsidRDefault="00C55858" w14:paraId="4F805410" w14:textId="01A2A202">
      <w:pPr>
        <w:pStyle w:val="Standard"/>
      </w:pPr>
      <w:r>
        <w:t>Parties</w:t>
      </w:r>
      <w:r w:rsidR="00B705FF">
        <w:t>’</w:t>
      </w:r>
      <w:r>
        <w:t xml:space="preserve"> initial proposals for income verification in opening testimony</w:t>
      </w:r>
      <w:r w:rsidR="00960BFC">
        <w:t xml:space="preserve"> are summarized in Table 1 below.</w:t>
      </w:r>
    </w:p>
    <w:p w:rsidRPr="00823251" w:rsidR="00070796" w:rsidP="00507A88" w:rsidRDefault="00507A88" w14:paraId="368D7226" w14:textId="7DF0846F">
      <w:pPr>
        <w:pStyle w:val="Standard"/>
        <w:ind w:firstLine="0"/>
        <w:rPr>
          <w:b/>
          <w:bCs/>
        </w:rPr>
      </w:pPr>
      <w:r w:rsidRPr="00823251">
        <w:rPr>
          <w:b/>
          <w:bCs/>
        </w:rPr>
        <w:t xml:space="preserve">Table 1: </w:t>
      </w:r>
      <w:r w:rsidR="005F7ED3">
        <w:rPr>
          <w:b/>
          <w:bCs/>
        </w:rPr>
        <w:t>Opening Testimony</w:t>
      </w:r>
      <w:r w:rsidRPr="00823251">
        <w:rPr>
          <w:b/>
          <w:bCs/>
        </w:rPr>
        <w:t xml:space="preserve"> Income Verification Proposal</w:t>
      </w:r>
      <w:r w:rsidR="00960BFC">
        <w:rPr>
          <w:b/>
          <w:bCs/>
        </w:rPr>
        <w:t>s</w:t>
      </w:r>
    </w:p>
    <w:tbl>
      <w:tblPr>
        <w:tblStyle w:val="TableGrid"/>
        <w:tblW w:w="0" w:type="auto"/>
        <w:tblLook w:val="04A0" w:firstRow="1" w:lastRow="0" w:firstColumn="1" w:lastColumn="0" w:noHBand="0" w:noVBand="1"/>
      </w:tblPr>
      <w:tblGrid>
        <w:gridCol w:w="1885"/>
        <w:gridCol w:w="1800"/>
        <w:gridCol w:w="2610"/>
        <w:gridCol w:w="3055"/>
      </w:tblGrid>
      <w:tr w:rsidR="00DD4438" w:rsidTr="008D02C0" w14:paraId="2A043E3F" w14:textId="77777777">
        <w:tc>
          <w:tcPr>
            <w:tcW w:w="1885" w:type="dxa"/>
          </w:tcPr>
          <w:p w:rsidRPr="00DD4438" w:rsidR="005F0722" w:rsidP="00D0706C" w:rsidRDefault="005F0722" w14:paraId="478F7C55" w14:textId="17D07E4F">
            <w:pPr>
              <w:pStyle w:val="Standard"/>
              <w:spacing w:after="120" w:line="240" w:lineRule="auto"/>
              <w:ind w:firstLine="0"/>
              <w:rPr>
                <w:b/>
                <w:bCs/>
                <w:sz w:val="24"/>
                <w:szCs w:val="24"/>
              </w:rPr>
            </w:pPr>
            <w:r w:rsidRPr="00DD4438">
              <w:rPr>
                <w:b/>
                <w:bCs/>
                <w:sz w:val="24"/>
                <w:szCs w:val="24"/>
              </w:rPr>
              <w:t>Parties</w:t>
            </w:r>
          </w:p>
        </w:tc>
        <w:tc>
          <w:tcPr>
            <w:tcW w:w="1800" w:type="dxa"/>
          </w:tcPr>
          <w:p w:rsidRPr="00DD4438" w:rsidR="005F0722" w:rsidP="00D0706C" w:rsidRDefault="005F0722" w14:paraId="66A19EAB" w14:textId="3A561803">
            <w:pPr>
              <w:pStyle w:val="Standard"/>
              <w:spacing w:after="120" w:line="240" w:lineRule="auto"/>
              <w:ind w:firstLine="0"/>
              <w:rPr>
                <w:b/>
                <w:bCs/>
                <w:sz w:val="24"/>
                <w:szCs w:val="24"/>
              </w:rPr>
            </w:pPr>
            <w:r w:rsidRPr="00DD4438">
              <w:rPr>
                <w:b/>
                <w:bCs/>
                <w:sz w:val="24"/>
                <w:szCs w:val="24"/>
              </w:rPr>
              <w:t>Administrator</w:t>
            </w:r>
          </w:p>
        </w:tc>
        <w:tc>
          <w:tcPr>
            <w:tcW w:w="2610" w:type="dxa"/>
          </w:tcPr>
          <w:p w:rsidRPr="00DD4438" w:rsidR="005F0722" w:rsidP="00D0706C" w:rsidRDefault="00823251" w14:paraId="6151057F" w14:textId="48EA8B3D">
            <w:pPr>
              <w:pStyle w:val="Standard"/>
              <w:spacing w:after="120" w:line="240" w:lineRule="auto"/>
              <w:ind w:firstLine="0"/>
              <w:rPr>
                <w:b/>
                <w:bCs/>
                <w:sz w:val="24"/>
                <w:szCs w:val="24"/>
              </w:rPr>
            </w:pPr>
            <w:r w:rsidRPr="00DD4438">
              <w:rPr>
                <w:b/>
                <w:bCs/>
                <w:sz w:val="24"/>
                <w:szCs w:val="24"/>
              </w:rPr>
              <w:t>Process</w:t>
            </w:r>
          </w:p>
        </w:tc>
        <w:tc>
          <w:tcPr>
            <w:tcW w:w="3055" w:type="dxa"/>
          </w:tcPr>
          <w:p w:rsidRPr="00DD4438" w:rsidR="005F0722" w:rsidP="00D0706C" w:rsidRDefault="00823251" w14:paraId="7C4CD13E" w14:textId="208348AF">
            <w:pPr>
              <w:pStyle w:val="Standard"/>
              <w:spacing w:after="120" w:line="240" w:lineRule="auto"/>
              <w:ind w:firstLine="0"/>
              <w:rPr>
                <w:b/>
                <w:bCs/>
                <w:sz w:val="24"/>
                <w:szCs w:val="24"/>
              </w:rPr>
            </w:pPr>
            <w:r w:rsidRPr="00DD4438">
              <w:rPr>
                <w:b/>
                <w:bCs/>
                <w:sz w:val="24"/>
                <w:szCs w:val="24"/>
              </w:rPr>
              <w:t>Default Tier</w:t>
            </w:r>
          </w:p>
        </w:tc>
      </w:tr>
      <w:tr w:rsidR="00DD4438" w:rsidTr="008D02C0" w14:paraId="55FDE675" w14:textId="77777777">
        <w:tc>
          <w:tcPr>
            <w:tcW w:w="1885" w:type="dxa"/>
          </w:tcPr>
          <w:p w:rsidRPr="00DD4438" w:rsidR="00507A88" w:rsidP="00D0706C" w:rsidRDefault="00440DA9" w14:paraId="4A980D11" w14:textId="19A26FDD">
            <w:pPr>
              <w:pStyle w:val="Standard"/>
              <w:spacing w:after="120" w:line="240" w:lineRule="auto"/>
              <w:ind w:firstLine="0"/>
              <w:rPr>
                <w:sz w:val="24"/>
                <w:szCs w:val="24"/>
              </w:rPr>
            </w:pPr>
            <w:r w:rsidRPr="00DD4438">
              <w:rPr>
                <w:sz w:val="24"/>
                <w:szCs w:val="24"/>
              </w:rPr>
              <w:lastRenderedPageBreak/>
              <w:t>Large Utilities</w:t>
            </w:r>
          </w:p>
        </w:tc>
        <w:tc>
          <w:tcPr>
            <w:tcW w:w="1800" w:type="dxa"/>
          </w:tcPr>
          <w:p w:rsidRPr="00DD4438" w:rsidR="00507A88" w:rsidP="00D0706C" w:rsidRDefault="00440DA9" w14:paraId="463A1905" w14:textId="385CC94A">
            <w:pPr>
              <w:pStyle w:val="Standard"/>
              <w:spacing w:after="120" w:line="240" w:lineRule="auto"/>
              <w:ind w:firstLine="0"/>
              <w:rPr>
                <w:sz w:val="24"/>
                <w:szCs w:val="24"/>
              </w:rPr>
            </w:pPr>
            <w:r w:rsidRPr="00DD4438">
              <w:rPr>
                <w:sz w:val="24"/>
                <w:szCs w:val="24"/>
              </w:rPr>
              <w:t>Third-party administrator</w:t>
            </w:r>
          </w:p>
        </w:tc>
        <w:tc>
          <w:tcPr>
            <w:tcW w:w="2610" w:type="dxa"/>
          </w:tcPr>
          <w:p w:rsidRPr="00DD4438" w:rsidR="00507A88" w:rsidP="00D0706C" w:rsidRDefault="009B3610" w14:paraId="3DDEB879" w14:textId="51837D25">
            <w:pPr>
              <w:pStyle w:val="Standard"/>
              <w:spacing w:after="120" w:line="240" w:lineRule="auto"/>
              <w:ind w:firstLine="0"/>
              <w:rPr>
                <w:sz w:val="24"/>
                <w:szCs w:val="24"/>
              </w:rPr>
            </w:pPr>
            <w:r w:rsidRPr="00DD4438">
              <w:rPr>
                <w:sz w:val="24"/>
                <w:szCs w:val="24"/>
              </w:rPr>
              <w:t>Franchise Tax Board data (requires consent or legislation)</w:t>
            </w:r>
          </w:p>
        </w:tc>
        <w:tc>
          <w:tcPr>
            <w:tcW w:w="3055" w:type="dxa"/>
          </w:tcPr>
          <w:p w:rsidRPr="00DD4438" w:rsidR="00507A88" w:rsidP="00D0706C" w:rsidRDefault="00B66800" w14:paraId="2457C3C3" w14:textId="525D86A4">
            <w:pPr>
              <w:pStyle w:val="Standard"/>
              <w:spacing w:after="120" w:line="240" w:lineRule="auto"/>
              <w:ind w:firstLine="0"/>
              <w:rPr>
                <w:sz w:val="24"/>
                <w:szCs w:val="24"/>
              </w:rPr>
            </w:pPr>
            <w:r w:rsidRPr="00DD4438">
              <w:rPr>
                <w:sz w:val="24"/>
                <w:szCs w:val="24"/>
              </w:rPr>
              <w:t>Highest tier, unless enrolled in CARE/FERA</w:t>
            </w:r>
          </w:p>
        </w:tc>
      </w:tr>
      <w:tr w:rsidR="00DD4438" w:rsidTr="008D02C0" w14:paraId="4A1FD61D" w14:textId="77777777">
        <w:tc>
          <w:tcPr>
            <w:tcW w:w="1885" w:type="dxa"/>
          </w:tcPr>
          <w:p w:rsidRPr="00DD4438" w:rsidR="00507A88" w:rsidP="00D0706C" w:rsidRDefault="00230950" w14:paraId="087EEF73" w14:textId="29EDE2AB">
            <w:pPr>
              <w:pStyle w:val="Standard"/>
              <w:spacing w:after="120" w:line="240" w:lineRule="auto"/>
              <w:ind w:firstLine="0"/>
              <w:rPr>
                <w:sz w:val="24"/>
                <w:szCs w:val="24"/>
              </w:rPr>
            </w:pPr>
            <w:r w:rsidRPr="00DD4438">
              <w:rPr>
                <w:sz w:val="24"/>
                <w:szCs w:val="24"/>
              </w:rPr>
              <w:t xml:space="preserve">TURN/NRDC, Cal Advocates  </w:t>
            </w:r>
          </w:p>
        </w:tc>
        <w:tc>
          <w:tcPr>
            <w:tcW w:w="1800" w:type="dxa"/>
          </w:tcPr>
          <w:p w:rsidRPr="00DD4438" w:rsidR="00507A88" w:rsidP="00D0706C" w:rsidRDefault="00230950" w14:paraId="08B4B332" w14:textId="293A9903">
            <w:pPr>
              <w:pStyle w:val="Standard"/>
              <w:spacing w:after="120" w:line="240" w:lineRule="auto"/>
              <w:ind w:firstLine="0"/>
              <w:rPr>
                <w:sz w:val="24"/>
                <w:szCs w:val="24"/>
              </w:rPr>
            </w:pPr>
            <w:r w:rsidRPr="00DD4438">
              <w:rPr>
                <w:sz w:val="24"/>
                <w:szCs w:val="24"/>
              </w:rPr>
              <w:t>Third-party administrator</w:t>
            </w:r>
            <w:r w:rsidR="00A66C18">
              <w:rPr>
                <w:sz w:val="24"/>
                <w:szCs w:val="24"/>
              </w:rPr>
              <w:t xml:space="preserve"> or utilities</w:t>
            </w:r>
          </w:p>
        </w:tc>
        <w:tc>
          <w:tcPr>
            <w:tcW w:w="2610" w:type="dxa"/>
          </w:tcPr>
          <w:p w:rsidRPr="00DD4438" w:rsidR="00507A88" w:rsidP="00D0706C" w:rsidRDefault="00EF3BC4" w14:paraId="174B4348" w14:textId="1E597185">
            <w:pPr>
              <w:pStyle w:val="Standard"/>
              <w:spacing w:after="120" w:line="240" w:lineRule="auto"/>
              <w:ind w:firstLine="0"/>
              <w:rPr>
                <w:sz w:val="24"/>
                <w:szCs w:val="24"/>
              </w:rPr>
            </w:pPr>
            <w:r w:rsidRPr="00DD4438">
              <w:rPr>
                <w:sz w:val="24"/>
                <w:szCs w:val="24"/>
              </w:rPr>
              <w:t>Credit agency data (requires consent)</w:t>
            </w:r>
          </w:p>
        </w:tc>
        <w:tc>
          <w:tcPr>
            <w:tcW w:w="3055" w:type="dxa"/>
          </w:tcPr>
          <w:p w:rsidRPr="00DD4438" w:rsidR="00507A88" w:rsidP="00D0706C" w:rsidRDefault="00EF3BC4" w14:paraId="3D60EAE3" w14:textId="1AEB1313">
            <w:pPr>
              <w:pStyle w:val="Standard"/>
              <w:spacing w:after="120" w:line="240" w:lineRule="auto"/>
              <w:ind w:firstLine="0"/>
              <w:rPr>
                <w:sz w:val="24"/>
                <w:szCs w:val="24"/>
              </w:rPr>
            </w:pPr>
            <w:r w:rsidRPr="00DD4438">
              <w:rPr>
                <w:sz w:val="24"/>
                <w:szCs w:val="24"/>
              </w:rPr>
              <w:t xml:space="preserve">Highest </w:t>
            </w:r>
            <w:r w:rsidRPr="00DD4438" w:rsidR="00B66800">
              <w:rPr>
                <w:sz w:val="24"/>
                <w:szCs w:val="24"/>
              </w:rPr>
              <w:t>tier, unless enrolled in CARE/FERA</w:t>
            </w:r>
          </w:p>
        </w:tc>
      </w:tr>
      <w:tr w:rsidR="00DD4438" w:rsidTr="008D02C0" w14:paraId="32485A04" w14:textId="77777777">
        <w:tc>
          <w:tcPr>
            <w:tcW w:w="1885" w:type="dxa"/>
          </w:tcPr>
          <w:p w:rsidRPr="00DD4438" w:rsidR="00B66800" w:rsidP="00B66800" w:rsidRDefault="00B66800" w14:paraId="4265F399" w14:textId="5059B380">
            <w:pPr>
              <w:pStyle w:val="Standard"/>
              <w:spacing w:after="120" w:line="240" w:lineRule="auto"/>
              <w:ind w:firstLine="0"/>
              <w:rPr>
                <w:sz w:val="24"/>
                <w:szCs w:val="24"/>
              </w:rPr>
            </w:pPr>
            <w:r w:rsidRPr="00DD4438">
              <w:rPr>
                <w:sz w:val="24"/>
                <w:szCs w:val="24"/>
              </w:rPr>
              <w:t>CEJA</w:t>
            </w:r>
          </w:p>
        </w:tc>
        <w:tc>
          <w:tcPr>
            <w:tcW w:w="1800" w:type="dxa"/>
          </w:tcPr>
          <w:p w:rsidRPr="00DD4438" w:rsidR="00B66800" w:rsidP="00B66800" w:rsidRDefault="005C414E" w14:paraId="5C3EFEFC" w14:textId="58118057">
            <w:pPr>
              <w:pStyle w:val="Standard"/>
              <w:spacing w:after="120" w:line="240" w:lineRule="auto"/>
              <w:ind w:firstLine="0"/>
              <w:rPr>
                <w:sz w:val="24"/>
                <w:szCs w:val="24"/>
              </w:rPr>
            </w:pPr>
            <w:r>
              <w:rPr>
                <w:sz w:val="24"/>
                <w:szCs w:val="24"/>
              </w:rPr>
              <w:t>Utilities</w:t>
            </w:r>
          </w:p>
        </w:tc>
        <w:tc>
          <w:tcPr>
            <w:tcW w:w="2610" w:type="dxa"/>
          </w:tcPr>
          <w:p w:rsidRPr="00DD4438" w:rsidR="00B66800" w:rsidP="00B66800" w:rsidRDefault="00DA1D7D" w14:paraId="77C8F18B" w14:textId="361F49DA">
            <w:pPr>
              <w:pStyle w:val="Standard"/>
              <w:spacing w:after="120" w:line="240" w:lineRule="auto"/>
              <w:ind w:firstLine="0"/>
              <w:rPr>
                <w:sz w:val="24"/>
                <w:szCs w:val="24"/>
              </w:rPr>
            </w:pPr>
            <w:r w:rsidRPr="00DD4438">
              <w:rPr>
                <w:sz w:val="24"/>
                <w:szCs w:val="24"/>
              </w:rPr>
              <w:t xml:space="preserve">Self-attestation and </w:t>
            </w:r>
            <w:r w:rsidR="00612A06">
              <w:rPr>
                <w:sz w:val="24"/>
                <w:szCs w:val="24"/>
              </w:rPr>
              <w:t xml:space="preserve">spot checks based on </w:t>
            </w:r>
            <w:r w:rsidR="005C414E">
              <w:rPr>
                <w:sz w:val="24"/>
                <w:szCs w:val="24"/>
              </w:rPr>
              <w:t>property assessment value</w:t>
            </w:r>
          </w:p>
        </w:tc>
        <w:tc>
          <w:tcPr>
            <w:tcW w:w="3055" w:type="dxa"/>
          </w:tcPr>
          <w:p w:rsidRPr="00DD4438" w:rsidR="00B66800" w:rsidP="00B66800" w:rsidRDefault="008D02C0" w14:paraId="72E76631" w14:textId="6FAAB4F4">
            <w:pPr>
              <w:pStyle w:val="Standard"/>
              <w:spacing w:after="120" w:line="240" w:lineRule="auto"/>
              <w:ind w:firstLine="0"/>
              <w:rPr>
                <w:sz w:val="24"/>
                <w:szCs w:val="24"/>
              </w:rPr>
            </w:pPr>
            <w:r>
              <w:rPr>
                <w:sz w:val="24"/>
                <w:szCs w:val="24"/>
              </w:rPr>
              <w:t>Based on property assessment value or CARE/FERA enrollment</w:t>
            </w:r>
          </w:p>
        </w:tc>
      </w:tr>
      <w:tr w:rsidR="008E51C6" w:rsidTr="008D02C0" w14:paraId="5BEADE39" w14:textId="77777777">
        <w:tc>
          <w:tcPr>
            <w:tcW w:w="1885" w:type="dxa"/>
          </w:tcPr>
          <w:p w:rsidRPr="00DD4438" w:rsidR="008E51C6" w:rsidP="008E51C6" w:rsidRDefault="008E51C6" w14:paraId="7878A9A1" w14:textId="63E41FC1">
            <w:pPr>
              <w:pStyle w:val="Standard"/>
              <w:spacing w:after="120" w:line="240" w:lineRule="auto"/>
              <w:ind w:firstLine="0"/>
              <w:rPr>
                <w:sz w:val="24"/>
                <w:szCs w:val="24"/>
              </w:rPr>
            </w:pPr>
            <w:r w:rsidRPr="00DD4438">
              <w:rPr>
                <w:sz w:val="24"/>
                <w:szCs w:val="24"/>
              </w:rPr>
              <w:t>SEIA</w:t>
            </w:r>
            <w:r w:rsidR="00242DE7">
              <w:rPr>
                <w:sz w:val="24"/>
                <w:szCs w:val="24"/>
              </w:rPr>
              <w:t>/</w:t>
            </w:r>
            <w:r w:rsidR="005605DA">
              <w:rPr>
                <w:sz w:val="24"/>
                <w:szCs w:val="24"/>
              </w:rPr>
              <w:t>Small Utilities</w:t>
            </w:r>
          </w:p>
        </w:tc>
        <w:tc>
          <w:tcPr>
            <w:tcW w:w="1800" w:type="dxa"/>
          </w:tcPr>
          <w:p w:rsidR="008E51C6" w:rsidP="008E51C6" w:rsidRDefault="008E51C6" w14:paraId="48108D2F" w14:textId="4E268FD8">
            <w:pPr>
              <w:pStyle w:val="Standard"/>
              <w:spacing w:after="120" w:line="240" w:lineRule="auto"/>
              <w:ind w:firstLine="0"/>
              <w:rPr>
                <w:sz w:val="24"/>
                <w:szCs w:val="24"/>
              </w:rPr>
            </w:pPr>
            <w:r w:rsidRPr="00DD4438">
              <w:rPr>
                <w:sz w:val="24"/>
                <w:szCs w:val="24"/>
              </w:rPr>
              <w:t>Utilities</w:t>
            </w:r>
          </w:p>
        </w:tc>
        <w:tc>
          <w:tcPr>
            <w:tcW w:w="2610" w:type="dxa"/>
          </w:tcPr>
          <w:p w:rsidRPr="00DD4438" w:rsidR="008E51C6" w:rsidP="008E51C6" w:rsidRDefault="008E51C6" w14:paraId="3E051C1E" w14:textId="386942B0">
            <w:pPr>
              <w:pStyle w:val="Standard"/>
              <w:spacing w:after="120" w:line="240" w:lineRule="auto"/>
              <w:ind w:firstLine="0"/>
              <w:rPr>
                <w:sz w:val="24"/>
                <w:szCs w:val="24"/>
              </w:rPr>
            </w:pPr>
            <w:r w:rsidRPr="00DD4438">
              <w:rPr>
                <w:sz w:val="24"/>
                <w:szCs w:val="24"/>
              </w:rPr>
              <w:t>Existing CARE and FERA</w:t>
            </w:r>
            <w:r>
              <w:rPr>
                <w:sz w:val="24"/>
                <w:szCs w:val="24"/>
              </w:rPr>
              <w:t xml:space="preserve"> process</w:t>
            </w:r>
          </w:p>
        </w:tc>
        <w:tc>
          <w:tcPr>
            <w:tcW w:w="3055" w:type="dxa"/>
          </w:tcPr>
          <w:p w:rsidR="008E51C6" w:rsidP="008E51C6" w:rsidRDefault="008E51C6" w14:paraId="65146EC8" w14:textId="71469E7D">
            <w:pPr>
              <w:pStyle w:val="Standard"/>
              <w:spacing w:after="120" w:line="240" w:lineRule="auto"/>
              <w:ind w:firstLine="0"/>
              <w:rPr>
                <w:sz w:val="24"/>
                <w:szCs w:val="24"/>
              </w:rPr>
            </w:pPr>
            <w:r w:rsidRPr="00DD4438">
              <w:rPr>
                <w:sz w:val="24"/>
                <w:szCs w:val="24"/>
              </w:rPr>
              <w:t xml:space="preserve">Based on whether </w:t>
            </w:r>
            <w:r w:rsidR="007838D3">
              <w:rPr>
                <w:sz w:val="24"/>
                <w:szCs w:val="24"/>
              </w:rPr>
              <w:t xml:space="preserve">or not </w:t>
            </w:r>
            <w:r w:rsidRPr="00DD4438">
              <w:rPr>
                <w:sz w:val="24"/>
                <w:szCs w:val="24"/>
              </w:rPr>
              <w:t>enrolled in CARE/ FERA</w:t>
            </w:r>
          </w:p>
        </w:tc>
      </w:tr>
    </w:tbl>
    <w:p w:rsidR="00070796" w:rsidP="00070796" w:rsidRDefault="00070796" w14:paraId="7EA8F00C" w14:textId="77777777">
      <w:pPr>
        <w:pStyle w:val="Standard"/>
        <w:ind w:firstLine="0"/>
      </w:pPr>
    </w:p>
    <w:p w:rsidR="00E630AF" w:rsidP="008B7CA2" w:rsidRDefault="00EE0D24" w14:paraId="10AD4288" w14:textId="6D96AD48">
      <w:pPr>
        <w:pStyle w:val="Standard"/>
      </w:pPr>
      <w:r>
        <w:t>The Large Utilities</w:t>
      </w:r>
      <w:r w:rsidR="002F053E">
        <w:t xml:space="preserve"> initially</w:t>
      </w:r>
      <w:r>
        <w:t xml:space="preserve"> proposed hiring a third-party administrator to </w:t>
      </w:r>
      <w:r w:rsidR="00FF1336">
        <w:t>obtain customer income data from the Franchise Tax Board.</w:t>
      </w:r>
      <w:r w:rsidR="00B864AE">
        <w:t xml:space="preserve"> </w:t>
      </w:r>
      <w:r w:rsidR="00FF1336">
        <w:t xml:space="preserve">The Large Utilities strongly opposed </w:t>
      </w:r>
      <w:r w:rsidR="00454E40">
        <w:t>having a direct role in obtaining or holding customer income data. The Large Utilities</w:t>
      </w:r>
      <w:r w:rsidR="000C09DD">
        <w:t xml:space="preserve"> asserted that, based on </w:t>
      </w:r>
      <w:r w:rsidR="005866A6">
        <w:t xml:space="preserve">the costs of the CARE and FERA income verification processes, it would cost at least $97 million </w:t>
      </w:r>
      <w:r w:rsidR="004F0504">
        <w:t>to initially</w:t>
      </w:r>
      <w:r w:rsidR="005866A6">
        <w:t xml:space="preserve"> verify the incomes of</w:t>
      </w:r>
      <w:r w:rsidR="004F0504">
        <w:t xml:space="preserve"> all of </w:t>
      </w:r>
      <w:r w:rsidR="001B26C7">
        <w:t>their</w:t>
      </w:r>
      <w:r w:rsidR="004F0504">
        <w:t xml:space="preserve"> </w:t>
      </w:r>
      <w:r w:rsidR="006376E1">
        <w:t xml:space="preserve">approximately </w:t>
      </w:r>
      <w:r w:rsidR="00D9623F">
        <w:t>10.8 million</w:t>
      </w:r>
      <w:r w:rsidR="004F0504">
        <w:t xml:space="preserve"> residential customers</w:t>
      </w:r>
      <w:r w:rsidR="001F35A8">
        <w:t xml:space="preserve">, not including </w:t>
      </w:r>
      <w:r w:rsidR="00A817E5">
        <w:t>initial implementation costs</w:t>
      </w:r>
      <w:r w:rsidR="004F0504">
        <w:t>.</w:t>
      </w:r>
      <w:r w:rsidR="00997A67">
        <w:t xml:space="preserve"> The Large Utilities</w:t>
      </w:r>
      <w:r w:rsidR="00DF7933">
        <w:t xml:space="preserve"> acknowledged that these costs are very high and expressed a desire for the Legislature to authorize </w:t>
      </w:r>
      <w:r w:rsidR="00460868">
        <w:t>taxpayer funding to pay for these costs.</w:t>
      </w:r>
      <w:r w:rsidR="0093203B">
        <w:t xml:space="preserve"> The Large Utilities also noted that </w:t>
      </w:r>
      <w:r w:rsidR="00092E52">
        <w:t xml:space="preserve">statutory changes allowing information sharing between the Franchise Tax Board and the Commission </w:t>
      </w:r>
      <w:r w:rsidR="00D04EAB">
        <w:t>could make the process more efficient.</w:t>
      </w:r>
      <w:r w:rsidR="008B7CA2">
        <w:rPr>
          <w:rStyle w:val="FootnoteReference"/>
        </w:rPr>
        <w:footnoteReference w:id="66"/>
      </w:r>
    </w:p>
    <w:p w:rsidR="00572082" w:rsidP="009F6D9F" w:rsidRDefault="000C2817" w14:paraId="3CBDE730" w14:textId="7372F9F3">
      <w:pPr>
        <w:pStyle w:val="Standard"/>
      </w:pPr>
      <w:r>
        <w:t xml:space="preserve">SEIA </w:t>
      </w:r>
      <w:r w:rsidR="00F63097">
        <w:t xml:space="preserve">and CEJA </w:t>
      </w:r>
      <w:r>
        <w:t xml:space="preserve">opposed the Large Utilities’ income verification proposal, arguing that </w:t>
      </w:r>
      <w:r w:rsidR="00A817E5">
        <w:t xml:space="preserve">the implementation costs </w:t>
      </w:r>
      <w:r w:rsidR="00F63097">
        <w:t>would be</w:t>
      </w:r>
      <w:r w:rsidR="00A817E5">
        <w:t xml:space="preserve"> unreasonable</w:t>
      </w:r>
      <w:r w:rsidR="00EC2148">
        <w:t>.</w:t>
      </w:r>
      <w:r w:rsidR="008819FF">
        <w:t xml:space="preserve"> </w:t>
      </w:r>
      <w:r w:rsidR="00553F97">
        <w:t xml:space="preserve">SEIA </w:t>
      </w:r>
      <w:r w:rsidR="008819FF">
        <w:t xml:space="preserve">and CEJA also </w:t>
      </w:r>
      <w:r w:rsidR="00110B38">
        <w:t>identified man</w:t>
      </w:r>
      <w:r w:rsidR="005B69C2">
        <w:t>y Franchise Tax Board data gaps, including residential accounts with business names as the account holder</w:t>
      </w:r>
      <w:r w:rsidR="00661506">
        <w:t>,</w:t>
      </w:r>
      <w:r w:rsidR="00D11302">
        <w:t xml:space="preserve"> customer income from </w:t>
      </w:r>
      <w:r w:rsidR="00D11302">
        <w:lastRenderedPageBreak/>
        <w:t>other state</w:t>
      </w:r>
      <w:r w:rsidR="00973037">
        <w:t>s</w:t>
      </w:r>
      <w:r w:rsidR="00005C8E">
        <w:t>, and customers who do not file or pay taxes</w:t>
      </w:r>
      <w:r w:rsidR="00AB78E1">
        <w:t>.</w:t>
      </w:r>
      <w:r w:rsidR="006C3825">
        <w:rPr>
          <w:rStyle w:val="FootnoteReference"/>
        </w:rPr>
        <w:footnoteReference w:id="67"/>
      </w:r>
      <w:r w:rsidR="002D7677">
        <w:t xml:space="preserve"> </w:t>
      </w:r>
      <w:r w:rsidR="008A0C5D">
        <w:t xml:space="preserve">We agree that </w:t>
      </w:r>
      <w:r w:rsidR="00AE033E">
        <w:t xml:space="preserve">the estimated costs of the </w:t>
      </w:r>
      <w:r w:rsidR="00EA2873">
        <w:t xml:space="preserve">Large Utilities’ proposal and potential gaps in data necessary to assign customers to a fixed charge tier </w:t>
      </w:r>
      <w:r w:rsidR="00311F61">
        <w:t>are impediments.</w:t>
      </w:r>
    </w:p>
    <w:p w:rsidR="00F659B0" w:rsidP="009F6D9F" w:rsidRDefault="008A0C5D" w14:paraId="6475AC55" w14:textId="0454C3F7">
      <w:pPr>
        <w:pStyle w:val="Standard"/>
      </w:pPr>
      <w:r w:rsidRPr="008A0C5D">
        <w:t>SEIA also noted that the Large Utilities’ proposal would require the creation of a new income verification process that would delay the implementation of fixed charges until at least 2028 and would require additional legislation to allow the Franchise Tax Board to share customers’ tax return data with the Commission.</w:t>
      </w:r>
      <w:r w:rsidRPr="008A0C5D">
        <w:rPr>
          <w:vertAlign w:val="superscript"/>
        </w:rPr>
        <w:footnoteReference w:id="68"/>
      </w:r>
      <w:r>
        <w:t xml:space="preserve"> </w:t>
      </w:r>
      <w:r w:rsidR="002C0995">
        <w:t xml:space="preserve">The </w:t>
      </w:r>
      <w:r w:rsidR="005605DA">
        <w:t>Small Utilities</w:t>
      </w:r>
      <w:r w:rsidR="002C0995">
        <w:t xml:space="preserve"> </w:t>
      </w:r>
      <w:r>
        <w:t xml:space="preserve">similarly </w:t>
      </w:r>
      <w:r w:rsidR="002C0995">
        <w:t xml:space="preserve">argued that while an income verification process administered by a third-party could be </w:t>
      </w:r>
      <w:r w:rsidR="00B42312">
        <w:t xml:space="preserve">appropriate in the long-term, it would be more efficient and less burdensome to </w:t>
      </w:r>
      <w:r w:rsidR="00CE7B83">
        <w:t>implement a process that relies on the existing CARE self-attestation process in the short term.</w:t>
      </w:r>
      <w:r w:rsidR="00CE7B83">
        <w:rPr>
          <w:rStyle w:val="FootnoteReference"/>
        </w:rPr>
        <w:footnoteReference w:id="69"/>
      </w:r>
      <w:r w:rsidR="00B001B3">
        <w:t xml:space="preserve"> </w:t>
      </w:r>
      <w:r w:rsidR="00F659B0">
        <w:t xml:space="preserve">We </w:t>
      </w:r>
      <w:r w:rsidR="00B001B3">
        <w:t xml:space="preserve">agree </w:t>
      </w:r>
      <w:r w:rsidR="005D0B12">
        <w:t>that creating a new</w:t>
      </w:r>
      <w:r w:rsidR="00C04DF4">
        <w:t xml:space="preserve"> income verification p</w:t>
      </w:r>
      <w:r w:rsidR="005D0B12">
        <w:t xml:space="preserve">rocess administered by a third party would take </w:t>
      </w:r>
      <w:r w:rsidR="000A2147">
        <w:t>significant time to implement</w:t>
      </w:r>
      <w:r w:rsidR="00280A26">
        <w:t>.</w:t>
      </w:r>
    </w:p>
    <w:p w:rsidR="00E046F0" w:rsidP="00257480" w:rsidRDefault="00E30C06" w14:paraId="5908593C" w14:textId="1ED5791B">
      <w:pPr>
        <w:pStyle w:val="Standard"/>
      </w:pPr>
      <w:r>
        <w:t xml:space="preserve">TURN/NRDC and Cal Advocates proposed </w:t>
      </w:r>
      <w:r w:rsidR="00C04DF4">
        <w:t>to use</w:t>
      </w:r>
      <w:r w:rsidR="004A323C">
        <w:t xml:space="preserve"> </w:t>
      </w:r>
      <w:r>
        <w:t>The Work Number, an Equifax service that uses credit agency data to support income verification for</w:t>
      </w:r>
      <w:r w:rsidR="007A0D57">
        <w:t xml:space="preserve"> many low-income assistance programs. </w:t>
      </w:r>
      <w:r w:rsidR="00201D90">
        <w:t>These parties proposed to</w:t>
      </w:r>
      <w:r w:rsidR="00B408FA">
        <w:t xml:space="preserve"> assign by</w:t>
      </w:r>
      <w:r w:rsidR="00201D90">
        <w:t xml:space="preserve"> default all customers that are not enrolled in CARE or FERA into the highest income tier and provide these customers with the opportunity to </w:t>
      </w:r>
      <w:r w:rsidR="00704F54">
        <w:t>qualify for a middle tier fixed charge if they consent to income verification through the Equifax service.</w:t>
      </w:r>
      <w:r w:rsidR="006908E5">
        <w:t xml:space="preserve"> TURN/NRDC noted that California agencies already use The Work Number for </w:t>
      </w:r>
      <w:r w:rsidR="00257480">
        <w:t xml:space="preserve">some low-income assistance programs, such as Medi-Cal, and </w:t>
      </w:r>
      <w:r w:rsidR="00257480">
        <w:lastRenderedPageBreak/>
        <w:t xml:space="preserve">have a master services agreement that sets a rate per individual verification of </w:t>
      </w:r>
      <w:r w:rsidRPr="00257480" w:rsidR="00257480">
        <w:t>$10.30-$15.08</w:t>
      </w:r>
      <w:r w:rsidR="00257480">
        <w:t>.</w:t>
      </w:r>
      <w:r w:rsidR="003F578E">
        <w:rPr>
          <w:rStyle w:val="FootnoteReference"/>
        </w:rPr>
        <w:footnoteReference w:id="70"/>
      </w:r>
      <w:r w:rsidR="00704F54">
        <w:t xml:space="preserve"> </w:t>
      </w:r>
      <w:bookmarkStart w:name="_Hlk156996752" w:id="24"/>
    </w:p>
    <w:p w:rsidR="00AE1C7C" w:rsidP="00AC22B1" w:rsidRDefault="00A229EE" w14:paraId="5F1193FE" w14:textId="756C4409">
      <w:pPr>
        <w:pStyle w:val="Standard"/>
      </w:pPr>
      <w:r>
        <w:t>Several parties</w:t>
      </w:r>
      <w:r w:rsidR="00B26A77">
        <w:t xml:space="preserve"> opposed this proposal</w:t>
      </w:r>
      <w:r w:rsidR="00210E64">
        <w:t xml:space="preserve">. </w:t>
      </w:r>
      <w:r w:rsidRPr="002A00DB" w:rsidR="002A00DB">
        <w:t>CEJA, SEIA, and the Large Utilities argued that the cost to ratepayers of using The Work Number service would be too high.</w:t>
      </w:r>
      <w:r w:rsidRPr="002A00DB" w:rsidR="002A00DB">
        <w:rPr>
          <w:vertAlign w:val="superscript"/>
        </w:rPr>
        <w:footnoteReference w:id="71"/>
      </w:r>
      <w:r w:rsidRPr="002A00DB" w:rsidR="002A00DB">
        <w:t xml:space="preserve"> </w:t>
      </w:r>
      <w:r w:rsidR="00A111B4">
        <w:t>The Large Utilities</w:t>
      </w:r>
      <w:r w:rsidR="002A00DB">
        <w:t xml:space="preserve"> </w:t>
      </w:r>
      <w:r w:rsidR="006B7DB3">
        <w:t>and UCAN also argued that The Work Number does not have sufficient data to place customers into tiers for fixed charges. The Large Utilities</w:t>
      </w:r>
      <w:r w:rsidR="00A111B4">
        <w:t xml:space="preserve"> </w:t>
      </w:r>
      <w:r w:rsidR="00060C86">
        <w:t xml:space="preserve">noted that </w:t>
      </w:r>
      <w:r w:rsidR="00210E64">
        <w:t>The Work Number relies on payroll data</w:t>
      </w:r>
      <w:r w:rsidR="00703050">
        <w:t xml:space="preserve"> from companies </w:t>
      </w:r>
      <w:r w:rsidR="007F227E">
        <w:t xml:space="preserve">and </w:t>
      </w:r>
      <w:r w:rsidR="00703050">
        <w:t>does not have data from</w:t>
      </w:r>
      <w:r w:rsidR="005F392A">
        <w:t xml:space="preserve"> California residents who filed taxes but had no income from salary or wages, such as retirees</w:t>
      </w:r>
      <w:r w:rsidR="001D5ACF">
        <w:t>.</w:t>
      </w:r>
      <w:r w:rsidR="008B6211">
        <w:t xml:space="preserve"> </w:t>
      </w:r>
      <w:r w:rsidR="00382D6B">
        <w:t xml:space="preserve">The Work Number also does not have </w:t>
      </w:r>
      <w:r w:rsidR="00A30BC3">
        <w:t xml:space="preserve">records for </w:t>
      </w:r>
      <w:r w:rsidR="00B3220F">
        <w:t>a large portion of</w:t>
      </w:r>
      <w:r w:rsidR="003E0B4B">
        <w:t xml:space="preserve"> </w:t>
      </w:r>
      <w:r w:rsidR="00387DE4">
        <w:t>working Californians, including small business employees, farmworkers, and domestic employees.</w:t>
      </w:r>
      <w:r w:rsidR="00311F1E">
        <w:rPr>
          <w:rStyle w:val="FootnoteReference"/>
        </w:rPr>
        <w:footnoteReference w:id="72"/>
      </w:r>
      <w:r w:rsidR="00C141A1">
        <w:t xml:space="preserve"> </w:t>
      </w:r>
      <w:r w:rsidR="000B3855">
        <w:t xml:space="preserve">UCAN </w:t>
      </w:r>
      <w:r w:rsidR="0044763C">
        <w:t>asserted that</w:t>
      </w:r>
      <w:r w:rsidR="0028237D">
        <w:t xml:space="preserve"> The Work Number </w:t>
      </w:r>
      <w:r w:rsidR="000B3855">
        <w:t>would not account for investment income, which could result in higher income households being erroneously placed in a lower tier.</w:t>
      </w:r>
      <w:r w:rsidR="000B3855">
        <w:rPr>
          <w:rStyle w:val="FootnoteReference"/>
        </w:rPr>
        <w:footnoteReference w:id="73"/>
      </w:r>
      <w:r w:rsidR="000B3855">
        <w:t xml:space="preserve"> </w:t>
      </w:r>
    </w:p>
    <w:p w:rsidR="001B26C7" w:rsidP="001B26C7" w:rsidRDefault="001B26C7" w14:paraId="7DBB94C5" w14:textId="75B6FEC7">
      <w:pPr>
        <w:pStyle w:val="Standard"/>
      </w:pPr>
      <w:r w:rsidRPr="001B26C7">
        <w:t>We do not adopt The Work Number as the main tool for verifying the incomes of customers with higher incomes at this time. The limits of The Work Number’s records for some segments of customers and the potential costs of using The Work Number to verify the incomes of millions of California residents are impediments to the immediate implementation of income verification using The Work Number.</w:t>
      </w:r>
    </w:p>
    <w:bookmarkEnd w:id="24"/>
    <w:p w:rsidR="00911EC0" w:rsidP="0065710C" w:rsidRDefault="006B48A4" w14:paraId="2CE3A74D" w14:textId="41CB6CC4">
      <w:pPr>
        <w:pStyle w:val="Standard"/>
      </w:pPr>
      <w:r>
        <w:t xml:space="preserve">CEJA proposed </w:t>
      </w:r>
      <w:r w:rsidR="00594C60">
        <w:t>that all customers</w:t>
      </w:r>
      <w:r>
        <w:t xml:space="preserve"> self-attest</w:t>
      </w:r>
      <w:r w:rsidR="00594C60">
        <w:t xml:space="preserve"> to </w:t>
      </w:r>
      <w:r w:rsidR="00A15C09">
        <w:t>their income level</w:t>
      </w:r>
      <w:r w:rsidR="00B613DE">
        <w:t xml:space="preserve"> by text message</w:t>
      </w:r>
      <w:r w:rsidR="00A15C09">
        <w:t xml:space="preserve">. </w:t>
      </w:r>
      <w:r w:rsidR="00797587">
        <w:t xml:space="preserve">Instead of </w:t>
      </w:r>
      <w:r w:rsidR="00B408FA">
        <w:t>assign</w:t>
      </w:r>
      <w:r w:rsidR="00797587">
        <w:t>ing</w:t>
      </w:r>
      <w:r w:rsidR="00B408FA">
        <w:t xml:space="preserve"> </w:t>
      </w:r>
      <w:r w:rsidR="00797587">
        <w:t>those</w:t>
      </w:r>
      <w:r w:rsidR="00A15C09">
        <w:t xml:space="preserve"> customers who are not enrolled in CARE or </w:t>
      </w:r>
      <w:r w:rsidR="00A15C09">
        <w:lastRenderedPageBreak/>
        <w:t>FERA into the highest tier</w:t>
      </w:r>
      <w:r w:rsidR="00797587">
        <w:t xml:space="preserve"> by default</w:t>
      </w:r>
      <w:r w:rsidR="00A15C09">
        <w:t xml:space="preserve">, CEJA proposed to </w:t>
      </w:r>
      <w:r w:rsidR="00206459">
        <w:t xml:space="preserve">assign </w:t>
      </w:r>
      <w:r w:rsidR="00E204DC">
        <w:t xml:space="preserve">customers into </w:t>
      </w:r>
      <w:r w:rsidR="00E50CC7">
        <w:t xml:space="preserve">five </w:t>
      </w:r>
      <w:r w:rsidR="00E204DC">
        <w:t xml:space="preserve">income tiers based on publicly available property </w:t>
      </w:r>
      <w:r w:rsidR="00EB6BB7">
        <w:t xml:space="preserve">tax </w:t>
      </w:r>
      <w:r w:rsidR="00E204DC">
        <w:t>assessment values.</w:t>
      </w:r>
      <w:r w:rsidR="006F3DD4">
        <w:t xml:space="preserve"> CEJA proposed </w:t>
      </w:r>
      <w:r w:rsidR="009C105B">
        <w:t xml:space="preserve">to assign </w:t>
      </w:r>
      <w:r w:rsidR="006454F5">
        <w:t xml:space="preserve">renters </w:t>
      </w:r>
      <w:r w:rsidR="003351E1">
        <w:t xml:space="preserve">in multi-family properties </w:t>
      </w:r>
      <w:r w:rsidR="006454F5">
        <w:t xml:space="preserve">to </w:t>
      </w:r>
      <w:r w:rsidR="006566D8">
        <w:t>a tier based on the</w:t>
      </w:r>
      <w:r w:rsidRPr="009C105B" w:rsidR="009C105B">
        <w:t xml:space="preserve"> median income of the census tract</w:t>
      </w:r>
      <w:r w:rsidR="006566D8">
        <w:t>,</w:t>
      </w:r>
      <w:r w:rsidRPr="009C105B" w:rsidR="009C105B">
        <w:t xml:space="preserve"> unless the </w:t>
      </w:r>
      <w:r w:rsidR="006454F5">
        <w:t>multi-family property</w:t>
      </w:r>
      <w:r w:rsidRPr="009C105B" w:rsidR="009C105B">
        <w:t xml:space="preserve"> is located in a disadvantaged community</w:t>
      </w:r>
      <w:r w:rsidR="006454F5">
        <w:t>,</w:t>
      </w:r>
      <w:r w:rsidRPr="009C105B" w:rsidR="009C105B">
        <w:t xml:space="preserve"> in which case the</w:t>
      </w:r>
      <w:r w:rsidR="006454F5">
        <w:t xml:space="preserve"> </w:t>
      </w:r>
      <w:r w:rsidRPr="009C105B" w:rsidR="009C105B">
        <w:t xml:space="preserve">customer will be placed in the lowest income </w:t>
      </w:r>
      <w:r w:rsidR="006454F5">
        <w:t>tier.</w:t>
      </w:r>
      <w:r w:rsidR="009B44D2">
        <w:rPr>
          <w:rStyle w:val="FootnoteReference"/>
        </w:rPr>
        <w:footnoteReference w:id="74"/>
      </w:r>
      <w:r w:rsidRPr="009B44D2" w:rsidR="009B44D2">
        <w:t xml:space="preserve"> </w:t>
      </w:r>
    </w:p>
    <w:p w:rsidR="00707DD2" w:rsidP="00707DD2" w:rsidRDefault="00445EA0" w14:paraId="02BBFD20" w14:textId="7B679709">
      <w:pPr>
        <w:pStyle w:val="Standard"/>
      </w:pPr>
      <w:r>
        <w:t>Cal Advocates and t</w:t>
      </w:r>
      <w:r w:rsidR="00334AF0">
        <w:t xml:space="preserve">he Large Utilities opposed the use of property </w:t>
      </w:r>
      <w:r w:rsidR="00EB6BB7">
        <w:t xml:space="preserve">tax </w:t>
      </w:r>
      <w:r w:rsidR="00334AF0">
        <w:t xml:space="preserve">assessment values to </w:t>
      </w:r>
      <w:r w:rsidR="008D0467">
        <w:t xml:space="preserve">assign </w:t>
      </w:r>
      <w:r w:rsidR="00334AF0">
        <w:t xml:space="preserve">customers to income tiers. </w:t>
      </w:r>
      <w:r w:rsidR="004B6D30">
        <w:t xml:space="preserve">Cal Advocates argued that property </w:t>
      </w:r>
      <w:r w:rsidR="00EB6BB7">
        <w:t>tax assessment</w:t>
      </w:r>
      <w:r w:rsidR="00415B3A">
        <w:t>s</w:t>
      </w:r>
      <w:r w:rsidR="00EB6BB7">
        <w:t xml:space="preserve"> </w:t>
      </w:r>
      <w:r w:rsidR="004B6D30">
        <w:t xml:space="preserve">are a poor </w:t>
      </w:r>
      <w:r w:rsidR="00EB6BB7">
        <w:t>proxy for</w:t>
      </w:r>
      <w:r w:rsidR="00415B3A">
        <w:t xml:space="preserve"> household incomes. Cal Advocates </w:t>
      </w:r>
      <w:r w:rsidR="004722B5">
        <w:t>cited a recent</w:t>
      </w:r>
      <w:r w:rsidR="00A075C4">
        <w:t xml:space="preserve"> academic</w:t>
      </w:r>
      <w:r w:rsidR="004722B5">
        <w:t xml:space="preserve"> evaluation of property </w:t>
      </w:r>
      <w:r w:rsidR="00A075C4">
        <w:t xml:space="preserve">taxes in Los Angeles </w:t>
      </w:r>
      <w:r w:rsidR="00BD566E">
        <w:t xml:space="preserve">County </w:t>
      </w:r>
      <w:r w:rsidR="00A075C4">
        <w:t xml:space="preserve">that found that </w:t>
      </w:r>
      <w:r w:rsidR="00BD566E">
        <w:t>property tax assessments lead to inequitable</w:t>
      </w:r>
      <w:r w:rsidR="00012A2A">
        <w:t xml:space="preserve"> taxation that disproportionately burdens low-income </w:t>
      </w:r>
      <w:r w:rsidR="001638C0">
        <w:t>residents</w:t>
      </w:r>
      <w:r w:rsidR="00012A2A">
        <w:t>;</w:t>
      </w:r>
      <w:r w:rsidR="00802693">
        <w:t xml:space="preserve"> low-value homes fac</w:t>
      </w:r>
      <w:r w:rsidR="00012A2A">
        <w:t>e</w:t>
      </w:r>
      <w:r w:rsidR="00802693">
        <w:t xml:space="preserve"> higher tax assessments relative to their actual sale price than high-value homes.</w:t>
      </w:r>
      <w:r w:rsidRPr="002571BE" w:rsidR="002571BE">
        <w:rPr>
          <w:vertAlign w:val="superscript"/>
        </w:rPr>
        <w:footnoteReference w:id="75"/>
      </w:r>
      <w:r w:rsidR="00325C73">
        <w:t xml:space="preserve"> </w:t>
      </w:r>
      <w:r w:rsidRPr="00325C73" w:rsidR="00325C73">
        <w:t xml:space="preserve">Cal Advocates also argued that CEJA did not provide cost estimates for </w:t>
      </w:r>
      <w:r w:rsidR="00072A49">
        <w:t xml:space="preserve">assigning </w:t>
      </w:r>
      <w:r w:rsidRPr="00325C73" w:rsidR="00325C73">
        <w:t>customers to income tiers based on property tax assessments and argued that this approach would likely cost more on a per-household basis than the Large Utilities’ costs for CARE income verification.</w:t>
      </w:r>
      <w:r w:rsidR="001638C0">
        <w:rPr>
          <w:rStyle w:val="FootnoteReference"/>
        </w:rPr>
        <w:footnoteReference w:id="76"/>
      </w:r>
      <w:r w:rsidR="00AD140C">
        <w:t xml:space="preserve"> </w:t>
      </w:r>
      <w:r w:rsidR="005407C2">
        <w:t xml:space="preserve">The Large Utilities argued that CEJA’s proposal to </w:t>
      </w:r>
      <w:r w:rsidR="0080267A">
        <w:t xml:space="preserve">assign </w:t>
      </w:r>
      <w:r w:rsidR="005407C2">
        <w:t xml:space="preserve">renters in multi-family properties outside of disadvantaged communities to a tier based on the median income of the census tract would be inequitable because it would result in low-income customers in census tracts with high median incomes being defaulted to an income bracket </w:t>
      </w:r>
      <w:r w:rsidR="005407C2">
        <w:lastRenderedPageBreak/>
        <w:t>that is too high.</w:t>
      </w:r>
      <w:r w:rsidR="005407C2">
        <w:rPr>
          <w:rStyle w:val="FootnoteReference"/>
        </w:rPr>
        <w:footnoteReference w:id="77"/>
      </w:r>
      <w:r w:rsidR="005407C2">
        <w:t xml:space="preserve"> We </w:t>
      </w:r>
      <w:r w:rsidR="00F80425">
        <w:t>share</w:t>
      </w:r>
      <w:r w:rsidR="005407C2">
        <w:t xml:space="preserve"> these concerns about using property tax assessments to assign customers to income tiers.</w:t>
      </w:r>
    </w:p>
    <w:p w:rsidR="00C415D7" w:rsidP="00AD6858" w:rsidRDefault="00D23AF8" w14:paraId="65C7B9DA" w14:textId="2A917AB9">
      <w:pPr>
        <w:pStyle w:val="Standard"/>
      </w:pPr>
      <w:r>
        <w:t>SEIA proposed to rely only on the existing CARE and FERA income verification processes.</w:t>
      </w:r>
      <w:r w:rsidR="000C420F">
        <w:t xml:space="preserve"> </w:t>
      </w:r>
      <w:r w:rsidR="00D93CE0">
        <w:t xml:space="preserve">The </w:t>
      </w:r>
      <w:r w:rsidR="005605DA">
        <w:t>Small Utilities</w:t>
      </w:r>
      <w:r w:rsidR="00D93CE0">
        <w:t>, wh</w:t>
      </w:r>
      <w:r w:rsidR="7B346592">
        <w:t>ich</w:t>
      </w:r>
      <w:r w:rsidR="00D93CE0">
        <w:t xml:space="preserve"> do not have FERA programs, proposed to rely on the existing CARE income verification processes. </w:t>
      </w:r>
      <w:r w:rsidR="002A1BA9">
        <w:t>These parties</w:t>
      </w:r>
      <w:r w:rsidR="005262FC">
        <w:t xml:space="preserve"> </w:t>
      </w:r>
      <w:r w:rsidR="000C420F">
        <w:t xml:space="preserve">argued that this approach </w:t>
      </w:r>
      <w:r w:rsidR="005262FC">
        <w:t xml:space="preserve">would be </w:t>
      </w:r>
      <w:r w:rsidR="000C420F">
        <w:t>the least expensive and most administratively simple to implement.</w:t>
      </w:r>
      <w:r w:rsidR="005262FC">
        <w:rPr>
          <w:rStyle w:val="FootnoteReference"/>
        </w:rPr>
        <w:footnoteReference w:id="78"/>
      </w:r>
      <w:r>
        <w:t xml:space="preserve"> </w:t>
      </w:r>
      <w:r w:rsidR="002D561C">
        <w:t xml:space="preserve">UCAN supported SEIA’s proposal, arguing that </w:t>
      </w:r>
      <w:r w:rsidR="00085075">
        <w:t xml:space="preserve">it was the only income verification proposal that could be </w:t>
      </w:r>
      <w:r w:rsidR="00803A88">
        <w:t xml:space="preserve">immediately </w:t>
      </w:r>
      <w:r w:rsidR="00085075">
        <w:t>implemented in a way that would not harm</w:t>
      </w:r>
      <w:r w:rsidR="00D52235">
        <w:t xml:space="preserve"> residential</w:t>
      </w:r>
      <w:r w:rsidR="00085075">
        <w:t xml:space="preserve"> </w:t>
      </w:r>
      <w:r w:rsidR="00D52235">
        <w:t>customers through assignments into the wrong income tier or impose unreasonable implementation costs on ratepayers</w:t>
      </w:r>
      <w:r w:rsidR="007246C3">
        <w:t>.</w:t>
      </w:r>
      <w:r w:rsidR="007246C3">
        <w:rPr>
          <w:rStyle w:val="FootnoteReference"/>
        </w:rPr>
        <w:footnoteReference w:id="79"/>
      </w:r>
      <w:r w:rsidR="00732B67">
        <w:t xml:space="preserve"> </w:t>
      </w:r>
    </w:p>
    <w:p w:rsidRPr="00491C57" w:rsidR="001E78D2" w:rsidP="00AC22B1" w:rsidRDefault="00491C57" w14:paraId="04DDA5C0" w14:textId="20E970E1">
      <w:pPr>
        <w:pStyle w:val="Standard"/>
      </w:pPr>
      <w:r w:rsidRPr="00491C57">
        <w:t xml:space="preserve">CforAT </w:t>
      </w:r>
      <w:r w:rsidR="00704624">
        <w:t>asserted</w:t>
      </w:r>
      <w:r w:rsidRPr="00491C57" w:rsidR="00704624">
        <w:t xml:space="preserve"> </w:t>
      </w:r>
      <w:r w:rsidRPr="00491C57">
        <w:t>that parties’ initial income verification proposals show the limitations of the status quo, which would require customers to provide consent for a credit agency or the Franchise Tax Board to share income data with the Commission. CforAT argued that the Commission should consider “reasonable interim solutions” for assessing household income that make it as simple as possible to recognize which customers belong in the lowest tier.</w:t>
      </w:r>
      <w:r w:rsidR="00554289">
        <w:rPr>
          <w:rStyle w:val="FootnoteReference"/>
        </w:rPr>
        <w:footnoteReference w:id="80"/>
      </w:r>
      <w:r w:rsidRPr="00491C57">
        <w:t xml:space="preserve"> </w:t>
      </w:r>
    </w:p>
    <w:p w:rsidR="00A7742B" w:rsidP="00A7742B" w:rsidRDefault="00491C57" w14:paraId="280DD748" w14:textId="55D3613C">
      <w:pPr>
        <w:pStyle w:val="Standard"/>
      </w:pPr>
      <w:r w:rsidRPr="00491C57">
        <w:t xml:space="preserve">We agree with CforAT that the Commission should </w:t>
      </w:r>
      <w:r w:rsidR="00E96A6E">
        <w:t>authorize a</w:t>
      </w:r>
      <w:r w:rsidR="00B33F84">
        <w:t xml:space="preserve"> simple</w:t>
      </w:r>
      <w:r w:rsidRPr="00491C57">
        <w:t xml:space="preserve"> solution for income verification </w:t>
      </w:r>
      <w:r w:rsidR="00A64AE6">
        <w:t>at this time</w:t>
      </w:r>
      <w:r w:rsidRPr="00491C57">
        <w:t>. The parties’ opening proposals indicated not only the legal restrictions that apply to income verification, but also the high costs and time required to develop and implement a new income verification process.</w:t>
      </w:r>
      <w:r w:rsidR="001A734D">
        <w:t xml:space="preserve"> Further, party proposals presented </w:t>
      </w:r>
      <w:r w:rsidR="00D525FB">
        <w:t>more</w:t>
      </w:r>
      <w:r w:rsidR="001A734D">
        <w:t xml:space="preserve"> questions </w:t>
      </w:r>
      <w:r w:rsidR="00D525FB">
        <w:t xml:space="preserve">than </w:t>
      </w:r>
      <w:r w:rsidR="001A734D">
        <w:lastRenderedPageBreak/>
        <w:t xml:space="preserve">answers </w:t>
      </w:r>
      <w:r w:rsidR="000C5566">
        <w:t>about</w:t>
      </w:r>
      <w:r w:rsidR="001A734D">
        <w:t xml:space="preserve"> how to design</w:t>
      </w:r>
      <w:r w:rsidR="00B52C27">
        <w:t xml:space="preserve"> and implement</w:t>
      </w:r>
      <w:r w:rsidR="001A734D">
        <w:t xml:space="preserve"> an income verification process</w:t>
      </w:r>
      <w:r w:rsidR="00050ACA">
        <w:t xml:space="preserve"> that can differentiate between moderate- and high-income customers.</w:t>
      </w:r>
      <w:r w:rsidR="002E268A">
        <w:t xml:space="preserve"> It is clear that this issue requires further </w:t>
      </w:r>
      <w:r w:rsidR="004630BB">
        <w:t>analysis</w:t>
      </w:r>
      <w:r w:rsidR="002E268A">
        <w:t xml:space="preserve"> and stakeholder </w:t>
      </w:r>
      <w:r w:rsidR="00C32113">
        <w:t xml:space="preserve">engagement to avoid the potential pitfalls of customer confusion, assigning customers to the wrong tier, and </w:t>
      </w:r>
      <w:r w:rsidR="006A1201">
        <w:t>inefficient spending of ratepayer funds.</w:t>
      </w:r>
    </w:p>
    <w:p w:rsidR="003654FB" w:rsidP="00D20CDF" w:rsidRDefault="003654FB" w14:paraId="6B8A5A1A" w14:textId="54860C17">
      <w:pPr>
        <w:pStyle w:val="Standard"/>
      </w:pPr>
      <w:r>
        <w:t>In opening briefs, Cal Advocates</w:t>
      </w:r>
      <w:r w:rsidR="005A7CFC">
        <w:t xml:space="preserve">, </w:t>
      </w:r>
      <w:r w:rsidR="00BA63BA">
        <w:t xml:space="preserve">the Clean Coalition, </w:t>
      </w:r>
      <w:r w:rsidR="00D33DD5">
        <w:t>UCAN</w:t>
      </w:r>
      <w:r w:rsidR="00C301D6">
        <w:t>,</w:t>
      </w:r>
      <w:r w:rsidR="00D20CDF">
        <w:t xml:space="preserve"> </w:t>
      </w:r>
      <w:r w:rsidR="00C301D6">
        <w:t xml:space="preserve">the Large Utilities, </w:t>
      </w:r>
      <w:r w:rsidR="0030734B">
        <w:t xml:space="preserve">SEIA, </w:t>
      </w:r>
      <w:r w:rsidR="00C301D6">
        <w:t xml:space="preserve">and the </w:t>
      </w:r>
      <w:r w:rsidR="005605DA">
        <w:t>Small Utilities</w:t>
      </w:r>
      <w:r>
        <w:t xml:space="preserve"> strongly supported relying upon existing </w:t>
      </w:r>
      <w:r w:rsidR="00D20CDF">
        <w:t xml:space="preserve">CARE and FERA income verification processes for the first </w:t>
      </w:r>
      <w:r w:rsidR="00CD73AE">
        <w:t xml:space="preserve">version of </w:t>
      </w:r>
      <w:r w:rsidR="00D20CDF">
        <w:t>income-graduated fixed charges.</w:t>
      </w:r>
      <w:r w:rsidR="008E280B">
        <w:rPr>
          <w:rStyle w:val="FootnoteReference"/>
        </w:rPr>
        <w:footnoteReference w:id="81"/>
      </w:r>
      <w:r w:rsidR="00D20CDF">
        <w:t xml:space="preserve"> </w:t>
      </w:r>
      <w:r w:rsidRPr="003654FB">
        <w:t>Cal Advocates a</w:t>
      </w:r>
      <w:r w:rsidR="00721319">
        <w:t>rgued</w:t>
      </w:r>
      <w:r w:rsidRPr="003654FB">
        <w:t xml:space="preserve"> that any new, untested, or more complex income verification approaches cannot be adopted until the Commission has had adequate time to vet their feasibility, cost, legality, and customer acceptance.</w:t>
      </w:r>
      <w:r w:rsidR="00D20CDF">
        <w:rPr>
          <w:rStyle w:val="FootnoteReference"/>
        </w:rPr>
        <w:footnoteReference w:id="82"/>
      </w:r>
      <w:r w:rsidR="00367296">
        <w:t xml:space="preserve"> We agree that the Commission needs additional time to consider these aspects of </w:t>
      </w:r>
      <w:r w:rsidR="0010024B">
        <w:t>new</w:t>
      </w:r>
      <w:r w:rsidR="00367296">
        <w:t xml:space="preserve"> </w:t>
      </w:r>
      <w:r w:rsidR="0010024B">
        <w:t>income verification approaches.</w:t>
      </w:r>
    </w:p>
    <w:p w:rsidR="001E7149" w:rsidP="006A68A4" w:rsidRDefault="00DC685F" w14:paraId="1D2472B6" w14:textId="06E92FAF">
      <w:pPr>
        <w:pStyle w:val="Standard"/>
      </w:pPr>
      <w:r>
        <w:t xml:space="preserve">It is reasonable for </w:t>
      </w:r>
      <w:r w:rsidR="00194958">
        <w:t xml:space="preserve">the </w:t>
      </w:r>
      <w:r>
        <w:t xml:space="preserve">income-graduated fixed charges </w:t>
      </w:r>
      <w:r w:rsidR="00194958">
        <w:t xml:space="preserve">authorized by this decision </w:t>
      </w:r>
      <w:r>
        <w:t>to</w:t>
      </w:r>
      <w:r w:rsidR="00194958">
        <w:t xml:space="preserve"> </w:t>
      </w:r>
      <w:r>
        <w:t>rely on</w:t>
      </w:r>
      <w:r w:rsidR="00324D5C">
        <w:t xml:space="preserve"> </w:t>
      </w:r>
      <w:r w:rsidR="00EE533A">
        <w:t xml:space="preserve">utilities’ </w:t>
      </w:r>
      <w:r>
        <w:t>existing CARE and FERA income verification processes.</w:t>
      </w:r>
      <w:r w:rsidRPr="32F9F1C9">
        <w:rPr>
          <w:rStyle w:val="FootnoteReference"/>
        </w:rPr>
        <w:footnoteReference w:id="83"/>
      </w:r>
      <w:r>
        <w:t xml:space="preserve"> </w:t>
      </w:r>
      <w:r w:rsidR="006A1A28">
        <w:t xml:space="preserve">This decision </w:t>
      </w:r>
      <w:r w:rsidR="003045CB">
        <w:t xml:space="preserve">addresses </w:t>
      </w:r>
      <w:r w:rsidR="006A1A28">
        <w:t>how to apply the utilities’ existing CARE and FERA income veri</w:t>
      </w:r>
      <w:r w:rsidR="002A4F44">
        <w:t xml:space="preserve">fication processes to income-graduated fixed charges in Sections </w:t>
      </w:r>
      <w:r w:rsidDel="00BF5E8F" w:rsidR="002A4F44">
        <w:t>5</w:t>
      </w:r>
      <w:r w:rsidR="002A4F44">
        <w:t xml:space="preserve"> and </w:t>
      </w:r>
      <w:r w:rsidDel="00BF5E8F" w:rsidR="002A4F44">
        <w:t>6</w:t>
      </w:r>
      <w:r w:rsidR="002A4F44">
        <w:t xml:space="preserve"> below.</w:t>
      </w:r>
    </w:p>
    <w:p w:rsidR="00AF36FF" w:rsidP="00702F6F" w:rsidRDefault="006A394A" w14:paraId="76E21581" w14:textId="30BA0932">
      <w:pPr>
        <w:pStyle w:val="Heading2"/>
      </w:pPr>
      <w:bookmarkStart w:name="_Toc160790036" w:id="25"/>
      <w:r>
        <w:lastRenderedPageBreak/>
        <w:t>Proce</w:t>
      </w:r>
      <w:r w:rsidR="00423B3A">
        <w:t>ss</w:t>
      </w:r>
      <w:r w:rsidR="00A05328">
        <w:t xml:space="preserve"> for </w:t>
      </w:r>
      <w:r w:rsidR="00EB31C8">
        <w:t>Improving</w:t>
      </w:r>
      <w:r w:rsidR="00F51A61">
        <w:t xml:space="preserve"> </w:t>
      </w:r>
      <w:r w:rsidR="00A05328">
        <w:t>Income-Graduated Fixed Charges</w:t>
      </w:r>
      <w:r w:rsidR="008C7BD0">
        <w:t xml:space="preserve"> and Alternative</w:t>
      </w:r>
      <w:r w:rsidR="00FB2E43">
        <w:t xml:space="preserve"> Solutions</w:t>
      </w:r>
      <w:bookmarkEnd w:id="25"/>
    </w:p>
    <w:p w:rsidR="001933BE" w:rsidP="00122A48" w:rsidRDefault="001933BE" w14:paraId="183361F2" w14:textId="5833071F">
      <w:pPr>
        <w:pStyle w:val="Standard"/>
      </w:pPr>
      <w:r>
        <w:t xml:space="preserve">Parties proposed stakeholder processes for </w:t>
      </w:r>
      <w:r w:rsidR="003041FF">
        <w:t>improving</w:t>
      </w:r>
      <w:r>
        <w:t xml:space="preserve"> income-graduated fixed charges and </w:t>
      </w:r>
      <w:r w:rsidR="009020F4">
        <w:t xml:space="preserve">designing </w:t>
      </w:r>
      <w:r>
        <w:t>alternative</w:t>
      </w:r>
      <w:r w:rsidR="00522667">
        <w:t xml:space="preserve"> rate mechanisms</w:t>
      </w:r>
      <w:r w:rsidR="001D5657">
        <w:t xml:space="preserve"> for</w:t>
      </w:r>
      <w:r w:rsidR="00522667">
        <w:t xml:space="preserve"> supporting electrification of buildings and transportation.</w:t>
      </w:r>
    </w:p>
    <w:p w:rsidR="00944E09" w:rsidP="00F926EC" w:rsidRDefault="004A7011" w14:paraId="669475AB" w14:textId="453509ED">
      <w:pPr>
        <w:pStyle w:val="Standard"/>
      </w:pPr>
      <w:r>
        <w:t>CforAT, Cal Advocates, TURN/NRDC, and the Large Utilities</w:t>
      </w:r>
      <w:r w:rsidR="00851959">
        <w:t xml:space="preserve"> </w:t>
      </w:r>
      <w:r w:rsidR="00F95CC4">
        <w:t xml:space="preserve">urged the Commission to </w:t>
      </w:r>
      <w:r w:rsidR="009E5859">
        <w:t>quickly launch a working group to</w:t>
      </w:r>
      <w:r w:rsidR="00851959">
        <w:t xml:space="preserve"> </w:t>
      </w:r>
      <w:r w:rsidR="006A0468">
        <w:t xml:space="preserve">propose improvements to </w:t>
      </w:r>
      <w:r w:rsidR="009E5859">
        <w:t xml:space="preserve">the income </w:t>
      </w:r>
      <w:r w:rsidR="00AF36FF">
        <w:t>tier structure and income verification processes for</w:t>
      </w:r>
      <w:r w:rsidR="00851959">
        <w:t xml:space="preserve"> income-graduated fixed charges.</w:t>
      </w:r>
      <w:r w:rsidR="00AF5EC5">
        <w:t xml:space="preserve"> </w:t>
      </w:r>
      <w:r w:rsidR="00944E09">
        <w:t xml:space="preserve">The Large Utilities </w:t>
      </w:r>
      <w:r w:rsidR="00A16576">
        <w:t xml:space="preserve">recommended </w:t>
      </w:r>
      <w:r w:rsidR="00944E09">
        <w:t xml:space="preserve">that the working group </w:t>
      </w:r>
      <w:r w:rsidRPr="00944E09" w:rsidR="00944E09">
        <w:t xml:space="preserve">research and compare income verification approaches, assess new income data sources, review learnings from the income-graduated fixed charges, prepare to hire a third-party administrator for income verification, and prepare a working group proposal on the structure and income verification process for </w:t>
      </w:r>
      <w:r w:rsidR="009C237D">
        <w:t>improving</w:t>
      </w:r>
      <w:r w:rsidRPr="00944E09" w:rsidR="00944E09">
        <w:t xml:space="preserve"> income-graduated fixed charges. </w:t>
      </w:r>
      <w:r w:rsidR="006B52E5">
        <w:t xml:space="preserve">TURN/NRDC </w:t>
      </w:r>
      <w:r w:rsidR="00353D34">
        <w:t xml:space="preserve">proposed that the working group develop both income </w:t>
      </w:r>
      <w:r w:rsidR="001652A5">
        <w:t>tiers and income verification processes.</w:t>
      </w:r>
      <w:r w:rsidR="00E54F26">
        <w:t xml:space="preserve"> Cal Advocates proposed that the working group focus on technical details of income verification alternatives.</w:t>
      </w:r>
      <w:r w:rsidRPr="00D140A2" w:rsidR="001652A5">
        <w:rPr>
          <w:vertAlign w:val="superscript"/>
        </w:rPr>
        <w:footnoteReference w:id="84"/>
      </w:r>
      <w:r w:rsidR="00992F7E">
        <w:t xml:space="preserve"> </w:t>
      </w:r>
    </w:p>
    <w:p w:rsidR="000B54B3" w:rsidP="009A0CF6" w:rsidRDefault="004F6059" w14:paraId="580DB89C" w14:textId="14C81185">
      <w:pPr>
        <w:pStyle w:val="Standard"/>
      </w:pPr>
      <w:r>
        <w:t xml:space="preserve">SEIA </w:t>
      </w:r>
      <w:r w:rsidR="00A407F3">
        <w:t>opposed establishing a working group at this time</w:t>
      </w:r>
      <w:r w:rsidR="006E7236">
        <w:t xml:space="preserve">. </w:t>
      </w:r>
      <w:r w:rsidR="0083296E">
        <w:t xml:space="preserve">SEIA </w:t>
      </w:r>
      <w:r w:rsidR="00B66941">
        <w:t xml:space="preserve">argued that the Commission should </w:t>
      </w:r>
      <w:r w:rsidR="004B3BB9">
        <w:t xml:space="preserve">first </w:t>
      </w:r>
      <w:r w:rsidR="00B66941">
        <w:t>consider</w:t>
      </w:r>
      <w:r w:rsidR="00C92A46">
        <w:t xml:space="preserve"> whether to use other</w:t>
      </w:r>
      <w:r w:rsidR="008E6C84">
        <w:t xml:space="preserve"> </w:t>
      </w:r>
      <w:r w:rsidR="00B66941">
        <w:t>rate design tools</w:t>
      </w:r>
      <w:r w:rsidR="008E6C84">
        <w:t xml:space="preserve"> </w:t>
      </w:r>
      <w:r w:rsidR="007B2C06">
        <w:t xml:space="preserve">(as alternatives to higher fixed charges) </w:t>
      </w:r>
      <w:r w:rsidR="008E6C84">
        <w:t>for meeting the proceeding’s goals</w:t>
      </w:r>
      <w:r w:rsidR="00D96CA5">
        <w:t xml:space="preserve"> </w:t>
      </w:r>
      <w:r w:rsidR="004B3BB9">
        <w:t xml:space="preserve">before </w:t>
      </w:r>
      <w:r w:rsidR="00525EFA">
        <w:t xml:space="preserve">determining whether </w:t>
      </w:r>
      <w:r w:rsidR="009E4B39">
        <w:t>to</w:t>
      </w:r>
      <w:r w:rsidR="003C53B6">
        <w:t xml:space="preserve"> </w:t>
      </w:r>
      <w:r w:rsidR="009E4B39">
        <w:t>establish a</w:t>
      </w:r>
      <w:r w:rsidR="00DA6435">
        <w:t xml:space="preserve"> working group </w:t>
      </w:r>
      <w:r w:rsidR="00B22549">
        <w:t>to develop</w:t>
      </w:r>
      <w:r w:rsidR="007B2C06">
        <w:t xml:space="preserve"> fixed charge</w:t>
      </w:r>
      <w:r w:rsidR="00DA6435">
        <w:t xml:space="preserve"> income verification and</w:t>
      </w:r>
      <w:r w:rsidR="00CA71E4">
        <w:t xml:space="preserve"> income</w:t>
      </w:r>
      <w:r w:rsidR="00DA6435">
        <w:t xml:space="preserve"> tier</w:t>
      </w:r>
      <w:r w:rsidR="00B22549">
        <w:t xml:space="preserve"> proposals</w:t>
      </w:r>
      <w:r w:rsidR="008B4727">
        <w:t>.</w:t>
      </w:r>
      <w:r w:rsidR="004E06B6">
        <w:rPr>
          <w:rStyle w:val="FootnoteReference"/>
        </w:rPr>
        <w:footnoteReference w:id="85"/>
      </w:r>
      <w:r w:rsidR="009F1024">
        <w:t xml:space="preserve"> </w:t>
      </w:r>
    </w:p>
    <w:p w:rsidR="00F87821" w:rsidP="00776968" w:rsidRDefault="000B54B3" w14:paraId="4D57BE16" w14:textId="33D744B7">
      <w:pPr>
        <w:pStyle w:val="Standard"/>
      </w:pPr>
      <w:r>
        <w:t xml:space="preserve">Sierra Club and CforAT </w:t>
      </w:r>
      <w:r w:rsidR="002E65D3">
        <w:t>acknowledged</w:t>
      </w:r>
      <w:r w:rsidR="003F2A31">
        <w:t xml:space="preserve"> that fixed charges alone cannot address affordability </w:t>
      </w:r>
      <w:r w:rsidR="00C0645A">
        <w:t xml:space="preserve">but </w:t>
      </w:r>
      <w:r w:rsidR="003C57AD">
        <w:t xml:space="preserve">argued </w:t>
      </w:r>
      <w:r w:rsidR="00AE7F5E">
        <w:t xml:space="preserve">that </w:t>
      </w:r>
      <w:r w:rsidR="004D7C95">
        <w:t>income-graduated fixed charges</w:t>
      </w:r>
      <w:r w:rsidR="009C7D1A">
        <w:t xml:space="preserve">, if </w:t>
      </w:r>
      <w:r w:rsidR="009C7D1A">
        <w:lastRenderedPageBreak/>
        <w:t>designed well,</w:t>
      </w:r>
      <w:r w:rsidR="004D7C95">
        <w:t xml:space="preserve"> could be a</w:t>
      </w:r>
      <w:r w:rsidR="007F25F5">
        <w:t>n important tool for</w:t>
      </w:r>
      <w:r w:rsidR="004D7C95">
        <w:t xml:space="preserve"> </w:t>
      </w:r>
      <w:r w:rsidR="00607D9A">
        <w:t>improving</w:t>
      </w:r>
      <w:r w:rsidR="00804D72">
        <w:t xml:space="preserve"> affordability.</w:t>
      </w:r>
      <w:r w:rsidR="00C0645A">
        <w:t xml:space="preserve"> </w:t>
      </w:r>
      <w:r w:rsidR="00C35AEA">
        <w:t>These parties</w:t>
      </w:r>
      <w:r w:rsidR="00C0645A">
        <w:t xml:space="preserve"> urged the Commission to</w:t>
      </w:r>
      <w:r w:rsidR="003D77C8">
        <w:t xml:space="preserve"> rapid</w:t>
      </w:r>
      <w:r w:rsidR="00C0645A">
        <w:t>ly</w:t>
      </w:r>
      <w:r w:rsidR="00E451CC">
        <w:t xml:space="preserve"> </w:t>
      </w:r>
      <w:r w:rsidR="003D77C8">
        <w:t>develop</w:t>
      </w:r>
      <w:r w:rsidR="00E451CC">
        <w:t xml:space="preserve"> </w:t>
      </w:r>
      <w:r w:rsidR="003E39E0">
        <w:t>impro</w:t>
      </w:r>
      <w:r w:rsidR="00084113">
        <w:t>vements to the design of</w:t>
      </w:r>
      <w:r w:rsidR="00E451CC">
        <w:t xml:space="preserve"> income-graduated fixed charges</w:t>
      </w:r>
      <w:r w:rsidR="00900300">
        <w:t>.</w:t>
      </w:r>
      <w:r w:rsidR="00900300">
        <w:rPr>
          <w:rStyle w:val="FootnoteReference"/>
        </w:rPr>
        <w:footnoteReference w:id="86"/>
      </w:r>
      <w:r w:rsidR="00E451CC">
        <w:t xml:space="preserve"> </w:t>
      </w:r>
    </w:p>
    <w:p w:rsidR="00AA276F" w:rsidP="009D20BA" w:rsidRDefault="00667729" w14:paraId="305DF7F1" w14:textId="1FAEEB3E">
      <w:pPr>
        <w:pStyle w:val="Standard"/>
      </w:pPr>
      <w:r>
        <w:t>There is no need to delay the formation</w:t>
      </w:r>
      <w:r w:rsidR="003D77C8">
        <w:t xml:space="preserve"> of </w:t>
      </w:r>
      <w:r w:rsidR="0080110A">
        <w:t xml:space="preserve">a </w:t>
      </w:r>
      <w:r>
        <w:t>working group to consider how to improve</w:t>
      </w:r>
      <w:r w:rsidR="00890B94">
        <w:t xml:space="preserve"> processes for</w:t>
      </w:r>
      <w:r>
        <w:t xml:space="preserve"> income-graduated fixed charges. In</w:t>
      </w:r>
      <w:r w:rsidR="00F45C80">
        <w:t xml:space="preserve"> </w:t>
      </w:r>
      <w:r w:rsidR="00D37968">
        <w:t xml:space="preserve">Phase 2 of </w:t>
      </w:r>
      <w:r w:rsidR="00F45C80">
        <w:t>this proceeding</w:t>
      </w:r>
      <w:r>
        <w:t>, we will</w:t>
      </w:r>
      <w:r w:rsidR="00D37968">
        <w:t xml:space="preserve"> consider </w:t>
      </w:r>
      <w:r w:rsidR="00E27A44">
        <w:t>solutions for increasing</w:t>
      </w:r>
      <w:r w:rsidR="00AD7078">
        <w:t xml:space="preserve"> demand flexibility in a way that reduces </w:t>
      </w:r>
      <w:r w:rsidR="008039BE">
        <w:t>ratepayer costs and supports electrification</w:t>
      </w:r>
      <w:r w:rsidR="00E27A44">
        <w:t xml:space="preserve"> while </w:t>
      </w:r>
      <w:r w:rsidR="00C26BA5">
        <w:t xml:space="preserve">a working group </w:t>
      </w:r>
      <w:r w:rsidR="00F53A50">
        <w:t xml:space="preserve">develops </w:t>
      </w:r>
      <w:r w:rsidR="00327C79">
        <w:t>a proposal to improve income-graduated fixed charges</w:t>
      </w:r>
      <w:r w:rsidR="008039BE">
        <w:t>.</w:t>
      </w:r>
      <w:r w:rsidR="00D37968">
        <w:t xml:space="preserve"> </w:t>
      </w:r>
    </w:p>
    <w:p w:rsidR="007D31E3" w:rsidP="00D465B8" w:rsidRDefault="00992F7E" w14:paraId="67EA019D" w14:textId="30D31711">
      <w:pPr>
        <w:pStyle w:val="Standard"/>
      </w:pPr>
      <w:r>
        <w:t xml:space="preserve">It is reasonable to establish </w:t>
      </w:r>
      <w:r w:rsidR="00FB6830">
        <w:t>a</w:t>
      </w:r>
      <w:r w:rsidR="00274373">
        <w:t xml:space="preserve"> </w:t>
      </w:r>
      <w:r w:rsidR="001A6C2B">
        <w:t>working group</w:t>
      </w:r>
      <w:r w:rsidR="00274373">
        <w:t xml:space="preserve"> </w:t>
      </w:r>
      <w:r w:rsidR="001A6C2B">
        <w:t>(</w:t>
      </w:r>
      <w:r w:rsidR="00890B94">
        <w:t>Process</w:t>
      </w:r>
      <w:r w:rsidR="00AC26FE">
        <w:t xml:space="preserve"> </w:t>
      </w:r>
      <w:r w:rsidR="001A6C2B">
        <w:t>W</w:t>
      </w:r>
      <w:r w:rsidR="00FB6830">
        <w:t xml:space="preserve">orking </w:t>
      </w:r>
      <w:r w:rsidR="001A6C2B">
        <w:t>G</w:t>
      </w:r>
      <w:r w:rsidR="00FB6830">
        <w:t>roup</w:t>
      </w:r>
      <w:r w:rsidR="001A6C2B">
        <w:t>)</w:t>
      </w:r>
      <w:r w:rsidR="00FB6830">
        <w:t xml:space="preserve"> </w:t>
      </w:r>
      <w:r w:rsidR="00F926EC">
        <w:t xml:space="preserve">to develop </w:t>
      </w:r>
      <w:r w:rsidR="00B64DF8">
        <w:t>a proposal</w:t>
      </w:r>
      <w:r w:rsidRPr="00B8213A" w:rsidR="00B8213A">
        <w:t xml:space="preserve"> </w:t>
      </w:r>
      <w:r w:rsidR="00C80C4B">
        <w:t>to improve</w:t>
      </w:r>
      <w:r w:rsidRPr="00B8213A" w:rsidR="00B8213A">
        <w:t xml:space="preserve"> </w:t>
      </w:r>
      <w:r w:rsidR="00890B94">
        <w:t xml:space="preserve">processes for </w:t>
      </w:r>
      <w:r w:rsidRPr="00B8213A" w:rsidR="00B8213A">
        <w:t>income-graduated fixed charges</w:t>
      </w:r>
      <w:r w:rsidR="001A6C2B">
        <w:t xml:space="preserve"> (</w:t>
      </w:r>
      <w:r w:rsidR="00890B94">
        <w:t>Process</w:t>
      </w:r>
      <w:r w:rsidR="00AC26FE">
        <w:t xml:space="preserve"> </w:t>
      </w:r>
      <w:r w:rsidR="001A6C2B">
        <w:t>Working Group Proposal)</w:t>
      </w:r>
      <w:r w:rsidR="00B64DF8">
        <w:t xml:space="preserve"> with the following components: </w:t>
      </w:r>
    </w:p>
    <w:p w:rsidR="007D31E3" w:rsidP="0008492E" w:rsidRDefault="007D31E3" w14:paraId="48FE6249" w14:textId="77777777">
      <w:pPr>
        <w:pStyle w:val="ListAlpha"/>
        <w:ind w:right="1440"/>
      </w:pPr>
      <w:bookmarkStart w:name="_Hlk160714078" w:id="26"/>
      <w:r>
        <w:t>A</w:t>
      </w:r>
      <w:r w:rsidR="00C42C48">
        <w:t xml:space="preserve">n overview of </w:t>
      </w:r>
      <w:r w:rsidR="0030220E">
        <w:t>existing income verification processes and alternatives to income verification used</w:t>
      </w:r>
      <w:r w:rsidR="00E5145A">
        <w:t xml:space="preserve"> for</w:t>
      </w:r>
      <w:r w:rsidR="0030220E">
        <w:t xml:space="preserve"> moderate- and higher-income customers </w:t>
      </w:r>
      <w:r w:rsidR="007F3023">
        <w:t>in California and other states</w:t>
      </w:r>
      <w:r>
        <w:t>;</w:t>
      </w:r>
    </w:p>
    <w:p w:rsidR="007D31E3" w:rsidP="0008492E" w:rsidRDefault="007D31E3" w14:paraId="7A23ABC4" w14:textId="36719763">
      <w:pPr>
        <w:pStyle w:val="ListAlpha"/>
        <w:ind w:right="1440"/>
      </w:pPr>
      <w:r>
        <w:t>A</w:t>
      </w:r>
      <w:r w:rsidR="007F3023">
        <w:t xml:space="preserve">n assessment of existing and potential data sources for </w:t>
      </w:r>
      <w:r w:rsidR="00834819">
        <w:t xml:space="preserve">how customers could be assigned </w:t>
      </w:r>
      <w:r w:rsidR="00E5145A">
        <w:t>to income tiers</w:t>
      </w:r>
      <w:r>
        <w:t>;</w:t>
      </w:r>
    </w:p>
    <w:p w:rsidR="007D31E3" w:rsidP="0008492E" w:rsidRDefault="00890B94" w14:paraId="5C5160F5" w14:textId="1A85242B">
      <w:pPr>
        <w:pStyle w:val="ListAlpha"/>
        <w:ind w:right="1440"/>
      </w:pPr>
      <w:r>
        <w:t>Proposed i</w:t>
      </w:r>
      <w:r w:rsidR="000313FC">
        <w:t>ncome verification processes and alternative</w:t>
      </w:r>
      <w:r w:rsidR="00EF180C">
        <w:t>s</w:t>
      </w:r>
      <w:r>
        <w:t>;</w:t>
      </w:r>
      <w:r w:rsidR="000313FC">
        <w:t xml:space="preserve"> </w:t>
      </w:r>
    </w:p>
    <w:p w:rsidR="007D31E3" w:rsidP="0008492E" w:rsidRDefault="007D31E3" w14:paraId="67874A1E" w14:textId="346921A1">
      <w:pPr>
        <w:pStyle w:val="ListAlpha"/>
        <w:ind w:right="1440"/>
      </w:pPr>
      <w:r>
        <w:t>A</w:t>
      </w:r>
      <w:r w:rsidRPr="000313FC" w:rsidR="000313FC">
        <w:t xml:space="preserve"> definition of moderate-income customer</w:t>
      </w:r>
      <w:r>
        <w:t>;</w:t>
      </w:r>
      <w:r w:rsidR="00D7233E">
        <w:rPr>
          <w:rStyle w:val="FootnoteReference"/>
        </w:rPr>
        <w:footnoteReference w:id="87"/>
      </w:r>
    </w:p>
    <w:p w:rsidR="004E1A8F" w:rsidP="0008492E" w:rsidRDefault="006511D7" w14:paraId="36498F75" w14:textId="289C9F3A">
      <w:pPr>
        <w:pStyle w:val="ListAlpha"/>
        <w:ind w:right="1440"/>
      </w:pPr>
      <w:r>
        <w:t>A</w:t>
      </w:r>
      <w:r w:rsidR="002E7C26">
        <w:t>dministration structure</w:t>
      </w:r>
      <w:r w:rsidRPr="002E7C26" w:rsidR="002E7C26">
        <w:t>,</w:t>
      </w:r>
      <w:r w:rsidR="002E7C26">
        <w:t xml:space="preserve"> including a scope of work for the </w:t>
      </w:r>
      <w:r w:rsidR="00FF2F16">
        <w:t>proposed administrator(s)</w:t>
      </w:r>
      <w:r w:rsidR="004E1A8F">
        <w:t>; and</w:t>
      </w:r>
      <w:r w:rsidR="00FF2F16">
        <w:t xml:space="preserve"> </w:t>
      </w:r>
    </w:p>
    <w:p w:rsidRPr="0098002A" w:rsidR="0098002A" w:rsidP="0008492E" w:rsidRDefault="004E1A8F" w14:paraId="1D02AAF8" w14:textId="5FF59A4E">
      <w:pPr>
        <w:pStyle w:val="ListAlpha"/>
        <w:ind w:right="1440"/>
      </w:pPr>
      <w:r>
        <w:t>E</w:t>
      </w:r>
      <w:r w:rsidR="00FF2F16">
        <w:t xml:space="preserve">stimated costs </w:t>
      </w:r>
      <w:r w:rsidR="0098002A">
        <w:t xml:space="preserve">and an analysis of the costs compared to the benefits </w:t>
      </w:r>
      <w:r w:rsidR="0002512E">
        <w:t>of</w:t>
      </w:r>
      <w:r w:rsidR="001B26C7">
        <w:t xml:space="preserve"> each of </w:t>
      </w:r>
      <w:r w:rsidR="0048288B">
        <w:t>the proposed income verification processes.</w:t>
      </w:r>
    </w:p>
    <w:bookmarkEnd w:id="26"/>
    <w:p w:rsidRPr="006D0465" w:rsidR="006D0465" w:rsidP="006D0465" w:rsidRDefault="00D40CB8" w14:paraId="27963AB3" w14:textId="0DC86DCB">
      <w:pPr>
        <w:pStyle w:val="Standard"/>
      </w:pPr>
      <w:r>
        <w:t xml:space="preserve">CforAT and the Large Utilities supported </w:t>
      </w:r>
      <w:r w:rsidR="00B2043C">
        <w:t>hiring a third-party consultant with expertise i</w:t>
      </w:r>
      <w:r w:rsidR="00983A14">
        <w:t>n implementing</w:t>
      </w:r>
      <w:r w:rsidR="00B2043C">
        <w:t xml:space="preserve"> income verification processes. The Large Utilities</w:t>
      </w:r>
      <w:r w:rsidDel="00F47B9E" w:rsidR="00554FAF">
        <w:t xml:space="preserve"> </w:t>
      </w:r>
      <w:r w:rsidR="00554FAF">
        <w:t xml:space="preserve">recommended conducting a request for proposals and hiring the consultant in </w:t>
      </w:r>
      <w:r w:rsidR="00554FAF">
        <w:lastRenderedPageBreak/>
        <w:t>time to launch the working group in the third quarter of 2024.</w:t>
      </w:r>
      <w:r w:rsidR="00983A14">
        <w:rPr>
          <w:rStyle w:val="FootnoteReference"/>
        </w:rPr>
        <w:footnoteReference w:id="88"/>
      </w:r>
      <w:r w:rsidR="00ED47AB">
        <w:t xml:space="preserve"> </w:t>
      </w:r>
      <w:r w:rsidR="0061256E">
        <w:t>Cal Advocates d</w:t>
      </w:r>
      <w:r w:rsidR="00802625">
        <w:t>isagreed, arguing that a consultant is not necessar</w:t>
      </w:r>
      <w:r w:rsidR="007058C8">
        <w:t>y</w:t>
      </w:r>
      <w:r w:rsidR="000D2EF7">
        <w:t xml:space="preserve"> and would be unlikely to recommend different income verification solutions than the proposals in the record of this proceeding</w:t>
      </w:r>
      <w:r w:rsidR="007058C8">
        <w:t>.</w:t>
      </w:r>
      <w:r w:rsidR="00C744F4">
        <w:rPr>
          <w:rStyle w:val="FootnoteReference"/>
        </w:rPr>
        <w:footnoteReference w:id="89"/>
      </w:r>
      <w:r w:rsidR="007058C8">
        <w:t xml:space="preserve"> </w:t>
      </w:r>
      <w:r w:rsidRPr="006D0465" w:rsidR="006D0465">
        <w:t>Sierra Club recommended that the Commission address the issue of income verification for fixed charges in Phase 2 of this proceeding.</w:t>
      </w:r>
      <w:r w:rsidRPr="006D0465" w:rsidR="006D0465">
        <w:rPr>
          <w:vertAlign w:val="superscript"/>
        </w:rPr>
        <w:footnoteReference w:id="90"/>
      </w:r>
    </w:p>
    <w:p w:rsidR="00992F7E" w:rsidP="007058C8" w:rsidRDefault="007058C8" w14:paraId="55AEC1D0" w14:textId="1B9530FD">
      <w:pPr>
        <w:pStyle w:val="Standard"/>
      </w:pPr>
      <w:r>
        <w:t xml:space="preserve">We agree with CforAT and the Large Utilities that </w:t>
      </w:r>
      <w:r w:rsidR="00800707">
        <w:t xml:space="preserve">the </w:t>
      </w:r>
      <w:r w:rsidR="00890B94">
        <w:t>Process</w:t>
      </w:r>
      <w:r w:rsidR="00AC26FE">
        <w:t xml:space="preserve"> </w:t>
      </w:r>
      <w:r w:rsidR="00800707">
        <w:t xml:space="preserve">Working Group Proposal </w:t>
      </w:r>
      <w:r w:rsidR="00ED47AB">
        <w:t>would greatly benefit from the</w:t>
      </w:r>
      <w:r w:rsidR="00076099">
        <w:t xml:space="preserve"> expertise of a third-party consultant with experience </w:t>
      </w:r>
      <w:r w:rsidR="00A12A65">
        <w:t>in implementing</w:t>
      </w:r>
      <w:r w:rsidR="00076099">
        <w:t xml:space="preserve"> </w:t>
      </w:r>
      <w:r w:rsidR="006A3C12">
        <w:t xml:space="preserve">voluntary </w:t>
      </w:r>
      <w:r w:rsidR="00076099">
        <w:t>income verification processes</w:t>
      </w:r>
      <w:r w:rsidR="00992F7E">
        <w:t>.</w:t>
      </w:r>
      <w:r w:rsidR="00063321">
        <w:t xml:space="preserve"> </w:t>
      </w:r>
      <w:r w:rsidR="00697EEA">
        <w:t xml:space="preserve">A consultant could </w:t>
      </w:r>
      <w:r w:rsidR="002415A2">
        <w:t>provide</w:t>
      </w:r>
      <w:r w:rsidR="00EA0136">
        <w:t xml:space="preserve"> additional information and lessons learned about verifying incomes of moderate- or higher-income customers</w:t>
      </w:r>
      <w:r w:rsidR="007B1FBD">
        <w:t xml:space="preserve"> from other states</w:t>
      </w:r>
      <w:r w:rsidR="00D2020F">
        <w:t xml:space="preserve">. </w:t>
      </w:r>
      <w:r w:rsidR="00063321">
        <w:t xml:space="preserve">We also agree with Sierra Club that the Commission should address these </w:t>
      </w:r>
      <w:r w:rsidR="006979FE">
        <w:t>issues in Phase 2 of this proceeding.</w:t>
      </w:r>
    </w:p>
    <w:p w:rsidR="00AC26FE" w:rsidP="00FE4723" w:rsidRDefault="003E2F98" w14:paraId="187058BA" w14:textId="4817BC47">
      <w:pPr>
        <w:pStyle w:val="Standard"/>
      </w:pPr>
      <w:r w:rsidRPr="003E2F98">
        <w:t xml:space="preserve">It is reasonable to direct PG&amp;E to issue a request for proposals and enter into a contract with a third-party contractor with expertise in implementing </w:t>
      </w:r>
      <w:r w:rsidR="006A3C12">
        <w:t xml:space="preserve">voluntary </w:t>
      </w:r>
      <w:r w:rsidRPr="003E2F98">
        <w:t>income verification processes (</w:t>
      </w:r>
      <w:r w:rsidR="0002512E">
        <w:t>Facilitation</w:t>
      </w:r>
      <w:r w:rsidRPr="003E2F98" w:rsidR="0002512E">
        <w:t xml:space="preserve"> </w:t>
      </w:r>
      <w:r w:rsidRPr="003E2F98">
        <w:t xml:space="preserve">Contractor) within 8 months of the issuance date of this decision. </w:t>
      </w:r>
      <w:r w:rsidR="00AC26FE">
        <w:t xml:space="preserve">The </w:t>
      </w:r>
      <w:r w:rsidRPr="003E2F98">
        <w:t xml:space="preserve">Commission’s Energy Division </w:t>
      </w:r>
      <w:r w:rsidR="00AC26FE">
        <w:t>will</w:t>
      </w:r>
      <w:r w:rsidR="00FE4723">
        <w:t xml:space="preserve"> </w:t>
      </w:r>
      <w:r w:rsidRPr="003E2F98">
        <w:t xml:space="preserve">provide guidance to PG&amp;E on the selection of the </w:t>
      </w:r>
      <w:r w:rsidR="00AC26FE">
        <w:t>Facilitation</w:t>
      </w:r>
      <w:r w:rsidRPr="003E2F98" w:rsidR="00AC26FE">
        <w:t xml:space="preserve"> </w:t>
      </w:r>
      <w:r w:rsidRPr="003E2F98">
        <w:t xml:space="preserve">Contractor and approval of key deliverables of the </w:t>
      </w:r>
      <w:r w:rsidR="00AC26FE">
        <w:t>Facilitation</w:t>
      </w:r>
      <w:r w:rsidRPr="003E2F98" w:rsidR="00AC26FE">
        <w:t xml:space="preserve"> </w:t>
      </w:r>
      <w:r w:rsidRPr="003E2F98">
        <w:t xml:space="preserve">Contractor, including the scope of work and the </w:t>
      </w:r>
      <w:r w:rsidR="00890B94">
        <w:t>Process</w:t>
      </w:r>
      <w:r w:rsidRPr="003E2F98" w:rsidR="00AC26FE">
        <w:t xml:space="preserve"> </w:t>
      </w:r>
      <w:r w:rsidRPr="003E2F98">
        <w:t>Working Group Proposal.</w:t>
      </w:r>
    </w:p>
    <w:p w:rsidR="006979FE" w:rsidP="00AC26FE" w:rsidRDefault="00AC26FE" w14:paraId="2FFD38CF" w14:textId="6D4B085B">
      <w:pPr>
        <w:pStyle w:val="Standard"/>
      </w:pPr>
      <w:r w:rsidRPr="00AC26FE">
        <w:t xml:space="preserve">The Facilitation Contractor will serve the final </w:t>
      </w:r>
      <w:r w:rsidR="00890B94">
        <w:t>Process</w:t>
      </w:r>
      <w:r w:rsidRPr="00AC26FE">
        <w:t xml:space="preserve"> Working Group Proposal to the assigned ALJ within one year of entering into a contract with </w:t>
      </w:r>
      <w:r w:rsidRPr="00AC26FE">
        <w:lastRenderedPageBreak/>
        <w:t xml:space="preserve">PG&amp;E. The assigned ALJ will issue a ruling in Phase 2 of this proceeding to request comments on the </w:t>
      </w:r>
      <w:r w:rsidR="00890B94">
        <w:t>Process</w:t>
      </w:r>
      <w:r w:rsidRPr="00AC26FE">
        <w:t xml:space="preserve"> Working Group Proposal.</w:t>
      </w:r>
      <w:r w:rsidR="002C663C">
        <w:rPr>
          <w:rStyle w:val="FootnoteReference"/>
        </w:rPr>
        <w:footnoteReference w:id="91"/>
      </w:r>
      <w:r w:rsidR="004E72CC">
        <w:t xml:space="preserve"> </w:t>
      </w:r>
    </w:p>
    <w:p w:rsidR="004E1A8F" w:rsidP="00574569" w:rsidRDefault="006979FE" w14:paraId="1E3DCED6" w14:textId="41524C13">
      <w:pPr>
        <w:pStyle w:val="Standard"/>
      </w:pPr>
      <w:r>
        <w:t xml:space="preserve">It is reasonable </w:t>
      </w:r>
      <w:r w:rsidR="00574569">
        <w:t xml:space="preserve">for the scope of work for the </w:t>
      </w:r>
      <w:r w:rsidR="00AC26FE">
        <w:t xml:space="preserve">Facilitation </w:t>
      </w:r>
      <w:r w:rsidR="00574569">
        <w:t>Contractor to include the following items</w:t>
      </w:r>
      <w:r w:rsidR="001F289C">
        <w:t>:</w:t>
      </w:r>
      <w:r w:rsidR="00C73FF8">
        <w:t xml:space="preserve"> </w:t>
      </w:r>
    </w:p>
    <w:p w:rsidR="007B4228" w:rsidP="00125AB8" w:rsidRDefault="007B4228" w14:paraId="723423AE" w14:textId="56386200">
      <w:pPr>
        <w:pStyle w:val="ListAlpha"/>
        <w:numPr>
          <w:ilvl w:val="7"/>
          <w:numId w:val="26"/>
        </w:numPr>
        <w:ind w:right="1440"/>
      </w:pPr>
      <w:r>
        <w:t>O</w:t>
      </w:r>
      <w:r w:rsidRPr="007B4228">
        <w:t xml:space="preserve">rganize and facilitate </w:t>
      </w:r>
      <w:r w:rsidR="00890B94">
        <w:t>Process</w:t>
      </w:r>
      <w:r w:rsidR="00723328">
        <w:t xml:space="preserve"> Working Group</w:t>
      </w:r>
      <w:r w:rsidRPr="007B4228">
        <w:t xml:space="preserve"> meetings to develop consensus on working group issues to the extent feasible</w:t>
      </w:r>
      <w:r>
        <w:t>;</w:t>
      </w:r>
    </w:p>
    <w:p w:rsidR="004E1A8F" w:rsidP="0008492E" w:rsidRDefault="004E1A8F" w14:paraId="10D9820B" w14:textId="4925FFC7">
      <w:pPr>
        <w:pStyle w:val="ListAlpha"/>
        <w:numPr>
          <w:ilvl w:val="7"/>
          <w:numId w:val="5"/>
        </w:numPr>
        <w:ind w:right="1440"/>
      </w:pPr>
      <w:r>
        <w:t>R</w:t>
      </w:r>
      <w:r w:rsidR="00C73FF8">
        <w:t xml:space="preserve">esearch and </w:t>
      </w:r>
      <w:r w:rsidR="004F5135">
        <w:t>draft</w:t>
      </w:r>
      <w:r w:rsidR="00C73FF8">
        <w:t xml:space="preserve"> </w:t>
      </w:r>
      <w:r w:rsidRPr="00F72A2E" w:rsidR="00F72A2E">
        <w:t>an overview of existing income verification processes and alternatives to income verification used for moderate- and higher-income customers in California and other states</w:t>
      </w:r>
      <w:r>
        <w:t>;</w:t>
      </w:r>
    </w:p>
    <w:p w:rsidR="004E1A8F" w:rsidP="0008492E" w:rsidRDefault="004E1A8F" w14:paraId="5C9F34D4" w14:textId="1176FF2C">
      <w:pPr>
        <w:pStyle w:val="ListAlpha"/>
        <w:numPr>
          <w:ilvl w:val="7"/>
          <w:numId w:val="5"/>
        </w:numPr>
        <w:ind w:right="1440"/>
      </w:pPr>
      <w:r>
        <w:t>R</w:t>
      </w:r>
      <w:r w:rsidR="004F5135">
        <w:t>esearch and</w:t>
      </w:r>
      <w:r w:rsidR="00B25CF4">
        <w:t xml:space="preserve"> </w:t>
      </w:r>
      <w:r w:rsidR="004F5135">
        <w:t>draft</w:t>
      </w:r>
      <w:r w:rsidRPr="00F72A2E" w:rsidR="00F72A2E">
        <w:t xml:space="preserve"> an assessment of existing and potential data sources </w:t>
      </w:r>
      <w:r w:rsidR="005940BE">
        <w:t xml:space="preserve">for </w:t>
      </w:r>
      <w:r w:rsidR="00EC51F5">
        <w:t>assign</w:t>
      </w:r>
      <w:r w:rsidR="005940BE">
        <w:t>ing</w:t>
      </w:r>
      <w:r w:rsidRPr="00F72A2E" w:rsidR="00F72A2E">
        <w:t xml:space="preserve"> customers to income tiers</w:t>
      </w:r>
      <w:r>
        <w:t>;</w:t>
      </w:r>
    </w:p>
    <w:p w:rsidR="004E1A8F" w:rsidP="0008492E" w:rsidRDefault="004E1A8F" w14:paraId="7C2C8279" w14:textId="610F3374">
      <w:pPr>
        <w:pStyle w:val="ListAlpha"/>
        <w:numPr>
          <w:ilvl w:val="7"/>
          <w:numId w:val="5"/>
        </w:numPr>
        <w:ind w:right="1440"/>
      </w:pPr>
      <w:r>
        <w:t>R</w:t>
      </w:r>
      <w:r w:rsidR="004D7A77">
        <w:t xml:space="preserve">esearch and </w:t>
      </w:r>
      <w:r w:rsidR="000A0C74">
        <w:t>draft estimated costs of the income verification process</w:t>
      </w:r>
      <w:r w:rsidR="00EC51F5">
        <w:t xml:space="preserve"> options</w:t>
      </w:r>
      <w:r>
        <w:t>;</w:t>
      </w:r>
      <w:r w:rsidR="00574569">
        <w:t xml:space="preserve"> and</w:t>
      </w:r>
    </w:p>
    <w:p w:rsidR="00953576" w:rsidP="0008492E" w:rsidRDefault="004E1A8F" w14:paraId="670B6FA1" w14:textId="0C0D99A8">
      <w:pPr>
        <w:pStyle w:val="ListAlpha"/>
        <w:numPr>
          <w:ilvl w:val="7"/>
          <w:numId w:val="5"/>
        </w:numPr>
        <w:ind w:right="1440"/>
      </w:pPr>
      <w:r>
        <w:t>D</w:t>
      </w:r>
      <w:r w:rsidR="00D23DC8">
        <w:t xml:space="preserve">raft the </w:t>
      </w:r>
      <w:r w:rsidR="00890B94">
        <w:t>Process</w:t>
      </w:r>
      <w:r w:rsidR="00723328">
        <w:t xml:space="preserve"> Working Group Proposal</w:t>
      </w:r>
      <w:r w:rsidR="00C936C2">
        <w:t>,</w:t>
      </w:r>
      <w:r w:rsidR="00451560">
        <w:t xml:space="preserve"> incorporate input fro</w:t>
      </w:r>
      <w:r w:rsidR="00723328">
        <w:t xml:space="preserve">m </w:t>
      </w:r>
      <w:r w:rsidR="00890B94">
        <w:t>Process</w:t>
      </w:r>
      <w:r w:rsidR="00723328">
        <w:t xml:space="preserve"> Working Group</w:t>
      </w:r>
      <w:r w:rsidR="00451560">
        <w:t xml:space="preserve"> </w:t>
      </w:r>
      <w:r w:rsidR="007B4228">
        <w:t>members</w:t>
      </w:r>
      <w:r w:rsidR="00C936C2">
        <w:t xml:space="preserve">, and serve the final proposal to the assigned ALJ within one year of </w:t>
      </w:r>
      <w:r w:rsidR="00FE4723">
        <w:t>entering into a contract with PG&amp;E</w:t>
      </w:r>
      <w:r w:rsidR="006D0465">
        <w:t>.</w:t>
      </w:r>
    </w:p>
    <w:p w:rsidRPr="00BF26EB" w:rsidR="00901D0A" w:rsidP="00901D0A" w:rsidRDefault="00901D0A" w14:paraId="1F7A348F" w14:textId="7076D18C">
      <w:pPr>
        <w:pStyle w:val="Standard"/>
      </w:pPr>
      <w:r>
        <w:t xml:space="preserve">In Section </w:t>
      </w:r>
      <w:r w:rsidR="007B23A2">
        <w:t>5</w:t>
      </w:r>
      <w:r>
        <w:t xml:space="preserve">, </w:t>
      </w:r>
      <w:r w:rsidR="00C60E37">
        <w:t>we will discuss the income-graduated fixed charges</w:t>
      </w:r>
      <w:r w:rsidR="00AB6815">
        <w:t xml:space="preserve"> </w:t>
      </w:r>
      <w:r w:rsidR="000D467D">
        <w:t>of</w:t>
      </w:r>
      <w:r w:rsidR="00E11D97">
        <w:t xml:space="preserve"> the Large Utilities</w:t>
      </w:r>
      <w:r w:rsidR="00ED4DCB">
        <w:t>, including</w:t>
      </w:r>
      <w:r w:rsidR="00AB6815">
        <w:t xml:space="preserve"> how the lessons learned from the </w:t>
      </w:r>
      <w:r w:rsidR="00771D5E">
        <w:t xml:space="preserve">implementation of </w:t>
      </w:r>
      <w:r w:rsidR="00AB6815">
        <w:t xml:space="preserve">income-graduated fixed charges will be incorporated into the </w:t>
      </w:r>
      <w:r w:rsidR="004F6F38">
        <w:t xml:space="preserve">process of </w:t>
      </w:r>
      <w:r w:rsidR="005053B7">
        <w:t>improving income-graduated fixed charges</w:t>
      </w:r>
      <w:r w:rsidR="004F6F38">
        <w:t>.</w:t>
      </w:r>
      <w:r w:rsidR="008D7B02">
        <w:t xml:space="preserve"> </w:t>
      </w:r>
      <w:r w:rsidR="00C8107E">
        <w:t xml:space="preserve">In Section </w:t>
      </w:r>
      <w:r w:rsidR="007B23A2">
        <w:t>6</w:t>
      </w:r>
      <w:r w:rsidR="00C33C0C">
        <w:t xml:space="preserve">, we will discuss </w:t>
      </w:r>
      <w:r w:rsidR="003A0F5F">
        <w:t xml:space="preserve">the </w:t>
      </w:r>
      <w:r w:rsidR="00625449">
        <w:t>income</w:t>
      </w:r>
      <w:r w:rsidR="1B977910">
        <w:t>-</w:t>
      </w:r>
      <w:r w:rsidR="00625449">
        <w:t xml:space="preserve">graduated fixed charges of the </w:t>
      </w:r>
      <w:r w:rsidR="005605DA">
        <w:t>Small Utilities</w:t>
      </w:r>
      <w:r w:rsidR="00C47715">
        <w:t xml:space="preserve"> and next steps</w:t>
      </w:r>
      <w:r w:rsidR="00625449">
        <w:t>.</w:t>
      </w:r>
    </w:p>
    <w:p w:rsidR="00267A41" w:rsidP="00476643" w:rsidRDefault="00C86BC7" w14:paraId="336F5357" w14:textId="46469CA9">
      <w:pPr>
        <w:pStyle w:val="Heading1"/>
      </w:pPr>
      <w:bookmarkStart w:name="_Toc160790037" w:id="27"/>
      <w:bookmarkStart w:name="_Hlk157070193" w:id="28"/>
      <w:r>
        <w:lastRenderedPageBreak/>
        <w:t>Income-Graduated Fixed Charge</w:t>
      </w:r>
      <w:r w:rsidR="006D3347">
        <w:t>s</w:t>
      </w:r>
      <w:r w:rsidR="00055868">
        <w:t xml:space="preserve"> </w:t>
      </w:r>
      <w:r w:rsidR="008531C8">
        <w:t>of the Large</w:t>
      </w:r>
      <w:r w:rsidR="00055868">
        <w:t xml:space="preserve"> Utilities</w:t>
      </w:r>
      <w:bookmarkEnd w:id="27"/>
    </w:p>
    <w:p w:rsidR="00E923F2" w:rsidP="00702F6F" w:rsidRDefault="00E923F2" w14:paraId="339E41ED" w14:textId="48D4C28C">
      <w:pPr>
        <w:pStyle w:val="Heading2"/>
      </w:pPr>
      <w:bookmarkStart w:name="_Toc160790038" w:id="29"/>
      <w:r>
        <w:t>Income Tiers</w:t>
      </w:r>
      <w:r w:rsidR="00267A41">
        <w:t xml:space="preserve"> and Verification</w:t>
      </w:r>
      <w:bookmarkEnd w:id="29"/>
    </w:p>
    <w:p w:rsidR="001045BA" w:rsidP="00CF1025" w:rsidRDefault="000101D1" w14:paraId="3097C6C6" w14:textId="1951E7EA">
      <w:pPr>
        <w:pStyle w:val="Standard"/>
      </w:pPr>
      <w:r>
        <w:t>As discussed above, the</w:t>
      </w:r>
      <w:r w:rsidR="00AB04F7">
        <w:t xml:space="preserve"> income-graduated fixed charges </w:t>
      </w:r>
      <w:r w:rsidR="00194958">
        <w:t xml:space="preserve">authorized by this decision </w:t>
      </w:r>
      <w:r w:rsidR="00AB04F7">
        <w:t>will rely upon the existing CARE and FERA income verification processes.</w:t>
      </w:r>
      <w:r w:rsidR="00AA61AF">
        <w:t xml:space="preserve"> As a result, </w:t>
      </w:r>
      <w:r w:rsidR="00755139">
        <w:t xml:space="preserve">the first income tiers will need to reflect the limitations of the </w:t>
      </w:r>
      <w:r w:rsidR="00D049A7">
        <w:t xml:space="preserve">existing </w:t>
      </w:r>
      <w:r w:rsidR="00755139">
        <w:t>income verification proces</w:t>
      </w:r>
      <w:r w:rsidR="00E37622">
        <w:t>s</w:t>
      </w:r>
      <w:r w:rsidR="00755139">
        <w:t>es.</w:t>
      </w:r>
      <w:r w:rsidR="001B46B5">
        <w:t xml:space="preserve"> </w:t>
      </w:r>
    </w:p>
    <w:p w:rsidR="000101D1" w:rsidP="00A7350B" w:rsidRDefault="001B46B5" w14:paraId="402EDA53" w14:textId="11329767">
      <w:pPr>
        <w:pStyle w:val="Standard"/>
      </w:pPr>
      <w:r>
        <w:t xml:space="preserve">In addition, the income tier structure must enable the Commission to ensure that the fixed charges comply with the </w:t>
      </w:r>
      <w:r w:rsidRPr="001B46B5">
        <w:t xml:space="preserve">Section 739.9(e)(1) </w:t>
      </w:r>
      <w:r>
        <w:t xml:space="preserve">requirement for </w:t>
      </w:r>
      <w:r w:rsidR="00846AAC">
        <w:t>a</w:t>
      </w:r>
      <w:r w:rsidR="00DF04FA">
        <w:t xml:space="preserve"> </w:t>
      </w:r>
      <w:r w:rsidRPr="001B46B5">
        <w:t>low-income ratepayer</w:t>
      </w:r>
      <w:r w:rsidR="00846AAC">
        <w:t xml:space="preserve"> </w:t>
      </w:r>
      <w:r w:rsidRPr="00846AAC" w:rsidR="00846AAC">
        <w:t>with average electricity usage</w:t>
      </w:r>
      <w:r w:rsidRPr="001B46B5">
        <w:t xml:space="preserve"> in each baseline territory </w:t>
      </w:r>
      <w:r w:rsidR="00DF04FA">
        <w:t>to</w:t>
      </w:r>
      <w:r w:rsidRPr="001B46B5">
        <w:t xml:space="preserve"> realize a lower average monthly bill without making any changes in usage.</w:t>
      </w:r>
      <w:r w:rsidR="00E164E8">
        <w:t xml:space="preserve"> As </w:t>
      </w:r>
      <w:r w:rsidR="003A7214">
        <w:t xml:space="preserve">defined above, a low-income ratepayer </w:t>
      </w:r>
      <w:r w:rsidR="00A7350B">
        <w:t>is a</w:t>
      </w:r>
      <w:r w:rsidRPr="003A7214" w:rsidR="003A7214">
        <w:t xml:space="preserve"> customer with a household income of 200 percent or less of the Federal Poverty Guidelines level applicable to that household under the CARE program.</w:t>
      </w:r>
    </w:p>
    <w:p w:rsidR="000101D1" w:rsidP="000101D1" w:rsidRDefault="000101D1" w14:paraId="646AA087" w14:textId="72236B49">
      <w:pPr>
        <w:pStyle w:val="Standard"/>
      </w:pPr>
      <w:r w:rsidRPr="000101D1">
        <w:t xml:space="preserve">After the Implementation Pathway Ruling, the Large Utilities, TURN/NRDC, and Cal Advocates proposed first </w:t>
      </w:r>
      <w:r w:rsidR="006162F2">
        <w:t xml:space="preserve">versions of </w:t>
      </w:r>
      <w:r w:rsidRPr="000101D1">
        <w:t xml:space="preserve">income-graduated fixed charges that </w:t>
      </w:r>
      <w:r w:rsidR="008B54B2">
        <w:t xml:space="preserve">primarily </w:t>
      </w:r>
      <w:r w:rsidRPr="000101D1">
        <w:t>rely on the existing CARE and FERA income verification processes</w:t>
      </w:r>
      <w:r w:rsidR="00181D77">
        <w:t xml:space="preserve"> and do not require ve</w:t>
      </w:r>
      <w:r w:rsidR="00550E06">
        <w:t xml:space="preserve">rification of incomes of customers who do not </w:t>
      </w:r>
      <w:r w:rsidR="00317E12">
        <w:t>participate</w:t>
      </w:r>
      <w:r w:rsidR="00550E06">
        <w:t xml:space="preserve"> in the CARE or FERA programs</w:t>
      </w:r>
      <w:r w:rsidRPr="000101D1">
        <w:t>.</w:t>
      </w:r>
      <w:r w:rsidRPr="000101D1">
        <w:rPr>
          <w:vertAlign w:val="superscript"/>
        </w:rPr>
        <w:footnoteReference w:id="92"/>
      </w:r>
      <w:r w:rsidRPr="000101D1">
        <w:t xml:space="preserve"> Sierra Club and CEJA </w:t>
      </w:r>
      <w:r w:rsidR="00C06489">
        <w:t>argued that its income verification proposals are similar to the CARE and FERA processes because they rely on</w:t>
      </w:r>
      <w:r w:rsidR="00FD043D">
        <w:t xml:space="preserve"> self-attestation</w:t>
      </w:r>
      <w:r w:rsidRPr="000101D1">
        <w:t>.</w:t>
      </w:r>
      <w:r w:rsidRPr="000101D1">
        <w:rPr>
          <w:vertAlign w:val="superscript"/>
        </w:rPr>
        <w:footnoteReference w:id="93"/>
      </w:r>
      <w:r w:rsidR="001323EE">
        <w:t xml:space="preserve"> SEIA maintained its original proposal.</w:t>
      </w:r>
      <w:r w:rsidRPr="000101D1">
        <w:t xml:space="preserve"> </w:t>
      </w:r>
      <w:r w:rsidR="003A4E21">
        <w:t>Table 2 summari</w:t>
      </w:r>
      <w:r w:rsidR="003F123D">
        <w:t>z</w:t>
      </w:r>
      <w:r w:rsidR="003A4E21">
        <w:t>es parties’ updated proposals.</w:t>
      </w:r>
    </w:p>
    <w:p w:rsidRPr="00E44F94" w:rsidR="00E44F94" w:rsidP="00E44F94" w:rsidRDefault="00E44F94" w14:paraId="72FA4ED7" w14:textId="78D1DFCD">
      <w:pPr>
        <w:pStyle w:val="Standard"/>
        <w:ind w:firstLine="0"/>
        <w:rPr>
          <w:b/>
          <w:bCs/>
        </w:rPr>
      </w:pPr>
      <w:r w:rsidRPr="00E44F94">
        <w:rPr>
          <w:b/>
          <w:bCs/>
        </w:rPr>
        <w:t xml:space="preserve">Table 2: </w:t>
      </w:r>
      <w:r w:rsidR="003A4E21">
        <w:rPr>
          <w:b/>
          <w:bCs/>
        </w:rPr>
        <w:t xml:space="preserve">Income Tier and Verification </w:t>
      </w:r>
      <w:r w:rsidRPr="00E44F94">
        <w:rPr>
          <w:b/>
          <w:bCs/>
        </w:rPr>
        <w:t>Proposals</w:t>
      </w:r>
    </w:p>
    <w:tbl>
      <w:tblPr>
        <w:tblStyle w:val="TableGrid"/>
        <w:tblW w:w="0" w:type="auto"/>
        <w:tblLook w:val="04A0" w:firstRow="1" w:lastRow="0" w:firstColumn="1" w:lastColumn="0" w:noHBand="0" w:noVBand="1"/>
      </w:tblPr>
      <w:tblGrid>
        <w:gridCol w:w="1795"/>
        <w:gridCol w:w="4050"/>
        <w:gridCol w:w="3505"/>
      </w:tblGrid>
      <w:tr w:rsidR="00F14D28" w:rsidTr="00A10BEA" w14:paraId="7DAF6F8A" w14:textId="77777777">
        <w:tc>
          <w:tcPr>
            <w:tcW w:w="1795" w:type="dxa"/>
          </w:tcPr>
          <w:p w:rsidRPr="00EE39A1" w:rsidR="00F14D28" w:rsidP="00EE39A1" w:rsidRDefault="00721AAC" w14:paraId="7C9BBB14" w14:textId="2E460B52">
            <w:pPr>
              <w:pStyle w:val="Standard"/>
              <w:spacing w:after="120" w:line="240" w:lineRule="auto"/>
              <w:ind w:firstLine="0"/>
              <w:rPr>
                <w:b/>
                <w:bCs/>
                <w:sz w:val="24"/>
                <w:szCs w:val="24"/>
              </w:rPr>
            </w:pPr>
            <w:r w:rsidRPr="00EE39A1">
              <w:rPr>
                <w:b/>
                <w:bCs/>
                <w:sz w:val="24"/>
                <w:szCs w:val="24"/>
              </w:rPr>
              <w:lastRenderedPageBreak/>
              <w:t>Part</w:t>
            </w:r>
            <w:r w:rsidR="00B410A0">
              <w:rPr>
                <w:b/>
                <w:bCs/>
                <w:sz w:val="24"/>
                <w:szCs w:val="24"/>
              </w:rPr>
              <w:t>y</w:t>
            </w:r>
            <w:r w:rsidR="00492141">
              <w:rPr>
                <w:b/>
                <w:bCs/>
                <w:sz w:val="24"/>
                <w:szCs w:val="24"/>
              </w:rPr>
              <w:t xml:space="preserve"> Proposal</w:t>
            </w:r>
          </w:p>
        </w:tc>
        <w:tc>
          <w:tcPr>
            <w:tcW w:w="4050" w:type="dxa"/>
          </w:tcPr>
          <w:p w:rsidRPr="00EE39A1" w:rsidR="00F14D28" w:rsidP="00EE39A1" w:rsidRDefault="00FD1453" w14:paraId="7D64FA74" w14:textId="4B1DFAEE">
            <w:pPr>
              <w:pStyle w:val="Standard"/>
              <w:spacing w:after="120" w:line="240" w:lineRule="auto"/>
              <w:ind w:firstLine="0"/>
              <w:rPr>
                <w:b/>
                <w:bCs/>
                <w:sz w:val="24"/>
                <w:szCs w:val="24"/>
              </w:rPr>
            </w:pPr>
            <w:r>
              <w:rPr>
                <w:b/>
                <w:bCs/>
                <w:sz w:val="24"/>
                <w:szCs w:val="24"/>
              </w:rPr>
              <w:t>Income Tiers</w:t>
            </w:r>
          </w:p>
        </w:tc>
        <w:tc>
          <w:tcPr>
            <w:tcW w:w="3505" w:type="dxa"/>
          </w:tcPr>
          <w:p w:rsidRPr="00EE39A1" w:rsidR="00F14D28" w:rsidP="00EE39A1" w:rsidRDefault="00DA4824" w14:paraId="25E92EA6" w14:textId="2299F5DB">
            <w:pPr>
              <w:pStyle w:val="Standard"/>
              <w:spacing w:after="120" w:line="240" w:lineRule="auto"/>
              <w:ind w:firstLine="0"/>
              <w:rPr>
                <w:b/>
                <w:bCs/>
                <w:sz w:val="24"/>
                <w:szCs w:val="24"/>
              </w:rPr>
            </w:pPr>
            <w:r w:rsidRPr="00EE39A1">
              <w:rPr>
                <w:b/>
                <w:bCs/>
                <w:sz w:val="24"/>
                <w:szCs w:val="24"/>
              </w:rPr>
              <w:t>Income Verification</w:t>
            </w:r>
          </w:p>
        </w:tc>
      </w:tr>
      <w:tr w:rsidR="003006FD" w:rsidTr="00A10BEA" w14:paraId="5D7649A1" w14:textId="77777777">
        <w:tc>
          <w:tcPr>
            <w:tcW w:w="1795" w:type="dxa"/>
          </w:tcPr>
          <w:p w:rsidRPr="00EE39A1" w:rsidR="003006FD" w:rsidP="003006FD" w:rsidRDefault="003006FD" w14:paraId="39D3E76A" w14:textId="5F2F8AC8">
            <w:pPr>
              <w:pStyle w:val="Standard"/>
              <w:spacing w:after="120" w:line="240" w:lineRule="auto"/>
              <w:ind w:firstLine="0"/>
              <w:rPr>
                <w:b/>
                <w:bCs/>
                <w:sz w:val="24"/>
                <w:szCs w:val="24"/>
              </w:rPr>
            </w:pPr>
            <w:r w:rsidRPr="00EE39A1">
              <w:rPr>
                <w:sz w:val="24"/>
                <w:szCs w:val="24"/>
              </w:rPr>
              <w:t>Large Utilities, Cal Advocates</w:t>
            </w:r>
          </w:p>
        </w:tc>
        <w:tc>
          <w:tcPr>
            <w:tcW w:w="4050" w:type="dxa"/>
          </w:tcPr>
          <w:p w:rsidR="003006FD" w:rsidP="003006FD" w:rsidRDefault="00321A18" w14:paraId="3DEBFAF1" w14:textId="4C2A3741">
            <w:pPr>
              <w:pStyle w:val="Standard"/>
              <w:spacing w:after="120" w:line="240" w:lineRule="auto"/>
              <w:ind w:firstLine="0"/>
              <w:rPr>
                <w:sz w:val="24"/>
                <w:szCs w:val="24"/>
              </w:rPr>
            </w:pPr>
            <w:r>
              <w:rPr>
                <w:sz w:val="24"/>
                <w:szCs w:val="24"/>
              </w:rPr>
              <w:t xml:space="preserve">1. Up to </w:t>
            </w:r>
            <w:r w:rsidR="003006FD">
              <w:rPr>
                <w:sz w:val="24"/>
                <w:szCs w:val="24"/>
              </w:rPr>
              <w:t>100%</w:t>
            </w:r>
            <w:r w:rsidR="00A91CD3">
              <w:rPr>
                <w:sz w:val="24"/>
                <w:szCs w:val="24"/>
              </w:rPr>
              <w:t xml:space="preserve"> of</w:t>
            </w:r>
            <w:r w:rsidR="003006FD">
              <w:rPr>
                <w:sz w:val="24"/>
                <w:szCs w:val="24"/>
              </w:rPr>
              <w:t xml:space="preserve"> Federal Poverty Guidelines</w:t>
            </w:r>
            <w:r w:rsidR="0033208C">
              <w:rPr>
                <w:sz w:val="24"/>
                <w:szCs w:val="24"/>
              </w:rPr>
              <w:t xml:space="preserve"> (enrolled in CARE)</w:t>
            </w:r>
          </w:p>
          <w:p w:rsidR="003006FD" w:rsidP="003006FD" w:rsidRDefault="00321A18" w14:paraId="2106B2B0" w14:textId="5A1C436E">
            <w:pPr>
              <w:pStyle w:val="Standard"/>
              <w:spacing w:after="120" w:line="240" w:lineRule="auto"/>
              <w:ind w:firstLine="0"/>
              <w:rPr>
                <w:sz w:val="24"/>
                <w:szCs w:val="24"/>
              </w:rPr>
            </w:pPr>
            <w:r>
              <w:rPr>
                <w:sz w:val="24"/>
                <w:szCs w:val="24"/>
              </w:rPr>
              <w:t xml:space="preserve">2. </w:t>
            </w:r>
            <w:r w:rsidR="009E2B9C">
              <w:rPr>
                <w:sz w:val="24"/>
                <w:szCs w:val="24"/>
              </w:rPr>
              <w:t>Enrolled</w:t>
            </w:r>
            <w:r w:rsidR="00321B63">
              <w:rPr>
                <w:sz w:val="24"/>
                <w:szCs w:val="24"/>
              </w:rPr>
              <w:t xml:space="preserve"> in CARE or FERA</w:t>
            </w:r>
          </w:p>
          <w:p w:rsidR="003006FD" w:rsidP="003006FD" w:rsidRDefault="00321A18" w14:paraId="1161B057" w14:textId="63BC5206">
            <w:pPr>
              <w:pStyle w:val="Standard"/>
              <w:spacing w:after="120" w:line="240" w:lineRule="auto"/>
              <w:ind w:firstLine="0"/>
              <w:rPr>
                <w:b/>
                <w:bCs/>
                <w:sz w:val="24"/>
                <w:szCs w:val="24"/>
              </w:rPr>
            </w:pPr>
            <w:r>
              <w:rPr>
                <w:sz w:val="24"/>
                <w:szCs w:val="24"/>
              </w:rPr>
              <w:t>3. Not enrolled in CARE or FERA</w:t>
            </w:r>
          </w:p>
        </w:tc>
        <w:tc>
          <w:tcPr>
            <w:tcW w:w="3505" w:type="dxa"/>
          </w:tcPr>
          <w:p w:rsidRPr="00EE39A1" w:rsidR="003006FD" w:rsidP="003006FD" w:rsidRDefault="003006FD" w14:paraId="6BB6C37C" w14:textId="771C2B84">
            <w:pPr>
              <w:pStyle w:val="Standard"/>
              <w:spacing w:after="120" w:line="240" w:lineRule="auto"/>
              <w:ind w:firstLine="0"/>
              <w:rPr>
                <w:b/>
                <w:bCs/>
                <w:sz w:val="24"/>
                <w:szCs w:val="24"/>
              </w:rPr>
            </w:pPr>
            <w:r>
              <w:rPr>
                <w:sz w:val="24"/>
                <w:szCs w:val="24"/>
              </w:rPr>
              <w:t>Modify CARE verification to collect income data on customers at or below 100% of Federal Poverty Guidelines</w:t>
            </w:r>
          </w:p>
        </w:tc>
      </w:tr>
      <w:tr w:rsidR="003006FD" w:rsidTr="00A10BEA" w14:paraId="25A6345A" w14:textId="77777777">
        <w:tc>
          <w:tcPr>
            <w:tcW w:w="1795" w:type="dxa"/>
          </w:tcPr>
          <w:p w:rsidRPr="00EE39A1" w:rsidR="003006FD" w:rsidP="003006FD" w:rsidRDefault="003006FD" w14:paraId="54C08367" w14:textId="7BBC987B">
            <w:pPr>
              <w:pStyle w:val="Standard"/>
              <w:spacing w:after="120" w:line="240" w:lineRule="auto"/>
              <w:ind w:firstLine="0"/>
              <w:rPr>
                <w:sz w:val="24"/>
                <w:szCs w:val="24"/>
              </w:rPr>
            </w:pPr>
            <w:r w:rsidRPr="00F512C6">
              <w:rPr>
                <w:sz w:val="24"/>
                <w:szCs w:val="24"/>
              </w:rPr>
              <w:t>TURN/NRDC</w:t>
            </w:r>
          </w:p>
        </w:tc>
        <w:tc>
          <w:tcPr>
            <w:tcW w:w="4050" w:type="dxa"/>
          </w:tcPr>
          <w:p w:rsidRPr="00F512C6" w:rsidR="003006FD" w:rsidP="003006FD" w:rsidRDefault="00DA34AB" w14:paraId="0D32973B" w14:textId="01AFB156">
            <w:pPr>
              <w:pStyle w:val="Standard"/>
              <w:spacing w:after="120" w:line="240" w:lineRule="auto"/>
              <w:ind w:firstLine="0"/>
              <w:rPr>
                <w:sz w:val="24"/>
                <w:szCs w:val="24"/>
              </w:rPr>
            </w:pPr>
            <w:r>
              <w:rPr>
                <w:sz w:val="24"/>
                <w:szCs w:val="24"/>
              </w:rPr>
              <w:t xml:space="preserve">1. </w:t>
            </w:r>
            <w:r w:rsidRPr="00F512C6" w:rsidR="003006FD">
              <w:rPr>
                <w:sz w:val="24"/>
                <w:szCs w:val="24"/>
              </w:rPr>
              <w:t>CARE</w:t>
            </w:r>
            <w:r w:rsidR="00D776A3">
              <w:rPr>
                <w:sz w:val="24"/>
                <w:szCs w:val="24"/>
              </w:rPr>
              <w:t>-</w:t>
            </w:r>
            <w:r w:rsidRPr="00F512C6" w:rsidR="003006FD">
              <w:rPr>
                <w:sz w:val="24"/>
                <w:szCs w:val="24"/>
              </w:rPr>
              <w:t>eligible</w:t>
            </w:r>
            <w:r w:rsidR="003006FD">
              <w:rPr>
                <w:sz w:val="24"/>
                <w:szCs w:val="24"/>
              </w:rPr>
              <w:t xml:space="preserve"> </w:t>
            </w:r>
            <w:r w:rsidR="00007926">
              <w:rPr>
                <w:sz w:val="24"/>
                <w:szCs w:val="24"/>
              </w:rPr>
              <w:t xml:space="preserve">or residing in </w:t>
            </w:r>
            <w:r w:rsidR="003006FD">
              <w:rPr>
                <w:sz w:val="24"/>
                <w:szCs w:val="24"/>
              </w:rPr>
              <w:t>deed-restricted affordable housing</w:t>
            </w:r>
          </w:p>
          <w:p w:rsidR="003006FD" w:rsidP="003006FD" w:rsidRDefault="00DA34AB" w14:paraId="68E05F50" w14:textId="60F7F93A">
            <w:pPr>
              <w:pStyle w:val="Standard"/>
              <w:spacing w:after="120" w:line="240" w:lineRule="auto"/>
              <w:ind w:firstLine="0"/>
              <w:rPr>
                <w:sz w:val="24"/>
                <w:szCs w:val="24"/>
              </w:rPr>
            </w:pPr>
            <w:r>
              <w:rPr>
                <w:sz w:val="24"/>
                <w:szCs w:val="24"/>
              </w:rPr>
              <w:t xml:space="preserve">2. </w:t>
            </w:r>
            <w:r w:rsidRPr="00F512C6" w:rsidR="003006FD">
              <w:rPr>
                <w:sz w:val="24"/>
                <w:szCs w:val="24"/>
              </w:rPr>
              <w:t>FERA</w:t>
            </w:r>
            <w:r w:rsidR="00D776A3">
              <w:rPr>
                <w:sz w:val="24"/>
                <w:szCs w:val="24"/>
              </w:rPr>
              <w:t>-</w:t>
            </w:r>
            <w:r w:rsidRPr="00F512C6" w:rsidR="003006FD">
              <w:rPr>
                <w:sz w:val="24"/>
                <w:szCs w:val="24"/>
              </w:rPr>
              <w:t>eligible</w:t>
            </w:r>
          </w:p>
          <w:p w:rsidR="003006FD" w:rsidP="003006FD" w:rsidRDefault="00DA34AB" w14:paraId="787DE606" w14:textId="7457EAD6">
            <w:pPr>
              <w:pStyle w:val="Standard"/>
              <w:spacing w:after="120" w:line="240" w:lineRule="auto"/>
              <w:ind w:firstLine="0"/>
              <w:rPr>
                <w:sz w:val="24"/>
                <w:szCs w:val="24"/>
              </w:rPr>
            </w:pPr>
            <w:r>
              <w:rPr>
                <w:sz w:val="24"/>
                <w:szCs w:val="24"/>
              </w:rPr>
              <w:t xml:space="preserve">3. </w:t>
            </w:r>
            <w:r w:rsidR="003006FD">
              <w:rPr>
                <w:sz w:val="24"/>
                <w:szCs w:val="24"/>
              </w:rPr>
              <w:t>Above FERA eligibility</w:t>
            </w:r>
          </w:p>
        </w:tc>
        <w:tc>
          <w:tcPr>
            <w:tcW w:w="3505" w:type="dxa"/>
          </w:tcPr>
          <w:p w:rsidR="003006FD" w:rsidP="003006FD" w:rsidRDefault="003006FD" w14:paraId="06E42F71" w14:textId="60AE4959">
            <w:pPr>
              <w:pStyle w:val="Standard"/>
              <w:spacing w:after="120" w:line="240" w:lineRule="auto"/>
              <w:ind w:firstLine="0"/>
              <w:rPr>
                <w:sz w:val="24"/>
                <w:szCs w:val="24"/>
              </w:rPr>
            </w:pPr>
            <w:r w:rsidRPr="00F512C6">
              <w:rPr>
                <w:sz w:val="24"/>
                <w:szCs w:val="24"/>
              </w:rPr>
              <w:t>No modifications to CARE or FERA processes</w:t>
            </w:r>
          </w:p>
          <w:p w:rsidR="003006FD" w:rsidP="003006FD" w:rsidRDefault="003006FD" w14:paraId="10EE6BB2" w14:textId="6637239A">
            <w:pPr>
              <w:pStyle w:val="Standard"/>
              <w:spacing w:after="120" w:line="240" w:lineRule="auto"/>
              <w:ind w:firstLine="0"/>
              <w:rPr>
                <w:sz w:val="24"/>
                <w:szCs w:val="24"/>
              </w:rPr>
            </w:pPr>
            <w:r>
              <w:rPr>
                <w:sz w:val="24"/>
                <w:szCs w:val="24"/>
              </w:rPr>
              <w:t>Use database to automatically include customers in deed-restricted affordable housing in lowest tier</w:t>
            </w:r>
          </w:p>
        </w:tc>
      </w:tr>
      <w:tr w:rsidR="003006FD" w:rsidTr="00A10BEA" w14:paraId="0900414F" w14:textId="77777777">
        <w:tc>
          <w:tcPr>
            <w:tcW w:w="1795" w:type="dxa"/>
          </w:tcPr>
          <w:p w:rsidRPr="00EE39A1" w:rsidR="003006FD" w:rsidP="003006FD" w:rsidRDefault="003006FD" w14:paraId="21BF9E54" w14:textId="5A4ED38D">
            <w:pPr>
              <w:pStyle w:val="Standard"/>
              <w:spacing w:after="120" w:line="240" w:lineRule="auto"/>
              <w:ind w:firstLine="0"/>
              <w:rPr>
                <w:sz w:val="24"/>
                <w:szCs w:val="24"/>
              </w:rPr>
            </w:pPr>
            <w:r>
              <w:rPr>
                <w:sz w:val="24"/>
                <w:szCs w:val="24"/>
              </w:rPr>
              <w:t>SEIA</w:t>
            </w:r>
          </w:p>
        </w:tc>
        <w:tc>
          <w:tcPr>
            <w:tcW w:w="4050" w:type="dxa"/>
          </w:tcPr>
          <w:p w:rsidR="003006FD" w:rsidP="003006FD" w:rsidRDefault="00007926" w14:paraId="3EC19DDE" w14:textId="53C24C7C">
            <w:pPr>
              <w:pStyle w:val="Standard"/>
              <w:spacing w:after="120" w:line="240" w:lineRule="auto"/>
              <w:ind w:firstLine="0"/>
              <w:rPr>
                <w:sz w:val="24"/>
                <w:szCs w:val="24"/>
              </w:rPr>
            </w:pPr>
            <w:r>
              <w:rPr>
                <w:sz w:val="24"/>
                <w:szCs w:val="24"/>
              </w:rPr>
              <w:t xml:space="preserve">1. </w:t>
            </w:r>
            <w:r w:rsidR="003006FD">
              <w:rPr>
                <w:sz w:val="24"/>
                <w:szCs w:val="24"/>
              </w:rPr>
              <w:t>CARE eligible</w:t>
            </w:r>
          </w:p>
          <w:p w:rsidR="003006FD" w:rsidP="003006FD" w:rsidRDefault="00007926" w14:paraId="48F094D6" w14:textId="7068C353">
            <w:pPr>
              <w:pStyle w:val="Standard"/>
              <w:spacing w:after="120" w:line="240" w:lineRule="auto"/>
              <w:ind w:firstLine="0"/>
              <w:rPr>
                <w:sz w:val="24"/>
                <w:szCs w:val="24"/>
              </w:rPr>
            </w:pPr>
            <w:r>
              <w:rPr>
                <w:sz w:val="24"/>
                <w:szCs w:val="24"/>
              </w:rPr>
              <w:t xml:space="preserve">2. </w:t>
            </w:r>
            <w:r w:rsidR="003006FD">
              <w:rPr>
                <w:sz w:val="24"/>
                <w:szCs w:val="24"/>
              </w:rPr>
              <w:t>FERA eligible</w:t>
            </w:r>
          </w:p>
          <w:p w:rsidR="003006FD" w:rsidP="003006FD" w:rsidRDefault="00007926" w14:paraId="4F29AFFE" w14:textId="0C99AD0E">
            <w:pPr>
              <w:pStyle w:val="Standard"/>
              <w:spacing w:after="120" w:line="240" w:lineRule="auto"/>
              <w:ind w:firstLine="0"/>
              <w:rPr>
                <w:sz w:val="24"/>
                <w:szCs w:val="24"/>
              </w:rPr>
            </w:pPr>
            <w:r>
              <w:rPr>
                <w:sz w:val="24"/>
                <w:szCs w:val="24"/>
              </w:rPr>
              <w:t xml:space="preserve">3. </w:t>
            </w:r>
            <w:r w:rsidR="003006FD">
              <w:rPr>
                <w:sz w:val="24"/>
                <w:szCs w:val="24"/>
              </w:rPr>
              <w:t>Above FERA eligibility</w:t>
            </w:r>
          </w:p>
        </w:tc>
        <w:tc>
          <w:tcPr>
            <w:tcW w:w="3505" w:type="dxa"/>
          </w:tcPr>
          <w:p w:rsidR="003006FD" w:rsidP="003006FD" w:rsidRDefault="003006FD" w14:paraId="0D5174F3" w14:textId="4516FC4B">
            <w:pPr>
              <w:pStyle w:val="Standard"/>
              <w:spacing w:after="120" w:line="240" w:lineRule="auto"/>
              <w:ind w:firstLine="0"/>
              <w:rPr>
                <w:sz w:val="24"/>
                <w:szCs w:val="24"/>
              </w:rPr>
            </w:pPr>
            <w:r>
              <w:rPr>
                <w:sz w:val="24"/>
                <w:szCs w:val="24"/>
              </w:rPr>
              <w:t>No modifications to CARE or FERA processes</w:t>
            </w:r>
          </w:p>
        </w:tc>
      </w:tr>
      <w:tr w:rsidR="00A10BEA" w:rsidTr="00321A18" w14:paraId="7E47783F" w14:textId="77777777">
        <w:tc>
          <w:tcPr>
            <w:tcW w:w="1795" w:type="dxa"/>
          </w:tcPr>
          <w:p w:rsidR="00A10BEA" w:rsidP="00A10BEA" w:rsidRDefault="00A10BEA" w14:paraId="7288B94B" w14:textId="506B2687">
            <w:pPr>
              <w:pStyle w:val="Standard"/>
              <w:spacing w:after="120" w:line="240" w:lineRule="auto"/>
              <w:ind w:firstLine="0"/>
              <w:rPr>
                <w:sz w:val="24"/>
                <w:szCs w:val="24"/>
              </w:rPr>
            </w:pPr>
            <w:r>
              <w:rPr>
                <w:sz w:val="24"/>
                <w:szCs w:val="24"/>
              </w:rPr>
              <w:t>Sierra Club</w:t>
            </w:r>
          </w:p>
        </w:tc>
        <w:tc>
          <w:tcPr>
            <w:tcW w:w="4050" w:type="dxa"/>
          </w:tcPr>
          <w:p w:rsidR="00A10BEA" w:rsidP="00A10BEA" w:rsidRDefault="00A10BEA" w14:paraId="3C1122D5" w14:textId="77777777">
            <w:pPr>
              <w:pStyle w:val="Standard"/>
              <w:spacing w:after="120" w:line="240" w:lineRule="auto"/>
              <w:ind w:firstLine="0"/>
              <w:rPr>
                <w:sz w:val="24"/>
                <w:szCs w:val="24"/>
              </w:rPr>
            </w:pPr>
            <w:r>
              <w:rPr>
                <w:sz w:val="24"/>
                <w:szCs w:val="24"/>
              </w:rPr>
              <w:t xml:space="preserve">Five tiers </w:t>
            </w:r>
          </w:p>
          <w:p w:rsidR="00A10BEA" w:rsidP="00A10BEA" w:rsidRDefault="00A10BEA" w14:paraId="02395F1F" w14:textId="2B9893E0">
            <w:pPr>
              <w:pStyle w:val="Standard"/>
              <w:spacing w:after="120" w:line="240" w:lineRule="auto"/>
              <w:ind w:firstLine="0"/>
              <w:rPr>
                <w:sz w:val="24"/>
                <w:szCs w:val="24"/>
              </w:rPr>
            </w:pPr>
            <w:r>
              <w:rPr>
                <w:sz w:val="24"/>
                <w:szCs w:val="24"/>
              </w:rPr>
              <w:t>The threshold for the top tier is 200% of Area Median Income</w:t>
            </w:r>
          </w:p>
        </w:tc>
        <w:tc>
          <w:tcPr>
            <w:tcW w:w="3505" w:type="dxa"/>
          </w:tcPr>
          <w:p w:rsidR="00A10BEA" w:rsidP="00A10BEA" w:rsidRDefault="00A10BEA" w14:paraId="6E02D8E3" w14:textId="03A17BB7">
            <w:pPr>
              <w:pStyle w:val="Standard"/>
              <w:spacing w:after="120" w:line="240" w:lineRule="auto"/>
              <w:ind w:firstLine="0"/>
              <w:rPr>
                <w:sz w:val="24"/>
                <w:szCs w:val="24"/>
              </w:rPr>
            </w:pPr>
            <w:r>
              <w:rPr>
                <w:sz w:val="24"/>
                <w:szCs w:val="24"/>
              </w:rPr>
              <w:t>Self-</w:t>
            </w:r>
            <w:r w:rsidR="004E50C0">
              <w:rPr>
                <w:sz w:val="24"/>
                <w:szCs w:val="24"/>
              </w:rPr>
              <w:t>attestation with proof of income</w:t>
            </w:r>
          </w:p>
        </w:tc>
      </w:tr>
      <w:tr w:rsidR="005A5D39" w:rsidTr="00321A18" w14:paraId="790A532A" w14:textId="77777777">
        <w:tc>
          <w:tcPr>
            <w:tcW w:w="1795" w:type="dxa"/>
          </w:tcPr>
          <w:p w:rsidR="005A5D39" w:rsidP="005A5D39" w:rsidRDefault="005A5D39" w14:paraId="3708C584" w14:textId="0E741728">
            <w:pPr>
              <w:pStyle w:val="Standard"/>
              <w:spacing w:after="120" w:line="240" w:lineRule="auto"/>
              <w:ind w:firstLine="0"/>
              <w:rPr>
                <w:sz w:val="24"/>
                <w:szCs w:val="24"/>
              </w:rPr>
            </w:pPr>
            <w:r>
              <w:rPr>
                <w:sz w:val="24"/>
                <w:szCs w:val="24"/>
              </w:rPr>
              <w:t>CEJA</w:t>
            </w:r>
          </w:p>
        </w:tc>
        <w:tc>
          <w:tcPr>
            <w:tcW w:w="4050" w:type="dxa"/>
          </w:tcPr>
          <w:p w:rsidR="005A5D39" w:rsidP="005A5D39" w:rsidRDefault="005A5D39" w14:paraId="2B8756F9" w14:textId="77777777">
            <w:pPr>
              <w:pStyle w:val="Standard"/>
              <w:spacing w:after="120" w:line="240" w:lineRule="auto"/>
              <w:ind w:firstLine="0"/>
              <w:rPr>
                <w:sz w:val="24"/>
                <w:szCs w:val="24"/>
              </w:rPr>
            </w:pPr>
            <w:r>
              <w:rPr>
                <w:sz w:val="24"/>
                <w:szCs w:val="24"/>
              </w:rPr>
              <w:t xml:space="preserve">Five tiers </w:t>
            </w:r>
          </w:p>
          <w:p w:rsidR="005A5D39" w:rsidP="005A5D39" w:rsidRDefault="005A5D39" w14:paraId="668E1771" w14:textId="2B90AB68">
            <w:pPr>
              <w:pStyle w:val="Standard"/>
              <w:spacing w:after="120" w:line="240" w:lineRule="auto"/>
              <w:ind w:firstLine="0"/>
              <w:rPr>
                <w:sz w:val="24"/>
                <w:szCs w:val="24"/>
              </w:rPr>
            </w:pPr>
            <w:r>
              <w:rPr>
                <w:sz w:val="24"/>
                <w:szCs w:val="24"/>
              </w:rPr>
              <w:t>The threshold for the top tier is $2 million</w:t>
            </w:r>
          </w:p>
        </w:tc>
        <w:tc>
          <w:tcPr>
            <w:tcW w:w="3505" w:type="dxa"/>
          </w:tcPr>
          <w:p w:rsidR="005A5D39" w:rsidP="005A5D39" w:rsidRDefault="005A5D39" w14:paraId="7426369E" w14:textId="3C8F5CF5">
            <w:pPr>
              <w:pStyle w:val="Standard"/>
              <w:spacing w:after="120" w:line="240" w:lineRule="auto"/>
              <w:ind w:firstLine="0"/>
              <w:rPr>
                <w:sz w:val="24"/>
                <w:szCs w:val="24"/>
              </w:rPr>
            </w:pPr>
            <w:r>
              <w:rPr>
                <w:sz w:val="24"/>
                <w:szCs w:val="24"/>
              </w:rPr>
              <w:t xml:space="preserve">Self-verification and </w:t>
            </w:r>
            <w:r w:rsidR="004E50C0">
              <w:rPr>
                <w:sz w:val="24"/>
                <w:szCs w:val="24"/>
              </w:rPr>
              <w:t>property tax assessment value</w:t>
            </w:r>
          </w:p>
        </w:tc>
      </w:tr>
    </w:tbl>
    <w:p w:rsidRPr="008C24FA" w:rsidR="008C24FA" w:rsidP="003F6E47" w:rsidRDefault="008C24FA" w14:paraId="7658E0C3" w14:textId="01C66E21">
      <w:pPr>
        <w:pStyle w:val="Standard"/>
        <w:spacing w:before="240"/>
      </w:pPr>
      <w:r w:rsidRPr="008C24FA">
        <w:t>In opening briefs, CEJA and Sierra Club each proposed five income tiers but disagreed about the appropriate tier thresholds. CEJA proposed a top tier for customers with incomes above $2 million, and Sierra Club proposed a top tier for customers with incomes above 200</w:t>
      </w:r>
      <w:r w:rsidR="00C1241D">
        <w:t xml:space="preserve"> percent</w:t>
      </w:r>
      <w:r w:rsidRPr="008C24FA">
        <w:t xml:space="preserve"> of Area Median Income</w:t>
      </w:r>
      <w:r w:rsidR="00E56403">
        <w:t>.</w:t>
      </w:r>
      <w:r w:rsidRPr="00E56403" w:rsidR="00E56403">
        <w:t xml:space="preserve"> </w:t>
      </w:r>
      <w:r w:rsidR="00E56403">
        <w:t>Sierra Club and CEJA both proposed to rely on self-attestation (based on the CARE and FERA income verification process) paired with additional processes (</w:t>
      </w:r>
      <w:r w:rsidRPr="005535DC" w:rsidR="00E56403">
        <w:t>proof of income and property tax assessment values respectively</w:t>
      </w:r>
      <w:r w:rsidR="00E56403">
        <w:t>) to deter fraud</w:t>
      </w:r>
      <w:r w:rsidRPr="008C24FA">
        <w:t>.</w:t>
      </w:r>
      <w:r w:rsidRPr="008C24FA">
        <w:rPr>
          <w:vertAlign w:val="superscript"/>
        </w:rPr>
        <w:footnoteReference w:id="94"/>
      </w:r>
      <w:r w:rsidRPr="008C24FA">
        <w:t xml:space="preserve"> </w:t>
      </w:r>
      <w:r w:rsidRPr="008C24FA">
        <w:lastRenderedPageBreak/>
        <w:t>CforAT supported both proposals because they set separate tiers for moderate- and high-income customers. However, CforAT acknowledged that it had not conducted a detailed analysis of these proposals.</w:t>
      </w:r>
      <w:r w:rsidRPr="008C24FA">
        <w:rPr>
          <w:vertAlign w:val="superscript"/>
        </w:rPr>
        <w:footnoteReference w:id="95"/>
      </w:r>
      <w:r w:rsidRPr="008C24FA">
        <w:t xml:space="preserve"> </w:t>
      </w:r>
    </w:p>
    <w:p w:rsidR="0069455B" w:rsidP="00836DD2" w:rsidRDefault="00614920" w14:paraId="61F57D34" w14:textId="284470D7">
      <w:pPr>
        <w:pStyle w:val="Standard"/>
      </w:pPr>
      <w:r>
        <w:t>Cal Advocates opposed CEJA</w:t>
      </w:r>
      <w:r w:rsidR="008436F8">
        <w:t>’s</w:t>
      </w:r>
      <w:r>
        <w:t xml:space="preserve"> and Sierra Club’s proposals, arguing that these proposals did not rely on existing CARE and FERA income verification processes but instead proposed additional processes. Cal Advocates noted that </w:t>
      </w:r>
      <w:r w:rsidR="00120842">
        <w:t xml:space="preserve">CEJA’s opening brief continued to propose the use of property tax assessment values to </w:t>
      </w:r>
      <w:r w:rsidR="00AD58A6">
        <w:t>verify customers’ incomes in addition to self-attestation</w:t>
      </w:r>
      <w:r w:rsidR="003D511F">
        <w:t xml:space="preserve">, and </w:t>
      </w:r>
      <w:r w:rsidR="00587F40">
        <w:t xml:space="preserve">Sierra Club’s proposal in opening briefs would require each customer to </w:t>
      </w:r>
      <w:r w:rsidR="003F549E">
        <w:t>provide</w:t>
      </w:r>
      <w:r w:rsidR="00550BDC">
        <w:t xml:space="preserve"> income information</w:t>
      </w:r>
      <w:r w:rsidR="003D511F">
        <w:t>.</w:t>
      </w:r>
      <w:r w:rsidR="003F549E">
        <w:t xml:space="preserve"> </w:t>
      </w:r>
      <w:r w:rsidR="00AD58A6">
        <w:t xml:space="preserve">Cal Advocates argued that </w:t>
      </w:r>
      <w:r w:rsidR="00165564">
        <w:t xml:space="preserve">both proposals would require income verification for </w:t>
      </w:r>
      <w:r w:rsidR="00836DD2">
        <w:t xml:space="preserve">millions of </w:t>
      </w:r>
      <w:r w:rsidRPr="00F41EB5" w:rsidR="00F41EB5">
        <w:t>California households that do not participate in CARE or FERA</w:t>
      </w:r>
      <w:r w:rsidR="00165564">
        <w:t>.</w:t>
      </w:r>
      <w:r w:rsidR="008A28FB">
        <w:rPr>
          <w:rStyle w:val="FootnoteReference"/>
        </w:rPr>
        <w:footnoteReference w:id="96"/>
      </w:r>
      <w:r w:rsidR="00DD1A01">
        <w:t xml:space="preserve"> The Large Utilitie</w:t>
      </w:r>
      <w:r w:rsidR="000F4A37">
        <w:t>s also argued that CEJA’s and Sierra Club’s proposals were</w:t>
      </w:r>
      <w:r w:rsidR="001B0113">
        <w:t xml:space="preserve"> not based on the existing CARE and FERA processes and were</w:t>
      </w:r>
      <w:r w:rsidR="000F4A37">
        <w:t xml:space="preserve"> too complex for the first income-graduated fixed charges.</w:t>
      </w:r>
      <w:r w:rsidR="000F4A37">
        <w:rPr>
          <w:rStyle w:val="FootnoteReference"/>
        </w:rPr>
        <w:footnoteReference w:id="97"/>
      </w:r>
      <w:r w:rsidR="000F4A37">
        <w:t xml:space="preserve"> </w:t>
      </w:r>
    </w:p>
    <w:p w:rsidR="00721B47" w:rsidP="00381F13" w:rsidRDefault="00996C8A" w14:paraId="6247C282" w14:textId="77777777">
      <w:pPr>
        <w:pStyle w:val="Standard"/>
      </w:pPr>
      <w:r>
        <w:t>We agree that CEJA</w:t>
      </w:r>
      <w:r w:rsidR="008A28FB">
        <w:t>’s</w:t>
      </w:r>
      <w:r>
        <w:t xml:space="preserve"> and Sierra Club’s</w:t>
      </w:r>
      <w:r w:rsidR="00962FBF">
        <w:t xml:space="preserve"> proposals </w:t>
      </w:r>
      <w:r w:rsidR="0084255E">
        <w:t xml:space="preserve">would require </w:t>
      </w:r>
      <w:r w:rsidR="00E578C0">
        <w:t>implementation of new</w:t>
      </w:r>
      <w:r w:rsidR="00962FBF">
        <w:t xml:space="preserve"> income verification process</w:t>
      </w:r>
      <w:r w:rsidR="00836DD2">
        <w:t>es.</w:t>
      </w:r>
      <w:r w:rsidR="003D511F">
        <w:t xml:space="preserve"> </w:t>
      </w:r>
      <w:r w:rsidR="00CD401A">
        <w:t xml:space="preserve">CEJA’s proposal would require a new process for </w:t>
      </w:r>
      <w:r w:rsidR="0047683B">
        <w:t xml:space="preserve">a large portion of </w:t>
      </w:r>
      <w:r w:rsidR="00CD401A">
        <w:t xml:space="preserve">customers to challenge </w:t>
      </w:r>
      <w:r w:rsidR="009631DD">
        <w:t>assignments</w:t>
      </w:r>
      <w:r w:rsidR="009D1EA0">
        <w:t xml:space="preserve"> based on property tax assessments</w:t>
      </w:r>
      <w:r w:rsidR="009631DD">
        <w:t xml:space="preserve"> to the wrong income tier</w:t>
      </w:r>
      <w:r w:rsidR="009D1EA0">
        <w:t xml:space="preserve">. </w:t>
      </w:r>
      <w:r w:rsidR="002A7306">
        <w:t>Sierra Club</w:t>
      </w:r>
      <w:r w:rsidR="006761A1">
        <w:t>’s opening brief</w:t>
      </w:r>
      <w:r w:rsidR="002A7306">
        <w:t xml:space="preserve"> recommended </w:t>
      </w:r>
      <w:r w:rsidR="006761A1">
        <w:t>requiring all</w:t>
      </w:r>
      <w:r w:rsidR="009D1EA0">
        <w:t xml:space="preserve"> customers</w:t>
      </w:r>
      <w:r w:rsidR="00FF1A78">
        <w:t xml:space="preserve"> </w:t>
      </w:r>
      <w:r w:rsidR="00BF5DF4">
        <w:t>that seek to be placed in one of four lower tiers</w:t>
      </w:r>
      <w:r w:rsidR="009D1EA0">
        <w:t xml:space="preserve"> to </w:t>
      </w:r>
      <w:r w:rsidR="006761A1">
        <w:t>“</w:t>
      </w:r>
      <w:r w:rsidR="009D1EA0">
        <w:t xml:space="preserve">provide </w:t>
      </w:r>
      <w:r w:rsidR="000D505F">
        <w:t>proof of income</w:t>
      </w:r>
      <w:r w:rsidR="006761A1">
        <w:t>”</w:t>
      </w:r>
      <w:r w:rsidR="000D505F">
        <w:t xml:space="preserve"> </w:t>
      </w:r>
      <w:r w:rsidR="00BF5DF4">
        <w:t>t</w:t>
      </w:r>
      <w:r w:rsidR="00A149FA">
        <w:t xml:space="preserve">o </w:t>
      </w:r>
      <w:r w:rsidR="006761A1">
        <w:t xml:space="preserve">deter </w:t>
      </w:r>
      <w:r w:rsidR="00A149FA">
        <w:t>fraud</w:t>
      </w:r>
      <w:r w:rsidR="00921B71">
        <w:t>.</w:t>
      </w:r>
      <w:r w:rsidR="00EE5412">
        <w:t xml:space="preserve"> </w:t>
      </w:r>
      <w:r w:rsidR="00740830">
        <w:t>Each of these proposals would require a</w:t>
      </w:r>
      <w:r w:rsidR="00780FB4">
        <w:t xml:space="preserve"> new income verification process that </w:t>
      </w:r>
      <w:r w:rsidR="0039524C">
        <w:t>wou</w:t>
      </w:r>
      <w:r w:rsidR="00C905EF">
        <w:t xml:space="preserve">ld take significant time and resources to </w:t>
      </w:r>
      <w:r w:rsidR="00071B4B">
        <w:t>develop and implement.</w:t>
      </w:r>
      <w:r w:rsidR="00EE66F8">
        <w:t xml:space="preserve"> </w:t>
      </w:r>
    </w:p>
    <w:p w:rsidR="00A85E90" w:rsidP="00D72A47" w:rsidRDefault="007B556F" w14:paraId="64C1E0B4" w14:textId="0CEEDB3E">
      <w:pPr>
        <w:pStyle w:val="Standard"/>
      </w:pPr>
      <w:r>
        <w:lastRenderedPageBreak/>
        <w:t>N</w:t>
      </w:r>
      <w:r w:rsidR="008E6E88">
        <w:t>o party supported</w:t>
      </w:r>
      <w:r w:rsidR="00BC0231">
        <w:t xml:space="preserve"> expansion of the</w:t>
      </w:r>
      <w:r w:rsidR="00204FF0">
        <w:t xml:space="preserve"> </w:t>
      </w:r>
      <w:r w:rsidRPr="00204FF0" w:rsidR="00204FF0">
        <w:t>CARE and FERA income verification process</w:t>
      </w:r>
      <w:r w:rsidR="00382392">
        <w:t>, which relies on self-attestation and spot checks,</w:t>
      </w:r>
      <w:r w:rsidRPr="00204FF0" w:rsidR="00204FF0">
        <w:t xml:space="preserve"> to higher-income customers without additional safeguards</w:t>
      </w:r>
      <w:r w:rsidR="00BC0231">
        <w:t>.</w:t>
      </w:r>
      <w:r>
        <w:t xml:space="preserve"> Further, </w:t>
      </w:r>
      <w:r w:rsidR="000D1916">
        <w:t>no party</w:t>
      </w:r>
      <w:r w:rsidR="00A73D35">
        <w:t xml:space="preserve"> provided</w:t>
      </w:r>
      <w:r w:rsidR="00D90BD6">
        <w:t xml:space="preserve"> an example of a California program</w:t>
      </w:r>
      <w:r w:rsidR="00467B5E">
        <w:t xml:space="preserve"> that provide</w:t>
      </w:r>
      <w:r w:rsidR="00D90BD6">
        <w:t>s</w:t>
      </w:r>
      <w:r w:rsidR="00A73D35">
        <w:t xml:space="preserve"> substantial</w:t>
      </w:r>
      <w:r w:rsidR="00467B5E">
        <w:t xml:space="preserve"> </w:t>
      </w:r>
      <w:r w:rsidR="00AA05C3">
        <w:t>assistance or discount</w:t>
      </w:r>
      <w:r w:rsidR="00D90BD6">
        <w:t>s</w:t>
      </w:r>
      <w:r w:rsidR="00AA05C3">
        <w:t xml:space="preserve"> to </w:t>
      </w:r>
      <w:r w:rsidR="00D47DAE">
        <w:t xml:space="preserve">moderate- or </w:t>
      </w:r>
      <w:r w:rsidR="00AA05C3">
        <w:t xml:space="preserve">high-income customers </w:t>
      </w:r>
      <w:r w:rsidR="00062B4C">
        <w:t>based on</w:t>
      </w:r>
      <w:r w:rsidR="004E286C">
        <w:t xml:space="preserve"> self-attestation and spot checks</w:t>
      </w:r>
      <w:r w:rsidR="00965F55">
        <w:t>.</w:t>
      </w:r>
      <w:r w:rsidR="00AF5591">
        <w:t xml:space="preserve"> </w:t>
      </w:r>
      <w:r w:rsidR="00BC3C9C">
        <w:t xml:space="preserve">CEJA’s proposal to use property tax assessments to </w:t>
      </w:r>
      <w:r w:rsidR="00FA001D">
        <w:t>identify higher-income customers indicates a lack of trust that</w:t>
      </w:r>
      <w:r w:rsidR="00106512">
        <w:t xml:space="preserve"> higher-income customers </w:t>
      </w:r>
      <w:r w:rsidR="00AF2FE0">
        <w:t xml:space="preserve">will </w:t>
      </w:r>
      <w:r w:rsidR="00A3303C">
        <w:t>be transparent about their income levels.</w:t>
      </w:r>
      <w:r w:rsidR="00CA51E5">
        <w:t xml:space="preserve"> </w:t>
      </w:r>
      <w:r w:rsidR="00A45583">
        <w:t xml:space="preserve">We do not have </w:t>
      </w:r>
      <w:r w:rsidR="00D72A47">
        <w:t>a sufficient record</w:t>
      </w:r>
      <w:r w:rsidR="00A45583">
        <w:t xml:space="preserve"> to support the expansion of </w:t>
      </w:r>
      <w:r w:rsidR="00664CE3">
        <w:t xml:space="preserve">the </w:t>
      </w:r>
      <w:r w:rsidR="00504987">
        <w:t xml:space="preserve">CARE and FERA income verification process to </w:t>
      </w:r>
      <w:r w:rsidR="00802800">
        <w:t xml:space="preserve">customers </w:t>
      </w:r>
      <w:r w:rsidR="00F90681">
        <w:t>with incomes above FERA-eligibility levels.</w:t>
      </w:r>
    </w:p>
    <w:p w:rsidR="004C3138" w:rsidP="00381F13" w:rsidRDefault="003006FD" w14:paraId="76BCF642" w14:textId="6EF3588B">
      <w:pPr>
        <w:pStyle w:val="Standard"/>
      </w:pPr>
      <w:r>
        <w:t xml:space="preserve">In opening comments on the Implementation Pathway Ruling and in opening briefs, the Large Utilities proposed to </w:t>
      </w:r>
      <w:r w:rsidR="00F06B10">
        <w:t xml:space="preserve">create </w:t>
      </w:r>
      <w:r w:rsidR="00711131">
        <w:t>three tiers</w:t>
      </w:r>
      <w:r w:rsidR="00FF4B61">
        <w:t xml:space="preserve">: </w:t>
      </w:r>
      <w:r w:rsidR="00D61459">
        <w:t xml:space="preserve">(i) </w:t>
      </w:r>
      <w:r w:rsidR="00FF4B61">
        <w:t xml:space="preserve">customers with incomes below </w:t>
      </w:r>
      <w:r w:rsidR="001A35D6">
        <w:t>100</w:t>
      </w:r>
      <w:r w:rsidR="00C1241D">
        <w:t xml:space="preserve"> percent</w:t>
      </w:r>
      <w:r w:rsidR="001A35D6">
        <w:t xml:space="preserve"> of Federal Poverty Guidelines, </w:t>
      </w:r>
      <w:r w:rsidR="00D61459">
        <w:t xml:space="preserve">(ii) </w:t>
      </w:r>
      <w:r w:rsidR="001A35D6">
        <w:t>customers who are eligible for CARE</w:t>
      </w:r>
      <w:r w:rsidR="0013550D">
        <w:t xml:space="preserve"> (200</w:t>
      </w:r>
      <w:r w:rsidR="00C1241D">
        <w:t xml:space="preserve"> percent</w:t>
      </w:r>
      <w:r w:rsidR="0013550D">
        <w:t xml:space="preserve"> of Federal Poverty Guidelines)</w:t>
      </w:r>
      <w:r w:rsidR="00485723">
        <w:t xml:space="preserve"> or FERA (250</w:t>
      </w:r>
      <w:r w:rsidR="00C1241D">
        <w:t xml:space="preserve"> percent</w:t>
      </w:r>
      <w:r w:rsidR="00485723">
        <w:t xml:space="preserve"> of Federal Poverty Guidelines), and </w:t>
      </w:r>
      <w:r w:rsidR="00D61459">
        <w:t xml:space="preserve">(iii) </w:t>
      </w:r>
      <w:r w:rsidR="00485723">
        <w:t>all other customers.</w:t>
      </w:r>
      <w:r w:rsidR="00F66340">
        <w:t xml:space="preserve"> </w:t>
      </w:r>
      <w:r w:rsidR="00016311">
        <w:t>The Large Utilities proposed to change their CARE applications to collec</w:t>
      </w:r>
      <w:r w:rsidR="00836EAB">
        <w:t>t</w:t>
      </w:r>
      <w:r w:rsidR="00D50D53">
        <w:t xml:space="preserve"> </w:t>
      </w:r>
      <w:r w:rsidR="00C65D83">
        <w:t>information about which customers have incomes below 100</w:t>
      </w:r>
      <w:r w:rsidR="00C1241D">
        <w:t xml:space="preserve"> percent</w:t>
      </w:r>
      <w:r w:rsidR="00C65D83">
        <w:t xml:space="preserve"> of Federal Poverty Guidelines</w:t>
      </w:r>
      <w:r w:rsidR="00AC4D82">
        <w:t xml:space="preserve"> and to</w:t>
      </w:r>
      <w:r w:rsidR="008770A6">
        <w:t xml:space="preserve"> assign by default</w:t>
      </w:r>
      <w:r w:rsidR="00AC4D82">
        <w:t xml:space="preserve"> all other CARE customers to the middle tier.</w:t>
      </w:r>
    </w:p>
    <w:p w:rsidR="00643EAC" w:rsidP="00381F13" w:rsidRDefault="00D50D53" w14:paraId="6D863E56" w14:textId="32109D84">
      <w:pPr>
        <w:pStyle w:val="Standard"/>
      </w:pPr>
      <w:r>
        <w:t xml:space="preserve">The Large Utilities </w:t>
      </w:r>
      <w:r w:rsidR="00BA6351">
        <w:t>argued that it would be preferable to</w:t>
      </w:r>
      <w:r w:rsidR="001A374C">
        <w:t xml:space="preserve"> have a separate tier for </w:t>
      </w:r>
      <w:r w:rsidR="00540705">
        <w:t xml:space="preserve">CARE </w:t>
      </w:r>
      <w:r w:rsidR="001A374C">
        <w:t xml:space="preserve">customers with </w:t>
      </w:r>
      <w:r w:rsidR="00792809">
        <w:t>incomes below 100</w:t>
      </w:r>
      <w:r w:rsidR="00C1241D">
        <w:t xml:space="preserve"> percent</w:t>
      </w:r>
      <w:r w:rsidR="00792809">
        <w:t xml:space="preserve"> of Federal Poverty Guidelines (estimated to </w:t>
      </w:r>
      <w:r w:rsidR="00656FE5">
        <w:t>include</w:t>
      </w:r>
      <w:r w:rsidR="00792809">
        <w:t xml:space="preserve"> around </w:t>
      </w:r>
      <w:r w:rsidR="00656FE5">
        <w:t>11</w:t>
      </w:r>
      <w:r w:rsidR="00C1241D">
        <w:t xml:space="preserve"> </w:t>
      </w:r>
      <w:r w:rsidR="63C9AE87">
        <w:t xml:space="preserve">to </w:t>
      </w:r>
      <w:r w:rsidR="00656FE5">
        <w:t>13</w:t>
      </w:r>
      <w:r w:rsidR="00C1241D">
        <w:t xml:space="preserve"> percent</w:t>
      </w:r>
      <w:r w:rsidR="00792809">
        <w:t xml:space="preserve"> of the Large Utilities</w:t>
      </w:r>
      <w:r w:rsidR="00656FE5">
        <w:t>’</w:t>
      </w:r>
      <w:r w:rsidR="00792809">
        <w:t xml:space="preserve"> </w:t>
      </w:r>
      <w:r w:rsidR="00656FE5">
        <w:t>residential customers)</w:t>
      </w:r>
      <w:r w:rsidR="001A374C">
        <w:t xml:space="preserve"> </w:t>
      </w:r>
      <w:r w:rsidR="000B7382">
        <w:t xml:space="preserve">rather than </w:t>
      </w:r>
      <w:r w:rsidR="001A374C">
        <w:t xml:space="preserve">a separate tier for </w:t>
      </w:r>
      <w:r w:rsidR="00AC5C6F">
        <w:t xml:space="preserve">the smaller percentage of </w:t>
      </w:r>
      <w:r w:rsidR="001A374C">
        <w:t xml:space="preserve">customers </w:t>
      </w:r>
      <w:r w:rsidR="002027BE">
        <w:t xml:space="preserve">who are </w:t>
      </w:r>
      <w:r w:rsidR="00653EF0">
        <w:t>enrolled in</w:t>
      </w:r>
      <w:r w:rsidR="002027BE">
        <w:t xml:space="preserve"> FERA </w:t>
      </w:r>
      <w:r w:rsidR="00EF1283">
        <w:t>(around 1</w:t>
      </w:r>
      <w:r w:rsidR="00C1241D">
        <w:t xml:space="preserve"> percent</w:t>
      </w:r>
      <w:r w:rsidR="00EF1283">
        <w:t xml:space="preserve"> of </w:t>
      </w:r>
      <w:r w:rsidR="00AC5C6F">
        <w:t xml:space="preserve">the Large Utilities’ </w:t>
      </w:r>
      <w:r w:rsidR="00EF1283">
        <w:lastRenderedPageBreak/>
        <w:t>residential customers)</w:t>
      </w:r>
      <w:r w:rsidR="00BE2720">
        <w:t>.</w:t>
      </w:r>
      <w:r w:rsidR="00B86FB0">
        <w:t xml:space="preserve"> </w:t>
      </w:r>
      <w:r w:rsidR="0026790B">
        <w:t>The Large Utilities reported in December 2023 that 24.5</w:t>
      </w:r>
      <w:r w:rsidR="79B18876">
        <w:t xml:space="preserve"> to </w:t>
      </w:r>
      <w:r w:rsidR="0026790B">
        <w:t>27.5</w:t>
      </w:r>
      <w:r w:rsidR="00C1241D">
        <w:t xml:space="preserve"> percent</w:t>
      </w:r>
      <w:r w:rsidR="009420D9">
        <w:t xml:space="preserve"> </w:t>
      </w:r>
      <w:r w:rsidR="0026790B">
        <w:t>of residential customers were enrolled in the CARE program.</w:t>
      </w:r>
      <w:r w:rsidR="0026790B">
        <w:rPr>
          <w:rStyle w:val="FootnoteReference"/>
        </w:rPr>
        <w:footnoteReference w:id="98"/>
      </w:r>
    </w:p>
    <w:p w:rsidR="00FC2791" w:rsidP="00381F13" w:rsidRDefault="00FC2791" w14:paraId="1F9972FC" w14:textId="74B5A11D">
      <w:pPr>
        <w:pStyle w:val="Standard"/>
      </w:pPr>
      <w:r>
        <w:t>Cal Advocates supported th</w:t>
      </w:r>
      <w:r w:rsidR="00D43DD6">
        <w:t>e Large Utilities’</w:t>
      </w:r>
      <w:r>
        <w:t xml:space="preserve"> proposal</w:t>
      </w:r>
      <w:r w:rsidR="00643EAC">
        <w:t xml:space="preserve">, noting that it could also be applied to </w:t>
      </w:r>
      <w:r w:rsidR="005605DA">
        <w:t>Small Utilities</w:t>
      </w:r>
      <w:r w:rsidR="00643EAC">
        <w:t>, which do not have FERA programs</w:t>
      </w:r>
      <w:r w:rsidR="00381F13">
        <w:t>.</w:t>
      </w:r>
      <w:r w:rsidR="00381F13">
        <w:rPr>
          <w:rStyle w:val="FootnoteReference"/>
        </w:rPr>
        <w:footnoteReference w:id="99"/>
      </w:r>
      <w:r w:rsidR="00643EAC">
        <w:t xml:space="preserve"> </w:t>
      </w:r>
      <w:r w:rsidR="005128D0">
        <w:t xml:space="preserve">We will separately address whether this approach is appropriate for </w:t>
      </w:r>
      <w:r w:rsidR="005605DA">
        <w:t>Small Utilities</w:t>
      </w:r>
      <w:r w:rsidR="005128D0">
        <w:t xml:space="preserve"> when we discuss the Settlement Agreement below.</w:t>
      </w:r>
      <w:r w:rsidR="000E3D1B">
        <w:t xml:space="preserve"> </w:t>
      </w:r>
    </w:p>
    <w:p w:rsidR="00EB5E89" w:rsidP="000E6DE8" w:rsidRDefault="00ED6643" w14:paraId="26F635D1" w14:textId="7DB51C35">
      <w:pPr>
        <w:pStyle w:val="Standard"/>
      </w:pPr>
      <w:r>
        <w:t xml:space="preserve">CforAT strongly opposed </w:t>
      </w:r>
      <w:r w:rsidR="00732838">
        <w:t xml:space="preserve">the Large Utilities’ proposal to assign by default all CARE customers to the middle tier unless they </w:t>
      </w:r>
      <w:r w:rsidR="00DE7CD3">
        <w:t>take action to be placed in the lowest tier. CforAT argued that this approa</w:t>
      </w:r>
      <w:r w:rsidR="00E90866">
        <w:t xml:space="preserve">ch </w:t>
      </w:r>
      <w:r w:rsidR="00344E5E">
        <w:t>would result in the</w:t>
      </w:r>
      <w:r w:rsidR="00E90866">
        <w:t xml:space="preserve"> </w:t>
      </w:r>
      <w:r w:rsidR="00344E5E">
        <w:t xml:space="preserve">lowest-income households being the only customers </w:t>
      </w:r>
      <w:r w:rsidR="00C01515">
        <w:t>with an administrative burden to be placed in the correct tier.</w:t>
      </w:r>
      <w:r w:rsidR="00C01515">
        <w:rPr>
          <w:rStyle w:val="FootnoteReference"/>
        </w:rPr>
        <w:footnoteReference w:id="100"/>
      </w:r>
      <w:r w:rsidR="00C01515">
        <w:t xml:space="preserve"> TURN/NRDC agreed, asserting that this approach would likely result in </w:t>
      </w:r>
      <w:r w:rsidR="006374BB">
        <w:t>under-enrollment and higher than necessary bills for the lowest income customers.</w:t>
      </w:r>
      <w:r w:rsidR="002017B3">
        <w:t xml:space="preserve"> TURN/NRDC noted that the data provided by the Large Utilities indicated that PG&amp;E only ha</w:t>
      </w:r>
      <w:r w:rsidR="003C7B2A">
        <w:t>d income data for around 8</w:t>
      </w:r>
      <w:r w:rsidR="00C1241D">
        <w:t xml:space="preserve"> percent</w:t>
      </w:r>
      <w:r w:rsidR="003C7B2A">
        <w:t xml:space="preserve"> of its CARE customers as of July 2023.</w:t>
      </w:r>
      <w:r w:rsidR="006374BB">
        <w:rPr>
          <w:rStyle w:val="FootnoteReference"/>
        </w:rPr>
        <w:footnoteReference w:id="101"/>
      </w:r>
      <w:r w:rsidR="005128D0">
        <w:t xml:space="preserve"> We agree </w:t>
      </w:r>
      <w:r w:rsidR="00206F9D">
        <w:t xml:space="preserve">that it would be preferable to avoid an income tier structure that would require </w:t>
      </w:r>
      <w:r w:rsidR="001C2327">
        <w:t xml:space="preserve">the lowest income customers to take additional actions to receive </w:t>
      </w:r>
      <w:r w:rsidR="00A26F4D">
        <w:t>benefits</w:t>
      </w:r>
      <w:r w:rsidR="00500B54">
        <w:t>.</w:t>
      </w:r>
    </w:p>
    <w:p w:rsidR="009C42CD" w:rsidP="00F33A98" w:rsidRDefault="009C42CD" w14:paraId="0CF80301" w14:textId="3B58709A">
      <w:pPr>
        <w:pStyle w:val="Standard"/>
      </w:pPr>
      <w:r w:rsidRPr="009C42CD">
        <w:t>Several parties supported SEIA’s proposed tiers (CARE eligibility, FERA eligibility, and all other customers) due to its administrative simplicity</w:t>
      </w:r>
      <w:r w:rsidR="00886B18">
        <w:t xml:space="preserve"> </w:t>
      </w:r>
      <w:r w:rsidR="00886F3B">
        <w:t>for customers and low administrative costs</w:t>
      </w:r>
      <w:r w:rsidRPr="009C42CD">
        <w:t>, including 350 Bay Area, the Clean Coalition,</w:t>
      </w:r>
      <w:r w:rsidR="000D78A4">
        <w:t xml:space="preserve"> TURN/NRDC,</w:t>
      </w:r>
      <w:r w:rsidRPr="009C42CD">
        <w:t xml:space="preserve"> and UCAN. </w:t>
      </w:r>
      <w:r w:rsidR="007E488D">
        <w:t xml:space="preserve">We agree that this approach provides the </w:t>
      </w:r>
      <w:r w:rsidR="007E488D">
        <w:lastRenderedPageBreak/>
        <w:t xml:space="preserve">greatest administrative </w:t>
      </w:r>
      <w:r w:rsidR="00DE3619">
        <w:t xml:space="preserve">simplicity. Further, </w:t>
      </w:r>
      <w:r w:rsidR="00F33A98">
        <w:t xml:space="preserve">this </w:t>
      </w:r>
      <w:r w:rsidR="00DE3619">
        <w:t>tier structure</w:t>
      </w:r>
      <w:r w:rsidR="007E488D">
        <w:t xml:space="preserve"> </w:t>
      </w:r>
      <w:r w:rsidR="000F38B4">
        <w:t>aligns</w:t>
      </w:r>
      <w:r w:rsidR="00C60511">
        <w:t xml:space="preserve"> the lowest fixed charge tier to our adopted definition of a low-income ratepayer.</w:t>
      </w:r>
    </w:p>
    <w:p w:rsidR="00B609F6" w:rsidP="00B154BA" w:rsidRDefault="00C3561E" w14:paraId="65AAD760" w14:textId="77777777">
      <w:pPr>
        <w:pStyle w:val="Standard"/>
      </w:pPr>
      <w:r>
        <w:t xml:space="preserve">SEIA and TURN/NRDC </w:t>
      </w:r>
      <w:r w:rsidR="008A0D99">
        <w:t>each supported a separate tier for FERA customers</w:t>
      </w:r>
      <w:r w:rsidR="002137C5">
        <w:t xml:space="preserve"> and argued that the FERA tier could have a sufficient number of participants if the Large Utilities</w:t>
      </w:r>
      <w:r w:rsidR="009D43C5">
        <w:t xml:space="preserve"> increased</w:t>
      </w:r>
      <w:r w:rsidR="002137C5">
        <w:t xml:space="preserve"> enrollment levels for the FERA program.</w:t>
      </w:r>
      <w:r w:rsidR="004C7F94">
        <w:t xml:space="preserve"> SEIA also supported modifying the eligibility requirements for the FERA tier. TURN/NRDC agreed that it would be preferable to </w:t>
      </w:r>
      <w:r w:rsidR="00177938">
        <w:t xml:space="preserve">increase the eligible population for FERA but suggested that it would require the Commission to consider </w:t>
      </w:r>
      <w:r w:rsidR="00553D5A">
        <w:t>additional outreach and income verification by the utilities.</w:t>
      </w:r>
      <w:r w:rsidR="00553D5A">
        <w:rPr>
          <w:rStyle w:val="FootnoteReference"/>
        </w:rPr>
        <w:footnoteReference w:id="102"/>
      </w:r>
      <w:r w:rsidR="00553D5A">
        <w:t xml:space="preserve"> </w:t>
      </w:r>
    </w:p>
    <w:p w:rsidR="00B67444" w:rsidP="00B67444" w:rsidRDefault="00B67458" w14:paraId="4DDEB0A6" w14:textId="6AAC3F7E">
      <w:pPr>
        <w:pStyle w:val="Standard"/>
      </w:pPr>
      <w:r>
        <w:t xml:space="preserve">We agree that the Large Utilities’ low enrollment levels in the FERA program are concerning. </w:t>
      </w:r>
      <w:r w:rsidR="00B15C77">
        <w:t xml:space="preserve">However, the Commission recently authorized new enrollment goals and ME&amp;O funding to increase </w:t>
      </w:r>
      <w:r w:rsidR="00886B3F">
        <w:t>FERA participation</w:t>
      </w:r>
      <w:r w:rsidR="006705E6">
        <w:t xml:space="preserve"> to </w:t>
      </w:r>
      <w:r w:rsidR="00FF2131">
        <w:t>70</w:t>
      </w:r>
      <w:r w:rsidR="003762A0">
        <w:t> </w:t>
      </w:r>
      <w:r w:rsidR="00FF2131">
        <w:t>percent by 2026</w:t>
      </w:r>
      <w:r w:rsidR="00886B3F">
        <w:t>.</w:t>
      </w:r>
      <w:r w:rsidR="00886B3F">
        <w:rPr>
          <w:rStyle w:val="FootnoteReference"/>
        </w:rPr>
        <w:footnoteReference w:id="103"/>
      </w:r>
      <w:r w:rsidR="00F177DE">
        <w:t xml:space="preserve"> </w:t>
      </w:r>
      <w:r w:rsidR="006518AC">
        <w:t xml:space="preserve">Further, in the ME&amp;O section below, this decision includes education about FERA in the approved </w:t>
      </w:r>
      <w:r w:rsidR="000B105A">
        <w:t xml:space="preserve">list of </w:t>
      </w:r>
      <w:r w:rsidR="006518AC">
        <w:t>topics for ME&amp;O for the</w:t>
      </w:r>
      <w:r w:rsidR="000B105A">
        <w:t xml:space="preserve"> Large Utilities’</w:t>
      </w:r>
      <w:r w:rsidR="006518AC">
        <w:t xml:space="preserve"> first income-graduated fixed charges</w:t>
      </w:r>
      <w:r w:rsidR="000B105A">
        <w:t>.</w:t>
      </w:r>
      <w:r w:rsidR="006E3D2A">
        <w:t xml:space="preserve"> </w:t>
      </w:r>
    </w:p>
    <w:p w:rsidR="00FD47A2" w:rsidP="00437605" w:rsidRDefault="009446C2" w14:paraId="14589DF5" w14:textId="2BBB182A">
      <w:pPr>
        <w:pStyle w:val="Standard"/>
      </w:pPr>
      <w:r>
        <w:t xml:space="preserve">TURN/NRDC </w:t>
      </w:r>
      <w:r w:rsidR="000D78A4">
        <w:t xml:space="preserve">also </w:t>
      </w:r>
      <w:r w:rsidR="00D61697">
        <w:t xml:space="preserve">proposed to </w:t>
      </w:r>
      <w:r w:rsidR="00F73C27">
        <w:t>assign</w:t>
      </w:r>
      <w:r w:rsidR="00320130">
        <w:t xml:space="preserve"> by default all</w:t>
      </w:r>
      <w:r w:rsidR="00F73C27">
        <w:t xml:space="preserve"> </w:t>
      </w:r>
      <w:r w:rsidR="0049208E">
        <w:t xml:space="preserve">residential </w:t>
      </w:r>
      <w:r w:rsidR="001C083F">
        <w:t xml:space="preserve">customers who </w:t>
      </w:r>
      <w:r w:rsidR="00B67444">
        <w:t>live in</w:t>
      </w:r>
      <w:r w:rsidR="001C083F">
        <w:t xml:space="preserve"> </w:t>
      </w:r>
      <w:r w:rsidR="00F73C27">
        <w:t>deed-restricted affordable h</w:t>
      </w:r>
      <w:r w:rsidR="00B67444">
        <w:t>ousing</w:t>
      </w:r>
      <w:r w:rsidR="00F73C27">
        <w:t xml:space="preserve"> </w:t>
      </w:r>
      <w:r w:rsidR="005B6F68">
        <w:t xml:space="preserve">to </w:t>
      </w:r>
      <w:r w:rsidR="00A50494">
        <w:t>a</w:t>
      </w:r>
      <w:r w:rsidR="005B6F68">
        <w:t xml:space="preserve"> </w:t>
      </w:r>
      <w:r w:rsidR="00FA3FFE">
        <w:t>CARE</w:t>
      </w:r>
      <w:r w:rsidR="00CE7EDC">
        <w:t>/FERA</w:t>
      </w:r>
      <w:r w:rsidR="00A50494">
        <w:t>-</w:t>
      </w:r>
      <w:r w:rsidR="005D0E33">
        <w:t>eligible income</w:t>
      </w:r>
      <w:r w:rsidR="005B6F68">
        <w:t xml:space="preserve"> </w:t>
      </w:r>
      <w:r w:rsidR="00320130">
        <w:t>tier. TURN/NRDC</w:t>
      </w:r>
      <w:r w:rsidR="003F55AB">
        <w:t xml:space="preserve"> recommended that the Commission direct the utilities to </w:t>
      </w:r>
      <w:r w:rsidR="00D63395">
        <w:t>use the</w:t>
      </w:r>
      <w:r w:rsidR="008B1EAD">
        <w:t xml:space="preserve"> publicly available</w:t>
      </w:r>
      <w:r w:rsidR="00D63395">
        <w:t xml:space="preserve"> data in the</w:t>
      </w:r>
      <w:r w:rsidR="003F55AB">
        <w:t xml:space="preserve"> </w:t>
      </w:r>
      <w:r w:rsidR="00D63395">
        <w:t>California Housing Partnership’s database</w:t>
      </w:r>
      <w:r w:rsidR="00AF2AF7">
        <w:rPr>
          <w:rStyle w:val="FootnoteReference"/>
        </w:rPr>
        <w:footnoteReference w:id="104"/>
      </w:r>
      <w:r w:rsidR="00D63395">
        <w:t xml:space="preserve"> of </w:t>
      </w:r>
      <w:r w:rsidR="00D63395">
        <w:lastRenderedPageBreak/>
        <w:t xml:space="preserve">affordable </w:t>
      </w:r>
      <w:r w:rsidR="0081195C">
        <w:t xml:space="preserve">rental </w:t>
      </w:r>
      <w:r w:rsidR="00D63395">
        <w:t>ho</w:t>
      </w:r>
      <w:r w:rsidR="003F608B">
        <w:t>mes</w:t>
      </w:r>
      <w:r w:rsidR="00D63395">
        <w:t xml:space="preserve"> </w:t>
      </w:r>
      <w:r w:rsidR="00C07A41">
        <w:t>that receive state and/or federal subsidi</w:t>
      </w:r>
      <w:r w:rsidR="005D7A8B">
        <w:t>es</w:t>
      </w:r>
      <w:r w:rsidR="00C07A41">
        <w:t xml:space="preserve"> </w:t>
      </w:r>
      <w:r w:rsidR="00D63395">
        <w:t>to make these tier assignments</w:t>
      </w:r>
      <w:r w:rsidR="002F5F31">
        <w:t>.</w:t>
      </w:r>
      <w:r w:rsidR="005A6A7D">
        <w:t xml:space="preserve"> </w:t>
      </w:r>
      <w:r w:rsidR="00FF0F7C">
        <w:t xml:space="preserve">TURN/NRDC argued that </w:t>
      </w:r>
      <w:r w:rsidR="00CE7EDC">
        <w:t>no additional income-verification should be required to assign residents of deed-restricted affordable housing to a CARE/FERA-eligible income tier</w:t>
      </w:r>
      <w:r w:rsidR="00D63395">
        <w:t>.</w:t>
      </w:r>
      <w:r w:rsidR="00F0146F">
        <w:t xml:space="preserve"> </w:t>
      </w:r>
      <w:r w:rsidR="00DD0E5B">
        <w:t>TURN/NRDC cited a report by the</w:t>
      </w:r>
      <w:r w:rsidRPr="00DD0E5B" w:rsidR="00DD0E5B">
        <w:t xml:space="preserve"> California Housing Partnership that found that there were 527,528 government</w:t>
      </w:r>
      <w:r w:rsidR="0081195C">
        <w:t>-</w:t>
      </w:r>
      <w:r w:rsidR="0033221E">
        <w:t>subsidized</w:t>
      </w:r>
      <w:r w:rsidRPr="00DD0E5B" w:rsidR="00DD0E5B">
        <w:t xml:space="preserve"> affordable rental homes </w:t>
      </w:r>
      <w:r w:rsidR="00872F5A">
        <w:t xml:space="preserve">in California </w:t>
      </w:r>
      <w:r w:rsidRPr="00DD0E5B" w:rsidR="00DD0E5B">
        <w:t>as of January 2023.</w:t>
      </w:r>
      <w:r w:rsidR="00A706A3">
        <w:rPr>
          <w:rStyle w:val="FootnoteReference"/>
        </w:rPr>
        <w:footnoteReference w:id="105"/>
      </w:r>
    </w:p>
    <w:p w:rsidR="00C3561E" w:rsidP="00437605" w:rsidRDefault="00287C36" w14:paraId="518B8418" w14:textId="08A84B4C">
      <w:pPr>
        <w:pStyle w:val="Standard"/>
      </w:pPr>
      <w:r>
        <w:t>Both st</w:t>
      </w:r>
      <w:r w:rsidR="00640DA4">
        <w:t xml:space="preserve">ate and federal subsidies for affordable housing </w:t>
      </w:r>
      <w:r w:rsidR="00576054">
        <w:t>set maximum incomes for eligibility to rent these affordable homes</w:t>
      </w:r>
      <w:r w:rsidR="004A4A3D">
        <w:t xml:space="preserve"> based on Area Median Income.</w:t>
      </w:r>
      <w:r w:rsidR="0070077D">
        <w:t xml:space="preserve"> Low-income affordable </w:t>
      </w:r>
      <w:r w:rsidR="00FC0428">
        <w:t>housing assistance is</w:t>
      </w:r>
      <w:r w:rsidR="0070077D">
        <w:t xml:space="preserve"> </w:t>
      </w:r>
      <w:r w:rsidR="007A1409">
        <w:t xml:space="preserve">generally available to </w:t>
      </w:r>
      <w:r w:rsidR="00437605">
        <w:t xml:space="preserve">households </w:t>
      </w:r>
      <w:r w:rsidR="007A1409">
        <w:t>with incomes at</w:t>
      </w:r>
      <w:r w:rsidR="00437605">
        <w:t xml:space="preserve"> or below 80</w:t>
      </w:r>
      <w:r w:rsidR="00C1241D">
        <w:t xml:space="preserve"> percent</w:t>
      </w:r>
      <w:r w:rsidR="00437605">
        <w:t xml:space="preserve"> of Area Median Income.</w:t>
      </w:r>
      <w:r w:rsidRPr="00FD47A2" w:rsidR="00A706A3">
        <w:rPr>
          <w:vertAlign w:val="superscript"/>
        </w:rPr>
        <w:footnoteReference w:id="106"/>
      </w:r>
      <w:r w:rsidR="00D63395">
        <w:t xml:space="preserve"> The Large Utilities opposed </w:t>
      </w:r>
      <w:r w:rsidR="00E94407">
        <w:t>including these households in a low-income tier with CARE customers</w:t>
      </w:r>
      <w:r w:rsidR="00D63395">
        <w:t xml:space="preserve">, arguing that </w:t>
      </w:r>
      <w:r w:rsidR="006A5E5F">
        <w:t>deed-restricted affordable housing is defined by Area Median Income rather than Federal Poverty Guidelines and t</w:t>
      </w:r>
      <w:r w:rsidR="001732E1">
        <w:t>herefore the eligibility is not aligned with the CARE program</w:t>
      </w:r>
      <w:r w:rsidR="00D83EA6">
        <w:t xml:space="preserve">, and many of these customers in locations with high Area Median Incomes </w:t>
      </w:r>
      <w:r w:rsidR="00D86B80">
        <w:t>would not qualify for CARE or FERA</w:t>
      </w:r>
      <w:r w:rsidR="00FA3FFE">
        <w:t>.</w:t>
      </w:r>
      <w:r w:rsidR="005D0E33">
        <w:rPr>
          <w:rStyle w:val="FootnoteReference"/>
        </w:rPr>
        <w:footnoteReference w:id="107"/>
      </w:r>
      <w:r w:rsidR="00FA3FFE">
        <w:t xml:space="preserve"> </w:t>
      </w:r>
    </w:p>
    <w:p w:rsidR="00E475A0" w:rsidP="00EF7B30" w:rsidRDefault="00C103DE" w14:paraId="4CF5FD43" w14:textId="371455A9">
      <w:pPr>
        <w:pStyle w:val="Standard"/>
      </w:pPr>
      <w:r>
        <w:t>Most parties agree</w:t>
      </w:r>
      <w:r w:rsidR="008362CF">
        <w:t>d</w:t>
      </w:r>
      <w:r>
        <w:t xml:space="preserve"> that the first</w:t>
      </w:r>
      <w:r w:rsidR="000466ED">
        <w:t xml:space="preserve"> version of</w:t>
      </w:r>
      <w:r>
        <w:t xml:space="preserve"> income-graduated fixed charges </w:t>
      </w:r>
      <w:r w:rsidR="001C2A1D">
        <w:t>should have only three tiers</w:t>
      </w:r>
      <w:r w:rsidR="00716658">
        <w:t xml:space="preserve"> that do not require</w:t>
      </w:r>
      <w:r w:rsidR="00277D03">
        <w:t xml:space="preserve"> a new income verification process for</w:t>
      </w:r>
      <w:r w:rsidR="00716658">
        <w:t xml:space="preserve"> customers </w:t>
      </w:r>
      <w:r w:rsidR="00CC652E">
        <w:t>who do not qualify for</w:t>
      </w:r>
      <w:r w:rsidR="006238EF">
        <w:t xml:space="preserve"> CARE or FERA. </w:t>
      </w:r>
      <w:r w:rsidR="008362CF">
        <w:t>As noted above, s</w:t>
      </w:r>
      <w:r w:rsidR="005E509D">
        <w:t>everal parties agree</w:t>
      </w:r>
      <w:r w:rsidR="008362CF">
        <w:t>d</w:t>
      </w:r>
      <w:r w:rsidR="005E509D">
        <w:t xml:space="preserve"> that</w:t>
      </w:r>
      <w:r w:rsidR="00D83EA6">
        <w:t xml:space="preserve"> the most straightforward approach is to create separate tiers based on CARE eligibility and FERA eligibility. </w:t>
      </w:r>
      <w:r w:rsidR="001D08BE">
        <w:t xml:space="preserve">The Large </w:t>
      </w:r>
      <w:r w:rsidR="001D08BE">
        <w:lastRenderedPageBreak/>
        <w:t xml:space="preserve">Utilities conceded that the Commission could create a separate tier for FERA-eligible customers but expressed a strong preference </w:t>
      </w:r>
      <w:r w:rsidR="00E874AB">
        <w:t xml:space="preserve">for its proposal to </w:t>
      </w:r>
      <w:r w:rsidR="00E1334F">
        <w:t>create two low-income tiers</w:t>
      </w:r>
      <w:r w:rsidR="007F2711">
        <w:t xml:space="preserve">, </w:t>
      </w:r>
      <w:r w:rsidR="00D53D98">
        <w:t xml:space="preserve">arguing that </w:t>
      </w:r>
      <w:r w:rsidR="00932FE0">
        <w:t>its preferred approach would create</w:t>
      </w:r>
      <w:r w:rsidR="007F2711">
        <w:t xml:space="preserve"> </w:t>
      </w:r>
      <w:r w:rsidR="005D7A8B">
        <w:t xml:space="preserve">a </w:t>
      </w:r>
      <w:r w:rsidR="007F2711">
        <w:t>middle tier with a much higher percentage of residential customers and additional savings for low-income customers in the lowest</w:t>
      </w:r>
      <w:r w:rsidR="00752B7D">
        <w:t xml:space="preserve"> income</w:t>
      </w:r>
      <w:r w:rsidR="007F2711">
        <w:t xml:space="preserve"> tier</w:t>
      </w:r>
      <w:r w:rsidR="00D83EA6">
        <w:t>.</w:t>
      </w:r>
      <w:r w:rsidR="008B0B86">
        <w:rPr>
          <w:rStyle w:val="FootnoteReference"/>
        </w:rPr>
        <w:footnoteReference w:id="108"/>
      </w:r>
      <w:r w:rsidR="00F53A95">
        <w:t xml:space="preserve"> </w:t>
      </w:r>
      <w:r w:rsidR="00CE396F">
        <w:t>Cal Advocates supported the Large Utilities’ proposal.</w:t>
      </w:r>
      <w:r w:rsidR="00CE396F">
        <w:rPr>
          <w:rStyle w:val="FootnoteReference"/>
        </w:rPr>
        <w:footnoteReference w:id="109"/>
      </w:r>
    </w:p>
    <w:p w:rsidR="00627CDC" w:rsidP="00EF7B30" w:rsidRDefault="00F53A95" w14:paraId="3F98E0AC" w14:textId="1E258C94">
      <w:pPr>
        <w:pStyle w:val="Standard"/>
      </w:pPr>
      <w:r>
        <w:t>On the other hand, CforAT</w:t>
      </w:r>
      <w:r w:rsidR="00CF7CF5">
        <w:t xml:space="preserve"> and Sierra Club/CEJA</w:t>
      </w:r>
      <w:r>
        <w:t xml:space="preserve"> argue</w:t>
      </w:r>
      <w:r w:rsidR="00932BB5">
        <w:t>d</w:t>
      </w:r>
      <w:r>
        <w:t xml:space="preserve"> that the Commission should not </w:t>
      </w:r>
      <w:r w:rsidR="00EF7B30">
        <w:t>adopt the Large Utilities’ proposal because it would create new administrative burdens for customers with the lowest incomes.</w:t>
      </w:r>
      <w:r w:rsidR="002C042D">
        <w:t xml:space="preserve"> </w:t>
      </w:r>
      <w:r w:rsidR="00817864">
        <w:t>Sierra Club/CEJ</w:t>
      </w:r>
      <w:r w:rsidR="00775091">
        <w:t>A</w:t>
      </w:r>
      <w:r w:rsidR="00817864">
        <w:t xml:space="preserve"> </w:t>
      </w:r>
      <w:r w:rsidR="00CF7CF5">
        <w:t xml:space="preserve">further </w:t>
      </w:r>
      <w:r w:rsidR="00817864">
        <w:t xml:space="preserve">argued </w:t>
      </w:r>
      <w:r w:rsidR="00D83EA6">
        <w:t xml:space="preserve">that </w:t>
      </w:r>
      <w:r w:rsidR="008A0D2B">
        <w:t>income-graduated fixed charges</w:t>
      </w:r>
      <w:r w:rsidR="00D83EA6">
        <w:t xml:space="preserve"> should protect </w:t>
      </w:r>
      <w:r w:rsidR="00D86B80">
        <w:t>customers</w:t>
      </w:r>
      <w:r w:rsidR="007558F3">
        <w:t xml:space="preserve"> </w:t>
      </w:r>
      <w:r w:rsidR="00D86B80">
        <w:t>w</w:t>
      </w:r>
      <w:r w:rsidR="00FD065C">
        <w:t xml:space="preserve">ho qualify for low-income housing assistance programs but who do not qualify for </w:t>
      </w:r>
      <w:r w:rsidR="007558F3">
        <w:t>CARE or FERA.</w:t>
      </w:r>
      <w:r w:rsidR="008B0B86">
        <w:rPr>
          <w:rStyle w:val="FootnoteReference"/>
        </w:rPr>
        <w:footnoteReference w:id="110"/>
      </w:r>
      <w:r w:rsidR="007558F3">
        <w:t xml:space="preserve"> </w:t>
      </w:r>
    </w:p>
    <w:p w:rsidR="00815459" w:rsidP="00625C22" w:rsidRDefault="007558F3" w14:paraId="7DC5C992" w14:textId="492FD3A9">
      <w:pPr>
        <w:pStyle w:val="Standard"/>
      </w:pPr>
      <w:r>
        <w:t xml:space="preserve">We see an opportunity to </w:t>
      </w:r>
      <w:r w:rsidR="00B24014">
        <w:t>use</w:t>
      </w:r>
      <w:r w:rsidR="00F310E9">
        <w:t xml:space="preserve"> TURN/NRDC’s proposal </w:t>
      </w:r>
      <w:r w:rsidR="00864044">
        <w:t xml:space="preserve">to </w:t>
      </w:r>
      <w:r w:rsidR="00EF7B30">
        <w:t xml:space="preserve">address </w:t>
      </w:r>
      <w:r w:rsidR="00152961">
        <w:t>multiple concerns:</w:t>
      </w:r>
      <w:r w:rsidR="00864044">
        <w:t xml:space="preserve"> increase the number of customers that participate in the middle tier</w:t>
      </w:r>
      <w:r w:rsidR="00A70F6D">
        <w:t>,</w:t>
      </w:r>
      <w:r w:rsidR="00864044">
        <w:t xml:space="preserve"> </w:t>
      </w:r>
      <w:r w:rsidR="00152961">
        <w:t xml:space="preserve">avoid additional income verification requirements for customers beyond </w:t>
      </w:r>
      <w:r w:rsidR="0023684D">
        <w:t xml:space="preserve">the </w:t>
      </w:r>
      <w:r w:rsidR="00152961">
        <w:t xml:space="preserve">existing CARE and FERA processes, and </w:t>
      </w:r>
      <w:r w:rsidR="00395D5E">
        <w:t>p</w:t>
      </w:r>
      <w:r w:rsidR="000B1B4D">
        <w:t xml:space="preserve">rovide a </w:t>
      </w:r>
      <w:r w:rsidR="00EC3B8A">
        <w:t>discounted</w:t>
      </w:r>
      <w:r w:rsidR="000B1B4D">
        <w:t xml:space="preserve"> fixed charge for</w:t>
      </w:r>
      <w:r w:rsidR="00395D5E">
        <w:t xml:space="preserve"> c</w:t>
      </w:r>
      <w:r w:rsidR="00B24014">
        <w:t>ustomers</w:t>
      </w:r>
      <w:r w:rsidR="001B2892">
        <w:t xml:space="preserve"> who have </w:t>
      </w:r>
      <w:r w:rsidR="00B24014">
        <w:t>modest incomes</w:t>
      </w:r>
      <w:r w:rsidR="00C4574D">
        <w:t xml:space="preserve"> </w:t>
      </w:r>
      <w:r w:rsidR="00DC5A95">
        <w:t>but</w:t>
      </w:r>
      <w:r w:rsidR="00B24014">
        <w:t xml:space="preserve"> do not </w:t>
      </w:r>
      <w:r w:rsidR="00675BA6">
        <w:t>qualify for CARE or FER</w:t>
      </w:r>
      <w:r w:rsidR="00A70F6D">
        <w:t>A</w:t>
      </w:r>
      <w:r w:rsidR="00DA61A0">
        <w:t>.</w:t>
      </w:r>
      <w:r w:rsidR="00F756B9">
        <w:t xml:space="preserve"> </w:t>
      </w:r>
      <w:r w:rsidR="007759BC">
        <w:t>Rather tha</w:t>
      </w:r>
      <w:r w:rsidR="00820134">
        <w:t xml:space="preserve">n assigning residents of </w:t>
      </w:r>
      <w:r w:rsidR="009930D5">
        <w:t>deed-restricted affordable</w:t>
      </w:r>
      <w:r w:rsidR="00F756B9">
        <w:t xml:space="preserve"> rental</w:t>
      </w:r>
      <w:r w:rsidR="009930D5">
        <w:t xml:space="preserve"> housing to</w:t>
      </w:r>
      <w:r w:rsidR="008B1EAD">
        <w:t xml:space="preserve"> an</w:t>
      </w:r>
      <w:r w:rsidR="009930D5">
        <w:t xml:space="preserve"> income tier based on CARE eligibility, </w:t>
      </w:r>
      <w:r w:rsidR="001045BA">
        <w:t xml:space="preserve">we </w:t>
      </w:r>
      <w:r w:rsidR="009C2E83">
        <w:t xml:space="preserve">will direct the Large </w:t>
      </w:r>
      <w:r w:rsidR="009C2E83">
        <w:lastRenderedPageBreak/>
        <w:t xml:space="preserve">Utilities to </w:t>
      </w:r>
      <w:r w:rsidR="001409C0">
        <w:t xml:space="preserve">assign these </w:t>
      </w:r>
      <w:r w:rsidR="00875ECE">
        <w:t xml:space="preserve">customers to </w:t>
      </w:r>
      <w:r w:rsidR="008B4387">
        <w:t>the</w:t>
      </w:r>
      <w:r w:rsidR="009C2E83">
        <w:t xml:space="preserve"> middle tier</w:t>
      </w:r>
      <w:r w:rsidR="001409C0">
        <w:t xml:space="preserve"> </w:t>
      </w:r>
      <w:r w:rsidR="00DA61A0">
        <w:t>if</w:t>
      </w:r>
      <w:r w:rsidR="001409C0">
        <w:t xml:space="preserve"> such customers are not enrolled in CARE</w:t>
      </w:r>
      <w:r w:rsidR="00875ECE">
        <w:t>.</w:t>
      </w:r>
      <w:r w:rsidR="00F97589">
        <w:rPr>
          <w:rStyle w:val="FootnoteReference"/>
        </w:rPr>
        <w:footnoteReference w:id="111"/>
      </w:r>
      <w:r w:rsidR="00875ECE">
        <w:t xml:space="preserve"> </w:t>
      </w:r>
    </w:p>
    <w:p w:rsidR="004B4A43" w:rsidP="004B4A43" w:rsidRDefault="00961502" w14:paraId="721D9D13" w14:textId="77777777">
      <w:pPr>
        <w:pStyle w:val="Standard"/>
      </w:pPr>
      <w:r>
        <w:t xml:space="preserve">In opening comments on the proposed decision, the Large Utilities argued that the </w:t>
      </w:r>
      <w:r w:rsidR="00625C22">
        <w:t xml:space="preserve">California Housing Partnership’s </w:t>
      </w:r>
      <w:r w:rsidR="008D4B8F">
        <w:t xml:space="preserve">database of affordable </w:t>
      </w:r>
      <w:r w:rsidR="000A3256">
        <w:t>housing</w:t>
      </w:r>
      <w:r w:rsidR="008D4B8F">
        <w:t xml:space="preserve"> </w:t>
      </w:r>
      <w:r w:rsidR="00B6252E">
        <w:t>does not contain data about which individual units within a multifamily property are affordable</w:t>
      </w:r>
      <w:r w:rsidR="001C2171">
        <w:t xml:space="preserve"> if a property contains both affordable and market rate units</w:t>
      </w:r>
      <w:r w:rsidR="000B35B1">
        <w:t>.</w:t>
      </w:r>
      <w:r w:rsidR="00201B6D">
        <w:t xml:space="preserve"> </w:t>
      </w:r>
    </w:p>
    <w:p w:rsidRPr="00B840DF" w:rsidR="00C31BAF" w:rsidP="003F14BE" w:rsidRDefault="00EC7D39" w14:paraId="5639200A" w14:textId="017F06C0">
      <w:pPr>
        <w:pStyle w:val="Standard"/>
      </w:pPr>
      <w:r>
        <w:t>In reply comments on the proposed decision, TURN/NRDC repli</w:t>
      </w:r>
      <w:r w:rsidR="007C4A28">
        <w:t xml:space="preserve">ed that the Commission should direct the Large Utilities to develop </w:t>
      </w:r>
      <w:r w:rsidR="003B4B0C">
        <w:t>a process to</w:t>
      </w:r>
      <w:r w:rsidR="0088243A">
        <w:t xml:space="preserve"> (a) notify customers at deed-restricted affordable housing </w:t>
      </w:r>
      <w:r w:rsidR="00AC44E9">
        <w:t>addresses of the Tier 2 discount, and (b)</w:t>
      </w:r>
      <w:r w:rsidR="003B4B0C">
        <w:t xml:space="preserve"> </w:t>
      </w:r>
      <w:r w:rsidR="004B4366">
        <w:t>allow</w:t>
      </w:r>
      <w:r w:rsidR="003B4B0C">
        <w:t xml:space="preserve"> customers</w:t>
      </w:r>
      <w:r w:rsidR="004B4366">
        <w:t xml:space="preserve"> that live </w:t>
      </w:r>
      <w:r w:rsidR="0088243A">
        <w:t>at</w:t>
      </w:r>
      <w:r w:rsidR="004B4366">
        <w:t xml:space="preserve"> deed-restricted affordable housing</w:t>
      </w:r>
      <w:r w:rsidR="0088243A">
        <w:t xml:space="preserve"> properties</w:t>
      </w:r>
      <w:r w:rsidR="004B4366">
        <w:t xml:space="preserve"> to </w:t>
      </w:r>
      <w:r w:rsidR="00733157">
        <w:t>opt-in to</w:t>
      </w:r>
      <w:r w:rsidR="003B4B0C">
        <w:t xml:space="preserve"> the Tier 2</w:t>
      </w:r>
      <w:r w:rsidR="004B4366">
        <w:t xml:space="preserve"> fixed charge</w:t>
      </w:r>
      <w:r w:rsidR="0088243A">
        <w:t xml:space="preserve"> using a self-attestation process. </w:t>
      </w:r>
      <w:r w:rsidR="00AC44E9">
        <w:t>T</w:t>
      </w:r>
      <w:r w:rsidR="004B4A43">
        <w:t>he TURN/NRDC</w:t>
      </w:r>
      <w:r w:rsidR="00AC44E9">
        <w:t xml:space="preserve"> approach </w:t>
      </w:r>
      <w:r w:rsidR="000D5FF1">
        <w:t xml:space="preserve">is practical and </w:t>
      </w:r>
      <w:r w:rsidR="00AC44E9">
        <w:t xml:space="preserve">would not require </w:t>
      </w:r>
      <w:r w:rsidR="008208A6">
        <w:t xml:space="preserve">any </w:t>
      </w:r>
      <w:r w:rsidR="00AC44E9">
        <w:t xml:space="preserve">customer to share income data with </w:t>
      </w:r>
      <w:r w:rsidR="008208A6">
        <w:t xml:space="preserve">a </w:t>
      </w:r>
      <w:r w:rsidR="00AC44E9">
        <w:t>utilit</w:t>
      </w:r>
      <w:r w:rsidR="000D5FF1">
        <w:t>y</w:t>
      </w:r>
      <w:r w:rsidR="00AC44E9">
        <w:t xml:space="preserve">. </w:t>
      </w:r>
      <w:r w:rsidR="00134153">
        <w:t xml:space="preserve">Utilities should include </w:t>
      </w:r>
      <w:r w:rsidR="009452BE">
        <w:t>a proposal to implement this process in their Tier 3 advice letters to implement the fixed charges.</w:t>
      </w:r>
      <w:r w:rsidRPr="00276BC3" w:rsidR="00276BC3">
        <w:t xml:space="preserve"> </w:t>
      </w:r>
      <w:r w:rsidRPr="00B840DF" w:rsidR="00C31BAF">
        <w:t xml:space="preserve">It is reasonable to </w:t>
      </w:r>
      <w:r w:rsidRPr="00B840DF" w:rsidR="00FF63D7">
        <w:t>adopt the following tier structure for income-graduated fixed charges of the Large Utilities:</w:t>
      </w:r>
    </w:p>
    <w:p w:rsidR="00FF63D7" w:rsidP="0008492E" w:rsidRDefault="00CB2A07" w14:paraId="5FF2336E" w14:textId="3F666D6F">
      <w:pPr>
        <w:pStyle w:val="ListAlpha"/>
        <w:ind w:right="1440"/>
      </w:pPr>
      <w:r>
        <w:t>Tier 1</w:t>
      </w:r>
      <w:r w:rsidR="006655F9">
        <w:t xml:space="preserve"> will be </w:t>
      </w:r>
      <w:r w:rsidR="00271B60">
        <w:t xml:space="preserve">assigned </w:t>
      </w:r>
      <w:r w:rsidR="00386BE0">
        <w:t>to</w:t>
      </w:r>
      <w:r w:rsidR="006655F9">
        <w:t xml:space="preserve"> c</w:t>
      </w:r>
      <w:r w:rsidR="00FF43B2">
        <w:t xml:space="preserve">ustomers with incomes </w:t>
      </w:r>
      <w:r w:rsidR="00932B0A">
        <w:t>of 0</w:t>
      </w:r>
      <w:r w:rsidR="001F6E2B">
        <w:t xml:space="preserve"> to</w:t>
      </w:r>
      <w:r w:rsidR="00FF43B2">
        <w:t xml:space="preserve"> 200</w:t>
      </w:r>
      <w:r w:rsidR="00C1241D">
        <w:t xml:space="preserve"> percent</w:t>
      </w:r>
      <w:r w:rsidR="00FF43B2">
        <w:t xml:space="preserve"> of </w:t>
      </w:r>
      <w:r w:rsidR="008B58AE">
        <w:t>the Federal Poverty Guideline</w:t>
      </w:r>
      <w:r w:rsidR="004E0684">
        <w:t xml:space="preserve"> levels</w:t>
      </w:r>
      <w:r w:rsidR="008B58AE">
        <w:t xml:space="preserve"> </w:t>
      </w:r>
      <w:r w:rsidRPr="008B58AE" w:rsidR="008B58AE">
        <w:t>applicable to that household under the CARE program</w:t>
      </w:r>
      <w:r w:rsidR="001F6E2B">
        <w:t>;</w:t>
      </w:r>
    </w:p>
    <w:p w:rsidR="001F6E2B" w:rsidP="0008492E" w:rsidRDefault="00CB2A07" w14:paraId="2D4BEC75" w14:textId="19ED5D8B">
      <w:pPr>
        <w:pStyle w:val="ListAlpha"/>
        <w:ind w:right="1440"/>
      </w:pPr>
      <w:r>
        <w:t>Tier 2</w:t>
      </w:r>
      <w:r w:rsidR="006655F9">
        <w:t xml:space="preserve"> </w:t>
      </w:r>
      <w:r w:rsidR="00271B60">
        <w:t xml:space="preserve">will be assigned </w:t>
      </w:r>
      <w:r w:rsidR="00386BE0">
        <w:t>to</w:t>
      </w:r>
      <w:r w:rsidR="00271B60">
        <w:t xml:space="preserve"> </w:t>
      </w:r>
      <w:r w:rsidR="006655F9">
        <w:t>c</w:t>
      </w:r>
      <w:r w:rsidR="001F6E2B">
        <w:t>ustomers</w:t>
      </w:r>
      <w:r w:rsidR="00B259C0">
        <w:t xml:space="preserve"> (i)</w:t>
      </w:r>
      <w:r w:rsidR="001F6E2B">
        <w:t xml:space="preserve"> with incomes </w:t>
      </w:r>
      <w:r w:rsidR="004E0684">
        <w:t>above 200</w:t>
      </w:r>
      <w:r w:rsidR="00C1241D">
        <w:t xml:space="preserve"> percent</w:t>
      </w:r>
      <w:r w:rsidR="004E0684">
        <w:t xml:space="preserve"> and below</w:t>
      </w:r>
      <w:r w:rsidR="001F6E2B">
        <w:t xml:space="preserve"> 250</w:t>
      </w:r>
      <w:r w:rsidR="00C1241D">
        <w:t xml:space="preserve"> percent</w:t>
      </w:r>
      <w:r w:rsidR="001F6E2B">
        <w:t xml:space="preserve"> of the Federal Poverty Guideline</w:t>
      </w:r>
      <w:r w:rsidR="00090AB2">
        <w:t xml:space="preserve"> levels</w:t>
      </w:r>
      <w:r w:rsidR="001F6E2B">
        <w:t xml:space="preserve"> applicable to that household under the FERA pro</w:t>
      </w:r>
      <w:r w:rsidR="00B259C0">
        <w:t xml:space="preserve">gram or (ii) </w:t>
      </w:r>
      <w:r w:rsidR="00835905">
        <w:t xml:space="preserve">who live in an affordable rental home that is restricted by </w:t>
      </w:r>
      <w:r w:rsidR="00EE22DB">
        <w:t xml:space="preserve">the rules of </w:t>
      </w:r>
      <w:r w:rsidR="00835905">
        <w:t xml:space="preserve">federal or state </w:t>
      </w:r>
      <w:r w:rsidR="00EE22DB">
        <w:lastRenderedPageBreak/>
        <w:t xml:space="preserve">subsidies to </w:t>
      </w:r>
      <w:r w:rsidR="00B865F8">
        <w:t xml:space="preserve">residents </w:t>
      </w:r>
      <w:r w:rsidR="00EE22DB">
        <w:t>who have incomes at or below 80</w:t>
      </w:r>
      <w:r w:rsidR="002812BB">
        <w:t> </w:t>
      </w:r>
      <w:r w:rsidR="00C1241D">
        <w:t>percent</w:t>
      </w:r>
      <w:r w:rsidR="00EE22DB">
        <w:t xml:space="preserve"> of Area Median Income</w:t>
      </w:r>
      <w:r w:rsidR="006655F9">
        <w:t>;</w:t>
      </w:r>
      <w:r w:rsidR="00801AAC">
        <w:t xml:space="preserve"> and</w:t>
      </w:r>
    </w:p>
    <w:p w:rsidRPr="00B840DF" w:rsidR="007753FD" w:rsidP="0008492E" w:rsidRDefault="00CB2A07" w14:paraId="34C98BE6" w14:textId="715DAD6B">
      <w:pPr>
        <w:pStyle w:val="ListAlpha"/>
        <w:ind w:right="1440"/>
      </w:pPr>
      <w:r>
        <w:t>Tier 3</w:t>
      </w:r>
      <w:r w:rsidR="00455B16">
        <w:t xml:space="preserve"> will </w:t>
      </w:r>
      <w:r w:rsidR="00271B60">
        <w:t xml:space="preserve">be assigned </w:t>
      </w:r>
      <w:r w:rsidR="00386BE0">
        <w:t>to</w:t>
      </w:r>
      <w:r w:rsidR="00BD2218">
        <w:t xml:space="preserve"> customers who do </w:t>
      </w:r>
      <w:r w:rsidR="00801AAC">
        <w:t>not qualify for the first or second tiers</w:t>
      </w:r>
      <w:r w:rsidR="00386BE0">
        <w:t>.</w:t>
      </w:r>
    </w:p>
    <w:p w:rsidR="000101D1" w:rsidP="00991C58" w:rsidRDefault="00386BE0" w14:paraId="64DAD5EB" w14:textId="736784D7">
      <w:pPr>
        <w:pStyle w:val="Standard"/>
      </w:pPr>
      <w:r>
        <w:t>It is reasonable to adopt the following income tier assignment processes for income-graduated fixed charges of the Large Utilities:</w:t>
      </w:r>
    </w:p>
    <w:p w:rsidR="00386BE0" w:rsidP="0008492E" w:rsidRDefault="00386BE0" w14:paraId="02D47DEE" w14:textId="7A3C904E">
      <w:pPr>
        <w:pStyle w:val="ListAlpha"/>
        <w:numPr>
          <w:ilvl w:val="7"/>
          <w:numId w:val="9"/>
        </w:numPr>
        <w:tabs>
          <w:tab w:val="left" w:pos="7920"/>
        </w:tabs>
        <w:ind w:right="1440"/>
      </w:pPr>
      <w:r>
        <w:t xml:space="preserve">Utilities will assign all customers enrolled in CARE to </w:t>
      </w:r>
      <w:r w:rsidR="00CB2A07">
        <w:t>Tier 1</w:t>
      </w:r>
      <w:r w:rsidR="009D0308">
        <w:t xml:space="preserve"> without the need for the customer to take any action;</w:t>
      </w:r>
    </w:p>
    <w:p w:rsidR="009D0308" w:rsidP="0008492E" w:rsidRDefault="009D0308" w14:paraId="34CAEE00" w14:textId="7F5FF805">
      <w:pPr>
        <w:pStyle w:val="ListAlpha"/>
        <w:tabs>
          <w:tab w:val="left" w:pos="7920"/>
        </w:tabs>
        <w:ind w:right="1440"/>
      </w:pPr>
      <w:r>
        <w:t xml:space="preserve">Utilities will assign all customers enrolled in FERA to </w:t>
      </w:r>
      <w:r w:rsidR="00CB2A07">
        <w:t>Tier 2</w:t>
      </w:r>
      <w:r>
        <w:t xml:space="preserve"> without the need for the customer to take any action;</w:t>
      </w:r>
    </w:p>
    <w:p w:rsidR="009D0308" w:rsidP="0008492E" w:rsidRDefault="009D0308" w14:paraId="2E2A26AB" w14:textId="0D1886D6">
      <w:pPr>
        <w:pStyle w:val="ListAlpha"/>
        <w:tabs>
          <w:tab w:val="left" w:pos="7920"/>
        </w:tabs>
        <w:ind w:right="1440"/>
      </w:pPr>
      <w:r>
        <w:t xml:space="preserve">Utilities will assign all </w:t>
      </w:r>
      <w:r w:rsidR="00A93CE0">
        <w:t>customers who</w:t>
      </w:r>
      <w:r w:rsidR="00B1462E">
        <w:t xml:space="preserve"> (i)</w:t>
      </w:r>
      <w:r w:rsidR="00A93CE0">
        <w:t xml:space="preserve"> live in an </w:t>
      </w:r>
      <w:r w:rsidRPr="009D0308">
        <w:t xml:space="preserve">affordable rental home that is restricted by the rules of federal or state subsidies to </w:t>
      </w:r>
      <w:r w:rsidR="00B865F8">
        <w:t>residents</w:t>
      </w:r>
      <w:r w:rsidRPr="009D0308">
        <w:t xml:space="preserve"> who have incomes at or below 80</w:t>
      </w:r>
      <w:r w:rsidR="00C1241D">
        <w:t xml:space="preserve"> percent</w:t>
      </w:r>
      <w:r w:rsidRPr="009D0308">
        <w:t xml:space="preserve"> of Area Median Income</w:t>
      </w:r>
      <w:r w:rsidR="00B1462E">
        <w:t xml:space="preserve"> and (ii) are not enrolled in CARE</w:t>
      </w:r>
      <w:r w:rsidR="00A93CE0">
        <w:t xml:space="preserve"> to </w:t>
      </w:r>
      <w:r w:rsidR="00CB2A07">
        <w:t>Tier 2</w:t>
      </w:r>
      <w:r w:rsidR="001E0591">
        <w:t xml:space="preserve">, based on </w:t>
      </w:r>
      <w:r w:rsidR="00BF1C7C">
        <w:t>the statewide database of such homes maintained by the California Housing Partnership</w:t>
      </w:r>
      <w:r w:rsidR="001A19C0">
        <w:t xml:space="preserve"> and self-attestation</w:t>
      </w:r>
      <w:r w:rsidRPr="009D0308">
        <w:t>;</w:t>
      </w:r>
      <w:r w:rsidR="00253030">
        <w:t xml:space="preserve"> and</w:t>
      </w:r>
    </w:p>
    <w:p w:rsidR="00253030" w:rsidP="0008492E" w:rsidRDefault="00253030" w14:paraId="75A6294E" w14:textId="77667D6F">
      <w:pPr>
        <w:pStyle w:val="ListAlpha"/>
        <w:tabs>
          <w:tab w:val="left" w:pos="7920"/>
        </w:tabs>
        <w:ind w:right="1440"/>
      </w:pPr>
      <w:r>
        <w:t>Utilities will assign</w:t>
      </w:r>
      <w:r w:rsidR="008022EE">
        <w:t xml:space="preserve"> all other</w:t>
      </w:r>
      <w:r>
        <w:t xml:space="preserve"> </w:t>
      </w:r>
      <w:r w:rsidR="00113794">
        <w:t xml:space="preserve">customers to </w:t>
      </w:r>
      <w:r w:rsidR="00CB2A07">
        <w:t>Tier 3</w:t>
      </w:r>
      <w:r w:rsidR="00113794">
        <w:t>.</w:t>
      </w:r>
    </w:p>
    <w:p w:rsidR="00FC247C" w:rsidP="00BD610C" w:rsidRDefault="00253030" w14:paraId="653D7958" w14:textId="7A551C46">
      <w:pPr>
        <w:pStyle w:val="Standard"/>
      </w:pPr>
      <w:r>
        <w:t xml:space="preserve">This decision does not modify any of the </w:t>
      </w:r>
      <w:r w:rsidR="00BD610C">
        <w:t xml:space="preserve">income verification </w:t>
      </w:r>
      <w:r>
        <w:t xml:space="preserve">processes </w:t>
      </w:r>
      <w:r w:rsidR="00BD610C">
        <w:t xml:space="preserve">or rules </w:t>
      </w:r>
      <w:r>
        <w:t xml:space="preserve">of the </w:t>
      </w:r>
      <w:r w:rsidR="00B967B8">
        <w:t>Large Utilitie</w:t>
      </w:r>
      <w:r>
        <w:t>s’ CARE or FERA programs.</w:t>
      </w:r>
    </w:p>
    <w:p w:rsidR="00AD05FF" w:rsidP="00BD610C" w:rsidRDefault="00AD05FF" w14:paraId="6474B71E" w14:textId="289C5ACB">
      <w:pPr>
        <w:pStyle w:val="Standard"/>
      </w:pPr>
      <w:r>
        <w:t xml:space="preserve">In opening comments on the proposed decision, CalCCA urged the Commission to require the Large Utilities to report to </w:t>
      </w:r>
      <w:r w:rsidR="002B228D">
        <w:t>CCAs t</w:t>
      </w:r>
      <w:r w:rsidR="00AE3127">
        <w:t>he fixed charge</w:t>
      </w:r>
      <w:r w:rsidRPr="00AE3127" w:rsidR="00AE3127">
        <w:t xml:space="preserve"> tier </w:t>
      </w:r>
      <w:r w:rsidR="00AE3127">
        <w:t>assignments of customers</w:t>
      </w:r>
      <w:r w:rsidRPr="00AE3127" w:rsidR="00AE3127">
        <w:t xml:space="preserve"> in existing</w:t>
      </w:r>
      <w:r w:rsidR="00DC77AC">
        <w:t xml:space="preserve"> </w:t>
      </w:r>
      <w:r w:rsidRPr="00AE3127" w:rsidR="00AE3127">
        <w:t>customer data reports</w:t>
      </w:r>
      <w:r w:rsidR="00DC77AC">
        <w:t xml:space="preserve"> on a weekly basis. CalCCA argued that existing reports do not include information about which customers </w:t>
      </w:r>
      <w:r w:rsidR="005E6D24">
        <w:t>will be</w:t>
      </w:r>
      <w:r w:rsidR="00DC77AC">
        <w:t xml:space="preserve"> assigned to Tier 2</w:t>
      </w:r>
      <w:r w:rsidR="005E6D24">
        <w:t xml:space="preserve"> based residence in an affordable rental home. </w:t>
      </w:r>
      <w:r w:rsidR="00212253">
        <w:t xml:space="preserve">The Large Utilities replied that the Commission should avoid being too prescriptive about how utilities should share this information. </w:t>
      </w:r>
      <w:r w:rsidR="006A1DC5">
        <w:t>It is reasonable to direct the Large Utilities to propose how to share Tier 2 assignment information with CCAs</w:t>
      </w:r>
      <w:r w:rsidR="00276BC3">
        <w:t xml:space="preserve"> in their Tier 3 advice letters to implement the fixed charges.</w:t>
      </w:r>
    </w:p>
    <w:p w:rsidR="00EC0ABE" w:rsidP="00702F6F" w:rsidRDefault="00CD5076" w14:paraId="0714E2E6" w14:textId="096672A5">
      <w:pPr>
        <w:pStyle w:val="Heading2"/>
      </w:pPr>
      <w:bookmarkStart w:name="_Toc160790039" w:id="30"/>
      <w:bookmarkStart w:name="_Toc8123721" w:id="31"/>
      <w:r>
        <w:lastRenderedPageBreak/>
        <w:t xml:space="preserve">Fixed Costs and </w:t>
      </w:r>
      <w:r w:rsidR="004669C9">
        <w:t>Fixed Charg</w:t>
      </w:r>
      <w:r w:rsidR="00BB5D33">
        <w:t>e</w:t>
      </w:r>
      <w:r w:rsidR="008571C2">
        <w:t xml:space="preserve"> Levels</w:t>
      </w:r>
      <w:bookmarkEnd w:id="30"/>
    </w:p>
    <w:p w:rsidR="007D7635" w:rsidP="00645E09" w:rsidRDefault="007D7635" w14:paraId="3E2A6831" w14:textId="45403D77">
      <w:pPr>
        <w:pStyle w:val="Standard"/>
      </w:pPr>
      <w:r>
        <w:t xml:space="preserve">The </w:t>
      </w:r>
      <w:r w:rsidR="00D308D0">
        <w:t>issues</w:t>
      </w:r>
      <w:r>
        <w:t xml:space="preserve"> of wh</w:t>
      </w:r>
      <w:r w:rsidR="00D308D0">
        <w:t>ich</w:t>
      </w:r>
      <w:r>
        <w:t xml:space="preserve"> fixed charge levels to establish and wh</w:t>
      </w:r>
      <w:r w:rsidR="00D308D0">
        <w:t>ich</w:t>
      </w:r>
      <w:r>
        <w:t xml:space="preserve"> fixed costs to recover through</w:t>
      </w:r>
      <w:r w:rsidR="00CD3621">
        <w:t xml:space="preserve"> income-graduated</w:t>
      </w:r>
      <w:r>
        <w:t xml:space="preserve"> fixed charge</w:t>
      </w:r>
      <w:r w:rsidR="00CD3621">
        <w:t>s</w:t>
      </w:r>
      <w:r>
        <w:t xml:space="preserve"> </w:t>
      </w:r>
      <w:r w:rsidR="001419B4">
        <w:t>are connected</w:t>
      </w:r>
      <w:r w:rsidR="00D308D0">
        <w:t xml:space="preserve">. Accordingly, this section will address both </w:t>
      </w:r>
      <w:r w:rsidR="00F8606F">
        <w:t xml:space="preserve">issues. </w:t>
      </w:r>
    </w:p>
    <w:p w:rsidR="004034C4" w:rsidP="00991258" w:rsidRDefault="004034C4" w14:paraId="2EFA27FC" w14:textId="313A8D07">
      <w:pPr>
        <w:pStyle w:val="Standard"/>
      </w:pPr>
      <w:r w:rsidRPr="004034C4">
        <w:t>First, we will discuss</w:t>
      </w:r>
      <w:r w:rsidR="00C4064C">
        <w:t xml:space="preserve"> how to establish</w:t>
      </w:r>
      <w:r w:rsidR="007E5539">
        <w:t xml:space="preserve"> the </w:t>
      </w:r>
      <w:r w:rsidR="00C4064C">
        <w:t xml:space="preserve">fixed charge levels </w:t>
      </w:r>
      <w:r w:rsidR="00991258">
        <w:t xml:space="preserve">at a high level based on policy </w:t>
      </w:r>
      <w:r w:rsidR="00C73A97">
        <w:t>considerations and the requirements of AB 205</w:t>
      </w:r>
      <w:r w:rsidRPr="004034C4">
        <w:t xml:space="preserve">. </w:t>
      </w:r>
      <w:r w:rsidR="00991258">
        <w:t>Second</w:t>
      </w:r>
      <w:r>
        <w:t>, we will discuss</w:t>
      </w:r>
      <w:r w:rsidR="007E5539">
        <w:t xml:space="preserve"> which</w:t>
      </w:r>
      <w:r w:rsidR="002D39C9">
        <w:t xml:space="preserve"> </w:t>
      </w:r>
      <w:r w:rsidR="007E5539">
        <w:t>fixed costs</w:t>
      </w:r>
      <w:r w:rsidR="00CE3090">
        <w:t xml:space="preserve"> may be recovered</w:t>
      </w:r>
      <w:r w:rsidR="008A08A2">
        <w:t xml:space="preserve"> through </w:t>
      </w:r>
      <w:r w:rsidR="007E5539">
        <w:t>fixed charges</w:t>
      </w:r>
      <w:r w:rsidR="008A08A2">
        <w:t xml:space="preserve"> </w:t>
      </w:r>
      <w:r w:rsidR="002D39C9">
        <w:t xml:space="preserve">and whether </w:t>
      </w:r>
      <w:r w:rsidR="005A4DCA">
        <w:t xml:space="preserve">recovery of those fixed costs would result in a reasonable </w:t>
      </w:r>
      <w:r w:rsidR="00195480">
        <w:t xml:space="preserve">average fixed charge level. </w:t>
      </w:r>
      <w:r w:rsidR="00E27A85">
        <w:t xml:space="preserve">Finally, we will establish </w:t>
      </w:r>
      <w:r w:rsidR="0055207F">
        <w:t>a method for setting fixed charge amounts for each income tier</w:t>
      </w:r>
      <w:r w:rsidR="005C6801">
        <w:t xml:space="preserve"> in accordance with the requirements of AB</w:t>
      </w:r>
      <w:r w:rsidR="0008492E">
        <w:t> </w:t>
      </w:r>
      <w:r w:rsidR="005C6801">
        <w:t>205.</w:t>
      </w:r>
    </w:p>
    <w:p w:rsidR="000E4148" w:rsidP="00F54CCE" w:rsidRDefault="0036349B" w14:paraId="25090FEE" w14:textId="3D382E62">
      <w:pPr>
        <w:pStyle w:val="Standard"/>
      </w:pPr>
      <w:r>
        <w:t xml:space="preserve">Throughout this section, we will refer to the </w:t>
      </w:r>
      <w:r w:rsidRPr="00690DC8">
        <w:t xml:space="preserve">Public Tool </w:t>
      </w:r>
      <w:r w:rsidR="00CD7FDE">
        <w:t>that parties used to</w:t>
      </w:r>
      <w:r w:rsidR="00417CFD">
        <w:t xml:space="preserve"> develop income-graduated fixed charge</w:t>
      </w:r>
      <w:r w:rsidR="00716AEA">
        <w:t xml:space="preserve"> proposals for the Large Utilities</w:t>
      </w:r>
      <w:r w:rsidR="00417CFD">
        <w:t>.</w:t>
      </w:r>
      <w:r w:rsidRPr="00690DC8" w:rsidR="00417CFD">
        <w:rPr>
          <w:vertAlign w:val="superscript"/>
        </w:rPr>
        <w:footnoteReference w:id="112"/>
      </w:r>
      <w:r w:rsidRPr="00E77782" w:rsidR="00E77782">
        <w:t xml:space="preserve"> </w:t>
      </w:r>
      <w:r w:rsidRPr="00690DC8" w:rsidR="00E77782">
        <w:t>The Public Tool incorporated a dataset from a study conducted by Next 10 and the Energy Institute at the University of California Haas Business School.</w:t>
      </w:r>
      <w:r w:rsidRPr="00690DC8" w:rsidR="00E77782">
        <w:rPr>
          <w:vertAlign w:val="superscript"/>
        </w:rPr>
        <w:footnoteReference w:id="113"/>
      </w:r>
      <w:r w:rsidR="00B13742">
        <w:t xml:space="preserve"> </w:t>
      </w:r>
      <w:r w:rsidR="00716AEA">
        <w:t xml:space="preserve">The dataset included </w:t>
      </w:r>
      <w:r w:rsidR="009D2D23">
        <w:t>aggregate</w:t>
      </w:r>
      <w:r w:rsidR="001A4CD7">
        <w:t>d</w:t>
      </w:r>
      <w:r w:rsidR="009D2D23">
        <w:t xml:space="preserve"> residential customer monthly bill data from the Large Utilities. </w:t>
      </w:r>
    </w:p>
    <w:p w:rsidR="000E4148" w:rsidP="00F54CCE" w:rsidRDefault="00417CFD" w14:paraId="6B08A164" w14:textId="2459275A">
      <w:pPr>
        <w:pStyle w:val="Standard"/>
      </w:pPr>
      <w:r>
        <w:t xml:space="preserve">Parties used the Public Tool </w:t>
      </w:r>
      <w:r w:rsidR="00EA3D5E">
        <w:t>for the following purposes:</w:t>
      </w:r>
    </w:p>
    <w:p w:rsidR="00AC6C85" w:rsidP="0008492E" w:rsidRDefault="00AC6C85" w14:paraId="0FA400B5" w14:textId="74B0EFD0">
      <w:pPr>
        <w:pStyle w:val="ListBullet"/>
        <w:ind w:right="1440"/>
      </w:pPr>
      <w:r>
        <w:t>Calculate an average fixed charge level based on selected fixed cost categories</w:t>
      </w:r>
      <w:r w:rsidR="00476275">
        <w:t xml:space="preserve"> based on the Large Utilities’ revenue requirement</w:t>
      </w:r>
      <w:r w:rsidR="00D316CC">
        <w:t>s</w:t>
      </w:r>
      <w:r w:rsidR="00476275">
        <w:t xml:space="preserve"> and billing determinant</w:t>
      </w:r>
      <w:r w:rsidR="00D316CC">
        <w:t>s</w:t>
      </w:r>
      <w:r>
        <w:t>;</w:t>
      </w:r>
    </w:p>
    <w:p w:rsidR="00752FCB" w:rsidP="0008492E" w:rsidRDefault="00651949" w14:paraId="1974B3D7" w14:textId="7D21EA52">
      <w:pPr>
        <w:pStyle w:val="ListBullet"/>
        <w:ind w:right="1440"/>
      </w:pPr>
      <w:r>
        <w:lastRenderedPageBreak/>
        <w:t xml:space="preserve">Design income-based </w:t>
      </w:r>
      <w:r w:rsidR="00520E9B">
        <w:t>(or CARE-based)</w:t>
      </w:r>
      <w:r>
        <w:t xml:space="preserve"> differentiation of </w:t>
      </w:r>
      <w:r w:rsidR="00B63733">
        <w:t xml:space="preserve">the </w:t>
      </w:r>
      <w:r>
        <w:t>fixed charge</w:t>
      </w:r>
      <w:r w:rsidR="00F17739">
        <w:t>;</w:t>
      </w:r>
    </w:p>
    <w:p w:rsidR="00CB30FF" w:rsidP="0008492E" w:rsidRDefault="00CB30FF" w14:paraId="19F0683D" w14:textId="11AD0E99">
      <w:pPr>
        <w:pStyle w:val="ListBullet"/>
        <w:ind w:right="1440"/>
      </w:pPr>
      <w:r>
        <w:t>Apply</w:t>
      </w:r>
      <w:r w:rsidR="00D316CC">
        <w:t xml:space="preserve"> the</w:t>
      </w:r>
      <w:r>
        <w:t xml:space="preserve"> </w:t>
      </w:r>
      <w:r w:rsidR="00752FCB">
        <w:t>CARE discount based on requirements of AB 205;</w:t>
      </w:r>
    </w:p>
    <w:p w:rsidR="00F17739" w:rsidP="0008492E" w:rsidRDefault="00F17739" w14:paraId="7A251A16" w14:textId="7ADD6D78">
      <w:pPr>
        <w:pStyle w:val="ListBullet"/>
        <w:ind w:right="1440"/>
      </w:pPr>
      <w:r>
        <w:t xml:space="preserve">Incorporate a demand-based </w:t>
      </w:r>
      <w:r w:rsidR="007141CD">
        <w:t>rate component</w:t>
      </w:r>
      <w:r w:rsidR="00D316CC">
        <w:t>, if desired</w:t>
      </w:r>
      <w:r w:rsidR="007141CD">
        <w:t>;</w:t>
      </w:r>
    </w:p>
    <w:p w:rsidR="00515D23" w:rsidP="0008492E" w:rsidRDefault="007D3A21" w14:paraId="589E8AAB" w14:textId="14475F17">
      <w:pPr>
        <w:pStyle w:val="ListBullet"/>
        <w:ind w:right="1440"/>
      </w:pPr>
      <w:r>
        <w:t xml:space="preserve">Specify the degree to which discounted fixed charges </w:t>
      </w:r>
      <w:r w:rsidR="00AB2C11">
        <w:t>for CARE customers</w:t>
      </w:r>
      <w:r>
        <w:t xml:space="preserve"> </w:t>
      </w:r>
      <w:r w:rsidR="00986B72">
        <w:t>are funded through</w:t>
      </w:r>
      <w:r w:rsidR="008A1552">
        <w:t xml:space="preserve"> the CARE surcharge versus revenues generated by the fixed charge</w:t>
      </w:r>
      <w:r w:rsidR="00515D23">
        <w:t>;</w:t>
      </w:r>
    </w:p>
    <w:p w:rsidR="00FF121B" w:rsidP="0008492E" w:rsidRDefault="00515D23" w14:paraId="5825C9DA" w14:textId="56DBA337">
      <w:pPr>
        <w:pStyle w:val="ListBullet"/>
        <w:ind w:right="1440"/>
      </w:pPr>
      <w:r>
        <w:t xml:space="preserve">Identify the </w:t>
      </w:r>
      <w:r w:rsidR="00E34C2A">
        <w:t>volumetric rate reduction that would result in a revenue neutral rate design;</w:t>
      </w:r>
    </w:p>
    <w:p w:rsidR="007141CD" w:rsidP="0008492E" w:rsidRDefault="00FF121B" w14:paraId="796CEE70" w14:textId="7D2483CA">
      <w:pPr>
        <w:pStyle w:val="ListBullet"/>
        <w:ind w:right="1440"/>
      </w:pPr>
      <w:r>
        <w:t>Compare the resulting rate design to existing rates</w:t>
      </w:r>
      <w:r w:rsidR="00C348DF">
        <w:t>;</w:t>
      </w:r>
      <w:r w:rsidR="00986B72">
        <w:t xml:space="preserve"> </w:t>
      </w:r>
    </w:p>
    <w:p w:rsidR="00515D23" w:rsidP="0008492E" w:rsidRDefault="00EA3D5E" w14:paraId="3FFC63B4" w14:textId="007E2098">
      <w:pPr>
        <w:pStyle w:val="ListBullet"/>
        <w:ind w:right="1440"/>
      </w:pPr>
      <w:r>
        <w:t>E</w:t>
      </w:r>
      <w:r w:rsidRPr="00690DC8" w:rsidR="0036349B">
        <w:t>stimate the bill impacts of proposed fixed charge levels on households of different income levels,</w:t>
      </w:r>
      <w:r w:rsidR="00362211">
        <w:t xml:space="preserve"> while</w:t>
      </w:r>
      <w:r w:rsidRPr="00690DC8" w:rsidR="0036349B">
        <w:t xml:space="preserve"> accounting for </w:t>
      </w:r>
      <w:r w:rsidR="000D29DF">
        <w:t xml:space="preserve">the climate zone that a customer is located in, whether the customer is enrolled in CARE, and whether a </w:t>
      </w:r>
      <w:r w:rsidRPr="000D29DF" w:rsidR="000D29DF">
        <w:t>customer is enrolled in Net Energy Metering or a Net Billing Tariff;</w:t>
      </w:r>
      <w:r w:rsidR="00FE4BED">
        <w:t xml:space="preserve"> and</w:t>
      </w:r>
    </w:p>
    <w:p w:rsidRPr="00EA3D5E" w:rsidR="0036349B" w:rsidP="0008492E" w:rsidRDefault="00EA3D5E" w14:paraId="5F5EA17E" w14:textId="7F4F81C2">
      <w:pPr>
        <w:pStyle w:val="ListBullet"/>
        <w:ind w:right="1440"/>
      </w:pPr>
      <w:r>
        <w:t>E</w:t>
      </w:r>
      <w:r w:rsidRPr="00690DC8" w:rsidR="0036349B">
        <w:t>stimate the impact of proposed fixed charges on the cost efficiency of vehicle and building electrification for various customer segments</w:t>
      </w:r>
      <w:r w:rsidR="00977909">
        <w:t>.</w:t>
      </w:r>
    </w:p>
    <w:p w:rsidR="001A4CD7" w:rsidP="001A4CD7" w:rsidRDefault="001A4CD7" w14:paraId="64EBC1B9" w14:textId="1A21BFFC">
      <w:pPr>
        <w:pStyle w:val="Standard"/>
      </w:pPr>
      <w:r w:rsidRPr="001A4CD7">
        <w:t>Parties included the outputs of the Public Tool in their fixed charge proposals.</w:t>
      </w:r>
    </w:p>
    <w:p w:rsidR="004034C4" w:rsidP="001C2DA1" w:rsidRDefault="007E51F5" w14:paraId="098A0082" w14:textId="62F434A6">
      <w:pPr>
        <w:pStyle w:val="Heading3"/>
      </w:pPr>
      <w:bookmarkStart w:name="_Toc160790040" w:id="32"/>
      <w:r>
        <w:t>Fixed Charge Levels</w:t>
      </w:r>
      <w:bookmarkEnd w:id="32"/>
    </w:p>
    <w:p w:rsidR="007E66FB" w:rsidP="00410343" w:rsidRDefault="00256499" w14:paraId="517C532B" w14:textId="03C7C537">
      <w:pPr>
        <w:pStyle w:val="Standard"/>
      </w:pPr>
      <w:r>
        <w:t>Parties proposed</w:t>
      </w:r>
      <w:r w:rsidR="005068D1">
        <w:t xml:space="preserve"> </w:t>
      </w:r>
      <w:r w:rsidR="00BE7063">
        <w:t>average</w:t>
      </w:r>
      <w:r w:rsidR="00D33C97">
        <w:t xml:space="preserve"> </w:t>
      </w:r>
      <w:r w:rsidR="00391DD8">
        <w:t xml:space="preserve">fixed charge </w:t>
      </w:r>
      <w:r w:rsidR="00782A42">
        <w:t>levels</w:t>
      </w:r>
      <w:r w:rsidR="001076F6">
        <w:t xml:space="preserve"> </w:t>
      </w:r>
      <w:r w:rsidRPr="001076F6" w:rsidR="001076F6">
        <w:t>across all residential customers</w:t>
      </w:r>
      <w:r w:rsidR="00655B9A">
        <w:t>, as summarized</w:t>
      </w:r>
      <w:r w:rsidR="00782A42">
        <w:t xml:space="preserve"> </w:t>
      </w:r>
      <w:r w:rsidR="005068D1">
        <w:t>in Table 3 below</w:t>
      </w:r>
      <w:r w:rsidR="0001514A">
        <w:t>.</w:t>
      </w:r>
      <w:r w:rsidR="00CA18CA">
        <w:rPr>
          <w:rStyle w:val="FootnoteReference"/>
        </w:rPr>
        <w:footnoteReference w:id="114"/>
      </w:r>
      <w:r w:rsidR="00CA18CA">
        <w:t xml:space="preserve"> </w:t>
      </w:r>
    </w:p>
    <w:p w:rsidRPr="00493AD6" w:rsidR="00BA1684" w:rsidP="00BA1684" w:rsidRDefault="0050407F" w14:paraId="6CA94A8C" w14:textId="21E5878E">
      <w:pPr>
        <w:pStyle w:val="Standard"/>
        <w:ind w:firstLine="0"/>
        <w:rPr>
          <w:b/>
          <w:bCs/>
        </w:rPr>
      </w:pPr>
      <w:r w:rsidRPr="00493AD6">
        <w:rPr>
          <w:b/>
          <w:bCs/>
        </w:rPr>
        <w:t>Table 3: Proposed Avera</w:t>
      </w:r>
      <w:r w:rsidRPr="00493AD6" w:rsidR="00493AD6">
        <w:rPr>
          <w:b/>
          <w:bCs/>
        </w:rPr>
        <w:t>ge Charge for Income-Graduated Fixed Charges</w:t>
      </w:r>
    </w:p>
    <w:tbl>
      <w:tblPr>
        <w:tblStyle w:val="TableGrid"/>
        <w:tblW w:w="0" w:type="auto"/>
        <w:tblLook w:val="04A0" w:firstRow="1" w:lastRow="0" w:firstColumn="1" w:lastColumn="0" w:noHBand="0" w:noVBand="1"/>
      </w:tblPr>
      <w:tblGrid>
        <w:gridCol w:w="2785"/>
        <w:gridCol w:w="6120"/>
      </w:tblGrid>
      <w:tr w:rsidRPr="00C97EAB" w:rsidR="00C97EAB" w:rsidTr="00BA1684" w14:paraId="369351A0" w14:textId="77777777">
        <w:tc>
          <w:tcPr>
            <w:tcW w:w="2785" w:type="dxa"/>
          </w:tcPr>
          <w:p w:rsidRPr="00C97EAB" w:rsidR="00C97EAB" w:rsidP="00C97EAB" w:rsidRDefault="00C97EAB" w14:paraId="778D45E8" w14:textId="77777777">
            <w:pPr>
              <w:pStyle w:val="Standard"/>
              <w:ind w:firstLine="0"/>
              <w:rPr>
                <w:b/>
                <w:bCs/>
              </w:rPr>
            </w:pPr>
            <w:r w:rsidRPr="00C97EAB">
              <w:rPr>
                <w:b/>
                <w:bCs/>
              </w:rPr>
              <w:t>Party</w:t>
            </w:r>
          </w:p>
        </w:tc>
        <w:tc>
          <w:tcPr>
            <w:tcW w:w="6120" w:type="dxa"/>
          </w:tcPr>
          <w:p w:rsidRPr="00C97EAB" w:rsidR="00C97EAB" w:rsidP="00BA1684" w:rsidRDefault="00BA1684" w14:paraId="01BFCFCB" w14:textId="41EE0B6C">
            <w:pPr>
              <w:pStyle w:val="Standard"/>
              <w:ind w:firstLine="0"/>
              <w:rPr>
                <w:b/>
                <w:bCs/>
              </w:rPr>
            </w:pPr>
            <w:r>
              <w:rPr>
                <w:b/>
                <w:bCs/>
              </w:rPr>
              <w:t xml:space="preserve">Proposed </w:t>
            </w:r>
            <w:r w:rsidRPr="00C97EAB" w:rsidR="00C97EAB">
              <w:rPr>
                <w:b/>
                <w:bCs/>
              </w:rPr>
              <w:t xml:space="preserve">Average </w:t>
            </w:r>
            <w:r>
              <w:rPr>
                <w:b/>
                <w:bCs/>
              </w:rPr>
              <w:t xml:space="preserve">Fixed </w:t>
            </w:r>
            <w:r w:rsidRPr="00C97EAB" w:rsidR="00C97EAB">
              <w:rPr>
                <w:b/>
                <w:bCs/>
              </w:rPr>
              <w:t>Charge</w:t>
            </w:r>
          </w:p>
        </w:tc>
      </w:tr>
      <w:tr w:rsidRPr="00A26F3C" w:rsidR="00C97EAB" w:rsidTr="00BA1684" w14:paraId="59555563" w14:textId="77777777">
        <w:tc>
          <w:tcPr>
            <w:tcW w:w="2785" w:type="dxa"/>
          </w:tcPr>
          <w:p w:rsidRPr="00C97EAB" w:rsidR="00C97EAB" w:rsidP="00C97EAB" w:rsidRDefault="00BA1684" w14:paraId="4CAF276A" w14:textId="04CA8E24">
            <w:pPr>
              <w:pStyle w:val="Standard"/>
              <w:ind w:firstLine="0"/>
            </w:pPr>
            <w:r>
              <w:lastRenderedPageBreak/>
              <w:t>SEIA, Clean Coalition</w:t>
            </w:r>
          </w:p>
        </w:tc>
        <w:tc>
          <w:tcPr>
            <w:tcW w:w="6120" w:type="dxa"/>
          </w:tcPr>
          <w:p w:rsidRPr="00A26F3C" w:rsidR="00C97EAB" w:rsidP="00BA1684" w:rsidRDefault="00D50359" w14:paraId="7687F881" w14:textId="202B5340">
            <w:pPr>
              <w:pStyle w:val="Standard"/>
              <w:ind w:firstLine="0"/>
              <w:rPr>
                <w:lang w:val="es-ES_tradnl"/>
              </w:rPr>
            </w:pPr>
            <w:r w:rsidRPr="00A26F3C">
              <w:rPr>
                <w:lang w:val="es-ES_tradnl"/>
              </w:rPr>
              <w:t xml:space="preserve">$8 (PG&amp;E), $8 (SCE), </w:t>
            </w:r>
            <w:r w:rsidRPr="00A26F3C" w:rsidR="008F4510">
              <w:rPr>
                <w:lang w:val="es-ES_tradnl"/>
              </w:rPr>
              <w:t>$11 (SDG&amp;E)</w:t>
            </w:r>
          </w:p>
        </w:tc>
      </w:tr>
      <w:tr w:rsidRPr="00C97EAB" w:rsidR="00C97EAB" w:rsidTr="00BA1684" w14:paraId="5F240EBF" w14:textId="77777777">
        <w:tc>
          <w:tcPr>
            <w:tcW w:w="2785" w:type="dxa"/>
          </w:tcPr>
          <w:p w:rsidRPr="00C97EAB" w:rsidR="00C97EAB" w:rsidP="00BA1684" w:rsidRDefault="00C97EAB" w14:paraId="39B99FCA" w14:textId="2FB68A25">
            <w:pPr>
              <w:pStyle w:val="Standard"/>
              <w:ind w:firstLine="0"/>
            </w:pPr>
            <w:r w:rsidRPr="00C97EAB">
              <w:t>TURN</w:t>
            </w:r>
            <w:r w:rsidR="00BA1684">
              <w:t xml:space="preserve">, </w:t>
            </w:r>
            <w:r w:rsidRPr="00C97EAB">
              <w:t>NRDC</w:t>
            </w:r>
          </w:p>
        </w:tc>
        <w:tc>
          <w:tcPr>
            <w:tcW w:w="6120" w:type="dxa"/>
          </w:tcPr>
          <w:p w:rsidRPr="00C97EAB" w:rsidR="00C97EAB" w:rsidP="00BA1684" w:rsidRDefault="00C97EAB" w14:paraId="2133E6A5" w14:textId="77777777">
            <w:pPr>
              <w:pStyle w:val="Standard"/>
              <w:ind w:firstLine="0"/>
            </w:pPr>
            <w:r w:rsidRPr="00C97EAB">
              <w:t>$23.50</w:t>
            </w:r>
          </w:p>
        </w:tc>
      </w:tr>
      <w:tr w:rsidRPr="00C97EAB" w:rsidR="00C97EAB" w:rsidTr="00BA1684" w14:paraId="5E669101" w14:textId="77777777">
        <w:tc>
          <w:tcPr>
            <w:tcW w:w="2785" w:type="dxa"/>
          </w:tcPr>
          <w:p w:rsidRPr="00C97EAB" w:rsidR="00C97EAB" w:rsidP="00BA1684" w:rsidRDefault="00C97EAB" w14:paraId="0556A82E" w14:textId="77777777">
            <w:pPr>
              <w:pStyle w:val="Standard"/>
              <w:ind w:firstLine="0"/>
            </w:pPr>
            <w:r w:rsidRPr="00C97EAB">
              <w:t>Cal Advocates</w:t>
            </w:r>
          </w:p>
        </w:tc>
        <w:tc>
          <w:tcPr>
            <w:tcW w:w="6120" w:type="dxa"/>
          </w:tcPr>
          <w:p w:rsidRPr="00C97EAB" w:rsidR="00C97EAB" w:rsidP="00BA1684" w:rsidRDefault="00C97EAB" w14:paraId="687EAAAD" w14:textId="59D0BFA8">
            <w:pPr>
              <w:pStyle w:val="Standard"/>
              <w:ind w:firstLine="0"/>
            </w:pPr>
            <w:r w:rsidRPr="00C97EAB">
              <w:t>$23.25 (PG&amp;E), $24.52 (SCE), and $25.62</w:t>
            </w:r>
            <w:r w:rsidR="00BA1684">
              <w:t xml:space="preserve"> </w:t>
            </w:r>
            <w:r w:rsidRPr="00C97EAB">
              <w:t>(SDG&amp;E)</w:t>
            </w:r>
          </w:p>
        </w:tc>
      </w:tr>
      <w:tr w:rsidRPr="00A26F3C" w:rsidR="00C97EAB" w:rsidTr="00BA1684" w14:paraId="201E2D8C" w14:textId="77777777">
        <w:tc>
          <w:tcPr>
            <w:tcW w:w="2785" w:type="dxa"/>
          </w:tcPr>
          <w:p w:rsidRPr="00C97EAB" w:rsidR="00C97EAB" w:rsidP="00BA1684" w:rsidRDefault="00C97EAB" w14:paraId="1FD5AB42" w14:textId="77777777">
            <w:pPr>
              <w:pStyle w:val="Standard"/>
              <w:ind w:firstLine="0"/>
            </w:pPr>
            <w:r w:rsidRPr="00C97EAB">
              <w:t>Sierra Club</w:t>
            </w:r>
          </w:p>
        </w:tc>
        <w:tc>
          <w:tcPr>
            <w:tcW w:w="6120" w:type="dxa"/>
          </w:tcPr>
          <w:p w:rsidRPr="00A26F3C" w:rsidR="00C97EAB" w:rsidP="00BA1684" w:rsidRDefault="00C97EAB" w14:paraId="6317B8EC" w14:textId="77777777">
            <w:pPr>
              <w:pStyle w:val="Standard"/>
              <w:ind w:firstLine="0"/>
              <w:rPr>
                <w:lang w:val="es-ES_tradnl"/>
              </w:rPr>
            </w:pPr>
            <w:r w:rsidRPr="00A26F3C">
              <w:rPr>
                <w:lang w:val="es-ES_tradnl"/>
              </w:rPr>
              <w:t>$28.48 (PG&amp;E), $36.65 (SCE), $36.44 (SDG&amp;E)</w:t>
            </w:r>
          </w:p>
        </w:tc>
      </w:tr>
      <w:tr w:rsidRPr="00A26F3C" w:rsidR="00C97EAB" w:rsidTr="00BA1684" w14:paraId="5454B294" w14:textId="77777777">
        <w:tc>
          <w:tcPr>
            <w:tcW w:w="2785" w:type="dxa"/>
          </w:tcPr>
          <w:p w:rsidRPr="00C97EAB" w:rsidR="00C97EAB" w:rsidP="00BA1684" w:rsidRDefault="00C97EAB" w14:paraId="40C61858" w14:textId="77777777">
            <w:pPr>
              <w:pStyle w:val="Standard"/>
              <w:ind w:firstLine="0"/>
            </w:pPr>
            <w:r w:rsidRPr="00C97EAB">
              <w:t>Large Utilities</w:t>
            </w:r>
          </w:p>
        </w:tc>
        <w:tc>
          <w:tcPr>
            <w:tcW w:w="6120" w:type="dxa"/>
          </w:tcPr>
          <w:p w:rsidRPr="00A26F3C" w:rsidR="00C97EAB" w:rsidP="00BA1684" w:rsidRDefault="00C97EAB" w14:paraId="0AA0C290" w14:textId="77777777">
            <w:pPr>
              <w:pStyle w:val="Standard"/>
              <w:ind w:firstLine="0"/>
              <w:rPr>
                <w:lang w:val="es-ES_tradnl"/>
              </w:rPr>
            </w:pPr>
            <w:r w:rsidRPr="00A26F3C">
              <w:rPr>
                <w:lang w:val="es-ES_tradnl"/>
              </w:rPr>
              <w:t>$42 (PG&amp;E), $41 (SCE), $60 (SDG&amp;E)</w:t>
            </w:r>
          </w:p>
        </w:tc>
      </w:tr>
    </w:tbl>
    <w:p w:rsidR="00F41D6B" w:rsidP="00544A7B" w:rsidRDefault="00433D34" w14:paraId="7F3AC5FF" w14:textId="287A6026">
      <w:pPr>
        <w:pStyle w:val="Standard"/>
        <w:spacing w:before="240"/>
      </w:pPr>
      <w:r w:rsidRPr="00433D34">
        <w:t>The Clean Coalition argued that the Commission should establish an average fixed charge level similar to fixed charges of electric utilities in other states and based on the Large Utilities’ current minimum bill of $10.</w:t>
      </w:r>
      <w:r w:rsidRPr="00433D34">
        <w:rPr>
          <w:vertAlign w:val="superscript"/>
        </w:rPr>
        <w:footnoteReference w:id="115"/>
      </w:r>
      <w:r w:rsidR="00B33AF2">
        <w:t xml:space="preserve"> SEIA proposed similar fixed charge levels.</w:t>
      </w:r>
      <w:r w:rsidR="008F6777">
        <w:t xml:space="preserve"> </w:t>
      </w:r>
      <w:r w:rsidR="00F41D6B">
        <w:t xml:space="preserve">Cal Advocates responded that </w:t>
      </w:r>
      <w:r w:rsidR="00B33AF2">
        <w:t xml:space="preserve">SEIA’s proposed fixed charge </w:t>
      </w:r>
      <w:r w:rsidR="00BD6C54">
        <w:t>would not provide significant savings for low-income ratepayers and would therefore not meet the legislative intent of AB 205.</w:t>
      </w:r>
      <w:r w:rsidR="00BD6C54">
        <w:rPr>
          <w:rStyle w:val="FootnoteReference"/>
        </w:rPr>
        <w:footnoteReference w:id="116"/>
      </w:r>
      <w:r w:rsidR="00BD6C54">
        <w:t xml:space="preserve"> We agree that </w:t>
      </w:r>
      <w:r w:rsidRPr="00433D34">
        <w:t>establishing an average fixed charge of around $10 would fail to address the Legislative intent of AB 205</w:t>
      </w:r>
      <w:r w:rsidR="00743B59">
        <w:t>. In addition to requiring bill savings for low-income customers, AB 205</w:t>
      </w:r>
      <w:r w:rsidRPr="00433D34">
        <w:t xml:space="preserve"> removed the $10 cap on residential fixed charges,</w:t>
      </w:r>
      <w:r w:rsidR="00154325">
        <w:t xml:space="preserve"> indicating an intent for the Commission to adopt higher fixed charges.</w:t>
      </w:r>
    </w:p>
    <w:p w:rsidR="00AB0720" w:rsidP="008C192C" w:rsidRDefault="00364999" w14:paraId="2A3BC80F" w14:textId="46731AC7">
      <w:pPr>
        <w:pStyle w:val="Standard"/>
      </w:pPr>
      <w:r>
        <w:t>TURN/NRDC</w:t>
      </w:r>
      <w:r w:rsidR="00466F48">
        <w:t xml:space="preserve"> argued that</w:t>
      </w:r>
      <w:r w:rsidR="000E52BD">
        <w:t xml:space="preserve"> the Commission should consider benchmarking the first income-graduated fixed charge amounts against the</w:t>
      </w:r>
      <w:r w:rsidR="00466F48">
        <w:t xml:space="preserve"> </w:t>
      </w:r>
      <w:r w:rsidR="00D25CA6">
        <w:t xml:space="preserve">fixed charges of the </w:t>
      </w:r>
      <w:r w:rsidR="00466F48">
        <w:t>Sacramento Municipal Utility District, whic</w:t>
      </w:r>
      <w:r w:rsidR="000E52BD">
        <w:t>h</w:t>
      </w:r>
      <w:r w:rsidR="00DD6309">
        <w:t xml:space="preserve"> is located adjacent to PG&amp;E’s service territory</w:t>
      </w:r>
      <w:r w:rsidR="00751481">
        <w:t xml:space="preserve"> and </w:t>
      </w:r>
      <w:r w:rsidR="00F57A70">
        <w:t xml:space="preserve">applies </w:t>
      </w:r>
      <w:r w:rsidR="00751481">
        <w:t xml:space="preserve">a $23.50 fixed charge </w:t>
      </w:r>
      <w:r w:rsidR="00F57A70">
        <w:t>to</w:t>
      </w:r>
      <w:r w:rsidR="00751481">
        <w:t xml:space="preserve"> </w:t>
      </w:r>
      <w:r w:rsidR="009148A3">
        <w:t xml:space="preserve">the monthly bills of </w:t>
      </w:r>
      <w:r w:rsidR="00751481">
        <w:t>residential customers</w:t>
      </w:r>
      <w:r w:rsidR="00F57A70">
        <w:t xml:space="preserve"> who do not qualify for a low-income discount</w:t>
      </w:r>
      <w:r w:rsidR="00C256F7">
        <w:t>.</w:t>
      </w:r>
      <w:r w:rsidR="00C256F7">
        <w:rPr>
          <w:rStyle w:val="FootnoteReference"/>
        </w:rPr>
        <w:footnoteReference w:id="117"/>
      </w:r>
      <w:r w:rsidR="00A32C45">
        <w:t xml:space="preserve"> </w:t>
      </w:r>
      <w:r w:rsidR="00DE5126">
        <w:t>Cal Advocates agreed with TURN.</w:t>
      </w:r>
      <w:r w:rsidR="00DE5126">
        <w:rPr>
          <w:rStyle w:val="FootnoteReference"/>
        </w:rPr>
        <w:footnoteReference w:id="118"/>
      </w:r>
      <w:r w:rsidR="00DE5126">
        <w:t xml:space="preserve"> </w:t>
      </w:r>
      <w:r w:rsidR="002E53E2">
        <w:t>We agree that</w:t>
      </w:r>
      <w:r w:rsidR="00685605">
        <w:t xml:space="preserve"> it would be useful to consider </w:t>
      </w:r>
      <w:r w:rsidR="00B47E27">
        <w:t>a</w:t>
      </w:r>
      <w:r w:rsidR="00583BB8">
        <w:t xml:space="preserve">n </w:t>
      </w:r>
      <w:r w:rsidR="00583BB8">
        <w:lastRenderedPageBreak/>
        <w:t>existing</w:t>
      </w:r>
      <w:r w:rsidR="00B47E27">
        <w:t xml:space="preserve"> residential fixed charge tha</w:t>
      </w:r>
      <w:r w:rsidR="00583BB8">
        <w:t xml:space="preserve">t has been </w:t>
      </w:r>
      <w:r w:rsidR="003D0C32">
        <w:t xml:space="preserve">successfully </w:t>
      </w:r>
      <w:r w:rsidR="00583BB8">
        <w:t xml:space="preserve">implemented </w:t>
      </w:r>
      <w:r w:rsidR="00D76393">
        <w:t xml:space="preserve">by a publicly-owned utility </w:t>
      </w:r>
      <w:r w:rsidR="00583BB8">
        <w:t>in California when establishing fixed charges for the Large Utilities.</w:t>
      </w:r>
    </w:p>
    <w:p w:rsidR="00254ADD" w:rsidP="00B40682" w:rsidRDefault="00006043" w14:paraId="5B8342F5" w14:textId="3ADDBBA8">
      <w:pPr>
        <w:pStyle w:val="Standard"/>
      </w:pPr>
      <w:r>
        <w:t xml:space="preserve">The Large Utilities </w:t>
      </w:r>
      <w:r w:rsidR="00544483">
        <w:t>replied</w:t>
      </w:r>
      <w:r w:rsidR="00E51033">
        <w:t xml:space="preserve"> that </w:t>
      </w:r>
      <w:r w:rsidR="004A2B36">
        <w:t>they have different marginal costs</w:t>
      </w:r>
      <w:r w:rsidR="00317D12">
        <w:t xml:space="preserve"> and</w:t>
      </w:r>
      <w:r w:rsidR="004A2B36">
        <w:t xml:space="preserve"> revenue requirements than the </w:t>
      </w:r>
      <w:r w:rsidRPr="003B129B" w:rsidR="003B129B">
        <w:t>Sacramento Municipal Utility Distric</w:t>
      </w:r>
      <w:r w:rsidR="00317D12">
        <w:t xml:space="preserve">t and establishing an average fixed charge </w:t>
      </w:r>
      <w:r w:rsidR="0049609D">
        <w:t xml:space="preserve">level </w:t>
      </w:r>
      <w:r w:rsidR="00317D12">
        <w:t>around $23.50 would</w:t>
      </w:r>
      <w:r w:rsidR="00077BD8">
        <w:t xml:space="preserve"> prevent recovery of a sufficient portion of fixed costs</w:t>
      </w:r>
      <w:r w:rsidR="007E7E48">
        <w:t>.</w:t>
      </w:r>
      <w:r w:rsidR="00747CD1">
        <w:rPr>
          <w:rStyle w:val="FootnoteReference"/>
        </w:rPr>
        <w:footnoteReference w:id="119"/>
      </w:r>
      <w:r w:rsidR="007F3DA1">
        <w:t xml:space="preserve"> </w:t>
      </w:r>
      <w:r w:rsidR="00B40682">
        <w:t xml:space="preserve">The </w:t>
      </w:r>
      <w:r w:rsidRPr="00C9459D" w:rsidR="00C9459D">
        <w:t xml:space="preserve">Large Utilities did not provide a sufficient justification to support its argument that </w:t>
      </w:r>
      <w:r w:rsidR="0098145A">
        <w:t>a fixed charge of</w:t>
      </w:r>
      <w:r w:rsidR="00A04B81">
        <w:t xml:space="preserve"> </w:t>
      </w:r>
      <w:r w:rsidRPr="00C9459D" w:rsidR="00C9459D">
        <w:t xml:space="preserve">$23.50 </w:t>
      </w:r>
      <w:r w:rsidR="00A04B81">
        <w:t xml:space="preserve">will </w:t>
      </w:r>
      <w:r w:rsidRPr="00C9459D" w:rsidR="00C9459D">
        <w:t xml:space="preserve">not </w:t>
      </w:r>
      <w:r w:rsidR="00333396">
        <w:t xml:space="preserve">recover a sufficient portion of the </w:t>
      </w:r>
      <w:r w:rsidR="00ED4D2C">
        <w:t>Large U</w:t>
      </w:r>
      <w:r w:rsidR="00333396">
        <w:t>tilities’ fixed costs.</w:t>
      </w:r>
      <w:r w:rsidR="0020094A">
        <w:t xml:space="preserve"> Further, this decision adopt</w:t>
      </w:r>
      <w:r w:rsidR="00F507B7">
        <w:t>s</w:t>
      </w:r>
      <w:r w:rsidR="0020094A">
        <w:t xml:space="preserve"> a gradual approach to implementing income-graduated fixed charges</w:t>
      </w:r>
      <w:r w:rsidR="00A73F18">
        <w:t xml:space="preserve"> </w:t>
      </w:r>
      <w:r w:rsidR="00AA4E51">
        <w:t xml:space="preserve">that includes next steps for </w:t>
      </w:r>
      <w:r w:rsidR="001076F6">
        <w:t>improving</w:t>
      </w:r>
      <w:r w:rsidR="00AA4E51">
        <w:t xml:space="preserve"> fixed charges or alternative solutions for </w:t>
      </w:r>
      <w:r w:rsidR="000F120F">
        <w:t>recovering fixed costs</w:t>
      </w:r>
      <w:r w:rsidR="00807573">
        <w:t>.</w:t>
      </w:r>
    </w:p>
    <w:p w:rsidRPr="00254ADD" w:rsidR="00254ADD" w:rsidP="00807573" w:rsidRDefault="00807573" w14:paraId="731B86AB" w14:textId="625EF32E">
      <w:pPr>
        <w:pStyle w:val="Standard"/>
      </w:pPr>
      <w:r>
        <w:t xml:space="preserve">Parties also argued about what fixed charge levels would comply with </w:t>
      </w:r>
      <w:r w:rsidRPr="00254ADD" w:rsidR="00254ADD">
        <w:t>Section 739.9(d)(2)</w:t>
      </w:r>
      <w:r>
        <w:t>, which</w:t>
      </w:r>
      <w:r w:rsidRPr="00254ADD" w:rsidR="00254ADD">
        <w:t xml:space="preserve"> </w:t>
      </w:r>
      <w:r>
        <w:t>requires</w:t>
      </w:r>
      <w:r w:rsidRPr="00254ADD" w:rsidR="00254ADD">
        <w:t xml:space="preserve"> the Commission </w:t>
      </w:r>
      <w:r>
        <w:t>to</w:t>
      </w:r>
      <w:r w:rsidRPr="00254ADD" w:rsidR="00254ADD">
        <w:t xml:space="preserve"> ensure that any approved fixed charges shall “[n]ot unreasonably impair incentives for conservation, energy efficiency, and beneficial electrification and greenhouse gas emissions reduction.”</w:t>
      </w:r>
    </w:p>
    <w:p w:rsidRPr="00C127E8" w:rsidR="00C127E8" w:rsidP="00C127E8" w:rsidRDefault="0050011D" w14:paraId="46185938" w14:textId="77777777">
      <w:pPr>
        <w:pStyle w:val="Standard"/>
      </w:pPr>
      <w:r>
        <w:t xml:space="preserve">The Large Utilities argued that income-graduated fixed charges </w:t>
      </w:r>
      <w:r w:rsidR="00142D6E">
        <w:t>based on the Sacramento Municipal Utility District’s default fixed charge</w:t>
      </w:r>
      <w:r>
        <w:t xml:space="preserve"> would not sufficiently </w:t>
      </w:r>
      <w:r w:rsidR="00CF2C2C">
        <w:t>support electrification.</w:t>
      </w:r>
      <w:r w:rsidR="00CF2C2C">
        <w:rPr>
          <w:rStyle w:val="FootnoteReference"/>
        </w:rPr>
        <w:footnoteReference w:id="120"/>
      </w:r>
      <w:r w:rsidR="00CB2660">
        <w:t xml:space="preserve"> </w:t>
      </w:r>
    </w:p>
    <w:p w:rsidR="00E54903" w:rsidP="00C127E8" w:rsidRDefault="00C127E8" w14:paraId="14039839" w14:textId="34B3F54F">
      <w:pPr>
        <w:pStyle w:val="Standard"/>
        <w:rPr>
          <w:highlight w:val="yellow"/>
        </w:rPr>
      </w:pPr>
      <w:r w:rsidRPr="00C127E8">
        <w:t xml:space="preserve">This decision adopts a gradual approach for implementing income-graduated fixed charges. As discussed in Section 5.2.3, </w:t>
      </w:r>
      <w:r w:rsidR="006B4575">
        <w:t xml:space="preserve">this decision adopts </w:t>
      </w:r>
      <w:r w:rsidRPr="00C127E8">
        <w:t xml:space="preserve">income-graduated fixed charges </w:t>
      </w:r>
      <w:r w:rsidR="006B4575">
        <w:t xml:space="preserve">that </w:t>
      </w:r>
      <w:r w:rsidRPr="00C127E8">
        <w:t xml:space="preserve">will make a significant contribution </w:t>
      </w:r>
      <w:r w:rsidRPr="00C127E8">
        <w:lastRenderedPageBreak/>
        <w:t xml:space="preserve">towards supporting electrification. In Phase 2 of this proceeding, we will continue to consider how to support electrification through </w:t>
      </w:r>
      <w:r w:rsidR="006B4575">
        <w:t>improved</w:t>
      </w:r>
      <w:r w:rsidRPr="00C127E8">
        <w:t xml:space="preserve"> income-graduated fixed charges </w:t>
      </w:r>
      <w:r w:rsidR="005940BE">
        <w:t>and/</w:t>
      </w:r>
      <w:r w:rsidRPr="00C127E8">
        <w:t>or alternative solutions, such as increasing the time-of-use rate differentials.</w:t>
      </w:r>
    </w:p>
    <w:p w:rsidR="001A0419" w:rsidP="00DB5B23" w:rsidRDefault="001A0419" w14:paraId="6BC30953" w14:textId="2E74553D">
      <w:pPr>
        <w:pStyle w:val="Standard"/>
      </w:pPr>
      <w:r w:rsidRPr="001A0419">
        <w:t>SEIA argued that high fixed charges paired with volumetric rate reductions across all time-of-use periods will unreasonably impair incentives for conservation and energy efficiency.</w:t>
      </w:r>
      <w:r w:rsidRPr="001A0419">
        <w:rPr>
          <w:vertAlign w:val="superscript"/>
        </w:rPr>
        <w:footnoteReference w:id="121"/>
      </w:r>
      <w:r w:rsidRPr="001A0419">
        <w:t xml:space="preserve"> </w:t>
      </w:r>
      <w:r w:rsidR="009E0A2F">
        <w:t xml:space="preserve">However, SEIA did not argue that </w:t>
      </w:r>
      <w:r w:rsidRPr="001A0419" w:rsidR="009E0A2F">
        <w:t>Sacramento Municipal Utility District</w:t>
      </w:r>
      <w:r w:rsidR="009E0A2F">
        <w:t>’s fixed charges</w:t>
      </w:r>
      <w:r w:rsidR="00251689">
        <w:t xml:space="preserve"> would unreasonably impair incentives for conservation or energy efficiency. Instead, </w:t>
      </w:r>
      <w:r w:rsidRPr="001A0419">
        <w:t>SEIA argued that Sacramento Municipal Utility District’s fixed charge of $23.50 is not an appropriate comparison for establishing an average fixed charge level for the Large Utilities because low-income customers of Sacramento Municipal Utility District are eligible for a $10 monthly discount on the fixed charge.</w:t>
      </w:r>
      <w:r w:rsidRPr="001A0419">
        <w:rPr>
          <w:vertAlign w:val="superscript"/>
        </w:rPr>
        <w:footnoteReference w:id="122"/>
      </w:r>
      <w:r w:rsidR="00850C2B">
        <w:t xml:space="preserve"> </w:t>
      </w:r>
      <w:r w:rsidR="00D956C8">
        <w:t xml:space="preserve">We agree that the Sacramento Municipal Utility District’s current default fixed charge </w:t>
      </w:r>
      <w:r w:rsidR="00D55C1B">
        <w:t xml:space="preserve">is a better comparison point for the Large Utilities’ </w:t>
      </w:r>
      <w:r w:rsidR="004E1B2C">
        <w:t>income-graduated fixed charges for Tier 3 customers.</w:t>
      </w:r>
      <w:r w:rsidR="002B0D4B">
        <w:t xml:space="preserve"> </w:t>
      </w:r>
    </w:p>
    <w:p w:rsidR="007C357D" w:rsidP="003A5206" w:rsidRDefault="0022235B" w14:paraId="5393F5E1" w14:textId="60465E0C">
      <w:pPr>
        <w:pStyle w:val="Standard"/>
      </w:pPr>
      <w:r>
        <w:t xml:space="preserve">It is reasonable to use </w:t>
      </w:r>
      <w:r w:rsidRPr="00573AE3" w:rsidR="00573AE3">
        <w:t>the Sacramento Municipal Utility District’</w:t>
      </w:r>
      <w:r w:rsidR="0039468B">
        <w:t>s</w:t>
      </w:r>
      <w:r w:rsidR="0043496F">
        <w:t xml:space="preserve"> </w:t>
      </w:r>
      <w:r w:rsidRPr="00573AE3" w:rsidR="00573AE3">
        <w:t>residential fixed charge</w:t>
      </w:r>
      <w:r w:rsidR="0039468B">
        <w:t>s</w:t>
      </w:r>
      <w:r w:rsidRPr="00573AE3" w:rsidR="00573AE3">
        <w:t xml:space="preserve"> </w:t>
      </w:r>
      <w:r>
        <w:t>as a</w:t>
      </w:r>
      <w:r w:rsidRPr="00573AE3" w:rsidR="00573AE3">
        <w:t xml:space="preserve"> benchmark for establishing the </w:t>
      </w:r>
      <w:r w:rsidR="00D5226C">
        <w:t xml:space="preserve">initial </w:t>
      </w:r>
      <w:r w:rsidRPr="00573AE3" w:rsidR="00573AE3">
        <w:t>income-graduated fixed charge</w:t>
      </w:r>
      <w:r w:rsidR="006837BA">
        <w:t xml:space="preserve"> levels</w:t>
      </w:r>
      <w:r w:rsidR="00D5226C">
        <w:t xml:space="preserve"> of the Large Utilities</w:t>
      </w:r>
      <w:r w:rsidRPr="00573AE3" w:rsidR="00573AE3">
        <w:t xml:space="preserve">. </w:t>
      </w:r>
    </w:p>
    <w:p w:rsidR="00B676E6" w:rsidP="00CD5076" w:rsidRDefault="00A73239" w14:paraId="2B05B6F0" w14:textId="5BB7CB56">
      <w:pPr>
        <w:pStyle w:val="Standard"/>
      </w:pPr>
      <w:r>
        <w:t>We note that</w:t>
      </w:r>
      <w:r w:rsidR="00782678">
        <w:t xml:space="preserve"> the Sacramento Municipal Utility District recently raised its default residential fixed charge to $24.15 per month</w:t>
      </w:r>
      <w:r w:rsidR="00B00272">
        <w:t xml:space="preserve"> and its low-income </w:t>
      </w:r>
      <w:r w:rsidR="00B00272">
        <w:lastRenderedPageBreak/>
        <w:t>residential fixed charge to $14.15 per month</w:t>
      </w:r>
      <w:r w:rsidR="00782678">
        <w:t>.</w:t>
      </w:r>
      <w:r w:rsidR="00DA43BE">
        <w:rPr>
          <w:rStyle w:val="FootnoteReference"/>
        </w:rPr>
        <w:footnoteReference w:id="123"/>
      </w:r>
      <w:r w:rsidR="003A5206">
        <w:t xml:space="preserve"> </w:t>
      </w:r>
      <w:r w:rsidR="00D76879">
        <w:t>This</w:t>
      </w:r>
      <w:r w:rsidR="00846196">
        <w:t xml:space="preserve"> decision will </w:t>
      </w:r>
      <w:r w:rsidR="00C000E8">
        <w:t xml:space="preserve">use the updated fixed charge amounts </w:t>
      </w:r>
      <w:r w:rsidR="00D76879">
        <w:t>for benchmarking purposes.</w:t>
      </w:r>
    </w:p>
    <w:p w:rsidR="00B676E6" w:rsidP="007262A4" w:rsidRDefault="00B676E6" w14:paraId="7F8500EF" w14:textId="2FC86F90">
      <w:pPr>
        <w:pStyle w:val="Heading3"/>
      </w:pPr>
      <w:bookmarkStart w:name="_Toc160790041" w:id="33"/>
      <w:r>
        <w:t>Fixed Costs</w:t>
      </w:r>
      <w:bookmarkEnd w:id="33"/>
    </w:p>
    <w:p w:rsidR="002E234F" w:rsidP="009A12BD" w:rsidRDefault="00B676E6" w14:paraId="0CAF0384" w14:textId="7AA49E15">
      <w:pPr>
        <w:pStyle w:val="Standard"/>
      </w:pPr>
      <w:r w:rsidRPr="00B676E6">
        <w:t xml:space="preserve">In this section, we will </w:t>
      </w:r>
      <w:r w:rsidR="005544DD">
        <w:t>discuss</w:t>
      </w:r>
      <w:r w:rsidRPr="001D7889" w:rsidR="001D7889">
        <w:t xml:space="preserve"> which fixed costs may be recovered through </w:t>
      </w:r>
      <w:r w:rsidR="00516E14">
        <w:t xml:space="preserve">income-graduated </w:t>
      </w:r>
      <w:r w:rsidRPr="001D7889" w:rsidR="001D7889">
        <w:t xml:space="preserve">fixed charges and whether recovery of those fixed costs would result in a reasonable average fixed charge level. </w:t>
      </w:r>
    </w:p>
    <w:p w:rsidR="00317FBD" w:rsidP="00DE1D08" w:rsidRDefault="00553055" w14:paraId="67E44D79" w14:textId="35409E16">
      <w:pPr>
        <w:pStyle w:val="Standard"/>
      </w:pPr>
      <w:r>
        <w:t>Partie</w:t>
      </w:r>
      <w:r w:rsidR="00DE1D08">
        <w:t>s</w:t>
      </w:r>
      <w:r>
        <w:t xml:space="preserve"> </w:t>
      </w:r>
      <w:r w:rsidR="00F46668">
        <w:t xml:space="preserve">unanimously </w:t>
      </w:r>
      <w:r>
        <w:t xml:space="preserve">agreed that Marginal Customer Access Costs </w:t>
      </w:r>
      <w:r w:rsidR="00BD4678">
        <w:t>are fixed costs that should be recovered through an income-graduated fixed charge.</w:t>
      </w:r>
      <w:r w:rsidR="00A10717">
        <w:rPr>
          <w:rStyle w:val="FootnoteReference"/>
        </w:rPr>
        <w:footnoteReference w:id="124"/>
      </w:r>
      <w:r w:rsidR="00BD4678">
        <w:t xml:space="preserve"> </w:t>
      </w:r>
      <w:r w:rsidR="00C74799">
        <w:t xml:space="preserve">We agree that </w:t>
      </w:r>
      <w:r w:rsidRPr="00C74799" w:rsidR="00C74799">
        <w:t>Marginal Customer Access Costs</w:t>
      </w:r>
      <w:r w:rsidR="00C74799">
        <w:t xml:space="preserve"> are fixed costs</w:t>
      </w:r>
      <w:r w:rsidR="00B55D1F">
        <w:t xml:space="preserve"> and</w:t>
      </w:r>
      <w:r w:rsidR="00C74799">
        <w:t xml:space="preserve"> that </w:t>
      </w:r>
      <w:r w:rsidR="00837395">
        <w:t>it is reasonable to recover these costs</w:t>
      </w:r>
      <w:r w:rsidR="00C74799">
        <w:t xml:space="preserve"> through income-graduated fixed charge</w:t>
      </w:r>
      <w:r w:rsidR="007D619A">
        <w:t>s</w:t>
      </w:r>
      <w:r w:rsidR="00C74799">
        <w:t>.</w:t>
      </w:r>
    </w:p>
    <w:p w:rsidR="00C224BA" w:rsidP="005C6528" w:rsidRDefault="00616DF5" w14:paraId="2A9F9D05" w14:textId="197E0F94">
      <w:pPr>
        <w:pStyle w:val="Standard"/>
      </w:pPr>
      <w:r>
        <w:t xml:space="preserve">Parties </w:t>
      </w:r>
      <w:r w:rsidR="00D55188">
        <w:t>argued</w:t>
      </w:r>
      <w:r w:rsidR="00DC4D04">
        <w:t xml:space="preserve"> that income-graduated fixed charges should not recover transmission </w:t>
      </w:r>
      <w:r w:rsidR="00C41E7A">
        <w:t xml:space="preserve">or reliability services </w:t>
      </w:r>
      <w:r w:rsidR="00DC4D04">
        <w:t>costs</w:t>
      </w:r>
      <w:r w:rsidR="004F7AE9">
        <w:t xml:space="preserve"> in the near-term</w:t>
      </w:r>
      <w:r w:rsidR="00DC4D04">
        <w:t xml:space="preserve"> because recovery of these costs </w:t>
      </w:r>
      <w:r w:rsidR="00012CAD">
        <w:t>would require action by the</w:t>
      </w:r>
      <w:r w:rsidR="00DC4D04">
        <w:t xml:space="preserve"> Federal Energy Regulatory Commission.</w:t>
      </w:r>
      <w:r w:rsidR="00C77D47">
        <w:rPr>
          <w:rStyle w:val="FootnoteReference"/>
        </w:rPr>
        <w:footnoteReference w:id="125"/>
      </w:r>
      <w:r w:rsidR="00DC4D04">
        <w:t xml:space="preserve"> </w:t>
      </w:r>
      <w:r w:rsidR="00F75C7B">
        <w:t xml:space="preserve">Parties also </w:t>
      </w:r>
      <w:r w:rsidR="00D55188">
        <w:t>asserted</w:t>
      </w:r>
      <w:r w:rsidR="00F75C7B">
        <w:t xml:space="preserve"> that </w:t>
      </w:r>
      <w:r w:rsidR="001F5788">
        <w:t>the Competition Transition Charge must be recovered volumetrically</w:t>
      </w:r>
      <w:r w:rsidR="00407E14">
        <w:t xml:space="preserve"> </w:t>
      </w:r>
      <w:r w:rsidR="005C6528">
        <w:t xml:space="preserve">in accordance with Pub. Util. Code </w:t>
      </w:r>
      <w:r w:rsidRPr="005C6528" w:rsidR="005C6528">
        <w:t>Section</w:t>
      </w:r>
      <w:r w:rsidR="003762A0">
        <w:t> </w:t>
      </w:r>
      <w:r w:rsidRPr="005C6528" w:rsidR="005C6528">
        <w:t>369</w:t>
      </w:r>
      <w:r w:rsidR="00407E14">
        <w:t>.</w:t>
      </w:r>
      <w:r w:rsidR="00407E14">
        <w:rPr>
          <w:rStyle w:val="FootnoteReference"/>
        </w:rPr>
        <w:footnoteReference w:id="126"/>
      </w:r>
      <w:r w:rsidR="00407E14">
        <w:t xml:space="preserve"> </w:t>
      </w:r>
      <w:r w:rsidR="00EC6BD4">
        <w:t xml:space="preserve">We agree that </w:t>
      </w:r>
      <w:r w:rsidR="004E4C0C">
        <w:t>income-graduated fixed charges</w:t>
      </w:r>
      <w:r w:rsidR="00F46668">
        <w:t xml:space="preserve"> should not recover </w:t>
      </w:r>
      <w:r w:rsidR="00EF62C3">
        <w:t>these cost</w:t>
      </w:r>
      <w:r w:rsidR="00C7362A">
        <w:t>s</w:t>
      </w:r>
      <w:r w:rsidR="00747C78">
        <w:t xml:space="preserve"> </w:t>
      </w:r>
      <w:r w:rsidR="003444D6">
        <w:t>at this time</w:t>
      </w:r>
      <w:r w:rsidR="00C7362A">
        <w:t>.</w:t>
      </w:r>
    </w:p>
    <w:p w:rsidR="005604F4" w:rsidP="00AA185A" w:rsidRDefault="00B301D4" w14:paraId="4CF92F83" w14:textId="6CA18442">
      <w:pPr>
        <w:pStyle w:val="Standard"/>
      </w:pPr>
      <w:r>
        <w:t xml:space="preserve">TURN/NRDC, </w:t>
      </w:r>
      <w:r w:rsidRPr="00B301D4">
        <w:t xml:space="preserve">Cal Advocates, </w:t>
      </w:r>
      <w:r>
        <w:t>the</w:t>
      </w:r>
      <w:r w:rsidRPr="00B301D4">
        <w:t xml:space="preserve"> Large Utilities,</w:t>
      </w:r>
      <w:r>
        <w:t xml:space="preserve"> and </w:t>
      </w:r>
      <w:r w:rsidRPr="00B301D4">
        <w:t>Sierra Clu</w:t>
      </w:r>
      <w:r>
        <w:t xml:space="preserve">b </w:t>
      </w:r>
      <w:r w:rsidR="004265E3">
        <w:t xml:space="preserve">supported </w:t>
      </w:r>
      <w:r w:rsidR="00604884">
        <w:t xml:space="preserve">recovery of </w:t>
      </w:r>
      <w:r w:rsidR="006919BF">
        <w:t>all of the</w:t>
      </w:r>
      <w:r w:rsidR="00604884">
        <w:t xml:space="preserve"> Public Purpose Program charges through </w:t>
      </w:r>
      <w:r w:rsidR="00E119E4">
        <w:lastRenderedPageBreak/>
        <w:t xml:space="preserve">income-graduated </w:t>
      </w:r>
      <w:r w:rsidR="00604884">
        <w:t>fixed charges</w:t>
      </w:r>
      <w:r w:rsidR="00E213CA">
        <w:t>.</w:t>
      </w:r>
      <w:r w:rsidR="00C62D6C">
        <w:rPr>
          <w:rStyle w:val="FootnoteReference"/>
        </w:rPr>
        <w:footnoteReference w:id="127"/>
      </w:r>
      <w:r w:rsidR="00E213CA">
        <w:t xml:space="preserve"> </w:t>
      </w:r>
      <w:r w:rsidRPr="00E213CA" w:rsidR="00E213CA">
        <w:t xml:space="preserve">Public Purpose Program charges pay for programs that benefit all California ratepayers, such as energy efficiency programs and </w:t>
      </w:r>
      <w:r w:rsidR="00220842">
        <w:t>low-income</w:t>
      </w:r>
      <w:r w:rsidRPr="00E213CA" w:rsidR="00E213CA">
        <w:t xml:space="preserve"> programs. </w:t>
      </w:r>
      <w:r w:rsidR="00E213CA">
        <w:t xml:space="preserve">The Public Purpose Program charges </w:t>
      </w:r>
      <w:r w:rsidR="00B3350D">
        <w:t>includ</w:t>
      </w:r>
      <w:r w:rsidR="00E213CA">
        <w:t>e</w:t>
      </w:r>
      <w:r w:rsidR="00B3350D">
        <w:t xml:space="preserve"> the </w:t>
      </w:r>
      <w:r w:rsidRPr="00B3350D" w:rsidR="00B3350D">
        <w:t>CARE charge, the Self-Generation Incentive Program charge, and the non-CARE exempt charge</w:t>
      </w:r>
      <w:r w:rsidR="00604884">
        <w:t>.</w:t>
      </w:r>
      <w:r w:rsidR="002A4220">
        <w:rPr>
          <w:rStyle w:val="FootnoteReference"/>
        </w:rPr>
        <w:footnoteReference w:id="128"/>
      </w:r>
      <w:r w:rsidR="00AA185A">
        <w:t xml:space="preserve"> </w:t>
      </w:r>
      <w:r w:rsidRPr="005604F4" w:rsidR="005604F4">
        <w:t>TURN/NRDC argued that AB 205 revised Section</w:t>
      </w:r>
      <w:r w:rsidR="003762A0">
        <w:t> </w:t>
      </w:r>
      <w:r w:rsidRPr="005604F4" w:rsidR="005604F4">
        <w:t>381 of the Pub. Util. Code to eliminate the previous requirement that certain Public Purpose Program costs be collected on the basis of usage, indicating a legislative intent to recover these costs through a fixed charge.</w:t>
      </w:r>
      <w:r w:rsidRPr="005604F4" w:rsidR="005604F4">
        <w:rPr>
          <w:vertAlign w:val="superscript"/>
        </w:rPr>
        <w:footnoteReference w:id="129"/>
      </w:r>
      <w:r w:rsidR="00A649A7">
        <w:t xml:space="preserve"> </w:t>
      </w:r>
    </w:p>
    <w:p w:rsidR="00232626" w:rsidP="008736C4" w:rsidRDefault="005604F4" w14:paraId="7C05D12E" w14:textId="77777777">
      <w:pPr>
        <w:pStyle w:val="Standard"/>
      </w:pPr>
      <w:r w:rsidRPr="005604F4">
        <w:t xml:space="preserve">SEIA disagreed, arguing that </w:t>
      </w:r>
      <w:r w:rsidR="00AA0639">
        <w:t xml:space="preserve">all </w:t>
      </w:r>
      <w:r w:rsidR="00534C3D">
        <w:t xml:space="preserve">costs other than Marginal Customer Access Costs are not fixed costs because they vary based on customer consumption. </w:t>
      </w:r>
      <w:r w:rsidR="008736C4">
        <w:t xml:space="preserve">SEIA specifically used the example of Public Purpose Program costs, arguing that the costs of demand-modifying programs like energy </w:t>
      </w:r>
      <w:r w:rsidR="008055AF">
        <w:t>efficiency</w:t>
      </w:r>
      <w:r w:rsidRPr="005604F4">
        <w:t xml:space="preserve"> </w:t>
      </w:r>
      <w:r w:rsidR="008055AF">
        <w:t>are driven by</w:t>
      </w:r>
      <w:r w:rsidRPr="005604F4">
        <w:t xml:space="preserve"> customer consumption.</w:t>
      </w:r>
      <w:r w:rsidR="00232626">
        <w:rPr>
          <w:rStyle w:val="FootnoteReference"/>
        </w:rPr>
        <w:footnoteReference w:id="130"/>
      </w:r>
      <w:r w:rsidR="00235569">
        <w:t xml:space="preserve"> </w:t>
      </w:r>
    </w:p>
    <w:p w:rsidR="008055AF" w:rsidP="008736C4" w:rsidRDefault="00235569" w14:paraId="58B4BE7A" w14:textId="6485CC91">
      <w:pPr>
        <w:pStyle w:val="Standard"/>
      </w:pPr>
      <w:r>
        <w:t xml:space="preserve">In the statutory interpretation section above, we </w:t>
      </w:r>
      <w:r w:rsidR="003E4134">
        <w:t xml:space="preserve">defined fixed costs as costs that do not directly vary based on </w:t>
      </w:r>
      <w:r w:rsidRPr="004B5CD1" w:rsidR="004B5CD1">
        <w:t xml:space="preserve">the </w:t>
      </w:r>
      <w:r w:rsidRPr="00C37E41" w:rsidR="00C37E41">
        <w:t>electricity usage of the customer from whom the revenue is being collected</w:t>
      </w:r>
      <w:r w:rsidR="000F367F">
        <w:t xml:space="preserve">. </w:t>
      </w:r>
      <w:r w:rsidR="00EE7F1B">
        <w:t>The costs of Public Purpose Programs such as the</w:t>
      </w:r>
      <w:r w:rsidR="0047717B">
        <w:t xml:space="preserve"> Self-Generation Incentive Program will not decrease </w:t>
      </w:r>
      <w:r w:rsidR="00C57C50">
        <w:t xml:space="preserve">if </w:t>
      </w:r>
      <w:r w:rsidR="00AE1ECC">
        <w:t xml:space="preserve">the customer from whom the costs are being recovered </w:t>
      </w:r>
      <w:r w:rsidR="0047717B">
        <w:t>reduce</w:t>
      </w:r>
      <w:r w:rsidR="00C57C50">
        <w:t>s</w:t>
      </w:r>
      <w:r w:rsidR="0047717B">
        <w:t xml:space="preserve"> their energy usage.</w:t>
      </w:r>
      <w:r>
        <w:t xml:space="preserve"> </w:t>
      </w:r>
      <w:r w:rsidR="009D73EB">
        <w:t>Accordingly, Public Purpose Program costs are fixed costs.</w:t>
      </w:r>
    </w:p>
    <w:p w:rsidR="00AC58AA" w:rsidP="00CC466B" w:rsidRDefault="00B54907" w14:paraId="090B1FE1" w14:textId="0FDCBA0F">
      <w:pPr>
        <w:pStyle w:val="Standard"/>
      </w:pPr>
      <w:r>
        <w:lastRenderedPageBreak/>
        <w:t>It</w:t>
      </w:r>
      <w:r w:rsidR="006C512D">
        <w:t xml:space="preserve"> is reasonable to recover </w:t>
      </w:r>
      <w:r w:rsidR="00647EAC">
        <w:t>the costs of all</w:t>
      </w:r>
      <w:r w:rsidR="006C512D">
        <w:t xml:space="preserve"> Public Purpose Program charge</w:t>
      </w:r>
      <w:r w:rsidR="00647EAC">
        <w:t>s (</w:t>
      </w:r>
      <w:r w:rsidR="00504FCA">
        <w:t xml:space="preserve">including </w:t>
      </w:r>
      <w:r w:rsidR="00995D35">
        <w:t xml:space="preserve">the </w:t>
      </w:r>
      <w:r w:rsidR="00647EAC">
        <w:t>CARE</w:t>
      </w:r>
      <w:r w:rsidR="00AD0D61">
        <w:t xml:space="preserve"> surcharge</w:t>
      </w:r>
      <w:r w:rsidR="00647EAC">
        <w:t xml:space="preserve">, </w:t>
      </w:r>
      <w:r w:rsidR="00995D35">
        <w:t xml:space="preserve">the </w:t>
      </w:r>
      <w:r w:rsidR="00647EAC">
        <w:t>Self-Generation Incentive Program</w:t>
      </w:r>
      <w:r w:rsidR="00995D35">
        <w:t xml:space="preserve"> charge</w:t>
      </w:r>
      <w:r w:rsidR="00647EAC">
        <w:t xml:space="preserve">, and </w:t>
      </w:r>
      <w:r w:rsidR="00AD0D61">
        <w:t>non-CARE exempt charge</w:t>
      </w:r>
      <w:r w:rsidR="00995D35">
        <w:t>s</w:t>
      </w:r>
      <w:r w:rsidR="00647EAC">
        <w:t>)</w:t>
      </w:r>
      <w:r w:rsidR="001D5900">
        <w:t xml:space="preserve"> through </w:t>
      </w:r>
      <w:r w:rsidR="00995D35">
        <w:t>income-graduated fixed charges.</w:t>
      </w:r>
    </w:p>
    <w:p w:rsidR="008F5DFE" w:rsidP="00C24277" w:rsidRDefault="00A05E95" w14:paraId="451D17F0" w14:textId="43CEFF45">
      <w:pPr>
        <w:pStyle w:val="Standard"/>
      </w:pPr>
      <w:r>
        <w:t xml:space="preserve">TURN/NRDC supported recovery of the </w:t>
      </w:r>
      <w:r w:rsidRPr="002F2FD0">
        <w:t>Power Charge Indifference Adjustment</w:t>
      </w:r>
      <w:r>
        <w:t xml:space="preserve"> through income-graduated fixed charges. </w:t>
      </w:r>
      <w:r w:rsidR="008F5DFE">
        <w:t xml:space="preserve">CalCCA </w:t>
      </w:r>
      <w:r w:rsidR="00B90134">
        <w:t>strongly opposed it, arguing</w:t>
      </w:r>
      <w:r w:rsidR="008F5DFE">
        <w:t xml:space="preserve"> that </w:t>
      </w:r>
      <w:r w:rsidR="00B90134">
        <w:t xml:space="preserve">the Power Charge Indifference </w:t>
      </w:r>
      <w:r w:rsidR="00E801C7">
        <w:t>Adjustment calculation is too complex to include in a fixed charge</w:t>
      </w:r>
      <w:r w:rsidR="00121FCB">
        <w:t xml:space="preserve"> because it includes both fixed and volumetric costs.</w:t>
      </w:r>
      <w:r w:rsidR="001B2826">
        <w:rPr>
          <w:rStyle w:val="FootnoteReference"/>
        </w:rPr>
        <w:footnoteReference w:id="131"/>
      </w:r>
      <w:r w:rsidR="00CD73B5">
        <w:t xml:space="preserve"> </w:t>
      </w:r>
      <w:r w:rsidR="001B2826">
        <w:t xml:space="preserve">Sierra Club </w:t>
      </w:r>
      <w:r w:rsidR="00C24277">
        <w:t>argued</w:t>
      </w:r>
      <w:r w:rsidR="001B2826">
        <w:t xml:space="preserve"> that the </w:t>
      </w:r>
      <w:r w:rsidRPr="002F2FD0" w:rsidR="00E44C48">
        <w:t>Power Charge Indifference Adjustme</w:t>
      </w:r>
      <w:r w:rsidR="00E44C48">
        <w:t xml:space="preserve">nt </w:t>
      </w:r>
      <w:r w:rsidR="001B2826">
        <w:t xml:space="preserve">should not be included </w:t>
      </w:r>
      <w:r w:rsidR="00E44C48">
        <w:t xml:space="preserve">in a fixed charge </w:t>
      </w:r>
      <w:r w:rsidR="001B2826">
        <w:t>due to its volatility.</w:t>
      </w:r>
      <w:r w:rsidR="001B2826">
        <w:rPr>
          <w:rStyle w:val="FootnoteReference"/>
        </w:rPr>
        <w:footnoteReference w:id="132"/>
      </w:r>
      <w:r w:rsidR="00D4072D">
        <w:t xml:space="preserve"> </w:t>
      </w:r>
      <w:r w:rsidR="0036065D">
        <w:t>We</w:t>
      </w:r>
      <w:r w:rsidR="00E44C48">
        <w:t xml:space="preserve"> </w:t>
      </w:r>
      <w:r w:rsidR="00833600">
        <w:t>agree that the Power Charge Indifference Adjustment costs should not be recovered through income-graduated fixed charges</w:t>
      </w:r>
      <w:r w:rsidR="00EA2BE4">
        <w:t xml:space="preserve"> due to its </w:t>
      </w:r>
      <w:r w:rsidR="005C318D">
        <w:t>volatility and complexity</w:t>
      </w:r>
      <w:r w:rsidR="00833600">
        <w:t>.</w:t>
      </w:r>
    </w:p>
    <w:p w:rsidR="00472ADA" w:rsidP="0000607A" w:rsidRDefault="00484125" w14:paraId="2CAE4172" w14:textId="666342A8">
      <w:pPr>
        <w:pStyle w:val="Standard"/>
      </w:pPr>
      <w:r>
        <w:t xml:space="preserve">TURN/NRDC and the Large Utilities proposed to include the New System Generation and Local Generation </w:t>
      </w:r>
      <w:r w:rsidR="00C87647">
        <w:t xml:space="preserve">charges in </w:t>
      </w:r>
      <w:r w:rsidR="005C318D">
        <w:t xml:space="preserve">income-graduated </w:t>
      </w:r>
      <w:r w:rsidR="00C87647">
        <w:t xml:space="preserve">fixed charges. </w:t>
      </w:r>
      <w:r w:rsidR="00904A06">
        <w:t>No party raised any legal restrictions</w:t>
      </w:r>
      <w:r w:rsidR="009B3F9A">
        <w:t xml:space="preserve"> that would prevent </w:t>
      </w:r>
      <w:r w:rsidR="00904A06">
        <w:t xml:space="preserve">recovering these costs through fixed charges. </w:t>
      </w:r>
      <w:r w:rsidR="00C25EC8">
        <w:t xml:space="preserve">The </w:t>
      </w:r>
      <w:r w:rsidR="0003609F">
        <w:t xml:space="preserve">charges </w:t>
      </w:r>
      <w:r w:rsidRPr="00C25EC8" w:rsidR="00C25EC8">
        <w:t xml:space="preserve">fund essential generation reliability resources </w:t>
      </w:r>
      <w:r w:rsidR="0000607A">
        <w:t xml:space="preserve">that were previously </w:t>
      </w:r>
      <w:r w:rsidRPr="00C25EC8" w:rsidR="00C25EC8">
        <w:t>procured</w:t>
      </w:r>
      <w:r w:rsidR="001306EE">
        <w:t xml:space="preserve"> by the Large Utilities</w:t>
      </w:r>
      <w:r w:rsidR="003B5C23">
        <w:t xml:space="preserve"> to meet</w:t>
      </w:r>
      <w:r w:rsidR="0003609F">
        <w:t xml:space="preserve"> state procurement </w:t>
      </w:r>
      <w:r w:rsidRPr="00C25EC8" w:rsidR="00C25EC8">
        <w:t>requirements</w:t>
      </w:r>
      <w:r w:rsidR="001306EE">
        <w:t xml:space="preserve"> and collected from all customers through the Cost Allocation Mechanism.</w:t>
      </w:r>
      <w:r w:rsidR="0003609F">
        <w:rPr>
          <w:rStyle w:val="FootnoteReference"/>
        </w:rPr>
        <w:footnoteReference w:id="133"/>
      </w:r>
      <w:r w:rsidR="00C25EC8">
        <w:t xml:space="preserve"> </w:t>
      </w:r>
      <w:r w:rsidR="0000607A">
        <w:t xml:space="preserve">This cost is </w:t>
      </w:r>
      <w:r w:rsidR="00BE2763">
        <w:t>fixed</w:t>
      </w:r>
      <w:r w:rsidR="0000607A">
        <w:t xml:space="preserve"> because the energy </w:t>
      </w:r>
      <w:r w:rsidRPr="00DE0FEB" w:rsidR="00DE0FEB">
        <w:t xml:space="preserve">consumption of a given customer will not affect the revenue requirement for this cost category. </w:t>
      </w:r>
      <w:r w:rsidR="00F669A1">
        <w:t xml:space="preserve">We agree that income-graduated fixed charges </w:t>
      </w:r>
      <w:r w:rsidR="00516BCD">
        <w:t>may recover these costs.</w:t>
      </w:r>
    </w:p>
    <w:p w:rsidR="00107EBD" w:rsidP="00CF7F52" w:rsidRDefault="00BE2F76" w14:paraId="4AFD8989" w14:textId="6F1A4355">
      <w:pPr>
        <w:pStyle w:val="Standard"/>
      </w:pPr>
      <w:r w:rsidRPr="00BE2F76">
        <w:t xml:space="preserve">TURN/NRDC, Cal Advocates, </w:t>
      </w:r>
      <w:r>
        <w:t xml:space="preserve">and </w:t>
      </w:r>
      <w:r w:rsidRPr="00BE2F76">
        <w:t>Sierra Club</w:t>
      </w:r>
      <w:r>
        <w:t xml:space="preserve"> proposed to recover the Wildfire Fund and/or </w:t>
      </w:r>
      <w:r w:rsidR="00E92B6F">
        <w:t xml:space="preserve">the </w:t>
      </w:r>
      <w:r>
        <w:t xml:space="preserve">Wildfire Hardening </w:t>
      </w:r>
      <w:r w:rsidR="000969BD">
        <w:t xml:space="preserve">non-bypassable charges through </w:t>
      </w:r>
      <w:r w:rsidR="000969BD">
        <w:lastRenderedPageBreak/>
        <w:t>fixed charges.</w:t>
      </w:r>
      <w:r w:rsidR="005E6A7A">
        <w:rPr>
          <w:rStyle w:val="FootnoteReference"/>
        </w:rPr>
        <w:footnoteReference w:id="134"/>
      </w:r>
      <w:r w:rsidR="002B5B85">
        <w:t xml:space="preserve"> </w:t>
      </w:r>
      <w:r w:rsidR="004C2A44">
        <w:t>The</w:t>
      </w:r>
      <w:r w:rsidR="002B5B85">
        <w:t xml:space="preserve"> Large Utilities</w:t>
      </w:r>
      <w:r w:rsidR="004C2A44">
        <w:t xml:space="preserve"> and SEIA</w:t>
      </w:r>
      <w:r w:rsidR="002B5B85">
        <w:t xml:space="preserve"> </w:t>
      </w:r>
      <w:r w:rsidR="00CF7F52">
        <w:t>noted</w:t>
      </w:r>
      <w:r w:rsidR="00C10688">
        <w:t xml:space="preserve"> that the </w:t>
      </w:r>
      <w:r w:rsidR="00973575">
        <w:t xml:space="preserve">Commission determined in </w:t>
      </w:r>
      <w:r w:rsidRPr="00973575" w:rsidR="00973575">
        <w:t>D.19-10-056</w:t>
      </w:r>
      <w:r w:rsidR="00973575">
        <w:t xml:space="preserve"> that the </w:t>
      </w:r>
      <w:r w:rsidR="00C10688">
        <w:t xml:space="preserve">Wildfire Fund must be collected on the basis of usage </w:t>
      </w:r>
      <w:r w:rsidR="000551A2">
        <w:t>to comply with</w:t>
      </w:r>
      <w:r w:rsidR="00C10688">
        <w:t xml:space="preserve"> Section </w:t>
      </w:r>
      <w:r w:rsidRPr="00C10688" w:rsidR="00C10688">
        <w:t>3289(a)(2)</w:t>
      </w:r>
      <w:r w:rsidR="00C10688">
        <w:t xml:space="preserve"> of the Pub. Util. Code</w:t>
      </w:r>
      <w:r w:rsidRPr="00C10688" w:rsidR="00C10688">
        <w:t>.</w:t>
      </w:r>
      <w:r w:rsidR="002B5B85">
        <w:rPr>
          <w:rStyle w:val="FootnoteReference"/>
        </w:rPr>
        <w:footnoteReference w:id="135"/>
      </w:r>
      <w:r w:rsidR="00973575">
        <w:t xml:space="preserve"> </w:t>
      </w:r>
      <w:r w:rsidR="00C0415C">
        <w:t xml:space="preserve">The Large Utilities </w:t>
      </w:r>
      <w:r w:rsidR="00CF7F52">
        <w:t xml:space="preserve">also </w:t>
      </w:r>
      <w:r w:rsidR="00C0415C">
        <w:t>a</w:t>
      </w:r>
      <w:r w:rsidR="00CF7F52">
        <w:t>sserted</w:t>
      </w:r>
      <w:r w:rsidR="00C0415C">
        <w:t xml:space="preserve"> that contractual</w:t>
      </w:r>
      <w:r w:rsidR="00CF7F52">
        <w:t xml:space="preserve"> agreements </w:t>
      </w:r>
      <w:r w:rsidR="00C0415C">
        <w:t xml:space="preserve">prevent the recovery of the Wildfire Hardening charges </w:t>
      </w:r>
      <w:r w:rsidR="00CF7F52">
        <w:t xml:space="preserve">through </w:t>
      </w:r>
      <w:r w:rsidR="00F96460">
        <w:t>income-graduated</w:t>
      </w:r>
      <w:r w:rsidR="00CF7F52">
        <w:t xml:space="preserve"> fixed charge</w:t>
      </w:r>
      <w:r w:rsidR="00F96460">
        <w:t>s</w:t>
      </w:r>
      <w:r w:rsidR="000F49CE">
        <w:t xml:space="preserve"> in the near-term</w:t>
      </w:r>
      <w:r w:rsidR="00CF7F52">
        <w:t>.</w:t>
      </w:r>
      <w:r w:rsidR="00CF7F52">
        <w:rPr>
          <w:rStyle w:val="FootnoteReference"/>
        </w:rPr>
        <w:footnoteReference w:id="136"/>
      </w:r>
      <w:r w:rsidR="00CF7F52">
        <w:t xml:space="preserve"> </w:t>
      </w:r>
      <w:r w:rsidR="00ED1F5F">
        <w:t>We agree that income-graduated fixed charges should not recover these costs</w:t>
      </w:r>
      <w:r w:rsidR="000F49CE">
        <w:t xml:space="preserve"> </w:t>
      </w:r>
      <w:r w:rsidR="003444D6">
        <w:t>at this time</w:t>
      </w:r>
      <w:r w:rsidR="00D16DD2">
        <w:t>.</w:t>
      </w:r>
    </w:p>
    <w:p w:rsidR="00B1720B" w:rsidP="00C763D4" w:rsidRDefault="00B1720B" w14:paraId="124E7734" w14:textId="69682A4A">
      <w:pPr>
        <w:pStyle w:val="Standard"/>
      </w:pPr>
      <w:r w:rsidRPr="00B1720B">
        <w:t xml:space="preserve">Sierra Club proposed to recover </w:t>
      </w:r>
      <w:r>
        <w:t>the Recovery Bond charge</w:t>
      </w:r>
      <w:r w:rsidRPr="00B1720B">
        <w:t xml:space="preserve"> through income-graduated fixed charges.</w:t>
      </w:r>
      <w:r w:rsidR="00F775B2">
        <w:rPr>
          <w:rStyle w:val="FootnoteReference"/>
        </w:rPr>
        <w:footnoteReference w:id="137"/>
      </w:r>
      <w:r w:rsidRPr="00B1720B">
        <w:t xml:space="preserve"> The Large Utilities asserted that contractual agreements prevent the recovery of the Recovery Bond costs through income-graduated fixed charges</w:t>
      </w:r>
      <w:r w:rsidR="00C773B5">
        <w:t xml:space="preserve"> in the near-term</w:t>
      </w:r>
      <w:r w:rsidRPr="00B1720B">
        <w:t>.</w:t>
      </w:r>
      <w:r w:rsidR="00F775B2">
        <w:rPr>
          <w:rStyle w:val="FootnoteReference"/>
        </w:rPr>
        <w:footnoteReference w:id="138"/>
      </w:r>
      <w:r w:rsidRPr="00B1720B">
        <w:t xml:space="preserve"> </w:t>
      </w:r>
      <w:r w:rsidR="00D162E2">
        <w:t xml:space="preserve">While we may consider </w:t>
      </w:r>
      <w:r w:rsidR="00BF06D5">
        <w:t xml:space="preserve">doing so </w:t>
      </w:r>
      <w:r w:rsidR="00C773B5">
        <w:t>in the future</w:t>
      </w:r>
      <w:r w:rsidR="00C0075D">
        <w:t>, we will not recover these costs through income-graduated fixed charges</w:t>
      </w:r>
      <w:r w:rsidR="00C773B5">
        <w:t xml:space="preserve"> </w:t>
      </w:r>
      <w:r w:rsidR="003444D6">
        <w:t>at this time</w:t>
      </w:r>
      <w:r w:rsidR="00C0075D">
        <w:t xml:space="preserve">. </w:t>
      </w:r>
    </w:p>
    <w:p w:rsidR="00593C53" w:rsidP="00142E76" w:rsidRDefault="00593C53" w14:paraId="3EB6AE85" w14:textId="1CE92215">
      <w:pPr>
        <w:pStyle w:val="Standard"/>
      </w:pPr>
      <w:r>
        <w:t>Sierra Club</w:t>
      </w:r>
      <w:r w:rsidR="00C763D4">
        <w:t xml:space="preserve"> also</w:t>
      </w:r>
      <w:r>
        <w:t xml:space="preserve"> proposed to recover</w:t>
      </w:r>
      <w:r w:rsidR="00413031">
        <w:t xml:space="preserve"> </w:t>
      </w:r>
      <w:r w:rsidR="00B75F4A">
        <w:t xml:space="preserve">both </w:t>
      </w:r>
      <w:r w:rsidR="00C763D4">
        <w:t>the</w:t>
      </w:r>
      <w:r w:rsidR="00413031">
        <w:t xml:space="preserve"> </w:t>
      </w:r>
      <w:r w:rsidR="00DD10BC">
        <w:t xml:space="preserve">Public Utilities </w:t>
      </w:r>
      <w:r w:rsidR="00413031">
        <w:t>Commission Reimbursement Fee</w:t>
      </w:r>
      <w:r w:rsidR="001B1727">
        <w:t xml:space="preserve"> and </w:t>
      </w:r>
      <w:r w:rsidR="00C763D4">
        <w:t xml:space="preserve">the </w:t>
      </w:r>
      <w:r w:rsidR="001B1727">
        <w:t>Energy Commission Fee</w:t>
      </w:r>
      <w:r w:rsidR="00C763D4">
        <w:t xml:space="preserve"> through fixed charges</w:t>
      </w:r>
      <w:r w:rsidR="001B1727">
        <w:t>.</w:t>
      </w:r>
      <w:r w:rsidR="00BF4BD1">
        <w:rPr>
          <w:rStyle w:val="FootnoteReference"/>
        </w:rPr>
        <w:footnoteReference w:id="139"/>
      </w:r>
      <w:r w:rsidR="007C22BF">
        <w:t xml:space="preserve"> Cal Advocates </w:t>
      </w:r>
      <w:r w:rsidR="00DD10BC">
        <w:t xml:space="preserve">commented that the Public Utilities Commission Reimbursement Fee must be collected </w:t>
      </w:r>
      <w:r w:rsidR="00142E76">
        <w:t xml:space="preserve">on the basis of usage in accordance with </w:t>
      </w:r>
      <w:r w:rsidRPr="004239CC" w:rsidR="004239CC">
        <w:t>Section 432(c)(1)</w:t>
      </w:r>
      <w:r w:rsidR="00142E76">
        <w:t xml:space="preserve"> of the Pub. Util. Code.</w:t>
      </w:r>
      <w:r w:rsidR="00142E76">
        <w:rPr>
          <w:rStyle w:val="FootnoteReference"/>
        </w:rPr>
        <w:footnoteReference w:id="140"/>
      </w:r>
      <w:r w:rsidR="00142E76">
        <w:t xml:space="preserve"> T</w:t>
      </w:r>
      <w:r w:rsidR="007C22BF">
        <w:t xml:space="preserve">URN/NRDC </w:t>
      </w:r>
      <w:r w:rsidR="00142E76">
        <w:t>agreed.</w:t>
      </w:r>
      <w:r w:rsidR="00142E76">
        <w:rPr>
          <w:rStyle w:val="FootnoteReference"/>
        </w:rPr>
        <w:footnoteReference w:id="141"/>
      </w:r>
      <w:r w:rsidR="002C45A5">
        <w:t xml:space="preserve"> </w:t>
      </w:r>
      <w:r w:rsidR="00855C97">
        <w:t xml:space="preserve">The </w:t>
      </w:r>
      <w:r w:rsidR="00DA4684">
        <w:t>Energy</w:t>
      </w:r>
      <w:r w:rsidRPr="00BD73F8" w:rsidR="00BD73F8">
        <w:t xml:space="preserve"> Commission </w:t>
      </w:r>
      <w:r w:rsidRPr="00BD73F8" w:rsidR="00BD73F8">
        <w:lastRenderedPageBreak/>
        <w:t>Reimbursement Fee</w:t>
      </w:r>
      <w:r w:rsidR="00BD73F8">
        <w:t xml:space="preserve"> must also be collected on the basis of usage in accordance with </w:t>
      </w:r>
      <w:r w:rsidRPr="00BD73F8" w:rsidR="00BD73F8">
        <w:t xml:space="preserve">Section </w:t>
      </w:r>
      <w:r w:rsidRPr="006B4CC4" w:rsidR="006B4CC4">
        <w:t>40016</w:t>
      </w:r>
      <w:r w:rsidRPr="00BD73F8" w:rsidR="00BD73F8">
        <w:t>(b)</w:t>
      </w:r>
      <w:r w:rsidR="00BD73F8">
        <w:t xml:space="preserve"> of the </w:t>
      </w:r>
      <w:r w:rsidR="003B22C1">
        <w:t xml:space="preserve">Revenue and Taxation </w:t>
      </w:r>
      <w:r w:rsidR="00BD73F8">
        <w:t xml:space="preserve">Code. </w:t>
      </w:r>
      <w:r w:rsidR="003C4EDF">
        <w:t>Accordingly, neither fee may be recovered through income-graduated fixed charges.</w:t>
      </w:r>
    </w:p>
    <w:p w:rsidR="00AF31ED" w:rsidP="00AF31ED" w:rsidRDefault="00AF31ED" w14:paraId="50BE3D9C" w14:textId="6C1924E5">
      <w:pPr>
        <w:pStyle w:val="Standard"/>
      </w:pPr>
      <w:r w:rsidRPr="00AF31ED">
        <w:t xml:space="preserve">The Large Utilities proposed to </w:t>
      </w:r>
      <w:r w:rsidR="00C773B5">
        <w:t>recover</w:t>
      </w:r>
      <w:r w:rsidRPr="00AF31ED" w:rsidR="00C773B5">
        <w:t xml:space="preserve"> </w:t>
      </w:r>
      <w:r w:rsidRPr="00AF31ED">
        <w:t xml:space="preserve">Nuclear Decommissioning non-bypassable charges </w:t>
      </w:r>
      <w:r w:rsidR="00C773B5">
        <w:t>through</w:t>
      </w:r>
      <w:r w:rsidRPr="00AF31ED">
        <w:t xml:space="preserve"> fixed charges.</w:t>
      </w:r>
      <w:r w:rsidR="00373BAA">
        <w:t xml:space="preserve"> The La</w:t>
      </w:r>
      <w:r w:rsidR="00D27443">
        <w:t xml:space="preserve">rge Utilities </w:t>
      </w:r>
      <w:r w:rsidR="00C44412">
        <w:t>opined</w:t>
      </w:r>
      <w:r w:rsidR="00D27443">
        <w:t xml:space="preserve"> in their opening brief that there are no legal restrictions on the collection of this cost category through a fixed charge.</w:t>
      </w:r>
      <w:r w:rsidRPr="00AF31ED">
        <w:rPr>
          <w:vertAlign w:val="superscript"/>
        </w:rPr>
        <w:footnoteReference w:id="142"/>
      </w:r>
      <w:r w:rsidR="00C44412">
        <w:t xml:space="preserve"> No </w:t>
      </w:r>
      <w:r w:rsidRPr="00AF31ED">
        <w:t xml:space="preserve">party </w:t>
      </w:r>
      <w:r w:rsidR="00C44412">
        <w:t>disputed this opinion.</w:t>
      </w:r>
      <w:r w:rsidRPr="00AF31ED">
        <w:t xml:space="preserve"> This cost is a fixed cost because the energy consumption of a given customer will not affect the revenue requirement for decommissioning nuclear power plants. We agree that </w:t>
      </w:r>
      <w:r w:rsidR="00F50316">
        <w:t xml:space="preserve">income-graduated </w:t>
      </w:r>
      <w:r w:rsidRPr="00AF31ED">
        <w:t>fixed charges may recover these costs.</w:t>
      </w:r>
    </w:p>
    <w:p w:rsidR="00C71A67" w:rsidP="00AF31ED" w:rsidRDefault="00C71A67" w14:paraId="72053571" w14:textId="52490080">
      <w:pPr>
        <w:pStyle w:val="Standard"/>
      </w:pPr>
      <w:r>
        <w:t>The Large Utilities proposed for SDG&amp;E</w:t>
      </w:r>
      <w:r w:rsidR="003471D0">
        <w:t>’s income-graduated fixed charges</w:t>
      </w:r>
      <w:r>
        <w:t xml:space="preserve"> to include an Electrification </w:t>
      </w:r>
      <w:r w:rsidR="006A4E6F">
        <w:t>Incentive Adjustment.</w:t>
      </w:r>
      <w:r w:rsidR="00601A75">
        <w:rPr>
          <w:rStyle w:val="FootnoteReference"/>
        </w:rPr>
        <w:footnoteReference w:id="143"/>
      </w:r>
      <w:r w:rsidR="006A4E6F">
        <w:t xml:space="preserve"> This </w:t>
      </w:r>
      <w:r w:rsidR="00942AFF">
        <w:t>proposed charge is not associated with an existing fixed cost category.</w:t>
      </w:r>
      <w:r w:rsidR="00601A75">
        <w:t xml:space="preserve"> The Large Utilities argued that SDG&amp;E</w:t>
      </w:r>
      <w:r w:rsidR="004C54FD">
        <w:t>’s fixed charges should include this adder to reduce its volumetric rates to incentivize electrification.</w:t>
      </w:r>
      <w:r w:rsidR="00942AFF">
        <w:t xml:space="preserve"> </w:t>
      </w:r>
      <w:r w:rsidR="006E0B0B">
        <w:t xml:space="preserve">However, the </w:t>
      </w:r>
      <w:r w:rsidR="003D717A">
        <w:t xml:space="preserve">Large Utilities </w:t>
      </w:r>
      <w:r w:rsidR="00F24F6B">
        <w:t xml:space="preserve">did not </w:t>
      </w:r>
      <w:r w:rsidR="0014113F">
        <w:t>justify</w:t>
      </w:r>
      <w:r w:rsidR="00F24F6B">
        <w:t xml:space="preserve"> why this</w:t>
      </w:r>
      <w:r w:rsidR="00CF266F">
        <w:t xml:space="preserve"> </w:t>
      </w:r>
      <w:r w:rsidR="0014113F">
        <w:t xml:space="preserve">proposed cost </w:t>
      </w:r>
      <w:r w:rsidR="00AB3C9C">
        <w:t>should be considered</w:t>
      </w:r>
      <w:r w:rsidR="0014113F">
        <w:t xml:space="preserve"> a fixed cost </w:t>
      </w:r>
      <w:r w:rsidR="00AB3C9C">
        <w:t>that may be recovered through a fixed charge in compliance with AB 205.</w:t>
      </w:r>
      <w:r w:rsidR="0014113F">
        <w:t xml:space="preserve"> </w:t>
      </w:r>
    </w:p>
    <w:p w:rsidR="004E1F8E" w:rsidP="00EA6A60" w:rsidRDefault="005D3F4A" w14:paraId="5B57C4CF" w14:textId="7D822D8C">
      <w:pPr>
        <w:pStyle w:val="Standard"/>
      </w:pPr>
      <w:r>
        <w:t xml:space="preserve">TURN/NRDC, Sierra Club, </w:t>
      </w:r>
      <w:r w:rsidR="00EF3127">
        <w:t>Cal Advocates, and the Large Utilities each proposed for income-graduated fixed charges to include a portion of Non-Marginal Distribution Costs.</w:t>
      </w:r>
      <w:r w:rsidR="00215261">
        <w:rPr>
          <w:rStyle w:val="FootnoteReference"/>
        </w:rPr>
        <w:footnoteReference w:id="144"/>
      </w:r>
      <w:r w:rsidR="00EF3127">
        <w:t xml:space="preserve"> </w:t>
      </w:r>
      <w:r w:rsidR="00983A85">
        <w:t xml:space="preserve">The Large Utilities argued that </w:t>
      </w:r>
      <w:r w:rsidR="006D4903">
        <w:t xml:space="preserve">all Non-Marginal Distribution Costs are fixed. The Large Utilities </w:t>
      </w:r>
      <w:r w:rsidR="00897199">
        <w:t xml:space="preserve">generally </w:t>
      </w:r>
      <w:r w:rsidR="006D4903">
        <w:t xml:space="preserve">described these costs as including many distribution costs that are not directly linked to marginal costs, including the </w:t>
      </w:r>
      <w:r w:rsidRPr="00983A85" w:rsidR="00983A85">
        <w:t>costs of wildfire mitigation and vegetatio</w:t>
      </w:r>
      <w:r w:rsidR="006D4903">
        <w:t>n</w:t>
      </w:r>
      <w:r w:rsidRPr="00983A85" w:rsidR="00983A85">
        <w:t xml:space="preserve"> management, reliability </w:t>
      </w:r>
      <w:r w:rsidRPr="00983A85" w:rsidR="00983A85">
        <w:lastRenderedPageBreak/>
        <w:t>improvements, safety and risk management distribution costs, ongoing</w:t>
      </w:r>
      <w:r w:rsidR="006D4903">
        <w:t xml:space="preserve"> </w:t>
      </w:r>
      <w:r w:rsidRPr="00983A85" w:rsidR="00983A85">
        <w:t>distribution operations and</w:t>
      </w:r>
      <w:r w:rsidR="00D06BB5">
        <w:t xml:space="preserve"> </w:t>
      </w:r>
      <w:r w:rsidRPr="00983A85" w:rsidR="00983A85">
        <w:t>maintenance, many regulatory balancing accounts, and variou</w:t>
      </w:r>
      <w:r w:rsidR="00D06BB5">
        <w:t>s</w:t>
      </w:r>
      <w:r w:rsidRPr="00983A85" w:rsidR="00983A85">
        <w:t xml:space="preserve"> programs and policy mandates</w:t>
      </w:r>
      <w:r w:rsidR="00D06BB5">
        <w:t>.</w:t>
      </w:r>
      <w:r w:rsidR="00D06BB5">
        <w:rPr>
          <w:rStyle w:val="FootnoteReference"/>
        </w:rPr>
        <w:footnoteReference w:id="145"/>
      </w:r>
      <w:r w:rsidRPr="002808B4" w:rsidR="002808B4">
        <w:t xml:space="preserve"> </w:t>
      </w:r>
      <w:r w:rsidR="00E17D97">
        <w:t xml:space="preserve">However, the Large Utilities did not include </w:t>
      </w:r>
      <w:r w:rsidR="004B1F29">
        <w:t>a list of all components of Non-Marginal Distribution Costs</w:t>
      </w:r>
      <w:r w:rsidR="00897199">
        <w:t xml:space="preserve"> and justification for considering each component as a fixed cost</w:t>
      </w:r>
      <w:r w:rsidR="004B1F29">
        <w:t xml:space="preserve"> in testimony</w:t>
      </w:r>
      <w:r w:rsidR="00897199">
        <w:t xml:space="preserve">. </w:t>
      </w:r>
      <w:r w:rsidRPr="002808B4" w:rsidR="002808B4">
        <w:t>Sierra Club argued that most of these costs vary based on a customer’s usage, except for Non-Marginal Customer Access Costs.</w:t>
      </w:r>
      <w:r w:rsidR="00F81149">
        <w:t xml:space="preserve"> Sierra Club’s testimony attached data request responses from the Large Utilities that </w:t>
      </w:r>
      <w:r w:rsidR="00E3483D">
        <w:t>failed to provide</w:t>
      </w:r>
      <w:r w:rsidR="00965DD1">
        <w:t xml:space="preserve"> the specific</w:t>
      </w:r>
      <w:r w:rsidR="00E3483D">
        <w:t xml:space="preserve"> </w:t>
      </w:r>
      <w:r w:rsidR="00634E3A">
        <w:t xml:space="preserve">cost categories included in </w:t>
      </w:r>
      <w:r w:rsidR="00A25257">
        <w:t>Non-Marginal Distribution Costs.</w:t>
      </w:r>
      <w:r w:rsidRPr="002808B4" w:rsidR="002808B4">
        <w:rPr>
          <w:vertAlign w:val="superscript"/>
        </w:rPr>
        <w:footnoteReference w:id="146"/>
      </w:r>
      <w:r w:rsidR="00F81149">
        <w:t xml:space="preserve"> </w:t>
      </w:r>
      <w:r w:rsidR="003A5377">
        <w:t>The record is not sufficient to determine which portion of Non-Marginal Distribution Costs are fixed costs</w:t>
      </w:r>
      <w:r w:rsidR="00EA6A60">
        <w:t xml:space="preserve">. We will not </w:t>
      </w:r>
      <w:r w:rsidR="003444D6">
        <w:t xml:space="preserve">recover </w:t>
      </w:r>
      <w:r w:rsidR="00EA6A60">
        <w:t xml:space="preserve">these costs </w:t>
      </w:r>
      <w:r w:rsidR="003444D6">
        <w:t xml:space="preserve">through </w:t>
      </w:r>
      <w:r w:rsidR="00EA6A60">
        <w:t>income-graduated fixed charge</w:t>
      </w:r>
      <w:r w:rsidR="00C773B5">
        <w:t>s at this time</w:t>
      </w:r>
      <w:r w:rsidR="00EA6A60">
        <w:t>.</w:t>
      </w:r>
      <w:r w:rsidR="00381160">
        <w:t xml:space="preserve"> However, we may consider whether </w:t>
      </w:r>
      <w:r w:rsidR="00F13EFF">
        <w:t>a portion of Non-Marginal Distribution Costs are fixed costs in Phase 2 of this proceeding or a successor rulemaking.</w:t>
      </w:r>
    </w:p>
    <w:p w:rsidRPr="00480677" w:rsidR="001076F6" w:rsidP="001076F6" w:rsidRDefault="00480677" w14:paraId="118D5378" w14:textId="75C7DA30">
      <w:pPr>
        <w:pStyle w:val="Standard"/>
      </w:pPr>
      <w:r w:rsidRPr="00480677">
        <w:t>The tables below</w:t>
      </w:r>
      <w:r w:rsidR="00DA11F3">
        <w:t xml:space="preserve"> list the</w:t>
      </w:r>
      <w:r w:rsidRPr="00480677">
        <w:t xml:space="preserve"> fixed cost categor</w:t>
      </w:r>
      <w:r w:rsidR="00DA11F3">
        <w:t>ies</w:t>
      </w:r>
      <w:r w:rsidRPr="00480677">
        <w:t xml:space="preserve"> </w:t>
      </w:r>
      <w:r w:rsidR="00DA11F3">
        <w:t>that may</w:t>
      </w:r>
      <w:r w:rsidRPr="00480677">
        <w:t xml:space="preserve"> be recovered through the </w:t>
      </w:r>
      <w:r w:rsidR="009A3B12">
        <w:t xml:space="preserve">Large Utilities’ </w:t>
      </w:r>
      <w:r w:rsidRPr="00480677">
        <w:t>income-graduated fixed charges</w:t>
      </w:r>
      <w:r w:rsidR="001076F6">
        <w:t xml:space="preserve"> at this time</w:t>
      </w:r>
      <w:r w:rsidRPr="00480677">
        <w:t>, along with estimates from the Public Tool of the revenue requirement for each cost category</w:t>
      </w:r>
      <w:r w:rsidR="00FD1C16">
        <w:t xml:space="preserve"> as a dollar amount and as a percentage of the utility’s </w:t>
      </w:r>
      <w:r w:rsidR="00E73B6E">
        <w:t>delivery</w:t>
      </w:r>
      <w:r w:rsidR="00382620">
        <w:t xml:space="preserve"> </w:t>
      </w:r>
      <w:r w:rsidR="00FD1C16">
        <w:t>revenue requirement</w:t>
      </w:r>
      <w:r w:rsidR="00F0200D">
        <w:rPr>
          <w:rStyle w:val="FootnoteReference"/>
        </w:rPr>
        <w:footnoteReference w:id="147"/>
      </w:r>
      <w:r w:rsidR="00C06C04">
        <w:t xml:space="preserve"> </w:t>
      </w:r>
      <w:r w:rsidR="004801D6">
        <w:t xml:space="preserve">for the residential customer class </w:t>
      </w:r>
      <w:r w:rsidR="00C06C04">
        <w:t>based on the most recent General Rate Case decision applicable to each utility</w:t>
      </w:r>
      <w:r w:rsidR="00FD1C16">
        <w:t>.</w:t>
      </w:r>
    </w:p>
    <w:p w:rsidRPr="0008492E" w:rsidR="00541AF0" w:rsidP="00C06C04" w:rsidRDefault="00480677" w14:paraId="0E718D47" w14:textId="67FA163E">
      <w:pPr>
        <w:pStyle w:val="Standard"/>
        <w:ind w:firstLine="0"/>
        <w:rPr>
          <w:b/>
          <w:bCs/>
        </w:rPr>
      </w:pPr>
      <w:r w:rsidRPr="0008492E">
        <w:rPr>
          <w:b/>
          <w:bCs/>
        </w:rPr>
        <w:t>Table 4(A): Estimated PG&amp;E Fixed Cost Revenue Requirement  </w:t>
      </w:r>
    </w:p>
    <w:tbl>
      <w:tblPr>
        <w:tblW w:w="9445" w:type="dxa"/>
        <w:tblLook w:val="04A0" w:firstRow="1" w:lastRow="0" w:firstColumn="1" w:lastColumn="0" w:noHBand="0" w:noVBand="1"/>
      </w:tblPr>
      <w:tblGrid>
        <w:gridCol w:w="5305"/>
        <w:gridCol w:w="1955"/>
        <w:gridCol w:w="2185"/>
      </w:tblGrid>
      <w:tr w:rsidRPr="00BF74D0" w:rsidR="00541AF0" w:rsidTr="0B26A56E" w14:paraId="238BC1DF" w14:textId="77777777">
        <w:trPr>
          <w:trHeight w:val="600"/>
        </w:trPr>
        <w:tc>
          <w:tcPr>
            <w:tcW w:w="5305" w:type="dxa"/>
            <w:tcBorders>
              <w:top w:val="single" w:color="auto" w:sz="4" w:space="0"/>
              <w:left w:val="single" w:color="auto" w:sz="4" w:space="0"/>
              <w:bottom w:val="single" w:color="auto" w:sz="4" w:space="0"/>
              <w:right w:val="single" w:color="auto" w:sz="4" w:space="0"/>
            </w:tcBorders>
            <w:shd w:val="clear" w:color="auto" w:fill="4472C4" w:themeFill="accent1"/>
            <w:noWrap/>
            <w:vAlign w:val="bottom"/>
            <w:hideMark/>
          </w:tcPr>
          <w:p w:rsidRPr="00BF74D0" w:rsidR="00541AF0" w:rsidP="00541AF0" w:rsidRDefault="00541AF0" w14:paraId="3545834F" w14:textId="77777777">
            <w:pPr>
              <w:spacing w:line="240" w:lineRule="auto"/>
              <w:ind w:firstLine="0"/>
              <w:jc w:val="center"/>
              <w:rPr>
                <w:rFonts w:eastAsia="Times New Roman" w:cs="Calibri"/>
                <w:color w:val="FFFFFF"/>
                <w:sz w:val="24"/>
                <w:szCs w:val="24"/>
              </w:rPr>
            </w:pPr>
            <w:r w:rsidRPr="00BF74D0">
              <w:rPr>
                <w:rFonts w:eastAsia="Times New Roman" w:cs="Calibri"/>
                <w:color w:val="FFFFFF"/>
                <w:sz w:val="24"/>
                <w:szCs w:val="24"/>
              </w:rPr>
              <w:lastRenderedPageBreak/>
              <w:t>PG&amp;E Cost Category</w:t>
            </w:r>
          </w:p>
        </w:tc>
        <w:tc>
          <w:tcPr>
            <w:tcW w:w="1955" w:type="dxa"/>
            <w:tcBorders>
              <w:top w:val="single" w:color="auto" w:sz="4" w:space="0"/>
              <w:left w:val="nil"/>
              <w:bottom w:val="single" w:color="auto" w:sz="4" w:space="0"/>
              <w:right w:val="single" w:color="auto" w:sz="4" w:space="0"/>
            </w:tcBorders>
            <w:shd w:val="clear" w:color="auto" w:fill="4472C4" w:themeFill="accent1"/>
            <w:vAlign w:val="bottom"/>
            <w:hideMark/>
          </w:tcPr>
          <w:p w:rsidRPr="00BF74D0" w:rsidR="00541AF0" w:rsidP="00541AF0" w:rsidRDefault="00541AF0" w14:paraId="46CB2F1D" w14:textId="54641ECB">
            <w:pPr>
              <w:spacing w:line="240" w:lineRule="auto"/>
              <w:ind w:firstLine="0"/>
              <w:jc w:val="center"/>
              <w:rPr>
                <w:rFonts w:eastAsia="Times New Roman" w:cs="Calibri"/>
                <w:color w:val="FFFFFF"/>
                <w:sz w:val="24"/>
                <w:szCs w:val="24"/>
              </w:rPr>
            </w:pPr>
            <w:r w:rsidRPr="00BF74D0">
              <w:rPr>
                <w:rFonts w:eastAsia="Times New Roman" w:cs="Calibri"/>
                <w:color w:val="FFFFFF"/>
                <w:sz w:val="24"/>
                <w:szCs w:val="24"/>
              </w:rPr>
              <w:t>Revenue Requirement ($M</w:t>
            </w:r>
            <w:r w:rsidR="00EB7BE7">
              <w:rPr>
                <w:rFonts w:eastAsia="Times New Roman" w:cs="Calibri"/>
                <w:color w:val="FFFFFF"/>
                <w:sz w:val="24"/>
                <w:szCs w:val="24"/>
              </w:rPr>
              <w:t>illions</w:t>
            </w:r>
            <w:r w:rsidRPr="00BF74D0">
              <w:rPr>
                <w:rFonts w:eastAsia="Times New Roman" w:cs="Calibri"/>
                <w:color w:val="FFFFFF"/>
                <w:sz w:val="24"/>
                <w:szCs w:val="24"/>
              </w:rPr>
              <w:t>)</w:t>
            </w:r>
          </w:p>
        </w:tc>
        <w:tc>
          <w:tcPr>
            <w:tcW w:w="2185" w:type="dxa"/>
            <w:tcBorders>
              <w:top w:val="single" w:color="auto" w:sz="4" w:space="0"/>
              <w:left w:val="nil"/>
              <w:bottom w:val="single" w:color="auto" w:sz="4" w:space="0"/>
              <w:right w:val="single" w:color="auto" w:sz="4" w:space="0"/>
            </w:tcBorders>
            <w:shd w:val="clear" w:color="auto" w:fill="4472C4" w:themeFill="accent1"/>
            <w:vAlign w:val="bottom"/>
            <w:hideMark/>
          </w:tcPr>
          <w:p w:rsidRPr="00BF74D0" w:rsidR="00541AF0" w:rsidP="00541AF0" w:rsidRDefault="00C1241D" w14:paraId="7BDB34F6" w14:textId="3F3C2896">
            <w:pPr>
              <w:spacing w:line="240" w:lineRule="auto"/>
              <w:ind w:firstLine="0"/>
              <w:jc w:val="center"/>
              <w:rPr>
                <w:rFonts w:eastAsia="Times New Roman" w:cs="Calibri"/>
                <w:color w:val="FFFFFF"/>
                <w:sz w:val="24"/>
                <w:szCs w:val="24"/>
              </w:rPr>
            </w:pPr>
            <w:r>
              <w:rPr>
                <w:rFonts w:eastAsia="Times New Roman" w:cs="Calibri"/>
                <w:color w:val="FFFFFF"/>
                <w:sz w:val="24"/>
                <w:szCs w:val="24"/>
              </w:rPr>
              <w:t>Percent</w:t>
            </w:r>
            <w:r w:rsidRPr="00BF74D0">
              <w:rPr>
                <w:rFonts w:eastAsia="Times New Roman" w:cs="Calibri"/>
                <w:color w:val="FFFFFF"/>
                <w:sz w:val="24"/>
                <w:szCs w:val="24"/>
              </w:rPr>
              <w:t xml:space="preserve"> </w:t>
            </w:r>
            <w:r w:rsidRPr="00BF74D0" w:rsidR="00541AF0">
              <w:rPr>
                <w:rFonts w:eastAsia="Times New Roman" w:cs="Calibri"/>
                <w:color w:val="FFFFFF"/>
                <w:sz w:val="24"/>
                <w:szCs w:val="24"/>
              </w:rPr>
              <w:t>of Delivery Rev</w:t>
            </w:r>
            <w:r w:rsidRPr="00BF74D0" w:rsidR="00F8645C">
              <w:rPr>
                <w:rFonts w:eastAsia="Times New Roman" w:cs="Calibri"/>
                <w:color w:val="FFFFFF"/>
                <w:sz w:val="24"/>
                <w:szCs w:val="24"/>
              </w:rPr>
              <w:t>enue</w:t>
            </w:r>
            <w:r w:rsidRPr="00BF74D0" w:rsidR="00541AF0">
              <w:rPr>
                <w:rFonts w:eastAsia="Times New Roman" w:cs="Calibri"/>
                <w:color w:val="FFFFFF"/>
                <w:sz w:val="24"/>
                <w:szCs w:val="24"/>
              </w:rPr>
              <w:t xml:space="preserve"> Req</w:t>
            </w:r>
            <w:r w:rsidRPr="00BF74D0" w:rsidR="00F8645C">
              <w:rPr>
                <w:rFonts w:eastAsia="Times New Roman" w:cs="Calibri"/>
                <w:color w:val="FFFFFF"/>
                <w:sz w:val="24"/>
                <w:szCs w:val="24"/>
              </w:rPr>
              <w:t>uirement</w:t>
            </w:r>
          </w:p>
        </w:tc>
      </w:tr>
      <w:tr w:rsidRPr="00BF74D0" w:rsidR="00541AF0" w:rsidTr="0B26A56E" w14:paraId="295EC2A6" w14:textId="77777777">
        <w:trPr>
          <w:trHeight w:val="300"/>
        </w:trPr>
        <w:tc>
          <w:tcPr>
            <w:tcW w:w="5305"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BF74D0" w:rsidR="00541AF0" w:rsidP="00541AF0" w:rsidRDefault="00541AF0" w14:paraId="43994F45" w14:textId="77777777">
            <w:pPr>
              <w:spacing w:line="240" w:lineRule="auto"/>
              <w:ind w:firstLine="0"/>
              <w:rPr>
                <w:rFonts w:eastAsia="Times New Roman" w:cs="Calibri"/>
                <w:color w:val="000000"/>
                <w:sz w:val="24"/>
                <w:szCs w:val="24"/>
              </w:rPr>
            </w:pPr>
            <w:r w:rsidRPr="00BF74D0">
              <w:rPr>
                <w:rFonts w:eastAsia="Times New Roman" w:cs="Calibri"/>
                <w:color w:val="000000"/>
                <w:sz w:val="24"/>
                <w:szCs w:val="24"/>
              </w:rPr>
              <w:t>Marginal Customer Access</w:t>
            </w:r>
          </w:p>
        </w:tc>
        <w:tc>
          <w:tcPr>
            <w:tcW w:w="1955" w:type="dxa"/>
            <w:tcBorders>
              <w:top w:val="nil"/>
              <w:left w:val="nil"/>
              <w:bottom w:val="single" w:color="auto" w:sz="4" w:space="0"/>
              <w:right w:val="single" w:color="auto" w:sz="4" w:space="0"/>
            </w:tcBorders>
            <w:shd w:val="clear" w:color="auto" w:fill="B4C6E7" w:themeFill="accent1" w:themeFillTint="66"/>
            <w:noWrap/>
            <w:vAlign w:val="bottom"/>
            <w:hideMark/>
          </w:tcPr>
          <w:p w:rsidRPr="00BF74D0" w:rsidR="00541AF0" w:rsidP="00541AF0" w:rsidRDefault="00541AF0" w14:paraId="6B82D9F0"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454.8</w:t>
            </w:r>
          </w:p>
        </w:tc>
        <w:tc>
          <w:tcPr>
            <w:tcW w:w="2185" w:type="dxa"/>
            <w:tcBorders>
              <w:top w:val="nil"/>
              <w:left w:val="nil"/>
              <w:bottom w:val="single" w:color="auto" w:sz="4" w:space="0"/>
              <w:right w:val="single" w:color="auto" w:sz="4" w:space="0"/>
            </w:tcBorders>
            <w:shd w:val="clear" w:color="auto" w:fill="B4C6E7" w:themeFill="accent1" w:themeFillTint="66"/>
            <w:noWrap/>
            <w:vAlign w:val="bottom"/>
            <w:hideMark/>
          </w:tcPr>
          <w:p w:rsidRPr="00BF74D0" w:rsidR="00541AF0" w:rsidP="00541AF0" w:rsidRDefault="00541AF0" w14:paraId="15EFBE28"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8.3%</w:t>
            </w:r>
          </w:p>
        </w:tc>
      </w:tr>
      <w:tr w:rsidRPr="00BF74D0" w:rsidR="00541AF0" w:rsidTr="0B26A56E" w14:paraId="6128CCBA" w14:textId="77777777">
        <w:trPr>
          <w:trHeight w:val="300"/>
        </w:trPr>
        <w:tc>
          <w:tcPr>
            <w:tcW w:w="5305" w:type="dxa"/>
            <w:tcBorders>
              <w:top w:val="nil"/>
              <w:left w:val="single" w:color="auto" w:sz="4" w:space="0"/>
              <w:bottom w:val="single" w:color="auto" w:sz="4" w:space="0"/>
              <w:right w:val="single" w:color="auto" w:sz="4" w:space="0"/>
            </w:tcBorders>
            <w:shd w:val="clear" w:color="auto" w:fill="auto"/>
            <w:noWrap/>
            <w:vAlign w:val="bottom"/>
            <w:hideMark/>
          </w:tcPr>
          <w:p w:rsidRPr="00BF74D0" w:rsidR="00541AF0" w:rsidP="00541AF0" w:rsidRDefault="239561FF" w14:paraId="335E2409" w14:textId="5078F38F">
            <w:pPr>
              <w:spacing w:line="240" w:lineRule="auto"/>
              <w:ind w:firstLine="0"/>
              <w:rPr>
                <w:rFonts w:eastAsia="Times New Roman" w:cs="Calibri"/>
                <w:color w:val="000000"/>
                <w:sz w:val="24"/>
                <w:szCs w:val="24"/>
              </w:rPr>
            </w:pPr>
            <w:r w:rsidRPr="00BF74D0">
              <w:rPr>
                <w:rFonts w:eastAsia="Times New Roman" w:cs="Calibri"/>
                <w:color w:val="000000"/>
                <w:sz w:val="24"/>
                <w:szCs w:val="24"/>
              </w:rPr>
              <w:t>Public Purpose Programs - SGIP</w:t>
            </w:r>
            <w:r w:rsidRPr="00BF74D0" w:rsidR="0000732C">
              <w:rPr>
                <w:rStyle w:val="FootnoteReference"/>
                <w:rFonts w:eastAsia="Times New Roman" w:cs="Calibri"/>
                <w:color w:val="000000"/>
                <w:sz w:val="24"/>
                <w:szCs w:val="24"/>
              </w:rPr>
              <w:footnoteReference w:id="148"/>
            </w:r>
          </w:p>
        </w:tc>
        <w:tc>
          <w:tcPr>
            <w:tcW w:w="1955" w:type="dxa"/>
            <w:tcBorders>
              <w:top w:val="nil"/>
              <w:left w:val="nil"/>
              <w:bottom w:val="single" w:color="auto" w:sz="4" w:space="0"/>
              <w:right w:val="single" w:color="auto" w:sz="4" w:space="0"/>
            </w:tcBorders>
            <w:shd w:val="clear" w:color="auto" w:fill="auto"/>
            <w:noWrap/>
            <w:vAlign w:val="bottom"/>
            <w:hideMark/>
          </w:tcPr>
          <w:p w:rsidRPr="00BF74D0" w:rsidR="00541AF0" w:rsidP="00541AF0" w:rsidRDefault="00541AF0" w14:paraId="3D993CEB"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58.9</w:t>
            </w:r>
          </w:p>
        </w:tc>
        <w:tc>
          <w:tcPr>
            <w:tcW w:w="2185" w:type="dxa"/>
            <w:tcBorders>
              <w:top w:val="nil"/>
              <w:left w:val="nil"/>
              <w:bottom w:val="single" w:color="auto" w:sz="4" w:space="0"/>
              <w:right w:val="single" w:color="auto" w:sz="4" w:space="0"/>
            </w:tcBorders>
            <w:shd w:val="clear" w:color="auto" w:fill="auto"/>
            <w:noWrap/>
            <w:vAlign w:val="bottom"/>
            <w:hideMark/>
          </w:tcPr>
          <w:p w:rsidRPr="00BF74D0" w:rsidR="00541AF0" w:rsidP="00541AF0" w:rsidRDefault="00541AF0" w14:paraId="3AC2E06F"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1.1%</w:t>
            </w:r>
          </w:p>
        </w:tc>
      </w:tr>
      <w:tr w:rsidRPr="00BF74D0" w:rsidR="00541AF0" w:rsidTr="0B26A56E" w14:paraId="181A84D9" w14:textId="77777777">
        <w:trPr>
          <w:trHeight w:val="300"/>
        </w:trPr>
        <w:tc>
          <w:tcPr>
            <w:tcW w:w="5305"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BF74D0" w:rsidR="00541AF0" w:rsidP="00541AF0" w:rsidRDefault="239561FF" w14:paraId="7542E391" w14:textId="3C7D0016">
            <w:pPr>
              <w:spacing w:line="240" w:lineRule="auto"/>
              <w:ind w:firstLine="0"/>
              <w:rPr>
                <w:rFonts w:eastAsia="Times New Roman" w:cs="Calibri"/>
                <w:color w:val="000000"/>
                <w:sz w:val="24"/>
                <w:szCs w:val="24"/>
              </w:rPr>
            </w:pPr>
            <w:r w:rsidRPr="00BF74D0">
              <w:rPr>
                <w:rFonts w:eastAsia="Times New Roman" w:cs="Calibri"/>
                <w:color w:val="000000"/>
                <w:sz w:val="24"/>
                <w:szCs w:val="24"/>
              </w:rPr>
              <w:t>Residential CARE Contribution</w:t>
            </w:r>
            <w:r w:rsidRPr="00BF74D0" w:rsidR="0000732C">
              <w:rPr>
                <w:rStyle w:val="FootnoteReference"/>
                <w:rFonts w:eastAsia="Times New Roman" w:cs="Calibri"/>
                <w:color w:val="000000"/>
                <w:sz w:val="24"/>
                <w:szCs w:val="24"/>
              </w:rPr>
              <w:footnoteReference w:id="149"/>
            </w:r>
          </w:p>
        </w:tc>
        <w:tc>
          <w:tcPr>
            <w:tcW w:w="1955" w:type="dxa"/>
            <w:tcBorders>
              <w:top w:val="nil"/>
              <w:left w:val="nil"/>
              <w:bottom w:val="single" w:color="auto" w:sz="4" w:space="0"/>
              <w:right w:val="single" w:color="auto" w:sz="4" w:space="0"/>
            </w:tcBorders>
            <w:shd w:val="clear" w:color="auto" w:fill="B4C6E7" w:themeFill="accent1" w:themeFillTint="66"/>
            <w:noWrap/>
            <w:vAlign w:val="bottom"/>
            <w:hideMark/>
          </w:tcPr>
          <w:p w:rsidRPr="00BF74D0" w:rsidR="00541AF0" w:rsidP="00541AF0" w:rsidRDefault="00541AF0" w14:paraId="22213660"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267.2</w:t>
            </w:r>
          </w:p>
        </w:tc>
        <w:tc>
          <w:tcPr>
            <w:tcW w:w="2185" w:type="dxa"/>
            <w:tcBorders>
              <w:top w:val="nil"/>
              <w:left w:val="nil"/>
              <w:bottom w:val="single" w:color="auto" w:sz="4" w:space="0"/>
              <w:right w:val="single" w:color="auto" w:sz="4" w:space="0"/>
            </w:tcBorders>
            <w:shd w:val="clear" w:color="auto" w:fill="B4C6E7" w:themeFill="accent1" w:themeFillTint="66"/>
            <w:noWrap/>
            <w:vAlign w:val="bottom"/>
            <w:hideMark/>
          </w:tcPr>
          <w:p w:rsidRPr="00BF74D0" w:rsidR="00541AF0" w:rsidP="00541AF0" w:rsidRDefault="00541AF0" w14:paraId="6F2FCEB9"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4.9%</w:t>
            </w:r>
          </w:p>
        </w:tc>
      </w:tr>
      <w:tr w:rsidRPr="00BF74D0" w:rsidR="00541AF0" w:rsidTr="0B26A56E" w14:paraId="5758A3CC" w14:textId="77777777">
        <w:trPr>
          <w:trHeight w:val="300"/>
        </w:trPr>
        <w:tc>
          <w:tcPr>
            <w:tcW w:w="5305" w:type="dxa"/>
            <w:tcBorders>
              <w:top w:val="nil"/>
              <w:left w:val="single" w:color="auto" w:sz="4" w:space="0"/>
              <w:bottom w:val="single" w:color="auto" w:sz="4" w:space="0"/>
              <w:right w:val="single" w:color="auto" w:sz="4" w:space="0"/>
            </w:tcBorders>
            <w:shd w:val="clear" w:color="auto" w:fill="auto"/>
            <w:noWrap/>
            <w:vAlign w:val="bottom"/>
            <w:hideMark/>
          </w:tcPr>
          <w:p w:rsidRPr="00BF74D0" w:rsidR="00541AF0" w:rsidP="00541AF0" w:rsidRDefault="00541AF0" w14:paraId="4C673333" w14:textId="77777777">
            <w:pPr>
              <w:spacing w:line="240" w:lineRule="auto"/>
              <w:ind w:firstLine="0"/>
              <w:rPr>
                <w:rFonts w:eastAsia="Times New Roman" w:cs="Calibri"/>
                <w:color w:val="000000"/>
                <w:sz w:val="24"/>
                <w:szCs w:val="24"/>
              </w:rPr>
            </w:pPr>
            <w:r w:rsidRPr="00BF74D0">
              <w:rPr>
                <w:rFonts w:eastAsia="Times New Roman" w:cs="Calibri"/>
                <w:color w:val="000000"/>
                <w:sz w:val="24"/>
                <w:szCs w:val="24"/>
              </w:rPr>
              <w:t>Public Purpose Programs - Not CARE Exempt</w:t>
            </w:r>
          </w:p>
        </w:tc>
        <w:tc>
          <w:tcPr>
            <w:tcW w:w="1955" w:type="dxa"/>
            <w:tcBorders>
              <w:top w:val="nil"/>
              <w:left w:val="nil"/>
              <w:bottom w:val="single" w:color="auto" w:sz="4" w:space="0"/>
              <w:right w:val="single" w:color="auto" w:sz="4" w:space="0"/>
            </w:tcBorders>
            <w:shd w:val="clear" w:color="auto" w:fill="auto"/>
            <w:noWrap/>
            <w:vAlign w:val="bottom"/>
            <w:hideMark/>
          </w:tcPr>
          <w:p w:rsidRPr="00BF74D0" w:rsidR="00541AF0" w:rsidP="00541AF0" w:rsidRDefault="00541AF0" w14:paraId="2E241879"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230.7</w:t>
            </w:r>
          </w:p>
        </w:tc>
        <w:tc>
          <w:tcPr>
            <w:tcW w:w="2185" w:type="dxa"/>
            <w:tcBorders>
              <w:top w:val="nil"/>
              <w:left w:val="nil"/>
              <w:bottom w:val="single" w:color="auto" w:sz="4" w:space="0"/>
              <w:right w:val="single" w:color="auto" w:sz="4" w:space="0"/>
            </w:tcBorders>
            <w:shd w:val="clear" w:color="auto" w:fill="auto"/>
            <w:noWrap/>
            <w:vAlign w:val="bottom"/>
            <w:hideMark/>
          </w:tcPr>
          <w:p w:rsidRPr="00BF74D0" w:rsidR="00541AF0" w:rsidP="00541AF0" w:rsidRDefault="00541AF0" w14:paraId="39CBB7D8"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4.2%</w:t>
            </w:r>
          </w:p>
        </w:tc>
      </w:tr>
      <w:tr w:rsidRPr="00BF74D0" w:rsidR="00541AF0" w:rsidTr="0B26A56E" w14:paraId="3D3B158E" w14:textId="77777777">
        <w:trPr>
          <w:trHeight w:val="300"/>
        </w:trPr>
        <w:tc>
          <w:tcPr>
            <w:tcW w:w="5305"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BF74D0" w:rsidR="00541AF0" w:rsidP="00541AF0" w:rsidRDefault="00541AF0" w14:paraId="7E90AA23" w14:textId="77777777">
            <w:pPr>
              <w:spacing w:line="240" w:lineRule="auto"/>
              <w:ind w:firstLine="0"/>
              <w:rPr>
                <w:rFonts w:eastAsia="Times New Roman" w:cs="Calibri"/>
                <w:color w:val="000000"/>
                <w:sz w:val="24"/>
                <w:szCs w:val="24"/>
              </w:rPr>
            </w:pPr>
            <w:r w:rsidRPr="00BF74D0">
              <w:rPr>
                <w:rFonts w:eastAsia="Times New Roman" w:cs="Calibri"/>
                <w:color w:val="000000"/>
                <w:sz w:val="24"/>
                <w:szCs w:val="24"/>
              </w:rPr>
              <w:t>Nuclear Decommissioning</w:t>
            </w:r>
          </w:p>
        </w:tc>
        <w:tc>
          <w:tcPr>
            <w:tcW w:w="1955" w:type="dxa"/>
            <w:tcBorders>
              <w:top w:val="nil"/>
              <w:left w:val="nil"/>
              <w:bottom w:val="single" w:color="auto" w:sz="4" w:space="0"/>
              <w:right w:val="single" w:color="auto" w:sz="4" w:space="0"/>
            </w:tcBorders>
            <w:shd w:val="clear" w:color="auto" w:fill="B4C6E7" w:themeFill="accent1" w:themeFillTint="66"/>
            <w:noWrap/>
            <w:vAlign w:val="bottom"/>
            <w:hideMark/>
          </w:tcPr>
          <w:p w:rsidRPr="00BF74D0" w:rsidR="00541AF0" w:rsidP="00541AF0" w:rsidRDefault="00541AF0" w14:paraId="0EDC098A"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37.9</w:t>
            </w:r>
          </w:p>
        </w:tc>
        <w:tc>
          <w:tcPr>
            <w:tcW w:w="2185" w:type="dxa"/>
            <w:tcBorders>
              <w:top w:val="nil"/>
              <w:left w:val="nil"/>
              <w:bottom w:val="single" w:color="auto" w:sz="4" w:space="0"/>
              <w:right w:val="single" w:color="auto" w:sz="4" w:space="0"/>
            </w:tcBorders>
            <w:shd w:val="clear" w:color="auto" w:fill="B4C6E7" w:themeFill="accent1" w:themeFillTint="66"/>
            <w:noWrap/>
            <w:vAlign w:val="bottom"/>
            <w:hideMark/>
          </w:tcPr>
          <w:p w:rsidRPr="00BF74D0" w:rsidR="00541AF0" w:rsidP="00541AF0" w:rsidRDefault="00541AF0" w14:paraId="2A669A52"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0.7%</w:t>
            </w:r>
          </w:p>
        </w:tc>
      </w:tr>
      <w:tr w:rsidRPr="00BF74D0" w:rsidR="00541AF0" w:rsidTr="0B26A56E" w14:paraId="7943E6C4" w14:textId="77777777">
        <w:trPr>
          <w:trHeight w:val="300"/>
        </w:trPr>
        <w:tc>
          <w:tcPr>
            <w:tcW w:w="5305" w:type="dxa"/>
            <w:tcBorders>
              <w:top w:val="nil"/>
              <w:left w:val="single" w:color="auto" w:sz="4" w:space="0"/>
              <w:bottom w:val="single" w:color="auto" w:sz="4" w:space="0"/>
              <w:right w:val="single" w:color="auto" w:sz="4" w:space="0"/>
            </w:tcBorders>
            <w:shd w:val="clear" w:color="auto" w:fill="auto"/>
            <w:noWrap/>
            <w:vAlign w:val="bottom"/>
            <w:hideMark/>
          </w:tcPr>
          <w:p w:rsidRPr="00BF74D0" w:rsidR="00541AF0" w:rsidP="00541AF0" w:rsidRDefault="00541AF0" w14:paraId="1EB6B34B" w14:textId="77777777">
            <w:pPr>
              <w:spacing w:line="240" w:lineRule="auto"/>
              <w:ind w:firstLine="0"/>
              <w:rPr>
                <w:rFonts w:eastAsia="Times New Roman" w:cs="Calibri"/>
                <w:color w:val="000000"/>
                <w:sz w:val="24"/>
                <w:szCs w:val="24"/>
              </w:rPr>
            </w:pPr>
            <w:r w:rsidRPr="00BF74D0">
              <w:rPr>
                <w:rFonts w:eastAsia="Times New Roman" w:cs="Calibri"/>
                <w:color w:val="000000"/>
                <w:sz w:val="24"/>
                <w:szCs w:val="24"/>
              </w:rPr>
              <w:t>New System Generation Charge</w:t>
            </w:r>
          </w:p>
        </w:tc>
        <w:tc>
          <w:tcPr>
            <w:tcW w:w="1955" w:type="dxa"/>
            <w:tcBorders>
              <w:top w:val="nil"/>
              <w:left w:val="nil"/>
              <w:bottom w:val="single" w:color="auto" w:sz="4" w:space="0"/>
              <w:right w:val="single" w:color="auto" w:sz="4" w:space="0"/>
            </w:tcBorders>
            <w:shd w:val="clear" w:color="auto" w:fill="auto"/>
            <w:noWrap/>
            <w:vAlign w:val="bottom"/>
            <w:hideMark/>
          </w:tcPr>
          <w:p w:rsidRPr="00BF74D0" w:rsidR="00541AF0" w:rsidP="00541AF0" w:rsidRDefault="00541AF0" w14:paraId="6208FB64"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97.0</w:t>
            </w:r>
          </w:p>
        </w:tc>
        <w:tc>
          <w:tcPr>
            <w:tcW w:w="2185" w:type="dxa"/>
            <w:tcBorders>
              <w:top w:val="nil"/>
              <w:left w:val="nil"/>
              <w:bottom w:val="single" w:color="auto" w:sz="4" w:space="0"/>
              <w:right w:val="single" w:color="auto" w:sz="4" w:space="0"/>
            </w:tcBorders>
            <w:shd w:val="clear" w:color="auto" w:fill="auto"/>
            <w:noWrap/>
            <w:vAlign w:val="bottom"/>
            <w:hideMark/>
          </w:tcPr>
          <w:p w:rsidRPr="00BF74D0" w:rsidR="00541AF0" w:rsidP="00541AF0" w:rsidRDefault="00541AF0" w14:paraId="0DA11F8C" w14:textId="77777777">
            <w:pPr>
              <w:spacing w:line="240" w:lineRule="auto"/>
              <w:ind w:firstLine="0"/>
              <w:jc w:val="center"/>
              <w:rPr>
                <w:rFonts w:eastAsia="Times New Roman" w:cs="Calibri"/>
                <w:color w:val="000000"/>
                <w:sz w:val="24"/>
                <w:szCs w:val="24"/>
              </w:rPr>
            </w:pPr>
            <w:r w:rsidRPr="00BF74D0">
              <w:rPr>
                <w:rFonts w:eastAsia="Times New Roman" w:cs="Calibri"/>
                <w:color w:val="000000"/>
                <w:sz w:val="24"/>
                <w:szCs w:val="24"/>
              </w:rPr>
              <w:t>1.8%</w:t>
            </w:r>
          </w:p>
        </w:tc>
      </w:tr>
      <w:tr w:rsidRPr="00BF74D0" w:rsidR="00541AF0" w:rsidTr="0B26A56E" w14:paraId="2455BAC6" w14:textId="77777777">
        <w:trPr>
          <w:trHeight w:val="300"/>
        </w:trPr>
        <w:tc>
          <w:tcPr>
            <w:tcW w:w="5305"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212B6E" w:rsidR="00541AF0" w:rsidP="00541AF0" w:rsidRDefault="00541AF0" w14:paraId="3CF8F426" w14:textId="0EBE68D7">
            <w:pPr>
              <w:spacing w:line="240" w:lineRule="auto"/>
              <w:ind w:firstLine="0"/>
              <w:rPr>
                <w:rFonts w:eastAsia="Times New Roman" w:cs="Calibri"/>
                <w:b/>
                <w:color w:val="000000"/>
                <w:sz w:val="24"/>
                <w:szCs w:val="24"/>
              </w:rPr>
            </w:pPr>
            <w:r w:rsidRPr="00212B6E">
              <w:rPr>
                <w:rFonts w:eastAsia="Times New Roman" w:cs="Calibri"/>
                <w:b/>
                <w:color w:val="000000"/>
                <w:sz w:val="24"/>
                <w:szCs w:val="24"/>
              </w:rPr>
              <w:t>Average Customer Fixed C</w:t>
            </w:r>
            <w:r w:rsidR="00AC2668">
              <w:rPr>
                <w:rFonts w:eastAsia="Times New Roman" w:cs="Calibri"/>
                <w:b/>
                <w:color w:val="000000"/>
                <w:sz w:val="24"/>
                <w:szCs w:val="24"/>
              </w:rPr>
              <w:t>ost</w:t>
            </w:r>
          </w:p>
        </w:tc>
        <w:tc>
          <w:tcPr>
            <w:tcW w:w="1955" w:type="dxa"/>
            <w:tcBorders>
              <w:top w:val="nil"/>
              <w:left w:val="nil"/>
              <w:bottom w:val="single" w:color="auto" w:sz="4" w:space="0"/>
              <w:right w:val="single" w:color="auto" w:sz="4" w:space="0"/>
            </w:tcBorders>
            <w:shd w:val="clear" w:color="auto" w:fill="B4C6E7" w:themeFill="accent1" w:themeFillTint="66"/>
            <w:noWrap/>
            <w:vAlign w:val="bottom"/>
            <w:hideMark/>
          </w:tcPr>
          <w:p w:rsidRPr="00212B6E" w:rsidR="00541AF0" w:rsidP="00541AF0" w:rsidRDefault="00541AF0" w14:paraId="35BB34E4" w14:textId="77777777">
            <w:pPr>
              <w:spacing w:line="240" w:lineRule="auto"/>
              <w:ind w:firstLine="0"/>
              <w:jc w:val="center"/>
              <w:rPr>
                <w:rFonts w:eastAsia="Times New Roman" w:cs="Calibri"/>
                <w:b/>
                <w:color w:val="000000"/>
                <w:sz w:val="24"/>
                <w:szCs w:val="24"/>
              </w:rPr>
            </w:pPr>
            <w:r w:rsidRPr="00212B6E">
              <w:rPr>
                <w:rFonts w:eastAsia="Times New Roman" w:cs="Calibri"/>
                <w:b/>
                <w:color w:val="000000"/>
                <w:sz w:val="24"/>
                <w:szCs w:val="24"/>
              </w:rPr>
              <w:t>1146.5</w:t>
            </w:r>
          </w:p>
        </w:tc>
        <w:tc>
          <w:tcPr>
            <w:tcW w:w="2185" w:type="dxa"/>
            <w:tcBorders>
              <w:top w:val="nil"/>
              <w:left w:val="nil"/>
              <w:bottom w:val="single" w:color="auto" w:sz="4" w:space="0"/>
              <w:right w:val="single" w:color="auto" w:sz="4" w:space="0"/>
            </w:tcBorders>
            <w:shd w:val="clear" w:color="auto" w:fill="B4C6E7" w:themeFill="accent1" w:themeFillTint="66"/>
            <w:noWrap/>
            <w:vAlign w:val="bottom"/>
            <w:hideMark/>
          </w:tcPr>
          <w:p w:rsidRPr="00212B6E" w:rsidR="00541AF0" w:rsidP="00541AF0" w:rsidRDefault="00541AF0" w14:paraId="69E8D58F" w14:textId="77777777">
            <w:pPr>
              <w:spacing w:line="240" w:lineRule="auto"/>
              <w:ind w:firstLine="0"/>
              <w:jc w:val="center"/>
              <w:rPr>
                <w:rFonts w:eastAsia="Times New Roman" w:cs="Calibri"/>
                <w:b/>
                <w:color w:val="000000"/>
                <w:sz w:val="24"/>
                <w:szCs w:val="24"/>
              </w:rPr>
            </w:pPr>
            <w:r w:rsidRPr="00212B6E">
              <w:rPr>
                <w:rFonts w:eastAsia="Times New Roman" w:cs="Calibri"/>
                <w:b/>
                <w:color w:val="000000"/>
                <w:sz w:val="24"/>
                <w:szCs w:val="24"/>
              </w:rPr>
              <w:t>20.9%</w:t>
            </w:r>
          </w:p>
        </w:tc>
      </w:tr>
    </w:tbl>
    <w:p w:rsidRPr="00480677" w:rsidR="00480677" w:rsidP="00C06C04" w:rsidRDefault="00480677" w14:paraId="2596742A" w14:textId="4559507C">
      <w:pPr>
        <w:pStyle w:val="Standard"/>
        <w:ind w:firstLine="0"/>
      </w:pPr>
    </w:p>
    <w:p w:rsidRPr="00480677" w:rsidR="001A2CE7" w:rsidP="00C06C04" w:rsidRDefault="00480677" w14:paraId="72CDB7B8" w14:textId="026BBABA">
      <w:pPr>
        <w:pStyle w:val="Standard"/>
        <w:ind w:firstLine="0"/>
      </w:pPr>
      <w:r w:rsidRPr="00480677">
        <w:rPr>
          <w:b/>
          <w:bCs/>
        </w:rPr>
        <w:t>Table 4(B): Estimated SCE Fixed Cost Revenue Requirement</w:t>
      </w:r>
    </w:p>
    <w:tbl>
      <w:tblPr>
        <w:tblW w:w="9355" w:type="dxa"/>
        <w:tblLook w:val="04A0" w:firstRow="1" w:lastRow="0" w:firstColumn="1" w:lastColumn="0" w:noHBand="0" w:noVBand="1"/>
      </w:tblPr>
      <w:tblGrid>
        <w:gridCol w:w="5420"/>
        <w:gridCol w:w="1840"/>
        <w:gridCol w:w="2095"/>
      </w:tblGrid>
      <w:tr w:rsidRPr="001A2CE7" w:rsidR="001A2CE7" w:rsidTr="0B26A56E" w14:paraId="3D764242" w14:textId="77777777">
        <w:trPr>
          <w:trHeight w:val="600"/>
        </w:trPr>
        <w:tc>
          <w:tcPr>
            <w:tcW w:w="5420" w:type="dxa"/>
            <w:tcBorders>
              <w:top w:val="single" w:color="auto" w:sz="4" w:space="0"/>
              <w:left w:val="single" w:color="auto" w:sz="4" w:space="0"/>
              <w:bottom w:val="single" w:color="auto" w:sz="4" w:space="0"/>
              <w:right w:val="single" w:color="auto" w:sz="4" w:space="0"/>
            </w:tcBorders>
            <w:shd w:val="clear" w:color="auto" w:fill="4472C4" w:themeFill="accent1"/>
            <w:noWrap/>
            <w:vAlign w:val="bottom"/>
            <w:hideMark/>
          </w:tcPr>
          <w:p w:rsidRPr="0055078F" w:rsidR="001A2CE7" w:rsidP="001A2CE7" w:rsidRDefault="001A2CE7" w14:paraId="590E141D" w14:textId="77777777">
            <w:pPr>
              <w:spacing w:line="240" w:lineRule="auto"/>
              <w:ind w:firstLine="0"/>
              <w:jc w:val="center"/>
              <w:rPr>
                <w:rFonts w:eastAsia="Times New Roman" w:cs="Calibri"/>
                <w:color w:val="FFFFFF"/>
                <w:sz w:val="24"/>
                <w:szCs w:val="24"/>
              </w:rPr>
            </w:pPr>
            <w:r w:rsidRPr="0055078F">
              <w:rPr>
                <w:rFonts w:eastAsia="Times New Roman" w:cs="Calibri"/>
                <w:color w:val="FFFFFF"/>
                <w:sz w:val="24"/>
                <w:szCs w:val="24"/>
              </w:rPr>
              <w:t>SCE Cost Category</w:t>
            </w:r>
          </w:p>
        </w:tc>
        <w:tc>
          <w:tcPr>
            <w:tcW w:w="1840" w:type="dxa"/>
            <w:tcBorders>
              <w:top w:val="single" w:color="auto" w:sz="4" w:space="0"/>
              <w:left w:val="nil"/>
              <w:bottom w:val="single" w:color="auto" w:sz="4" w:space="0"/>
              <w:right w:val="single" w:color="auto" w:sz="4" w:space="0"/>
            </w:tcBorders>
            <w:shd w:val="clear" w:color="auto" w:fill="4472C4" w:themeFill="accent1"/>
            <w:vAlign w:val="bottom"/>
            <w:hideMark/>
          </w:tcPr>
          <w:p w:rsidRPr="0055078F" w:rsidR="001A2CE7" w:rsidP="001A2CE7" w:rsidRDefault="001A2CE7" w14:paraId="0C26898F" w14:textId="3C7787A6">
            <w:pPr>
              <w:spacing w:line="240" w:lineRule="auto"/>
              <w:ind w:firstLine="0"/>
              <w:jc w:val="center"/>
              <w:rPr>
                <w:rFonts w:eastAsia="Times New Roman" w:cs="Calibri"/>
                <w:color w:val="FFFFFF"/>
                <w:sz w:val="24"/>
                <w:szCs w:val="24"/>
              </w:rPr>
            </w:pPr>
            <w:r w:rsidRPr="0055078F">
              <w:rPr>
                <w:rFonts w:eastAsia="Times New Roman" w:cs="Calibri"/>
                <w:color w:val="FFFFFF"/>
                <w:sz w:val="24"/>
                <w:szCs w:val="24"/>
              </w:rPr>
              <w:t>Revenue Requirement ($M</w:t>
            </w:r>
            <w:r w:rsidR="00EB7BE7">
              <w:rPr>
                <w:rFonts w:eastAsia="Times New Roman" w:cs="Calibri"/>
                <w:color w:val="FFFFFF"/>
                <w:sz w:val="24"/>
                <w:szCs w:val="24"/>
              </w:rPr>
              <w:t>illions</w:t>
            </w:r>
            <w:r w:rsidRPr="0055078F">
              <w:rPr>
                <w:rFonts w:eastAsia="Times New Roman" w:cs="Calibri"/>
                <w:color w:val="FFFFFF"/>
                <w:sz w:val="24"/>
                <w:szCs w:val="24"/>
              </w:rPr>
              <w:t>)</w:t>
            </w:r>
          </w:p>
        </w:tc>
        <w:tc>
          <w:tcPr>
            <w:tcW w:w="2095" w:type="dxa"/>
            <w:tcBorders>
              <w:top w:val="single" w:color="auto" w:sz="4" w:space="0"/>
              <w:left w:val="nil"/>
              <w:bottom w:val="single" w:color="auto" w:sz="4" w:space="0"/>
              <w:right w:val="single" w:color="auto" w:sz="4" w:space="0"/>
            </w:tcBorders>
            <w:shd w:val="clear" w:color="auto" w:fill="4472C4" w:themeFill="accent1"/>
            <w:vAlign w:val="bottom"/>
            <w:hideMark/>
          </w:tcPr>
          <w:p w:rsidRPr="0055078F" w:rsidR="001A2CE7" w:rsidP="001A2CE7" w:rsidRDefault="0055078F" w14:paraId="3D77F171" w14:textId="76E82B0E">
            <w:pPr>
              <w:spacing w:line="240" w:lineRule="auto"/>
              <w:ind w:firstLine="0"/>
              <w:jc w:val="center"/>
              <w:rPr>
                <w:rFonts w:eastAsia="Times New Roman" w:cs="Calibri"/>
                <w:color w:val="FFFFFF"/>
                <w:sz w:val="24"/>
                <w:szCs w:val="24"/>
              </w:rPr>
            </w:pPr>
            <w:r w:rsidRPr="0055078F">
              <w:rPr>
                <w:rFonts w:eastAsia="Times New Roman" w:cs="Calibri"/>
                <w:color w:val="FFFFFF"/>
                <w:sz w:val="24"/>
                <w:szCs w:val="24"/>
              </w:rPr>
              <w:t>% of Delivery Revenue Requirement</w:t>
            </w:r>
          </w:p>
        </w:tc>
      </w:tr>
      <w:tr w:rsidRPr="001A2CE7" w:rsidR="001A2CE7" w:rsidTr="0B26A56E" w14:paraId="30659F09" w14:textId="77777777">
        <w:trPr>
          <w:trHeight w:val="300"/>
        </w:trPr>
        <w:tc>
          <w:tcPr>
            <w:tcW w:w="5420"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7CD8BF61" w14:textId="77777777">
            <w:pPr>
              <w:spacing w:line="240" w:lineRule="auto"/>
              <w:ind w:firstLine="0"/>
              <w:rPr>
                <w:rFonts w:eastAsia="Times New Roman" w:cs="Calibri"/>
                <w:color w:val="000000"/>
                <w:sz w:val="24"/>
                <w:szCs w:val="24"/>
              </w:rPr>
            </w:pPr>
            <w:r w:rsidRPr="0055078F">
              <w:rPr>
                <w:rFonts w:eastAsia="Times New Roman" w:cs="Calibri"/>
                <w:color w:val="000000"/>
                <w:sz w:val="24"/>
                <w:szCs w:val="24"/>
              </w:rPr>
              <w:t>Marginal Customer Access</w:t>
            </w:r>
          </w:p>
        </w:tc>
        <w:tc>
          <w:tcPr>
            <w:tcW w:w="1840"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2232F18A"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427.6</w:t>
            </w:r>
          </w:p>
        </w:tc>
        <w:tc>
          <w:tcPr>
            <w:tcW w:w="2095"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1768F402"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8.5%</w:t>
            </w:r>
          </w:p>
        </w:tc>
      </w:tr>
      <w:tr w:rsidRPr="001A2CE7" w:rsidR="001A2CE7" w:rsidTr="0B26A56E" w14:paraId="3F863CB1" w14:textId="77777777">
        <w:trPr>
          <w:trHeight w:val="300"/>
        </w:trPr>
        <w:tc>
          <w:tcPr>
            <w:tcW w:w="5420" w:type="dxa"/>
            <w:tcBorders>
              <w:top w:val="nil"/>
              <w:left w:val="single" w:color="auto" w:sz="4" w:space="0"/>
              <w:bottom w:val="single" w:color="auto" w:sz="4" w:space="0"/>
              <w:right w:val="single" w:color="auto" w:sz="4" w:space="0"/>
            </w:tcBorders>
            <w:shd w:val="clear" w:color="auto" w:fill="auto"/>
            <w:noWrap/>
            <w:vAlign w:val="bottom"/>
            <w:hideMark/>
          </w:tcPr>
          <w:p w:rsidRPr="0055078F" w:rsidR="001A2CE7" w:rsidP="001A2CE7" w:rsidRDefault="001A2CE7" w14:paraId="4592D97C" w14:textId="198F7693">
            <w:pPr>
              <w:spacing w:line="240" w:lineRule="auto"/>
              <w:ind w:firstLine="0"/>
              <w:rPr>
                <w:rFonts w:eastAsia="Times New Roman" w:cs="Calibri"/>
                <w:color w:val="000000"/>
                <w:sz w:val="24"/>
                <w:szCs w:val="24"/>
              </w:rPr>
            </w:pPr>
            <w:r w:rsidRPr="0055078F">
              <w:rPr>
                <w:rFonts w:eastAsia="Times New Roman" w:cs="Calibri"/>
                <w:color w:val="000000"/>
                <w:sz w:val="24"/>
                <w:szCs w:val="24"/>
              </w:rPr>
              <w:t>Public Purpose Programs - SGIP</w:t>
            </w:r>
          </w:p>
        </w:tc>
        <w:tc>
          <w:tcPr>
            <w:tcW w:w="1840" w:type="dxa"/>
            <w:tcBorders>
              <w:top w:val="nil"/>
              <w:left w:val="nil"/>
              <w:bottom w:val="single" w:color="auto" w:sz="4" w:space="0"/>
              <w:right w:val="single" w:color="auto" w:sz="4" w:space="0"/>
            </w:tcBorders>
            <w:shd w:val="clear" w:color="auto" w:fill="auto"/>
            <w:noWrap/>
            <w:vAlign w:val="bottom"/>
            <w:hideMark/>
          </w:tcPr>
          <w:p w:rsidRPr="0055078F" w:rsidR="001A2CE7" w:rsidP="001A2CE7" w:rsidRDefault="001A2CE7" w14:paraId="2DAE533F"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23.6</w:t>
            </w:r>
          </w:p>
        </w:tc>
        <w:tc>
          <w:tcPr>
            <w:tcW w:w="2095" w:type="dxa"/>
            <w:tcBorders>
              <w:top w:val="nil"/>
              <w:left w:val="nil"/>
              <w:bottom w:val="single" w:color="auto" w:sz="4" w:space="0"/>
              <w:right w:val="single" w:color="auto" w:sz="4" w:space="0"/>
            </w:tcBorders>
            <w:shd w:val="clear" w:color="auto" w:fill="auto"/>
            <w:noWrap/>
            <w:vAlign w:val="bottom"/>
            <w:hideMark/>
          </w:tcPr>
          <w:p w:rsidRPr="0055078F" w:rsidR="001A2CE7" w:rsidP="001A2CE7" w:rsidRDefault="001A2CE7" w14:paraId="13BC72A1"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0.5%</w:t>
            </w:r>
          </w:p>
        </w:tc>
      </w:tr>
      <w:tr w:rsidRPr="001A2CE7" w:rsidR="001A2CE7" w:rsidTr="0B26A56E" w14:paraId="718CF913" w14:textId="77777777">
        <w:trPr>
          <w:trHeight w:val="300"/>
        </w:trPr>
        <w:tc>
          <w:tcPr>
            <w:tcW w:w="5420"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55078F" w:rsidR="001A2CE7" w:rsidP="001A2CE7" w:rsidRDefault="1BEABD6F" w14:paraId="1BD3209A" w14:textId="4F21CDF3">
            <w:pPr>
              <w:spacing w:line="240" w:lineRule="auto"/>
              <w:ind w:firstLine="0"/>
              <w:rPr>
                <w:rFonts w:eastAsia="Times New Roman" w:cs="Calibri"/>
                <w:color w:val="000000"/>
                <w:sz w:val="24"/>
                <w:szCs w:val="24"/>
              </w:rPr>
            </w:pPr>
            <w:r w:rsidRPr="0055078F">
              <w:rPr>
                <w:rFonts w:eastAsia="Times New Roman" w:cs="Calibri"/>
                <w:color w:val="000000"/>
                <w:sz w:val="24"/>
                <w:szCs w:val="24"/>
              </w:rPr>
              <w:t>Residential CARE Contribution</w:t>
            </w:r>
            <w:r w:rsidRPr="0055078F" w:rsidR="0055078F">
              <w:rPr>
                <w:rFonts w:eastAsia="Times New Roman" w:cs="Calibri"/>
                <w:color w:val="000000"/>
                <w:sz w:val="24"/>
                <w:szCs w:val="24"/>
                <w:vertAlign w:val="superscript"/>
              </w:rPr>
              <w:footnoteReference w:id="150"/>
            </w:r>
          </w:p>
        </w:tc>
        <w:tc>
          <w:tcPr>
            <w:tcW w:w="1840"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0D9686AB"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191.4</w:t>
            </w:r>
          </w:p>
        </w:tc>
        <w:tc>
          <w:tcPr>
            <w:tcW w:w="2095"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62B915FA"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3.8%</w:t>
            </w:r>
          </w:p>
        </w:tc>
      </w:tr>
      <w:tr w:rsidRPr="001A2CE7" w:rsidR="001A2CE7" w:rsidTr="0B26A56E" w14:paraId="69BA4C17" w14:textId="77777777">
        <w:trPr>
          <w:trHeight w:val="300"/>
        </w:trPr>
        <w:tc>
          <w:tcPr>
            <w:tcW w:w="5420" w:type="dxa"/>
            <w:tcBorders>
              <w:top w:val="nil"/>
              <w:left w:val="single" w:color="auto" w:sz="4" w:space="0"/>
              <w:bottom w:val="single" w:color="auto" w:sz="4" w:space="0"/>
              <w:right w:val="single" w:color="auto" w:sz="4" w:space="0"/>
            </w:tcBorders>
            <w:shd w:val="clear" w:color="auto" w:fill="auto"/>
            <w:noWrap/>
            <w:vAlign w:val="bottom"/>
            <w:hideMark/>
          </w:tcPr>
          <w:p w:rsidRPr="0055078F" w:rsidR="001A2CE7" w:rsidP="001A2CE7" w:rsidRDefault="001A2CE7" w14:paraId="483C4543" w14:textId="77777777">
            <w:pPr>
              <w:spacing w:line="240" w:lineRule="auto"/>
              <w:ind w:firstLine="0"/>
              <w:rPr>
                <w:rFonts w:eastAsia="Times New Roman" w:cs="Calibri"/>
                <w:color w:val="000000"/>
                <w:sz w:val="24"/>
                <w:szCs w:val="24"/>
              </w:rPr>
            </w:pPr>
            <w:r w:rsidRPr="0055078F">
              <w:rPr>
                <w:rFonts w:eastAsia="Times New Roman" w:cs="Calibri"/>
                <w:color w:val="000000"/>
                <w:sz w:val="24"/>
                <w:szCs w:val="24"/>
              </w:rPr>
              <w:t>Public Purpose Programs - Not CARE Exempt</w:t>
            </w:r>
          </w:p>
        </w:tc>
        <w:tc>
          <w:tcPr>
            <w:tcW w:w="1840" w:type="dxa"/>
            <w:tcBorders>
              <w:top w:val="nil"/>
              <w:left w:val="nil"/>
              <w:bottom w:val="single" w:color="auto" w:sz="4" w:space="0"/>
              <w:right w:val="single" w:color="auto" w:sz="4" w:space="0"/>
            </w:tcBorders>
            <w:shd w:val="clear" w:color="auto" w:fill="auto"/>
            <w:noWrap/>
            <w:vAlign w:val="bottom"/>
            <w:hideMark/>
          </w:tcPr>
          <w:p w:rsidRPr="0055078F" w:rsidR="001A2CE7" w:rsidP="001A2CE7" w:rsidRDefault="001A2CE7" w14:paraId="4B3A02D1"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313.3</w:t>
            </w:r>
          </w:p>
        </w:tc>
        <w:tc>
          <w:tcPr>
            <w:tcW w:w="2095" w:type="dxa"/>
            <w:tcBorders>
              <w:top w:val="nil"/>
              <w:left w:val="nil"/>
              <w:bottom w:val="single" w:color="auto" w:sz="4" w:space="0"/>
              <w:right w:val="single" w:color="auto" w:sz="4" w:space="0"/>
            </w:tcBorders>
            <w:shd w:val="clear" w:color="auto" w:fill="auto"/>
            <w:noWrap/>
            <w:vAlign w:val="bottom"/>
            <w:hideMark/>
          </w:tcPr>
          <w:p w:rsidRPr="0055078F" w:rsidR="001A2CE7" w:rsidP="001A2CE7" w:rsidRDefault="001A2CE7" w14:paraId="0B8ADFD9"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6.2%</w:t>
            </w:r>
          </w:p>
        </w:tc>
      </w:tr>
      <w:tr w:rsidRPr="001A2CE7" w:rsidR="001A2CE7" w:rsidTr="0B26A56E" w14:paraId="2557F5DA" w14:textId="77777777">
        <w:trPr>
          <w:trHeight w:val="300"/>
        </w:trPr>
        <w:tc>
          <w:tcPr>
            <w:tcW w:w="5420"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2B05FA67" w14:textId="77777777">
            <w:pPr>
              <w:spacing w:line="240" w:lineRule="auto"/>
              <w:ind w:firstLine="0"/>
              <w:rPr>
                <w:rFonts w:eastAsia="Times New Roman" w:cs="Calibri"/>
                <w:color w:val="000000"/>
                <w:sz w:val="24"/>
                <w:szCs w:val="24"/>
              </w:rPr>
            </w:pPr>
            <w:r w:rsidRPr="0055078F">
              <w:rPr>
                <w:rFonts w:eastAsia="Times New Roman" w:cs="Calibri"/>
                <w:color w:val="000000"/>
                <w:sz w:val="24"/>
                <w:szCs w:val="24"/>
              </w:rPr>
              <w:t>Nuclear Decommissioning</w:t>
            </w:r>
          </w:p>
        </w:tc>
        <w:tc>
          <w:tcPr>
            <w:tcW w:w="1840"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1F641869"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2.4</w:t>
            </w:r>
          </w:p>
        </w:tc>
        <w:tc>
          <w:tcPr>
            <w:tcW w:w="2095"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5E094990"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0.0%</w:t>
            </w:r>
          </w:p>
        </w:tc>
      </w:tr>
      <w:tr w:rsidRPr="001A2CE7" w:rsidR="001A2CE7" w:rsidTr="0B26A56E" w14:paraId="0EF4CBD3" w14:textId="77777777">
        <w:trPr>
          <w:trHeight w:val="300"/>
        </w:trPr>
        <w:tc>
          <w:tcPr>
            <w:tcW w:w="5420" w:type="dxa"/>
            <w:tcBorders>
              <w:top w:val="nil"/>
              <w:left w:val="single" w:color="auto" w:sz="4" w:space="0"/>
              <w:bottom w:val="single" w:color="auto" w:sz="4" w:space="0"/>
              <w:right w:val="single" w:color="auto" w:sz="4" w:space="0"/>
            </w:tcBorders>
            <w:shd w:val="clear" w:color="auto" w:fill="auto"/>
            <w:noWrap/>
            <w:vAlign w:val="bottom"/>
            <w:hideMark/>
          </w:tcPr>
          <w:p w:rsidRPr="0055078F" w:rsidR="001A2CE7" w:rsidP="001A2CE7" w:rsidRDefault="001A2CE7" w14:paraId="3A7F6C2F" w14:textId="77777777">
            <w:pPr>
              <w:spacing w:line="240" w:lineRule="auto"/>
              <w:ind w:firstLine="0"/>
              <w:rPr>
                <w:rFonts w:eastAsia="Times New Roman" w:cs="Calibri"/>
                <w:color w:val="000000"/>
                <w:sz w:val="24"/>
                <w:szCs w:val="24"/>
              </w:rPr>
            </w:pPr>
            <w:r w:rsidRPr="0055078F">
              <w:rPr>
                <w:rFonts w:eastAsia="Times New Roman" w:cs="Calibri"/>
                <w:color w:val="000000"/>
                <w:sz w:val="24"/>
                <w:szCs w:val="24"/>
              </w:rPr>
              <w:t>New System Generation Charge</w:t>
            </w:r>
          </w:p>
        </w:tc>
        <w:tc>
          <w:tcPr>
            <w:tcW w:w="1840" w:type="dxa"/>
            <w:tcBorders>
              <w:top w:val="nil"/>
              <w:left w:val="nil"/>
              <w:bottom w:val="single" w:color="auto" w:sz="4" w:space="0"/>
              <w:right w:val="single" w:color="auto" w:sz="4" w:space="0"/>
            </w:tcBorders>
            <w:shd w:val="clear" w:color="auto" w:fill="auto"/>
            <w:noWrap/>
            <w:vAlign w:val="bottom"/>
            <w:hideMark/>
          </w:tcPr>
          <w:p w:rsidRPr="0055078F" w:rsidR="001A2CE7" w:rsidP="001A2CE7" w:rsidRDefault="001A2CE7" w14:paraId="4566258F"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149.0</w:t>
            </w:r>
          </w:p>
        </w:tc>
        <w:tc>
          <w:tcPr>
            <w:tcW w:w="2095" w:type="dxa"/>
            <w:tcBorders>
              <w:top w:val="nil"/>
              <w:left w:val="nil"/>
              <w:bottom w:val="single" w:color="auto" w:sz="4" w:space="0"/>
              <w:right w:val="single" w:color="auto" w:sz="4" w:space="0"/>
            </w:tcBorders>
            <w:shd w:val="clear" w:color="auto" w:fill="auto"/>
            <w:noWrap/>
            <w:vAlign w:val="bottom"/>
            <w:hideMark/>
          </w:tcPr>
          <w:p w:rsidRPr="0055078F" w:rsidR="001A2CE7" w:rsidP="001A2CE7" w:rsidRDefault="001A2CE7" w14:paraId="7ABBBAA8"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3.0%</w:t>
            </w:r>
          </w:p>
        </w:tc>
      </w:tr>
      <w:tr w:rsidRPr="001A2CE7" w:rsidR="001A2CE7" w:rsidTr="0B26A56E" w14:paraId="516F38F3" w14:textId="77777777">
        <w:trPr>
          <w:trHeight w:val="300"/>
        </w:trPr>
        <w:tc>
          <w:tcPr>
            <w:tcW w:w="5420"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603C1CD1" w14:textId="6066E028">
            <w:pPr>
              <w:spacing w:line="240" w:lineRule="auto"/>
              <w:ind w:firstLine="0"/>
              <w:rPr>
                <w:rFonts w:eastAsia="Times New Roman" w:cs="Calibri"/>
                <w:b/>
                <w:bCs/>
                <w:color w:val="000000"/>
                <w:sz w:val="24"/>
                <w:szCs w:val="24"/>
              </w:rPr>
            </w:pPr>
            <w:r w:rsidRPr="0055078F">
              <w:rPr>
                <w:rFonts w:eastAsia="Times New Roman" w:cs="Calibri"/>
                <w:b/>
                <w:bCs/>
                <w:color w:val="000000"/>
                <w:sz w:val="24"/>
                <w:szCs w:val="24"/>
              </w:rPr>
              <w:t xml:space="preserve">Average Customer Fixed </w:t>
            </w:r>
            <w:r w:rsidR="00AC2668">
              <w:rPr>
                <w:rFonts w:eastAsia="Times New Roman" w:cs="Calibri"/>
                <w:b/>
                <w:bCs/>
                <w:color w:val="000000"/>
                <w:sz w:val="24"/>
                <w:szCs w:val="24"/>
              </w:rPr>
              <w:t>Cost</w:t>
            </w:r>
          </w:p>
        </w:tc>
        <w:tc>
          <w:tcPr>
            <w:tcW w:w="1840"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7D2A5C7B" w14:textId="77777777">
            <w:pPr>
              <w:spacing w:line="240" w:lineRule="auto"/>
              <w:ind w:firstLine="0"/>
              <w:jc w:val="center"/>
              <w:rPr>
                <w:rFonts w:eastAsia="Times New Roman" w:cs="Calibri"/>
                <w:b/>
                <w:bCs/>
                <w:color w:val="000000"/>
                <w:sz w:val="24"/>
                <w:szCs w:val="24"/>
              </w:rPr>
            </w:pPr>
            <w:r w:rsidRPr="0055078F">
              <w:rPr>
                <w:rFonts w:eastAsia="Times New Roman" w:cs="Calibri"/>
                <w:b/>
                <w:bCs/>
                <w:color w:val="000000"/>
                <w:sz w:val="24"/>
                <w:szCs w:val="24"/>
              </w:rPr>
              <w:t>1107.2</w:t>
            </w:r>
          </w:p>
        </w:tc>
        <w:tc>
          <w:tcPr>
            <w:tcW w:w="2095"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1A2CE7" w:rsidP="001A2CE7" w:rsidRDefault="001A2CE7" w14:paraId="5D2AE3BA" w14:textId="77777777">
            <w:pPr>
              <w:spacing w:line="240" w:lineRule="auto"/>
              <w:ind w:firstLine="0"/>
              <w:jc w:val="center"/>
              <w:rPr>
                <w:rFonts w:eastAsia="Times New Roman" w:cs="Calibri"/>
                <w:b/>
                <w:bCs/>
                <w:color w:val="000000"/>
                <w:sz w:val="24"/>
                <w:szCs w:val="24"/>
              </w:rPr>
            </w:pPr>
            <w:r w:rsidRPr="0055078F">
              <w:rPr>
                <w:rFonts w:eastAsia="Times New Roman" w:cs="Calibri"/>
                <w:b/>
                <w:bCs/>
                <w:color w:val="000000"/>
                <w:sz w:val="24"/>
                <w:szCs w:val="24"/>
              </w:rPr>
              <w:t>22.0%</w:t>
            </w:r>
          </w:p>
        </w:tc>
      </w:tr>
    </w:tbl>
    <w:p w:rsidR="0008492E" w:rsidP="00C06C04" w:rsidRDefault="0008492E" w14:paraId="71BB7A38" w14:textId="77777777">
      <w:pPr>
        <w:pStyle w:val="Standard"/>
        <w:ind w:firstLine="0"/>
        <w:rPr>
          <w:b/>
          <w:bCs/>
        </w:rPr>
      </w:pPr>
    </w:p>
    <w:p w:rsidR="00C012E0" w:rsidP="00C06C04" w:rsidRDefault="00480677" w14:paraId="2B7B9033" w14:textId="65546534">
      <w:pPr>
        <w:pStyle w:val="Standard"/>
        <w:ind w:firstLine="0"/>
      </w:pPr>
      <w:r w:rsidRPr="00480677">
        <w:rPr>
          <w:b/>
          <w:bCs/>
        </w:rPr>
        <w:t>Table 4(C): Estimated SDG&amp;E Fixed Cost Revenue Requirement</w:t>
      </w:r>
    </w:p>
    <w:tbl>
      <w:tblPr>
        <w:tblW w:w="9265" w:type="dxa"/>
        <w:tblLook w:val="04A0" w:firstRow="1" w:lastRow="0" w:firstColumn="1" w:lastColumn="0" w:noHBand="0" w:noVBand="1"/>
      </w:tblPr>
      <w:tblGrid>
        <w:gridCol w:w="5420"/>
        <w:gridCol w:w="1840"/>
        <w:gridCol w:w="2005"/>
      </w:tblGrid>
      <w:tr w:rsidRPr="00C012E0" w:rsidR="00C012E0" w:rsidTr="0B26A56E" w14:paraId="6BDA47B1" w14:textId="77777777">
        <w:trPr>
          <w:trHeight w:val="600"/>
        </w:trPr>
        <w:tc>
          <w:tcPr>
            <w:tcW w:w="5420" w:type="dxa"/>
            <w:tcBorders>
              <w:top w:val="single" w:color="auto" w:sz="4" w:space="0"/>
              <w:left w:val="single" w:color="auto" w:sz="4" w:space="0"/>
              <w:bottom w:val="single" w:color="auto" w:sz="4" w:space="0"/>
              <w:right w:val="single" w:color="auto" w:sz="4" w:space="0"/>
            </w:tcBorders>
            <w:shd w:val="clear" w:color="auto" w:fill="4472C4" w:themeFill="accent1"/>
            <w:noWrap/>
            <w:vAlign w:val="bottom"/>
            <w:hideMark/>
          </w:tcPr>
          <w:p w:rsidRPr="0055078F" w:rsidR="00C012E0" w:rsidP="00C012E0" w:rsidRDefault="00C012E0" w14:paraId="3E57CFF1" w14:textId="77777777">
            <w:pPr>
              <w:spacing w:line="240" w:lineRule="auto"/>
              <w:ind w:firstLine="0"/>
              <w:jc w:val="center"/>
              <w:rPr>
                <w:rFonts w:eastAsia="Times New Roman" w:cs="Calibri"/>
                <w:color w:val="FFFFFF"/>
                <w:sz w:val="24"/>
                <w:szCs w:val="24"/>
              </w:rPr>
            </w:pPr>
            <w:r w:rsidRPr="0055078F">
              <w:rPr>
                <w:rFonts w:eastAsia="Times New Roman" w:cs="Calibri"/>
                <w:color w:val="FFFFFF"/>
                <w:sz w:val="24"/>
                <w:szCs w:val="24"/>
              </w:rPr>
              <w:t>SDG&amp;E Cost Category</w:t>
            </w:r>
          </w:p>
        </w:tc>
        <w:tc>
          <w:tcPr>
            <w:tcW w:w="1840" w:type="dxa"/>
            <w:tcBorders>
              <w:top w:val="single" w:color="auto" w:sz="4" w:space="0"/>
              <w:left w:val="nil"/>
              <w:bottom w:val="single" w:color="auto" w:sz="4" w:space="0"/>
              <w:right w:val="single" w:color="auto" w:sz="4" w:space="0"/>
            </w:tcBorders>
            <w:shd w:val="clear" w:color="auto" w:fill="4472C4" w:themeFill="accent1"/>
            <w:vAlign w:val="bottom"/>
            <w:hideMark/>
          </w:tcPr>
          <w:p w:rsidRPr="0055078F" w:rsidR="00C012E0" w:rsidP="00C012E0" w:rsidRDefault="00C012E0" w14:paraId="49D11B1B" w14:textId="6771337D">
            <w:pPr>
              <w:spacing w:line="240" w:lineRule="auto"/>
              <w:ind w:firstLine="0"/>
              <w:jc w:val="center"/>
              <w:rPr>
                <w:rFonts w:eastAsia="Times New Roman" w:cs="Calibri"/>
                <w:color w:val="FFFFFF"/>
                <w:sz w:val="24"/>
                <w:szCs w:val="24"/>
              </w:rPr>
            </w:pPr>
            <w:r w:rsidRPr="0055078F">
              <w:rPr>
                <w:rFonts w:eastAsia="Times New Roman" w:cs="Calibri"/>
                <w:color w:val="FFFFFF"/>
                <w:sz w:val="24"/>
                <w:szCs w:val="24"/>
              </w:rPr>
              <w:t>Revenue Requirement ($M</w:t>
            </w:r>
            <w:r w:rsidR="00EB7BE7">
              <w:rPr>
                <w:rFonts w:eastAsia="Times New Roman" w:cs="Calibri"/>
                <w:color w:val="FFFFFF"/>
                <w:sz w:val="24"/>
                <w:szCs w:val="24"/>
              </w:rPr>
              <w:t>illions</w:t>
            </w:r>
            <w:r w:rsidRPr="0055078F">
              <w:rPr>
                <w:rFonts w:eastAsia="Times New Roman" w:cs="Calibri"/>
                <w:color w:val="FFFFFF"/>
                <w:sz w:val="24"/>
                <w:szCs w:val="24"/>
              </w:rPr>
              <w:t>)</w:t>
            </w:r>
          </w:p>
        </w:tc>
        <w:tc>
          <w:tcPr>
            <w:tcW w:w="2005" w:type="dxa"/>
            <w:tcBorders>
              <w:top w:val="single" w:color="auto" w:sz="4" w:space="0"/>
              <w:left w:val="nil"/>
              <w:bottom w:val="single" w:color="auto" w:sz="4" w:space="0"/>
              <w:right w:val="single" w:color="auto" w:sz="4" w:space="0"/>
            </w:tcBorders>
            <w:shd w:val="clear" w:color="auto" w:fill="4472C4" w:themeFill="accent1"/>
            <w:vAlign w:val="bottom"/>
            <w:hideMark/>
          </w:tcPr>
          <w:p w:rsidRPr="0055078F" w:rsidR="00C012E0" w:rsidP="00C012E0" w:rsidRDefault="0055078F" w14:paraId="7609AA61" w14:textId="4E3D1E34">
            <w:pPr>
              <w:spacing w:line="240" w:lineRule="auto"/>
              <w:ind w:firstLine="0"/>
              <w:jc w:val="center"/>
              <w:rPr>
                <w:rFonts w:eastAsia="Times New Roman" w:cs="Calibri"/>
                <w:color w:val="FFFFFF"/>
                <w:sz w:val="24"/>
                <w:szCs w:val="24"/>
              </w:rPr>
            </w:pPr>
            <w:r w:rsidRPr="0055078F">
              <w:rPr>
                <w:rFonts w:eastAsia="Times New Roman" w:cs="Calibri"/>
                <w:color w:val="FFFFFF"/>
                <w:sz w:val="24"/>
                <w:szCs w:val="24"/>
              </w:rPr>
              <w:t>% of Delivery Revenue Requirement</w:t>
            </w:r>
          </w:p>
        </w:tc>
      </w:tr>
      <w:tr w:rsidRPr="00C012E0" w:rsidR="00C012E0" w:rsidTr="0B26A56E" w14:paraId="66AF0698" w14:textId="77777777">
        <w:trPr>
          <w:trHeight w:val="300"/>
        </w:trPr>
        <w:tc>
          <w:tcPr>
            <w:tcW w:w="5420"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55078F" w:rsidR="00C012E0" w:rsidP="00C012E0" w:rsidRDefault="00C012E0" w14:paraId="2FFD4644" w14:textId="77777777">
            <w:pPr>
              <w:spacing w:line="240" w:lineRule="auto"/>
              <w:ind w:firstLine="0"/>
              <w:rPr>
                <w:rFonts w:eastAsia="Times New Roman" w:cs="Calibri"/>
                <w:color w:val="000000"/>
                <w:sz w:val="24"/>
                <w:szCs w:val="24"/>
              </w:rPr>
            </w:pPr>
            <w:r w:rsidRPr="0055078F">
              <w:rPr>
                <w:rFonts w:eastAsia="Times New Roman" w:cs="Calibri"/>
                <w:color w:val="000000"/>
                <w:sz w:val="24"/>
                <w:szCs w:val="24"/>
              </w:rPr>
              <w:t>Marginal Customer Access</w:t>
            </w:r>
          </w:p>
        </w:tc>
        <w:tc>
          <w:tcPr>
            <w:tcW w:w="1840"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C012E0" w:rsidP="00C012E0" w:rsidRDefault="00C012E0" w14:paraId="227D6703"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183.0</w:t>
            </w:r>
          </w:p>
        </w:tc>
        <w:tc>
          <w:tcPr>
            <w:tcW w:w="2005"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C012E0" w:rsidP="00C012E0" w:rsidRDefault="00C012E0" w14:paraId="3FE59C6E"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11.5%</w:t>
            </w:r>
          </w:p>
        </w:tc>
      </w:tr>
      <w:tr w:rsidRPr="00C012E0" w:rsidR="00F649FA" w:rsidTr="0B26A56E" w14:paraId="5F4419AD" w14:textId="77777777">
        <w:trPr>
          <w:trHeight w:val="300"/>
        </w:trPr>
        <w:tc>
          <w:tcPr>
            <w:tcW w:w="5420" w:type="dxa"/>
            <w:tcBorders>
              <w:top w:val="nil"/>
              <w:left w:val="single" w:color="auto" w:sz="4" w:space="0"/>
              <w:bottom w:val="single" w:color="auto" w:sz="4" w:space="0"/>
              <w:right w:val="single" w:color="auto" w:sz="4" w:space="0"/>
            </w:tcBorders>
            <w:shd w:val="clear" w:color="auto" w:fill="auto"/>
            <w:noWrap/>
            <w:vAlign w:val="bottom"/>
            <w:hideMark/>
          </w:tcPr>
          <w:p w:rsidRPr="0055078F" w:rsidR="00F649FA" w:rsidP="00F649FA" w:rsidRDefault="00F649FA" w14:paraId="639CDEDE" w14:textId="05EDDB28">
            <w:pPr>
              <w:spacing w:line="240" w:lineRule="auto"/>
              <w:ind w:firstLine="0"/>
              <w:rPr>
                <w:rFonts w:eastAsia="Times New Roman" w:cs="Calibri"/>
                <w:color w:val="000000"/>
                <w:sz w:val="24"/>
                <w:szCs w:val="24"/>
              </w:rPr>
            </w:pPr>
            <w:r w:rsidRPr="00BF74D0">
              <w:rPr>
                <w:rFonts w:eastAsia="Times New Roman" w:cs="Calibri"/>
                <w:color w:val="000000"/>
                <w:sz w:val="24"/>
                <w:szCs w:val="24"/>
              </w:rPr>
              <w:t>Public Purpose Programs - SGIP</w:t>
            </w:r>
          </w:p>
        </w:tc>
        <w:tc>
          <w:tcPr>
            <w:tcW w:w="1840" w:type="dxa"/>
            <w:tcBorders>
              <w:top w:val="nil"/>
              <w:left w:val="nil"/>
              <w:bottom w:val="single" w:color="auto" w:sz="4" w:space="0"/>
              <w:right w:val="single" w:color="auto" w:sz="4" w:space="0"/>
            </w:tcBorders>
            <w:shd w:val="clear" w:color="auto" w:fill="auto"/>
            <w:noWrap/>
            <w:vAlign w:val="bottom"/>
            <w:hideMark/>
          </w:tcPr>
          <w:p w:rsidRPr="0055078F" w:rsidR="00F649FA" w:rsidP="00F649FA" w:rsidRDefault="00F649FA" w14:paraId="141EC8D6"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8.8</w:t>
            </w:r>
          </w:p>
        </w:tc>
        <w:tc>
          <w:tcPr>
            <w:tcW w:w="2005" w:type="dxa"/>
            <w:tcBorders>
              <w:top w:val="nil"/>
              <w:left w:val="nil"/>
              <w:bottom w:val="single" w:color="auto" w:sz="4" w:space="0"/>
              <w:right w:val="single" w:color="auto" w:sz="4" w:space="0"/>
            </w:tcBorders>
            <w:shd w:val="clear" w:color="auto" w:fill="auto"/>
            <w:noWrap/>
            <w:vAlign w:val="bottom"/>
            <w:hideMark/>
          </w:tcPr>
          <w:p w:rsidRPr="0055078F" w:rsidR="00F649FA" w:rsidP="00F649FA" w:rsidRDefault="00F649FA" w14:paraId="7C0B7994"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0.5%</w:t>
            </w:r>
          </w:p>
        </w:tc>
      </w:tr>
      <w:tr w:rsidRPr="00C012E0" w:rsidR="00F649FA" w:rsidTr="0B26A56E" w14:paraId="396AA1B1" w14:textId="77777777">
        <w:trPr>
          <w:trHeight w:val="300"/>
        </w:trPr>
        <w:tc>
          <w:tcPr>
            <w:tcW w:w="5420"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55078F" w:rsidR="00F649FA" w:rsidP="00F649FA" w:rsidRDefault="104624D5" w14:paraId="5299E5E0" w14:textId="74A4ECEA">
            <w:pPr>
              <w:spacing w:line="240" w:lineRule="auto"/>
              <w:ind w:firstLine="0"/>
              <w:rPr>
                <w:rFonts w:eastAsia="Times New Roman" w:cs="Calibri"/>
                <w:color w:val="000000"/>
                <w:sz w:val="24"/>
                <w:szCs w:val="24"/>
              </w:rPr>
            </w:pPr>
            <w:r w:rsidRPr="00BF74D0">
              <w:rPr>
                <w:rFonts w:eastAsia="Times New Roman" w:cs="Calibri"/>
                <w:color w:val="000000"/>
                <w:sz w:val="24"/>
                <w:szCs w:val="24"/>
              </w:rPr>
              <w:lastRenderedPageBreak/>
              <w:t>Residential CARE Contribution</w:t>
            </w:r>
            <w:r w:rsidRPr="00BF74D0" w:rsidR="00F649FA">
              <w:rPr>
                <w:rStyle w:val="FootnoteReference"/>
                <w:rFonts w:eastAsia="Times New Roman" w:cs="Calibri"/>
                <w:color w:val="000000"/>
                <w:sz w:val="24"/>
                <w:szCs w:val="24"/>
              </w:rPr>
              <w:footnoteReference w:id="151"/>
            </w:r>
          </w:p>
        </w:tc>
        <w:tc>
          <w:tcPr>
            <w:tcW w:w="1840"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F649FA" w:rsidP="00F649FA" w:rsidRDefault="00F649FA" w14:paraId="7514AF05"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77.4</w:t>
            </w:r>
          </w:p>
        </w:tc>
        <w:tc>
          <w:tcPr>
            <w:tcW w:w="2005"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F649FA" w:rsidP="00F649FA" w:rsidRDefault="00F649FA" w14:paraId="358B3B31"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4.8%</w:t>
            </w:r>
          </w:p>
        </w:tc>
      </w:tr>
      <w:tr w:rsidRPr="00C012E0" w:rsidR="00C012E0" w:rsidTr="0B26A56E" w14:paraId="0A4F37C2" w14:textId="77777777">
        <w:trPr>
          <w:trHeight w:val="300"/>
        </w:trPr>
        <w:tc>
          <w:tcPr>
            <w:tcW w:w="5420" w:type="dxa"/>
            <w:tcBorders>
              <w:top w:val="nil"/>
              <w:left w:val="single" w:color="auto" w:sz="4" w:space="0"/>
              <w:bottom w:val="single" w:color="auto" w:sz="4" w:space="0"/>
              <w:right w:val="single" w:color="auto" w:sz="4" w:space="0"/>
            </w:tcBorders>
            <w:shd w:val="clear" w:color="auto" w:fill="auto"/>
            <w:noWrap/>
            <w:vAlign w:val="bottom"/>
            <w:hideMark/>
          </w:tcPr>
          <w:p w:rsidRPr="0055078F" w:rsidR="00C012E0" w:rsidP="00C012E0" w:rsidRDefault="00C012E0" w14:paraId="4AC9C370" w14:textId="77777777">
            <w:pPr>
              <w:spacing w:line="240" w:lineRule="auto"/>
              <w:ind w:firstLine="0"/>
              <w:rPr>
                <w:rFonts w:eastAsia="Times New Roman" w:cs="Calibri"/>
                <w:color w:val="000000"/>
                <w:sz w:val="24"/>
                <w:szCs w:val="24"/>
              </w:rPr>
            </w:pPr>
            <w:r w:rsidRPr="0055078F">
              <w:rPr>
                <w:rFonts w:eastAsia="Times New Roman" w:cs="Calibri"/>
                <w:color w:val="000000"/>
                <w:sz w:val="24"/>
                <w:szCs w:val="24"/>
              </w:rPr>
              <w:t>Public Purpose Programs - Not CARE Exempt</w:t>
            </w:r>
          </w:p>
        </w:tc>
        <w:tc>
          <w:tcPr>
            <w:tcW w:w="1840" w:type="dxa"/>
            <w:tcBorders>
              <w:top w:val="nil"/>
              <w:left w:val="nil"/>
              <w:bottom w:val="single" w:color="auto" w:sz="4" w:space="0"/>
              <w:right w:val="single" w:color="auto" w:sz="4" w:space="0"/>
            </w:tcBorders>
            <w:shd w:val="clear" w:color="auto" w:fill="auto"/>
            <w:noWrap/>
            <w:vAlign w:val="bottom"/>
            <w:hideMark/>
          </w:tcPr>
          <w:p w:rsidRPr="0055078F" w:rsidR="00C012E0" w:rsidP="00C012E0" w:rsidRDefault="00C012E0" w14:paraId="395B8C1C"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61.4</w:t>
            </w:r>
          </w:p>
        </w:tc>
        <w:tc>
          <w:tcPr>
            <w:tcW w:w="2005" w:type="dxa"/>
            <w:tcBorders>
              <w:top w:val="nil"/>
              <w:left w:val="nil"/>
              <w:bottom w:val="single" w:color="auto" w:sz="4" w:space="0"/>
              <w:right w:val="single" w:color="auto" w:sz="4" w:space="0"/>
            </w:tcBorders>
            <w:shd w:val="clear" w:color="auto" w:fill="auto"/>
            <w:noWrap/>
            <w:vAlign w:val="bottom"/>
            <w:hideMark/>
          </w:tcPr>
          <w:p w:rsidRPr="0055078F" w:rsidR="00C012E0" w:rsidP="00C012E0" w:rsidRDefault="00C012E0" w14:paraId="081AE1A5"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3.8%</w:t>
            </w:r>
          </w:p>
        </w:tc>
      </w:tr>
      <w:tr w:rsidRPr="00C012E0" w:rsidR="00C012E0" w:rsidTr="0B26A56E" w14:paraId="0BBCBCBD" w14:textId="77777777">
        <w:trPr>
          <w:trHeight w:val="300"/>
        </w:trPr>
        <w:tc>
          <w:tcPr>
            <w:tcW w:w="5420"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55078F" w:rsidR="00C012E0" w:rsidP="00C012E0" w:rsidRDefault="00C012E0" w14:paraId="1C1AC587" w14:textId="77777777">
            <w:pPr>
              <w:spacing w:line="240" w:lineRule="auto"/>
              <w:ind w:firstLine="0"/>
              <w:rPr>
                <w:rFonts w:eastAsia="Times New Roman" w:cs="Calibri"/>
                <w:color w:val="000000"/>
                <w:sz w:val="24"/>
                <w:szCs w:val="24"/>
              </w:rPr>
            </w:pPr>
            <w:r w:rsidRPr="0055078F">
              <w:rPr>
                <w:rFonts w:eastAsia="Times New Roman" w:cs="Calibri"/>
                <w:color w:val="000000"/>
                <w:sz w:val="24"/>
                <w:szCs w:val="24"/>
              </w:rPr>
              <w:t>Nuclear Decommissioning</w:t>
            </w:r>
          </w:p>
        </w:tc>
        <w:tc>
          <w:tcPr>
            <w:tcW w:w="1840"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C012E0" w:rsidP="00C012E0" w:rsidRDefault="00C012E0" w14:paraId="4A187A6C"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0.5</w:t>
            </w:r>
          </w:p>
        </w:tc>
        <w:tc>
          <w:tcPr>
            <w:tcW w:w="2005"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C012E0" w:rsidP="00C012E0" w:rsidRDefault="00C012E0" w14:paraId="281D6BC9"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0.0%</w:t>
            </w:r>
          </w:p>
        </w:tc>
      </w:tr>
      <w:tr w:rsidRPr="00C012E0" w:rsidR="00C012E0" w:rsidTr="0B26A56E" w14:paraId="5A6981BB" w14:textId="77777777">
        <w:trPr>
          <w:trHeight w:val="300"/>
        </w:trPr>
        <w:tc>
          <w:tcPr>
            <w:tcW w:w="5420" w:type="dxa"/>
            <w:tcBorders>
              <w:top w:val="nil"/>
              <w:left w:val="single" w:color="auto" w:sz="4" w:space="0"/>
              <w:bottom w:val="single" w:color="auto" w:sz="4" w:space="0"/>
              <w:right w:val="single" w:color="auto" w:sz="4" w:space="0"/>
            </w:tcBorders>
            <w:shd w:val="clear" w:color="auto" w:fill="auto"/>
            <w:noWrap/>
            <w:vAlign w:val="bottom"/>
            <w:hideMark/>
          </w:tcPr>
          <w:p w:rsidRPr="0055078F" w:rsidR="00C012E0" w:rsidP="00C012E0" w:rsidRDefault="00C012E0" w14:paraId="62A15368" w14:textId="77777777">
            <w:pPr>
              <w:spacing w:line="240" w:lineRule="auto"/>
              <w:ind w:firstLine="0"/>
              <w:rPr>
                <w:rFonts w:eastAsia="Times New Roman" w:cs="Calibri"/>
                <w:color w:val="000000"/>
                <w:sz w:val="24"/>
                <w:szCs w:val="24"/>
              </w:rPr>
            </w:pPr>
            <w:r w:rsidRPr="0055078F">
              <w:rPr>
                <w:rFonts w:eastAsia="Times New Roman" w:cs="Calibri"/>
                <w:color w:val="000000"/>
                <w:sz w:val="24"/>
                <w:szCs w:val="24"/>
              </w:rPr>
              <w:t>Local Generation Charge/New System Generation Charge</w:t>
            </w:r>
          </w:p>
        </w:tc>
        <w:tc>
          <w:tcPr>
            <w:tcW w:w="1840" w:type="dxa"/>
            <w:tcBorders>
              <w:top w:val="nil"/>
              <w:left w:val="nil"/>
              <w:bottom w:val="single" w:color="auto" w:sz="4" w:space="0"/>
              <w:right w:val="single" w:color="auto" w:sz="4" w:space="0"/>
            </w:tcBorders>
            <w:shd w:val="clear" w:color="auto" w:fill="auto"/>
            <w:noWrap/>
            <w:vAlign w:val="bottom"/>
            <w:hideMark/>
          </w:tcPr>
          <w:p w:rsidRPr="0055078F" w:rsidR="00C012E0" w:rsidP="00C012E0" w:rsidRDefault="00C012E0" w14:paraId="6209B830"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81.9</w:t>
            </w:r>
          </w:p>
        </w:tc>
        <w:tc>
          <w:tcPr>
            <w:tcW w:w="2005" w:type="dxa"/>
            <w:tcBorders>
              <w:top w:val="nil"/>
              <w:left w:val="nil"/>
              <w:bottom w:val="single" w:color="auto" w:sz="4" w:space="0"/>
              <w:right w:val="single" w:color="auto" w:sz="4" w:space="0"/>
            </w:tcBorders>
            <w:shd w:val="clear" w:color="auto" w:fill="auto"/>
            <w:noWrap/>
            <w:vAlign w:val="bottom"/>
            <w:hideMark/>
          </w:tcPr>
          <w:p w:rsidRPr="0055078F" w:rsidR="00C012E0" w:rsidP="00C012E0" w:rsidRDefault="00C012E0" w14:paraId="29EBE97F" w14:textId="77777777">
            <w:pPr>
              <w:spacing w:line="240" w:lineRule="auto"/>
              <w:ind w:firstLine="0"/>
              <w:jc w:val="center"/>
              <w:rPr>
                <w:rFonts w:eastAsia="Times New Roman" w:cs="Calibri"/>
                <w:color w:val="000000"/>
                <w:sz w:val="24"/>
                <w:szCs w:val="24"/>
              </w:rPr>
            </w:pPr>
            <w:r w:rsidRPr="0055078F">
              <w:rPr>
                <w:rFonts w:eastAsia="Times New Roman" w:cs="Calibri"/>
                <w:color w:val="000000"/>
                <w:sz w:val="24"/>
                <w:szCs w:val="24"/>
              </w:rPr>
              <w:t>5.1%</w:t>
            </w:r>
          </w:p>
        </w:tc>
      </w:tr>
      <w:tr w:rsidRPr="00C012E0" w:rsidR="00C012E0" w:rsidTr="0B26A56E" w14:paraId="620F32F8" w14:textId="77777777">
        <w:trPr>
          <w:trHeight w:val="300"/>
        </w:trPr>
        <w:tc>
          <w:tcPr>
            <w:tcW w:w="5420" w:type="dxa"/>
            <w:tcBorders>
              <w:top w:val="nil"/>
              <w:left w:val="single" w:color="auto" w:sz="4" w:space="0"/>
              <w:bottom w:val="single" w:color="auto" w:sz="4" w:space="0"/>
              <w:right w:val="single" w:color="auto" w:sz="4" w:space="0"/>
            </w:tcBorders>
            <w:shd w:val="clear" w:color="auto" w:fill="B4C6E7" w:themeFill="accent1" w:themeFillTint="66"/>
            <w:noWrap/>
            <w:vAlign w:val="bottom"/>
            <w:hideMark/>
          </w:tcPr>
          <w:p w:rsidRPr="0055078F" w:rsidR="00C012E0" w:rsidP="00C012E0" w:rsidRDefault="00C012E0" w14:paraId="1CA2BF8C" w14:textId="3D21BCD3">
            <w:pPr>
              <w:spacing w:line="240" w:lineRule="auto"/>
              <w:ind w:firstLine="0"/>
              <w:rPr>
                <w:rFonts w:eastAsia="Times New Roman" w:cs="Calibri"/>
                <w:b/>
                <w:bCs/>
                <w:color w:val="000000"/>
                <w:sz w:val="24"/>
                <w:szCs w:val="24"/>
              </w:rPr>
            </w:pPr>
            <w:r w:rsidRPr="0055078F">
              <w:rPr>
                <w:rFonts w:eastAsia="Times New Roman" w:cs="Calibri"/>
                <w:b/>
                <w:bCs/>
                <w:color w:val="000000"/>
                <w:sz w:val="24"/>
                <w:szCs w:val="24"/>
              </w:rPr>
              <w:t xml:space="preserve">Average Customer Fixed </w:t>
            </w:r>
            <w:r w:rsidR="00AC2668">
              <w:rPr>
                <w:rFonts w:eastAsia="Times New Roman" w:cs="Calibri"/>
                <w:b/>
                <w:bCs/>
                <w:color w:val="000000"/>
                <w:sz w:val="24"/>
                <w:szCs w:val="24"/>
              </w:rPr>
              <w:t>Cost</w:t>
            </w:r>
          </w:p>
        </w:tc>
        <w:tc>
          <w:tcPr>
            <w:tcW w:w="1840"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C012E0" w:rsidP="00C012E0" w:rsidRDefault="00C012E0" w14:paraId="2A9B24D1" w14:textId="77777777">
            <w:pPr>
              <w:spacing w:line="240" w:lineRule="auto"/>
              <w:ind w:firstLine="0"/>
              <w:jc w:val="center"/>
              <w:rPr>
                <w:rFonts w:eastAsia="Times New Roman" w:cs="Calibri"/>
                <w:b/>
                <w:bCs/>
                <w:color w:val="000000"/>
                <w:sz w:val="24"/>
                <w:szCs w:val="24"/>
              </w:rPr>
            </w:pPr>
            <w:r w:rsidRPr="0055078F">
              <w:rPr>
                <w:rFonts w:eastAsia="Times New Roman" w:cs="Calibri"/>
                <w:b/>
                <w:bCs/>
                <w:color w:val="000000"/>
                <w:sz w:val="24"/>
                <w:szCs w:val="24"/>
              </w:rPr>
              <w:t>413.1</w:t>
            </w:r>
          </w:p>
        </w:tc>
        <w:tc>
          <w:tcPr>
            <w:tcW w:w="2005" w:type="dxa"/>
            <w:tcBorders>
              <w:top w:val="nil"/>
              <w:left w:val="nil"/>
              <w:bottom w:val="single" w:color="auto" w:sz="4" w:space="0"/>
              <w:right w:val="single" w:color="auto" w:sz="4" w:space="0"/>
            </w:tcBorders>
            <w:shd w:val="clear" w:color="auto" w:fill="B4C6E7" w:themeFill="accent1" w:themeFillTint="66"/>
            <w:noWrap/>
            <w:vAlign w:val="bottom"/>
            <w:hideMark/>
          </w:tcPr>
          <w:p w:rsidRPr="0055078F" w:rsidR="00C012E0" w:rsidP="00C012E0" w:rsidRDefault="00C012E0" w14:paraId="1CE0404B" w14:textId="77777777">
            <w:pPr>
              <w:spacing w:line="240" w:lineRule="auto"/>
              <w:ind w:firstLine="0"/>
              <w:jc w:val="center"/>
              <w:rPr>
                <w:rFonts w:eastAsia="Times New Roman" w:cs="Calibri"/>
                <w:b/>
                <w:bCs/>
                <w:color w:val="000000"/>
                <w:sz w:val="24"/>
                <w:szCs w:val="24"/>
              </w:rPr>
            </w:pPr>
            <w:r w:rsidRPr="0055078F">
              <w:rPr>
                <w:rFonts w:eastAsia="Times New Roman" w:cs="Calibri"/>
                <w:b/>
                <w:bCs/>
                <w:color w:val="000000"/>
                <w:sz w:val="24"/>
                <w:szCs w:val="24"/>
              </w:rPr>
              <w:t>25.9%</w:t>
            </w:r>
          </w:p>
        </w:tc>
      </w:tr>
    </w:tbl>
    <w:p w:rsidR="00480677" w:rsidP="00C06C04" w:rsidRDefault="00480677" w14:paraId="2886B553" w14:textId="438A4B67">
      <w:pPr>
        <w:pStyle w:val="Standard"/>
        <w:ind w:firstLine="0"/>
      </w:pPr>
    </w:p>
    <w:p w:rsidR="00297C28" w:rsidP="00FC5D77" w:rsidRDefault="00297C28" w14:paraId="1A8D38C4" w14:textId="55AE5C86">
      <w:pPr>
        <w:pStyle w:val="Standard"/>
      </w:pPr>
      <w:r>
        <w:t xml:space="preserve">The tables above show that the </w:t>
      </w:r>
      <w:r w:rsidR="00B678F3">
        <w:t xml:space="preserve">Public Tool estimates that </w:t>
      </w:r>
      <w:r w:rsidR="00995E5A">
        <w:t xml:space="preserve">the </w:t>
      </w:r>
      <w:r w:rsidR="00947A80">
        <w:t xml:space="preserve">approved </w:t>
      </w:r>
      <w:r w:rsidR="00995E5A">
        <w:t xml:space="preserve">fixed cost categories </w:t>
      </w:r>
      <w:r w:rsidRPr="00995E5A" w:rsidR="00995E5A">
        <w:t>that may</w:t>
      </w:r>
      <w:r w:rsidRPr="00480677" w:rsidR="00995E5A">
        <w:t xml:space="preserve"> be recovered through income-graduated fixed charges</w:t>
      </w:r>
      <w:r w:rsidR="00DF06F4">
        <w:t xml:space="preserve"> have a combined</w:t>
      </w:r>
      <w:r w:rsidR="00D727F9">
        <w:t xml:space="preserve"> residential customer class</w:t>
      </w:r>
      <w:r w:rsidR="00DF06F4">
        <w:t xml:space="preserve"> revenue requirement </w:t>
      </w:r>
      <w:r w:rsidR="00C7319A">
        <w:t xml:space="preserve">of </w:t>
      </w:r>
      <w:r w:rsidR="00721245">
        <w:t>22.0</w:t>
      </w:r>
      <w:r w:rsidR="0008492E">
        <w:t> </w:t>
      </w:r>
      <w:r w:rsidR="00C1241D">
        <w:t>percent</w:t>
      </w:r>
      <w:r w:rsidR="00C7319A">
        <w:t xml:space="preserve"> of SCE’s </w:t>
      </w:r>
      <w:r w:rsidR="00721245">
        <w:t xml:space="preserve">residential delivery </w:t>
      </w:r>
      <w:r w:rsidR="00C7319A">
        <w:t xml:space="preserve">revenue requirement, </w:t>
      </w:r>
      <w:r w:rsidR="00721245">
        <w:t>20.9</w:t>
      </w:r>
      <w:r w:rsidR="00C1241D">
        <w:t xml:space="preserve"> percent</w:t>
      </w:r>
      <w:r w:rsidR="00C7319A">
        <w:t xml:space="preserve"> of </w:t>
      </w:r>
      <w:r w:rsidR="004801D6">
        <w:t xml:space="preserve">PG&amp;E’s </w:t>
      </w:r>
      <w:r w:rsidR="00721245">
        <w:t xml:space="preserve">residential delivery </w:t>
      </w:r>
      <w:r w:rsidR="004801D6">
        <w:t xml:space="preserve">revenue requirement, and </w:t>
      </w:r>
      <w:r w:rsidR="00721245">
        <w:t>25.9</w:t>
      </w:r>
      <w:r w:rsidR="00C1241D">
        <w:t xml:space="preserve"> percent</w:t>
      </w:r>
      <w:r w:rsidR="004801D6">
        <w:t xml:space="preserve"> of SDG&amp;E’s </w:t>
      </w:r>
      <w:r w:rsidR="00721245">
        <w:t xml:space="preserve">residential delivery </w:t>
      </w:r>
      <w:r w:rsidR="004801D6">
        <w:t>revenue requirement.</w:t>
      </w:r>
      <w:r w:rsidR="00DF06F4">
        <w:t xml:space="preserve"> </w:t>
      </w:r>
      <w:r w:rsidR="00A41918">
        <w:t xml:space="preserve">These fixed cost categories represent a significant portion of each of the Large Utilities’ </w:t>
      </w:r>
      <w:r w:rsidR="00D94526">
        <w:t xml:space="preserve">delivery </w:t>
      </w:r>
      <w:r w:rsidR="006058BF">
        <w:t xml:space="preserve">revenue requirement for residential customers. </w:t>
      </w:r>
    </w:p>
    <w:p w:rsidR="00C60EC3" w:rsidP="00FC5D77" w:rsidRDefault="00CF4704" w14:paraId="121F85CA" w14:textId="26836584">
      <w:pPr>
        <w:pStyle w:val="Standard"/>
      </w:pPr>
      <w:r>
        <w:t>It is reasonable for income-graduated fixed charges of the Large Utilities to recover</w:t>
      </w:r>
      <w:r w:rsidR="001E4454">
        <w:t xml:space="preserve"> </w:t>
      </w:r>
      <w:r w:rsidR="00D075C4">
        <w:t>all or a portion of</w:t>
      </w:r>
      <w:r>
        <w:t xml:space="preserve"> the </w:t>
      </w:r>
      <w:r w:rsidR="00675E52">
        <w:t xml:space="preserve">revenue requirement </w:t>
      </w:r>
      <w:r w:rsidRPr="00675E52" w:rsidR="00675E52">
        <w:t xml:space="preserve">as established in the most recent applicable Commission decision </w:t>
      </w:r>
      <w:r w:rsidR="00675E52">
        <w:t xml:space="preserve">for each of </w:t>
      </w:r>
      <w:r>
        <w:t>the following fixed cost</w:t>
      </w:r>
      <w:r w:rsidR="00085882">
        <w:t xml:space="preserve"> categories</w:t>
      </w:r>
      <w:r>
        <w:t>:</w:t>
      </w:r>
    </w:p>
    <w:p w:rsidR="001E4454" w:rsidP="0008492E" w:rsidRDefault="001E4454" w14:paraId="499DB761" w14:textId="098D2F41">
      <w:pPr>
        <w:pStyle w:val="ListAlpha"/>
        <w:ind w:right="1440"/>
      </w:pPr>
      <w:r w:rsidRPr="001E4454">
        <w:t>Marginal Customer Access Costs</w:t>
      </w:r>
      <w:r>
        <w:t>;</w:t>
      </w:r>
    </w:p>
    <w:p w:rsidRPr="001E4454" w:rsidR="002F2FD0" w:rsidP="0008492E" w:rsidRDefault="001E4454" w14:paraId="7EF236DE" w14:textId="2FD74908">
      <w:pPr>
        <w:pStyle w:val="ListAlpha"/>
        <w:ind w:right="1440"/>
      </w:pPr>
      <w:r w:rsidRPr="001E4454">
        <w:t xml:space="preserve">Public Purpose Program </w:t>
      </w:r>
      <w:r w:rsidR="009568A9">
        <w:t>non-bypas</w:t>
      </w:r>
      <w:r w:rsidR="00AE697D">
        <w:t>s</w:t>
      </w:r>
      <w:r w:rsidR="009568A9">
        <w:t xml:space="preserve">able </w:t>
      </w:r>
      <w:r w:rsidRPr="001E4454">
        <w:t>charges;</w:t>
      </w:r>
    </w:p>
    <w:p w:rsidR="00727EC4" w:rsidP="0008492E" w:rsidRDefault="00727EC4" w14:paraId="4FFB1204" w14:textId="7ADBC1E9">
      <w:pPr>
        <w:pStyle w:val="ListAlpha"/>
        <w:ind w:right="1440"/>
      </w:pPr>
      <w:r w:rsidRPr="00727EC4">
        <w:t>New System Generation</w:t>
      </w:r>
      <w:r w:rsidR="009568A9">
        <w:t xml:space="preserve"> or</w:t>
      </w:r>
      <w:r w:rsidRPr="00727EC4">
        <w:t xml:space="preserve"> Local Generation</w:t>
      </w:r>
      <w:r w:rsidR="009568A9">
        <w:t xml:space="preserve"> charges</w:t>
      </w:r>
      <w:r>
        <w:t>;</w:t>
      </w:r>
      <w:r w:rsidR="009568A9">
        <w:t xml:space="preserve"> and</w:t>
      </w:r>
    </w:p>
    <w:p w:rsidRPr="001E4454" w:rsidR="009568A9" w:rsidP="0008492E" w:rsidRDefault="009568A9" w14:paraId="416D7198" w14:textId="5B5F73CF">
      <w:pPr>
        <w:pStyle w:val="ListAlpha"/>
        <w:ind w:right="1440"/>
      </w:pPr>
      <w:r>
        <w:t>Nuclear Decommissioning non-bypassable charges.</w:t>
      </w:r>
    </w:p>
    <w:p w:rsidRPr="001E4454" w:rsidR="006058BF" w:rsidP="006058BF" w:rsidRDefault="006058BF" w14:paraId="3C4F81C2" w14:textId="0A94C7EE">
      <w:pPr>
        <w:pStyle w:val="Standard"/>
      </w:pPr>
      <w:r w:rsidRPr="006058BF">
        <w:t xml:space="preserve">In the next section, </w:t>
      </w:r>
      <w:r w:rsidR="00B62ACD">
        <w:t>we will</w:t>
      </w:r>
      <w:r w:rsidRPr="006058BF">
        <w:t xml:space="preserve"> </w:t>
      </w:r>
      <w:r w:rsidR="00B62ACD">
        <w:t xml:space="preserve">determine which portion of each of the approved fixed </w:t>
      </w:r>
      <w:r w:rsidR="00AC2668">
        <w:t xml:space="preserve">cost </w:t>
      </w:r>
      <w:r w:rsidR="00B62ACD">
        <w:t xml:space="preserve">categories </w:t>
      </w:r>
      <w:r w:rsidR="00DA710C">
        <w:t xml:space="preserve">will be recovered by </w:t>
      </w:r>
      <w:r w:rsidR="00B62ACD">
        <w:t>income-graduated fixed charges</w:t>
      </w:r>
      <w:r w:rsidR="000F1CC6">
        <w:t>.</w:t>
      </w:r>
    </w:p>
    <w:p w:rsidR="00816E1A" w:rsidP="00224603" w:rsidRDefault="00B4577E" w14:paraId="4142B350" w14:textId="2CB7EFC2">
      <w:pPr>
        <w:pStyle w:val="Heading3"/>
      </w:pPr>
      <w:bookmarkStart w:name="_Toc160790042" w:id="34"/>
      <w:r>
        <w:lastRenderedPageBreak/>
        <w:t xml:space="preserve">Fixed Charges for </w:t>
      </w:r>
      <w:r w:rsidR="00CE0394">
        <w:t>Each Tier</w:t>
      </w:r>
      <w:bookmarkEnd w:id="34"/>
    </w:p>
    <w:p w:rsidR="00CD64FB" w:rsidP="00E8617C" w:rsidRDefault="00CD204B" w14:paraId="15228D75" w14:textId="47EF9860">
      <w:pPr>
        <w:pStyle w:val="Standard"/>
      </w:pPr>
      <w:r>
        <w:t>In this section, we will</w:t>
      </w:r>
      <w:r w:rsidRPr="00CD204B">
        <w:t xml:space="preserve"> establish a method for setting fixed charge </w:t>
      </w:r>
      <w:r w:rsidR="00B808C3">
        <w:t xml:space="preserve">levels </w:t>
      </w:r>
      <w:r w:rsidRPr="00CD204B">
        <w:t>for each income tier in accordance with the requirements of AB 205.</w:t>
      </w:r>
    </w:p>
    <w:p w:rsidR="00ED26CA" w:rsidP="00ED26CA" w:rsidRDefault="005801BA" w14:paraId="04B2731D" w14:textId="52A6C828">
      <w:pPr>
        <w:pStyle w:val="Standard"/>
      </w:pPr>
      <w:r>
        <w:t>As discussed in the statutory interpretation section of this decision,</w:t>
      </w:r>
      <w:r w:rsidR="00816E1A">
        <w:t xml:space="preserve"> </w:t>
      </w:r>
      <w:r w:rsidRPr="00133C1B" w:rsidR="00816E1A">
        <w:t>Section</w:t>
      </w:r>
      <w:r w:rsidR="0008492E">
        <w:t> </w:t>
      </w:r>
      <w:r w:rsidRPr="00133C1B" w:rsidR="00816E1A">
        <w:t xml:space="preserve">739.9(e)(1) </w:t>
      </w:r>
      <w:r w:rsidR="00757226">
        <w:t xml:space="preserve">requires </w:t>
      </w:r>
      <w:r w:rsidR="009641AA">
        <w:t>the Commission to ensure that</w:t>
      </w:r>
      <w:r w:rsidRPr="00133C1B" w:rsidR="00816E1A">
        <w:t xml:space="preserve"> </w:t>
      </w:r>
      <w:r w:rsidR="00877814">
        <w:t>a</w:t>
      </w:r>
      <w:r w:rsidR="00064DA8">
        <w:t xml:space="preserve"> </w:t>
      </w:r>
      <w:r w:rsidRPr="00133C1B" w:rsidR="00816E1A">
        <w:t>low-income ratepayer</w:t>
      </w:r>
      <w:r w:rsidR="00064DA8">
        <w:t xml:space="preserve"> with average</w:t>
      </w:r>
      <w:r w:rsidR="00E14FA6">
        <w:t xml:space="preserve"> electric</w:t>
      </w:r>
      <w:r w:rsidR="00042CB6">
        <w:t>ity</w:t>
      </w:r>
      <w:r w:rsidR="00E14FA6">
        <w:t xml:space="preserve"> usage</w:t>
      </w:r>
      <w:r w:rsidRPr="00133C1B" w:rsidR="00816E1A">
        <w:t xml:space="preserve"> in each baseline territory </w:t>
      </w:r>
      <w:r w:rsidR="009641AA">
        <w:t>will</w:t>
      </w:r>
      <w:r w:rsidRPr="00133C1B" w:rsidR="00816E1A">
        <w:t xml:space="preserve"> realize lower average monthly bill</w:t>
      </w:r>
      <w:r w:rsidR="00E14FA6">
        <w:t>s (over the course of a year)</w:t>
      </w:r>
      <w:r w:rsidRPr="00133C1B" w:rsidR="00816E1A">
        <w:t xml:space="preserve"> </w:t>
      </w:r>
      <w:r w:rsidR="00D550B0">
        <w:t xml:space="preserve">following </w:t>
      </w:r>
      <w:r w:rsidR="00A2298D">
        <w:t xml:space="preserve">the introduction of </w:t>
      </w:r>
      <w:r w:rsidR="00850E74">
        <w:t xml:space="preserve">the new </w:t>
      </w:r>
      <w:r w:rsidR="009641AA">
        <w:t>fixed charge</w:t>
      </w:r>
      <w:r w:rsidR="00C64B69">
        <w:t>s</w:t>
      </w:r>
      <w:r w:rsidR="009641AA">
        <w:t xml:space="preserve"> </w:t>
      </w:r>
      <w:r w:rsidRPr="00133C1B" w:rsidR="00816E1A">
        <w:t>without making any changes in usage.</w:t>
      </w:r>
      <w:r w:rsidR="0068290B">
        <w:t xml:space="preserve"> </w:t>
      </w:r>
      <w:r w:rsidR="00ED26CA">
        <w:t xml:space="preserve">This decision defined a low-income ratepayer </w:t>
      </w:r>
      <w:r w:rsidRPr="00ED26CA" w:rsidR="00ED26CA">
        <w:t>as a customer with a household income at or below 200</w:t>
      </w:r>
      <w:r w:rsidR="00C1241D">
        <w:t xml:space="preserve"> percent</w:t>
      </w:r>
      <w:r w:rsidRPr="00ED26CA" w:rsidR="00ED26CA">
        <w:t xml:space="preserve"> of the Federal Poverty Guidelines level applicable to that household under the CARE program.</w:t>
      </w:r>
      <w:r w:rsidR="009327A0">
        <w:t xml:space="preserve"> For brevity, we will refer to a low-income ratepayer as a CARE-eligible customer</w:t>
      </w:r>
      <w:r w:rsidR="0095791A">
        <w:t xml:space="preserve"> in this section</w:t>
      </w:r>
      <w:r w:rsidR="009327A0">
        <w:t>.</w:t>
      </w:r>
    </w:p>
    <w:p w:rsidR="0096028C" w:rsidP="001543AE" w:rsidRDefault="0068290B" w14:paraId="030A9FAF" w14:textId="451DC9B7">
      <w:pPr>
        <w:pStyle w:val="Standard"/>
      </w:pPr>
      <w:r>
        <w:t xml:space="preserve">A baseline territory </w:t>
      </w:r>
      <w:r w:rsidRPr="0068290B">
        <w:t>is the geographic area within a given utility’s service territory that receives a baseline allowance of electricity</w:t>
      </w:r>
      <w:r>
        <w:t xml:space="preserve"> based on </w:t>
      </w:r>
      <w:r w:rsidR="00BD7F64">
        <w:t xml:space="preserve">the climate zone. </w:t>
      </w:r>
      <w:r w:rsidR="0096028C">
        <w:t>Warmer climate zones have higher baseline allowances, and cooler climate zones have lower baseline allowances.</w:t>
      </w:r>
    </w:p>
    <w:p w:rsidR="00EC556F" w:rsidP="001543AE" w:rsidRDefault="0040190E" w14:paraId="6284E1F9" w14:textId="51787278">
      <w:pPr>
        <w:pStyle w:val="Standard"/>
      </w:pPr>
      <w:r>
        <w:t xml:space="preserve">The impact of a fixed charge on a </w:t>
      </w:r>
      <w:r w:rsidRPr="001076F6" w:rsidR="001076F6">
        <w:t xml:space="preserve">low-income </w:t>
      </w:r>
      <w:r>
        <w:t>customer</w:t>
      </w:r>
      <w:r w:rsidR="001076F6">
        <w:t>’s</w:t>
      </w:r>
      <w:r>
        <w:t xml:space="preserve"> bill depends on </w:t>
      </w:r>
      <w:r w:rsidR="009347B2">
        <w:t xml:space="preserve">the customer’s usage level. </w:t>
      </w:r>
      <w:r w:rsidR="00DE57E9">
        <w:t>TURN/NRDC explained that c</w:t>
      </w:r>
      <w:r w:rsidR="009347B2">
        <w:t xml:space="preserve">ustomers in hot, inland </w:t>
      </w:r>
      <w:r w:rsidR="00DA7106">
        <w:t xml:space="preserve">areas pay higher average monthly utility bills over the course of a year, and they </w:t>
      </w:r>
      <w:r w:rsidR="00DE57E9">
        <w:t xml:space="preserve">are more likely to realize savings from a </w:t>
      </w:r>
      <w:r w:rsidR="00A125F2">
        <w:t>fixed charge than customers in cool, coastal areas.</w:t>
      </w:r>
      <w:r w:rsidR="00A125F2">
        <w:rPr>
          <w:rStyle w:val="FootnoteReference"/>
        </w:rPr>
        <w:footnoteReference w:id="152"/>
      </w:r>
      <w:r w:rsidR="00A125F2">
        <w:t xml:space="preserve"> </w:t>
      </w:r>
      <w:r w:rsidR="002F4583">
        <w:t>A</w:t>
      </w:r>
      <w:r w:rsidR="00A125F2">
        <w:t xml:space="preserve"> fixed charge </w:t>
      </w:r>
      <w:r w:rsidR="00664BE9">
        <w:t xml:space="preserve">must result in a lower average monthly bill for a </w:t>
      </w:r>
      <w:r w:rsidR="0095791A">
        <w:t>CARE-eligible customer</w:t>
      </w:r>
      <w:r w:rsidR="00664BE9">
        <w:t xml:space="preserve"> with average electric</w:t>
      </w:r>
      <w:r w:rsidR="00042CB6">
        <w:t>ity</w:t>
      </w:r>
      <w:r w:rsidR="00664BE9">
        <w:t xml:space="preserve"> usage in </w:t>
      </w:r>
      <w:r w:rsidR="00E33820">
        <w:t>each utility’s</w:t>
      </w:r>
      <w:r w:rsidR="00672E2A">
        <w:t xml:space="preserve"> </w:t>
      </w:r>
      <w:r w:rsidR="002F4583">
        <w:t xml:space="preserve">baseline territory, including its </w:t>
      </w:r>
      <w:r w:rsidR="00A444B9">
        <w:t>coolest</w:t>
      </w:r>
      <w:r w:rsidR="00F632BC">
        <w:t xml:space="preserve"> (coastal)</w:t>
      </w:r>
      <w:r w:rsidR="00A444B9">
        <w:t xml:space="preserve"> </w:t>
      </w:r>
      <w:r w:rsidR="00C4351D">
        <w:t>baseline territory</w:t>
      </w:r>
      <w:r w:rsidR="00E33820">
        <w:t>.</w:t>
      </w:r>
    </w:p>
    <w:p w:rsidR="000E5245" w:rsidP="001543AE" w:rsidRDefault="000E5245" w14:paraId="0C04DB5A" w14:textId="7C6C078B">
      <w:pPr>
        <w:pStyle w:val="Standard"/>
      </w:pPr>
      <w:r>
        <w:lastRenderedPageBreak/>
        <w:t>The impact of a fixed charge</w:t>
      </w:r>
      <w:r w:rsidR="00BC3B86">
        <w:t xml:space="preserve"> on a</w:t>
      </w:r>
      <w:r w:rsidR="00A01B5C">
        <w:t xml:space="preserve"> </w:t>
      </w:r>
      <w:r w:rsidR="001076F6">
        <w:t>low-income</w:t>
      </w:r>
      <w:r w:rsidR="00BC3B86">
        <w:t xml:space="preserve"> customer</w:t>
      </w:r>
      <w:r w:rsidR="001076F6">
        <w:t>’s</w:t>
      </w:r>
      <w:r w:rsidR="00BC3B86">
        <w:t xml:space="preserve"> bill also depends on the</w:t>
      </w:r>
      <w:r w:rsidR="00092785">
        <w:t xml:space="preserve"> total amount of revenues recovered through the fixed charge</w:t>
      </w:r>
      <w:r w:rsidR="00036B8C">
        <w:t>.</w:t>
      </w:r>
      <w:r w:rsidRPr="005940BE" w:rsidR="005940BE">
        <w:t xml:space="preserve"> If the income-graduated fixed charge collects more revenues from all residential customers, those revenues can be applied to result in larger volumetric rate reductions and associated bill savings.</w:t>
      </w:r>
    </w:p>
    <w:p w:rsidR="000E5245" w:rsidP="006F7F23" w:rsidRDefault="000E5245" w14:paraId="0422ECBA" w14:textId="4BF9345F">
      <w:pPr>
        <w:pStyle w:val="Standard"/>
      </w:pPr>
      <w:r w:rsidRPr="000E5245">
        <w:t xml:space="preserve">Most parties proposed </w:t>
      </w:r>
      <w:r w:rsidR="0054757D">
        <w:t>initial</w:t>
      </w:r>
      <w:r w:rsidRPr="000E5245" w:rsidR="0054757D">
        <w:t xml:space="preserve"> </w:t>
      </w:r>
      <w:r w:rsidRPr="000E5245">
        <w:t xml:space="preserve">income-graduated fixed charges </w:t>
      </w:r>
      <w:r w:rsidR="00CA3BDC">
        <w:t xml:space="preserve">of </w:t>
      </w:r>
      <w:r w:rsidR="00845DAC">
        <w:t>$7 or less</w:t>
      </w:r>
      <w:r w:rsidRPr="000E5245">
        <w:t xml:space="preserve"> for CARE-eligible customers. CEJA, Sierra Club, CforAT, and the Clean Coalition </w:t>
      </w:r>
      <w:r w:rsidR="008E237E">
        <w:t xml:space="preserve">each </w:t>
      </w:r>
      <w:r w:rsidRPr="000E5245">
        <w:t>proposed a $0 fixed charge for all CARE-eligible customers.</w:t>
      </w:r>
      <w:r w:rsidRPr="000E5245">
        <w:rPr>
          <w:vertAlign w:val="superscript"/>
        </w:rPr>
        <w:footnoteReference w:id="153"/>
      </w:r>
      <w:r w:rsidRPr="000E5245">
        <w:t xml:space="preserve"> Cal Advocates proposed fixed charges ranging from $4 to $7 for CARE-eligible customers. SEIA similarly proposed fixed charges ranging from $3.37 to $6.21 for CARE-eligible customers. TURN/NRDC proposed a $5 fixed charge for all CARE-eligible customers.</w:t>
      </w:r>
      <w:r w:rsidR="00C55EAA">
        <w:rPr>
          <w:rStyle w:val="FootnoteReference"/>
        </w:rPr>
        <w:footnoteReference w:id="154"/>
      </w:r>
      <w:r w:rsidRPr="000E5245">
        <w:t xml:space="preserve"> On the other hand, the Large Utilities proposed </w:t>
      </w:r>
      <w:r w:rsidR="00A52883">
        <w:t xml:space="preserve">much higher </w:t>
      </w:r>
      <w:r w:rsidR="001A742D">
        <w:t>fixed charges for CARE-eligible customers with incomes above 100</w:t>
      </w:r>
      <w:r w:rsidR="0008492E">
        <w:t> </w:t>
      </w:r>
      <w:r w:rsidR="00C1241D">
        <w:t>percent</w:t>
      </w:r>
      <w:r w:rsidR="001A742D">
        <w:t xml:space="preserve"> of Federal Poverty Guidelines: </w:t>
      </w:r>
      <w:r w:rsidRPr="000E5245">
        <w:t>$26 (PG&amp;E), $15 (SCE), and $34 (SDG&amp;E).</w:t>
      </w:r>
      <w:r w:rsidRPr="000E5245" w:rsidR="0071164B">
        <w:rPr>
          <w:vertAlign w:val="superscript"/>
        </w:rPr>
        <w:footnoteReference w:id="155"/>
      </w:r>
      <w:r w:rsidRPr="000E5245" w:rsidR="0071164B">
        <w:t xml:space="preserve"> </w:t>
      </w:r>
      <w:r w:rsidR="00A52883">
        <w:t xml:space="preserve"> Each party used the Public Tool to show compliance with AB 205 requirements to provide savings to CARE-eligible customers with average usage in every baseline territory.</w:t>
      </w:r>
      <w:r w:rsidRPr="000E5245">
        <w:t xml:space="preserve"> </w:t>
      </w:r>
    </w:p>
    <w:p w:rsidR="00386F3C" w:rsidP="00287A3A" w:rsidRDefault="0032345F" w14:paraId="5DB594ED" w14:textId="3EB00C6F">
      <w:pPr>
        <w:pStyle w:val="Standard"/>
      </w:pPr>
      <w:r>
        <w:t>This decision</w:t>
      </w:r>
      <w:r w:rsidR="00386F3C">
        <w:t xml:space="preserve"> approved </w:t>
      </w:r>
      <w:r w:rsidR="002563B5">
        <w:t xml:space="preserve">fewer </w:t>
      </w:r>
      <w:r w:rsidR="00386F3C">
        <w:t xml:space="preserve">fixed cost categories </w:t>
      </w:r>
      <w:r w:rsidR="002563B5">
        <w:t>than proposed by the Large Utilities</w:t>
      </w:r>
      <w:r w:rsidR="00176E67">
        <w:t>, resulting in lower potential revenue recovery by the fixed charges</w:t>
      </w:r>
      <w:r w:rsidR="002563B5">
        <w:t xml:space="preserve">. </w:t>
      </w:r>
      <w:r w:rsidR="0015096F">
        <w:t xml:space="preserve">Accordingly, the </w:t>
      </w:r>
      <w:r w:rsidR="00287A3A">
        <w:t>fixed charges for CARE-eligible customers must be lower than the amounts proposed by the Large Utilities to comply with AB 205.</w:t>
      </w:r>
    </w:p>
    <w:p w:rsidR="00304485" w:rsidP="0037457A" w:rsidRDefault="00D54E0B" w14:paraId="08132E3E" w14:textId="4B1835ED">
      <w:pPr>
        <w:pStyle w:val="Standard"/>
      </w:pPr>
      <w:r>
        <w:t>Next, we will</w:t>
      </w:r>
      <w:r w:rsidR="00B431EF">
        <w:t xml:space="preserve"> consider </w:t>
      </w:r>
      <w:r>
        <w:t>differentials</w:t>
      </w:r>
      <w:r w:rsidR="00B431EF">
        <w:t xml:space="preserve"> to create between the income tiers </w:t>
      </w:r>
      <w:r w:rsidR="005A6144">
        <w:t xml:space="preserve">of the fixed charges. </w:t>
      </w:r>
      <w:r w:rsidR="00D5605D">
        <w:t xml:space="preserve">On the one hand, adopting a $0 fixed charge would maximize </w:t>
      </w:r>
      <w:r w:rsidR="00D5605D">
        <w:lastRenderedPageBreak/>
        <w:t>savings for low-income customers. On the other hand,</w:t>
      </w:r>
      <w:r w:rsidR="0037457A">
        <w:t xml:space="preserve"> i</w:t>
      </w:r>
      <w:r w:rsidR="00304485">
        <w:t xml:space="preserve">f we were to adopt a fixed charge of $0 for the CARE-eligible income tier, we would have to adopt </w:t>
      </w:r>
      <w:r w:rsidR="00C75C9C">
        <w:t>a higher fixed charge for the top income tier</w:t>
      </w:r>
      <w:r w:rsidR="00424C96">
        <w:t xml:space="preserve"> or </w:t>
      </w:r>
      <w:r w:rsidR="00A47D2D">
        <w:t xml:space="preserve">provide </w:t>
      </w:r>
      <w:r w:rsidR="00606A93">
        <w:t xml:space="preserve">lower </w:t>
      </w:r>
      <w:r w:rsidR="00A47D2D">
        <w:t>volumetric rate reduction</w:t>
      </w:r>
      <w:r w:rsidR="00606A93">
        <w:t>s</w:t>
      </w:r>
      <w:r w:rsidR="0085756F">
        <w:t xml:space="preserve"> for all </w:t>
      </w:r>
      <w:r w:rsidR="00C70CED">
        <w:t xml:space="preserve">residential </w:t>
      </w:r>
      <w:r w:rsidR="0085756F">
        <w:t>customers</w:t>
      </w:r>
      <w:r w:rsidR="00C75C9C">
        <w:t>.</w:t>
      </w:r>
    </w:p>
    <w:p w:rsidR="000A0DF0" w:rsidP="00D441D0" w:rsidRDefault="003729C9" w14:paraId="613BA189" w14:textId="45EC45BA">
      <w:pPr>
        <w:pStyle w:val="Standard"/>
      </w:pPr>
      <w:r>
        <w:t xml:space="preserve">Several parties raised concerns that could be mitigated by adopting a </w:t>
      </w:r>
      <w:r w:rsidR="00AC2668">
        <w:t>relatively mild</w:t>
      </w:r>
      <w:r>
        <w:t xml:space="preserve"> income graduation for the fixed charges. </w:t>
      </w:r>
      <w:r w:rsidRPr="000A0DF0" w:rsidR="000A0DF0">
        <w:t xml:space="preserve">Cal Advocates, UCAN, and TURN/NRDC argued that the first </w:t>
      </w:r>
      <w:r w:rsidR="005A4925">
        <w:t xml:space="preserve">version of </w:t>
      </w:r>
      <w:r w:rsidRPr="000A0DF0" w:rsidR="000A0DF0">
        <w:t>income-graduated fixed charges should be designed to protect customers who are initially assigned to the wrong tier, such as customers who are eligible but not enrolled in CARE or FERA.</w:t>
      </w:r>
      <w:r w:rsidRPr="000A0DF0" w:rsidR="000A0DF0">
        <w:rPr>
          <w:vertAlign w:val="superscript"/>
        </w:rPr>
        <w:footnoteReference w:id="156"/>
      </w:r>
      <w:r w:rsidRPr="000A0DF0" w:rsidR="000A0DF0">
        <w:t xml:space="preserve"> </w:t>
      </w:r>
      <w:r w:rsidR="00525447">
        <w:t xml:space="preserve">While </w:t>
      </w:r>
      <w:r w:rsidRPr="000A0DF0" w:rsidR="000A0DF0">
        <w:t>CforAT, Sierra Club, and CEJA</w:t>
      </w:r>
      <w:r w:rsidR="002A20A6">
        <w:t xml:space="preserve"> each</w:t>
      </w:r>
      <w:r w:rsidRPr="000A0DF0" w:rsidR="000A0DF0">
        <w:t xml:space="preserve"> </w:t>
      </w:r>
      <w:r w:rsidR="00525447">
        <w:t xml:space="preserve">supported a $0 fixed charge for </w:t>
      </w:r>
      <w:r w:rsidR="00FE5171">
        <w:t>Tier 1</w:t>
      </w:r>
      <w:r w:rsidR="00525447">
        <w:t xml:space="preserve"> customers, they also </w:t>
      </w:r>
      <w:r w:rsidR="008C0CDC">
        <w:t xml:space="preserve">opposed a high fixed charge </w:t>
      </w:r>
      <w:r w:rsidR="00FE1977">
        <w:t xml:space="preserve">for </w:t>
      </w:r>
      <w:r w:rsidRPr="000A0DF0" w:rsidR="000A0DF0">
        <w:t xml:space="preserve">customers with </w:t>
      </w:r>
      <w:r w:rsidR="004335ED">
        <w:t>incomes slightly above the</w:t>
      </w:r>
      <w:r w:rsidR="00FE1977">
        <w:t xml:space="preserve"> CARE </w:t>
      </w:r>
      <w:r w:rsidR="004335ED">
        <w:t xml:space="preserve">and </w:t>
      </w:r>
      <w:r w:rsidR="00FE1977">
        <w:t xml:space="preserve">FERA </w:t>
      </w:r>
      <w:r w:rsidR="004335ED">
        <w:t>eligibility thresholds</w:t>
      </w:r>
      <w:r w:rsidRPr="000A0DF0" w:rsidR="000A0DF0">
        <w:t>.</w:t>
      </w:r>
      <w:r w:rsidRPr="000A0DF0" w:rsidR="000A0DF0">
        <w:rPr>
          <w:vertAlign w:val="superscript"/>
        </w:rPr>
        <w:footnoteReference w:id="157"/>
      </w:r>
      <w:r w:rsidRPr="000A0DF0" w:rsidR="000A0DF0">
        <w:t xml:space="preserve"> </w:t>
      </w:r>
    </w:p>
    <w:p w:rsidR="00A0562E" w:rsidP="00403AE7" w:rsidRDefault="00E439D0" w14:paraId="5ED2B54C" w14:textId="30487DC0">
      <w:pPr>
        <w:pStyle w:val="Standard"/>
      </w:pPr>
      <w:r>
        <w:t xml:space="preserve">On balance, this decision adopts a </w:t>
      </w:r>
      <w:r w:rsidR="00BD52E7">
        <w:t>relatively mild</w:t>
      </w:r>
      <w:r>
        <w:t xml:space="preserve"> income graduation </w:t>
      </w:r>
      <w:r w:rsidR="00F352D2">
        <w:t xml:space="preserve">for income-graduated fixed charges to mitigate </w:t>
      </w:r>
      <w:r w:rsidR="00176491">
        <w:t xml:space="preserve">potential </w:t>
      </w:r>
      <w:r w:rsidR="003C4788">
        <w:t xml:space="preserve">impacts on customers </w:t>
      </w:r>
      <w:r w:rsidR="005028BB">
        <w:t xml:space="preserve">with modest incomes </w:t>
      </w:r>
      <w:r w:rsidR="003C4788">
        <w:t xml:space="preserve">who do not </w:t>
      </w:r>
      <w:r w:rsidR="000B2F0F">
        <w:t>qualify for a lower tier</w:t>
      </w:r>
      <w:r w:rsidRPr="00EA025D" w:rsidR="00EA025D">
        <w:t xml:space="preserve"> </w:t>
      </w:r>
      <w:r w:rsidR="00EA025D">
        <w:t xml:space="preserve">or </w:t>
      </w:r>
      <w:r w:rsidR="000B2F0F">
        <w:t xml:space="preserve">are initially placed in the wrong tier. </w:t>
      </w:r>
      <w:r w:rsidR="00505B27">
        <w:t xml:space="preserve">Customers in Tier 1 will </w:t>
      </w:r>
      <w:r w:rsidR="006B67B7">
        <w:t xml:space="preserve">receive a </w:t>
      </w:r>
      <w:r w:rsidR="001C39CC">
        <w:t xml:space="preserve">low fixed charge (rather than a $0 fixed charge) to </w:t>
      </w:r>
      <w:r w:rsidR="00F97A20">
        <w:t xml:space="preserve">avoid charging a higher </w:t>
      </w:r>
      <w:r w:rsidR="002252D9">
        <w:t xml:space="preserve">than necessary </w:t>
      </w:r>
      <w:r w:rsidR="00F97A20">
        <w:t>fixed charge for Tier 2 and Tier 3 customers or reducing volumetric rate reductions for all residential customers.</w:t>
      </w:r>
    </w:p>
    <w:p w:rsidR="00893BF4" w:rsidP="00893BF4" w:rsidRDefault="001076F6" w14:paraId="3FBFA7EA" w14:textId="59813682">
      <w:pPr>
        <w:pStyle w:val="Standard"/>
      </w:pPr>
      <w:r w:rsidRPr="001076F6">
        <w:t xml:space="preserve">Next, we will consider whether the fixed charges will recover 100 percent of each of the fixed cost categories authorized in the section above. The Public Tool estimated that recovering 100 percent of each of the authorized fixed cost categories would result in an average fixed charge of $25.41 for SDG&amp;E, which </w:t>
      </w:r>
      <w:r w:rsidRPr="001076F6">
        <w:lastRenderedPageBreak/>
        <w:t>would require a Tier 3 fixed charge significantly higher than the Sacramento Municipal Utility District’s default residential fixed charge of $24.15 to comply with AB 205 requirements for low-income customers to realize bill savings</w:t>
      </w:r>
      <w:r w:rsidRPr="00893BF4" w:rsidR="00893BF4">
        <w:t>.</w:t>
      </w:r>
    </w:p>
    <w:p w:rsidR="00FB0335" w:rsidP="001C7AD9" w:rsidRDefault="00893BF4" w14:paraId="23E74044" w14:textId="2458364C">
      <w:pPr>
        <w:pStyle w:val="Standard"/>
      </w:pPr>
      <w:r w:rsidRPr="00893BF4">
        <w:t>Several parties, including the Large Utilities, proposed to recover a percentage of certain fixed cost categories rather than 100</w:t>
      </w:r>
      <w:r w:rsidR="00C1241D">
        <w:t xml:space="preserve"> percent</w:t>
      </w:r>
      <w:r w:rsidRPr="00893BF4">
        <w:t xml:space="preserve"> of approved fixed cost categories. We will apply this approach to establish consistent fixed charge levels that comply with AB 205 and are aligned with the Sacramento Municipal Utility District’s residential fixed charge levels.</w:t>
      </w:r>
    </w:p>
    <w:p w:rsidR="001C15AF" w:rsidP="001C15AF" w:rsidRDefault="001C15AF" w14:paraId="002825B8" w14:textId="405C89CD">
      <w:pPr>
        <w:pStyle w:val="Standard"/>
      </w:pPr>
      <w:r w:rsidRPr="001C15AF">
        <w:t xml:space="preserve">Finally, we will consider the appropriate fixed charge level for each income tier. As discussed in Section 5.1 above, Tier 1 refers to the lowest income tier (for CARE-eligible customers), Tier 2 refers to </w:t>
      </w:r>
      <w:r w:rsidR="00D13BD9">
        <w:t xml:space="preserve">the </w:t>
      </w:r>
      <w:r w:rsidRPr="001C15AF">
        <w:t xml:space="preserve">middle income tier (for FERA-eligible customers and </w:t>
      </w:r>
      <w:r w:rsidR="00E12EE2">
        <w:t xml:space="preserve">customers who live in </w:t>
      </w:r>
      <w:r w:rsidRPr="00E12EE2" w:rsidR="00E12EE2">
        <w:t>affordable housing restricted to residents with incomes at or below 80 percent of Area Median Income</w:t>
      </w:r>
      <w:r w:rsidRPr="001C15AF">
        <w:t>), and Tier 3 refers to the highest income tier.</w:t>
      </w:r>
    </w:p>
    <w:p w:rsidR="00766369" w:rsidP="00766369" w:rsidRDefault="00EA025D" w14:paraId="6FF6BC2C" w14:textId="41A4665D">
      <w:pPr>
        <w:pStyle w:val="Standard"/>
      </w:pPr>
      <w:r w:rsidRPr="00EA025D">
        <w:t xml:space="preserve">As shown in </w:t>
      </w:r>
      <w:r w:rsidR="006409CE">
        <w:t>Attachment A</w:t>
      </w:r>
      <w:r w:rsidRPr="00EA025D">
        <w:t>, the Public Tool estimate</w:t>
      </w:r>
      <w:r w:rsidR="00FA4197">
        <w:t>d</w:t>
      </w:r>
      <w:r w:rsidRPr="00EA025D">
        <w:t xml:space="preserve"> that </w:t>
      </w:r>
      <w:r w:rsidR="00D13BD9">
        <w:t xml:space="preserve">a </w:t>
      </w:r>
      <w:r w:rsidRPr="00EA025D">
        <w:t>Tier 1 fixed charge of $</w:t>
      </w:r>
      <w:r w:rsidR="001A6F77">
        <w:t>6</w:t>
      </w:r>
      <w:r w:rsidR="00FB0335">
        <w:t xml:space="preserve">.00 per </w:t>
      </w:r>
      <w:r w:rsidR="001A6F77">
        <w:t>month</w:t>
      </w:r>
      <w:r w:rsidRPr="00EA025D">
        <w:t xml:space="preserve"> paired with a Tier 3 fixed charge of $24.15 and a Tier 2 fixed charge of $</w:t>
      </w:r>
      <w:r w:rsidR="001A6F77">
        <w:t>12.08</w:t>
      </w:r>
      <w:r w:rsidR="00FB0335">
        <w:t xml:space="preserve"> </w:t>
      </w:r>
      <w:r w:rsidR="00CB50A2">
        <w:t>would comply</w:t>
      </w:r>
      <w:r w:rsidR="001C586E">
        <w:t xml:space="preserve"> with </w:t>
      </w:r>
      <w:r w:rsidR="002E5B27">
        <w:t xml:space="preserve">the </w:t>
      </w:r>
      <w:r w:rsidR="001C586E">
        <w:t xml:space="preserve">AB 205 </w:t>
      </w:r>
      <w:r w:rsidRPr="00EA025D">
        <w:t xml:space="preserve">requirement </w:t>
      </w:r>
      <w:r w:rsidRPr="00A42FCB" w:rsidR="00A42FCB">
        <w:t xml:space="preserve">to </w:t>
      </w:r>
      <w:r w:rsidRPr="008C44C9" w:rsidR="001C7831">
        <w:t xml:space="preserve">lower the average monthly bill for </w:t>
      </w:r>
      <w:r w:rsidR="00C3691B">
        <w:t>a</w:t>
      </w:r>
      <w:r w:rsidRPr="00EA025D">
        <w:t xml:space="preserve"> low-income </w:t>
      </w:r>
      <w:r w:rsidRPr="008C44C9" w:rsidR="001C7831">
        <w:t xml:space="preserve">ratepayer </w:t>
      </w:r>
      <w:r w:rsidRPr="00C3691B" w:rsidR="00C3691B">
        <w:t xml:space="preserve">with average electricity usage </w:t>
      </w:r>
      <w:r w:rsidRPr="008C44C9" w:rsidR="001C7831">
        <w:t>in each baseline territory</w:t>
      </w:r>
      <w:r w:rsidR="001F5806">
        <w:t xml:space="preserve"> of each of the Large Utilities</w:t>
      </w:r>
      <w:r w:rsidRPr="008C44C9" w:rsidR="001C7831">
        <w:t xml:space="preserve"> without making any changes to usage.</w:t>
      </w:r>
      <w:r w:rsidR="00A2741B">
        <w:t xml:space="preserve"> </w:t>
      </w:r>
      <w:r w:rsidR="00B11ECB">
        <w:t xml:space="preserve">A </w:t>
      </w:r>
      <w:r w:rsidR="006A0D29">
        <w:t xml:space="preserve">Tier 1 fixed charge </w:t>
      </w:r>
      <w:r w:rsidR="00033035">
        <w:t>of $6</w:t>
      </w:r>
      <w:r w:rsidR="00CB50A2">
        <w:t>.00 per month</w:t>
      </w:r>
      <w:r w:rsidR="006A0D29">
        <w:t xml:space="preserve"> is</w:t>
      </w:r>
      <w:r w:rsidR="0064700B">
        <w:t xml:space="preserve"> </w:t>
      </w:r>
      <w:r w:rsidR="00CB2DD7">
        <w:t xml:space="preserve">also </w:t>
      </w:r>
      <w:r w:rsidR="0064700B">
        <w:t>aligned wi</w:t>
      </w:r>
      <w:r w:rsidR="00D742A2">
        <w:t>th the proposals of most parties</w:t>
      </w:r>
      <w:r w:rsidR="0064700B">
        <w:t xml:space="preserve">, who recommended </w:t>
      </w:r>
      <w:r w:rsidR="00D742A2">
        <w:t>fixed charges between $0</w:t>
      </w:r>
      <w:r w:rsidR="0089596A">
        <w:t>.00</w:t>
      </w:r>
      <w:r w:rsidR="00D742A2">
        <w:t xml:space="preserve"> and $7</w:t>
      </w:r>
      <w:r w:rsidR="0089596A">
        <w:t>.00</w:t>
      </w:r>
      <w:r w:rsidR="00D742A2">
        <w:t xml:space="preserve"> for CARE-eligible customers.</w:t>
      </w:r>
      <w:r w:rsidR="00620909">
        <w:t xml:space="preserve"> </w:t>
      </w:r>
    </w:p>
    <w:p w:rsidR="00387EC3" w:rsidP="00D742A2" w:rsidRDefault="00B11ECB" w14:paraId="4B4AEDA7" w14:textId="650C9A78">
      <w:pPr>
        <w:pStyle w:val="Standard"/>
      </w:pPr>
      <w:r>
        <w:t xml:space="preserve">A </w:t>
      </w:r>
      <w:r w:rsidR="00620909">
        <w:t xml:space="preserve">Tier 2 fixed charge </w:t>
      </w:r>
      <w:r>
        <w:t xml:space="preserve">of $12.08 </w:t>
      </w:r>
      <w:r w:rsidR="00D02496">
        <w:t xml:space="preserve">reflects </w:t>
      </w:r>
      <w:r w:rsidRPr="00D02496" w:rsidR="00D02496">
        <w:t>a discount equal to 50</w:t>
      </w:r>
      <w:r w:rsidR="00C1241D">
        <w:t xml:space="preserve"> percent</w:t>
      </w:r>
      <w:r w:rsidRPr="00D02496" w:rsidR="00D02496">
        <w:t xml:space="preserve"> of the </w:t>
      </w:r>
      <w:r w:rsidR="000E4FB0">
        <w:t>Tier 3 fixed charge</w:t>
      </w:r>
      <w:r w:rsidR="00D02496">
        <w:t xml:space="preserve"> and is</w:t>
      </w:r>
      <w:r w:rsidRPr="00D02496" w:rsidR="00D02496">
        <w:t xml:space="preserve"> </w:t>
      </w:r>
      <w:r w:rsidR="00EE79EF">
        <w:t>similar to</w:t>
      </w:r>
      <w:r w:rsidR="000E06A4">
        <w:t xml:space="preserve"> </w:t>
      </w:r>
      <w:r w:rsidR="00014C50">
        <w:t>the</w:t>
      </w:r>
      <w:r w:rsidR="00620909">
        <w:t xml:space="preserve"> </w:t>
      </w:r>
      <w:r w:rsidRPr="0039468B" w:rsidR="0039468B">
        <w:t>Sacramento Municipal Utility District</w:t>
      </w:r>
      <w:r w:rsidR="0039468B">
        <w:t>’s</w:t>
      </w:r>
      <w:r w:rsidR="00620909">
        <w:t xml:space="preserve"> </w:t>
      </w:r>
      <w:r w:rsidR="00AB024A">
        <w:t xml:space="preserve">low-income customer fixed charge </w:t>
      </w:r>
      <w:r w:rsidR="00A62C19">
        <w:t>(</w:t>
      </w:r>
      <w:r w:rsidR="00AB024A">
        <w:t>$14.15</w:t>
      </w:r>
      <w:r w:rsidR="00A62C19">
        <w:t>)</w:t>
      </w:r>
      <w:r w:rsidR="0039468B">
        <w:t>.</w:t>
      </w:r>
      <w:r w:rsidRPr="00CB2DD7" w:rsidR="00CB2DD7">
        <w:t xml:space="preserve"> </w:t>
      </w:r>
      <w:r w:rsidR="005C64E8">
        <w:t xml:space="preserve">We note that the Tier </w:t>
      </w:r>
      <w:r w:rsidR="001969FC">
        <w:t>1</w:t>
      </w:r>
      <w:r w:rsidR="005C64E8">
        <w:t xml:space="preserve"> fixed charge is significantly lower than this</w:t>
      </w:r>
      <w:r w:rsidR="001969FC">
        <w:t xml:space="preserve"> </w:t>
      </w:r>
      <w:r w:rsidR="00DD4223">
        <w:t>figure</w:t>
      </w:r>
      <w:r w:rsidR="001969FC">
        <w:t xml:space="preserve">. </w:t>
      </w:r>
      <w:r w:rsidR="00B20A25">
        <w:t xml:space="preserve">This fixed charge level is reasonable to </w:t>
      </w:r>
      <w:r w:rsidR="00B20A25">
        <w:lastRenderedPageBreak/>
        <w:t xml:space="preserve">apply to customers who are eligible for FERA </w:t>
      </w:r>
      <w:r w:rsidR="00E12EE2">
        <w:t xml:space="preserve">or who live in </w:t>
      </w:r>
      <w:r w:rsidR="00B20A25">
        <w:t>affordable housing</w:t>
      </w:r>
      <w:r w:rsidR="00E12EE2">
        <w:t xml:space="preserve"> </w:t>
      </w:r>
      <w:r w:rsidRPr="00E12EE2" w:rsidR="00E12EE2">
        <w:t>restricted to residents with incomes at or below 80 percent of Area Median Income</w:t>
      </w:r>
      <w:r w:rsidR="00B20A25">
        <w:t>.</w:t>
      </w:r>
    </w:p>
    <w:p w:rsidR="009D0236" w:rsidP="00D742A2" w:rsidRDefault="00263B27" w14:paraId="594271BD" w14:textId="31B45B29">
      <w:pPr>
        <w:pStyle w:val="Standard"/>
      </w:pPr>
      <w:r>
        <w:t>As shown in Attachment B, t</w:t>
      </w:r>
      <w:r w:rsidR="00FF4FBA">
        <w:t>he Pu</w:t>
      </w:r>
      <w:r w:rsidR="00313812">
        <w:t xml:space="preserve">blic Tool </w:t>
      </w:r>
      <w:r w:rsidR="00773D89">
        <w:t>estimated</w:t>
      </w:r>
      <w:r w:rsidR="0041301F">
        <w:t xml:space="preserve"> that the</w:t>
      </w:r>
      <w:r w:rsidR="0004518C">
        <w:t xml:space="preserve"> </w:t>
      </w:r>
      <w:r w:rsidR="00CF1601">
        <w:t>adopted fixed charge levels for the Large Utilities</w:t>
      </w:r>
      <w:r w:rsidR="0004518C">
        <w:t xml:space="preserve"> will result in</w:t>
      </w:r>
      <w:r w:rsidR="00773D89">
        <w:t xml:space="preserve"> significant</w:t>
      </w:r>
      <w:r w:rsidR="00334880">
        <w:t xml:space="preserve"> rate saving</w:t>
      </w:r>
      <w:r w:rsidR="00773D89">
        <w:t xml:space="preserve"> </w:t>
      </w:r>
      <w:r w:rsidR="00537C21">
        <w:t>benefits for customer</w:t>
      </w:r>
      <w:r w:rsidR="00C8157C">
        <w:t xml:space="preserve">s on default </w:t>
      </w:r>
      <w:r w:rsidR="00F67EEE">
        <w:t>residential rates</w:t>
      </w:r>
      <w:r w:rsidR="00537C21">
        <w:t xml:space="preserve"> who </w:t>
      </w:r>
      <w:r w:rsidR="00DE6665">
        <w:t xml:space="preserve">adopt </w:t>
      </w:r>
      <w:r w:rsidR="00100171">
        <w:t xml:space="preserve">building and transportation electrification technologies. </w:t>
      </w:r>
      <w:r w:rsidR="00313812">
        <w:t xml:space="preserve"> </w:t>
      </w:r>
    </w:p>
    <w:p w:rsidR="00BB3EFF" w:rsidP="00BB3EFF" w:rsidRDefault="00BB3EFF" w14:paraId="5D87825F" w14:textId="0F28E2EC">
      <w:pPr>
        <w:pStyle w:val="Standard"/>
      </w:pPr>
      <w:r w:rsidRPr="00BB3EFF">
        <w:t xml:space="preserve">It is reasonable for the Large Utilities to propose income-graduated fixed charge levels in their Tier 3 implementation advice letters </w:t>
      </w:r>
      <w:r w:rsidR="00C55DE1">
        <w:t xml:space="preserve">based on the most recently adopted revenue requirements </w:t>
      </w:r>
      <w:r w:rsidRPr="00BB3EFF">
        <w:t xml:space="preserve">that meet all of the following requirements: </w:t>
      </w:r>
    </w:p>
    <w:p w:rsidR="00CD10A1" w:rsidP="0008492E" w:rsidRDefault="00CD10A1" w14:paraId="05236098" w14:textId="700EEED9">
      <w:pPr>
        <w:pStyle w:val="ListAlpha"/>
        <w:ind w:right="1350"/>
      </w:pPr>
      <w:r>
        <w:t>The fixed charges shall recover 100</w:t>
      </w:r>
      <w:r w:rsidR="00C1241D">
        <w:t xml:space="preserve"> percent</w:t>
      </w:r>
      <w:r>
        <w:t xml:space="preserve"> of Marginal Customer Access Costs;</w:t>
      </w:r>
    </w:p>
    <w:p w:rsidR="001C7233" w:rsidP="0008492E" w:rsidRDefault="001C7233" w14:paraId="7E82F8DB" w14:textId="5C7AFA9C">
      <w:pPr>
        <w:pStyle w:val="ListAlpha"/>
        <w:ind w:right="1350"/>
      </w:pPr>
      <w:r>
        <w:t xml:space="preserve">The fixed charges shall recover </w:t>
      </w:r>
      <w:r w:rsidR="00066136">
        <w:t>up to 100</w:t>
      </w:r>
      <w:r w:rsidR="00C1241D">
        <w:t xml:space="preserve"> percent</w:t>
      </w:r>
      <w:r w:rsidR="00066136">
        <w:t xml:space="preserve"> of the</w:t>
      </w:r>
      <w:r w:rsidR="00A53444">
        <w:t xml:space="preserve"> following </w:t>
      </w:r>
      <w:r w:rsidR="00726AA5">
        <w:t>fixed cost categories</w:t>
      </w:r>
      <w:r w:rsidR="00C53086">
        <w:t xml:space="preserve">: </w:t>
      </w:r>
      <w:r w:rsidRPr="001E4454" w:rsidR="00C53086">
        <w:t xml:space="preserve">Public Purpose Program </w:t>
      </w:r>
      <w:r w:rsidR="00C53086">
        <w:t xml:space="preserve">non-bypassable </w:t>
      </w:r>
      <w:r w:rsidRPr="001E4454" w:rsidR="00C53086">
        <w:t>charges</w:t>
      </w:r>
      <w:r w:rsidR="00C53086">
        <w:t xml:space="preserve">, </w:t>
      </w:r>
      <w:r w:rsidRPr="00727EC4" w:rsidR="00C53086">
        <w:t>New System Generation</w:t>
      </w:r>
      <w:r w:rsidR="00C53086">
        <w:t xml:space="preserve"> or</w:t>
      </w:r>
      <w:r w:rsidRPr="00727EC4" w:rsidR="00C53086">
        <w:t xml:space="preserve"> Local Generation</w:t>
      </w:r>
      <w:r w:rsidR="00C53086">
        <w:t xml:space="preserve"> charges as applicable, and Nuclear Decommissioning non-bypassable charges;</w:t>
      </w:r>
    </w:p>
    <w:p w:rsidR="00420DD0" w:rsidP="0008492E" w:rsidRDefault="007535F1" w14:paraId="5232B7D9" w14:textId="77777777">
      <w:pPr>
        <w:pStyle w:val="ListAlpha"/>
        <w:ind w:right="1350"/>
      </w:pPr>
      <w:r>
        <w:t>The fixed cost and fixed charge calculations shall use</w:t>
      </w:r>
      <w:r w:rsidR="003F4654">
        <w:t xml:space="preserve"> </w:t>
      </w:r>
      <w:r w:rsidR="00C15430">
        <w:t xml:space="preserve">the latest revenue requirements </w:t>
      </w:r>
      <w:r w:rsidR="0066097A">
        <w:t xml:space="preserve">and billing determinants </w:t>
      </w:r>
      <w:r w:rsidR="00C15430">
        <w:t>approved by</w:t>
      </w:r>
      <w:r w:rsidR="00DD6283">
        <w:t xml:space="preserve"> the Commission</w:t>
      </w:r>
      <w:r w:rsidR="00420DD0">
        <w:t>;</w:t>
      </w:r>
    </w:p>
    <w:p w:rsidR="00420DD0" w:rsidP="0008492E" w:rsidRDefault="00420DD0" w14:paraId="557E72F3" w14:textId="5A827269">
      <w:pPr>
        <w:pStyle w:val="ListAlpha"/>
        <w:ind w:right="1350"/>
      </w:pPr>
      <w:r>
        <w:t xml:space="preserve">The Tier 1 fixed charge shall </w:t>
      </w:r>
      <w:r w:rsidR="000941CA">
        <w:t xml:space="preserve">be </w:t>
      </w:r>
      <w:r w:rsidR="009F1E6B">
        <w:t>$6.00</w:t>
      </w:r>
      <w:r w:rsidR="00B622BC">
        <w:t xml:space="preserve">, provided that the fixed charge </w:t>
      </w:r>
      <w:r w:rsidR="00E64799">
        <w:t xml:space="preserve">shall </w:t>
      </w:r>
      <w:r w:rsidR="00B622BC">
        <w:t xml:space="preserve">be </w:t>
      </w:r>
      <w:r w:rsidR="00E64799">
        <w:t>reduced</w:t>
      </w:r>
      <w:r w:rsidR="00B622BC">
        <w:t xml:space="preserve"> if necessary to</w:t>
      </w:r>
      <w:r w:rsidR="009F1E6B">
        <w:t xml:space="preserve"> </w:t>
      </w:r>
      <w:r>
        <w:t xml:space="preserve">comply with the </w:t>
      </w:r>
      <w:r w:rsidRPr="006934D9">
        <w:t>Section 739.9(e)(1) requirement for CARE-eligible customers to realize average monthly bill savings in all baseline territories without changes to usage</w:t>
      </w:r>
      <w:r>
        <w:t xml:space="preserve"> based on an updated customer bill impact assessment;</w:t>
      </w:r>
    </w:p>
    <w:p w:rsidR="00420DD0" w:rsidP="0008492E" w:rsidRDefault="00420DD0" w14:paraId="0481584B" w14:textId="1002A016">
      <w:pPr>
        <w:pStyle w:val="ListAlpha"/>
        <w:ind w:right="1350"/>
      </w:pPr>
      <w:r>
        <w:t xml:space="preserve">The Tier 2 fixed charge shall </w:t>
      </w:r>
      <w:r w:rsidR="00B0022E">
        <w:t>be $12.08</w:t>
      </w:r>
      <w:r>
        <w:t>;</w:t>
      </w:r>
      <w:r w:rsidRPr="00002A58">
        <w:t xml:space="preserve"> </w:t>
      </w:r>
      <w:r>
        <w:t>and</w:t>
      </w:r>
    </w:p>
    <w:p w:rsidR="00420DD0" w:rsidP="0008492E" w:rsidRDefault="00420DD0" w14:paraId="0A536458" w14:textId="7725528F">
      <w:pPr>
        <w:pStyle w:val="ListAlpha"/>
        <w:ind w:right="1350"/>
      </w:pPr>
      <w:r>
        <w:t>The Tier 3 fixed charge shall be $24.15</w:t>
      </w:r>
      <w:r w:rsidR="002A7936">
        <w:t xml:space="preserve">, provided that </w:t>
      </w:r>
      <w:r w:rsidR="002079F5">
        <w:t>the Tier 3 fixed charge shall be</w:t>
      </w:r>
      <w:r w:rsidR="00E64799">
        <w:t xml:space="preserve"> reduced</w:t>
      </w:r>
      <w:r w:rsidR="002079F5">
        <w:t xml:space="preserve"> if </w:t>
      </w:r>
      <w:r w:rsidR="00F31C33">
        <w:t>100</w:t>
      </w:r>
      <w:r w:rsidR="00C1241D">
        <w:t xml:space="preserve"> percent</w:t>
      </w:r>
      <w:r w:rsidR="00F31C33">
        <w:t xml:space="preserve"> </w:t>
      </w:r>
      <w:r w:rsidR="00EF06CE">
        <w:t>recovery</w:t>
      </w:r>
      <w:r w:rsidR="00F31C33">
        <w:t xml:space="preserve"> of each of the </w:t>
      </w:r>
      <w:r w:rsidR="00876654">
        <w:t xml:space="preserve">authorized fixed cost categories </w:t>
      </w:r>
      <w:r w:rsidR="00EF06CE">
        <w:t xml:space="preserve">through the </w:t>
      </w:r>
      <w:r w:rsidR="00EF06CE">
        <w:lastRenderedPageBreak/>
        <w:t xml:space="preserve">income-graduated fixed charge </w:t>
      </w:r>
      <w:r w:rsidR="0047485D">
        <w:t xml:space="preserve">is not sufficient </w:t>
      </w:r>
      <w:r w:rsidR="00136D31">
        <w:t xml:space="preserve">to </w:t>
      </w:r>
      <w:r w:rsidR="00121940">
        <w:t xml:space="preserve">produce a </w:t>
      </w:r>
      <w:r w:rsidR="00B904BD">
        <w:t xml:space="preserve">Tier 3 fixed charge of $24.15 while </w:t>
      </w:r>
      <w:r w:rsidR="00AA1ACA">
        <w:t xml:space="preserve">also complying with the remaining requirements listed here and the </w:t>
      </w:r>
      <w:r w:rsidR="00F458CD">
        <w:t>AB 205 requirements for the CARE discount</w:t>
      </w:r>
      <w:r>
        <w:t>.</w:t>
      </w:r>
      <w:r w:rsidRPr="005940BE" w:rsidR="005940BE">
        <w:rPr>
          <w:vertAlign w:val="superscript"/>
        </w:rPr>
        <w:footnoteReference w:id="158"/>
      </w:r>
    </w:p>
    <w:p w:rsidR="005A11FB" w:rsidP="00F937F2" w:rsidRDefault="00495131" w14:paraId="2B67E743" w14:textId="328FAC6C">
      <w:pPr>
        <w:pStyle w:val="Standard"/>
      </w:pPr>
      <w:r>
        <w:t>In comments on the proposed decision, several parties urged the Commission to</w:t>
      </w:r>
      <w:r w:rsidR="00612CA4">
        <w:t xml:space="preserve"> consider</w:t>
      </w:r>
      <w:r w:rsidR="007C1B27">
        <w:t xml:space="preserve"> any</w:t>
      </w:r>
      <w:r w:rsidR="00D0737A">
        <w:t xml:space="preserve"> proposals to increase </w:t>
      </w:r>
      <w:r w:rsidR="00565102">
        <w:t xml:space="preserve">fixed charges in this proceeding </w:t>
      </w:r>
      <w:r w:rsidR="00391003">
        <w:t xml:space="preserve">to ensure </w:t>
      </w:r>
      <w:r w:rsidR="007C1B27">
        <w:t xml:space="preserve">that any modifications to fixed charges are </w:t>
      </w:r>
      <w:r w:rsidR="00D373D6">
        <w:t>consisten</w:t>
      </w:r>
      <w:r w:rsidR="008640AF">
        <w:t>t</w:t>
      </w:r>
      <w:r w:rsidR="00D373D6">
        <w:t xml:space="preserve"> </w:t>
      </w:r>
      <w:r w:rsidR="00CF3E1E">
        <w:t xml:space="preserve">with the findings of the </w:t>
      </w:r>
      <w:r w:rsidR="009848E0">
        <w:t>working groups authorized in this decision.</w:t>
      </w:r>
      <w:r w:rsidR="00BC24A2">
        <w:t xml:space="preserve"> Parties also emphasized the importance of</w:t>
      </w:r>
      <w:r w:rsidR="00181213">
        <w:t xml:space="preserve"> </w:t>
      </w:r>
      <w:r w:rsidR="00BC24A2">
        <w:t xml:space="preserve">considering </w:t>
      </w:r>
      <w:r w:rsidR="00181213">
        <w:t xml:space="preserve">changes to fixed charges with </w:t>
      </w:r>
      <w:r w:rsidR="00844FA9">
        <w:t>alternative rate mechanisms for achieving the goals of this rulemaking</w:t>
      </w:r>
      <w:r w:rsidR="00F63500">
        <w:t>.</w:t>
      </w:r>
      <w:r w:rsidR="00181213">
        <w:t xml:space="preserve"> </w:t>
      </w:r>
      <w:r w:rsidR="00020F57">
        <w:t xml:space="preserve"> </w:t>
      </w:r>
      <w:r w:rsidR="00A51506">
        <w:t xml:space="preserve"> </w:t>
      </w:r>
    </w:p>
    <w:p w:rsidR="001104AF" w:rsidP="00F937F2" w:rsidRDefault="00B208A9" w14:paraId="446D0220" w14:textId="65D5D0F2">
      <w:pPr>
        <w:pStyle w:val="Standard"/>
      </w:pPr>
      <w:r w:rsidRPr="00B208A9">
        <w:t xml:space="preserve">The Commission will continue to consider </w:t>
      </w:r>
      <w:r w:rsidR="00E53CF5">
        <w:t xml:space="preserve">any changes to </w:t>
      </w:r>
      <w:r w:rsidRPr="00B208A9">
        <w:t xml:space="preserve">income-graduated fixed charges in </w:t>
      </w:r>
      <w:r w:rsidR="00D42419">
        <w:t xml:space="preserve">Phase 2 of </w:t>
      </w:r>
      <w:r w:rsidRPr="00B208A9">
        <w:t>this proceeding</w:t>
      </w:r>
      <w:r w:rsidR="000F61A8">
        <w:t xml:space="preserve"> or a successor </w:t>
      </w:r>
      <w:r w:rsidR="008E51F9">
        <w:t xml:space="preserve">demand flexibility </w:t>
      </w:r>
      <w:r w:rsidR="00BE6F79">
        <w:t>rulemaking</w:t>
      </w:r>
      <w:r w:rsidRPr="00B208A9">
        <w:t>.</w:t>
      </w:r>
      <w:r w:rsidR="001104AF">
        <w:t xml:space="preserve"> </w:t>
      </w:r>
      <w:r w:rsidR="003633A9">
        <w:t xml:space="preserve">We acknowledge that </w:t>
      </w:r>
      <w:r w:rsidR="00953346">
        <w:t>other</w:t>
      </w:r>
      <w:r w:rsidR="00692D4A">
        <w:t xml:space="preserve"> rate mechanisms</w:t>
      </w:r>
      <w:r w:rsidR="00953346">
        <w:t xml:space="preserve">, such as </w:t>
      </w:r>
      <w:r w:rsidR="00C8390A">
        <w:t>higher time-of-use rate differentials,</w:t>
      </w:r>
      <w:r w:rsidR="00DA481C">
        <w:t xml:space="preserve"> may </w:t>
      </w:r>
      <w:r w:rsidR="0048524A">
        <w:t xml:space="preserve">help </w:t>
      </w:r>
      <w:r w:rsidR="00DA481C">
        <w:t>to</w:t>
      </w:r>
      <w:r w:rsidR="00692D4A">
        <w:t xml:space="preserve"> </w:t>
      </w:r>
      <w:r w:rsidR="00826162">
        <w:t>reduc</w:t>
      </w:r>
      <w:r w:rsidR="00692D4A">
        <w:t>e</w:t>
      </w:r>
      <w:r w:rsidR="00826162">
        <w:t xml:space="preserve"> volumetric electric rates to</w:t>
      </w:r>
      <w:r w:rsidR="003633A9">
        <w:t xml:space="preserve"> </w:t>
      </w:r>
      <w:r w:rsidR="00A813B8">
        <w:t xml:space="preserve">support </w:t>
      </w:r>
      <w:r w:rsidR="00A52400">
        <w:t xml:space="preserve">affordable </w:t>
      </w:r>
      <w:r w:rsidR="00A813B8">
        <w:t xml:space="preserve">electrification of buildings and transportation. </w:t>
      </w:r>
    </w:p>
    <w:p w:rsidR="00904D55" w:rsidP="001104AF" w:rsidRDefault="00FE7BCE" w14:paraId="130E9B49" w14:textId="44066567">
      <w:pPr>
        <w:pStyle w:val="Standard"/>
      </w:pPr>
      <w:r>
        <w:t xml:space="preserve">The section below on implementation timing </w:t>
      </w:r>
      <w:r w:rsidR="00093B64">
        <w:t xml:space="preserve">for the Large Utilities </w:t>
      </w:r>
      <w:r>
        <w:t xml:space="preserve">will address the deadline for the </w:t>
      </w:r>
      <w:r w:rsidR="00093B64">
        <w:t>Tier 3 advice letter</w:t>
      </w:r>
      <w:r w:rsidR="47C8A7A4">
        <w:t>s</w:t>
      </w:r>
      <w:r w:rsidR="00093B64">
        <w:t>.</w:t>
      </w:r>
    </w:p>
    <w:p w:rsidR="00392A8A" w:rsidP="00702F6F" w:rsidRDefault="00392A8A" w14:paraId="06F6C645" w14:textId="77777777">
      <w:pPr>
        <w:pStyle w:val="Heading2"/>
      </w:pPr>
      <w:bookmarkStart w:name="_Toc160790043" w:id="35"/>
      <w:r>
        <w:t>Small and Large Customer Differentiation</w:t>
      </w:r>
      <w:bookmarkEnd w:id="35"/>
    </w:p>
    <w:p w:rsidR="00392A8A" w:rsidP="00392A8A" w:rsidRDefault="00392A8A" w14:paraId="4420FB8A" w14:textId="194FB606">
      <w:pPr>
        <w:pStyle w:val="Standard"/>
      </w:pPr>
      <w:r>
        <w:t xml:space="preserve">Section </w:t>
      </w:r>
      <w:r w:rsidRPr="007442C0">
        <w:t>739.9(d)</w:t>
      </w:r>
      <w:r>
        <w:t>(1)</w:t>
      </w:r>
      <w:r w:rsidRPr="007442C0">
        <w:t xml:space="preserve"> </w:t>
      </w:r>
      <w:r>
        <w:t>of the Pub. Util. Code requires the income-graduated fixed charge to “[r]</w:t>
      </w:r>
      <w:r w:rsidRPr="00574813">
        <w:t>easonably reflect an appropriate portion of the different costs of serving small and large customers.</w:t>
      </w:r>
      <w:r>
        <w:t xml:space="preserve">” The Implementation Pathway Ruling asked parties whether income-graduated fixed charges should be differentiated based on the different costs of serving </w:t>
      </w:r>
      <w:r w:rsidRPr="00B374F4">
        <w:t>(</w:t>
      </w:r>
      <w:r>
        <w:t>a</w:t>
      </w:r>
      <w:r w:rsidRPr="00B374F4">
        <w:t>) customer</w:t>
      </w:r>
      <w:r>
        <w:t>s with high</w:t>
      </w:r>
      <w:r w:rsidRPr="00B374F4">
        <w:t xml:space="preserve"> non-coincident </w:t>
      </w:r>
      <w:r w:rsidRPr="00B374F4">
        <w:lastRenderedPageBreak/>
        <w:t>peak demand levels,</w:t>
      </w:r>
      <w:r w:rsidRPr="00034100" w:rsidR="00034100">
        <w:rPr>
          <w:vertAlign w:val="superscript"/>
        </w:rPr>
        <w:footnoteReference w:id="159"/>
      </w:r>
      <w:r>
        <w:t xml:space="preserve"> </w:t>
      </w:r>
      <w:r w:rsidRPr="00DD4D62" w:rsidR="00DD4D62">
        <w:t>(</w:t>
      </w:r>
      <w:r w:rsidR="00DD4D62">
        <w:t>b</w:t>
      </w:r>
      <w:r w:rsidRPr="00DD4D62" w:rsidR="00DD4D62">
        <w:t>) customers with large panel sizes</w:t>
      </w:r>
      <w:r w:rsidR="00DD4D62">
        <w:t>,</w:t>
      </w:r>
      <w:r w:rsidRPr="00034100" w:rsidR="00034100">
        <w:rPr>
          <w:vertAlign w:val="superscript"/>
        </w:rPr>
        <w:footnoteReference w:id="160"/>
      </w:r>
      <w:r w:rsidR="00DD4D62">
        <w:t xml:space="preserve"> or</w:t>
      </w:r>
      <w:r w:rsidRPr="00DD4D62" w:rsidR="00DD4D62">
        <w:t xml:space="preserve"> </w:t>
      </w:r>
      <w:r>
        <w:t>(</w:t>
      </w:r>
      <w:r w:rsidR="00DD4D62">
        <w:t>c</w:t>
      </w:r>
      <w:r>
        <w:t xml:space="preserve">) single- </w:t>
      </w:r>
      <w:r w:rsidR="00927A35">
        <w:t xml:space="preserve">or </w:t>
      </w:r>
      <w:r>
        <w:t>multi-family homes, based on the number of meters at a property or whether the property has shared or dedicated service line drops</w:t>
      </w:r>
      <w:r w:rsidR="00DD4D62">
        <w:t>.</w:t>
      </w:r>
    </w:p>
    <w:p w:rsidR="00392A8A" w:rsidP="00392A8A" w:rsidRDefault="00392A8A" w14:paraId="405EB8FF" w14:textId="76413E2F">
      <w:pPr>
        <w:pStyle w:val="Standard"/>
      </w:pPr>
      <w:r>
        <w:t>No party supported differentiating customers based on non</w:t>
      </w:r>
      <w:r w:rsidR="00C47441">
        <w:t>-</w:t>
      </w:r>
      <w:r>
        <w:t xml:space="preserve">coincident peak demand. TURN/NRDC argued that this approach would work against </w:t>
      </w:r>
      <w:r w:rsidRPr="007B39E2">
        <w:t>electrification goals by penalizing off-peak EV charging</w:t>
      </w:r>
      <w:r>
        <w:t xml:space="preserve"> and would be </w:t>
      </w:r>
      <w:r w:rsidRPr="007B39E2">
        <w:t xml:space="preserve">confusing for residential customers. </w:t>
      </w:r>
      <w:r>
        <w:t>PacifiCorp</w:t>
      </w:r>
      <w:r w:rsidR="00DD4D62">
        <w:t xml:space="preserve"> argued </w:t>
      </w:r>
      <w:r>
        <w:t>that peak demand charges would be difficult to explain to customers.</w:t>
      </w:r>
      <w:r>
        <w:rPr>
          <w:rStyle w:val="FootnoteReference"/>
        </w:rPr>
        <w:footnoteReference w:id="161"/>
      </w:r>
    </w:p>
    <w:p w:rsidR="00600B0A" w:rsidP="00600B0A" w:rsidRDefault="00600B0A" w14:paraId="70C13E17" w14:textId="26C48B02">
      <w:pPr>
        <w:pStyle w:val="Standard"/>
      </w:pPr>
      <w:r w:rsidRPr="00600B0A">
        <w:t>No party supported differentiating between customers with different panel sizes. The Large Utilities and PacifiCorp noted that they do not collect this information.</w:t>
      </w:r>
      <w:r w:rsidRPr="00600B0A">
        <w:rPr>
          <w:vertAlign w:val="superscript"/>
        </w:rPr>
        <w:footnoteReference w:id="162"/>
      </w:r>
      <w:r w:rsidRPr="00600B0A">
        <w:t xml:space="preserve"> </w:t>
      </w:r>
    </w:p>
    <w:p w:rsidR="00392A8A" w:rsidP="0048332B" w:rsidRDefault="00392A8A" w14:paraId="0CEBDCA4" w14:textId="06A3ED3D">
      <w:pPr>
        <w:pStyle w:val="Standard"/>
      </w:pPr>
      <w:r>
        <w:t xml:space="preserve">Several parties expressed interest in differentiation between single- and multi-family housing </w:t>
      </w:r>
      <w:r w:rsidRPr="001C15AF" w:rsidR="001C15AF">
        <w:t xml:space="preserve">(either directly or through a proxy indicator such as </w:t>
      </w:r>
      <w:r w:rsidR="001C15AF">
        <w:t xml:space="preserve">a </w:t>
      </w:r>
      <w:r w:rsidRPr="001C15AF" w:rsidR="001C15AF">
        <w:t>shared service drop)</w:t>
      </w:r>
      <w:r>
        <w:t>.</w:t>
      </w:r>
      <w:r w:rsidRPr="00AC2668" w:rsidR="00AC2668">
        <w:rPr>
          <w:vertAlign w:val="superscript"/>
        </w:rPr>
        <w:footnoteReference w:id="163"/>
      </w:r>
      <w:r>
        <w:t xml:space="preserve"> </w:t>
      </w:r>
      <w:r w:rsidRPr="000D09B3">
        <w:t xml:space="preserve">TURN/NRDC and Sierra Club/CEJA supported differentiation between single- and multi-family housing or the use of a shared service drop versus a dedicated service line due to the differences in Marginal </w:t>
      </w:r>
      <w:r w:rsidRPr="000D09B3">
        <w:lastRenderedPageBreak/>
        <w:t>Customer Access Costs.</w:t>
      </w:r>
      <w:r w:rsidRPr="000D09B3">
        <w:rPr>
          <w:vertAlign w:val="superscript"/>
        </w:rPr>
        <w:footnoteReference w:id="164"/>
      </w:r>
      <w:r w:rsidRPr="000D09B3">
        <w:t xml:space="preserve"> The Large Utilities did not dispute the value of this approach but responded that PG&amp;E and SDG&amp;E do not have this data, and that it would require substantial additional time and costs to collect this data and add it to its billing system.</w:t>
      </w:r>
      <w:r w:rsidRPr="000D09B3">
        <w:rPr>
          <w:vertAlign w:val="superscript"/>
        </w:rPr>
        <w:footnoteReference w:id="165"/>
      </w:r>
      <w:r w:rsidRPr="000D09B3">
        <w:t xml:space="preserve"> SEIA </w:t>
      </w:r>
      <w:r>
        <w:t>expressed interest in further discussion and study of the difference in costs for service drops and final line transformers</w:t>
      </w:r>
      <w:r w:rsidRPr="000D09B3">
        <w:t>.</w:t>
      </w:r>
      <w:r w:rsidRPr="000D09B3">
        <w:rPr>
          <w:vertAlign w:val="superscript"/>
        </w:rPr>
        <w:footnoteReference w:id="166"/>
      </w:r>
      <w:r>
        <w:t xml:space="preserve"> Cal Advocates supported collecting information to differentiate between single- and multi-family customers for future versions of income-graduated fixed charges.</w:t>
      </w:r>
      <w:r>
        <w:rPr>
          <w:rStyle w:val="FootnoteReference"/>
        </w:rPr>
        <w:footnoteReference w:id="167"/>
      </w:r>
      <w:r w:rsidR="00787A06">
        <w:t xml:space="preserve"> We agree </w:t>
      </w:r>
      <w:r w:rsidR="0048332B">
        <w:t xml:space="preserve">with parties that </w:t>
      </w:r>
      <w:r w:rsidR="00E97CAA">
        <w:t xml:space="preserve">this potential solution requires additional data gathering </w:t>
      </w:r>
      <w:r w:rsidR="00783D06">
        <w:t xml:space="preserve">about costs and feasibility </w:t>
      </w:r>
      <w:r w:rsidR="00E97CAA">
        <w:t xml:space="preserve">and would be more appropriate for a future </w:t>
      </w:r>
      <w:r w:rsidR="00ED2BF7">
        <w:t xml:space="preserve">version of </w:t>
      </w:r>
      <w:r w:rsidR="00E97CAA">
        <w:t>income-graduated fixed charge</w:t>
      </w:r>
      <w:r w:rsidR="00ED2BF7">
        <w:t>s</w:t>
      </w:r>
      <w:r w:rsidR="00E97CAA">
        <w:t xml:space="preserve">. </w:t>
      </w:r>
    </w:p>
    <w:p w:rsidR="00FD4F44" w:rsidP="006977B4" w:rsidRDefault="00392A8A" w14:paraId="23151B1A" w14:textId="685C7628">
      <w:pPr>
        <w:pStyle w:val="Standard"/>
      </w:pPr>
      <w:r>
        <w:t xml:space="preserve">It is reasonable to </w:t>
      </w:r>
      <w:r w:rsidR="001C1C8C">
        <w:t xml:space="preserve">initially </w:t>
      </w:r>
      <w:r>
        <w:t>adopt income-graduated fixed charges for the Large Utilities that do not differentiate between the costs of serving small and large customers</w:t>
      </w:r>
      <w:r w:rsidR="00414052">
        <w:t xml:space="preserve"> and direct the Large Utilities to </w:t>
      </w:r>
      <w:r w:rsidR="0073040F">
        <w:t>prepare a stud</w:t>
      </w:r>
      <w:r w:rsidR="00236ECF">
        <w:t xml:space="preserve">y </w:t>
      </w:r>
      <w:r w:rsidR="00A7039B">
        <w:t xml:space="preserve">regarding </w:t>
      </w:r>
      <w:r w:rsidR="00CB66C2">
        <w:t xml:space="preserve">how to </w:t>
      </w:r>
      <w:r w:rsidR="00A7039B">
        <w:t>differentiat</w:t>
      </w:r>
      <w:r w:rsidR="00CB66C2">
        <w:t>e</w:t>
      </w:r>
      <w:r w:rsidR="00A7039B">
        <w:t xml:space="preserve"> between customers who live in single- or multi-family housing</w:t>
      </w:r>
      <w:r>
        <w:t xml:space="preserve">. </w:t>
      </w:r>
    </w:p>
    <w:p w:rsidRPr="00A6538B" w:rsidR="00A6538B" w:rsidP="00F3549F" w:rsidRDefault="00392A8A" w14:paraId="7C976185" w14:textId="4D6E60ED">
      <w:pPr>
        <w:pStyle w:val="Standard"/>
      </w:pPr>
      <w:r>
        <w:t xml:space="preserve">The Large Utilities shall </w:t>
      </w:r>
      <w:r w:rsidR="00F3549F">
        <w:t>(a)</w:t>
      </w:r>
      <w:r w:rsidR="001047F8">
        <w:t xml:space="preserve"> each</w:t>
      </w:r>
      <w:r w:rsidR="00A7039B">
        <w:t xml:space="preserve"> </w:t>
      </w:r>
      <w:r w:rsidR="001556E3">
        <w:t xml:space="preserve">prepare a study on </w:t>
      </w:r>
      <w:r w:rsidR="006522E1">
        <w:t>the collection and use of</w:t>
      </w:r>
      <w:r>
        <w:t xml:space="preserve"> </w:t>
      </w:r>
      <w:r w:rsidR="00326F45">
        <w:t xml:space="preserve">data </w:t>
      </w:r>
      <w:r w:rsidR="00CD2025">
        <w:t xml:space="preserve">that </w:t>
      </w:r>
      <w:r w:rsidR="00060E08">
        <w:t>identifies</w:t>
      </w:r>
      <w:r w:rsidR="00CD2025">
        <w:t xml:space="preserve"> whether a given residential customer lives in single- or multi-family housing </w:t>
      </w:r>
      <w:r w:rsidR="00796C1E">
        <w:t xml:space="preserve">(either </w:t>
      </w:r>
      <w:r w:rsidR="00060E08">
        <w:t xml:space="preserve">directly or through a proxy </w:t>
      </w:r>
      <w:r w:rsidR="00CC59B4">
        <w:t xml:space="preserve">indicator such as </w:t>
      </w:r>
      <w:r w:rsidR="002F7825">
        <w:t>a shared service drop</w:t>
      </w:r>
      <w:r w:rsidR="00B4206F">
        <w:t>; several options</w:t>
      </w:r>
      <w:r w:rsidR="002D48EB">
        <w:t xml:space="preserve"> may </w:t>
      </w:r>
      <w:r w:rsidR="00B4206F">
        <w:t>be evaluated in the study</w:t>
      </w:r>
      <w:r w:rsidR="002F7825">
        <w:t>)</w:t>
      </w:r>
      <w:r w:rsidR="009E2355">
        <w:t>,</w:t>
      </w:r>
      <w:r w:rsidR="00E01FF8">
        <w:t xml:space="preserve"> </w:t>
      </w:r>
      <w:r w:rsidR="009E2355">
        <w:t>including</w:t>
      </w:r>
      <w:r w:rsidR="002C3C91">
        <w:t xml:space="preserve"> </w:t>
      </w:r>
      <w:r w:rsidR="00C11F77">
        <w:t>the feasibility and cost of collecting such data,</w:t>
      </w:r>
      <w:r w:rsidR="002C3C91">
        <w:t xml:space="preserve"> </w:t>
      </w:r>
      <w:r w:rsidR="003F57B3">
        <w:t xml:space="preserve">the timeline for </w:t>
      </w:r>
      <w:r w:rsidR="003E60FC">
        <w:t>data collection</w:t>
      </w:r>
      <w:r w:rsidR="00375B06">
        <w:t xml:space="preserve">, </w:t>
      </w:r>
      <w:r w:rsidR="00E94D37">
        <w:t xml:space="preserve">the </w:t>
      </w:r>
      <w:r w:rsidR="000B5636">
        <w:t xml:space="preserve">reliability of the </w:t>
      </w:r>
      <w:r w:rsidR="001C6B63">
        <w:t xml:space="preserve">data, </w:t>
      </w:r>
      <w:r w:rsidR="00E94D37">
        <w:t xml:space="preserve">the difference in cost of serving </w:t>
      </w:r>
      <w:r w:rsidR="00D46924">
        <w:t xml:space="preserve">the </w:t>
      </w:r>
      <w:r w:rsidR="00EE0DF2">
        <w:t xml:space="preserve">different customer types, </w:t>
      </w:r>
      <w:r w:rsidR="00D46E1C">
        <w:t xml:space="preserve">and any other information that will inform the </w:t>
      </w:r>
      <w:r w:rsidR="00114231">
        <w:t xml:space="preserve">design of </w:t>
      </w:r>
      <w:r w:rsidR="00DA3468">
        <w:t>income-</w:t>
      </w:r>
      <w:r w:rsidR="00DA3468">
        <w:lastRenderedPageBreak/>
        <w:t>graduated fixed charge</w:t>
      </w:r>
      <w:r w:rsidR="001754C5">
        <w:t>s</w:t>
      </w:r>
      <w:r w:rsidR="00DA3468">
        <w:t xml:space="preserve"> that differentiate </w:t>
      </w:r>
      <w:r w:rsidR="004D2323">
        <w:t>between single- and multi-family households</w:t>
      </w:r>
      <w:r w:rsidR="001047F8">
        <w:t>;</w:t>
      </w:r>
      <w:r w:rsidR="005B16AA">
        <w:t xml:space="preserve"> (b) jointly host a </w:t>
      </w:r>
      <w:r w:rsidR="00602FCB">
        <w:t xml:space="preserve">public </w:t>
      </w:r>
      <w:r w:rsidR="005B16AA">
        <w:t xml:space="preserve">workshop and </w:t>
      </w:r>
      <w:r w:rsidR="00762FE1">
        <w:t xml:space="preserve">present these findings </w:t>
      </w:r>
      <w:r w:rsidR="005B16AA">
        <w:t xml:space="preserve">at the workshop </w:t>
      </w:r>
      <w:r w:rsidR="00F6058C">
        <w:t xml:space="preserve">by </w:t>
      </w:r>
      <w:r w:rsidR="00AC417A">
        <w:t xml:space="preserve">the end of </w:t>
      </w:r>
      <w:r w:rsidR="00F35C30">
        <w:t>February</w:t>
      </w:r>
      <w:r w:rsidR="00AA5A6B">
        <w:t xml:space="preserve"> 2025</w:t>
      </w:r>
      <w:r w:rsidR="009C498E">
        <w:t>;</w:t>
      </w:r>
      <w:r w:rsidR="007301CE">
        <w:t xml:space="preserve"> </w:t>
      </w:r>
      <w:r w:rsidR="002F4236">
        <w:t xml:space="preserve">and </w:t>
      </w:r>
      <w:r w:rsidR="009C498E">
        <w:t>(c)</w:t>
      </w:r>
      <w:r w:rsidR="00C228A2">
        <w:t xml:space="preserve"> </w:t>
      </w:r>
      <w:r w:rsidR="00CA4BBB">
        <w:t xml:space="preserve">each </w:t>
      </w:r>
      <w:r w:rsidR="002B7DF5">
        <w:t xml:space="preserve">file </w:t>
      </w:r>
      <w:r w:rsidR="002F4236">
        <w:t xml:space="preserve">a report </w:t>
      </w:r>
      <w:r w:rsidR="00AD5357">
        <w:t>that incorporates any f</w:t>
      </w:r>
      <w:r w:rsidR="00812D51">
        <w:t xml:space="preserve">eedback </w:t>
      </w:r>
      <w:r w:rsidR="0035253C">
        <w:t xml:space="preserve">gathered </w:t>
      </w:r>
      <w:r w:rsidR="00812D51">
        <w:t>from parties</w:t>
      </w:r>
      <w:r w:rsidR="0035253C">
        <w:t xml:space="preserve"> at the workshop</w:t>
      </w:r>
      <w:r w:rsidR="003074F0">
        <w:t xml:space="preserve"> in this</w:t>
      </w:r>
      <w:r w:rsidR="00B21D20">
        <w:t xml:space="preserve"> proceeding within 90 days of the workshop</w:t>
      </w:r>
      <w:r w:rsidR="007F6D6D">
        <w:t>.</w:t>
      </w:r>
      <w:r w:rsidR="007301CE">
        <w:t xml:space="preserve"> </w:t>
      </w:r>
    </w:p>
    <w:p w:rsidR="000A69D1" w:rsidP="00702F6F" w:rsidRDefault="000A69D1" w14:paraId="7DE88A9C" w14:textId="08389882">
      <w:pPr>
        <w:pStyle w:val="Heading2"/>
      </w:pPr>
      <w:bookmarkStart w:name="_Toc160790044" w:id="36"/>
      <w:r w:rsidRPr="006B5A54">
        <w:t xml:space="preserve">Adjustments to </w:t>
      </w:r>
      <w:r w:rsidR="00415D1E">
        <w:t xml:space="preserve">Default </w:t>
      </w:r>
      <w:r w:rsidRPr="006B5A54">
        <w:t>Residential Rate Components</w:t>
      </w:r>
      <w:bookmarkEnd w:id="36"/>
    </w:p>
    <w:p w:rsidR="00D45CCC" w:rsidP="006B5A54" w:rsidRDefault="006B5A54" w14:paraId="3222A7D0" w14:textId="37957337">
      <w:pPr>
        <w:pStyle w:val="Standard"/>
      </w:pPr>
      <w:r>
        <w:t xml:space="preserve">This section will discuss </w:t>
      </w:r>
      <w:r w:rsidR="00CD456F">
        <w:t xml:space="preserve">how to adjust </w:t>
      </w:r>
      <w:r w:rsidR="00415D1E">
        <w:t xml:space="preserve">default </w:t>
      </w:r>
      <w:r w:rsidR="00CD456F">
        <w:t xml:space="preserve">residential rate components to account for recovery of </w:t>
      </w:r>
      <w:r w:rsidR="00FA5E61">
        <w:t xml:space="preserve">certain </w:t>
      </w:r>
      <w:r w:rsidR="00CD456F">
        <w:t>fixed costs through the income-graduated fixed charge</w:t>
      </w:r>
      <w:r w:rsidR="00FA5E61">
        <w:t>s</w:t>
      </w:r>
      <w:r w:rsidR="00CD456F">
        <w:t>.</w:t>
      </w:r>
      <w:r w:rsidR="00FA5E61">
        <w:t xml:space="preserve"> First, we will discuss whether to </w:t>
      </w:r>
      <w:r w:rsidR="006B3250">
        <w:t xml:space="preserve">eliminate the minimum bill. </w:t>
      </w:r>
      <w:r w:rsidR="00D45CCC">
        <w:t xml:space="preserve">Then we will discuss how </w:t>
      </w:r>
      <w:r w:rsidR="00C3088D">
        <w:t>to adjust volumetric rates.</w:t>
      </w:r>
    </w:p>
    <w:p w:rsidR="000E7067" w:rsidP="00D43D5E" w:rsidRDefault="00485935" w14:paraId="5AD1B68E" w14:textId="404E2535">
      <w:pPr>
        <w:pStyle w:val="Heading3"/>
      </w:pPr>
      <w:bookmarkStart w:name="_Toc160790045" w:id="37"/>
      <w:r>
        <w:t>Minimum Bill</w:t>
      </w:r>
      <w:bookmarkEnd w:id="37"/>
    </w:p>
    <w:p w:rsidR="000E7067" w:rsidP="00D25E62" w:rsidRDefault="000E7067" w14:paraId="77D5D792" w14:textId="4EC233A9">
      <w:pPr>
        <w:pStyle w:val="Standard"/>
      </w:pPr>
      <w:r w:rsidRPr="000E7067">
        <w:t>D.15-07-001</w:t>
      </w:r>
      <w:r w:rsidR="004D3017">
        <w:t xml:space="preserve"> authorized minimum bill</w:t>
      </w:r>
      <w:r w:rsidR="00F33CB5">
        <w:t>s</w:t>
      </w:r>
      <w:r w:rsidR="00C76B89">
        <w:t xml:space="preserve"> in lieu of fixed charges for residential customers of the Large Utilities.</w:t>
      </w:r>
      <w:r w:rsidR="00995826">
        <w:rPr>
          <w:rStyle w:val="FootnoteReference"/>
        </w:rPr>
        <w:footnoteReference w:id="168"/>
      </w:r>
      <w:r w:rsidR="002279A7">
        <w:t xml:space="preserve"> A minimum bill </w:t>
      </w:r>
      <w:r w:rsidR="00DE6AA0">
        <w:t>ensures that customers with no usage or extremely low usage pay for</w:t>
      </w:r>
      <w:r w:rsidR="00ED4F1D">
        <w:t xml:space="preserve"> some of the costs incurred on their behalf.</w:t>
      </w:r>
      <w:r w:rsidR="00F21D8E">
        <w:rPr>
          <w:rStyle w:val="FootnoteReference"/>
        </w:rPr>
        <w:footnoteReference w:id="169"/>
      </w:r>
      <w:r w:rsidR="00ED4F1D">
        <w:t xml:space="preserve"> </w:t>
      </w:r>
      <w:r w:rsidRPr="001462EF" w:rsidR="001462EF">
        <w:t>D.15-07-001 authorized minimum bills</w:t>
      </w:r>
      <w:r w:rsidR="006E0370">
        <w:t xml:space="preserve"> consistent with the </w:t>
      </w:r>
      <w:r w:rsidR="00E95D47">
        <w:t xml:space="preserve">prior </w:t>
      </w:r>
      <w:r w:rsidR="006E0370">
        <w:t xml:space="preserve">statutory </w:t>
      </w:r>
      <w:r w:rsidR="00E95D47">
        <w:t>limit for fixed charges (no higher than $10 per month).</w:t>
      </w:r>
      <w:r w:rsidR="00E95D47">
        <w:rPr>
          <w:rStyle w:val="FootnoteReference"/>
        </w:rPr>
        <w:footnoteReference w:id="170"/>
      </w:r>
    </w:p>
    <w:p w:rsidR="00B47700" w:rsidP="00D25E62" w:rsidRDefault="00BE15E3" w14:paraId="2ADC69E6" w14:textId="77777777">
      <w:pPr>
        <w:pStyle w:val="Standard"/>
      </w:pPr>
      <w:r>
        <w:t xml:space="preserve">Parties generally agreed that </w:t>
      </w:r>
      <w:r w:rsidR="001514D0">
        <w:t>a minimum bill will no longer be necessary to ensure that residential customers pay some amount of fixed costs when income-graduated fixed charges are implemented.</w:t>
      </w:r>
      <w:r w:rsidR="0017093A">
        <w:t xml:space="preserve"> The Large Utilities argued that the minimum bill structure would be redundant and would add unnecessary </w:t>
      </w:r>
      <w:r w:rsidR="0017093A">
        <w:lastRenderedPageBreak/>
        <w:t>complexity to customer bills.</w:t>
      </w:r>
      <w:r w:rsidR="0017093A">
        <w:rPr>
          <w:rStyle w:val="FootnoteReference"/>
        </w:rPr>
        <w:footnoteReference w:id="171"/>
      </w:r>
      <w:r w:rsidR="0017093A">
        <w:t xml:space="preserve"> SEIA, </w:t>
      </w:r>
      <w:r w:rsidR="00C433C6">
        <w:t>TURN/NRDC, and Cal Advocates made similar comments in support of removing minimum bills.</w:t>
      </w:r>
      <w:r w:rsidR="00C433C6">
        <w:rPr>
          <w:rStyle w:val="FootnoteReference"/>
        </w:rPr>
        <w:footnoteReference w:id="172"/>
      </w:r>
      <w:r w:rsidR="00DD1081">
        <w:t xml:space="preserve"> </w:t>
      </w:r>
    </w:p>
    <w:p w:rsidR="00D25E62" w:rsidP="008B0ADE" w:rsidRDefault="00DD1081" w14:paraId="00B70FDF" w14:textId="29F58B2F">
      <w:pPr>
        <w:pStyle w:val="Standard"/>
      </w:pPr>
      <w:r>
        <w:t>Only UCAN argued that a minimum bill will remain necessary to ensure that low-usage customers make some payment toward customer-r</w:t>
      </w:r>
      <w:r w:rsidR="00B47700">
        <w:t>elated costs.</w:t>
      </w:r>
      <w:r w:rsidR="00B47700">
        <w:rPr>
          <w:rStyle w:val="FootnoteReference"/>
        </w:rPr>
        <w:footnoteReference w:id="173"/>
      </w:r>
      <w:r w:rsidR="00B47700">
        <w:t xml:space="preserve"> </w:t>
      </w:r>
      <w:r w:rsidR="4FF864DE">
        <w:t>Because</w:t>
      </w:r>
      <w:r w:rsidR="00A9080D">
        <w:t xml:space="preserve"> this decision authorizes income-graduated fixed charges for all residential customers, including low-income customers, </w:t>
      </w:r>
      <w:r w:rsidR="00D84BE8">
        <w:t>minimum bills are not necessary to ensure that every low-usage customer will make some payment toward customer-related costs.</w:t>
      </w:r>
    </w:p>
    <w:p w:rsidR="008B0ADE" w:rsidP="008B0ADE" w:rsidRDefault="008B0ADE" w14:paraId="691562CC" w14:textId="7798A7AA">
      <w:pPr>
        <w:pStyle w:val="Standard"/>
      </w:pPr>
      <w:r>
        <w:t xml:space="preserve">It is reasonable for the Large Utilities to remove minimum bills from </w:t>
      </w:r>
      <w:r w:rsidR="0010755E">
        <w:t xml:space="preserve">residential </w:t>
      </w:r>
      <w:r w:rsidR="00D4376B">
        <w:t xml:space="preserve">rates </w:t>
      </w:r>
      <w:r w:rsidR="007D017B">
        <w:t>that include an income-graduated fixed charge</w:t>
      </w:r>
      <w:r w:rsidR="0010755E">
        <w:t>.</w:t>
      </w:r>
    </w:p>
    <w:p w:rsidR="00A22D2B" w:rsidP="003C7C50" w:rsidRDefault="00A22D2B" w14:paraId="3DC7E05E" w14:textId="4CC63F6F">
      <w:pPr>
        <w:pStyle w:val="Heading3"/>
      </w:pPr>
      <w:bookmarkStart w:name="_Toc160790046" w:id="38"/>
      <w:r>
        <w:t>Volumetric</w:t>
      </w:r>
      <w:r w:rsidR="00CB4AF5">
        <w:t xml:space="preserve"> Rate Adjustments</w:t>
      </w:r>
      <w:bookmarkEnd w:id="38"/>
    </w:p>
    <w:p w:rsidR="003F06C5" w:rsidP="00445421" w:rsidRDefault="003A5346" w14:paraId="54B4DD09" w14:textId="16A22250">
      <w:pPr>
        <w:pStyle w:val="Standard"/>
      </w:pPr>
      <w:r>
        <w:t xml:space="preserve">In </w:t>
      </w:r>
      <w:r w:rsidR="00D442BE">
        <w:t>the statutory interpretation</w:t>
      </w:r>
      <w:r w:rsidR="00F15CCC">
        <w:t xml:space="preserve"> discussion of “fixed costs” above, we noted that </w:t>
      </w:r>
      <w:r w:rsidRPr="00D442BE" w:rsidR="00D442BE">
        <w:t>Section 14 of AB 205</w:t>
      </w:r>
      <w:r w:rsidR="00B70AAE">
        <w:t xml:space="preserve"> declared</w:t>
      </w:r>
      <w:r w:rsidRPr="00D442BE" w:rsidR="00D442BE">
        <w:t xml:space="preserve"> that a majority of an electric utility’s revenue requirement is recovered from customers by a volumetric rate, but only a portion of an electric utility’s costs directly vary based on how much electricity a customer consumes, while many infrastructure and operational costs do not.</w:t>
      </w:r>
      <w:r w:rsidRPr="00445421" w:rsidR="00445421">
        <w:t xml:space="preserve"> </w:t>
      </w:r>
      <w:r w:rsidR="00C90FFB">
        <w:t>This</w:t>
      </w:r>
      <w:r w:rsidR="00445421">
        <w:t xml:space="preserve"> language indicate</w:t>
      </w:r>
      <w:r w:rsidR="00C90FFB">
        <w:t>s</w:t>
      </w:r>
      <w:r w:rsidR="00445421">
        <w:t xml:space="preserve"> a legislative intent for the Commission to </w:t>
      </w:r>
      <w:r w:rsidR="00A70549">
        <w:t>design</w:t>
      </w:r>
      <w:r w:rsidR="00445421">
        <w:t xml:space="preserve"> fixed charges to reduce volumetric rates.</w:t>
      </w:r>
    </w:p>
    <w:p w:rsidR="00DB37B1" w:rsidP="00A942F9" w:rsidRDefault="00A942F9" w14:paraId="0D0E68D2" w14:textId="50089265">
      <w:pPr>
        <w:pStyle w:val="Standard"/>
      </w:pPr>
      <w:r>
        <w:t xml:space="preserve">Parties </w:t>
      </w:r>
      <w:r w:rsidR="009177E1">
        <w:t>agreed that the</w:t>
      </w:r>
      <w:r>
        <w:t xml:space="preserve"> </w:t>
      </w:r>
      <w:r w:rsidR="00414932">
        <w:t xml:space="preserve">revenue collected through income-graduated fixed charges </w:t>
      </w:r>
      <w:r w:rsidR="009177E1">
        <w:t>should be applied to</w:t>
      </w:r>
      <w:r w:rsidR="00B20557">
        <w:t xml:space="preserve"> reduce volumetric rates for residential customers.</w:t>
      </w:r>
      <w:r w:rsidR="009177E1">
        <w:t xml:space="preserve"> However, parties disagreed about whether volumetric rates should be </w:t>
      </w:r>
      <w:r w:rsidR="00EC179E">
        <w:t xml:space="preserve">reduced equally </w:t>
      </w:r>
      <w:r w:rsidR="002649C0">
        <w:t>on a cents</w:t>
      </w:r>
      <w:r w:rsidR="00170087">
        <w:t xml:space="preserve"> per </w:t>
      </w:r>
      <w:r w:rsidR="002649C0">
        <w:t>kWh basis</w:t>
      </w:r>
      <w:r w:rsidR="00EC179E">
        <w:t xml:space="preserve"> across all hours or if greater reductions should </w:t>
      </w:r>
      <w:r w:rsidR="00EC179E">
        <w:lastRenderedPageBreak/>
        <w:t xml:space="preserve">be applied to off-peak periods to encourage </w:t>
      </w:r>
      <w:r w:rsidR="00B45CC4">
        <w:t>customers to shift energy usage to off-peak periods.</w:t>
      </w:r>
    </w:p>
    <w:p w:rsidR="009177E1" w:rsidP="00A942F9" w:rsidRDefault="00B00C7A" w14:paraId="55C98D6D" w14:textId="7D739BA4">
      <w:pPr>
        <w:pStyle w:val="Standard"/>
      </w:pPr>
      <w:r>
        <w:t xml:space="preserve">The </w:t>
      </w:r>
      <w:r w:rsidR="00B45CC4">
        <w:t xml:space="preserve">Large Utilities </w:t>
      </w:r>
      <w:r w:rsidR="00916216">
        <w:t xml:space="preserve">and Cal Advocates </w:t>
      </w:r>
      <w:r w:rsidR="00B45CC4">
        <w:t xml:space="preserve">argued that the </w:t>
      </w:r>
      <w:r w:rsidR="008A5AAF">
        <w:t>volumetric rates should be reduced equally across all hours of the day</w:t>
      </w:r>
      <w:r w:rsidR="0085656B">
        <w:t xml:space="preserve"> because fixed costs do not vary based on </w:t>
      </w:r>
      <w:r w:rsidR="00D61E42">
        <w:t>time of usage</w:t>
      </w:r>
      <w:r>
        <w:t>.</w:t>
      </w:r>
      <w:r w:rsidR="0085656B">
        <w:rPr>
          <w:rStyle w:val="FootnoteReference"/>
        </w:rPr>
        <w:footnoteReference w:id="174"/>
      </w:r>
      <w:r>
        <w:t xml:space="preserve"> The Large Utilities </w:t>
      </w:r>
      <w:r w:rsidR="0085656B">
        <w:t xml:space="preserve">also </w:t>
      </w:r>
      <w:r>
        <w:t xml:space="preserve">argued that </w:t>
      </w:r>
      <w:r w:rsidR="0085656B">
        <w:t>adjusting</w:t>
      </w:r>
      <w:r>
        <w:t xml:space="preserve"> the price differentials between peak- and off-peak periods is not in the scope of Phase 1 of this proceeding.</w:t>
      </w:r>
      <w:r>
        <w:rPr>
          <w:rStyle w:val="FootnoteReference"/>
        </w:rPr>
        <w:footnoteReference w:id="175"/>
      </w:r>
    </w:p>
    <w:p w:rsidR="0005428F" w:rsidP="008902A1" w:rsidRDefault="00B00C7A" w14:paraId="4D2D9F2D" w14:textId="07F8C226">
      <w:pPr>
        <w:pStyle w:val="Standard"/>
      </w:pPr>
      <w:r>
        <w:t>SEIA,</w:t>
      </w:r>
      <w:r w:rsidR="00235F0D">
        <w:t xml:space="preserve"> the Clean Coalition, and</w:t>
      </w:r>
      <w:r w:rsidR="006A36FA">
        <w:t xml:space="preserve"> the California Solar and Storage Association</w:t>
      </w:r>
      <w:r w:rsidR="00235F0D">
        <w:t xml:space="preserve"> </w:t>
      </w:r>
      <w:r w:rsidR="006A36FA">
        <w:t>(</w:t>
      </w:r>
      <w:r w:rsidR="00235F0D">
        <w:t>CalSSA</w:t>
      </w:r>
      <w:r w:rsidR="006A36FA">
        <w:t>)</w:t>
      </w:r>
      <w:r w:rsidR="00235F0D">
        <w:t xml:space="preserve"> urged the Commission to </w:t>
      </w:r>
      <w:r w:rsidR="00C36413">
        <w:t>apply</w:t>
      </w:r>
      <w:r w:rsidR="00EC3638">
        <w:t xml:space="preserve"> all revenue</w:t>
      </w:r>
      <w:r w:rsidR="00FC0D07">
        <w:t xml:space="preserve"> from fixed charges</w:t>
      </w:r>
      <w:r w:rsidR="00EC3638">
        <w:t xml:space="preserve"> </w:t>
      </w:r>
      <w:r w:rsidR="0005428F">
        <w:t xml:space="preserve">to off-peak periods. These parties argued that </w:t>
      </w:r>
      <w:r w:rsidR="00910DA3">
        <w:t>reducing volumetric</w:t>
      </w:r>
      <w:r w:rsidRPr="00910DA3" w:rsidR="00910DA3">
        <w:t xml:space="preserve"> rates</w:t>
      </w:r>
      <w:r w:rsidR="00821AC3">
        <w:t xml:space="preserve"> equally</w:t>
      </w:r>
      <w:r w:rsidRPr="00910DA3" w:rsidR="00910DA3">
        <w:t xml:space="preserve"> during all hours w</w:t>
      </w:r>
      <w:r w:rsidR="00910DA3">
        <w:t>ould</w:t>
      </w:r>
      <w:r w:rsidRPr="00910DA3" w:rsidR="00910DA3">
        <w:t xml:space="preserve"> </w:t>
      </w:r>
      <w:r w:rsidR="008902A1">
        <w:t xml:space="preserve">fail to comply with the requirement of </w:t>
      </w:r>
      <w:r w:rsidRPr="00AC67E0" w:rsidR="008902A1">
        <w:t xml:space="preserve">Section 739.9 (d)(2) </w:t>
      </w:r>
      <w:r w:rsidR="008902A1">
        <w:t xml:space="preserve">that fixed charges shall not </w:t>
      </w:r>
      <w:r w:rsidRPr="00910DA3" w:rsidR="00910DA3">
        <w:t>unreasonably impair conservati</w:t>
      </w:r>
      <w:r w:rsidR="00A658A6">
        <w:t>on</w:t>
      </w:r>
      <w:r w:rsidR="00A11F6F">
        <w:t xml:space="preserve"> or</w:t>
      </w:r>
      <w:r w:rsidR="00A658A6">
        <w:t xml:space="preserve"> energy efficienc</w:t>
      </w:r>
      <w:r w:rsidR="00A11F6F">
        <w:t>y</w:t>
      </w:r>
      <w:r w:rsidR="008902A1">
        <w:t xml:space="preserve">. </w:t>
      </w:r>
      <w:r w:rsidR="00821AC3">
        <w:t>These parties argued that l</w:t>
      </w:r>
      <w:r w:rsidRPr="00910DA3" w:rsidR="00910DA3">
        <w:t xml:space="preserve">ower peak period rates </w:t>
      </w:r>
      <w:r w:rsidR="0039155F">
        <w:t xml:space="preserve">would </w:t>
      </w:r>
      <w:r w:rsidR="00355442">
        <w:t>encourage more usage during</w:t>
      </w:r>
      <w:r w:rsidRPr="00910DA3" w:rsidR="00910DA3">
        <w:t xml:space="preserve"> </w:t>
      </w:r>
      <w:r w:rsidR="00355442">
        <w:t>peak periods</w:t>
      </w:r>
      <w:r w:rsidRPr="00910DA3" w:rsidR="00910DA3">
        <w:t>, whic</w:t>
      </w:r>
      <w:r w:rsidR="00821AC3">
        <w:t>h would result in higher</w:t>
      </w:r>
      <w:r w:rsidRPr="00910DA3" w:rsidR="00910DA3">
        <w:t xml:space="preserve"> revenue requirement</w:t>
      </w:r>
      <w:r w:rsidR="00821AC3">
        <w:t>s</w:t>
      </w:r>
      <w:r w:rsidRPr="00910DA3" w:rsidR="00910DA3">
        <w:t xml:space="preserve"> and rates over time</w:t>
      </w:r>
      <w:r w:rsidR="005A67EC">
        <w:t>.</w:t>
      </w:r>
      <w:r w:rsidR="0005428F">
        <w:rPr>
          <w:rStyle w:val="FootnoteReference"/>
        </w:rPr>
        <w:footnoteReference w:id="176"/>
      </w:r>
    </w:p>
    <w:p w:rsidRPr="00312416" w:rsidR="00316A3E" w:rsidP="00312416" w:rsidRDefault="007E7D5A" w14:paraId="298EFDE8" w14:textId="44EBA4DD">
      <w:pPr>
        <w:pStyle w:val="Standard"/>
        <w:rPr>
          <w:highlight w:val="yellow"/>
        </w:rPr>
      </w:pPr>
      <w:r>
        <w:t>The income-graduated fixed charges adopted by this</w:t>
      </w:r>
      <w:r w:rsidRPr="00316A3E" w:rsidR="00316A3E">
        <w:t xml:space="preserve"> decision </w:t>
      </w:r>
      <w:r>
        <w:t>do</w:t>
      </w:r>
      <w:r w:rsidR="0016749F">
        <w:t xml:space="preserve"> not</w:t>
      </w:r>
      <w:r w:rsidRPr="00316A3E" w:rsidR="00316A3E">
        <w:t xml:space="preserve"> unreasonably </w:t>
      </w:r>
      <w:r w:rsidRPr="00316A3E" w:rsidR="00514A40">
        <w:t>impair</w:t>
      </w:r>
      <w:r w:rsidRPr="00316A3E" w:rsidR="00316A3E">
        <w:t xml:space="preserve"> incentives for conservation or energy efficiency </w:t>
      </w:r>
      <w:r w:rsidR="00ED033D">
        <w:t>when</w:t>
      </w:r>
      <w:r w:rsidRPr="00316A3E" w:rsidR="00316A3E">
        <w:t xml:space="preserve"> applied to volumetric rates equally during all hours</w:t>
      </w:r>
      <w:r w:rsidR="005778A5">
        <w:t xml:space="preserve"> of the day</w:t>
      </w:r>
      <w:r w:rsidRPr="00316A3E" w:rsidR="00316A3E">
        <w:t xml:space="preserve">. </w:t>
      </w:r>
      <w:r w:rsidR="001E7E8B">
        <w:t>Attachment A shows the results of m</w:t>
      </w:r>
      <w:r w:rsidR="00812FCD">
        <w:t>odeling the</w:t>
      </w:r>
      <w:r w:rsidR="00CE6970">
        <w:t xml:space="preserve"> </w:t>
      </w:r>
      <w:r w:rsidR="00D96E4E">
        <w:t>income-graduated fixed charge rate design adopted in this decision using the Public Tool</w:t>
      </w:r>
      <w:r w:rsidR="001E7E8B">
        <w:t xml:space="preserve">. </w:t>
      </w:r>
      <w:r w:rsidR="00EF4D6F">
        <w:t>Attachment A</w:t>
      </w:r>
      <w:r w:rsidR="00D96E4E">
        <w:t xml:space="preserve"> sho</w:t>
      </w:r>
      <w:r w:rsidR="00E4036E">
        <w:t xml:space="preserve">ws that </w:t>
      </w:r>
      <w:r w:rsidR="000D6AE6">
        <w:t xml:space="preserve">default </w:t>
      </w:r>
      <w:r w:rsidR="00006E92">
        <w:t>time-of-use</w:t>
      </w:r>
      <w:r w:rsidR="000D6AE6">
        <w:t xml:space="preserve"> </w:t>
      </w:r>
      <w:r w:rsidR="00330198">
        <w:t xml:space="preserve">summer season </w:t>
      </w:r>
      <w:r w:rsidR="00E4036E">
        <w:t xml:space="preserve">peak period rates </w:t>
      </w:r>
      <w:r w:rsidR="009444E1">
        <w:t xml:space="preserve">for bundled customers </w:t>
      </w:r>
      <w:r w:rsidR="00E4036E">
        <w:t xml:space="preserve">are </w:t>
      </w:r>
      <w:r w:rsidR="00E4036E">
        <w:lastRenderedPageBreak/>
        <w:t xml:space="preserve">expected to be </w:t>
      </w:r>
      <w:r w:rsidR="00594B7E">
        <w:t>$0.</w:t>
      </w:r>
      <w:r w:rsidR="00695628">
        <w:t>4</w:t>
      </w:r>
      <w:r w:rsidR="00144D2C">
        <w:t>37</w:t>
      </w:r>
      <w:r w:rsidR="000B0613">
        <w:t>/kWh</w:t>
      </w:r>
      <w:r w:rsidR="004970CC">
        <w:t>,</w:t>
      </w:r>
      <w:r w:rsidR="000B0613">
        <w:t xml:space="preserve"> </w:t>
      </w:r>
      <w:r w:rsidR="003304F3">
        <w:t xml:space="preserve">$0.522/kWh, </w:t>
      </w:r>
      <w:r w:rsidR="004C75DE">
        <w:t>and $0.</w:t>
      </w:r>
      <w:r w:rsidR="008D3ADF">
        <w:t>78</w:t>
      </w:r>
      <w:r w:rsidR="00B64D99">
        <w:t>3</w:t>
      </w:r>
      <w:r w:rsidR="008D3ADF">
        <w:t xml:space="preserve">/kWh </w:t>
      </w:r>
      <w:r w:rsidR="00CE2134">
        <w:t>for PG&amp;E, SCE, and SDG&amp;E, respectively</w:t>
      </w:r>
      <w:r w:rsidR="006421D4">
        <w:t xml:space="preserve">, if </w:t>
      </w:r>
      <w:r w:rsidR="0050073E">
        <w:t xml:space="preserve">fixed charge revenue is used to reduce volumetric rates equally </w:t>
      </w:r>
      <w:r w:rsidR="00260374">
        <w:t xml:space="preserve">on a cents per kWh basis </w:t>
      </w:r>
      <w:r w:rsidR="004F7742">
        <w:t xml:space="preserve">across all </w:t>
      </w:r>
      <w:r w:rsidR="00006E92">
        <w:t>time-of-use</w:t>
      </w:r>
      <w:r w:rsidR="004F7742">
        <w:t xml:space="preserve"> periods</w:t>
      </w:r>
      <w:r w:rsidR="00CE2134">
        <w:t xml:space="preserve">. This represents an expected </w:t>
      </w:r>
      <w:r w:rsidR="00390623">
        <w:t xml:space="preserve">reduction of </w:t>
      </w:r>
      <w:r w:rsidR="00C93DE3">
        <w:t xml:space="preserve">$0.047/kWh, </w:t>
      </w:r>
      <w:r w:rsidR="003B640A">
        <w:t>$0.046/kWh, and $0.06</w:t>
      </w:r>
      <w:r w:rsidR="003609B0">
        <w:t>8</w:t>
      </w:r>
      <w:r w:rsidR="003B640A">
        <w:t>/kWh for the thr</w:t>
      </w:r>
      <w:r w:rsidR="002D4EEA">
        <w:t>ee Large Utilities</w:t>
      </w:r>
      <w:r w:rsidR="001A4905">
        <w:t>, respectively, compared to the existing rate structure</w:t>
      </w:r>
      <w:r w:rsidR="003C4B2B">
        <w:t>,</w:t>
      </w:r>
      <w:r w:rsidR="00400D74">
        <w:t xml:space="preserve"> </w:t>
      </w:r>
      <w:r w:rsidR="00273C41">
        <w:t>which translate</w:t>
      </w:r>
      <w:r w:rsidR="004209A8">
        <w:t>s</w:t>
      </w:r>
      <w:r w:rsidR="00273C41">
        <w:t xml:space="preserve"> to </w:t>
      </w:r>
      <w:r w:rsidR="005937A2">
        <w:t xml:space="preserve">summer </w:t>
      </w:r>
      <w:r w:rsidR="00273C41">
        <w:t>peak period rate</w:t>
      </w:r>
      <w:r w:rsidR="00400D74">
        <w:t xml:space="preserve"> reductions of </w:t>
      </w:r>
      <w:r w:rsidR="005622CE">
        <w:t xml:space="preserve">between </w:t>
      </w:r>
      <w:r w:rsidR="000A087B">
        <w:t>8</w:t>
      </w:r>
      <w:r w:rsidR="00A7285D">
        <w:t>.0</w:t>
      </w:r>
      <w:r w:rsidR="000A087B">
        <w:t xml:space="preserve"> and 9.8</w:t>
      </w:r>
      <w:r w:rsidR="00C1241D">
        <w:t xml:space="preserve"> percent</w:t>
      </w:r>
      <w:r w:rsidR="000A087B">
        <w:t>.</w:t>
      </w:r>
    </w:p>
    <w:p w:rsidR="003C5D6D" w:rsidP="00B54CC8" w:rsidRDefault="00777819" w14:paraId="255E7B01" w14:textId="0D83A59D">
      <w:pPr>
        <w:pStyle w:val="Standard"/>
      </w:pPr>
      <w:r>
        <w:t xml:space="preserve">TURN/NRDC </w:t>
      </w:r>
      <w:r w:rsidR="00E21334">
        <w:t>cautioned the Commission against</w:t>
      </w:r>
      <w:r w:rsidR="00215C30">
        <w:t xml:space="preserve"> applying fixed charge revenues in a time-differentiated way</w:t>
      </w:r>
      <w:r w:rsidR="00E21334">
        <w:t xml:space="preserve"> without further analysis. TURN/NRDC </w:t>
      </w:r>
      <w:r w:rsidR="00A572BF">
        <w:t xml:space="preserve">commented that the Public Tool did not include the functionality to </w:t>
      </w:r>
      <w:r w:rsidR="00FE5B7F">
        <w:t xml:space="preserve">model </w:t>
      </w:r>
      <w:r w:rsidR="00512387">
        <w:t>bill impacts of allocating</w:t>
      </w:r>
      <w:r w:rsidR="00591E0E">
        <w:t xml:space="preserve"> fixed charge revenues to volumetric rates in a time-differentiated way</w:t>
      </w:r>
      <w:r w:rsidR="00AC6D5A">
        <w:t>.</w:t>
      </w:r>
      <w:r w:rsidR="00066789">
        <w:rPr>
          <w:rStyle w:val="FootnoteReference"/>
        </w:rPr>
        <w:footnoteReference w:id="177"/>
      </w:r>
      <w:r w:rsidR="00BE6BD4">
        <w:t xml:space="preserve"> </w:t>
      </w:r>
      <w:r w:rsidR="00577EA3">
        <w:t>SEIA and the Clean Coalition similarly</w:t>
      </w:r>
      <w:r w:rsidRPr="00577EA3" w:rsidR="00577EA3">
        <w:t xml:space="preserve"> argued that the Commission </w:t>
      </w:r>
      <w:r w:rsidR="00577EA3">
        <w:t xml:space="preserve">does not have a sufficient record in this proceeding to apply fixed charges in a time-differentiated way and </w:t>
      </w:r>
      <w:r w:rsidR="003C5D6D">
        <w:t>argued that rate design window applications would be required</w:t>
      </w:r>
      <w:r w:rsidR="00041922">
        <w:t xml:space="preserve"> to develop </w:t>
      </w:r>
      <w:r w:rsidR="002A1B85">
        <w:t xml:space="preserve">such </w:t>
      </w:r>
      <w:r w:rsidR="00041922">
        <w:t>a record</w:t>
      </w:r>
      <w:r w:rsidRPr="00577EA3" w:rsidR="00577EA3">
        <w:t>.</w:t>
      </w:r>
      <w:r w:rsidRPr="00577EA3" w:rsidR="00577EA3">
        <w:rPr>
          <w:vertAlign w:val="superscript"/>
        </w:rPr>
        <w:footnoteReference w:id="178"/>
      </w:r>
      <w:r w:rsidR="003C5D6D">
        <w:t xml:space="preserve"> </w:t>
      </w:r>
    </w:p>
    <w:p w:rsidR="0093172B" w:rsidP="00BE054E" w:rsidRDefault="001F0362" w14:paraId="6A4B7848" w14:textId="4F859AFC">
      <w:pPr>
        <w:pStyle w:val="Standard"/>
      </w:pPr>
      <w:r>
        <w:t xml:space="preserve">We agree </w:t>
      </w:r>
      <w:r w:rsidR="003A6C92">
        <w:t>with parties that encouraging customers to shift demand to off-peak periods is a priority issue in this proceeding</w:t>
      </w:r>
      <w:r w:rsidR="00BE054E">
        <w:t xml:space="preserve"> and </w:t>
      </w:r>
      <w:r>
        <w:t>that the</w:t>
      </w:r>
      <w:r w:rsidR="00BE6BD4">
        <w:t xml:space="preserve"> Commission should not apply fixed charge revenues in a time-differentiated way </w:t>
      </w:r>
      <w:r w:rsidR="00622D76">
        <w:t>without further analysis</w:t>
      </w:r>
      <w:r w:rsidR="00BE054E">
        <w:t xml:space="preserve">. </w:t>
      </w:r>
      <w:r w:rsidR="00622D76">
        <w:t>Rather than delay the adoption of income-graduated fixed charges, w</w:t>
      </w:r>
      <w:r w:rsidR="00BE054E">
        <w:t xml:space="preserve">e will </w:t>
      </w:r>
      <w:r w:rsidR="00622D76">
        <w:t xml:space="preserve">separately </w:t>
      </w:r>
      <w:r w:rsidR="00BE054E">
        <w:t xml:space="preserve">consider whether to adjust </w:t>
      </w:r>
      <w:r w:rsidR="00006E92">
        <w:t>time-of-use</w:t>
      </w:r>
      <w:r w:rsidRPr="000069FB" w:rsidR="00006E92">
        <w:t xml:space="preserve"> </w:t>
      </w:r>
      <w:r w:rsidRPr="000069FB" w:rsidR="000069FB">
        <w:t>volumetric rate differentials to encourage shifting</w:t>
      </w:r>
      <w:r w:rsidR="00C8324A">
        <w:t xml:space="preserve"> usage</w:t>
      </w:r>
      <w:r w:rsidRPr="000069FB" w:rsidR="000069FB">
        <w:t xml:space="preserve"> to off-peak periods</w:t>
      </w:r>
      <w:r w:rsidRPr="0093172B" w:rsidR="0093172B">
        <w:t xml:space="preserve"> in Phase 2 of this proceeding.</w:t>
      </w:r>
    </w:p>
    <w:p w:rsidR="00E03920" w:rsidP="00E03920" w:rsidRDefault="00E03920" w14:paraId="3B662954" w14:textId="37A196E3">
      <w:pPr>
        <w:pStyle w:val="Standard"/>
      </w:pPr>
      <w:r w:rsidRPr="00E03920">
        <w:t xml:space="preserve">Volumetric rates currently include distribution rates and the costs of specific line-items that are recovered on a volumetric basis, such as Public </w:t>
      </w:r>
      <w:r w:rsidRPr="00E03920">
        <w:lastRenderedPageBreak/>
        <w:t>Purpose Program charges. This decision concluded that revenues from income-graduated fixed charges should recover the costs of certain line-items listed in this decision. The remaining revenues from income-graduated fixed charges should be applied to reduce distribution rates</w:t>
      </w:r>
      <w:r w:rsidR="005F6D23">
        <w:t>.</w:t>
      </w:r>
    </w:p>
    <w:p w:rsidR="001F184B" w:rsidP="00B626A2" w:rsidRDefault="00BB7915" w14:paraId="3D590E5A" w14:textId="38BAF6F4">
      <w:pPr>
        <w:pStyle w:val="Standard"/>
      </w:pPr>
      <w:r>
        <w:t>It is reasonable to apply</w:t>
      </w:r>
      <w:r w:rsidR="00825C2E">
        <w:t xml:space="preserve"> </w:t>
      </w:r>
      <w:r w:rsidRPr="00BB7915">
        <w:t>revenue</w:t>
      </w:r>
      <w:r w:rsidR="00825C2E">
        <w:t>s</w:t>
      </w:r>
      <w:r w:rsidRPr="00BB7915">
        <w:t xml:space="preserve"> collected through income-graduated fixed charges </w:t>
      </w:r>
      <w:r w:rsidR="006D7406">
        <w:t xml:space="preserve">for default rates </w:t>
      </w:r>
      <w:r w:rsidRPr="00BB7915">
        <w:t xml:space="preserve">to reduce </w:t>
      </w:r>
      <w:r w:rsidR="00E03920">
        <w:t xml:space="preserve">distribution </w:t>
      </w:r>
      <w:r w:rsidRPr="00BB7915">
        <w:t>rates</w:t>
      </w:r>
      <w:r w:rsidR="00DB28E3">
        <w:t xml:space="preserve"> </w:t>
      </w:r>
      <w:r w:rsidR="00BE0686">
        <w:t>on a</w:t>
      </w:r>
      <w:r w:rsidR="0046250D">
        <w:t>n</w:t>
      </w:r>
      <w:r w:rsidR="00BE0686">
        <w:t xml:space="preserve"> </w:t>
      </w:r>
      <w:r w:rsidR="000C2844">
        <w:t xml:space="preserve">equal </w:t>
      </w:r>
      <w:r w:rsidR="00BE0686">
        <w:t>cents</w:t>
      </w:r>
      <w:r w:rsidR="0056586E">
        <w:t xml:space="preserve"> per </w:t>
      </w:r>
      <w:r w:rsidR="00BE0686">
        <w:t xml:space="preserve">kWh basis </w:t>
      </w:r>
      <w:r w:rsidR="00DB28E3">
        <w:t>during all hours</w:t>
      </w:r>
      <w:r w:rsidR="00D40830">
        <w:t xml:space="preserve"> of the day</w:t>
      </w:r>
      <w:r w:rsidR="00DB28E3">
        <w:t>.</w:t>
      </w:r>
    </w:p>
    <w:p w:rsidR="002948E2" w:rsidP="00702F6F" w:rsidRDefault="00920247" w14:paraId="04E65297" w14:textId="3587FF47">
      <w:pPr>
        <w:pStyle w:val="Heading2"/>
      </w:pPr>
      <w:bookmarkStart w:name="_Toc160790047" w:id="39"/>
      <w:r>
        <w:t>Optional</w:t>
      </w:r>
      <w:r w:rsidR="002948E2">
        <w:t xml:space="preserve"> Rates</w:t>
      </w:r>
      <w:r w:rsidR="00972793">
        <w:t xml:space="preserve"> and Master-Metered Rates</w:t>
      </w:r>
      <w:bookmarkEnd w:id="39"/>
    </w:p>
    <w:p w:rsidR="005A70E9" w:rsidP="00FF05E9" w:rsidRDefault="00E4108F" w14:paraId="40B51434" w14:textId="228C4C0E">
      <w:pPr>
        <w:pStyle w:val="Standard"/>
      </w:pPr>
      <w:r>
        <w:t xml:space="preserve">AB 205 allows the Commission to adopt income-graduated fixed charges for </w:t>
      </w:r>
      <w:r w:rsidR="0082469B">
        <w:t>optional</w:t>
      </w:r>
      <w:r>
        <w:t xml:space="preserve"> rates.</w:t>
      </w:r>
      <w:r w:rsidR="00034100">
        <w:rPr>
          <w:rStyle w:val="FootnoteReference"/>
        </w:rPr>
        <w:footnoteReference w:id="179"/>
      </w:r>
      <w:r w:rsidRPr="0003549D" w:rsidR="0003549D">
        <w:t xml:space="preserve"> </w:t>
      </w:r>
      <w:r w:rsidR="0003549D">
        <w:t>Section 739.9</w:t>
      </w:r>
      <w:r w:rsidRPr="0003549D" w:rsidR="0003549D">
        <w:t xml:space="preserve">(e)(1) </w:t>
      </w:r>
      <w:r w:rsidR="0003549D">
        <w:t xml:space="preserve">provides that the Commission “may </w:t>
      </w:r>
      <w:r w:rsidRPr="0003549D" w:rsidR="0003549D">
        <w:t>authorize fixed charges for any rate schedule applicable to a residential customer account.</w:t>
      </w:r>
      <w:r w:rsidR="0003549D">
        <w:t>”</w:t>
      </w:r>
    </w:p>
    <w:p w:rsidR="00572F3A" w:rsidP="00342917" w:rsidRDefault="005A70E9" w14:paraId="26374724" w14:textId="5EC27A5A">
      <w:pPr>
        <w:pStyle w:val="Standard"/>
      </w:pPr>
      <w:r>
        <w:t xml:space="preserve">TURN/NRDC, </w:t>
      </w:r>
      <w:r w:rsidR="00FF05E9">
        <w:t xml:space="preserve">Sierra Club, CEJA, </w:t>
      </w:r>
      <w:r>
        <w:t xml:space="preserve">CforAT, </w:t>
      </w:r>
      <w:r w:rsidR="00DC5F18">
        <w:t xml:space="preserve">the Large Utilities, </w:t>
      </w:r>
      <w:r w:rsidR="005532DB">
        <w:t xml:space="preserve">the Small Utilities, </w:t>
      </w:r>
      <w:r>
        <w:t>and Cal Advocates</w:t>
      </w:r>
      <w:r w:rsidR="007F2052">
        <w:t xml:space="preserve"> argued that the Commission</w:t>
      </w:r>
      <w:r w:rsidR="00C82C86">
        <w:t xml:space="preserve"> </w:t>
      </w:r>
      <w:r w:rsidR="65D78326">
        <w:t xml:space="preserve">should </w:t>
      </w:r>
      <w:r w:rsidR="00C82C86">
        <w:t>simultaneously</w:t>
      </w:r>
      <w:r w:rsidR="007F2052">
        <w:t xml:space="preserve"> authorize fixed charges for </w:t>
      </w:r>
      <w:r w:rsidR="00920247">
        <w:t>optional</w:t>
      </w:r>
      <w:r w:rsidR="007F2052">
        <w:t xml:space="preserve"> rates</w:t>
      </w:r>
      <w:r w:rsidR="00C82C86">
        <w:t xml:space="preserve"> when authorizing income-graduated fixed charges for default rates</w:t>
      </w:r>
      <w:r w:rsidR="007F2052">
        <w:t xml:space="preserve"> to prevent</w:t>
      </w:r>
      <w:r w:rsidR="004D007A">
        <w:t xml:space="preserve"> higher income customers from selecting </w:t>
      </w:r>
      <w:r w:rsidR="0082469B">
        <w:t>an optional</w:t>
      </w:r>
      <w:r w:rsidR="004D007A">
        <w:t xml:space="preserve"> rate t</w:t>
      </w:r>
      <w:r w:rsidR="0053573B">
        <w:t>o pay lower fixed charges or entirely avoid fixed charges</w:t>
      </w:r>
      <w:r w:rsidR="004D007A">
        <w:t>.</w:t>
      </w:r>
      <w:r w:rsidR="00C82C86">
        <w:rPr>
          <w:rStyle w:val="FootnoteReference"/>
        </w:rPr>
        <w:footnoteReference w:id="180"/>
      </w:r>
      <w:r w:rsidR="004D007A">
        <w:t xml:space="preserve"> </w:t>
      </w:r>
    </w:p>
    <w:p w:rsidR="00AD10B4" w:rsidP="0092537A" w:rsidRDefault="0092537A" w14:paraId="7DB9C33A" w14:textId="6795C88F">
      <w:pPr>
        <w:pStyle w:val="Standard"/>
      </w:pPr>
      <w:r>
        <w:t>We agree with these parties’ concerns about higher income customers avoiding the default fixed charges</w:t>
      </w:r>
      <w:r w:rsidR="005C2FD6">
        <w:t xml:space="preserve"> if we </w:t>
      </w:r>
      <w:r w:rsidR="0027147B">
        <w:t>do not require fixed charges for optional rates</w:t>
      </w:r>
      <w:r>
        <w:t xml:space="preserve">. This could result in </w:t>
      </w:r>
      <w:r w:rsidR="00F8081A">
        <w:t xml:space="preserve">a </w:t>
      </w:r>
      <w:r>
        <w:t>substantial und</w:t>
      </w:r>
      <w:r w:rsidR="00AD10B4">
        <w:t>er-</w:t>
      </w:r>
      <w:r w:rsidR="005908A8">
        <w:t xml:space="preserve">collection of </w:t>
      </w:r>
      <w:r w:rsidR="007219A7">
        <w:t xml:space="preserve">fixed charge </w:t>
      </w:r>
      <w:r w:rsidR="005908A8">
        <w:t>revenues</w:t>
      </w:r>
      <w:r w:rsidR="00AD10B4">
        <w:t xml:space="preserve"> compared to forecasted revenues.</w:t>
      </w:r>
      <w:r w:rsidR="001314C3">
        <w:t xml:space="preserve"> Further, this </w:t>
      </w:r>
      <w:r w:rsidR="00B8327C">
        <w:t xml:space="preserve">result would </w:t>
      </w:r>
      <w:r w:rsidR="00E20D65">
        <w:t>be inconsistent with the</w:t>
      </w:r>
      <w:r w:rsidR="00B8327C">
        <w:t xml:space="preserve"> </w:t>
      </w:r>
      <w:r w:rsidR="006A0023">
        <w:t>legislative intent of AB 205 to support equitable recovery of fixed costs.</w:t>
      </w:r>
    </w:p>
    <w:p w:rsidR="00FC1487" w:rsidP="001042F0" w:rsidRDefault="00AB5582" w14:paraId="23BA973A" w14:textId="33BD9E59">
      <w:pPr>
        <w:pStyle w:val="Standard"/>
      </w:pPr>
      <w:r>
        <w:lastRenderedPageBreak/>
        <w:t xml:space="preserve">SEIA opposed </w:t>
      </w:r>
      <w:r w:rsidR="00EC38A3">
        <w:t>application of</w:t>
      </w:r>
      <w:r w:rsidR="00A66B46">
        <w:t xml:space="preserve"> income-graduated fixed charges to electrification rates.</w:t>
      </w:r>
      <w:r w:rsidRPr="00F82E60" w:rsidR="00F82E60">
        <w:rPr>
          <w:vertAlign w:val="superscript"/>
        </w:rPr>
        <w:footnoteReference w:id="181"/>
      </w:r>
      <w:r w:rsidR="00F82E60">
        <w:t xml:space="preserve"> </w:t>
      </w:r>
      <w:r w:rsidR="00A66B46">
        <w:t xml:space="preserve">SEIA argued that </w:t>
      </w:r>
      <w:r w:rsidR="00487CDB">
        <w:t>electrification rates already have fixed charges</w:t>
      </w:r>
      <w:r w:rsidR="00FC1E84">
        <w:t>, so there is no need to apply income-graduated fixed charges to these rates</w:t>
      </w:r>
      <w:r w:rsidR="00487CDB">
        <w:t>.</w:t>
      </w:r>
      <w:r w:rsidR="00487CDB">
        <w:rPr>
          <w:rStyle w:val="FootnoteReference"/>
        </w:rPr>
        <w:footnoteReference w:id="182"/>
      </w:r>
      <w:r w:rsidR="00E8282F">
        <w:t xml:space="preserve"> </w:t>
      </w:r>
    </w:p>
    <w:p w:rsidR="001042F0" w:rsidP="00EC1E7A" w:rsidRDefault="00FC1E84" w14:paraId="671645FF" w14:textId="4462373C">
      <w:pPr>
        <w:pStyle w:val="Standard"/>
      </w:pPr>
      <w:r>
        <w:t>T</w:t>
      </w:r>
      <w:r w:rsidR="00EE1751">
        <w:t>he existing fixed charges for electrification rates do not comply with the AB 205 requirement for all fixed charges to be income-graduated.</w:t>
      </w:r>
      <w:r w:rsidR="00E40AA6">
        <w:rPr>
          <w:rStyle w:val="FootnoteReference"/>
        </w:rPr>
        <w:footnoteReference w:id="183"/>
      </w:r>
      <w:r w:rsidR="00597937">
        <w:t xml:space="preserve"> </w:t>
      </w:r>
      <w:r w:rsidR="00B90B90">
        <w:t>In addition</w:t>
      </w:r>
      <w:r>
        <w:t xml:space="preserve">, </w:t>
      </w:r>
      <w:r w:rsidR="00DC2A77">
        <w:t>if we d</w:t>
      </w:r>
      <w:r w:rsidR="0057721B">
        <w:t>id</w:t>
      </w:r>
      <w:r w:rsidR="00DC2A77">
        <w:t xml:space="preserve"> not modify the</w:t>
      </w:r>
      <w:r w:rsidR="00ED2BF7">
        <w:t xml:space="preserve"> amount of the</w:t>
      </w:r>
      <w:r w:rsidR="00DC2A77">
        <w:t xml:space="preserve"> </w:t>
      </w:r>
      <w:r w:rsidRPr="00FC1E84">
        <w:t>fixed charges for electrification rates</w:t>
      </w:r>
      <w:r w:rsidR="009E73D9">
        <w:t xml:space="preserve"> (</w:t>
      </w:r>
      <w:r w:rsidR="00DC2A77">
        <w:t xml:space="preserve">currently </w:t>
      </w:r>
      <w:r w:rsidR="009E73D9">
        <w:t xml:space="preserve">around $15 </w:t>
      </w:r>
      <w:r w:rsidR="00364208">
        <w:t>to $16</w:t>
      </w:r>
      <w:r w:rsidR="009E73D9">
        <w:t xml:space="preserve"> per month)</w:t>
      </w:r>
      <w:r w:rsidRPr="00FC1E84">
        <w:t>,</w:t>
      </w:r>
      <w:r w:rsidR="004B29A8">
        <w:rPr>
          <w:rStyle w:val="FootnoteReference"/>
        </w:rPr>
        <w:footnoteReference w:id="184"/>
      </w:r>
      <w:r w:rsidRPr="00FC1E84">
        <w:t xml:space="preserve"> higher income customers would still have an incentive to switch to electrification rates to avoid paying the default fixed charges. </w:t>
      </w:r>
      <w:r w:rsidR="00ED2BF7">
        <w:t>Accordingly, it is necessary to modify the existing fixed charges for electrification rates</w:t>
      </w:r>
      <w:r w:rsidR="002021D4">
        <w:t>.</w:t>
      </w:r>
    </w:p>
    <w:p w:rsidR="004250FC" w:rsidP="004250FC" w:rsidRDefault="00B72672" w14:paraId="20CE46F3" w14:textId="1EB541A0">
      <w:pPr>
        <w:pStyle w:val="Standard"/>
      </w:pPr>
      <w:r>
        <w:t>The Western Manufactured Housing Communities Association</w:t>
      </w:r>
      <w:r w:rsidR="003C01E6">
        <w:t xml:space="preserve"> commented that master-metered customers </w:t>
      </w:r>
      <w:r w:rsidR="00954E3C">
        <w:t xml:space="preserve">should be exempted from </w:t>
      </w:r>
      <w:r w:rsidR="005963FC">
        <w:t>verifying incomes of its sub-metered tenants.</w:t>
      </w:r>
      <w:r w:rsidR="0023368D">
        <w:rPr>
          <w:rStyle w:val="FootnoteReference"/>
        </w:rPr>
        <w:footnoteReference w:id="185"/>
      </w:r>
      <w:r w:rsidR="005963FC">
        <w:t xml:space="preserve"> </w:t>
      </w:r>
    </w:p>
    <w:p w:rsidRPr="00425D12" w:rsidR="00425D12" w:rsidP="004250FC" w:rsidRDefault="00425D12" w14:paraId="10A04C3B" w14:textId="136E2C48">
      <w:pPr>
        <w:pStyle w:val="Standard"/>
      </w:pPr>
      <w:r w:rsidRPr="00425D12">
        <w:t>Master</w:t>
      </w:r>
      <w:r w:rsidR="00CF4A3D">
        <w:t>-</w:t>
      </w:r>
      <w:r w:rsidRPr="00425D12">
        <w:t xml:space="preserve">metered rates apply to multifamily dwellings where service is provided through a single meter. This type of rate is often used in residential </w:t>
      </w:r>
      <w:r w:rsidR="00CF4A3D">
        <w:lastRenderedPageBreak/>
        <w:t>recreational vehicle</w:t>
      </w:r>
      <w:r w:rsidRPr="00425D12">
        <w:t xml:space="preserve"> parks and residential hotels. The account holder (i.e., the landlord) is the sole utility customer for the entire premise, and it is the account holder’s responsibility to charge individual tenants for their share of the utility bill</w:t>
      </w:r>
      <w:r w:rsidR="004250FC">
        <w:t>.</w:t>
      </w:r>
    </w:p>
    <w:p w:rsidR="00425D12" w:rsidP="00425D12" w:rsidRDefault="00425D12" w14:paraId="70991DC4" w14:textId="759E6E08">
      <w:pPr>
        <w:pStyle w:val="Standard"/>
      </w:pPr>
      <w:r w:rsidRPr="00425D12">
        <w:t>Master</w:t>
      </w:r>
      <w:r w:rsidR="00815327">
        <w:t>-</w:t>
      </w:r>
      <w:r w:rsidRPr="00425D12">
        <w:t>metered rates can be classified into two categories: sub-metered and non-sub-metered</w:t>
      </w:r>
      <w:r w:rsidR="00815327">
        <w:t>.</w:t>
      </w:r>
      <w:r w:rsidRPr="00425D12">
        <w:t xml:space="preserve"> Sub-metering allows account holders to charge tenants for their actual usage. </w:t>
      </w:r>
      <w:r w:rsidR="001E1572">
        <w:t>Tenants</w:t>
      </w:r>
      <w:r w:rsidRPr="00425D12">
        <w:t xml:space="preserve"> who are sub-metered </w:t>
      </w:r>
      <w:r w:rsidR="00CF4A3D">
        <w:t xml:space="preserve">for </w:t>
      </w:r>
      <w:r w:rsidRPr="00425D12">
        <w:t>master</w:t>
      </w:r>
      <w:r w:rsidR="00CF4A3D">
        <w:t>-</w:t>
      </w:r>
      <w:r w:rsidRPr="00425D12">
        <w:t xml:space="preserve">meter rates are </w:t>
      </w:r>
      <w:r w:rsidR="001E1572">
        <w:t>eligible for</w:t>
      </w:r>
      <w:r w:rsidRPr="00425D12">
        <w:t xml:space="preserve"> </w:t>
      </w:r>
      <w:r w:rsidR="004250FC">
        <w:t>CARE and FERA</w:t>
      </w:r>
      <w:r w:rsidRPr="00425D12">
        <w:t xml:space="preserve"> discounts </w:t>
      </w:r>
      <w:r>
        <w:t>since</w:t>
      </w:r>
      <w:r w:rsidRPr="00425D12">
        <w:t xml:space="preserve"> the account holder </w:t>
      </w:r>
      <w:r w:rsidR="001E1572">
        <w:t>can</w:t>
      </w:r>
      <w:r w:rsidRPr="00425D12">
        <w:t xml:space="preserve"> apply this discount to the individual tenants’ bills. Tenants who are </w:t>
      </w:r>
      <w:r w:rsidR="00552AE8">
        <w:t xml:space="preserve">not </w:t>
      </w:r>
      <w:r w:rsidRPr="00425D12">
        <w:t>sub-metered</w:t>
      </w:r>
      <w:r w:rsidR="00552AE8">
        <w:t xml:space="preserve"> for</w:t>
      </w:r>
      <w:r w:rsidRPr="00425D12">
        <w:t xml:space="preserve"> master</w:t>
      </w:r>
      <w:r w:rsidR="00110C14">
        <w:t>-</w:t>
      </w:r>
      <w:r w:rsidRPr="00425D12">
        <w:t xml:space="preserve">meter rates are </w:t>
      </w:r>
      <w:r w:rsidR="00AF07BA">
        <w:t xml:space="preserve">generally </w:t>
      </w:r>
      <w:r w:rsidRPr="00425D12">
        <w:t xml:space="preserve">not </w:t>
      </w:r>
      <w:r w:rsidR="001E1572">
        <w:t xml:space="preserve">eligible for </w:t>
      </w:r>
      <w:r w:rsidR="00110C14">
        <w:t>CARE or FERA</w:t>
      </w:r>
      <w:r w:rsidRPr="00425D12">
        <w:t xml:space="preserve"> discounts</w:t>
      </w:r>
      <w:r w:rsidR="004A1D6A">
        <w:t>.</w:t>
      </w:r>
      <w:r w:rsidR="00AC1267">
        <w:rPr>
          <w:rStyle w:val="FootnoteReference"/>
        </w:rPr>
        <w:footnoteReference w:id="186"/>
      </w:r>
      <w:r w:rsidR="009C2E31">
        <w:t xml:space="preserve"> </w:t>
      </w:r>
    </w:p>
    <w:p w:rsidR="001F1A9F" w:rsidP="00A01D7D" w:rsidRDefault="00110C14" w14:paraId="22813C80" w14:textId="4A98CC89">
      <w:pPr>
        <w:pStyle w:val="Standard"/>
      </w:pPr>
      <w:r>
        <w:t xml:space="preserve">The adopted income tiers for income-graduated fixed charges will not require verification of customer incomes outside of the existing CARE and FERA program processes. Accordingly, it is reasonable to apply income-graduated fixed charges to master-metered </w:t>
      </w:r>
      <w:r w:rsidR="00552AE8">
        <w:t>rates</w:t>
      </w:r>
      <w:r>
        <w:t xml:space="preserve"> with sub-meter</w:t>
      </w:r>
      <w:r w:rsidR="00552AE8">
        <w:t>ing</w:t>
      </w:r>
      <w:r>
        <w:t>.</w:t>
      </w:r>
      <w:r w:rsidR="00552AE8">
        <w:t xml:space="preserve"> </w:t>
      </w:r>
    </w:p>
    <w:p w:rsidR="00425D12" w:rsidP="009436F6" w:rsidRDefault="00552AE8" w14:paraId="0BA08EFE" w14:textId="680CF82D">
      <w:pPr>
        <w:pStyle w:val="Standard"/>
      </w:pPr>
      <w:r>
        <w:t xml:space="preserve">However, income-graduated fixed charges will not apply to </w:t>
      </w:r>
      <w:r w:rsidR="00A01D7D">
        <w:t>master-metered rates that are not sub-metered</w:t>
      </w:r>
      <w:r w:rsidR="00764C7C">
        <w:t xml:space="preserve"> at this time</w:t>
      </w:r>
      <w:r w:rsidR="00A01D7D">
        <w:t xml:space="preserve">. The </w:t>
      </w:r>
      <w:r w:rsidR="00890B94">
        <w:t>Process</w:t>
      </w:r>
      <w:r w:rsidR="00A01D7D">
        <w:t xml:space="preserve"> Working Group</w:t>
      </w:r>
      <w:r w:rsidR="001F1A9F">
        <w:t xml:space="preserve"> Proposal</w:t>
      </w:r>
      <w:r w:rsidR="00A01D7D">
        <w:t xml:space="preserve"> </w:t>
      </w:r>
      <w:r w:rsidR="001F1A9F">
        <w:t>should include recommendations on</w:t>
      </w:r>
      <w:r w:rsidR="00040CA0">
        <w:t xml:space="preserve"> whether to</w:t>
      </w:r>
      <w:r w:rsidR="009436F6">
        <w:t xml:space="preserve"> apply income-graduated fixed charges to master-metered rates that are not sub-metere</w:t>
      </w:r>
      <w:r w:rsidR="00B12201">
        <w:t>d.</w:t>
      </w:r>
    </w:p>
    <w:p w:rsidR="004D37D1" w:rsidP="009A450E" w:rsidRDefault="00F97FC0" w14:paraId="59531E83" w14:textId="5F0AE1EB">
      <w:pPr>
        <w:pStyle w:val="Standard"/>
      </w:pPr>
      <w:r w:rsidRPr="00F97FC0">
        <w:t xml:space="preserve">In its opening brief, </w:t>
      </w:r>
      <w:r w:rsidRPr="00F97FC0" w:rsidR="00F656E5">
        <w:t>U</w:t>
      </w:r>
      <w:r w:rsidRPr="00F97FC0" w:rsidR="002058FD">
        <w:t xml:space="preserve">CAN argued that </w:t>
      </w:r>
      <w:r w:rsidRPr="00F97FC0" w:rsidR="00F656E5">
        <w:t>income-graduated fixed charges should not be applied to pilot rate schedules</w:t>
      </w:r>
      <w:r w:rsidR="009A450E">
        <w:t>. Similarly, th</w:t>
      </w:r>
      <w:r w:rsidR="004D37D1">
        <w:t xml:space="preserve">e Large Utilities asserted that </w:t>
      </w:r>
      <w:r w:rsidR="006A6D3C">
        <w:t>fixed charges should not be applied to rates that are scheduled to be eliminated soon.</w:t>
      </w:r>
      <w:r w:rsidRPr="009F3233" w:rsidR="009F3233">
        <w:rPr>
          <w:vertAlign w:val="superscript"/>
        </w:rPr>
        <w:footnoteReference w:id="187"/>
      </w:r>
      <w:r w:rsidR="006A6D3C">
        <w:t xml:space="preserve"> </w:t>
      </w:r>
    </w:p>
    <w:p w:rsidR="008C051C" w:rsidP="008C051C" w:rsidRDefault="00A161B6" w14:paraId="3316AB8D" w14:textId="7DAF6631">
      <w:pPr>
        <w:pStyle w:val="Standard"/>
      </w:pPr>
      <w:r>
        <w:lastRenderedPageBreak/>
        <w:t xml:space="preserve">The Large Utilities also argued that </w:t>
      </w:r>
      <w:r w:rsidR="00413B83">
        <w:t>its separately-metered electric vehicle rates</w:t>
      </w:r>
      <w:r w:rsidRPr="004D37D1" w:rsidR="004D37D1">
        <w:t>, which reflect a lower fixed charge to account for shared facilities,</w:t>
      </w:r>
      <w:r w:rsidR="00413B83">
        <w:t xml:space="preserve"> should</w:t>
      </w:r>
      <w:r w:rsidR="004366D6">
        <w:t xml:space="preserve"> not have a full income-graduated fixed charge </w:t>
      </w:r>
      <w:r w:rsidR="001C141B">
        <w:t xml:space="preserve">if the </w:t>
      </w:r>
      <w:r w:rsidR="004366D6">
        <w:t xml:space="preserve">customer’s primary meter (for non-electric vehicle household usage) </w:t>
      </w:r>
      <w:r w:rsidR="000754BD">
        <w:t xml:space="preserve">is required to </w:t>
      </w:r>
      <w:r w:rsidR="009F3233">
        <w:t>take</w:t>
      </w:r>
      <w:r w:rsidR="000754BD">
        <w:t xml:space="preserve"> </w:t>
      </w:r>
      <w:r w:rsidR="009F3233">
        <w:t>service on a rate that has an income-graduated fixed charge.</w:t>
      </w:r>
      <w:r w:rsidR="009F3233">
        <w:rPr>
          <w:rStyle w:val="FootnoteReference"/>
        </w:rPr>
        <w:footnoteReference w:id="188"/>
      </w:r>
      <w:r w:rsidR="00E93AEE">
        <w:t xml:space="preserve"> </w:t>
      </w:r>
      <w:r w:rsidR="003C5141">
        <w:t xml:space="preserve">We agree that a residential customer should not be required to pay </w:t>
      </w:r>
      <w:r w:rsidR="00C15EAE">
        <w:t xml:space="preserve">two fixed charges for </w:t>
      </w:r>
      <w:r w:rsidR="00097EA3">
        <w:t xml:space="preserve">a single </w:t>
      </w:r>
      <w:r w:rsidR="00C70393">
        <w:t>residence</w:t>
      </w:r>
      <w:r w:rsidR="00CC337F">
        <w:t>.</w:t>
      </w:r>
    </w:p>
    <w:p w:rsidR="003F116D" w:rsidP="0020110F" w:rsidRDefault="002B1C3C" w14:paraId="4CE5FE1D" w14:textId="26C78D4F">
      <w:pPr>
        <w:pStyle w:val="Standard"/>
      </w:pPr>
      <w:r>
        <w:t>The Large Utilities recommended exempting rate schedules that are scheduled to be eliminated in the near-term from income-graduated fixed charges.</w:t>
      </w:r>
      <w:r w:rsidR="003F116D">
        <w:rPr>
          <w:rStyle w:val="FootnoteReference"/>
        </w:rPr>
        <w:footnoteReference w:id="189"/>
      </w:r>
      <w:r>
        <w:t xml:space="preserve"> </w:t>
      </w:r>
      <w:r w:rsidR="00F33B8D">
        <w:t xml:space="preserve">We agree that it would be inefficient to </w:t>
      </w:r>
      <w:r w:rsidR="00DA0E64">
        <w:t>implement fixed charges for</w:t>
      </w:r>
      <w:r w:rsidR="00672AD6">
        <w:t xml:space="preserve"> </w:t>
      </w:r>
      <w:r w:rsidR="00861FA4">
        <w:t xml:space="preserve">rate schedules that </w:t>
      </w:r>
      <w:r w:rsidR="0060286A">
        <w:t xml:space="preserve">will be eliminated </w:t>
      </w:r>
      <w:r w:rsidR="00072DBD">
        <w:t xml:space="preserve">soon after the implementation of </w:t>
      </w:r>
      <w:r w:rsidR="00AC43BA">
        <w:t>income-graduated fixed charges.</w:t>
      </w:r>
    </w:p>
    <w:p w:rsidRPr="007E4F67" w:rsidR="00E67BF2" w:rsidP="0008492E" w:rsidRDefault="004E0B0B" w14:paraId="4A142887" w14:textId="275889D7">
      <w:pPr>
        <w:pStyle w:val="Standard"/>
      </w:pPr>
      <w:r>
        <w:t>In opening comments on the Budget and Timing Ruling, t</w:t>
      </w:r>
      <w:r w:rsidRPr="007E4F67" w:rsidR="00701754">
        <w:t>he Large Utilitie</w:t>
      </w:r>
      <w:r w:rsidRPr="007E4F67" w:rsidR="0095767E">
        <w:t>s each provided a list of all of their residential rates</w:t>
      </w:r>
      <w:r w:rsidRPr="007E4F67" w:rsidR="00F31F2C">
        <w:t xml:space="preserve"> and whether each rate </w:t>
      </w:r>
      <w:r w:rsidR="000047E5">
        <w:t xml:space="preserve">is </w:t>
      </w:r>
      <w:r w:rsidR="00BE65B9">
        <w:t>a</w:t>
      </w:r>
      <w:r w:rsidR="00265696">
        <w:t xml:space="preserve"> separately-metered electric vehicle rate, a </w:t>
      </w:r>
      <w:r w:rsidR="004240B3">
        <w:t xml:space="preserve">master metered rate that is not </w:t>
      </w:r>
      <w:r w:rsidR="00265696">
        <w:t>sub</w:t>
      </w:r>
      <w:r w:rsidR="008D65C1">
        <w:t>-</w:t>
      </w:r>
      <w:r w:rsidR="00265696">
        <w:t>metered</w:t>
      </w:r>
      <w:r w:rsidR="004240B3">
        <w:t xml:space="preserve">, or </w:t>
      </w:r>
      <w:r w:rsidR="00062E19">
        <w:t>scheduled to be eliminated in 20</w:t>
      </w:r>
      <w:r w:rsidR="00A70BC5">
        <w:t>2</w:t>
      </w:r>
      <w:r w:rsidR="00062E19">
        <w:t>5</w:t>
      </w:r>
      <w:r w:rsidRPr="007E4F67" w:rsidR="00F31F2C">
        <w:t>.</w:t>
      </w:r>
      <w:r w:rsidRPr="007E4F67" w:rsidR="00EC7F23">
        <w:t xml:space="preserve"> </w:t>
      </w:r>
      <w:r w:rsidR="00655503">
        <w:t>This information is summarized in the table</w:t>
      </w:r>
      <w:r w:rsidR="00A70BC5">
        <w:t>s</w:t>
      </w:r>
      <w:r w:rsidR="00655503">
        <w:t xml:space="preserve"> below</w:t>
      </w:r>
      <w:r w:rsidR="00387709">
        <w:t xml:space="preserve">. </w:t>
      </w:r>
    </w:p>
    <w:p w:rsidRPr="001E73B9" w:rsidR="001F1AB6" w:rsidP="0008492E" w:rsidRDefault="001F1AB6" w14:paraId="4CBEF7C3" w14:textId="32C0FF54">
      <w:pPr>
        <w:pStyle w:val="Standard"/>
        <w:ind w:firstLine="0"/>
        <w:rPr>
          <w:b/>
        </w:rPr>
      </w:pPr>
      <w:r w:rsidRPr="001E73B9">
        <w:rPr>
          <w:b/>
        </w:rPr>
        <w:t xml:space="preserve">Table </w:t>
      </w:r>
      <w:r w:rsidR="00E16A59">
        <w:rPr>
          <w:b/>
        </w:rPr>
        <w:t>5</w:t>
      </w:r>
      <w:r w:rsidR="008454B7">
        <w:rPr>
          <w:b/>
          <w:bCs/>
        </w:rPr>
        <w:t>(A)</w:t>
      </w:r>
      <w:r w:rsidRPr="001E73B9">
        <w:rPr>
          <w:b/>
          <w:bCs/>
        </w:rPr>
        <w:t>:</w:t>
      </w:r>
      <w:r w:rsidRPr="001E73B9">
        <w:rPr>
          <w:b/>
        </w:rPr>
        <w:t xml:space="preserve"> </w:t>
      </w:r>
      <w:r w:rsidR="007007A8">
        <w:rPr>
          <w:b/>
          <w:bCs/>
        </w:rPr>
        <w:t>PGE</w:t>
      </w:r>
      <w:r w:rsidRPr="001E73B9" w:rsidR="00676672">
        <w:rPr>
          <w:b/>
          <w:bCs/>
        </w:rPr>
        <w:t>’</w:t>
      </w:r>
      <w:r w:rsidR="007007A8">
        <w:rPr>
          <w:b/>
          <w:bCs/>
        </w:rPr>
        <w:t>s</w:t>
      </w:r>
      <w:r w:rsidRPr="001E73B9" w:rsidR="00676672">
        <w:rPr>
          <w:b/>
        </w:rPr>
        <w:t xml:space="preserve"> </w:t>
      </w:r>
      <w:r w:rsidRPr="001E73B9" w:rsidR="00BA7CC8">
        <w:rPr>
          <w:b/>
        </w:rPr>
        <w:t>Rates</w:t>
      </w:r>
    </w:p>
    <w:tbl>
      <w:tblPr>
        <w:tblW w:w="8875" w:type="dxa"/>
        <w:tblLook w:val="04A0" w:firstRow="1" w:lastRow="0" w:firstColumn="1" w:lastColumn="0" w:noHBand="0" w:noVBand="1"/>
      </w:tblPr>
      <w:tblGrid>
        <w:gridCol w:w="1035"/>
        <w:gridCol w:w="1640"/>
        <w:gridCol w:w="2140"/>
        <w:gridCol w:w="4060"/>
      </w:tblGrid>
      <w:tr w:rsidRPr="00A40469" w:rsidR="00E5562A" w:rsidTr="000D0EDA" w14:paraId="339D5D43" w14:textId="77777777">
        <w:trPr>
          <w:trHeight w:val="615"/>
        </w:trPr>
        <w:tc>
          <w:tcPr>
            <w:tcW w:w="1035" w:type="dxa"/>
            <w:tcBorders>
              <w:top w:val="single" w:color="auto" w:sz="4" w:space="0"/>
              <w:left w:val="single" w:color="auto" w:sz="4" w:space="0"/>
              <w:bottom w:val="nil"/>
              <w:right w:val="single" w:color="auto" w:sz="4" w:space="0"/>
            </w:tcBorders>
            <w:shd w:val="clear" w:color="000000" w:fill="4472C4"/>
            <w:noWrap/>
            <w:vAlign w:val="bottom"/>
            <w:hideMark/>
          </w:tcPr>
          <w:p w:rsidRPr="00A40469" w:rsidR="00A40469" w:rsidP="00A40469" w:rsidRDefault="00A40469" w14:paraId="474D0BAA" w14:textId="77777777">
            <w:pPr>
              <w:spacing w:line="240" w:lineRule="auto"/>
              <w:ind w:firstLine="0"/>
              <w:jc w:val="center"/>
              <w:rPr>
                <w:rFonts w:eastAsia="Times New Roman" w:cs="Calibri"/>
                <w:b/>
                <w:color w:val="FFFFFF"/>
                <w:sz w:val="22"/>
              </w:rPr>
            </w:pPr>
            <w:bookmarkStart w:name="_Hlk159591754" w:id="40"/>
            <w:r w:rsidRPr="00A40469">
              <w:rPr>
                <w:rFonts w:eastAsia="Times New Roman" w:cs="Calibri"/>
                <w:b/>
                <w:color w:val="FFFFFF"/>
                <w:sz w:val="22"/>
              </w:rPr>
              <w:t>Utility</w:t>
            </w:r>
          </w:p>
        </w:tc>
        <w:tc>
          <w:tcPr>
            <w:tcW w:w="1640" w:type="dxa"/>
            <w:tcBorders>
              <w:top w:val="single" w:color="auto" w:sz="4" w:space="0"/>
              <w:left w:val="nil"/>
              <w:bottom w:val="nil"/>
              <w:right w:val="single" w:color="auto" w:sz="4" w:space="0"/>
            </w:tcBorders>
            <w:shd w:val="clear" w:color="000000" w:fill="4472C4"/>
            <w:noWrap/>
            <w:vAlign w:val="bottom"/>
            <w:hideMark/>
          </w:tcPr>
          <w:p w:rsidRPr="00A40469" w:rsidR="00A40469" w:rsidP="00A40469" w:rsidRDefault="00A40469" w14:paraId="71C546E8" w14:textId="77777777">
            <w:pPr>
              <w:spacing w:line="240" w:lineRule="auto"/>
              <w:ind w:firstLine="0"/>
              <w:jc w:val="center"/>
              <w:rPr>
                <w:rFonts w:eastAsia="Times New Roman" w:cs="Calibri"/>
                <w:b/>
                <w:color w:val="FFFFFF"/>
                <w:sz w:val="22"/>
              </w:rPr>
            </w:pPr>
            <w:r w:rsidRPr="00A40469">
              <w:rPr>
                <w:rFonts w:eastAsia="Times New Roman" w:cs="Calibri"/>
                <w:b/>
                <w:color w:val="FFFFFF"/>
                <w:sz w:val="22"/>
              </w:rPr>
              <w:t>Schedule</w:t>
            </w:r>
          </w:p>
        </w:tc>
        <w:tc>
          <w:tcPr>
            <w:tcW w:w="2140" w:type="dxa"/>
            <w:tcBorders>
              <w:top w:val="single" w:color="auto" w:sz="4" w:space="0"/>
              <w:left w:val="nil"/>
              <w:bottom w:val="nil"/>
              <w:right w:val="single" w:color="auto" w:sz="4" w:space="0"/>
            </w:tcBorders>
            <w:shd w:val="clear" w:color="000000" w:fill="4472C4"/>
            <w:noWrap/>
            <w:vAlign w:val="bottom"/>
            <w:hideMark/>
          </w:tcPr>
          <w:p w:rsidRPr="00A40469" w:rsidR="00A40469" w:rsidP="00A40469" w:rsidRDefault="00A40469" w14:paraId="383E346F" w14:textId="27FD2247">
            <w:pPr>
              <w:spacing w:line="240" w:lineRule="auto"/>
              <w:ind w:firstLine="0"/>
              <w:jc w:val="center"/>
              <w:rPr>
                <w:rFonts w:eastAsia="Times New Roman" w:cs="Calibri"/>
                <w:b/>
                <w:color w:val="FFFFFF"/>
                <w:sz w:val="22"/>
              </w:rPr>
            </w:pPr>
            <w:r w:rsidRPr="00A40469">
              <w:rPr>
                <w:rFonts w:eastAsia="Times New Roman" w:cs="Calibri"/>
                <w:b/>
                <w:color w:val="FFFFFF"/>
                <w:sz w:val="22"/>
              </w:rPr>
              <w:t>Current fixed charge</w:t>
            </w:r>
          </w:p>
        </w:tc>
        <w:tc>
          <w:tcPr>
            <w:tcW w:w="4060" w:type="dxa"/>
            <w:tcBorders>
              <w:top w:val="single" w:color="auto" w:sz="4" w:space="0"/>
              <w:left w:val="nil"/>
              <w:bottom w:val="nil"/>
              <w:right w:val="single" w:color="auto" w:sz="4" w:space="0"/>
            </w:tcBorders>
            <w:shd w:val="clear" w:color="000000" w:fill="4472C4"/>
            <w:noWrap/>
            <w:vAlign w:val="bottom"/>
            <w:hideMark/>
          </w:tcPr>
          <w:p w:rsidRPr="00A40469" w:rsidR="00A40469" w:rsidP="00A40469" w:rsidRDefault="0060233D" w14:paraId="456E4D6E" w14:textId="2B87D2A1">
            <w:pPr>
              <w:spacing w:line="240" w:lineRule="auto"/>
              <w:ind w:firstLine="0"/>
              <w:jc w:val="center"/>
              <w:rPr>
                <w:rFonts w:eastAsia="Times New Roman" w:cs="Calibri"/>
                <w:b/>
                <w:color w:val="FFFFFF"/>
                <w:sz w:val="22"/>
              </w:rPr>
            </w:pPr>
            <w:r>
              <w:rPr>
                <w:rFonts w:eastAsia="Times New Roman" w:cs="Calibri"/>
                <w:b/>
                <w:bCs/>
                <w:color w:val="FFFFFF"/>
                <w:sz w:val="22"/>
              </w:rPr>
              <w:t>Exemption from Income-Graduated Fixed Charges</w:t>
            </w:r>
          </w:p>
        </w:tc>
      </w:tr>
      <w:bookmarkEnd w:id="40"/>
      <w:tr w:rsidRPr="00A40469" w:rsidR="00E5562A" w:rsidTr="000D0EDA" w14:paraId="5D4DC59A" w14:textId="77777777">
        <w:trPr>
          <w:trHeight w:val="300"/>
        </w:trPr>
        <w:tc>
          <w:tcPr>
            <w:tcW w:w="1035" w:type="dxa"/>
            <w:vMerge w:val="restart"/>
            <w:tcBorders>
              <w:top w:val="single" w:color="auto" w:sz="8" w:space="0"/>
              <w:left w:val="single" w:color="auto" w:sz="4" w:space="0"/>
              <w:bottom w:val="single" w:color="000000" w:sz="8" w:space="0"/>
              <w:right w:val="single" w:color="auto" w:sz="4" w:space="0"/>
            </w:tcBorders>
            <w:shd w:val="clear" w:color="000000" w:fill="4472C4"/>
            <w:noWrap/>
            <w:vAlign w:val="center"/>
            <w:hideMark/>
          </w:tcPr>
          <w:p w:rsidRPr="000047E5" w:rsidR="00A40469" w:rsidP="00A40469" w:rsidRDefault="00A40469" w14:paraId="370FA72F" w14:textId="77777777">
            <w:pPr>
              <w:spacing w:line="240" w:lineRule="auto"/>
              <w:ind w:firstLine="0"/>
              <w:jc w:val="center"/>
              <w:rPr>
                <w:rFonts w:eastAsia="Times New Roman" w:cs="Calibri"/>
                <w:b/>
                <w:color w:val="FFFFFF"/>
                <w:sz w:val="22"/>
              </w:rPr>
            </w:pPr>
            <w:r w:rsidRPr="000047E5">
              <w:rPr>
                <w:rFonts w:eastAsia="Times New Roman" w:cs="Calibri"/>
                <w:b/>
                <w:color w:val="FFFFFF"/>
                <w:sz w:val="22"/>
              </w:rPr>
              <w:t>PG&amp;E</w:t>
            </w:r>
          </w:p>
        </w:tc>
        <w:tc>
          <w:tcPr>
            <w:tcW w:w="1640" w:type="dxa"/>
            <w:tcBorders>
              <w:top w:val="single" w:color="auto" w:sz="8" w:space="0"/>
              <w:left w:val="nil"/>
              <w:bottom w:val="single" w:color="auto" w:sz="4" w:space="0"/>
              <w:right w:val="single" w:color="auto" w:sz="4" w:space="0"/>
            </w:tcBorders>
            <w:shd w:val="clear" w:color="000000" w:fill="B4C6E7"/>
            <w:noWrap/>
            <w:vAlign w:val="bottom"/>
            <w:hideMark/>
          </w:tcPr>
          <w:p w:rsidRPr="000047E5" w:rsidR="00A40469" w:rsidP="00A40469" w:rsidRDefault="00A40469" w14:paraId="6E8D99BA"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E-1</w:t>
            </w:r>
          </w:p>
        </w:tc>
        <w:tc>
          <w:tcPr>
            <w:tcW w:w="2140" w:type="dxa"/>
            <w:tcBorders>
              <w:top w:val="single" w:color="auto" w:sz="8" w:space="0"/>
              <w:left w:val="nil"/>
              <w:bottom w:val="single" w:color="auto" w:sz="4" w:space="0"/>
              <w:right w:val="single" w:color="auto" w:sz="4" w:space="0"/>
            </w:tcBorders>
            <w:shd w:val="clear" w:color="000000" w:fill="B4C6E7"/>
            <w:noWrap/>
            <w:vAlign w:val="bottom"/>
            <w:hideMark/>
          </w:tcPr>
          <w:p w:rsidRPr="000047E5" w:rsidR="00A40469" w:rsidP="00A40469" w:rsidRDefault="00A40469" w14:paraId="494F64BD"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No</w:t>
            </w:r>
          </w:p>
        </w:tc>
        <w:tc>
          <w:tcPr>
            <w:tcW w:w="4060" w:type="dxa"/>
            <w:tcBorders>
              <w:top w:val="single" w:color="auto" w:sz="8" w:space="0"/>
              <w:left w:val="nil"/>
              <w:bottom w:val="single" w:color="auto" w:sz="4" w:space="0"/>
              <w:right w:val="single" w:color="auto" w:sz="4" w:space="0"/>
            </w:tcBorders>
            <w:shd w:val="clear" w:color="000000" w:fill="B4C6E7"/>
            <w:noWrap/>
            <w:vAlign w:val="bottom"/>
            <w:hideMark/>
          </w:tcPr>
          <w:p w:rsidRPr="000047E5" w:rsidR="00A40469" w:rsidP="00A40469" w:rsidRDefault="000F3142" w14:paraId="05D87D5B" w14:textId="6C499EE4">
            <w:pPr>
              <w:spacing w:line="240" w:lineRule="auto"/>
              <w:ind w:firstLine="0"/>
              <w:jc w:val="center"/>
              <w:rPr>
                <w:rFonts w:eastAsia="Times New Roman" w:cs="Calibri"/>
                <w:color w:val="000000"/>
                <w:sz w:val="22"/>
              </w:rPr>
            </w:pPr>
            <w:r>
              <w:rPr>
                <w:rFonts w:eastAsia="Times New Roman" w:cs="Calibri"/>
                <w:color w:val="000000"/>
                <w:sz w:val="22"/>
              </w:rPr>
              <w:t>No</w:t>
            </w:r>
            <w:r w:rsidR="0060233D">
              <w:rPr>
                <w:rFonts w:eastAsia="Times New Roman" w:cs="Calibri"/>
                <w:color w:val="000000"/>
                <w:sz w:val="22"/>
              </w:rPr>
              <w:t>ne</w:t>
            </w:r>
          </w:p>
        </w:tc>
      </w:tr>
      <w:tr w:rsidRPr="00A40469" w:rsidR="00AF09E0" w:rsidTr="000D0EDA" w14:paraId="377AEE21"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0047E5" w:rsidR="00A40469" w:rsidP="00A40469" w:rsidRDefault="00A40469" w14:paraId="0BA291F8"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0047E5" w:rsidR="00A40469" w:rsidP="00A40469" w:rsidRDefault="00A40469" w14:paraId="76C69595"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E-TOU-C</w:t>
            </w:r>
          </w:p>
        </w:tc>
        <w:tc>
          <w:tcPr>
            <w:tcW w:w="2140" w:type="dxa"/>
            <w:tcBorders>
              <w:top w:val="nil"/>
              <w:left w:val="nil"/>
              <w:bottom w:val="single" w:color="auto" w:sz="4" w:space="0"/>
              <w:right w:val="single" w:color="auto" w:sz="4" w:space="0"/>
            </w:tcBorders>
            <w:shd w:val="clear" w:color="auto" w:fill="auto"/>
            <w:noWrap/>
            <w:vAlign w:val="bottom"/>
            <w:hideMark/>
          </w:tcPr>
          <w:p w:rsidRPr="000047E5" w:rsidR="00A40469" w:rsidP="00A40469" w:rsidRDefault="00A40469" w14:paraId="3B6561B3"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auto" w:fill="auto"/>
            <w:noWrap/>
            <w:vAlign w:val="bottom"/>
            <w:hideMark/>
          </w:tcPr>
          <w:p w:rsidRPr="000047E5" w:rsidR="00A40469" w:rsidP="00A40469" w:rsidRDefault="000F3142" w14:paraId="3B61F182" w14:textId="778DCDFD">
            <w:pPr>
              <w:spacing w:line="240" w:lineRule="auto"/>
              <w:ind w:firstLine="0"/>
              <w:jc w:val="center"/>
              <w:rPr>
                <w:rFonts w:eastAsia="Times New Roman" w:cs="Calibri"/>
                <w:color w:val="000000"/>
                <w:sz w:val="22"/>
              </w:rPr>
            </w:pPr>
            <w:r>
              <w:rPr>
                <w:rFonts w:eastAsia="Times New Roman" w:cs="Calibri"/>
                <w:color w:val="000000"/>
                <w:sz w:val="22"/>
              </w:rPr>
              <w:t>No</w:t>
            </w:r>
            <w:r w:rsidR="0060233D">
              <w:rPr>
                <w:rFonts w:eastAsia="Times New Roman" w:cs="Calibri"/>
                <w:color w:val="000000"/>
                <w:sz w:val="22"/>
              </w:rPr>
              <w:t>ne</w:t>
            </w:r>
          </w:p>
        </w:tc>
      </w:tr>
      <w:tr w:rsidRPr="00A40469" w:rsidR="00E5562A" w:rsidTr="000D0EDA" w14:paraId="7C7446F9"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0047E5" w:rsidR="00A40469" w:rsidP="00A40469" w:rsidRDefault="00A40469" w14:paraId="020E4308"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0047E5" w:rsidR="00A40469" w:rsidP="00A40469" w:rsidRDefault="00A40469" w14:paraId="782E319D"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E-TOU-D</w:t>
            </w:r>
          </w:p>
        </w:tc>
        <w:tc>
          <w:tcPr>
            <w:tcW w:w="2140" w:type="dxa"/>
            <w:tcBorders>
              <w:top w:val="nil"/>
              <w:left w:val="nil"/>
              <w:bottom w:val="single" w:color="auto" w:sz="4" w:space="0"/>
              <w:right w:val="single" w:color="auto" w:sz="4" w:space="0"/>
            </w:tcBorders>
            <w:shd w:val="clear" w:color="000000" w:fill="B4C6E7"/>
            <w:noWrap/>
            <w:vAlign w:val="bottom"/>
            <w:hideMark/>
          </w:tcPr>
          <w:p w:rsidRPr="000047E5" w:rsidR="00A40469" w:rsidP="00A40469" w:rsidRDefault="00A40469" w14:paraId="1F325E95"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000000" w:fill="B4C6E7"/>
            <w:noWrap/>
            <w:vAlign w:val="bottom"/>
            <w:hideMark/>
          </w:tcPr>
          <w:p w:rsidRPr="000047E5" w:rsidR="00A40469" w:rsidP="00A40469" w:rsidRDefault="000F3142" w14:paraId="6A633EFC" w14:textId="50F5113F">
            <w:pPr>
              <w:spacing w:line="240" w:lineRule="auto"/>
              <w:ind w:firstLine="0"/>
              <w:jc w:val="center"/>
              <w:rPr>
                <w:rFonts w:eastAsia="Times New Roman" w:cs="Calibri"/>
                <w:color w:val="000000"/>
                <w:sz w:val="22"/>
              </w:rPr>
            </w:pPr>
            <w:r>
              <w:rPr>
                <w:rFonts w:eastAsia="Times New Roman" w:cs="Calibri"/>
                <w:color w:val="000000"/>
                <w:sz w:val="22"/>
              </w:rPr>
              <w:t>No</w:t>
            </w:r>
            <w:r w:rsidR="0060233D">
              <w:rPr>
                <w:rFonts w:eastAsia="Times New Roman" w:cs="Calibri"/>
                <w:color w:val="000000"/>
                <w:sz w:val="22"/>
              </w:rPr>
              <w:t>ne</w:t>
            </w:r>
          </w:p>
        </w:tc>
      </w:tr>
      <w:tr w:rsidRPr="00A40469" w:rsidR="00AF09E0" w:rsidTr="000D0EDA" w14:paraId="6831E07E"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0047E5" w:rsidR="00A40469" w:rsidP="00A40469" w:rsidRDefault="00A40469" w14:paraId="13D3C136"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0047E5" w:rsidR="00A40469" w:rsidP="00A40469" w:rsidRDefault="00A40469" w14:paraId="3DA7E6BF"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EV-2A</w:t>
            </w:r>
          </w:p>
        </w:tc>
        <w:tc>
          <w:tcPr>
            <w:tcW w:w="2140" w:type="dxa"/>
            <w:tcBorders>
              <w:top w:val="nil"/>
              <w:left w:val="nil"/>
              <w:bottom w:val="single" w:color="auto" w:sz="4" w:space="0"/>
              <w:right w:val="single" w:color="auto" w:sz="4" w:space="0"/>
            </w:tcBorders>
            <w:shd w:val="clear" w:color="auto" w:fill="auto"/>
            <w:noWrap/>
            <w:vAlign w:val="bottom"/>
            <w:hideMark/>
          </w:tcPr>
          <w:p w:rsidRPr="000047E5" w:rsidR="00A40469" w:rsidP="00A40469" w:rsidRDefault="00A40469" w14:paraId="6D4BF4B7"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auto" w:fill="auto"/>
            <w:noWrap/>
            <w:vAlign w:val="bottom"/>
            <w:hideMark/>
          </w:tcPr>
          <w:p w:rsidRPr="000047E5" w:rsidR="00A40469" w:rsidP="00A40469" w:rsidRDefault="000F3142" w14:paraId="15F80DB0" w14:textId="158D8731">
            <w:pPr>
              <w:spacing w:line="240" w:lineRule="auto"/>
              <w:ind w:firstLine="0"/>
              <w:jc w:val="center"/>
              <w:rPr>
                <w:rFonts w:eastAsia="Times New Roman" w:cs="Calibri"/>
                <w:color w:val="000000"/>
                <w:sz w:val="22"/>
              </w:rPr>
            </w:pPr>
            <w:r>
              <w:rPr>
                <w:rFonts w:eastAsia="Times New Roman" w:cs="Calibri"/>
                <w:color w:val="000000"/>
                <w:sz w:val="22"/>
              </w:rPr>
              <w:t>No</w:t>
            </w:r>
            <w:r w:rsidR="0060233D">
              <w:rPr>
                <w:rFonts w:eastAsia="Times New Roman" w:cs="Calibri"/>
                <w:color w:val="000000"/>
                <w:sz w:val="22"/>
              </w:rPr>
              <w:t>ne</w:t>
            </w:r>
          </w:p>
        </w:tc>
      </w:tr>
      <w:tr w:rsidRPr="00A40469" w:rsidR="00E5562A" w:rsidTr="000D0EDA" w14:paraId="0AAE1611"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0047E5" w:rsidR="00A40469" w:rsidP="00A40469" w:rsidRDefault="00A40469" w14:paraId="5C7E2D85"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0047E5" w:rsidR="00A40469" w:rsidP="00A40469" w:rsidRDefault="00A40469" w14:paraId="6FA528CC"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ESR</w:t>
            </w:r>
          </w:p>
        </w:tc>
        <w:tc>
          <w:tcPr>
            <w:tcW w:w="2140" w:type="dxa"/>
            <w:tcBorders>
              <w:top w:val="nil"/>
              <w:left w:val="nil"/>
              <w:bottom w:val="single" w:color="auto" w:sz="4" w:space="0"/>
              <w:right w:val="single" w:color="auto" w:sz="4" w:space="0"/>
            </w:tcBorders>
            <w:shd w:val="clear" w:color="000000" w:fill="B4C6E7"/>
            <w:noWrap/>
            <w:vAlign w:val="bottom"/>
            <w:hideMark/>
          </w:tcPr>
          <w:p w:rsidRPr="000047E5" w:rsidR="00A40469" w:rsidP="00A40469" w:rsidRDefault="00A40469" w14:paraId="2E1B0003"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000000" w:fill="B4C6E7"/>
            <w:noWrap/>
            <w:vAlign w:val="bottom"/>
            <w:hideMark/>
          </w:tcPr>
          <w:p w:rsidRPr="000047E5" w:rsidR="00A40469" w:rsidP="00A40469" w:rsidRDefault="000F3142" w14:paraId="5CDC4E20" w14:textId="0410F099">
            <w:pPr>
              <w:spacing w:line="240" w:lineRule="auto"/>
              <w:ind w:firstLine="0"/>
              <w:jc w:val="center"/>
              <w:rPr>
                <w:rFonts w:eastAsia="Times New Roman" w:cs="Calibri"/>
                <w:color w:val="000000"/>
                <w:sz w:val="22"/>
              </w:rPr>
            </w:pPr>
            <w:r>
              <w:rPr>
                <w:rFonts w:eastAsia="Times New Roman" w:cs="Calibri"/>
                <w:color w:val="000000"/>
                <w:sz w:val="22"/>
              </w:rPr>
              <w:t>No</w:t>
            </w:r>
            <w:r w:rsidR="0060233D">
              <w:rPr>
                <w:rFonts w:eastAsia="Times New Roman" w:cs="Calibri"/>
                <w:color w:val="000000"/>
                <w:sz w:val="22"/>
              </w:rPr>
              <w:t>ne</w:t>
            </w:r>
          </w:p>
        </w:tc>
      </w:tr>
      <w:tr w:rsidRPr="00A40469" w:rsidR="00AF09E0" w:rsidTr="000D0EDA" w14:paraId="0CC9EDF6"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0047E5" w:rsidR="00A40469" w:rsidP="00A40469" w:rsidRDefault="00A40469" w14:paraId="539147FE"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0047E5" w:rsidR="00A40469" w:rsidP="00A40469" w:rsidRDefault="00A40469" w14:paraId="0783AF7F"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E-ELEC</w:t>
            </w:r>
          </w:p>
        </w:tc>
        <w:tc>
          <w:tcPr>
            <w:tcW w:w="2140" w:type="dxa"/>
            <w:tcBorders>
              <w:top w:val="nil"/>
              <w:left w:val="nil"/>
              <w:bottom w:val="single" w:color="auto" w:sz="4" w:space="0"/>
              <w:right w:val="single" w:color="auto" w:sz="4" w:space="0"/>
            </w:tcBorders>
            <w:shd w:val="clear" w:color="auto" w:fill="auto"/>
            <w:noWrap/>
            <w:vAlign w:val="bottom"/>
            <w:hideMark/>
          </w:tcPr>
          <w:p w:rsidRPr="000047E5" w:rsidR="00A40469" w:rsidP="00A40469" w:rsidRDefault="00A40469" w14:paraId="61F054E8"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auto" w:fill="auto"/>
            <w:noWrap/>
            <w:vAlign w:val="bottom"/>
            <w:hideMark/>
          </w:tcPr>
          <w:p w:rsidRPr="000047E5" w:rsidR="00A40469" w:rsidP="00A40469" w:rsidRDefault="000F3142" w14:paraId="5BF623D8" w14:textId="33D67A91">
            <w:pPr>
              <w:spacing w:line="240" w:lineRule="auto"/>
              <w:ind w:firstLine="0"/>
              <w:jc w:val="center"/>
              <w:rPr>
                <w:rFonts w:eastAsia="Times New Roman" w:cs="Calibri"/>
                <w:color w:val="000000"/>
                <w:sz w:val="22"/>
              </w:rPr>
            </w:pPr>
            <w:r>
              <w:rPr>
                <w:rFonts w:eastAsia="Times New Roman" w:cs="Calibri"/>
                <w:color w:val="000000"/>
                <w:sz w:val="22"/>
              </w:rPr>
              <w:t>No</w:t>
            </w:r>
            <w:r w:rsidR="0060233D">
              <w:rPr>
                <w:rFonts w:eastAsia="Times New Roman" w:cs="Calibri"/>
                <w:color w:val="000000"/>
                <w:sz w:val="22"/>
              </w:rPr>
              <w:t>ne</w:t>
            </w:r>
          </w:p>
        </w:tc>
      </w:tr>
      <w:tr w:rsidRPr="00A40469" w:rsidR="00E5562A" w:rsidTr="000D0EDA" w14:paraId="1F8DD0D4"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0047E5" w:rsidR="00A40469" w:rsidP="00A40469" w:rsidRDefault="00A40469" w14:paraId="39BABDB3"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0047E5" w:rsidR="00A40469" w:rsidP="00A40469" w:rsidRDefault="00A40469" w14:paraId="4C0C52DE"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EV-B</w:t>
            </w:r>
          </w:p>
        </w:tc>
        <w:tc>
          <w:tcPr>
            <w:tcW w:w="2140" w:type="dxa"/>
            <w:tcBorders>
              <w:top w:val="nil"/>
              <w:left w:val="nil"/>
              <w:bottom w:val="single" w:color="auto" w:sz="4" w:space="0"/>
              <w:right w:val="single" w:color="auto" w:sz="4" w:space="0"/>
            </w:tcBorders>
            <w:shd w:val="clear" w:color="000000" w:fill="B4C6E7"/>
            <w:noWrap/>
            <w:vAlign w:val="bottom"/>
            <w:hideMark/>
          </w:tcPr>
          <w:p w:rsidRPr="000047E5" w:rsidR="00A40469" w:rsidP="00A40469" w:rsidRDefault="00A40469" w14:paraId="0FD3FC7F" w14:textId="77777777">
            <w:pPr>
              <w:spacing w:line="240" w:lineRule="auto"/>
              <w:ind w:firstLine="0"/>
              <w:jc w:val="center"/>
              <w:rPr>
                <w:rFonts w:eastAsia="Times New Roman" w:cs="Calibri"/>
                <w:color w:val="000000"/>
                <w:sz w:val="22"/>
              </w:rPr>
            </w:pPr>
            <w:r w:rsidRPr="000047E5">
              <w:rPr>
                <w:rFonts w:eastAsia="Times New Roman" w:cs="Calibri"/>
                <w:color w:val="000000"/>
                <w:sz w:val="22"/>
              </w:rPr>
              <w:t>Yes (meter charge)</w:t>
            </w:r>
          </w:p>
        </w:tc>
        <w:tc>
          <w:tcPr>
            <w:tcW w:w="4060" w:type="dxa"/>
            <w:tcBorders>
              <w:top w:val="nil"/>
              <w:left w:val="nil"/>
              <w:bottom w:val="single" w:color="auto" w:sz="4" w:space="0"/>
              <w:right w:val="single" w:color="auto" w:sz="4" w:space="0"/>
            </w:tcBorders>
            <w:shd w:val="clear" w:color="000000" w:fill="B4C6E7"/>
            <w:noWrap/>
            <w:vAlign w:val="bottom"/>
            <w:hideMark/>
          </w:tcPr>
          <w:p w:rsidRPr="008628A3" w:rsidR="00A40469" w:rsidP="00A40469" w:rsidRDefault="0060233D" w14:paraId="528A528D" w14:textId="2C3C0BDB">
            <w:pPr>
              <w:spacing w:line="240" w:lineRule="auto"/>
              <w:ind w:firstLine="0"/>
              <w:jc w:val="center"/>
              <w:rPr>
                <w:rFonts w:eastAsia="Times New Roman" w:cs="Calibri"/>
                <w:color w:val="000000"/>
                <w:sz w:val="22"/>
              </w:rPr>
            </w:pPr>
            <w:r>
              <w:rPr>
                <w:rFonts w:eastAsia="Times New Roman" w:cs="Calibri"/>
                <w:color w:val="000000"/>
                <w:sz w:val="22"/>
              </w:rPr>
              <w:t>S</w:t>
            </w:r>
            <w:r w:rsidRPr="008628A3" w:rsidR="00A40469">
              <w:rPr>
                <w:rFonts w:eastAsia="Times New Roman" w:cs="Calibri"/>
                <w:color w:val="000000"/>
                <w:sz w:val="22"/>
              </w:rPr>
              <w:t>eparately metered</w:t>
            </w:r>
            <w:r w:rsidR="000047E5">
              <w:rPr>
                <w:rFonts w:eastAsia="Times New Roman" w:cs="Calibri"/>
                <w:color w:val="000000"/>
                <w:sz w:val="22"/>
              </w:rPr>
              <w:t xml:space="preserve"> electric vehicle rate</w:t>
            </w:r>
          </w:p>
        </w:tc>
      </w:tr>
      <w:tr w:rsidRPr="00A40469" w:rsidR="00AF09E0" w:rsidTr="000D0EDA" w14:paraId="17EA2D22"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8628A3" w:rsidR="00A40469" w:rsidP="00A40469" w:rsidRDefault="00A40469" w14:paraId="1E91142F"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8628A3" w:rsidR="00A40469" w:rsidP="00A40469" w:rsidRDefault="00A40469" w14:paraId="3EC00745"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EM</w:t>
            </w:r>
          </w:p>
        </w:tc>
        <w:tc>
          <w:tcPr>
            <w:tcW w:w="2140" w:type="dxa"/>
            <w:tcBorders>
              <w:top w:val="nil"/>
              <w:left w:val="nil"/>
              <w:bottom w:val="single" w:color="auto" w:sz="4" w:space="0"/>
              <w:right w:val="single" w:color="auto" w:sz="4" w:space="0"/>
            </w:tcBorders>
            <w:shd w:val="clear" w:color="auto" w:fill="auto"/>
            <w:noWrap/>
            <w:vAlign w:val="bottom"/>
            <w:hideMark/>
          </w:tcPr>
          <w:p w:rsidRPr="008628A3" w:rsidR="00A40469" w:rsidP="00A40469" w:rsidRDefault="00A40469" w14:paraId="67E3C4BF"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auto" w:fill="auto"/>
            <w:noWrap/>
            <w:vAlign w:val="bottom"/>
            <w:hideMark/>
          </w:tcPr>
          <w:p w:rsidRPr="008628A3" w:rsidR="00A40469" w:rsidP="00A40469" w:rsidRDefault="00407E43" w14:paraId="27FFB5B2" w14:textId="43DF5B4C">
            <w:pPr>
              <w:spacing w:line="240" w:lineRule="auto"/>
              <w:ind w:firstLine="0"/>
              <w:jc w:val="center"/>
              <w:rPr>
                <w:rFonts w:eastAsia="Times New Roman" w:cs="Calibri"/>
                <w:color w:val="000000"/>
                <w:sz w:val="22"/>
              </w:rPr>
            </w:pPr>
            <w:r>
              <w:rPr>
                <w:rFonts w:eastAsia="Times New Roman" w:cs="Calibri"/>
                <w:color w:val="000000"/>
                <w:sz w:val="22"/>
              </w:rPr>
              <w:t>N</w:t>
            </w:r>
            <w:r w:rsidRPr="008628A3" w:rsidR="00A40469">
              <w:rPr>
                <w:rFonts w:eastAsia="Times New Roman" w:cs="Calibri"/>
                <w:color w:val="000000"/>
                <w:sz w:val="22"/>
              </w:rPr>
              <w:t>on-sub-metered master meter rate</w:t>
            </w:r>
          </w:p>
        </w:tc>
      </w:tr>
      <w:tr w:rsidRPr="00A40469" w:rsidR="00E5562A" w:rsidTr="000D0EDA" w14:paraId="5BD4E45D"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8628A3" w:rsidR="00A40469" w:rsidP="00A40469" w:rsidRDefault="00A40469" w14:paraId="0DD21F10"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8628A3" w:rsidR="00A40469" w:rsidP="00A40469" w:rsidRDefault="00A40469" w14:paraId="50FE54A5"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EM-TOU</w:t>
            </w:r>
          </w:p>
        </w:tc>
        <w:tc>
          <w:tcPr>
            <w:tcW w:w="2140" w:type="dxa"/>
            <w:tcBorders>
              <w:top w:val="nil"/>
              <w:left w:val="nil"/>
              <w:bottom w:val="single" w:color="auto" w:sz="4" w:space="0"/>
              <w:right w:val="single" w:color="auto" w:sz="4" w:space="0"/>
            </w:tcBorders>
            <w:shd w:val="clear" w:color="000000" w:fill="B4C6E7"/>
            <w:noWrap/>
            <w:vAlign w:val="bottom"/>
            <w:hideMark/>
          </w:tcPr>
          <w:p w:rsidRPr="008628A3" w:rsidR="00A40469" w:rsidP="00A40469" w:rsidRDefault="00A40469" w14:paraId="480221BF"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000000" w:fill="B4C6E7"/>
            <w:noWrap/>
            <w:vAlign w:val="bottom"/>
            <w:hideMark/>
          </w:tcPr>
          <w:p w:rsidRPr="008628A3" w:rsidR="00A40469" w:rsidP="00A40469" w:rsidRDefault="00407E43" w14:paraId="14D57421" w14:textId="3E7572EB">
            <w:pPr>
              <w:spacing w:line="240" w:lineRule="auto"/>
              <w:ind w:firstLine="0"/>
              <w:jc w:val="center"/>
              <w:rPr>
                <w:rFonts w:eastAsia="Times New Roman" w:cs="Calibri"/>
                <w:color w:val="000000"/>
                <w:sz w:val="22"/>
              </w:rPr>
            </w:pPr>
            <w:r>
              <w:rPr>
                <w:rFonts w:eastAsia="Times New Roman" w:cs="Calibri"/>
                <w:color w:val="000000"/>
                <w:sz w:val="22"/>
              </w:rPr>
              <w:t>N</w:t>
            </w:r>
            <w:r w:rsidRPr="008628A3" w:rsidR="00A40469">
              <w:rPr>
                <w:rFonts w:eastAsia="Times New Roman" w:cs="Calibri"/>
                <w:color w:val="000000"/>
                <w:sz w:val="22"/>
              </w:rPr>
              <w:t>on-sub-metered master meter rate</w:t>
            </w:r>
          </w:p>
        </w:tc>
      </w:tr>
      <w:tr w:rsidRPr="00A40469" w:rsidR="00AF09E0" w:rsidTr="000D0EDA" w14:paraId="5297AF96"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8628A3" w:rsidR="00A40469" w:rsidP="00A40469" w:rsidRDefault="00A40469" w14:paraId="11499D7A"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8628A3" w:rsidR="00A40469" w:rsidP="00A40469" w:rsidRDefault="00A40469" w14:paraId="502B150E"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ES</w:t>
            </w:r>
          </w:p>
        </w:tc>
        <w:tc>
          <w:tcPr>
            <w:tcW w:w="2140" w:type="dxa"/>
            <w:tcBorders>
              <w:top w:val="nil"/>
              <w:left w:val="nil"/>
              <w:bottom w:val="single" w:color="auto" w:sz="4" w:space="0"/>
              <w:right w:val="single" w:color="auto" w:sz="4" w:space="0"/>
            </w:tcBorders>
            <w:shd w:val="clear" w:color="auto" w:fill="auto"/>
            <w:noWrap/>
            <w:vAlign w:val="bottom"/>
            <w:hideMark/>
          </w:tcPr>
          <w:p w:rsidRPr="008628A3" w:rsidR="00A40469" w:rsidP="00A40469" w:rsidRDefault="00A40469" w14:paraId="1FD39BB8"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auto" w:fill="auto"/>
            <w:noWrap/>
            <w:vAlign w:val="bottom"/>
            <w:hideMark/>
          </w:tcPr>
          <w:p w:rsidRPr="008628A3" w:rsidR="00A40469" w:rsidP="00A40469" w:rsidRDefault="00407E43" w14:paraId="1409AF53" w14:textId="57AB0FB4">
            <w:pPr>
              <w:spacing w:line="240" w:lineRule="auto"/>
              <w:ind w:firstLine="0"/>
              <w:jc w:val="center"/>
              <w:rPr>
                <w:rFonts w:eastAsia="Times New Roman" w:cs="Calibri"/>
                <w:color w:val="000000"/>
                <w:sz w:val="22"/>
              </w:rPr>
            </w:pPr>
            <w:r>
              <w:rPr>
                <w:rFonts w:eastAsia="Times New Roman" w:cs="Calibri"/>
                <w:color w:val="000000"/>
                <w:sz w:val="22"/>
              </w:rPr>
              <w:t>None</w:t>
            </w:r>
          </w:p>
        </w:tc>
      </w:tr>
      <w:tr w:rsidRPr="00A40469" w:rsidR="00E5562A" w:rsidTr="000D0EDA" w14:paraId="2ACFB2DA"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8628A3" w:rsidR="00A40469" w:rsidP="00A40469" w:rsidRDefault="00A40469" w14:paraId="2037DC52"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8628A3" w:rsidR="00A40469" w:rsidP="00A40469" w:rsidRDefault="00A40469" w14:paraId="1A0BEC90" w14:textId="77777777">
            <w:pPr>
              <w:spacing w:line="240" w:lineRule="auto"/>
              <w:ind w:firstLine="0"/>
              <w:contextualSpacing/>
              <w:jc w:val="center"/>
              <w:rPr>
                <w:rFonts w:eastAsia="Times New Roman" w:cs="Calibri"/>
                <w:color w:val="000000"/>
                <w:sz w:val="22"/>
              </w:rPr>
            </w:pPr>
            <w:r w:rsidRPr="008628A3">
              <w:rPr>
                <w:rFonts w:eastAsia="Times New Roman" w:cs="Calibri"/>
                <w:color w:val="000000"/>
                <w:sz w:val="22"/>
              </w:rPr>
              <w:t>ET</w:t>
            </w:r>
          </w:p>
        </w:tc>
        <w:tc>
          <w:tcPr>
            <w:tcW w:w="2140" w:type="dxa"/>
            <w:tcBorders>
              <w:top w:val="nil"/>
              <w:left w:val="nil"/>
              <w:bottom w:val="single" w:color="auto" w:sz="4" w:space="0"/>
              <w:right w:val="single" w:color="auto" w:sz="4" w:space="0"/>
            </w:tcBorders>
            <w:shd w:val="clear" w:color="000000" w:fill="B4C6E7"/>
            <w:noWrap/>
            <w:vAlign w:val="bottom"/>
            <w:hideMark/>
          </w:tcPr>
          <w:p w:rsidRPr="008628A3" w:rsidR="00A40469" w:rsidP="00A40469" w:rsidRDefault="00A40469" w14:paraId="567F21AF" w14:textId="77777777">
            <w:pPr>
              <w:spacing w:line="240" w:lineRule="auto"/>
              <w:ind w:firstLine="0"/>
              <w:contextualSpacing/>
              <w:jc w:val="center"/>
              <w:rPr>
                <w:rFonts w:eastAsia="Times New Roman" w:cs="Calibri"/>
                <w:color w:val="000000"/>
                <w:sz w:val="22"/>
              </w:rPr>
            </w:pPr>
            <w:r w:rsidRPr="008628A3">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000000" w:fill="B4C6E7"/>
            <w:noWrap/>
            <w:vAlign w:val="bottom"/>
            <w:hideMark/>
          </w:tcPr>
          <w:p w:rsidRPr="008628A3" w:rsidR="00A40469" w:rsidP="00A40469" w:rsidRDefault="00407E43" w14:paraId="663C1A74" w14:textId="548BBF64">
            <w:pPr>
              <w:spacing w:line="240" w:lineRule="auto"/>
              <w:ind w:firstLine="0"/>
              <w:contextualSpacing/>
              <w:jc w:val="center"/>
              <w:rPr>
                <w:rFonts w:eastAsia="Times New Roman" w:cs="Calibri"/>
                <w:color w:val="000000"/>
                <w:sz w:val="22"/>
              </w:rPr>
            </w:pPr>
            <w:r>
              <w:rPr>
                <w:rFonts w:eastAsia="Times New Roman" w:cs="Calibri"/>
                <w:color w:val="000000"/>
                <w:sz w:val="22"/>
              </w:rPr>
              <w:t>None</w:t>
            </w:r>
          </w:p>
        </w:tc>
      </w:tr>
      <w:tr w:rsidRPr="00A40469" w:rsidR="00AF09E0" w:rsidTr="000D0EDA" w14:paraId="3D850B06" w14:textId="77777777">
        <w:trPr>
          <w:trHeight w:val="300"/>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8628A3" w:rsidR="00A40469" w:rsidP="00A40469" w:rsidRDefault="00A40469" w14:paraId="7D0D1F72" w14:textId="77777777">
            <w:pPr>
              <w:spacing w:line="240" w:lineRule="auto"/>
              <w:ind w:firstLine="0"/>
              <w:rPr>
                <w:rFonts w:eastAsia="Times New Roman" w:cs="Calibri"/>
                <w:b/>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8628A3" w:rsidR="00A40469" w:rsidP="00A40469" w:rsidRDefault="00A40469" w14:paraId="7B7C58D6" w14:textId="77777777">
            <w:pPr>
              <w:spacing w:line="240" w:lineRule="auto"/>
              <w:ind w:firstLine="0"/>
              <w:contextualSpacing/>
              <w:jc w:val="center"/>
              <w:rPr>
                <w:rFonts w:eastAsia="Times New Roman" w:cs="Calibri"/>
                <w:color w:val="000000"/>
                <w:sz w:val="22"/>
              </w:rPr>
            </w:pPr>
            <w:r w:rsidRPr="008628A3">
              <w:rPr>
                <w:rFonts w:eastAsia="Times New Roman" w:cs="Calibri"/>
                <w:color w:val="000000"/>
                <w:sz w:val="22"/>
              </w:rPr>
              <w:t>E-TOU-B</w:t>
            </w:r>
          </w:p>
        </w:tc>
        <w:tc>
          <w:tcPr>
            <w:tcW w:w="2140" w:type="dxa"/>
            <w:tcBorders>
              <w:top w:val="nil"/>
              <w:left w:val="nil"/>
              <w:bottom w:val="single" w:color="auto" w:sz="4" w:space="0"/>
              <w:right w:val="single" w:color="auto" w:sz="4" w:space="0"/>
            </w:tcBorders>
            <w:shd w:val="clear" w:color="auto" w:fill="auto"/>
            <w:noWrap/>
            <w:vAlign w:val="bottom"/>
            <w:hideMark/>
          </w:tcPr>
          <w:p w:rsidRPr="008628A3" w:rsidR="00A40469" w:rsidP="00A40469" w:rsidRDefault="00A40469" w14:paraId="6C6916D4" w14:textId="77777777">
            <w:pPr>
              <w:spacing w:line="240" w:lineRule="auto"/>
              <w:ind w:firstLine="0"/>
              <w:contextualSpacing/>
              <w:jc w:val="center"/>
              <w:rPr>
                <w:rFonts w:eastAsia="Times New Roman" w:cs="Calibri"/>
                <w:color w:val="000000"/>
                <w:sz w:val="22"/>
              </w:rPr>
            </w:pPr>
            <w:r w:rsidRPr="008628A3">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auto" w:fill="auto"/>
            <w:noWrap/>
            <w:vAlign w:val="bottom"/>
            <w:hideMark/>
          </w:tcPr>
          <w:p w:rsidRPr="008628A3" w:rsidR="00A40469" w:rsidP="00A40469" w:rsidRDefault="00407E43" w14:paraId="169DC46B" w14:textId="6C13E1BA">
            <w:pPr>
              <w:spacing w:line="240" w:lineRule="auto"/>
              <w:ind w:firstLine="0"/>
              <w:contextualSpacing/>
              <w:jc w:val="center"/>
              <w:rPr>
                <w:rFonts w:eastAsia="Times New Roman" w:cs="Calibri"/>
                <w:color w:val="000000"/>
                <w:sz w:val="22"/>
              </w:rPr>
            </w:pPr>
            <w:r>
              <w:rPr>
                <w:rFonts w:eastAsia="Times New Roman" w:cs="Calibri"/>
                <w:color w:val="000000"/>
                <w:sz w:val="22"/>
              </w:rPr>
              <w:t>S</w:t>
            </w:r>
            <w:r w:rsidRPr="008628A3" w:rsidR="00A40469">
              <w:rPr>
                <w:rFonts w:eastAsia="Times New Roman" w:cs="Calibri"/>
                <w:color w:val="000000"/>
                <w:sz w:val="22"/>
              </w:rPr>
              <w:t>cheduled to be eliminated in 2025</w:t>
            </w:r>
          </w:p>
        </w:tc>
      </w:tr>
      <w:tr w:rsidRPr="00A40469" w:rsidR="00E5562A" w:rsidTr="000D0EDA" w14:paraId="15A2DE18" w14:textId="77777777">
        <w:trPr>
          <w:trHeight w:val="315"/>
        </w:trPr>
        <w:tc>
          <w:tcPr>
            <w:tcW w:w="1035" w:type="dxa"/>
            <w:vMerge/>
            <w:tcBorders>
              <w:top w:val="single" w:color="auto" w:sz="8" w:space="0"/>
              <w:left w:val="single" w:color="auto" w:sz="4" w:space="0"/>
              <w:bottom w:val="single" w:color="000000" w:sz="8" w:space="0"/>
              <w:right w:val="single" w:color="auto" w:sz="4" w:space="0"/>
            </w:tcBorders>
            <w:vAlign w:val="center"/>
            <w:hideMark/>
          </w:tcPr>
          <w:p w:rsidRPr="008628A3" w:rsidR="00A40469" w:rsidP="00A40469" w:rsidRDefault="00A40469" w14:paraId="3404A9F7" w14:textId="77777777">
            <w:pPr>
              <w:spacing w:line="240" w:lineRule="auto"/>
              <w:ind w:firstLine="0"/>
              <w:rPr>
                <w:rFonts w:eastAsia="Times New Roman" w:cs="Calibri"/>
                <w:b/>
                <w:color w:val="FFFFFF"/>
                <w:sz w:val="22"/>
              </w:rPr>
            </w:pPr>
          </w:p>
        </w:tc>
        <w:tc>
          <w:tcPr>
            <w:tcW w:w="1640" w:type="dxa"/>
            <w:tcBorders>
              <w:top w:val="nil"/>
              <w:left w:val="nil"/>
              <w:bottom w:val="single" w:color="auto" w:sz="8" w:space="0"/>
              <w:right w:val="single" w:color="auto" w:sz="4" w:space="0"/>
            </w:tcBorders>
            <w:shd w:val="clear" w:color="000000" w:fill="B4C6E7"/>
            <w:noWrap/>
            <w:vAlign w:val="bottom"/>
            <w:hideMark/>
          </w:tcPr>
          <w:p w:rsidRPr="008628A3" w:rsidR="00A40469" w:rsidP="00A40469" w:rsidRDefault="00A40469" w14:paraId="31F938D4" w14:textId="77777777">
            <w:pPr>
              <w:spacing w:line="240" w:lineRule="auto"/>
              <w:ind w:firstLine="0"/>
              <w:contextualSpacing/>
              <w:jc w:val="center"/>
              <w:rPr>
                <w:rFonts w:eastAsia="Times New Roman" w:cs="Calibri"/>
                <w:color w:val="000000"/>
                <w:sz w:val="22"/>
              </w:rPr>
            </w:pPr>
            <w:r w:rsidRPr="008628A3">
              <w:rPr>
                <w:rFonts w:eastAsia="Times New Roman" w:cs="Calibri"/>
                <w:color w:val="000000"/>
                <w:sz w:val="22"/>
              </w:rPr>
              <w:t>EV-A</w:t>
            </w:r>
          </w:p>
        </w:tc>
        <w:tc>
          <w:tcPr>
            <w:tcW w:w="2140" w:type="dxa"/>
            <w:tcBorders>
              <w:top w:val="nil"/>
              <w:left w:val="nil"/>
              <w:bottom w:val="single" w:color="auto" w:sz="8" w:space="0"/>
              <w:right w:val="single" w:color="auto" w:sz="4" w:space="0"/>
            </w:tcBorders>
            <w:shd w:val="clear" w:color="000000" w:fill="B4C6E7"/>
            <w:noWrap/>
            <w:vAlign w:val="bottom"/>
            <w:hideMark/>
          </w:tcPr>
          <w:p w:rsidRPr="008628A3" w:rsidR="00A40469" w:rsidP="00A40469" w:rsidRDefault="00A40469" w14:paraId="4105FD86" w14:textId="77777777">
            <w:pPr>
              <w:spacing w:line="240" w:lineRule="auto"/>
              <w:ind w:firstLine="0"/>
              <w:contextualSpacing/>
              <w:jc w:val="center"/>
              <w:rPr>
                <w:rFonts w:eastAsia="Times New Roman" w:cs="Calibri"/>
                <w:color w:val="000000"/>
                <w:sz w:val="22"/>
              </w:rPr>
            </w:pPr>
            <w:r w:rsidRPr="008628A3">
              <w:rPr>
                <w:rFonts w:eastAsia="Times New Roman" w:cs="Calibri"/>
                <w:color w:val="000000"/>
                <w:sz w:val="22"/>
              </w:rPr>
              <w:t>No</w:t>
            </w:r>
          </w:p>
        </w:tc>
        <w:tc>
          <w:tcPr>
            <w:tcW w:w="4060" w:type="dxa"/>
            <w:tcBorders>
              <w:top w:val="nil"/>
              <w:left w:val="nil"/>
              <w:bottom w:val="single" w:color="auto" w:sz="8" w:space="0"/>
              <w:right w:val="single" w:color="auto" w:sz="4" w:space="0"/>
            </w:tcBorders>
            <w:shd w:val="clear" w:color="000000" w:fill="B4C6E7"/>
            <w:noWrap/>
            <w:vAlign w:val="bottom"/>
            <w:hideMark/>
          </w:tcPr>
          <w:p w:rsidRPr="008628A3" w:rsidR="00A40469" w:rsidP="00A40469" w:rsidRDefault="00407E43" w14:paraId="1DDBD5B9" w14:textId="0D8E97F5">
            <w:pPr>
              <w:spacing w:line="240" w:lineRule="auto"/>
              <w:ind w:firstLine="0"/>
              <w:contextualSpacing/>
              <w:jc w:val="center"/>
              <w:rPr>
                <w:rFonts w:eastAsia="Times New Roman" w:cs="Calibri"/>
                <w:color w:val="000000"/>
                <w:sz w:val="22"/>
              </w:rPr>
            </w:pPr>
            <w:r>
              <w:rPr>
                <w:rFonts w:eastAsia="Times New Roman" w:cs="Calibri"/>
                <w:color w:val="000000"/>
                <w:sz w:val="22"/>
              </w:rPr>
              <w:t>S</w:t>
            </w:r>
            <w:r w:rsidRPr="008628A3" w:rsidR="00A40469">
              <w:rPr>
                <w:rFonts w:eastAsia="Times New Roman" w:cs="Calibri"/>
                <w:color w:val="000000"/>
                <w:sz w:val="22"/>
              </w:rPr>
              <w:t>cheduled to be eliminated in 2025</w:t>
            </w:r>
          </w:p>
        </w:tc>
      </w:tr>
      <w:bookmarkEnd w:id="28"/>
    </w:tbl>
    <w:p w:rsidR="000D0EDA" w:rsidP="00097B4F" w:rsidRDefault="000D0EDA" w14:paraId="540CAE21" w14:textId="77777777">
      <w:pPr>
        <w:pStyle w:val="Standard"/>
        <w:ind w:firstLine="0"/>
        <w:rPr>
          <w:rFonts w:eastAsia="Times New Roman" w:cs="Calibri"/>
          <w:b/>
          <w:bCs/>
          <w:color w:val="FFFFFF"/>
          <w:sz w:val="22"/>
        </w:rPr>
      </w:pPr>
    </w:p>
    <w:p w:rsidRPr="000D0EDA" w:rsidR="00AB4DE4" w:rsidP="00097B4F" w:rsidRDefault="00AB4DE4" w14:paraId="4E8F6AE0" w14:textId="4EA6F40B">
      <w:pPr>
        <w:pStyle w:val="Standard"/>
        <w:ind w:firstLine="0"/>
        <w:rPr>
          <w:b/>
          <w:highlight w:val="yellow"/>
        </w:rPr>
      </w:pPr>
      <w:r w:rsidRPr="000D0EDA">
        <w:rPr>
          <w:b/>
        </w:rPr>
        <w:t xml:space="preserve">Table </w:t>
      </w:r>
      <w:r w:rsidR="00E16A59">
        <w:rPr>
          <w:b/>
        </w:rPr>
        <w:t>5</w:t>
      </w:r>
      <w:r w:rsidRPr="000D0EDA">
        <w:rPr>
          <w:b/>
        </w:rPr>
        <w:t xml:space="preserve">(B): SCE’s Rates  </w:t>
      </w:r>
    </w:p>
    <w:tbl>
      <w:tblPr>
        <w:tblW w:w="8875" w:type="dxa"/>
        <w:tblLook w:val="04A0" w:firstRow="1" w:lastRow="0" w:firstColumn="1" w:lastColumn="0" w:noHBand="0" w:noVBand="1"/>
      </w:tblPr>
      <w:tblGrid>
        <w:gridCol w:w="1035"/>
        <w:gridCol w:w="1640"/>
        <w:gridCol w:w="2140"/>
        <w:gridCol w:w="4060"/>
      </w:tblGrid>
      <w:tr w:rsidRPr="004D5D38" w:rsidR="00AB4DE4" w:rsidTr="000D0EDA" w14:paraId="35034C51" w14:textId="77777777">
        <w:trPr>
          <w:trHeight w:val="615"/>
        </w:trPr>
        <w:tc>
          <w:tcPr>
            <w:tcW w:w="1035" w:type="dxa"/>
            <w:tcBorders>
              <w:top w:val="single" w:color="auto" w:sz="4" w:space="0"/>
              <w:left w:val="single" w:color="auto" w:sz="4" w:space="0"/>
              <w:bottom w:val="nil"/>
              <w:right w:val="single" w:color="auto" w:sz="4" w:space="0"/>
            </w:tcBorders>
            <w:shd w:val="clear" w:color="000000" w:fill="4472C4"/>
            <w:noWrap/>
            <w:vAlign w:val="bottom"/>
            <w:hideMark/>
          </w:tcPr>
          <w:p w:rsidRPr="004D5D38" w:rsidR="00AB4DE4" w:rsidRDefault="00AB4DE4" w14:paraId="304C93C6" w14:textId="77777777">
            <w:pPr>
              <w:spacing w:line="240" w:lineRule="auto"/>
              <w:ind w:firstLine="0"/>
              <w:jc w:val="center"/>
              <w:rPr>
                <w:rFonts w:eastAsia="Times New Roman" w:cs="Calibri"/>
                <w:b/>
                <w:bCs/>
                <w:color w:val="FFFFFF"/>
                <w:sz w:val="22"/>
              </w:rPr>
            </w:pPr>
            <w:r w:rsidRPr="004D5D38">
              <w:rPr>
                <w:rFonts w:eastAsia="Times New Roman" w:cs="Calibri"/>
                <w:b/>
                <w:bCs/>
                <w:color w:val="FFFFFF"/>
                <w:sz w:val="22"/>
              </w:rPr>
              <w:t>Utility</w:t>
            </w:r>
          </w:p>
        </w:tc>
        <w:tc>
          <w:tcPr>
            <w:tcW w:w="1640" w:type="dxa"/>
            <w:tcBorders>
              <w:top w:val="single" w:color="auto" w:sz="4" w:space="0"/>
              <w:left w:val="nil"/>
              <w:bottom w:val="nil"/>
              <w:right w:val="single" w:color="auto" w:sz="4" w:space="0"/>
            </w:tcBorders>
            <w:shd w:val="clear" w:color="000000" w:fill="4472C4"/>
            <w:noWrap/>
            <w:vAlign w:val="bottom"/>
            <w:hideMark/>
          </w:tcPr>
          <w:p w:rsidRPr="004D5D38" w:rsidR="00AB4DE4" w:rsidRDefault="00AB4DE4" w14:paraId="04CDDE50" w14:textId="77777777">
            <w:pPr>
              <w:spacing w:line="240" w:lineRule="auto"/>
              <w:ind w:firstLine="0"/>
              <w:jc w:val="center"/>
              <w:rPr>
                <w:rFonts w:eastAsia="Times New Roman" w:cs="Calibri"/>
                <w:b/>
                <w:bCs/>
                <w:color w:val="FFFFFF"/>
                <w:sz w:val="22"/>
              </w:rPr>
            </w:pPr>
            <w:r w:rsidRPr="004D5D38">
              <w:rPr>
                <w:rFonts w:eastAsia="Times New Roman" w:cs="Calibri"/>
                <w:b/>
                <w:bCs/>
                <w:color w:val="FFFFFF"/>
                <w:sz w:val="22"/>
              </w:rPr>
              <w:t>Schedule</w:t>
            </w:r>
          </w:p>
        </w:tc>
        <w:tc>
          <w:tcPr>
            <w:tcW w:w="2140" w:type="dxa"/>
            <w:tcBorders>
              <w:top w:val="single" w:color="auto" w:sz="4" w:space="0"/>
              <w:left w:val="nil"/>
              <w:bottom w:val="nil"/>
              <w:right w:val="single" w:color="auto" w:sz="4" w:space="0"/>
            </w:tcBorders>
            <w:shd w:val="clear" w:color="000000" w:fill="4472C4"/>
            <w:noWrap/>
            <w:vAlign w:val="bottom"/>
            <w:hideMark/>
          </w:tcPr>
          <w:p w:rsidRPr="004D5D38" w:rsidR="00AB4DE4" w:rsidRDefault="00AB4DE4" w14:paraId="68D64C32" w14:textId="77777777">
            <w:pPr>
              <w:spacing w:line="240" w:lineRule="auto"/>
              <w:ind w:firstLine="0"/>
              <w:jc w:val="center"/>
              <w:rPr>
                <w:rFonts w:eastAsia="Times New Roman" w:cs="Calibri"/>
                <w:b/>
                <w:bCs/>
                <w:color w:val="FFFFFF"/>
                <w:sz w:val="22"/>
              </w:rPr>
            </w:pPr>
            <w:r w:rsidRPr="004D5D38">
              <w:rPr>
                <w:rFonts w:eastAsia="Times New Roman" w:cs="Calibri"/>
                <w:b/>
                <w:bCs/>
                <w:color w:val="FFFFFF"/>
                <w:sz w:val="22"/>
              </w:rPr>
              <w:t>Current fixed charge</w:t>
            </w:r>
          </w:p>
        </w:tc>
        <w:tc>
          <w:tcPr>
            <w:tcW w:w="4060" w:type="dxa"/>
            <w:tcBorders>
              <w:top w:val="single" w:color="auto" w:sz="4" w:space="0"/>
              <w:left w:val="nil"/>
              <w:bottom w:val="nil"/>
              <w:right w:val="single" w:color="auto" w:sz="4" w:space="0"/>
            </w:tcBorders>
            <w:shd w:val="clear" w:color="000000" w:fill="4472C4"/>
            <w:noWrap/>
            <w:vAlign w:val="bottom"/>
            <w:hideMark/>
          </w:tcPr>
          <w:p w:rsidRPr="004D5D38" w:rsidR="00AB4DE4" w:rsidRDefault="00AB4DE4" w14:paraId="00360FA8" w14:textId="05BE89D0">
            <w:pPr>
              <w:spacing w:line="240" w:lineRule="auto"/>
              <w:ind w:firstLine="0"/>
              <w:jc w:val="center"/>
              <w:rPr>
                <w:rFonts w:eastAsia="Times New Roman" w:cs="Calibri"/>
                <w:b/>
                <w:bCs/>
                <w:color w:val="FFFFFF"/>
                <w:sz w:val="22"/>
              </w:rPr>
            </w:pPr>
            <w:r>
              <w:rPr>
                <w:rFonts w:eastAsia="Times New Roman" w:cs="Calibri"/>
                <w:b/>
                <w:bCs/>
                <w:color w:val="FFFFFF"/>
                <w:sz w:val="22"/>
              </w:rPr>
              <w:t>Exemption from Income-Graduated Fixed Charges</w:t>
            </w:r>
          </w:p>
        </w:tc>
      </w:tr>
      <w:tr w:rsidRPr="008628A3" w:rsidR="007007A8" w:rsidTr="000D0EDA" w14:paraId="24C07358" w14:textId="77777777">
        <w:trPr>
          <w:trHeight w:val="300"/>
        </w:trPr>
        <w:tc>
          <w:tcPr>
            <w:tcW w:w="1035" w:type="dxa"/>
            <w:vMerge w:val="restart"/>
            <w:tcBorders>
              <w:top w:val="nil"/>
              <w:left w:val="single" w:color="auto" w:sz="4" w:space="0"/>
              <w:bottom w:val="single" w:color="000000" w:sz="8" w:space="0"/>
              <w:right w:val="single" w:color="auto" w:sz="4" w:space="0"/>
            </w:tcBorders>
            <w:shd w:val="clear" w:color="000000" w:fill="4472C4"/>
            <w:noWrap/>
            <w:vAlign w:val="center"/>
            <w:hideMark/>
          </w:tcPr>
          <w:p w:rsidRPr="008628A3" w:rsidR="007007A8" w:rsidRDefault="007007A8" w14:paraId="7A8173ED" w14:textId="77777777">
            <w:pPr>
              <w:spacing w:line="240" w:lineRule="auto"/>
              <w:ind w:firstLine="0"/>
              <w:jc w:val="center"/>
              <w:rPr>
                <w:rFonts w:eastAsia="Times New Roman" w:cs="Calibri"/>
                <w:b/>
                <w:bCs/>
                <w:color w:val="FFFFFF"/>
                <w:sz w:val="22"/>
              </w:rPr>
            </w:pPr>
            <w:r w:rsidRPr="008628A3">
              <w:rPr>
                <w:rFonts w:eastAsia="Times New Roman" w:cs="Calibri"/>
                <w:b/>
                <w:bCs/>
                <w:color w:val="FFFFFF"/>
                <w:sz w:val="22"/>
              </w:rPr>
              <w:t>SCE</w:t>
            </w:r>
          </w:p>
        </w:tc>
        <w:tc>
          <w:tcPr>
            <w:tcW w:w="1640" w:type="dxa"/>
            <w:tcBorders>
              <w:top w:val="nil"/>
              <w:left w:val="nil"/>
              <w:bottom w:val="single" w:color="auto" w:sz="4" w:space="0"/>
              <w:right w:val="single" w:color="auto" w:sz="4" w:space="0"/>
            </w:tcBorders>
            <w:shd w:val="clear" w:color="auto" w:fill="auto"/>
            <w:noWrap/>
            <w:vAlign w:val="bottom"/>
            <w:hideMark/>
          </w:tcPr>
          <w:p w:rsidRPr="008628A3" w:rsidR="007007A8" w:rsidRDefault="007007A8" w14:paraId="53494468"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Domestic Tiered</w:t>
            </w:r>
          </w:p>
        </w:tc>
        <w:tc>
          <w:tcPr>
            <w:tcW w:w="2140" w:type="dxa"/>
            <w:tcBorders>
              <w:top w:val="nil"/>
              <w:left w:val="nil"/>
              <w:bottom w:val="single" w:color="auto" w:sz="4" w:space="0"/>
              <w:right w:val="single" w:color="auto" w:sz="4" w:space="0"/>
            </w:tcBorders>
            <w:shd w:val="clear" w:color="auto" w:fill="auto"/>
            <w:noWrap/>
            <w:vAlign w:val="bottom"/>
            <w:hideMark/>
          </w:tcPr>
          <w:p w:rsidRPr="008628A3" w:rsidR="007007A8" w:rsidRDefault="007007A8" w14:paraId="3CD2269E"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auto" w:fill="auto"/>
            <w:noWrap/>
            <w:vAlign w:val="bottom"/>
            <w:hideMark/>
          </w:tcPr>
          <w:p w:rsidRPr="008628A3" w:rsidR="007007A8" w:rsidRDefault="007007A8" w14:paraId="65205742" w14:textId="77777777">
            <w:pPr>
              <w:spacing w:line="240" w:lineRule="auto"/>
              <w:ind w:firstLine="0"/>
              <w:jc w:val="center"/>
              <w:rPr>
                <w:rFonts w:eastAsia="Times New Roman" w:cs="Calibri"/>
                <w:color w:val="000000"/>
                <w:sz w:val="22"/>
              </w:rPr>
            </w:pPr>
            <w:r>
              <w:rPr>
                <w:rFonts w:eastAsia="Times New Roman" w:cs="Calibri"/>
                <w:color w:val="000000"/>
                <w:sz w:val="22"/>
              </w:rPr>
              <w:t>None</w:t>
            </w:r>
          </w:p>
        </w:tc>
      </w:tr>
      <w:tr w:rsidRPr="008628A3" w:rsidR="007007A8" w:rsidTr="000D0EDA" w14:paraId="311E2F60" w14:textId="77777777">
        <w:trPr>
          <w:trHeight w:val="300"/>
        </w:trPr>
        <w:tc>
          <w:tcPr>
            <w:tcW w:w="1035" w:type="dxa"/>
            <w:vMerge/>
            <w:tcBorders>
              <w:top w:val="nil"/>
              <w:left w:val="single" w:color="auto" w:sz="4" w:space="0"/>
              <w:bottom w:val="single" w:color="000000" w:sz="8" w:space="0"/>
              <w:right w:val="single" w:color="auto" w:sz="4" w:space="0"/>
            </w:tcBorders>
            <w:vAlign w:val="center"/>
            <w:hideMark/>
          </w:tcPr>
          <w:p w:rsidRPr="008628A3" w:rsidR="007007A8" w:rsidRDefault="007007A8" w14:paraId="0615ADD2" w14:textId="77777777">
            <w:pPr>
              <w:spacing w:line="240" w:lineRule="auto"/>
              <w:ind w:firstLine="0"/>
              <w:rPr>
                <w:rFonts w:eastAsia="Times New Roman" w:cs="Calibri"/>
                <w:b/>
                <w:bCs/>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8628A3" w:rsidR="007007A8" w:rsidRDefault="007007A8" w14:paraId="08BA0345"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TOU D 4-9</w:t>
            </w:r>
          </w:p>
        </w:tc>
        <w:tc>
          <w:tcPr>
            <w:tcW w:w="2140" w:type="dxa"/>
            <w:tcBorders>
              <w:top w:val="nil"/>
              <w:left w:val="nil"/>
              <w:bottom w:val="single" w:color="auto" w:sz="4" w:space="0"/>
              <w:right w:val="single" w:color="auto" w:sz="4" w:space="0"/>
            </w:tcBorders>
            <w:shd w:val="clear" w:color="000000" w:fill="B4C6E7"/>
            <w:noWrap/>
            <w:vAlign w:val="bottom"/>
            <w:hideMark/>
          </w:tcPr>
          <w:p w:rsidRPr="008628A3" w:rsidR="007007A8" w:rsidRDefault="007007A8" w14:paraId="631C2776"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000000" w:fill="B4C6E7"/>
            <w:noWrap/>
            <w:vAlign w:val="bottom"/>
            <w:hideMark/>
          </w:tcPr>
          <w:p w:rsidRPr="008628A3" w:rsidR="007007A8" w:rsidRDefault="007007A8" w14:paraId="4A22B8F3" w14:textId="77777777">
            <w:pPr>
              <w:spacing w:line="240" w:lineRule="auto"/>
              <w:ind w:firstLine="0"/>
              <w:jc w:val="center"/>
              <w:rPr>
                <w:rFonts w:eastAsia="Times New Roman" w:cs="Calibri"/>
                <w:color w:val="000000"/>
                <w:sz w:val="22"/>
              </w:rPr>
            </w:pPr>
            <w:r>
              <w:rPr>
                <w:rFonts w:eastAsia="Times New Roman" w:cs="Calibri"/>
                <w:color w:val="000000"/>
                <w:sz w:val="22"/>
              </w:rPr>
              <w:t>None</w:t>
            </w:r>
          </w:p>
        </w:tc>
      </w:tr>
      <w:tr w:rsidRPr="008628A3" w:rsidR="007007A8" w:rsidTr="000D0EDA" w14:paraId="387C0384" w14:textId="77777777">
        <w:trPr>
          <w:trHeight w:val="300"/>
        </w:trPr>
        <w:tc>
          <w:tcPr>
            <w:tcW w:w="1035" w:type="dxa"/>
            <w:vMerge/>
            <w:tcBorders>
              <w:top w:val="nil"/>
              <w:left w:val="single" w:color="auto" w:sz="4" w:space="0"/>
              <w:bottom w:val="single" w:color="000000" w:sz="8" w:space="0"/>
              <w:right w:val="single" w:color="auto" w:sz="4" w:space="0"/>
            </w:tcBorders>
            <w:vAlign w:val="center"/>
            <w:hideMark/>
          </w:tcPr>
          <w:p w:rsidRPr="008628A3" w:rsidR="007007A8" w:rsidRDefault="007007A8" w14:paraId="6E0C3B55" w14:textId="77777777">
            <w:pPr>
              <w:spacing w:line="240" w:lineRule="auto"/>
              <w:ind w:firstLine="0"/>
              <w:rPr>
                <w:rFonts w:eastAsia="Times New Roman" w:cs="Calibri"/>
                <w:b/>
                <w:bCs/>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8628A3" w:rsidR="007007A8" w:rsidRDefault="007007A8" w14:paraId="664D1454"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TOU D 5-8</w:t>
            </w:r>
          </w:p>
        </w:tc>
        <w:tc>
          <w:tcPr>
            <w:tcW w:w="2140" w:type="dxa"/>
            <w:tcBorders>
              <w:top w:val="nil"/>
              <w:left w:val="nil"/>
              <w:bottom w:val="single" w:color="auto" w:sz="4" w:space="0"/>
              <w:right w:val="single" w:color="auto" w:sz="4" w:space="0"/>
            </w:tcBorders>
            <w:shd w:val="clear" w:color="auto" w:fill="auto"/>
            <w:noWrap/>
            <w:vAlign w:val="bottom"/>
            <w:hideMark/>
          </w:tcPr>
          <w:p w:rsidRPr="008628A3" w:rsidR="007007A8" w:rsidRDefault="007007A8" w14:paraId="3611BC73"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auto" w:fill="auto"/>
            <w:noWrap/>
            <w:vAlign w:val="bottom"/>
            <w:hideMark/>
          </w:tcPr>
          <w:p w:rsidRPr="008628A3" w:rsidR="007007A8" w:rsidRDefault="007007A8" w14:paraId="61774AC3" w14:textId="77777777">
            <w:pPr>
              <w:spacing w:line="240" w:lineRule="auto"/>
              <w:ind w:firstLine="0"/>
              <w:jc w:val="center"/>
              <w:rPr>
                <w:rFonts w:eastAsia="Times New Roman" w:cs="Calibri"/>
                <w:color w:val="000000"/>
                <w:sz w:val="22"/>
              </w:rPr>
            </w:pPr>
            <w:r>
              <w:rPr>
                <w:rFonts w:eastAsia="Times New Roman" w:cs="Calibri"/>
                <w:color w:val="000000"/>
                <w:sz w:val="22"/>
              </w:rPr>
              <w:t>None</w:t>
            </w:r>
          </w:p>
        </w:tc>
      </w:tr>
      <w:tr w:rsidRPr="008628A3" w:rsidR="007007A8" w:rsidTr="000D0EDA" w14:paraId="2B2EC14F" w14:textId="77777777">
        <w:trPr>
          <w:trHeight w:val="300"/>
        </w:trPr>
        <w:tc>
          <w:tcPr>
            <w:tcW w:w="1035" w:type="dxa"/>
            <w:vMerge/>
            <w:tcBorders>
              <w:top w:val="nil"/>
              <w:left w:val="single" w:color="auto" w:sz="4" w:space="0"/>
              <w:bottom w:val="single" w:color="000000" w:sz="8" w:space="0"/>
              <w:right w:val="single" w:color="auto" w:sz="4" w:space="0"/>
            </w:tcBorders>
            <w:vAlign w:val="center"/>
            <w:hideMark/>
          </w:tcPr>
          <w:p w:rsidRPr="008628A3" w:rsidR="007007A8" w:rsidRDefault="007007A8" w14:paraId="089FAF48" w14:textId="77777777">
            <w:pPr>
              <w:spacing w:line="240" w:lineRule="auto"/>
              <w:ind w:firstLine="0"/>
              <w:rPr>
                <w:rFonts w:eastAsia="Times New Roman" w:cs="Calibri"/>
                <w:b/>
                <w:bCs/>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8628A3" w:rsidR="007007A8" w:rsidRDefault="007007A8" w14:paraId="711405D7"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TOU D PRIME</w:t>
            </w:r>
          </w:p>
        </w:tc>
        <w:tc>
          <w:tcPr>
            <w:tcW w:w="2140" w:type="dxa"/>
            <w:tcBorders>
              <w:top w:val="nil"/>
              <w:left w:val="nil"/>
              <w:bottom w:val="single" w:color="auto" w:sz="4" w:space="0"/>
              <w:right w:val="single" w:color="auto" w:sz="4" w:space="0"/>
            </w:tcBorders>
            <w:shd w:val="clear" w:color="000000" w:fill="B4C6E7"/>
            <w:noWrap/>
            <w:vAlign w:val="bottom"/>
            <w:hideMark/>
          </w:tcPr>
          <w:p w:rsidRPr="008628A3" w:rsidR="007007A8" w:rsidRDefault="007007A8" w14:paraId="2830FB26"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000000" w:fill="B4C6E7"/>
            <w:noWrap/>
            <w:vAlign w:val="bottom"/>
            <w:hideMark/>
          </w:tcPr>
          <w:p w:rsidRPr="008628A3" w:rsidR="007007A8" w:rsidRDefault="007007A8" w14:paraId="7A1FA5F6" w14:textId="77777777">
            <w:pPr>
              <w:spacing w:line="240" w:lineRule="auto"/>
              <w:ind w:firstLine="0"/>
              <w:jc w:val="center"/>
              <w:rPr>
                <w:rFonts w:eastAsia="Times New Roman" w:cs="Calibri"/>
                <w:color w:val="000000"/>
                <w:sz w:val="22"/>
              </w:rPr>
            </w:pPr>
            <w:r>
              <w:rPr>
                <w:rFonts w:eastAsia="Times New Roman" w:cs="Calibri"/>
                <w:color w:val="000000"/>
                <w:sz w:val="22"/>
              </w:rPr>
              <w:t>None</w:t>
            </w:r>
          </w:p>
        </w:tc>
      </w:tr>
      <w:tr w:rsidRPr="008628A3" w:rsidR="007007A8" w:rsidTr="000D0EDA" w14:paraId="2F2DD678" w14:textId="77777777">
        <w:trPr>
          <w:trHeight w:val="300"/>
        </w:trPr>
        <w:tc>
          <w:tcPr>
            <w:tcW w:w="1035" w:type="dxa"/>
            <w:vMerge/>
            <w:tcBorders>
              <w:top w:val="nil"/>
              <w:left w:val="single" w:color="auto" w:sz="4" w:space="0"/>
              <w:bottom w:val="single" w:color="000000" w:sz="8" w:space="0"/>
              <w:right w:val="single" w:color="auto" w:sz="4" w:space="0"/>
            </w:tcBorders>
            <w:vAlign w:val="center"/>
            <w:hideMark/>
          </w:tcPr>
          <w:p w:rsidRPr="008628A3" w:rsidR="007007A8" w:rsidRDefault="007007A8" w14:paraId="3BBABFC1" w14:textId="77777777">
            <w:pPr>
              <w:spacing w:line="240" w:lineRule="auto"/>
              <w:ind w:firstLine="0"/>
              <w:rPr>
                <w:rFonts w:eastAsia="Times New Roman" w:cs="Calibri"/>
                <w:b/>
                <w:bCs/>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8628A3" w:rsidR="007007A8" w:rsidRDefault="007007A8" w14:paraId="065B109B"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DM</w:t>
            </w:r>
          </w:p>
        </w:tc>
        <w:tc>
          <w:tcPr>
            <w:tcW w:w="2140" w:type="dxa"/>
            <w:tcBorders>
              <w:top w:val="nil"/>
              <w:left w:val="nil"/>
              <w:bottom w:val="single" w:color="auto" w:sz="4" w:space="0"/>
              <w:right w:val="single" w:color="auto" w:sz="4" w:space="0"/>
            </w:tcBorders>
            <w:shd w:val="clear" w:color="auto" w:fill="auto"/>
            <w:noWrap/>
            <w:vAlign w:val="bottom"/>
            <w:hideMark/>
          </w:tcPr>
          <w:p w:rsidRPr="008628A3" w:rsidR="007007A8" w:rsidRDefault="007007A8" w14:paraId="6E98B457" w14:textId="77777777">
            <w:pPr>
              <w:spacing w:line="240" w:lineRule="auto"/>
              <w:ind w:firstLine="0"/>
              <w:jc w:val="center"/>
              <w:rPr>
                <w:rFonts w:eastAsia="Times New Roman" w:cs="Calibri"/>
                <w:color w:val="000000"/>
                <w:sz w:val="22"/>
              </w:rPr>
            </w:pPr>
            <w:r w:rsidRPr="008628A3">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auto" w:fill="auto"/>
            <w:noWrap/>
            <w:vAlign w:val="bottom"/>
            <w:hideMark/>
          </w:tcPr>
          <w:p w:rsidRPr="008628A3" w:rsidR="007007A8" w:rsidRDefault="007007A8" w14:paraId="734B69FC" w14:textId="77777777">
            <w:pPr>
              <w:spacing w:line="240" w:lineRule="auto"/>
              <w:ind w:firstLine="0"/>
              <w:jc w:val="center"/>
              <w:rPr>
                <w:rFonts w:eastAsia="Times New Roman" w:cs="Calibri"/>
                <w:color w:val="000000"/>
                <w:sz w:val="22"/>
              </w:rPr>
            </w:pPr>
            <w:r>
              <w:rPr>
                <w:rFonts w:eastAsia="Times New Roman" w:cs="Calibri"/>
                <w:color w:val="000000"/>
                <w:sz w:val="22"/>
              </w:rPr>
              <w:t>N</w:t>
            </w:r>
            <w:r w:rsidRPr="008628A3">
              <w:rPr>
                <w:rFonts w:eastAsia="Times New Roman" w:cs="Calibri"/>
                <w:color w:val="000000"/>
                <w:sz w:val="22"/>
              </w:rPr>
              <w:t>on-sub-metered master meter rate</w:t>
            </w:r>
          </w:p>
        </w:tc>
      </w:tr>
      <w:tr w:rsidRPr="00B26526" w:rsidR="007007A8" w:rsidTr="000D0EDA" w14:paraId="397280F4" w14:textId="77777777">
        <w:trPr>
          <w:trHeight w:val="300"/>
        </w:trPr>
        <w:tc>
          <w:tcPr>
            <w:tcW w:w="1035" w:type="dxa"/>
            <w:vMerge/>
            <w:tcBorders>
              <w:top w:val="nil"/>
              <w:left w:val="single" w:color="auto" w:sz="4" w:space="0"/>
              <w:bottom w:val="single" w:color="000000" w:sz="8" w:space="0"/>
              <w:right w:val="single" w:color="auto" w:sz="4" w:space="0"/>
            </w:tcBorders>
            <w:vAlign w:val="center"/>
            <w:hideMark/>
          </w:tcPr>
          <w:p w:rsidRPr="00B26526" w:rsidR="007007A8" w:rsidRDefault="007007A8" w14:paraId="0C897F0E" w14:textId="77777777">
            <w:pPr>
              <w:spacing w:line="240" w:lineRule="auto"/>
              <w:ind w:firstLine="0"/>
              <w:rPr>
                <w:rFonts w:eastAsia="Times New Roman" w:cs="Calibri"/>
                <w:b/>
                <w:bCs/>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B26526" w:rsidR="007007A8" w:rsidRDefault="007007A8" w14:paraId="11DBFE2D"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DMS 1,2,3</w:t>
            </w:r>
          </w:p>
        </w:tc>
        <w:tc>
          <w:tcPr>
            <w:tcW w:w="2140" w:type="dxa"/>
            <w:tcBorders>
              <w:top w:val="nil"/>
              <w:left w:val="nil"/>
              <w:bottom w:val="single" w:color="auto" w:sz="4" w:space="0"/>
              <w:right w:val="single" w:color="auto" w:sz="4" w:space="0"/>
            </w:tcBorders>
            <w:shd w:val="clear" w:color="000000" w:fill="B4C6E7"/>
            <w:noWrap/>
            <w:vAlign w:val="bottom"/>
            <w:hideMark/>
          </w:tcPr>
          <w:p w:rsidRPr="00B26526" w:rsidR="007007A8" w:rsidRDefault="007007A8" w14:paraId="3FB2BFC4"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000000" w:fill="B4C6E7"/>
            <w:noWrap/>
            <w:vAlign w:val="bottom"/>
            <w:hideMark/>
          </w:tcPr>
          <w:p w:rsidRPr="00B26526" w:rsidR="007007A8" w:rsidRDefault="007007A8" w14:paraId="47739D9E" w14:textId="77777777">
            <w:pPr>
              <w:spacing w:line="240" w:lineRule="auto"/>
              <w:ind w:firstLine="0"/>
              <w:jc w:val="center"/>
              <w:rPr>
                <w:rFonts w:eastAsia="Times New Roman" w:cs="Calibri"/>
                <w:color w:val="000000"/>
                <w:sz w:val="22"/>
              </w:rPr>
            </w:pPr>
            <w:r>
              <w:rPr>
                <w:rFonts w:eastAsia="Times New Roman" w:cs="Calibri"/>
                <w:color w:val="000000"/>
                <w:sz w:val="22"/>
              </w:rPr>
              <w:t>None</w:t>
            </w:r>
          </w:p>
        </w:tc>
      </w:tr>
      <w:tr w:rsidRPr="00B26526" w:rsidR="007007A8" w:rsidTr="000D0EDA" w14:paraId="719A4252" w14:textId="77777777">
        <w:trPr>
          <w:trHeight w:val="300"/>
        </w:trPr>
        <w:tc>
          <w:tcPr>
            <w:tcW w:w="1035" w:type="dxa"/>
            <w:vMerge/>
            <w:tcBorders>
              <w:top w:val="nil"/>
              <w:left w:val="single" w:color="auto" w:sz="4" w:space="0"/>
              <w:bottom w:val="single" w:color="000000" w:sz="8" w:space="0"/>
              <w:right w:val="single" w:color="auto" w:sz="4" w:space="0"/>
            </w:tcBorders>
            <w:vAlign w:val="center"/>
            <w:hideMark/>
          </w:tcPr>
          <w:p w:rsidRPr="00B26526" w:rsidR="007007A8" w:rsidRDefault="007007A8" w14:paraId="78C9E036" w14:textId="77777777">
            <w:pPr>
              <w:spacing w:line="240" w:lineRule="auto"/>
              <w:ind w:firstLine="0"/>
              <w:rPr>
                <w:rFonts w:eastAsia="Times New Roman" w:cs="Calibri"/>
                <w:b/>
                <w:bCs/>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B26526" w:rsidR="007007A8" w:rsidRDefault="007007A8" w14:paraId="73AB7412"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TOU D A</w:t>
            </w:r>
          </w:p>
        </w:tc>
        <w:tc>
          <w:tcPr>
            <w:tcW w:w="2140" w:type="dxa"/>
            <w:tcBorders>
              <w:top w:val="nil"/>
              <w:left w:val="nil"/>
              <w:bottom w:val="single" w:color="auto" w:sz="4" w:space="0"/>
              <w:right w:val="single" w:color="auto" w:sz="4" w:space="0"/>
            </w:tcBorders>
            <w:shd w:val="clear" w:color="auto" w:fill="auto"/>
            <w:noWrap/>
            <w:vAlign w:val="bottom"/>
            <w:hideMark/>
          </w:tcPr>
          <w:p w:rsidRPr="00B26526" w:rsidR="007007A8" w:rsidRDefault="007007A8" w14:paraId="1390CB81"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auto" w:fill="auto"/>
            <w:noWrap/>
            <w:vAlign w:val="bottom"/>
            <w:hideMark/>
          </w:tcPr>
          <w:p w:rsidRPr="00B26526" w:rsidR="007007A8" w:rsidRDefault="007007A8" w14:paraId="34DBDC2C" w14:textId="77777777">
            <w:pPr>
              <w:spacing w:line="240" w:lineRule="auto"/>
              <w:ind w:firstLine="0"/>
              <w:jc w:val="center"/>
              <w:rPr>
                <w:rFonts w:eastAsia="Times New Roman" w:cs="Calibri"/>
                <w:color w:val="000000"/>
                <w:sz w:val="22"/>
              </w:rPr>
            </w:pPr>
            <w:r>
              <w:rPr>
                <w:rFonts w:eastAsia="Times New Roman" w:cs="Calibri"/>
                <w:color w:val="000000"/>
                <w:sz w:val="22"/>
              </w:rPr>
              <w:t>D</w:t>
            </w:r>
            <w:r w:rsidRPr="00B26526">
              <w:rPr>
                <w:rFonts w:eastAsia="Times New Roman" w:cs="Calibri"/>
                <w:color w:val="000000"/>
                <w:sz w:val="22"/>
              </w:rPr>
              <w:t xml:space="preserve">iscontinued </w:t>
            </w:r>
            <w:r>
              <w:rPr>
                <w:rFonts w:eastAsia="Times New Roman" w:cs="Calibri"/>
                <w:color w:val="000000"/>
                <w:sz w:val="22"/>
              </w:rPr>
              <w:t xml:space="preserve">in </w:t>
            </w:r>
            <w:r w:rsidRPr="00B26526">
              <w:rPr>
                <w:rFonts w:eastAsia="Times New Roman" w:cs="Calibri"/>
                <w:color w:val="000000"/>
                <w:sz w:val="22"/>
              </w:rPr>
              <w:t>March 2024</w:t>
            </w:r>
          </w:p>
        </w:tc>
      </w:tr>
      <w:tr w:rsidRPr="00B26526" w:rsidR="007007A8" w:rsidTr="000D0EDA" w14:paraId="77482AE1" w14:textId="77777777">
        <w:trPr>
          <w:trHeight w:val="300"/>
        </w:trPr>
        <w:tc>
          <w:tcPr>
            <w:tcW w:w="1035" w:type="dxa"/>
            <w:vMerge/>
            <w:tcBorders>
              <w:top w:val="nil"/>
              <w:left w:val="single" w:color="auto" w:sz="4" w:space="0"/>
              <w:bottom w:val="single" w:color="000000" w:sz="8" w:space="0"/>
              <w:right w:val="single" w:color="auto" w:sz="4" w:space="0"/>
            </w:tcBorders>
            <w:vAlign w:val="center"/>
            <w:hideMark/>
          </w:tcPr>
          <w:p w:rsidRPr="00B26526" w:rsidR="007007A8" w:rsidRDefault="007007A8" w14:paraId="45EF48C9" w14:textId="77777777">
            <w:pPr>
              <w:spacing w:line="240" w:lineRule="auto"/>
              <w:ind w:firstLine="0"/>
              <w:rPr>
                <w:rFonts w:eastAsia="Times New Roman" w:cs="Calibri"/>
                <w:b/>
                <w:bCs/>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B26526" w:rsidR="007007A8" w:rsidRDefault="007007A8" w14:paraId="07C830BF"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TOU D B</w:t>
            </w:r>
          </w:p>
        </w:tc>
        <w:tc>
          <w:tcPr>
            <w:tcW w:w="2140" w:type="dxa"/>
            <w:tcBorders>
              <w:top w:val="nil"/>
              <w:left w:val="nil"/>
              <w:bottom w:val="single" w:color="auto" w:sz="4" w:space="0"/>
              <w:right w:val="single" w:color="auto" w:sz="4" w:space="0"/>
            </w:tcBorders>
            <w:shd w:val="clear" w:color="000000" w:fill="B4C6E7"/>
            <w:noWrap/>
            <w:vAlign w:val="bottom"/>
            <w:hideMark/>
          </w:tcPr>
          <w:p w:rsidRPr="00B26526" w:rsidR="007007A8" w:rsidRDefault="007007A8" w14:paraId="2602CE2E"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000000" w:fill="B4C6E7"/>
            <w:noWrap/>
            <w:vAlign w:val="bottom"/>
            <w:hideMark/>
          </w:tcPr>
          <w:p w:rsidRPr="00B26526" w:rsidR="007007A8" w:rsidRDefault="007007A8" w14:paraId="54AC766E" w14:textId="6D129D5B">
            <w:pPr>
              <w:spacing w:line="240" w:lineRule="auto"/>
              <w:ind w:firstLine="0"/>
              <w:jc w:val="center"/>
              <w:rPr>
                <w:rFonts w:eastAsia="Times New Roman" w:cs="Calibri"/>
                <w:color w:val="000000"/>
                <w:sz w:val="22"/>
              </w:rPr>
            </w:pPr>
            <w:r>
              <w:rPr>
                <w:rFonts w:eastAsia="Times New Roman" w:cs="Calibri"/>
                <w:color w:val="000000"/>
                <w:sz w:val="22"/>
              </w:rPr>
              <w:t>D</w:t>
            </w:r>
            <w:r w:rsidRPr="00B26526">
              <w:rPr>
                <w:rFonts w:eastAsia="Times New Roman" w:cs="Calibri"/>
                <w:color w:val="000000"/>
                <w:sz w:val="22"/>
              </w:rPr>
              <w:t xml:space="preserve">iscontinued </w:t>
            </w:r>
            <w:r w:rsidR="00DE4142">
              <w:rPr>
                <w:rFonts w:eastAsia="Times New Roman" w:cs="Calibri"/>
                <w:color w:val="000000"/>
                <w:sz w:val="22"/>
              </w:rPr>
              <w:t xml:space="preserve">in </w:t>
            </w:r>
            <w:r w:rsidRPr="00B26526">
              <w:rPr>
                <w:rFonts w:eastAsia="Times New Roman" w:cs="Calibri"/>
                <w:color w:val="000000"/>
                <w:sz w:val="22"/>
              </w:rPr>
              <w:t>March 2024</w:t>
            </w:r>
          </w:p>
        </w:tc>
      </w:tr>
      <w:tr w:rsidRPr="00B26526" w:rsidR="007007A8" w:rsidTr="000D0EDA" w14:paraId="6F57AC20" w14:textId="77777777">
        <w:trPr>
          <w:trHeight w:val="315"/>
        </w:trPr>
        <w:tc>
          <w:tcPr>
            <w:tcW w:w="1035" w:type="dxa"/>
            <w:vMerge/>
            <w:tcBorders>
              <w:top w:val="nil"/>
              <w:left w:val="single" w:color="auto" w:sz="4" w:space="0"/>
              <w:bottom w:val="single" w:color="000000" w:sz="8" w:space="0"/>
              <w:right w:val="single" w:color="auto" w:sz="4" w:space="0"/>
            </w:tcBorders>
            <w:vAlign w:val="center"/>
            <w:hideMark/>
          </w:tcPr>
          <w:p w:rsidRPr="00B26526" w:rsidR="007007A8" w:rsidRDefault="007007A8" w14:paraId="26A20089" w14:textId="77777777">
            <w:pPr>
              <w:spacing w:line="240" w:lineRule="auto"/>
              <w:ind w:firstLine="0"/>
              <w:rPr>
                <w:rFonts w:eastAsia="Times New Roman" w:cs="Calibri"/>
                <w:b/>
                <w:bCs/>
                <w:color w:val="FFFFFF"/>
                <w:sz w:val="22"/>
              </w:rPr>
            </w:pPr>
          </w:p>
        </w:tc>
        <w:tc>
          <w:tcPr>
            <w:tcW w:w="1640" w:type="dxa"/>
            <w:tcBorders>
              <w:top w:val="nil"/>
              <w:left w:val="nil"/>
              <w:bottom w:val="single" w:color="auto" w:sz="8" w:space="0"/>
              <w:right w:val="single" w:color="auto" w:sz="4" w:space="0"/>
            </w:tcBorders>
            <w:shd w:val="clear" w:color="auto" w:fill="auto"/>
            <w:noWrap/>
            <w:vAlign w:val="bottom"/>
            <w:hideMark/>
          </w:tcPr>
          <w:p w:rsidRPr="00B26526" w:rsidR="007007A8" w:rsidRDefault="007007A8" w14:paraId="2FFB58EB"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TOU D T</w:t>
            </w:r>
          </w:p>
        </w:tc>
        <w:tc>
          <w:tcPr>
            <w:tcW w:w="2140" w:type="dxa"/>
            <w:tcBorders>
              <w:top w:val="nil"/>
              <w:left w:val="nil"/>
              <w:bottom w:val="single" w:color="auto" w:sz="8" w:space="0"/>
              <w:right w:val="single" w:color="auto" w:sz="4" w:space="0"/>
            </w:tcBorders>
            <w:shd w:val="clear" w:color="auto" w:fill="auto"/>
            <w:noWrap/>
            <w:vAlign w:val="bottom"/>
            <w:hideMark/>
          </w:tcPr>
          <w:p w:rsidRPr="00B26526" w:rsidR="007007A8" w:rsidRDefault="007007A8" w14:paraId="588EFE58"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Yes</w:t>
            </w:r>
          </w:p>
        </w:tc>
        <w:tc>
          <w:tcPr>
            <w:tcW w:w="4060" w:type="dxa"/>
            <w:tcBorders>
              <w:top w:val="nil"/>
              <w:left w:val="nil"/>
              <w:bottom w:val="single" w:color="auto" w:sz="8" w:space="0"/>
              <w:right w:val="single" w:color="auto" w:sz="4" w:space="0"/>
            </w:tcBorders>
            <w:shd w:val="clear" w:color="auto" w:fill="auto"/>
            <w:noWrap/>
            <w:vAlign w:val="bottom"/>
            <w:hideMark/>
          </w:tcPr>
          <w:p w:rsidRPr="00B26526" w:rsidR="007007A8" w:rsidRDefault="007007A8" w14:paraId="00C0610C" w14:textId="3C37C961">
            <w:pPr>
              <w:spacing w:line="240" w:lineRule="auto"/>
              <w:ind w:firstLine="0"/>
              <w:jc w:val="center"/>
              <w:rPr>
                <w:rFonts w:eastAsia="Times New Roman" w:cs="Calibri"/>
                <w:color w:val="000000"/>
                <w:sz w:val="22"/>
              </w:rPr>
            </w:pPr>
            <w:r>
              <w:rPr>
                <w:rFonts w:eastAsia="Times New Roman" w:cs="Calibri"/>
                <w:color w:val="000000"/>
                <w:sz w:val="22"/>
              </w:rPr>
              <w:t>D</w:t>
            </w:r>
            <w:r w:rsidRPr="00B26526">
              <w:rPr>
                <w:rFonts w:eastAsia="Times New Roman" w:cs="Calibri"/>
                <w:color w:val="000000"/>
                <w:sz w:val="22"/>
              </w:rPr>
              <w:t xml:space="preserve">iscontinued </w:t>
            </w:r>
            <w:r w:rsidR="00DE4142">
              <w:rPr>
                <w:rFonts w:eastAsia="Times New Roman" w:cs="Calibri"/>
                <w:color w:val="000000"/>
                <w:sz w:val="22"/>
              </w:rPr>
              <w:t xml:space="preserve">in </w:t>
            </w:r>
            <w:r w:rsidRPr="00B26526">
              <w:rPr>
                <w:rFonts w:eastAsia="Times New Roman" w:cs="Calibri"/>
                <w:color w:val="000000"/>
                <w:sz w:val="22"/>
              </w:rPr>
              <w:t>March 2024</w:t>
            </w:r>
          </w:p>
        </w:tc>
      </w:tr>
    </w:tbl>
    <w:p w:rsidR="000D0EDA" w:rsidP="00097B4F" w:rsidRDefault="000D0EDA" w14:paraId="2B5ACFFB" w14:textId="77777777">
      <w:pPr>
        <w:pStyle w:val="Standard"/>
        <w:ind w:firstLine="0"/>
      </w:pPr>
    </w:p>
    <w:p w:rsidRPr="000D0EDA" w:rsidR="007007A8" w:rsidP="00097B4F" w:rsidRDefault="000D0EDA" w14:paraId="750F8099" w14:textId="2692CE42">
      <w:pPr>
        <w:pStyle w:val="Standard"/>
        <w:ind w:firstLine="0"/>
        <w:rPr>
          <w:b/>
          <w:highlight w:val="yellow"/>
        </w:rPr>
      </w:pPr>
      <w:r w:rsidRPr="000D0EDA">
        <w:rPr>
          <w:b/>
          <w:bCs/>
        </w:rPr>
        <w:t xml:space="preserve">Table </w:t>
      </w:r>
      <w:r w:rsidR="00E16A59">
        <w:rPr>
          <w:b/>
          <w:bCs/>
        </w:rPr>
        <w:t>5</w:t>
      </w:r>
      <w:r w:rsidRPr="000D0EDA">
        <w:rPr>
          <w:b/>
          <w:bCs/>
        </w:rPr>
        <w:t xml:space="preserve">(C): SDG&amp;E’s Rates  </w:t>
      </w:r>
    </w:p>
    <w:tbl>
      <w:tblPr>
        <w:tblW w:w="8880" w:type="dxa"/>
        <w:tblInd w:w="-5" w:type="dxa"/>
        <w:tblLook w:val="04A0" w:firstRow="1" w:lastRow="0" w:firstColumn="1" w:lastColumn="0" w:noHBand="0" w:noVBand="1"/>
      </w:tblPr>
      <w:tblGrid>
        <w:gridCol w:w="1040"/>
        <w:gridCol w:w="1640"/>
        <w:gridCol w:w="2140"/>
        <w:gridCol w:w="4060"/>
      </w:tblGrid>
      <w:tr w:rsidRPr="004D5D38" w:rsidR="00CC1323" w:rsidTr="000D0EDA" w14:paraId="7B4A6955" w14:textId="77777777">
        <w:trPr>
          <w:trHeight w:val="615"/>
        </w:trPr>
        <w:tc>
          <w:tcPr>
            <w:tcW w:w="1035" w:type="dxa"/>
            <w:tcBorders>
              <w:top w:val="single" w:color="auto" w:sz="4" w:space="0"/>
              <w:left w:val="single" w:color="auto" w:sz="4" w:space="0"/>
              <w:bottom w:val="nil"/>
              <w:right w:val="single" w:color="auto" w:sz="4" w:space="0"/>
            </w:tcBorders>
            <w:shd w:val="clear" w:color="000000" w:fill="4472C4"/>
            <w:noWrap/>
            <w:vAlign w:val="bottom"/>
            <w:hideMark/>
          </w:tcPr>
          <w:p w:rsidRPr="004D5D38" w:rsidR="000D0EDA" w:rsidRDefault="000D0EDA" w14:paraId="0F1AB28C" w14:textId="77777777">
            <w:pPr>
              <w:spacing w:line="240" w:lineRule="auto"/>
              <w:ind w:firstLine="0"/>
              <w:jc w:val="center"/>
              <w:rPr>
                <w:rFonts w:eastAsia="Times New Roman" w:cs="Calibri"/>
                <w:b/>
                <w:bCs/>
                <w:color w:val="FFFFFF"/>
                <w:sz w:val="22"/>
              </w:rPr>
            </w:pPr>
            <w:r w:rsidRPr="004D5D38">
              <w:rPr>
                <w:rFonts w:eastAsia="Times New Roman" w:cs="Calibri"/>
                <w:b/>
                <w:bCs/>
                <w:color w:val="FFFFFF"/>
                <w:sz w:val="22"/>
              </w:rPr>
              <w:t>Utility</w:t>
            </w:r>
          </w:p>
        </w:tc>
        <w:tc>
          <w:tcPr>
            <w:tcW w:w="1640" w:type="dxa"/>
            <w:tcBorders>
              <w:top w:val="single" w:color="auto" w:sz="4" w:space="0"/>
              <w:left w:val="nil"/>
              <w:bottom w:val="nil"/>
              <w:right w:val="single" w:color="auto" w:sz="4" w:space="0"/>
            </w:tcBorders>
            <w:shd w:val="clear" w:color="000000" w:fill="4472C4"/>
            <w:noWrap/>
            <w:vAlign w:val="bottom"/>
            <w:hideMark/>
          </w:tcPr>
          <w:p w:rsidRPr="004D5D38" w:rsidR="000D0EDA" w:rsidRDefault="000D0EDA" w14:paraId="0E4059D6" w14:textId="77777777">
            <w:pPr>
              <w:spacing w:line="240" w:lineRule="auto"/>
              <w:ind w:firstLine="0"/>
              <w:jc w:val="center"/>
              <w:rPr>
                <w:rFonts w:eastAsia="Times New Roman" w:cs="Calibri"/>
                <w:b/>
                <w:bCs/>
                <w:color w:val="FFFFFF"/>
                <w:sz w:val="22"/>
              </w:rPr>
            </w:pPr>
            <w:r w:rsidRPr="004D5D38">
              <w:rPr>
                <w:rFonts w:eastAsia="Times New Roman" w:cs="Calibri"/>
                <w:b/>
                <w:bCs/>
                <w:color w:val="FFFFFF"/>
                <w:sz w:val="22"/>
              </w:rPr>
              <w:t>Schedule</w:t>
            </w:r>
          </w:p>
        </w:tc>
        <w:tc>
          <w:tcPr>
            <w:tcW w:w="2140" w:type="dxa"/>
            <w:tcBorders>
              <w:top w:val="single" w:color="auto" w:sz="4" w:space="0"/>
              <w:left w:val="nil"/>
              <w:bottom w:val="nil"/>
              <w:right w:val="single" w:color="auto" w:sz="4" w:space="0"/>
            </w:tcBorders>
            <w:shd w:val="clear" w:color="000000" w:fill="4472C4"/>
            <w:noWrap/>
            <w:vAlign w:val="bottom"/>
            <w:hideMark/>
          </w:tcPr>
          <w:p w:rsidRPr="004D5D38" w:rsidR="000D0EDA" w:rsidRDefault="000D0EDA" w14:paraId="55C32A54" w14:textId="77777777">
            <w:pPr>
              <w:spacing w:line="240" w:lineRule="auto"/>
              <w:ind w:firstLine="0"/>
              <w:jc w:val="center"/>
              <w:rPr>
                <w:rFonts w:eastAsia="Times New Roman" w:cs="Calibri"/>
                <w:b/>
                <w:bCs/>
                <w:color w:val="FFFFFF"/>
                <w:sz w:val="22"/>
              </w:rPr>
            </w:pPr>
            <w:r w:rsidRPr="004D5D38">
              <w:rPr>
                <w:rFonts w:eastAsia="Times New Roman" w:cs="Calibri"/>
                <w:b/>
                <w:bCs/>
                <w:color w:val="FFFFFF"/>
                <w:sz w:val="22"/>
              </w:rPr>
              <w:t>Current fixed charge</w:t>
            </w:r>
          </w:p>
        </w:tc>
        <w:tc>
          <w:tcPr>
            <w:tcW w:w="4060" w:type="dxa"/>
            <w:tcBorders>
              <w:top w:val="single" w:color="auto" w:sz="4" w:space="0"/>
              <w:left w:val="nil"/>
              <w:bottom w:val="nil"/>
              <w:right w:val="single" w:color="auto" w:sz="4" w:space="0"/>
            </w:tcBorders>
            <w:shd w:val="clear" w:color="000000" w:fill="4472C4"/>
            <w:noWrap/>
            <w:vAlign w:val="bottom"/>
            <w:hideMark/>
          </w:tcPr>
          <w:p w:rsidRPr="004D5D38" w:rsidR="000D0EDA" w:rsidRDefault="000D0EDA" w14:paraId="3B3BAC36" w14:textId="74D4AA81">
            <w:pPr>
              <w:spacing w:line="240" w:lineRule="auto"/>
              <w:ind w:firstLine="0"/>
              <w:jc w:val="center"/>
              <w:rPr>
                <w:rFonts w:eastAsia="Times New Roman" w:cs="Calibri"/>
                <w:b/>
                <w:bCs/>
                <w:color w:val="FFFFFF"/>
                <w:sz w:val="22"/>
              </w:rPr>
            </w:pPr>
            <w:r>
              <w:rPr>
                <w:rFonts w:eastAsia="Times New Roman" w:cs="Calibri"/>
                <w:b/>
                <w:bCs/>
                <w:color w:val="FFFFFF"/>
                <w:sz w:val="22"/>
              </w:rPr>
              <w:t>Exemption from Income-Graduated Fixed Charges</w:t>
            </w:r>
          </w:p>
        </w:tc>
      </w:tr>
      <w:tr w:rsidRPr="00B26526" w:rsidR="00AD5FF8" w:rsidTr="000D0EDA" w14:paraId="07F49CE4" w14:textId="77777777">
        <w:trPr>
          <w:trHeight w:val="300"/>
        </w:trPr>
        <w:tc>
          <w:tcPr>
            <w:tcW w:w="1040" w:type="dxa"/>
            <w:vMerge w:val="restart"/>
            <w:tcBorders>
              <w:top w:val="nil"/>
              <w:left w:val="single" w:color="auto" w:sz="4" w:space="0"/>
              <w:bottom w:val="single" w:color="000000" w:sz="8" w:space="0"/>
              <w:right w:val="single" w:color="auto" w:sz="4" w:space="0"/>
            </w:tcBorders>
            <w:shd w:val="clear" w:color="000000" w:fill="4472C4"/>
            <w:noWrap/>
            <w:vAlign w:val="center"/>
            <w:hideMark/>
          </w:tcPr>
          <w:p w:rsidRPr="00B26526" w:rsidR="000D0EDA" w:rsidRDefault="000D0EDA" w14:paraId="10E6BCC5" w14:textId="77777777">
            <w:pPr>
              <w:spacing w:line="240" w:lineRule="auto"/>
              <w:ind w:firstLine="0"/>
              <w:jc w:val="center"/>
              <w:rPr>
                <w:rFonts w:eastAsia="Times New Roman" w:cs="Calibri"/>
                <w:b/>
                <w:bCs/>
                <w:color w:val="FFFFFF"/>
                <w:sz w:val="22"/>
              </w:rPr>
            </w:pPr>
            <w:r w:rsidRPr="00B26526">
              <w:rPr>
                <w:rFonts w:eastAsia="Times New Roman" w:cs="Calibri"/>
                <w:b/>
                <w:bCs/>
                <w:color w:val="FFFFFF"/>
                <w:sz w:val="22"/>
              </w:rPr>
              <w:t>SDG&amp;E</w:t>
            </w:r>
          </w:p>
        </w:tc>
        <w:tc>
          <w:tcPr>
            <w:tcW w:w="16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7EE4851D"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DR</w:t>
            </w:r>
          </w:p>
        </w:tc>
        <w:tc>
          <w:tcPr>
            <w:tcW w:w="21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1FD3A88A"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15F58B7B" w14:textId="77777777">
            <w:pPr>
              <w:spacing w:line="240" w:lineRule="auto"/>
              <w:ind w:firstLine="0"/>
              <w:jc w:val="center"/>
              <w:rPr>
                <w:rFonts w:eastAsia="Times New Roman" w:cs="Calibri"/>
                <w:color w:val="000000"/>
                <w:sz w:val="22"/>
              </w:rPr>
            </w:pPr>
            <w:r>
              <w:rPr>
                <w:rFonts w:eastAsia="Times New Roman" w:cs="Calibri"/>
                <w:color w:val="000000"/>
                <w:sz w:val="22"/>
              </w:rPr>
              <w:t>None</w:t>
            </w:r>
          </w:p>
        </w:tc>
      </w:tr>
      <w:tr w:rsidRPr="00B26526" w:rsidR="00C32F89" w:rsidTr="000D0EDA" w14:paraId="35485E4C" w14:textId="77777777">
        <w:trPr>
          <w:trHeight w:val="300"/>
        </w:trPr>
        <w:tc>
          <w:tcPr>
            <w:tcW w:w="1040" w:type="dxa"/>
            <w:vMerge/>
            <w:tcBorders>
              <w:top w:val="nil"/>
              <w:left w:val="single" w:color="auto" w:sz="4" w:space="0"/>
              <w:bottom w:val="single" w:color="000000" w:sz="8" w:space="0"/>
              <w:right w:val="single" w:color="auto" w:sz="4" w:space="0"/>
            </w:tcBorders>
            <w:vAlign w:val="center"/>
            <w:hideMark/>
          </w:tcPr>
          <w:p w:rsidRPr="00B26526" w:rsidR="000D0EDA" w:rsidRDefault="000D0EDA" w14:paraId="4E339AF0" w14:textId="77777777">
            <w:pPr>
              <w:spacing w:line="240" w:lineRule="auto"/>
              <w:ind w:firstLine="0"/>
              <w:rPr>
                <w:rFonts w:eastAsia="Times New Roman" w:cs="Calibri"/>
                <w:b/>
                <w:bCs/>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2CCBC74D"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DT-RV</w:t>
            </w:r>
          </w:p>
        </w:tc>
        <w:tc>
          <w:tcPr>
            <w:tcW w:w="21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20A98DD8"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23B36C24" w14:textId="77777777">
            <w:pPr>
              <w:spacing w:line="240" w:lineRule="auto"/>
              <w:ind w:firstLine="0"/>
              <w:jc w:val="center"/>
              <w:rPr>
                <w:rFonts w:eastAsia="Times New Roman" w:cs="Calibri"/>
                <w:color w:val="000000"/>
                <w:sz w:val="22"/>
              </w:rPr>
            </w:pPr>
            <w:r>
              <w:rPr>
                <w:rFonts w:eastAsia="Times New Roman" w:cs="Calibri"/>
                <w:color w:val="000000"/>
                <w:sz w:val="22"/>
              </w:rPr>
              <w:t>None</w:t>
            </w:r>
          </w:p>
        </w:tc>
      </w:tr>
      <w:tr w:rsidRPr="00B26526" w:rsidR="00AD5FF8" w:rsidTr="000D0EDA" w14:paraId="19E23E0C" w14:textId="77777777">
        <w:trPr>
          <w:trHeight w:val="300"/>
        </w:trPr>
        <w:tc>
          <w:tcPr>
            <w:tcW w:w="1040" w:type="dxa"/>
            <w:vMerge/>
            <w:tcBorders>
              <w:top w:val="nil"/>
              <w:left w:val="single" w:color="auto" w:sz="4" w:space="0"/>
              <w:bottom w:val="single" w:color="000000" w:sz="8" w:space="0"/>
              <w:right w:val="single" w:color="auto" w:sz="4" w:space="0"/>
            </w:tcBorders>
            <w:vAlign w:val="center"/>
            <w:hideMark/>
          </w:tcPr>
          <w:p w:rsidRPr="00B26526" w:rsidR="000D0EDA" w:rsidRDefault="000D0EDA" w14:paraId="34564C72" w14:textId="77777777">
            <w:pPr>
              <w:spacing w:line="240" w:lineRule="auto"/>
              <w:ind w:firstLine="0"/>
              <w:rPr>
                <w:rFonts w:eastAsia="Times New Roman" w:cs="Calibri"/>
                <w:b/>
                <w:bCs/>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6DBF8C26"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TOU-DR1</w:t>
            </w:r>
          </w:p>
        </w:tc>
        <w:tc>
          <w:tcPr>
            <w:tcW w:w="21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68708CBB"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40D3D6BF" w14:textId="77777777">
            <w:pPr>
              <w:spacing w:line="240" w:lineRule="auto"/>
              <w:ind w:firstLine="0"/>
              <w:jc w:val="center"/>
              <w:rPr>
                <w:rFonts w:eastAsia="Times New Roman" w:cs="Calibri"/>
                <w:color w:val="000000"/>
                <w:sz w:val="22"/>
              </w:rPr>
            </w:pPr>
            <w:r>
              <w:rPr>
                <w:rFonts w:eastAsia="Times New Roman" w:cs="Calibri"/>
                <w:color w:val="000000"/>
                <w:sz w:val="22"/>
              </w:rPr>
              <w:t>None</w:t>
            </w:r>
          </w:p>
        </w:tc>
      </w:tr>
      <w:tr w:rsidRPr="00B26526" w:rsidR="00C32F89" w:rsidTr="000D0EDA" w14:paraId="741D7655" w14:textId="77777777">
        <w:trPr>
          <w:trHeight w:val="300"/>
        </w:trPr>
        <w:tc>
          <w:tcPr>
            <w:tcW w:w="1040" w:type="dxa"/>
            <w:vMerge/>
            <w:tcBorders>
              <w:top w:val="nil"/>
              <w:left w:val="single" w:color="auto" w:sz="4" w:space="0"/>
              <w:bottom w:val="single" w:color="000000" w:sz="8" w:space="0"/>
              <w:right w:val="single" w:color="auto" w:sz="4" w:space="0"/>
            </w:tcBorders>
            <w:vAlign w:val="center"/>
            <w:hideMark/>
          </w:tcPr>
          <w:p w:rsidRPr="00B26526" w:rsidR="000D0EDA" w:rsidRDefault="000D0EDA" w14:paraId="177311FA" w14:textId="77777777">
            <w:pPr>
              <w:spacing w:line="240" w:lineRule="auto"/>
              <w:ind w:firstLine="0"/>
              <w:rPr>
                <w:rFonts w:eastAsia="Times New Roman" w:cs="Calibri"/>
                <w:b/>
                <w:bCs/>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34855F77"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TOU-DR2</w:t>
            </w:r>
          </w:p>
        </w:tc>
        <w:tc>
          <w:tcPr>
            <w:tcW w:w="21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7BAC222E"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15A849A2" w14:textId="77777777">
            <w:pPr>
              <w:spacing w:line="240" w:lineRule="auto"/>
              <w:ind w:firstLine="0"/>
              <w:jc w:val="center"/>
              <w:rPr>
                <w:rFonts w:eastAsia="Times New Roman" w:cs="Calibri"/>
                <w:color w:val="000000"/>
                <w:sz w:val="22"/>
              </w:rPr>
            </w:pPr>
            <w:r>
              <w:rPr>
                <w:rFonts w:eastAsia="Times New Roman" w:cs="Calibri"/>
                <w:color w:val="000000"/>
                <w:sz w:val="22"/>
              </w:rPr>
              <w:t>None</w:t>
            </w:r>
          </w:p>
        </w:tc>
      </w:tr>
      <w:tr w:rsidRPr="00B26526" w:rsidR="00AD5FF8" w:rsidTr="000D0EDA" w14:paraId="7BEDC979" w14:textId="77777777">
        <w:trPr>
          <w:trHeight w:val="300"/>
        </w:trPr>
        <w:tc>
          <w:tcPr>
            <w:tcW w:w="1040" w:type="dxa"/>
            <w:vMerge/>
            <w:tcBorders>
              <w:top w:val="nil"/>
              <w:left w:val="single" w:color="auto" w:sz="4" w:space="0"/>
              <w:bottom w:val="single" w:color="000000" w:sz="8" w:space="0"/>
              <w:right w:val="single" w:color="auto" w:sz="4" w:space="0"/>
            </w:tcBorders>
            <w:vAlign w:val="center"/>
            <w:hideMark/>
          </w:tcPr>
          <w:p w:rsidRPr="00A40469" w:rsidR="000D0EDA" w:rsidRDefault="000D0EDA" w14:paraId="29519AB5" w14:textId="77777777">
            <w:pPr>
              <w:spacing w:line="240" w:lineRule="auto"/>
              <w:ind w:firstLine="0"/>
              <w:rPr>
                <w:rFonts w:ascii="Calibri" w:hAnsi="Calibri" w:eastAsia="Times New Roman" w:cs="Calibri"/>
                <w:b/>
                <w:bCs/>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3AA8E719"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TOU-DR</w:t>
            </w:r>
          </w:p>
        </w:tc>
        <w:tc>
          <w:tcPr>
            <w:tcW w:w="21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7CB67FA6"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004BEDC8"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None</w:t>
            </w:r>
          </w:p>
        </w:tc>
      </w:tr>
      <w:tr w:rsidRPr="00B26526" w:rsidR="00C32F89" w:rsidTr="000D0EDA" w14:paraId="230A26E1" w14:textId="77777777">
        <w:trPr>
          <w:trHeight w:val="300"/>
        </w:trPr>
        <w:tc>
          <w:tcPr>
            <w:tcW w:w="1040" w:type="dxa"/>
            <w:vMerge/>
            <w:tcBorders>
              <w:top w:val="nil"/>
              <w:left w:val="single" w:color="auto" w:sz="4" w:space="0"/>
              <w:bottom w:val="single" w:color="000000" w:sz="8" w:space="0"/>
              <w:right w:val="single" w:color="auto" w:sz="4" w:space="0"/>
            </w:tcBorders>
            <w:vAlign w:val="center"/>
            <w:hideMark/>
          </w:tcPr>
          <w:p w:rsidRPr="00A40469" w:rsidR="000D0EDA" w:rsidRDefault="000D0EDA" w14:paraId="6C573386" w14:textId="77777777">
            <w:pPr>
              <w:spacing w:line="240" w:lineRule="auto"/>
              <w:ind w:firstLine="0"/>
              <w:rPr>
                <w:rFonts w:ascii="Calibri" w:hAnsi="Calibri" w:eastAsia="Times New Roman" w:cs="Calibri"/>
                <w:b/>
                <w:bCs/>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68607A9D"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DR-SES</w:t>
            </w:r>
          </w:p>
        </w:tc>
        <w:tc>
          <w:tcPr>
            <w:tcW w:w="21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584CB845"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124603BD"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None</w:t>
            </w:r>
          </w:p>
        </w:tc>
      </w:tr>
      <w:tr w:rsidRPr="00B26526" w:rsidR="00AD5FF8" w:rsidTr="000D0EDA" w14:paraId="2FD69C3F" w14:textId="77777777">
        <w:trPr>
          <w:trHeight w:val="300"/>
        </w:trPr>
        <w:tc>
          <w:tcPr>
            <w:tcW w:w="1040" w:type="dxa"/>
            <w:vMerge/>
            <w:tcBorders>
              <w:top w:val="nil"/>
              <w:left w:val="single" w:color="auto" w:sz="4" w:space="0"/>
              <w:bottom w:val="single" w:color="000000" w:sz="8" w:space="0"/>
              <w:right w:val="single" w:color="auto" w:sz="4" w:space="0"/>
            </w:tcBorders>
            <w:vAlign w:val="center"/>
            <w:hideMark/>
          </w:tcPr>
          <w:p w:rsidRPr="00A40469" w:rsidR="000D0EDA" w:rsidRDefault="000D0EDA" w14:paraId="57824893" w14:textId="77777777">
            <w:pPr>
              <w:spacing w:line="240" w:lineRule="auto"/>
              <w:ind w:firstLine="0"/>
              <w:rPr>
                <w:rFonts w:ascii="Calibri" w:hAnsi="Calibri" w:eastAsia="Times New Roman" w:cs="Calibri"/>
                <w:b/>
                <w:bCs/>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3C270A24"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EV-TOU</w:t>
            </w:r>
          </w:p>
        </w:tc>
        <w:tc>
          <w:tcPr>
            <w:tcW w:w="21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40BCDFA5"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28DC8B3E"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Separately metered electric vehicle rate</w:t>
            </w:r>
          </w:p>
        </w:tc>
      </w:tr>
      <w:tr w:rsidRPr="00B26526" w:rsidR="00C32F89" w:rsidTr="000D0EDA" w14:paraId="0F4CA9FE" w14:textId="77777777">
        <w:trPr>
          <w:trHeight w:val="630"/>
        </w:trPr>
        <w:tc>
          <w:tcPr>
            <w:tcW w:w="1040" w:type="dxa"/>
            <w:vMerge/>
            <w:tcBorders>
              <w:top w:val="nil"/>
              <w:left w:val="single" w:color="auto" w:sz="4" w:space="0"/>
              <w:bottom w:val="single" w:color="000000" w:sz="8" w:space="0"/>
              <w:right w:val="single" w:color="auto" w:sz="4" w:space="0"/>
            </w:tcBorders>
            <w:vAlign w:val="center"/>
            <w:hideMark/>
          </w:tcPr>
          <w:p w:rsidRPr="00A40469" w:rsidR="000D0EDA" w:rsidRDefault="000D0EDA" w14:paraId="5734E4BE" w14:textId="77777777">
            <w:pPr>
              <w:spacing w:line="240" w:lineRule="auto"/>
              <w:ind w:firstLine="0"/>
              <w:rPr>
                <w:rFonts w:ascii="Calibri" w:hAnsi="Calibri" w:eastAsia="Times New Roman" w:cs="Calibri"/>
                <w:b/>
                <w:bCs/>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23382E48"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EV-TOU-2</w:t>
            </w:r>
          </w:p>
        </w:tc>
        <w:tc>
          <w:tcPr>
            <w:tcW w:w="21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3D545127"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66BA2C91"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None</w:t>
            </w:r>
          </w:p>
        </w:tc>
      </w:tr>
      <w:tr w:rsidRPr="00B26526" w:rsidR="00AD5FF8" w:rsidTr="000D0EDA" w14:paraId="26E78B66" w14:textId="77777777">
        <w:trPr>
          <w:trHeight w:val="630"/>
        </w:trPr>
        <w:tc>
          <w:tcPr>
            <w:tcW w:w="1040" w:type="dxa"/>
            <w:vMerge/>
            <w:tcBorders>
              <w:top w:val="nil"/>
              <w:left w:val="single" w:color="auto" w:sz="4" w:space="0"/>
              <w:bottom w:val="single" w:color="000000" w:sz="8" w:space="0"/>
              <w:right w:val="single" w:color="auto" w:sz="4" w:space="0"/>
            </w:tcBorders>
            <w:vAlign w:val="center"/>
            <w:hideMark/>
          </w:tcPr>
          <w:p w:rsidRPr="00A40469" w:rsidR="000D0EDA" w:rsidRDefault="000D0EDA" w14:paraId="0B223DA8" w14:textId="77777777">
            <w:pPr>
              <w:spacing w:line="240" w:lineRule="auto"/>
              <w:ind w:firstLine="0"/>
              <w:rPr>
                <w:rFonts w:ascii="Calibri" w:hAnsi="Calibri" w:eastAsia="Times New Roman" w:cs="Calibri"/>
                <w:b/>
                <w:bCs/>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3BA41B57"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EV-TOU-5</w:t>
            </w:r>
          </w:p>
        </w:tc>
        <w:tc>
          <w:tcPr>
            <w:tcW w:w="21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21B9B31F"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Yes</w:t>
            </w:r>
          </w:p>
        </w:tc>
        <w:tc>
          <w:tcPr>
            <w:tcW w:w="406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6C196FEB"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None</w:t>
            </w:r>
          </w:p>
        </w:tc>
      </w:tr>
      <w:tr w:rsidRPr="00B26526" w:rsidR="00C32F89" w:rsidTr="000D0EDA" w14:paraId="180BC1CE" w14:textId="77777777">
        <w:trPr>
          <w:trHeight w:val="300"/>
        </w:trPr>
        <w:tc>
          <w:tcPr>
            <w:tcW w:w="1040" w:type="dxa"/>
            <w:vMerge/>
            <w:tcBorders>
              <w:top w:val="nil"/>
              <w:left w:val="single" w:color="auto" w:sz="4" w:space="0"/>
              <w:bottom w:val="single" w:color="000000" w:sz="8" w:space="0"/>
              <w:right w:val="single" w:color="auto" w:sz="4" w:space="0"/>
            </w:tcBorders>
            <w:vAlign w:val="center"/>
            <w:hideMark/>
          </w:tcPr>
          <w:p w:rsidRPr="00A40469" w:rsidR="000D0EDA" w:rsidRDefault="000D0EDA" w14:paraId="1BDB99CE" w14:textId="77777777">
            <w:pPr>
              <w:spacing w:line="240" w:lineRule="auto"/>
              <w:ind w:firstLine="0"/>
              <w:rPr>
                <w:rFonts w:ascii="Calibri" w:hAnsi="Calibri" w:eastAsia="Times New Roman" w:cs="Calibri"/>
                <w:b/>
                <w:bCs/>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52A82DD4"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TOU-ELEC</w:t>
            </w:r>
          </w:p>
        </w:tc>
        <w:tc>
          <w:tcPr>
            <w:tcW w:w="21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18F30E7C"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3F7F772D"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None</w:t>
            </w:r>
          </w:p>
        </w:tc>
      </w:tr>
      <w:tr w:rsidRPr="00B26526" w:rsidR="00AD5FF8" w:rsidTr="000D0EDA" w14:paraId="6D592D26" w14:textId="77777777">
        <w:trPr>
          <w:trHeight w:val="300"/>
        </w:trPr>
        <w:tc>
          <w:tcPr>
            <w:tcW w:w="1040" w:type="dxa"/>
            <w:vMerge/>
            <w:tcBorders>
              <w:top w:val="nil"/>
              <w:left w:val="single" w:color="auto" w:sz="4" w:space="0"/>
              <w:bottom w:val="single" w:color="000000" w:sz="8" w:space="0"/>
              <w:right w:val="single" w:color="auto" w:sz="4" w:space="0"/>
            </w:tcBorders>
            <w:vAlign w:val="center"/>
            <w:hideMark/>
          </w:tcPr>
          <w:p w:rsidRPr="00A40469" w:rsidR="000D0EDA" w:rsidRDefault="000D0EDA" w14:paraId="1616C81E" w14:textId="77777777">
            <w:pPr>
              <w:spacing w:line="240" w:lineRule="auto"/>
              <w:ind w:firstLine="0"/>
              <w:rPr>
                <w:rFonts w:ascii="Calibri" w:hAnsi="Calibri" w:eastAsia="Times New Roman" w:cs="Calibri"/>
                <w:b/>
                <w:bCs/>
                <w:color w:val="FFFFFF"/>
                <w:sz w:val="22"/>
              </w:rPr>
            </w:pPr>
          </w:p>
        </w:tc>
        <w:tc>
          <w:tcPr>
            <w:tcW w:w="16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0307D6EE"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DM</w:t>
            </w:r>
          </w:p>
        </w:tc>
        <w:tc>
          <w:tcPr>
            <w:tcW w:w="214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5ECD2C7F"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000000" w:fill="B4C6E7"/>
            <w:noWrap/>
            <w:vAlign w:val="bottom"/>
            <w:hideMark/>
          </w:tcPr>
          <w:p w:rsidRPr="00B26526" w:rsidR="000D0EDA" w:rsidRDefault="000D0EDA" w14:paraId="0030DB49"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Non-sub-metered master meter rate</w:t>
            </w:r>
          </w:p>
        </w:tc>
      </w:tr>
      <w:tr w:rsidRPr="00B26526" w:rsidR="00C32F89" w:rsidTr="000D0EDA" w14:paraId="6CCEF30C" w14:textId="77777777">
        <w:trPr>
          <w:trHeight w:val="300"/>
        </w:trPr>
        <w:tc>
          <w:tcPr>
            <w:tcW w:w="1040" w:type="dxa"/>
            <w:vMerge/>
            <w:tcBorders>
              <w:top w:val="nil"/>
              <w:left w:val="single" w:color="auto" w:sz="4" w:space="0"/>
              <w:bottom w:val="single" w:color="000000" w:sz="8" w:space="0"/>
              <w:right w:val="single" w:color="auto" w:sz="4" w:space="0"/>
            </w:tcBorders>
            <w:vAlign w:val="center"/>
            <w:hideMark/>
          </w:tcPr>
          <w:p w:rsidRPr="00A40469" w:rsidR="000D0EDA" w:rsidRDefault="000D0EDA" w14:paraId="1125FC67" w14:textId="77777777">
            <w:pPr>
              <w:spacing w:line="240" w:lineRule="auto"/>
              <w:ind w:firstLine="0"/>
              <w:rPr>
                <w:rFonts w:ascii="Calibri" w:hAnsi="Calibri" w:eastAsia="Times New Roman" w:cs="Calibri"/>
                <w:b/>
                <w:bCs/>
                <w:color w:val="FFFFFF"/>
                <w:sz w:val="22"/>
              </w:rPr>
            </w:pPr>
          </w:p>
        </w:tc>
        <w:tc>
          <w:tcPr>
            <w:tcW w:w="16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7950A500"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DS</w:t>
            </w:r>
          </w:p>
        </w:tc>
        <w:tc>
          <w:tcPr>
            <w:tcW w:w="214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25D6E9F0"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w:t>
            </w:r>
          </w:p>
        </w:tc>
        <w:tc>
          <w:tcPr>
            <w:tcW w:w="4060" w:type="dxa"/>
            <w:tcBorders>
              <w:top w:val="nil"/>
              <w:left w:val="nil"/>
              <w:bottom w:val="single" w:color="auto" w:sz="4" w:space="0"/>
              <w:right w:val="single" w:color="auto" w:sz="4" w:space="0"/>
            </w:tcBorders>
            <w:shd w:val="clear" w:color="auto" w:fill="auto"/>
            <w:noWrap/>
            <w:vAlign w:val="bottom"/>
            <w:hideMark/>
          </w:tcPr>
          <w:p w:rsidRPr="00B26526" w:rsidR="000D0EDA" w:rsidRDefault="000D0EDA" w14:paraId="40D95642" w14:textId="77777777">
            <w:pPr>
              <w:spacing w:line="240" w:lineRule="auto"/>
              <w:ind w:firstLine="0"/>
              <w:jc w:val="center"/>
              <w:rPr>
                <w:rFonts w:eastAsia="Times New Roman" w:cs="Calibri"/>
                <w:color w:val="000000"/>
                <w:sz w:val="22"/>
              </w:rPr>
            </w:pPr>
            <w:r w:rsidRPr="00B26526">
              <w:rPr>
                <w:rFonts w:eastAsia="Times New Roman" w:cs="Calibri"/>
                <w:color w:val="000000"/>
                <w:sz w:val="22"/>
              </w:rPr>
              <w:t>None</w:t>
            </w:r>
          </w:p>
        </w:tc>
      </w:tr>
    </w:tbl>
    <w:p w:rsidR="000D0EDA" w:rsidP="00097B4F" w:rsidRDefault="000D0EDA" w14:paraId="3CE4E9EE" w14:textId="77777777">
      <w:pPr>
        <w:pStyle w:val="Standard"/>
        <w:ind w:firstLine="0"/>
        <w:rPr>
          <w:highlight w:val="yellow"/>
        </w:rPr>
      </w:pPr>
    </w:p>
    <w:p w:rsidR="00102B35" w:rsidP="00102B35" w:rsidRDefault="00102B35" w14:paraId="3B8B8656" w14:textId="7B4F558A">
      <w:pPr>
        <w:pStyle w:val="Standard"/>
      </w:pPr>
      <w:r w:rsidRPr="00102B35">
        <w:t xml:space="preserve">It is reasonable to authorize income-graduated fixed charges for both default and optional residential rates. It is reasonable to apply income-graduated fixed charges adopted for default rates to all optional rates, except for master-metered rates that are not sub-metered, separately-metered electric vehicle rates for customers whose primary meter has an income-graduated fixed charge, or rate schedules that are scheduled to be eliminated by the second quarter of 2026. </w:t>
      </w:r>
    </w:p>
    <w:p w:rsidR="008A0462" w:rsidP="00C06FD4" w:rsidRDefault="00372EF4" w14:paraId="03D95060" w14:textId="45221BB7">
      <w:pPr>
        <w:pStyle w:val="Standard"/>
      </w:pPr>
      <w:r>
        <w:t>In Section 5.8 above, t</w:t>
      </w:r>
      <w:r w:rsidR="00F50BBA">
        <w:t xml:space="preserve">his decision concluded </w:t>
      </w:r>
      <w:r w:rsidR="00CD345E">
        <w:t>that i</w:t>
      </w:r>
      <w:r w:rsidRPr="00CD345E" w:rsidR="00CD345E">
        <w:t xml:space="preserve">t is reasonable to apply revenues collected through income-graduated fixed charges to reduce </w:t>
      </w:r>
      <w:r w:rsidR="0000459C">
        <w:t>distribution</w:t>
      </w:r>
      <w:r w:rsidRPr="00CD345E" w:rsidR="0000459C">
        <w:t xml:space="preserve"> </w:t>
      </w:r>
      <w:r w:rsidRPr="00CD345E" w:rsidR="00CD345E">
        <w:t xml:space="preserve">rates equally </w:t>
      </w:r>
      <w:r w:rsidR="00772A4D">
        <w:t xml:space="preserve">on a cents per kWh basis </w:t>
      </w:r>
      <w:r w:rsidRPr="00CD345E" w:rsidR="00CD345E">
        <w:t>during all hours</w:t>
      </w:r>
      <w:r w:rsidR="003B3195">
        <w:t xml:space="preserve"> of the day</w:t>
      </w:r>
      <w:r w:rsidRPr="00CD345E" w:rsidR="00CD345E">
        <w:t>.</w:t>
      </w:r>
      <w:r w:rsidR="0064744D">
        <w:t xml:space="preserve"> </w:t>
      </w:r>
      <w:r w:rsidR="00190497">
        <w:t xml:space="preserve">In opening briefs, the Large Utilities </w:t>
      </w:r>
      <w:r w:rsidR="00D26A2A">
        <w:t xml:space="preserve">strongly supported this approach but </w:t>
      </w:r>
      <w:r w:rsidR="00016B32">
        <w:t>recommended that the Commission</w:t>
      </w:r>
      <w:r w:rsidR="00D26A2A">
        <w:t xml:space="preserve"> </w:t>
      </w:r>
      <w:r w:rsidR="005F31E6">
        <w:t xml:space="preserve">allow the Large Utilities to </w:t>
      </w:r>
      <w:r w:rsidR="00A50388">
        <w:t xml:space="preserve">make adjustments for </w:t>
      </w:r>
      <w:r w:rsidR="008E277F">
        <w:t xml:space="preserve">optional rates as needed to prevent a situation where </w:t>
      </w:r>
      <w:r w:rsidR="00FD66BF">
        <w:t xml:space="preserve">a customer receives a negative volumetric rate during certain hours. </w:t>
      </w:r>
    </w:p>
    <w:p w:rsidR="002F2E72" w:rsidP="00F5421E" w:rsidRDefault="00CD35CE" w14:paraId="15EAEBC4" w14:textId="65D76047">
      <w:pPr>
        <w:pStyle w:val="Standard"/>
      </w:pPr>
      <w:r>
        <w:t>T</w:t>
      </w:r>
      <w:r w:rsidRPr="00CD35CE">
        <w:t xml:space="preserve">his decision adopts substantially lower income-graduated fixed charges and associated volumetric rate reductions than proposed by the Large Utilities. Accordingly, we do not expect that volumetric rates will be reduced below zero for most of the Large Utilities’ optional rate schedules if we apply the revenues from fixed charges equally during all </w:t>
      </w:r>
      <w:r w:rsidR="009855C0">
        <w:t>hours of the day</w:t>
      </w:r>
      <w:r w:rsidRPr="00CD35CE">
        <w:t>. However, w</w:t>
      </w:r>
      <w:r>
        <w:t>e</w:t>
      </w:r>
      <w:r w:rsidRPr="00CD35CE">
        <w:t xml:space="preserve"> acknowledge</w:t>
      </w:r>
      <w:r>
        <w:t xml:space="preserve"> </w:t>
      </w:r>
      <w:r w:rsidRPr="00CD35CE">
        <w:t>that this could occur for some optional rates with very low super off-peak volumetric rates.</w:t>
      </w:r>
      <w:r>
        <w:t xml:space="preserve"> </w:t>
      </w:r>
      <w:r w:rsidR="00916D2B">
        <w:t>To address this potential scenario</w:t>
      </w:r>
      <w:r w:rsidR="00865AC5">
        <w:t xml:space="preserve">, </w:t>
      </w:r>
      <w:r w:rsidR="00916D2B">
        <w:t>we</w:t>
      </w:r>
      <w:r w:rsidR="00865AC5">
        <w:t xml:space="preserve"> </w:t>
      </w:r>
      <w:r w:rsidR="00E31A28">
        <w:t>adopt a limited</w:t>
      </w:r>
      <w:r w:rsidR="00865AC5">
        <w:t xml:space="preserve"> exception to </w:t>
      </w:r>
      <w:r w:rsidR="00A27278">
        <w:t xml:space="preserve">the requirement </w:t>
      </w:r>
      <w:r w:rsidR="0075437B">
        <w:t xml:space="preserve">for Large Utilities to </w:t>
      </w:r>
      <w:r w:rsidR="0016375B">
        <w:t xml:space="preserve">reduce </w:t>
      </w:r>
      <w:r w:rsidR="00764D17">
        <w:t xml:space="preserve">distribution rates equally on a cents per kWh basis </w:t>
      </w:r>
      <w:r w:rsidR="0070530F">
        <w:t>following introduction</w:t>
      </w:r>
      <w:r w:rsidR="00916D2B">
        <w:t xml:space="preserve"> of the income-graduated fixed charge</w:t>
      </w:r>
      <w:r w:rsidRPr="00CD35CE">
        <w:t>.</w:t>
      </w:r>
      <w:r>
        <w:t xml:space="preserve"> </w:t>
      </w:r>
    </w:p>
    <w:p w:rsidR="00605F76" w:rsidP="00F5421E" w:rsidRDefault="00605F76" w14:paraId="0F9FED89" w14:textId="504E69ED">
      <w:pPr>
        <w:pStyle w:val="Standard"/>
      </w:pPr>
      <w:r w:rsidRPr="008C051C">
        <w:t xml:space="preserve">It is reasonable to apply </w:t>
      </w:r>
      <w:r w:rsidR="003517D0">
        <w:t xml:space="preserve">the revenues recovered by income-graduated fixed charges </w:t>
      </w:r>
      <w:r w:rsidR="00F5421E">
        <w:t>for optional rates as follows:</w:t>
      </w:r>
      <w:r w:rsidR="006336E6">
        <w:t xml:space="preserve"> </w:t>
      </w:r>
      <w:r w:rsidR="00FD6727">
        <w:t xml:space="preserve">any </w:t>
      </w:r>
      <w:r w:rsidR="004E3050">
        <w:t xml:space="preserve">fixed charge </w:t>
      </w:r>
      <w:r w:rsidR="00FD6727">
        <w:t>revenue</w:t>
      </w:r>
      <w:r w:rsidR="00691022">
        <w:t>s</w:t>
      </w:r>
      <w:r w:rsidR="00FD6727">
        <w:t xml:space="preserve"> </w:t>
      </w:r>
      <w:r w:rsidR="003B4C58">
        <w:t xml:space="preserve">that are not </w:t>
      </w:r>
      <w:r w:rsidR="003B4C58">
        <w:lastRenderedPageBreak/>
        <w:t xml:space="preserve">used to </w:t>
      </w:r>
      <w:r w:rsidR="00461FA7">
        <w:t>recover the costs of</w:t>
      </w:r>
      <w:r w:rsidR="00DC2DF8">
        <w:t xml:space="preserve"> specific line items</w:t>
      </w:r>
      <w:r w:rsidR="00C121C9">
        <w:t xml:space="preserve"> should be used to reduce </w:t>
      </w:r>
      <w:r w:rsidR="0023107B">
        <w:t xml:space="preserve">distribution </w:t>
      </w:r>
      <w:r w:rsidR="00C121C9">
        <w:t xml:space="preserve">rates on an equal cents per kWh basis across all </w:t>
      </w:r>
      <w:r w:rsidR="00F158D1">
        <w:t xml:space="preserve">time periods, unless doing so </w:t>
      </w:r>
      <w:r w:rsidR="00212A18">
        <w:t xml:space="preserve">would result in </w:t>
      </w:r>
      <w:r w:rsidR="00257489">
        <w:t>a</w:t>
      </w:r>
      <w:r w:rsidR="00212A18">
        <w:t xml:space="preserve"> negative distribution</w:t>
      </w:r>
      <w:r w:rsidR="00257489">
        <w:t xml:space="preserve"> rate</w:t>
      </w:r>
      <w:r w:rsidR="00212A18">
        <w:t xml:space="preserve"> </w:t>
      </w:r>
      <w:r w:rsidR="00225B43">
        <w:t>during any time period for a given rate</w:t>
      </w:r>
      <w:r w:rsidR="0063274F">
        <w:t xml:space="preserve"> schedule. </w:t>
      </w:r>
      <w:r w:rsidR="00141CDA">
        <w:t xml:space="preserve">In this scenario, distribution rates should instead be reduced on an equal percent basis </w:t>
      </w:r>
      <w:r w:rsidR="00E873E0">
        <w:t xml:space="preserve">across </w:t>
      </w:r>
      <w:r w:rsidR="00530192">
        <w:t>all time periods</w:t>
      </w:r>
      <w:r w:rsidR="00257489">
        <w:t xml:space="preserve"> (i.e., </w:t>
      </w:r>
      <w:r w:rsidR="00BB5546">
        <w:t xml:space="preserve">reduced proportionally such that the prior </w:t>
      </w:r>
      <w:r w:rsidR="00006E92">
        <w:t xml:space="preserve">time-of-use </w:t>
      </w:r>
      <w:r w:rsidR="00E441BB">
        <w:t>differentials are maintained)</w:t>
      </w:r>
      <w:r w:rsidR="00557395">
        <w:t xml:space="preserve">. </w:t>
      </w:r>
    </w:p>
    <w:p w:rsidR="00EA5F23" w:rsidP="00702F6F" w:rsidRDefault="00EA5F23" w14:paraId="3CC73542" w14:textId="4F1260EF">
      <w:pPr>
        <w:pStyle w:val="Heading2"/>
      </w:pPr>
      <w:bookmarkStart w:name="_Toc160790048" w:id="41"/>
      <w:r>
        <w:t>Marketing, Education, and Outreach</w:t>
      </w:r>
      <w:bookmarkEnd w:id="41"/>
    </w:p>
    <w:p w:rsidR="00A46C52" w:rsidP="00F326CA" w:rsidRDefault="00746E48" w14:paraId="2E8704E7" w14:textId="7F18ED76">
      <w:pPr>
        <w:pStyle w:val="Standard"/>
      </w:pPr>
      <w:r>
        <w:t xml:space="preserve">In opening testimony, the Large Utilities </w:t>
      </w:r>
      <w:r w:rsidR="00656874">
        <w:t xml:space="preserve">shared the results of </w:t>
      </w:r>
      <w:r w:rsidR="005B74C9">
        <w:t>research</w:t>
      </w:r>
      <w:r w:rsidR="00F2438B">
        <w:t xml:space="preserve"> conducted by contractors</w:t>
      </w:r>
      <w:r w:rsidR="003F2C79">
        <w:t xml:space="preserve"> in 2022 and 2023</w:t>
      </w:r>
      <w:r w:rsidR="00F2438B">
        <w:t xml:space="preserve">. </w:t>
      </w:r>
      <w:r w:rsidR="005B74C9">
        <w:t xml:space="preserve">PG&amp;E </w:t>
      </w:r>
      <w:r w:rsidR="00F326CA">
        <w:t>hired a consultant</w:t>
      </w:r>
      <w:r w:rsidR="00FD2BC5">
        <w:t xml:space="preserve"> to conduct research in</w:t>
      </w:r>
      <w:r w:rsidR="00F326CA">
        <w:t xml:space="preserve"> 2022 </w:t>
      </w:r>
      <w:r w:rsidR="005B74C9">
        <w:t xml:space="preserve">to explore customer reactions to messaging </w:t>
      </w:r>
      <w:r w:rsidR="00504849">
        <w:t>about a residential fixed charge</w:t>
      </w:r>
      <w:r w:rsidR="00E31BF1">
        <w:t xml:space="preserve">. The researchers </w:t>
      </w:r>
      <w:r w:rsidR="00543806">
        <w:t>found tha</w:t>
      </w:r>
      <w:r w:rsidR="00CD4412">
        <w:t xml:space="preserve">t </w:t>
      </w:r>
      <w:r w:rsidR="00B53155">
        <w:t>residential customer focus groups</w:t>
      </w:r>
      <w:r w:rsidR="00554D00">
        <w:t xml:space="preserve"> (a)</w:t>
      </w:r>
      <w:r w:rsidR="00B53155">
        <w:t xml:space="preserve"> </w:t>
      </w:r>
      <w:r w:rsidR="00F53E73">
        <w:t xml:space="preserve">reacted to the concept of income-graduated fixed charges with confusion and distrust, </w:t>
      </w:r>
      <w:r w:rsidR="00554D00">
        <w:t>(b)</w:t>
      </w:r>
      <w:r w:rsidR="00F53E73">
        <w:t xml:space="preserve"> expected their bills to go up</w:t>
      </w:r>
      <w:r w:rsidR="00554D00">
        <w:t xml:space="preserve">, (c) wanted </w:t>
      </w:r>
      <w:r w:rsidR="006656AF">
        <w:t>3</w:t>
      </w:r>
      <w:r w:rsidR="00B52B29">
        <w:t xml:space="preserve"> to </w:t>
      </w:r>
      <w:r w:rsidR="006656AF">
        <w:t xml:space="preserve">6 months of notice before their bills increased, </w:t>
      </w:r>
      <w:r w:rsidR="00E105CC">
        <w:t xml:space="preserve">and </w:t>
      </w:r>
      <w:r w:rsidR="006656AF">
        <w:t xml:space="preserve">(d) </w:t>
      </w:r>
      <w:r w:rsidR="002B50ED">
        <w:t>need information with real examples of before and after bills.</w:t>
      </w:r>
      <w:r w:rsidR="00F326CA">
        <w:rPr>
          <w:rStyle w:val="FootnoteReference"/>
        </w:rPr>
        <w:footnoteReference w:id="190"/>
      </w:r>
      <w:r w:rsidR="002B50ED">
        <w:t xml:space="preserve"> </w:t>
      </w:r>
    </w:p>
    <w:p w:rsidR="00FD2BC5" w:rsidP="0028463E" w:rsidRDefault="00F326CA" w14:paraId="64374143" w14:textId="6DA6DC50">
      <w:pPr>
        <w:pStyle w:val="Standard"/>
      </w:pPr>
      <w:r>
        <w:t xml:space="preserve">SDG&amp;E </w:t>
      </w:r>
      <w:r w:rsidR="00B967CF">
        <w:t xml:space="preserve">hired a consultant </w:t>
      </w:r>
      <w:r w:rsidR="00FD2BC5">
        <w:t xml:space="preserve">to conduct research in 2023 </w:t>
      </w:r>
      <w:r w:rsidR="00E571F9">
        <w:t>to inform ME&amp;O about income-graduated fixed charges</w:t>
      </w:r>
      <w:r w:rsidR="00711265">
        <w:t xml:space="preserve">. The researchers found </w:t>
      </w:r>
      <w:r w:rsidR="0028463E">
        <w:t>that (a) participants assumed that a</w:t>
      </w:r>
      <w:r w:rsidR="0036200E">
        <w:t xml:space="preserve"> fixed charge</w:t>
      </w:r>
      <w:r w:rsidRPr="00FD2BC5" w:rsidR="00FD2BC5">
        <w:t xml:space="preserve"> would automatically result in higher bills</w:t>
      </w:r>
      <w:r w:rsidR="0036200E">
        <w:t xml:space="preserve">, (b) </w:t>
      </w:r>
      <w:r w:rsidR="004D5B29">
        <w:t xml:space="preserve">some participants were concerned that making increased usage more affordable is in conflict with years of conservation messaging, (c) email </w:t>
      </w:r>
      <w:r w:rsidR="00921B3E">
        <w:t xml:space="preserve">was preferred for communication, followed by direct mail, and followed by the SDG&amp;E app, (d) participants preferred to receive 3 to 6 months of notice before </w:t>
      </w:r>
      <w:r w:rsidR="00921B3E">
        <w:lastRenderedPageBreak/>
        <w:t>implementation of a fixed charge</w:t>
      </w:r>
      <w:r w:rsidR="007A20D1">
        <w:t>, and (e) a high income-based differential for fixed charges would be unfair</w:t>
      </w:r>
      <w:r w:rsidR="00FF4C90">
        <w:t>.</w:t>
      </w:r>
      <w:r w:rsidR="00CE3214">
        <w:rPr>
          <w:rStyle w:val="FootnoteReference"/>
        </w:rPr>
        <w:footnoteReference w:id="191"/>
      </w:r>
    </w:p>
    <w:p w:rsidR="00175667" w:rsidP="006A2597" w:rsidRDefault="00DC0D15" w14:paraId="7BE44012" w14:textId="7EEE9395">
      <w:pPr>
        <w:pStyle w:val="Standard"/>
      </w:pPr>
      <w:r>
        <w:t xml:space="preserve">SCE conducted a survey of </w:t>
      </w:r>
      <w:r w:rsidR="00374F1F">
        <w:t>nearly 700 residential customers about perceptions of a</w:t>
      </w:r>
      <w:r w:rsidR="00D01BBC">
        <w:t xml:space="preserve">n income-graduated </w:t>
      </w:r>
      <w:r w:rsidR="00374F1F">
        <w:t>fixed charge in 2023</w:t>
      </w:r>
      <w:r w:rsidR="00443EDA">
        <w:t xml:space="preserve">. </w:t>
      </w:r>
      <w:r w:rsidR="001E10E2">
        <w:t xml:space="preserve">The survey showed that </w:t>
      </w:r>
      <w:r w:rsidR="00C10AC0">
        <w:t>66</w:t>
      </w:r>
      <w:r w:rsidR="00C1241D">
        <w:t xml:space="preserve"> percent</w:t>
      </w:r>
      <w:r w:rsidR="00C10AC0">
        <w:t xml:space="preserve"> of customers felt that </w:t>
      </w:r>
      <w:r w:rsidR="00FE5BE7">
        <w:t>a</w:t>
      </w:r>
      <w:r w:rsidR="000B0947">
        <w:t>n income-graduated</w:t>
      </w:r>
      <w:r w:rsidR="00FE5BE7">
        <w:t xml:space="preserve"> fixed</w:t>
      </w:r>
      <w:r w:rsidR="00C10AC0">
        <w:t xml:space="preserve"> charge was</w:t>
      </w:r>
      <w:r w:rsidRPr="00175667" w:rsidR="00175667">
        <w:t xml:space="preserve"> effectively a tax</w:t>
      </w:r>
      <w:r w:rsidR="00E47D3A">
        <w:t xml:space="preserve">. </w:t>
      </w:r>
      <w:r w:rsidR="00C51AF1">
        <w:t xml:space="preserve">Participants </w:t>
      </w:r>
      <w:r w:rsidR="0055252B">
        <w:t xml:space="preserve">thought it would be unfair to make higher income customers pay higher fixed charges. </w:t>
      </w:r>
      <w:r w:rsidR="0022609D">
        <w:t>Energy conscious customers felt that they would be penalized by fixed charges.</w:t>
      </w:r>
      <w:r w:rsidR="00014664">
        <w:rPr>
          <w:rStyle w:val="FootnoteReference"/>
        </w:rPr>
        <w:footnoteReference w:id="192"/>
      </w:r>
    </w:p>
    <w:p w:rsidR="006801F2" w:rsidP="00580744" w:rsidRDefault="006801F2" w14:paraId="6EE45BF6" w14:textId="53969125">
      <w:pPr>
        <w:pStyle w:val="Standard"/>
      </w:pPr>
      <w:r>
        <w:t xml:space="preserve">The Large Utilities </w:t>
      </w:r>
      <w:r w:rsidR="009711DD">
        <w:t xml:space="preserve">proposed the following ME&amp;O </w:t>
      </w:r>
      <w:r w:rsidR="008C25F3">
        <w:t>topics and objectives</w:t>
      </w:r>
      <w:r w:rsidR="009711DD">
        <w:t>:</w:t>
      </w:r>
    </w:p>
    <w:p w:rsidR="009711DD" w:rsidP="0008492E" w:rsidRDefault="009711DD" w14:paraId="4829454C" w14:textId="77777777">
      <w:pPr>
        <w:pStyle w:val="ListBullet"/>
        <w:ind w:right="1440"/>
      </w:pPr>
      <w:r w:rsidRPr="009711DD">
        <w:t>Help customers understand that the way they have been charged for electricity will be</w:t>
      </w:r>
      <w:r>
        <w:t xml:space="preserve"> </w:t>
      </w:r>
      <w:r w:rsidRPr="009711DD">
        <w:t xml:space="preserve">changing, why and when the new structure is being applied, what the funds will be used for, how their bill may be impacted, and helpful ways to manage energy costs; </w:t>
      </w:r>
    </w:p>
    <w:p w:rsidR="009711DD" w:rsidP="0008492E" w:rsidRDefault="009711DD" w14:paraId="5B266EC5" w14:textId="77777777">
      <w:pPr>
        <w:pStyle w:val="ListBullet"/>
        <w:ind w:right="1440"/>
      </w:pPr>
      <w:r w:rsidRPr="009711DD">
        <w:t>Inform existing residential customers of their household’s income-based categorization and provide a way for customers to dispute their income bracket assignment if incorrect</w:t>
      </w:r>
      <w:r>
        <w:t>;</w:t>
      </w:r>
    </w:p>
    <w:p w:rsidR="00182DE0" w:rsidP="0008492E" w:rsidRDefault="009711DD" w14:paraId="6BD6591D" w14:textId="77777777">
      <w:pPr>
        <w:pStyle w:val="ListBullet"/>
        <w:ind w:right="1440"/>
      </w:pPr>
      <w:r w:rsidRPr="009711DD">
        <w:t>Explain how the</w:t>
      </w:r>
      <w:r w:rsidR="00182DE0">
        <w:t xml:space="preserve"> income-graduated fixed charge</w:t>
      </w:r>
      <w:r w:rsidRPr="009711DD">
        <w:t xml:space="preserve"> will be a separate line item shown on their bill rather than a change in rate design; </w:t>
      </w:r>
    </w:p>
    <w:p w:rsidR="00004E89" w:rsidP="0008492E" w:rsidRDefault="00182DE0" w14:paraId="547BB76E" w14:textId="09CE7040">
      <w:pPr>
        <w:pStyle w:val="ListBullet"/>
        <w:ind w:right="1440"/>
      </w:pPr>
      <w:r>
        <w:t>E</w:t>
      </w:r>
      <w:r w:rsidR="00004E89">
        <w:t xml:space="preserve">xplain </w:t>
      </w:r>
      <w:r w:rsidRPr="009711DD" w:rsidR="009711DD">
        <w:t xml:space="preserve">that the new </w:t>
      </w:r>
      <w:r w:rsidR="00004E89">
        <w:t>fixed</w:t>
      </w:r>
      <w:r w:rsidRPr="009711DD" w:rsidR="009711DD">
        <w:t xml:space="preserve"> charge line item on their bill had previously been embedded in their volumetric energy use charge (and how all customers’ volumetric charge</w:t>
      </w:r>
      <w:r w:rsidR="00004E89">
        <w:t>s</w:t>
      </w:r>
      <w:r w:rsidRPr="009711DD" w:rsidR="009711DD">
        <w:t xml:space="preserve"> will be going down once the fixed costs are relocated to a separate line item);</w:t>
      </w:r>
    </w:p>
    <w:p w:rsidR="00B768EA" w:rsidP="0008492E" w:rsidRDefault="009711DD" w14:paraId="5FB09178" w14:textId="72C39B2B">
      <w:pPr>
        <w:pStyle w:val="ListBullet"/>
        <w:ind w:right="1440"/>
      </w:pPr>
      <w:r w:rsidRPr="009711DD">
        <w:t xml:space="preserve">Assure low-income CARE and FERA customers that their assistance program discounts will not be affected by the </w:t>
      </w:r>
      <w:r w:rsidR="00B768EA">
        <w:lastRenderedPageBreak/>
        <w:t>fixed charge and that they may see lower bills as a result of the fixed charge;</w:t>
      </w:r>
      <w:r w:rsidR="00DC3CC2">
        <w:t xml:space="preserve"> and</w:t>
      </w:r>
    </w:p>
    <w:p w:rsidR="00E43642" w:rsidP="0008492E" w:rsidRDefault="00577F48" w14:paraId="3A667F7B" w14:textId="44DFEB4A">
      <w:pPr>
        <w:pStyle w:val="ListBullet"/>
        <w:ind w:right="1440"/>
      </w:pPr>
      <w:r>
        <w:t xml:space="preserve">Explain that the pricing structure will encourage adoption </w:t>
      </w:r>
      <w:r w:rsidR="00D1409F">
        <w:t>of electrification technologies by allowing expanded use of lower-priced, cleaner, more plentiful electricity and reduced use of fossil fuels</w:t>
      </w:r>
      <w:r w:rsidR="00F44912">
        <w:t>.</w:t>
      </w:r>
      <w:r w:rsidRPr="00D715DB" w:rsidR="00D715DB">
        <w:rPr>
          <w:vertAlign w:val="superscript"/>
        </w:rPr>
        <w:footnoteReference w:id="193"/>
      </w:r>
    </w:p>
    <w:p w:rsidR="00D715DB" w:rsidP="00580744" w:rsidRDefault="00D715DB" w14:paraId="2269B2BB" w14:textId="04EAC288">
      <w:pPr>
        <w:pStyle w:val="Standard"/>
      </w:pPr>
      <w:r>
        <w:t>The Large Utilities also shared the following lessons learned from</w:t>
      </w:r>
      <w:r w:rsidR="00807646">
        <w:t xml:space="preserve"> the transition to residential </w:t>
      </w:r>
      <w:r w:rsidR="00006E92">
        <w:t xml:space="preserve">time-of-use </w:t>
      </w:r>
      <w:r w:rsidR="00807646">
        <w:t>rates</w:t>
      </w:r>
      <w:r w:rsidR="00196356">
        <w:t xml:space="preserve"> and translation into proposed ME&amp;O strategies for income-graduated fixed charges:</w:t>
      </w:r>
    </w:p>
    <w:p w:rsidR="00E03C02" w:rsidP="0008492E" w:rsidRDefault="00F41120" w14:paraId="7251A67B" w14:textId="4DDB1B41">
      <w:pPr>
        <w:pStyle w:val="ListBullet"/>
        <w:ind w:right="1440"/>
      </w:pPr>
      <w:r w:rsidRPr="00672A29">
        <w:rPr>
          <w:b/>
          <w:bCs/>
        </w:rPr>
        <w:t>Communicate early and often with customers</w:t>
      </w:r>
      <w:r w:rsidRPr="00672A29" w:rsidR="00672A29">
        <w:rPr>
          <w:b/>
          <w:bCs/>
        </w:rPr>
        <w:t xml:space="preserve"> through multiple channels</w:t>
      </w:r>
      <w:r w:rsidR="00A4478C">
        <w:t xml:space="preserve">. Direct communications for the </w:t>
      </w:r>
      <w:r w:rsidR="00006E92">
        <w:t>time-of-use</w:t>
      </w:r>
      <w:r w:rsidR="00A4478C">
        <w:t xml:space="preserve"> transition began at least 90 days in advance of the </w:t>
      </w:r>
      <w:r w:rsidR="00006E92">
        <w:t>time-of-use</w:t>
      </w:r>
      <w:r w:rsidR="00A4478C">
        <w:t xml:space="preserve"> rate change</w:t>
      </w:r>
      <w:r w:rsidR="00672A29">
        <w:t xml:space="preserve"> and was paired with </w:t>
      </w:r>
      <w:r w:rsidR="004D7EF5">
        <w:t xml:space="preserve">outreach by community-based organizations, web-based targeted earned and paid media, and </w:t>
      </w:r>
      <w:r w:rsidR="00A135AB">
        <w:t>messaging through the Large Utilities’ channels</w:t>
      </w:r>
      <w:r w:rsidR="00A4478C">
        <w:t>. The Large Utilities propose to begin fixed charge communications</w:t>
      </w:r>
      <w:r w:rsidR="00A135AB">
        <w:t xml:space="preserve"> through </w:t>
      </w:r>
      <w:r w:rsidR="000C70CB">
        <w:t xml:space="preserve">a </w:t>
      </w:r>
      <w:r w:rsidR="00A135AB">
        <w:t>broader set of communications channels</w:t>
      </w:r>
      <w:r w:rsidR="00A4478C">
        <w:t xml:space="preserve"> at least </w:t>
      </w:r>
      <w:r w:rsidR="00D370B3">
        <w:t xml:space="preserve">six months ahead of the rate change and to begin direct notices to customers </w:t>
      </w:r>
      <w:r w:rsidR="00672A29">
        <w:t>at least 120 days before the rate change, with at least two direct notices for customers.</w:t>
      </w:r>
    </w:p>
    <w:p w:rsidR="00A135AB" w:rsidP="0008492E" w:rsidRDefault="00A452E0" w14:paraId="58BCFB65" w14:textId="519FEF9F">
      <w:pPr>
        <w:pStyle w:val="ListBullet"/>
        <w:ind w:right="1440"/>
      </w:pPr>
      <w:r>
        <w:rPr>
          <w:b/>
          <w:bCs/>
        </w:rPr>
        <w:t>Explain how the rate change will affect bills</w:t>
      </w:r>
      <w:r w:rsidRPr="00A452E0">
        <w:t>.</w:t>
      </w:r>
      <w:r>
        <w:t xml:space="preserve"> </w:t>
      </w:r>
      <w:r w:rsidR="00196356">
        <w:t xml:space="preserve">Customers eligible for the </w:t>
      </w:r>
      <w:r w:rsidR="00006E92">
        <w:t>time-of-use</w:t>
      </w:r>
      <w:r w:rsidR="00196356">
        <w:t xml:space="preserve"> rate change were provided with rate impacts. The Large Utilities propose </w:t>
      </w:r>
      <w:r w:rsidR="006D0BBE">
        <w:t xml:space="preserve">to provide </w:t>
      </w:r>
      <w:r w:rsidR="003C1B34">
        <w:t>customers with sample bill impacts based on their income tier assignment.</w:t>
      </w:r>
    </w:p>
    <w:p w:rsidR="009A2F2F" w:rsidP="0008492E" w:rsidRDefault="006B4EA3" w14:paraId="028ABF8D" w14:textId="7823B319">
      <w:pPr>
        <w:pStyle w:val="ListBullet"/>
        <w:ind w:right="1440"/>
      </w:pPr>
      <w:r>
        <w:rPr>
          <w:b/>
          <w:bCs/>
        </w:rPr>
        <w:t xml:space="preserve">Educate about </w:t>
      </w:r>
      <w:r w:rsidR="00D33DAC">
        <w:rPr>
          <w:b/>
          <w:bCs/>
        </w:rPr>
        <w:t>th</w:t>
      </w:r>
      <w:r w:rsidR="00FE7D81">
        <w:rPr>
          <w:b/>
          <w:bCs/>
        </w:rPr>
        <w:t xml:space="preserve">e </w:t>
      </w:r>
      <w:r w:rsidR="008A01A2">
        <w:rPr>
          <w:b/>
          <w:bCs/>
        </w:rPr>
        <w:t>equity and electrification</w:t>
      </w:r>
      <w:r w:rsidR="00D33DAC">
        <w:rPr>
          <w:b/>
          <w:bCs/>
        </w:rPr>
        <w:t xml:space="preserve"> </w:t>
      </w:r>
      <w:r w:rsidR="00477EE5">
        <w:rPr>
          <w:b/>
          <w:bCs/>
        </w:rPr>
        <w:t>benefits of the rate change</w:t>
      </w:r>
      <w:r w:rsidR="00477EE5">
        <w:t xml:space="preserve">. Customers’ acceptance of </w:t>
      </w:r>
      <w:r w:rsidR="00006E92">
        <w:t>time-of-use</w:t>
      </w:r>
      <w:r w:rsidR="00477EE5">
        <w:t xml:space="preserve"> rates increased when they understood the </w:t>
      </w:r>
      <w:r w:rsidR="00FE7D81">
        <w:t>clean energy and grid benefits of reducing peak usage.</w:t>
      </w:r>
      <w:r w:rsidR="00C80057">
        <w:t xml:space="preserve"> The Large Utilities proposed to explain how the previous rate structure put an unfair burden on some customers and how the new </w:t>
      </w:r>
      <w:r w:rsidR="00C80057">
        <w:lastRenderedPageBreak/>
        <w:t xml:space="preserve">structure will be more fair. </w:t>
      </w:r>
      <w:r w:rsidR="008A01A2">
        <w:t xml:space="preserve">The Large Utilities also proposed to explain how the rate change will encourage </w:t>
      </w:r>
      <w:r w:rsidR="007B43EC">
        <w:t>electrification by reducing the price per unit of energy</w:t>
      </w:r>
      <w:r w:rsidR="00B707B7">
        <w:t xml:space="preserve"> and how it will encourage the use of cleaner energy sources.</w:t>
      </w:r>
      <w:r w:rsidR="0010136D">
        <w:rPr>
          <w:rStyle w:val="FootnoteReference"/>
        </w:rPr>
        <w:footnoteReference w:id="194"/>
      </w:r>
    </w:p>
    <w:p w:rsidR="009317C0" w:rsidP="005E5838" w:rsidRDefault="0010136D" w14:paraId="3DA608F0" w14:textId="77777777">
      <w:pPr>
        <w:pStyle w:val="Standard"/>
      </w:pPr>
      <w:r>
        <w:t xml:space="preserve">The Large Utilities </w:t>
      </w:r>
      <w:r w:rsidR="002F5528">
        <w:t xml:space="preserve">proposed </w:t>
      </w:r>
      <w:r w:rsidR="009317C0">
        <w:t>the following ME&amp;O strategies:</w:t>
      </w:r>
    </w:p>
    <w:p w:rsidR="009317C0" w:rsidP="0008492E" w:rsidRDefault="009317C0" w14:paraId="7C8C2C93" w14:textId="77777777">
      <w:pPr>
        <w:pStyle w:val="ListBullet"/>
        <w:ind w:right="1440"/>
      </w:pPr>
      <w:r>
        <w:t>C</w:t>
      </w:r>
      <w:r w:rsidR="002F5528">
        <w:t>onduct additional research prior to commencing ME&amp;O activities, including</w:t>
      </w:r>
      <w:r w:rsidR="008A01DB">
        <w:t xml:space="preserve"> refining messaging language,</w:t>
      </w:r>
      <w:r w:rsidR="001543A6">
        <w:t xml:space="preserve"> identifying clear and well-received terminology, </w:t>
      </w:r>
      <w:r w:rsidR="00EA400F">
        <w:t xml:space="preserve">and </w:t>
      </w:r>
      <w:r w:rsidR="001543A6">
        <w:t>testing messaging</w:t>
      </w:r>
      <w:r w:rsidR="00EA400F">
        <w:t xml:space="preserve"> for customers by income tier and whether they have solar systems</w:t>
      </w:r>
      <w:r>
        <w:t>;</w:t>
      </w:r>
    </w:p>
    <w:p w:rsidR="007A6264" w:rsidP="0008492E" w:rsidRDefault="009317C0" w14:paraId="7D32E836" w14:textId="76BC137F">
      <w:pPr>
        <w:pStyle w:val="ListBullet"/>
        <w:ind w:right="1440"/>
      </w:pPr>
      <w:r>
        <w:t xml:space="preserve">Use </w:t>
      </w:r>
      <w:r w:rsidR="007A6264">
        <w:t>customer segmentation to create personalized, tailored communications and provide targeted messaging for sub-groups that are more likely to need specialized outreach;</w:t>
      </w:r>
    </w:p>
    <w:p w:rsidR="009317C0" w:rsidP="0008492E" w:rsidRDefault="007A6264" w14:paraId="676E235F" w14:textId="77777777">
      <w:pPr>
        <w:pStyle w:val="ListBullet"/>
        <w:ind w:right="1440"/>
      </w:pPr>
      <w:r>
        <w:t>Use a multi-touch approach with a broad range of communications channels;</w:t>
      </w:r>
      <w:r w:rsidR="009317C0">
        <w:t xml:space="preserve"> </w:t>
      </w:r>
    </w:p>
    <w:p w:rsidR="009317C0" w:rsidP="0008492E" w:rsidRDefault="007A6264" w14:paraId="4B7D7413" w14:textId="77777777">
      <w:pPr>
        <w:pStyle w:val="ListBullet"/>
        <w:ind w:right="1440"/>
      </w:pPr>
      <w:r>
        <w:t>Collaborate with community-based organizations and CCAs; and</w:t>
      </w:r>
    </w:p>
    <w:p w:rsidR="002F5528" w:rsidP="0008492E" w:rsidRDefault="007A6264" w14:paraId="08E82977" w14:textId="71A7BFFE">
      <w:pPr>
        <w:pStyle w:val="ListBullet"/>
        <w:ind w:right="1440"/>
      </w:pPr>
      <w:r>
        <w:t>Strategically integrate messaging into other marketing efforts</w:t>
      </w:r>
      <w:r w:rsidRPr="008755E4" w:rsidR="008755E4">
        <w:rPr>
          <w:vertAlign w:val="superscript"/>
        </w:rPr>
        <w:footnoteReference w:id="195"/>
      </w:r>
    </w:p>
    <w:p w:rsidR="008A01DB" w:rsidP="00580744" w:rsidRDefault="00BB3715" w14:paraId="0E5E64B8" w14:textId="6A64C369">
      <w:pPr>
        <w:pStyle w:val="Standard"/>
      </w:pPr>
      <w:r>
        <w:t xml:space="preserve">The Large Utilities proposed to conduct ME&amp;O in three phases </w:t>
      </w:r>
      <w:r w:rsidR="003A7869">
        <w:t>with the following timing</w:t>
      </w:r>
      <w:r>
        <w:t>:</w:t>
      </w:r>
    </w:p>
    <w:p w:rsidR="00BB3715" w:rsidP="0008492E" w:rsidRDefault="00F46E75" w14:paraId="523A8BDD" w14:textId="010EBF67">
      <w:pPr>
        <w:pStyle w:val="ListBullet"/>
        <w:ind w:right="1440"/>
      </w:pPr>
      <w:r>
        <w:t>At least s</w:t>
      </w:r>
      <w:r w:rsidR="00BC22F3">
        <w:t>ix months prior to implementation, begin awareness building about what, when, and why fixed charges will be implemented and where to get more information</w:t>
      </w:r>
      <w:r>
        <w:t>;</w:t>
      </w:r>
    </w:p>
    <w:p w:rsidR="00F46E75" w:rsidP="0008492E" w:rsidRDefault="00CC549A" w14:paraId="437E3FF1" w14:textId="4EDBE8A9">
      <w:pPr>
        <w:pStyle w:val="ListBullet"/>
        <w:ind w:right="1440"/>
      </w:pPr>
      <w:r>
        <w:t xml:space="preserve">Up to 180 days prior to implementation, begin providing customers with </w:t>
      </w:r>
      <w:r w:rsidR="00F46E75">
        <w:t>information about individual bill impacts, how to challenge their assigned tier, and online resources;</w:t>
      </w:r>
    </w:p>
    <w:p w:rsidR="009C501D" w:rsidP="0008492E" w:rsidRDefault="00F46E75" w14:paraId="03509F17" w14:textId="52724C00">
      <w:pPr>
        <w:pStyle w:val="ListBullet"/>
        <w:ind w:right="1440"/>
      </w:pPr>
      <w:r>
        <w:lastRenderedPageBreak/>
        <w:t xml:space="preserve">After implementation, </w:t>
      </w:r>
      <w:r w:rsidR="00DE3F44">
        <w:t>provide ongoing energy management messaging, education, and promotion of electrification.</w:t>
      </w:r>
      <w:r w:rsidRPr="008755E4" w:rsidR="008755E4">
        <w:rPr>
          <w:vertAlign w:val="superscript"/>
        </w:rPr>
        <w:footnoteReference w:id="196"/>
      </w:r>
    </w:p>
    <w:p w:rsidR="00F47887" w:rsidP="00F94016" w:rsidRDefault="00FF1C1D" w14:paraId="42D381C8" w14:textId="2218D9B7">
      <w:pPr>
        <w:pStyle w:val="Standard"/>
      </w:pPr>
      <w:r w:rsidRPr="00FF1C1D">
        <w:t>Cal Advocates and TURN/NRDC</w:t>
      </w:r>
      <w:r>
        <w:t xml:space="preserve"> agreed that the </w:t>
      </w:r>
      <w:r w:rsidR="00DE3D01">
        <w:t xml:space="preserve">ME&amp;O for income-graduated fixed charges should include explanations about how the fixed charges will </w:t>
      </w:r>
      <w:r w:rsidR="00711D5D">
        <w:t>affect customers’ bills</w:t>
      </w:r>
      <w:r w:rsidR="00FA288A">
        <w:t xml:space="preserve"> and </w:t>
      </w:r>
      <w:r w:rsidR="00D555A8">
        <w:t>incentivize electrification</w:t>
      </w:r>
      <w:r w:rsidR="00FA288A">
        <w:t xml:space="preserve">. Cal Advocates </w:t>
      </w:r>
      <w:r w:rsidR="00A31168">
        <w:t>agreed</w:t>
      </w:r>
      <w:r w:rsidR="002D608E">
        <w:t xml:space="preserve"> with the Large Utilities</w:t>
      </w:r>
      <w:r w:rsidR="00A31168">
        <w:t xml:space="preserve"> that the ME&amp;O should include information on how to move to a lower income tier</w:t>
      </w:r>
      <w:r w:rsidR="002D608E">
        <w:t>.</w:t>
      </w:r>
      <w:r w:rsidR="00F94016">
        <w:t xml:space="preserve"> TURN/NRDC additionally recommended that ME&amp;O (a) </w:t>
      </w:r>
      <w:r w:rsidRPr="00F36568" w:rsidR="00F36568">
        <w:t>make customers aware</w:t>
      </w:r>
      <w:r w:rsidR="00F36568">
        <w:t xml:space="preserve"> </w:t>
      </w:r>
      <w:r w:rsidRPr="00F36568" w:rsidR="00F36568">
        <w:t>of the existence of different rate options and the availability of rate comparison tools</w:t>
      </w:r>
      <w:r w:rsidR="00E54340">
        <w:t xml:space="preserve"> to determine which tariff is optimal for their consumption and load patterns, and (</w:t>
      </w:r>
      <w:r w:rsidR="00227207">
        <w:t>b</w:t>
      </w:r>
      <w:r w:rsidR="00E54340">
        <w:t xml:space="preserve">) </w:t>
      </w:r>
      <w:r w:rsidR="008966CB">
        <w:t>boost</w:t>
      </w:r>
      <w:r w:rsidR="000F2240">
        <w:t xml:space="preserve"> CARE and FERA</w:t>
      </w:r>
      <w:r w:rsidR="008966CB">
        <w:t xml:space="preserve"> awareness and</w:t>
      </w:r>
      <w:r w:rsidR="000F2240">
        <w:t xml:space="preserve"> </w:t>
      </w:r>
      <w:r w:rsidR="008966CB">
        <w:t>enrollment.</w:t>
      </w:r>
      <w:r w:rsidR="008B6C62">
        <w:rPr>
          <w:rStyle w:val="FootnoteReference"/>
        </w:rPr>
        <w:footnoteReference w:id="197"/>
      </w:r>
      <w:r w:rsidR="000F2240">
        <w:t xml:space="preserve"> </w:t>
      </w:r>
      <w:r w:rsidR="00227207">
        <w:t xml:space="preserve">We agree with parties that the ME&amp;O for income-graduated fixed charges should </w:t>
      </w:r>
      <w:r w:rsidR="00787685">
        <w:t>inclu</w:t>
      </w:r>
      <w:r w:rsidR="00E6536D">
        <w:t>de this additional information recommended by TURN/NRDC</w:t>
      </w:r>
      <w:r w:rsidR="007A1F9C">
        <w:t>.</w:t>
      </w:r>
    </w:p>
    <w:p w:rsidRPr="007A1F9C" w:rsidR="007A1F9C" w:rsidP="007A1F9C" w:rsidRDefault="007A1F9C" w14:paraId="38F50F76" w14:textId="5203DE0A">
      <w:pPr>
        <w:pStyle w:val="Standard"/>
      </w:pPr>
      <w:r w:rsidRPr="007A1F9C">
        <w:t>It is reasonable for the ME&amp;O for income-graduated fixed charges to address the following topics:</w:t>
      </w:r>
    </w:p>
    <w:p w:rsidRPr="007A1F9C" w:rsidR="007A1F9C" w:rsidP="0008492E" w:rsidRDefault="007A1F9C" w14:paraId="2C5F05C0" w14:textId="77777777">
      <w:pPr>
        <w:pStyle w:val="ListAlpha"/>
        <w:ind w:right="1440"/>
      </w:pPr>
      <w:r w:rsidRPr="007A1F9C">
        <w:t>When the new fixed charge will be applied;</w:t>
      </w:r>
    </w:p>
    <w:p w:rsidRPr="007A1F9C" w:rsidR="007A1F9C" w:rsidP="0008492E" w:rsidRDefault="007A1F9C" w14:paraId="546C4F18" w14:textId="77777777">
      <w:pPr>
        <w:pStyle w:val="ListAlpha"/>
        <w:ind w:right="1440"/>
      </w:pPr>
      <w:r w:rsidRPr="007A1F9C">
        <w:t>Why and how the new fixed charge will reduce volumetric rates;</w:t>
      </w:r>
    </w:p>
    <w:p w:rsidRPr="007A1F9C" w:rsidR="007A1F9C" w:rsidP="0008492E" w:rsidRDefault="004D6CE0" w14:paraId="5A233C56" w14:textId="06DC29E7">
      <w:pPr>
        <w:pStyle w:val="ListAlpha"/>
        <w:ind w:right="1440"/>
      </w:pPr>
      <w:r>
        <w:t>The amount of the fixed charge and h</w:t>
      </w:r>
      <w:r w:rsidRPr="007A1F9C" w:rsidR="007A1F9C">
        <w:t>ow the fixed charge will affect customers’ bills;</w:t>
      </w:r>
    </w:p>
    <w:p w:rsidRPr="007A1F9C" w:rsidR="007A1F9C" w:rsidP="0008492E" w:rsidRDefault="007A1F9C" w14:paraId="14CE894F" w14:textId="77777777">
      <w:pPr>
        <w:pStyle w:val="ListAlpha"/>
        <w:ind w:right="1440"/>
      </w:pPr>
      <w:r w:rsidRPr="007A1F9C">
        <w:t>How tiers will be assigned and how to move to a different income tier;</w:t>
      </w:r>
    </w:p>
    <w:p w:rsidRPr="007A1F9C" w:rsidR="007A1F9C" w:rsidP="0008492E" w:rsidRDefault="007A1F9C" w14:paraId="52765BE9" w14:textId="77777777">
      <w:pPr>
        <w:pStyle w:val="ListAlpha"/>
        <w:ind w:right="1440"/>
      </w:pPr>
      <w:r w:rsidRPr="007A1F9C">
        <w:t>Different rate options and rate comparison tools;</w:t>
      </w:r>
    </w:p>
    <w:p w:rsidRPr="007A1F9C" w:rsidR="007A1F9C" w:rsidP="0008492E" w:rsidRDefault="007A1F9C" w14:paraId="21B0ED09" w14:textId="77777777">
      <w:pPr>
        <w:pStyle w:val="ListAlpha"/>
        <w:ind w:right="1440"/>
      </w:pPr>
      <w:r w:rsidRPr="007A1F9C">
        <w:t xml:space="preserve">Options to enroll in CARE or FERA and other ways to manage energy costs; </w:t>
      </w:r>
    </w:p>
    <w:p w:rsidRPr="007A1F9C" w:rsidR="007A1F9C" w:rsidP="0008492E" w:rsidRDefault="007A1F9C" w14:paraId="1B82419F" w14:textId="77777777">
      <w:pPr>
        <w:pStyle w:val="ListAlpha"/>
        <w:ind w:right="1440"/>
      </w:pPr>
      <w:r w:rsidRPr="007A1F9C">
        <w:lastRenderedPageBreak/>
        <w:t xml:space="preserve">Assure CARE and FERA customers </w:t>
      </w:r>
      <w:r w:rsidRPr="007A1F9C" w:rsidR="00752D0F">
        <w:t xml:space="preserve">that their assistance program discounts will not be affected by the fixed charge and that they may see lower bills as a result of the fixed charge; </w:t>
      </w:r>
      <w:r w:rsidRPr="007A1F9C">
        <w:t>and</w:t>
      </w:r>
    </w:p>
    <w:p w:rsidR="007A1F9C" w:rsidP="0008492E" w:rsidRDefault="007A1F9C" w14:paraId="7AE3EECC" w14:textId="13C97263">
      <w:pPr>
        <w:pStyle w:val="ListAlpha"/>
        <w:ind w:right="1440"/>
      </w:pPr>
      <w:r w:rsidRPr="007A1F9C">
        <w:t>Why and how the fixed charge will encourage the adoption of electrification technologies and associated reduced use of fossil fuels</w:t>
      </w:r>
      <w:r w:rsidR="00ED2BF7">
        <w:t xml:space="preserve"> </w:t>
      </w:r>
      <w:r w:rsidRPr="00ED2BF7" w:rsidR="00ED2BF7">
        <w:t>and how customers can find rebates to electrify</w:t>
      </w:r>
      <w:r w:rsidRPr="007A1F9C">
        <w:t>.</w:t>
      </w:r>
    </w:p>
    <w:p w:rsidR="00DF5BA5" w:rsidP="00DF5BA5" w:rsidRDefault="00DF5BA5" w14:paraId="1E34654B" w14:textId="5A408A87">
      <w:pPr>
        <w:pStyle w:val="Standard"/>
      </w:pPr>
      <w:r>
        <w:t xml:space="preserve">The Large Utilities proposed a major departure from the overall ME&amp;O approach for </w:t>
      </w:r>
      <w:r w:rsidRPr="00DF5BA5">
        <w:t>the</w:t>
      </w:r>
      <w:r>
        <w:t xml:space="preserve"> </w:t>
      </w:r>
      <w:r w:rsidR="00006E92">
        <w:t>time-of-use</w:t>
      </w:r>
      <w:r>
        <w:t xml:space="preserve"> transition. The </w:t>
      </w:r>
      <w:r w:rsidR="00006E92">
        <w:t>time-of-use</w:t>
      </w:r>
      <w:r>
        <w:t xml:space="preserve"> transition relied on both (a) statewide ME&amp;O to provide high-level messaging through mass and targeted media and (b) utility communications to their customers about bill impacts and tools for mitigating bill impacts. The statewide ME&amp;O plan for the </w:t>
      </w:r>
      <w:r w:rsidR="00006E92">
        <w:t>time-of-use</w:t>
      </w:r>
      <w:r>
        <w:t xml:space="preserve"> transition was created through </w:t>
      </w:r>
      <w:r w:rsidRPr="00B6200E">
        <w:t>a large working group process facilitated by a third-party consultant. The Large Utilities argued that</w:t>
      </w:r>
      <w:r>
        <w:t xml:space="preserve"> statewide ME&amp;O is unnecessary </w:t>
      </w:r>
      <w:r w:rsidRPr="001D6EA6" w:rsidR="001D6EA6">
        <w:t xml:space="preserve">for income-graduated fixed charges </w:t>
      </w:r>
      <w:r>
        <w:t>and that</w:t>
      </w:r>
      <w:r w:rsidRPr="00B6200E">
        <w:t xml:space="preserve"> </w:t>
      </w:r>
      <w:r>
        <w:t>creating a</w:t>
      </w:r>
      <w:r w:rsidRPr="00B6200E">
        <w:t xml:space="preserve"> statewide ME&amp;O plan and associated working group process would result in unnecessary delays and expens</w:t>
      </w:r>
      <w:r>
        <w:t>es.</w:t>
      </w:r>
      <w:r w:rsidRPr="00AE78CF">
        <w:rPr>
          <w:vertAlign w:val="superscript"/>
        </w:rPr>
        <w:footnoteReference w:id="198"/>
      </w:r>
    </w:p>
    <w:p w:rsidR="00DF5BA5" w:rsidP="00FD3098" w:rsidRDefault="00DF5BA5" w14:paraId="1A3FD754" w14:textId="6EAE9BAD">
      <w:pPr>
        <w:pStyle w:val="Standard"/>
      </w:pPr>
      <w:r w:rsidRPr="009C501D">
        <w:t xml:space="preserve">The Large Utilities </w:t>
      </w:r>
      <w:r>
        <w:t xml:space="preserve">also </w:t>
      </w:r>
      <w:r w:rsidRPr="009C501D">
        <w:t xml:space="preserve">argued that </w:t>
      </w:r>
      <w:r>
        <w:t>the Commission should not require a</w:t>
      </w:r>
      <w:r w:rsidRPr="009C501D">
        <w:t xml:space="preserve"> working group </w:t>
      </w:r>
      <w:r>
        <w:t xml:space="preserve">process for developing utility-specific ME&amp;O plans. </w:t>
      </w:r>
      <w:r w:rsidRPr="009C501D">
        <w:t>The Large Utilities argued that one public workshop</w:t>
      </w:r>
      <w:r>
        <w:t>, held</w:t>
      </w:r>
      <w:r w:rsidRPr="009C501D">
        <w:t xml:space="preserve"> within 30 days after the final decision</w:t>
      </w:r>
      <w:r>
        <w:t xml:space="preserve">, </w:t>
      </w:r>
      <w:r w:rsidRPr="00DF5BA5">
        <w:t>would</w:t>
      </w:r>
      <w:r>
        <w:t xml:space="preserve"> be sufficient for</w:t>
      </w:r>
      <w:r w:rsidRPr="009C501D">
        <w:t xml:space="preserve"> </w:t>
      </w:r>
      <w:r>
        <w:t>sharing</w:t>
      </w:r>
      <w:r w:rsidRPr="009C501D">
        <w:t xml:space="preserve"> the details of the Large Utilities’ ME&amp;O plans</w:t>
      </w:r>
      <w:r>
        <w:t xml:space="preserve"> with stakeholders</w:t>
      </w:r>
      <w:r w:rsidRPr="009C501D">
        <w:t>.</w:t>
      </w:r>
      <w:r w:rsidRPr="00AE78CF">
        <w:t xml:space="preserve"> The Large Utilities proposed to file Tier 2 advice letters with individual ME&amp;O plans for each utility’s income-graduated fixed charges</w:t>
      </w:r>
      <w:r>
        <w:t xml:space="preserve"> after the workshop</w:t>
      </w:r>
      <w:r w:rsidRPr="00AE78CF">
        <w:t>.</w:t>
      </w:r>
      <w:r w:rsidRPr="009C501D">
        <w:rPr>
          <w:vertAlign w:val="superscript"/>
        </w:rPr>
        <w:footnoteReference w:id="199"/>
      </w:r>
      <w:r w:rsidRPr="009C501D">
        <w:t xml:space="preserve"> </w:t>
      </w:r>
    </w:p>
    <w:p w:rsidR="00631849" w:rsidP="00977475" w:rsidRDefault="00D83CC9" w14:paraId="637F901C" w14:textId="1BE946ED">
      <w:pPr>
        <w:pStyle w:val="Standard"/>
      </w:pPr>
      <w:r>
        <w:lastRenderedPageBreak/>
        <w:t>Sierra Club</w:t>
      </w:r>
      <w:r w:rsidR="007357CD">
        <w:t xml:space="preserve"> and UCAN </w:t>
      </w:r>
      <w:r w:rsidR="00631849">
        <w:t>agreed that statewide ME&amp;O should not be required for income-graduated fixed charges.</w:t>
      </w:r>
      <w:r w:rsidR="007357CD">
        <w:t xml:space="preserve"> Sierra Club argued that</w:t>
      </w:r>
      <w:r w:rsidR="00C45DF5">
        <w:t xml:space="preserve"> individual utility ME&amp;O plans would </w:t>
      </w:r>
      <w:r w:rsidR="000B1598">
        <w:t>be more efficient and contain costs. UCAN argued that</w:t>
      </w:r>
      <w:r w:rsidR="00325E99">
        <w:t xml:space="preserve"> the Commission should set general guidelines for the plans </w:t>
      </w:r>
      <w:r w:rsidR="00E80EED">
        <w:t>and provide room for utilities to customize their</w:t>
      </w:r>
      <w:r w:rsidR="000B1598">
        <w:t xml:space="preserve"> individual plans </w:t>
      </w:r>
      <w:r w:rsidR="00E80EED">
        <w:t xml:space="preserve">to better serve the </w:t>
      </w:r>
      <w:r w:rsidR="00515FB2">
        <w:t>different needs of their communities.</w:t>
      </w:r>
      <w:r w:rsidR="00515FB2">
        <w:rPr>
          <w:rStyle w:val="FootnoteReference"/>
        </w:rPr>
        <w:footnoteReference w:id="200"/>
      </w:r>
    </w:p>
    <w:p w:rsidR="00EF54DE" w:rsidP="00977475" w:rsidRDefault="007A733D" w14:paraId="43FB86D6" w14:textId="3B5A37CD">
      <w:pPr>
        <w:pStyle w:val="Standard"/>
      </w:pPr>
      <w:r>
        <w:t>Other parties argued for</w:t>
      </w:r>
      <w:r w:rsidR="00756890">
        <w:t xml:space="preserve"> statewide</w:t>
      </w:r>
      <w:r>
        <w:t xml:space="preserve"> coordination</w:t>
      </w:r>
      <w:r w:rsidR="00756890">
        <w:t xml:space="preserve"> and consistency</w:t>
      </w:r>
      <w:r>
        <w:t xml:space="preserve">. </w:t>
      </w:r>
      <w:r w:rsidR="00E5758B">
        <w:t>Cal Advocates and TURN/NRDC argued that the Commission should require a</w:t>
      </w:r>
      <w:r w:rsidR="00D26050">
        <w:t xml:space="preserve"> working group and a</w:t>
      </w:r>
      <w:r w:rsidR="00E5758B">
        <w:t xml:space="preserve"> statewide ME&amp;O plan with </w:t>
      </w:r>
      <w:r w:rsidR="004F5983">
        <w:t xml:space="preserve">consistent </w:t>
      </w:r>
      <w:r w:rsidR="00D83CC9">
        <w:t>messaging.</w:t>
      </w:r>
      <w:r w:rsidR="00D83CC9">
        <w:rPr>
          <w:rStyle w:val="FootnoteReference"/>
        </w:rPr>
        <w:footnoteReference w:id="201"/>
      </w:r>
      <w:r w:rsidR="00D83CC9">
        <w:t xml:space="preserve"> </w:t>
      </w:r>
      <w:r w:rsidRPr="00802991" w:rsidR="00C971DB">
        <w:t>CalCCA</w:t>
      </w:r>
      <w:r w:rsidR="00EF54DE">
        <w:t xml:space="preserve"> similarly</w:t>
      </w:r>
      <w:r w:rsidRPr="00802991" w:rsidR="00C971DB">
        <w:t xml:space="preserve"> recommended that the Large Utilities coordinate messaging to customers through </w:t>
      </w:r>
      <w:r w:rsidR="00C971DB">
        <w:t>a working group</w:t>
      </w:r>
      <w:r w:rsidRPr="00802991" w:rsidR="00C971DB">
        <w:t>.</w:t>
      </w:r>
      <w:r w:rsidRPr="00802991" w:rsidR="00C971DB">
        <w:rPr>
          <w:vertAlign w:val="superscript"/>
        </w:rPr>
        <w:footnoteReference w:id="202"/>
      </w:r>
      <w:r w:rsidR="00C971DB">
        <w:t xml:space="preserve"> </w:t>
      </w:r>
    </w:p>
    <w:p w:rsidR="00A71175" w:rsidP="00977475" w:rsidRDefault="00A850A4" w14:paraId="325E5C39" w14:textId="01295DD1">
      <w:pPr>
        <w:pStyle w:val="Standard"/>
      </w:pPr>
      <w:r>
        <w:t xml:space="preserve">We </w:t>
      </w:r>
      <w:r w:rsidR="002D1059">
        <w:t>agree th</w:t>
      </w:r>
      <w:r w:rsidR="00156F88">
        <w:t xml:space="preserve">at requiring a working group process to develop a statewide ME&amp;O plan </w:t>
      </w:r>
      <w:r w:rsidR="00C346C9">
        <w:t xml:space="preserve">would be time consuming and would delay the implementation of income-graduated fixed charges. We also share parties’ concerns that </w:t>
      </w:r>
      <w:r w:rsidR="00DB0C09">
        <w:t xml:space="preserve">a statewide ME&amp;O approach would </w:t>
      </w:r>
      <w:r w:rsidR="00BA26D1">
        <w:t xml:space="preserve">unnecessarily increase implementation costs. </w:t>
      </w:r>
      <w:r w:rsidRPr="00A71175" w:rsidR="00A71175">
        <w:t>However, we also share parties’ concerns that inconsistent messaging could lead to customer confusion.</w:t>
      </w:r>
    </w:p>
    <w:p w:rsidR="00133925" w:rsidP="00977475" w:rsidRDefault="00E731C9" w14:paraId="611A5550" w14:textId="000A9E0F">
      <w:pPr>
        <w:pStyle w:val="Standard"/>
      </w:pPr>
      <w:r>
        <w:t>This decision adopts a</w:t>
      </w:r>
      <w:r w:rsidR="00BC3B53">
        <w:t>n efficient</w:t>
      </w:r>
      <w:r>
        <w:t xml:space="preserve"> process </w:t>
      </w:r>
      <w:r w:rsidR="00756890">
        <w:t>for developing ME&amp;O plans</w:t>
      </w:r>
      <w:r w:rsidR="00D71EE6">
        <w:t xml:space="preserve"> </w:t>
      </w:r>
      <w:r w:rsidR="00BC3B53">
        <w:t>with consistent terminology, high-level messages, and metrics</w:t>
      </w:r>
      <w:r w:rsidR="001E12C0">
        <w:t>.</w:t>
      </w:r>
      <w:r w:rsidR="00756890">
        <w:t xml:space="preserve"> In addition, we will separately address </w:t>
      </w:r>
      <w:r w:rsidR="006E30FA">
        <w:t>oversight of ME&amp;O implementation in the evaluation and implementation working group section below.</w:t>
      </w:r>
    </w:p>
    <w:p w:rsidR="00261497" w:rsidP="00977475" w:rsidRDefault="007A1F9C" w14:paraId="3CC41B11" w14:textId="7B67C719">
      <w:pPr>
        <w:pStyle w:val="Standard"/>
      </w:pPr>
      <w:r>
        <w:t xml:space="preserve">It is reasonable to direct </w:t>
      </w:r>
      <w:r w:rsidR="008C1D2E">
        <w:t>each</w:t>
      </w:r>
      <w:r>
        <w:t xml:space="preserve"> </w:t>
      </w:r>
      <w:r w:rsidR="007636EC">
        <w:t xml:space="preserve">of the </w:t>
      </w:r>
      <w:r>
        <w:t>Large Utilit</w:t>
      </w:r>
      <w:r w:rsidR="007636EC">
        <w:t>ies</w:t>
      </w:r>
      <w:r w:rsidR="00261497">
        <w:t xml:space="preserve"> to </w:t>
      </w:r>
      <w:r w:rsidR="00BE766D">
        <w:t>develop</w:t>
      </w:r>
      <w:r w:rsidR="008C1D2E">
        <w:t xml:space="preserve"> an</w:t>
      </w:r>
      <w:r w:rsidR="00261497">
        <w:t xml:space="preserve"> ME&amp;O </w:t>
      </w:r>
      <w:r w:rsidR="008C1D2E">
        <w:t xml:space="preserve">plan </w:t>
      </w:r>
      <w:r w:rsidR="00261497">
        <w:t>for income-graduated fixed charges</w:t>
      </w:r>
      <w:r w:rsidR="00C115DB">
        <w:t xml:space="preserve"> </w:t>
      </w:r>
      <w:r w:rsidR="00F168FD">
        <w:t>through the following process</w:t>
      </w:r>
      <w:r w:rsidR="00261497">
        <w:t>:</w:t>
      </w:r>
    </w:p>
    <w:p w:rsidR="008158A8" w:rsidP="0008492E" w:rsidRDefault="008158A8" w14:paraId="45F708F4" w14:textId="132F658B">
      <w:pPr>
        <w:pStyle w:val="ListAlpha"/>
        <w:numPr>
          <w:ilvl w:val="7"/>
          <w:numId w:val="8"/>
        </w:numPr>
        <w:ind w:right="1440"/>
      </w:pPr>
      <w:r>
        <w:lastRenderedPageBreak/>
        <w:t>The Large Utilities</w:t>
      </w:r>
      <w:r w:rsidR="008E7049">
        <w:t xml:space="preserve"> shall</w:t>
      </w:r>
      <w:r>
        <w:t xml:space="preserve"> meet and confer </w:t>
      </w:r>
      <w:r w:rsidRPr="00FE4723" w:rsidR="00FE4723">
        <w:t xml:space="preserve">with each other and the Commission’s staff </w:t>
      </w:r>
      <w:r>
        <w:t xml:space="preserve">to </w:t>
      </w:r>
      <w:r w:rsidR="003950D1">
        <w:t xml:space="preserve">strive to </w:t>
      </w:r>
      <w:r>
        <w:t xml:space="preserve">develop </w:t>
      </w:r>
      <w:r w:rsidRPr="008158A8">
        <w:t xml:space="preserve">consistent </w:t>
      </w:r>
      <w:r w:rsidR="00BA7634">
        <w:t xml:space="preserve">proposed </w:t>
      </w:r>
      <w:r w:rsidRPr="008158A8">
        <w:t>terminology, high-level messages, and metrics</w:t>
      </w:r>
      <w:r w:rsidR="00BA7634">
        <w:t>.</w:t>
      </w:r>
    </w:p>
    <w:p w:rsidR="00417B6C" w:rsidP="0008492E" w:rsidRDefault="00BA7634" w14:paraId="0F688D07" w14:textId="56BDD23E">
      <w:pPr>
        <w:pStyle w:val="ListAlpha"/>
        <w:numPr>
          <w:ilvl w:val="7"/>
          <w:numId w:val="8"/>
        </w:numPr>
        <w:ind w:right="1440"/>
      </w:pPr>
      <w:r>
        <w:t xml:space="preserve">The Large Utilities </w:t>
      </w:r>
      <w:r w:rsidR="008E7049">
        <w:t xml:space="preserve">shall </w:t>
      </w:r>
      <w:r w:rsidRPr="00417B6C" w:rsidR="00417B6C">
        <w:t xml:space="preserve">invite parties to this proceeding to a workshop, consult with the Commission’s staff to plan the workshop, and jointly host a public workshop to discuss each utility’s </w:t>
      </w:r>
      <w:r w:rsidR="00A71175">
        <w:t>ME&amp;O</w:t>
      </w:r>
      <w:r w:rsidRPr="00417B6C" w:rsidR="00417B6C">
        <w:t xml:space="preserve"> plan and </w:t>
      </w:r>
      <w:r w:rsidR="0089770A">
        <w:t xml:space="preserve">proposed </w:t>
      </w:r>
      <w:r w:rsidRPr="00417B6C" w:rsidR="00417B6C">
        <w:t>terminology, high-level messages, and metrics</w:t>
      </w:r>
      <w:r w:rsidR="00417B6C">
        <w:t>.</w:t>
      </w:r>
    </w:p>
    <w:p w:rsidR="002323FD" w:rsidP="0008492E" w:rsidRDefault="008E7049" w14:paraId="5830E0F2" w14:textId="4B3777CE">
      <w:pPr>
        <w:pStyle w:val="ListAlpha"/>
        <w:numPr>
          <w:ilvl w:val="7"/>
          <w:numId w:val="8"/>
        </w:numPr>
        <w:ind w:right="1440"/>
      </w:pPr>
      <w:r>
        <w:t>Each Large Utility shall p</w:t>
      </w:r>
      <w:r w:rsidR="00334BC9">
        <w:t xml:space="preserve">ropose </w:t>
      </w:r>
      <w:r w:rsidR="004524AC">
        <w:t xml:space="preserve">an </w:t>
      </w:r>
      <w:r w:rsidR="00334BC9">
        <w:t>individual ME&amp;O plan</w:t>
      </w:r>
      <w:r w:rsidR="00BA26D1">
        <w:t xml:space="preserve"> in a Tier 3 implementation advice letter</w:t>
      </w:r>
      <w:r w:rsidR="00334BC9">
        <w:t xml:space="preserve"> </w:t>
      </w:r>
      <w:r w:rsidR="008C1D2E">
        <w:t>with the following component</w:t>
      </w:r>
      <w:r w:rsidR="00BA26D1">
        <w:t>s: (a)</w:t>
      </w:r>
      <w:r w:rsidR="00AF0E65">
        <w:t xml:space="preserve"> </w:t>
      </w:r>
      <w:r w:rsidR="008D7186">
        <w:t xml:space="preserve">proposed </w:t>
      </w:r>
      <w:r w:rsidR="00AF0E65">
        <w:t>terminology and high-level messages</w:t>
      </w:r>
      <w:r w:rsidR="00BA26D1">
        <w:t>, (b)</w:t>
      </w:r>
      <w:r w:rsidR="00784D10">
        <w:t xml:space="preserve"> </w:t>
      </w:r>
      <w:r w:rsidR="00545EFD">
        <w:t xml:space="preserve">sample </w:t>
      </w:r>
      <w:r w:rsidR="00784D10">
        <w:t xml:space="preserve">bill </w:t>
      </w:r>
      <w:r w:rsidR="00484314">
        <w:t>impact</w:t>
      </w:r>
      <w:r w:rsidR="00CE754C">
        <w:t xml:space="preserve"> templates</w:t>
      </w:r>
      <w:r w:rsidR="00784D10">
        <w:t>,</w:t>
      </w:r>
      <w:r w:rsidR="005D11EA">
        <w:t xml:space="preserve"> </w:t>
      </w:r>
      <w:r w:rsidR="00784D10">
        <w:t>(c)</w:t>
      </w:r>
      <w:r w:rsidR="00BA26D1">
        <w:t xml:space="preserve"> consistent </w:t>
      </w:r>
      <w:r w:rsidR="001B4DB3">
        <w:t xml:space="preserve">ME&amp;O </w:t>
      </w:r>
      <w:r w:rsidR="00BA26D1">
        <w:t>metrics</w:t>
      </w:r>
      <w:r w:rsidR="00D71EE6">
        <w:t xml:space="preserve">, and (d) a proposed </w:t>
      </w:r>
      <w:r w:rsidR="008D2B7B">
        <w:t>ME&amp;O implementation budget, with a line-item breakdown and justifications for the proposed cost of each individual line-item.</w:t>
      </w:r>
      <w:r w:rsidR="00476670">
        <w:rPr>
          <w:rStyle w:val="FootnoteReference"/>
        </w:rPr>
        <w:footnoteReference w:id="203"/>
      </w:r>
    </w:p>
    <w:p w:rsidR="00155BE1" w:rsidP="00F66D89" w:rsidRDefault="00F66D89" w14:paraId="24E86F92" w14:textId="42C95A5E">
      <w:pPr>
        <w:pStyle w:val="Standard"/>
      </w:pPr>
      <w:r>
        <w:t>We will discuss the deadlines for these requirements in the implementation timeline section below.</w:t>
      </w:r>
    </w:p>
    <w:p w:rsidR="00CB64EE" w:rsidP="00702F6F" w:rsidRDefault="003421D1" w14:paraId="08307F72" w14:textId="30315B46">
      <w:pPr>
        <w:pStyle w:val="Heading2"/>
      </w:pPr>
      <w:bookmarkStart w:name="_Toc160790049" w:id="42"/>
      <w:r>
        <w:t xml:space="preserve">Adjustments </w:t>
      </w:r>
      <w:r w:rsidR="00BF7959">
        <w:t>to Address Revenue Imbalances</w:t>
      </w:r>
      <w:bookmarkEnd w:id="42"/>
    </w:p>
    <w:p w:rsidR="00BF7959" w:rsidP="00BF7959" w:rsidRDefault="00BF7959" w14:paraId="746BE011" w14:textId="1E8E2AB6">
      <w:pPr>
        <w:pStyle w:val="Standard"/>
      </w:pPr>
      <w:r>
        <w:t>The Large Utilities and Cal Advocates asserted that income-graduated fixed charges have the potential to under- or over-collect revenues compared to projected revenues. Cal Advocates asserted that placing a significant number of customers in the wrong tier could cause the under- or over-collection of revenues. The Large Utilities asserted that revenue imbalances could also be caused by changes to the actual number of customers who fall into each income-graduation tier compared to forecasts.</w:t>
      </w:r>
      <w:r>
        <w:rPr>
          <w:rStyle w:val="FootnoteReference"/>
        </w:rPr>
        <w:footnoteReference w:id="204"/>
      </w:r>
      <w:r>
        <w:t xml:space="preserve"> We agree that income-graduated fixed charges may under- or over-collect revenues compared to projected revenues.</w:t>
      </w:r>
    </w:p>
    <w:p w:rsidRPr="00CB64EE" w:rsidR="00CB64EE" w:rsidP="002B0FB5" w:rsidRDefault="00CB64EE" w14:paraId="37F15139" w14:textId="2607B395">
      <w:pPr>
        <w:pStyle w:val="Standard"/>
      </w:pPr>
      <w:r w:rsidRPr="00CB64EE">
        <w:lastRenderedPageBreak/>
        <w:t>Generally, the Large Utilities propose</w:t>
      </w:r>
      <w:r w:rsidR="00252C3D">
        <w:t xml:space="preserve"> revenue requirement change</w:t>
      </w:r>
      <w:r w:rsidR="002B0FB5">
        <w:t>s through General Rate Case Phase 1 proceedings and</w:t>
      </w:r>
      <w:r w:rsidRPr="00CB64EE">
        <w:t xml:space="preserve"> rate design changes through General Rate Case Phase 2 proceedings once every </w:t>
      </w:r>
      <w:r w:rsidR="00800783">
        <w:t>several years</w:t>
      </w:r>
      <w:r w:rsidRPr="00CB64EE">
        <w:t xml:space="preserve">. </w:t>
      </w:r>
      <w:r w:rsidR="00F15F0D">
        <w:t>In addition, the</w:t>
      </w:r>
      <w:r w:rsidRPr="00F15F0D" w:rsidR="00F15F0D">
        <w:t xml:space="preserve"> Large Utilities </w:t>
      </w:r>
      <w:r w:rsidR="00F15F0D">
        <w:t>each file a</w:t>
      </w:r>
      <w:r w:rsidR="00800783">
        <w:t>n annual</w:t>
      </w:r>
      <w:r w:rsidR="00F15F0D">
        <w:t xml:space="preserve"> </w:t>
      </w:r>
      <w:r w:rsidRPr="0033726B" w:rsidR="00F15F0D">
        <w:t>year-end Consolidated Revenue Requirement and Rate Change advice</w:t>
      </w:r>
      <w:r w:rsidRPr="00F15F0D" w:rsidR="00F15F0D">
        <w:t xml:space="preserve"> </w:t>
      </w:r>
      <w:r w:rsidRPr="0033726B" w:rsidR="00F15F0D">
        <w:t xml:space="preserve">letter </w:t>
      </w:r>
      <w:r w:rsidR="00F15F0D">
        <w:t>as</w:t>
      </w:r>
      <w:r w:rsidRPr="0033726B" w:rsidR="00F15F0D">
        <w:t xml:space="preserve"> directed in Resolution E-5217 </w:t>
      </w:r>
      <w:r w:rsidRPr="00F15F0D" w:rsidR="00F15F0D">
        <w:t>(Annual True-Up Advice Letter)</w:t>
      </w:r>
      <w:r w:rsidR="00F15F0D">
        <w:t xml:space="preserve"> to </w:t>
      </w:r>
      <w:r w:rsidR="00531AD4">
        <w:t xml:space="preserve">implement rate changes </w:t>
      </w:r>
      <w:r w:rsidR="00C17647">
        <w:t xml:space="preserve">and </w:t>
      </w:r>
      <w:r w:rsidR="00531AD4">
        <w:t>address revenue imbalances in certain balancing account</w:t>
      </w:r>
      <w:r w:rsidR="00415150">
        <w:t>s</w:t>
      </w:r>
      <w:r w:rsidR="00531AD4">
        <w:t>.</w:t>
      </w:r>
    </w:p>
    <w:p w:rsidR="00CF521C" w:rsidP="00CF521C" w:rsidRDefault="00477CB0" w14:paraId="60E4B43C" w14:textId="430D53E8">
      <w:pPr>
        <w:pStyle w:val="Standard"/>
      </w:pPr>
      <w:r>
        <w:t xml:space="preserve">The Large Utilities proposed to </w:t>
      </w:r>
      <w:r w:rsidR="0017230C">
        <w:t xml:space="preserve">true-up </w:t>
      </w:r>
      <w:r w:rsidR="00F550B1">
        <w:t xml:space="preserve">income-graduated fixed charge </w:t>
      </w:r>
      <w:r w:rsidR="0017230C">
        <w:t xml:space="preserve">revenue imbalances </w:t>
      </w:r>
      <w:r w:rsidR="00647FAE">
        <w:t xml:space="preserve">using the </w:t>
      </w:r>
      <w:r w:rsidR="00A62416">
        <w:t>Annual True</w:t>
      </w:r>
      <w:r w:rsidR="004B52B6">
        <w:t>-</w:t>
      </w:r>
      <w:r w:rsidR="00A62416">
        <w:t>Up</w:t>
      </w:r>
      <w:r w:rsidR="004B52B6">
        <w:t xml:space="preserve"> Advice Letter</w:t>
      </w:r>
      <w:r w:rsidR="00647FAE">
        <w:t xml:space="preserve"> process</w:t>
      </w:r>
      <w:r w:rsidR="004B52B6">
        <w:t xml:space="preserve">. The Large Utilities proposed to use existing revenue balancing accounts to record the revenue over- and under-collections </w:t>
      </w:r>
      <w:r w:rsidRPr="0033726B" w:rsidR="0033726B">
        <w:t xml:space="preserve">throughout the year </w:t>
      </w:r>
      <w:r w:rsidR="004C577F">
        <w:t xml:space="preserve">and use the Annual True-Up Advice Letter to apply over-collections to reduce the next year’s fixed charge revenue requirement and </w:t>
      </w:r>
      <w:r w:rsidR="00CF521C">
        <w:t xml:space="preserve">apply under-collections to </w:t>
      </w:r>
      <w:r w:rsidRPr="0033726B" w:rsidR="0033726B">
        <w:t>increase the subsequent year’s fixed charge revenue</w:t>
      </w:r>
      <w:r w:rsidR="00CF521C">
        <w:t xml:space="preserve"> </w:t>
      </w:r>
      <w:r w:rsidRPr="0033726B" w:rsidR="0033726B">
        <w:t xml:space="preserve">requirement. </w:t>
      </w:r>
    </w:p>
    <w:p w:rsidR="00066187" w:rsidP="00111B68" w:rsidRDefault="005758E4" w14:paraId="68865D3C" w14:textId="2DE6FB28">
      <w:pPr>
        <w:pStyle w:val="Standard"/>
      </w:pPr>
      <w:r>
        <w:t xml:space="preserve">TURN/NRDC </w:t>
      </w:r>
      <w:r w:rsidR="00066187">
        <w:t xml:space="preserve">supported the use of the Annual True-Up Advice Letter process and additionally proposed </w:t>
      </w:r>
      <w:r w:rsidR="001C20CB">
        <w:t xml:space="preserve">to </w:t>
      </w:r>
      <w:r w:rsidR="00111B68">
        <w:t xml:space="preserve">adjust the income-graduated fixed charges each year through the Large Utilities’ </w:t>
      </w:r>
      <w:r w:rsidRPr="00111B68" w:rsidR="00111B68">
        <w:t>Energy Resource Recovery Account applications</w:t>
      </w:r>
      <w:r w:rsidR="00111B68">
        <w:t xml:space="preserve"> with the goal of </w:t>
      </w:r>
      <w:r w:rsidRPr="001C20CB" w:rsidR="001C20CB">
        <w:t>limiting volumetric rate</w:t>
      </w:r>
      <w:r w:rsidR="00111B68">
        <w:t xml:space="preserve"> </w:t>
      </w:r>
      <w:r w:rsidRPr="001C20CB" w:rsidR="001C20CB">
        <w:t>increases to no higher than the Consumer Price Index (CPI).</w:t>
      </w:r>
      <w:r w:rsidR="006A4EAB">
        <w:rPr>
          <w:rStyle w:val="FootnoteReference"/>
        </w:rPr>
        <w:footnoteReference w:id="205"/>
      </w:r>
    </w:p>
    <w:p w:rsidR="00883578" w:rsidP="00CE5F82" w:rsidRDefault="0027626D" w14:paraId="63D35813" w14:textId="35506E52">
      <w:pPr>
        <w:pStyle w:val="Standard"/>
      </w:pPr>
      <w:r>
        <w:t>SEIA opposed</w:t>
      </w:r>
      <w:r w:rsidR="005B4159">
        <w:t xml:space="preserve"> both proposals to make</w:t>
      </w:r>
      <w:r>
        <w:t xml:space="preserve"> annual adjustments to fixed charges, arguing that </w:t>
      </w:r>
      <w:r w:rsidR="000E2784">
        <w:t xml:space="preserve">fixed charges should remain </w:t>
      </w:r>
      <w:r w:rsidR="00CE5F82">
        <w:t>relatively stable over time, similar to fixed monthly charges for other utility or subscription services.</w:t>
      </w:r>
      <w:r w:rsidR="005B4159">
        <w:t xml:space="preserve"> SEIA argued that the TURN/NRDC proposal </w:t>
      </w:r>
      <w:r w:rsidR="00B678B0">
        <w:t xml:space="preserve">was the most extreme and was likely to </w:t>
      </w:r>
      <w:r w:rsidR="00B678B0">
        <w:lastRenderedPageBreak/>
        <w:t xml:space="preserve">lead to “explosive” </w:t>
      </w:r>
      <w:r w:rsidR="00C744CF">
        <w:t>increases to the income-graduated fixed charges</w:t>
      </w:r>
      <w:r w:rsidR="00657A1F">
        <w:t xml:space="preserve"> if rate increases</w:t>
      </w:r>
      <w:r w:rsidR="004A56F1">
        <w:t xml:space="preserve"> are much higher than inflation rates.</w:t>
      </w:r>
      <w:r w:rsidR="004A56F1">
        <w:rPr>
          <w:rStyle w:val="FootnoteReference"/>
        </w:rPr>
        <w:footnoteReference w:id="206"/>
      </w:r>
    </w:p>
    <w:p w:rsidR="00456FFD" w:rsidP="00CE5F82" w:rsidRDefault="00D07589" w14:paraId="05DF4C51" w14:textId="01A48AE4">
      <w:pPr>
        <w:pStyle w:val="Standard"/>
      </w:pPr>
      <w:r>
        <w:t>We are concerned that</w:t>
      </w:r>
      <w:r w:rsidR="00207661">
        <w:t xml:space="preserve"> T</w:t>
      </w:r>
      <w:r w:rsidR="00F11F59">
        <w:t xml:space="preserve">URN/NRDC’s proposal </w:t>
      </w:r>
      <w:r w:rsidRPr="00A71175" w:rsidR="00A71175">
        <w:t xml:space="preserve">to address revenue imbalances </w:t>
      </w:r>
      <w:r w:rsidR="00F11F59">
        <w:t xml:space="preserve">could result in substantial increases to income-graduated fixed charges without </w:t>
      </w:r>
      <w:r w:rsidR="00D0650B">
        <w:t xml:space="preserve">further consideration in this proceeding about the design and role of income-graduated fixed charges. </w:t>
      </w:r>
    </w:p>
    <w:p w:rsidR="00307181" w:rsidP="00CB27FD" w:rsidRDefault="00CA428E" w14:paraId="7A5FAEFD" w14:textId="58A9507E">
      <w:pPr>
        <w:pStyle w:val="Standard"/>
      </w:pPr>
      <w:r>
        <w:t>The</w:t>
      </w:r>
      <w:r w:rsidR="00D0650B">
        <w:t xml:space="preserve"> Large Utilities’ proposal</w:t>
      </w:r>
      <w:r>
        <w:t xml:space="preserve"> to </w:t>
      </w:r>
      <w:r w:rsidR="00D44D43">
        <w:t>record revenue imbalances in existing balancing accounts and</w:t>
      </w:r>
      <w:r>
        <w:t xml:space="preserve"> use the </w:t>
      </w:r>
      <w:r w:rsidRPr="00CA428E">
        <w:t>Annual True-Up Advice Letter</w:t>
      </w:r>
      <w:r w:rsidR="00365BF8">
        <w:t xml:space="preserve"> </w:t>
      </w:r>
      <w:r>
        <w:t xml:space="preserve">to address </w:t>
      </w:r>
      <w:r w:rsidR="004D3D60">
        <w:t>revenue imbalances</w:t>
      </w:r>
      <w:r w:rsidR="00D0650B">
        <w:t xml:space="preserve"> is aligned with standard ratemaking practices and </w:t>
      </w:r>
      <w:r w:rsidR="00E6716A">
        <w:t xml:space="preserve">is designed to account for electric </w:t>
      </w:r>
      <w:r w:rsidR="00415150">
        <w:t>revenue</w:t>
      </w:r>
      <w:r w:rsidR="00E6716A">
        <w:t xml:space="preserve"> forecasting errors. </w:t>
      </w:r>
      <w:r w:rsidR="004D3D60">
        <w:t xml:space="preserve">However, </w:t>
      </w:r>
      <w:r>
        <w:t>w</w:t>
      </w:r>
      <w:r w:rsidR="004D3D60">
        <w:t xml:space="preserve">e </w:t>
      </w:r>
      <w:r w:rsidR="00344A6A">
        <w:t>have concerns about using a Tier 2 advice letter process to potentially increase th</w:t>
      </w:r>
      <w:r w:rsidR="00C10DCD">
        <w:t xml:space="preserve">e revenue requirement for </w:t>
      </w:r>
      <w:r w:rsidR="00344A6A">
        <w:t>income-graduated fixed charges.</w:t>
      </w:r>
      <w:r w:rsidRPr="00A71175" w:rsidR="00A71175">
        <w:t xml:space="preserve"> </w:t>
      </w:r>
      <w:bookmarkStart w:name="_Hlk161735217" w:id="43"/>
      <w:r w:rsidR="00CB27FD">
        <w:t xml:space="preserve">Instead, we will direct the Large Utilities to use the Annual True-Up Advice Letter process to propose </w:t>
      </w:r>
      <w:r w:rsidRPr="00CB27FD" w:rsidR="00CB27FD">
        <w:t>how to modify distribution rates</w:t>
      </w:r>
      <w:r w:rsidR="00CB27FD">
        <w:t xml:space="preserve"> to address revenue imbalances</w:t>
      </w:r>
      <w:bookmarkEnd w:id="43"/>
      <w:r w:rsidR="00CB27FD">
        <w:t xml:space="preserve">. </w:t>
      </w:r>
      <w:r w:rsidRPr="00A71175" w:rsidR="00A71175">
        <w:t>We will also require the Large Utilities to create new distribution balancing accounts (rather than use existing accounts) to record thes</w:t>
      </w:r>
      <w:r w:rsidR="00A71175">
        <w:t>e</w:t>
      </w:r>
      <w:r w:rsidRPr="00A71175" w:rsidR="00A71175">
        <w:t xml:space="preserve"> imbalances to increase transparency.</w:t>
      </w:r>
    </w:p>
    <w:p w:rsidR="007957AB" w:rsidP="00662290" w:rsidRDefault="0094023F" w14:paraId="347E0AE7" w14:textId="59E0653A">
      <w:pPr>
        <w:pStyle w:val="Standard"/>
      </w:pPr>
      <w:r>
        <w:t xml:space="preserve">It is reasonable </w:t>
      </w:r>
      <w:r w:rsidR="00662290">
        <w:t xml:space="preserve">for each of the Large Utilities to </w:t>
      </w:r>
      <w:r w:rsidR="00D44D43">
        <w:t xml:space="preserve">(a) </w:t>
      </w:r>
      <w:r w:rsidRPr="00A71175" w:rsidR="00A71175">
        <w:t>establish a new distribution balancing account</w:t>
      </w:r>
      <w:r w:rsidR="00A71175">
        <w:t xml:space="preserve"> </w:t>
      </w:r>
      <w:r w:rsidRPr="00A71175" w:rsidR="00A71175">
        <w:t xml:space="preserve">(Income Graduated Fixed Charge Balancing Account) to </w:t>
      </w:r>
      <w:r w:rsidR="00D44D43">
        <w:t xml:space="preserve">record over- or under-collections of revenues </w:t>
      </w:r>
      <w:r w:rsidR="00A94B3E">
        <w:t xml:space="preserve">compared to projected revenues </w:t>
      </w:r>
      <w:r w:rsidR="00D44D43">
        <w:t>from income-graduated fixed charges</w:t>
      </w:r>
      <w:r w:rsidR="00790C3C">
        <w:t xml:space="preserve">, </w:t>
      </w:r>
      <w:r w:rsidR="00D44D43">
        <w:t xml:space="preserve">and (b) </w:t>
      </w:r>
      <w:r w:rsidR="00662290">
        <w:t>propose in each</w:t>
      </w:r>
      <w:r w:rsidR="006B1D79">
        <w:t xml:space="preserve"> Annual True-Up Advice Letter </w:t>
      </w:r>
      <w:r w:rsidR="00662290">
        <w:t xml:space="preserve">how to modify </w:t>
      </w:r>
      <w:r w:rsidR="00A71175">
        <w:t xml:space="preserve">distribution </w:t>
      </w:r>
      <w:r w:rsidR="00662290">
        <w:t xml:space="preserve">rates to account for over- or </w:t>
      </w:r>
      <w:r w:rsidR="00610A70">
        <w:t xml:space="preserve">under-collections of </w:t>
      </w:r>
      <w:r w:rsidR="005C0AAB">
        <w:t xml:space="preserve">revenues by </w:t>
      </w:r>
      <w:r w:rsidR="00610A70">
        <w:t xml:space="preserve">the </w:t>
      </w:r>
      <w:r>
        <w:t xml:space="preserve">income-graduated fixed charges compared to </w:t>
      </w:r>
      <w:r w:rsidR="00307EC5">
        <w:t xml:space="preserve">projected revenues. </w:t>
      </w:r>
    </w:p>
    <w:p w:rsidR="007957AB" w:rsidP="00702F6F" w:rsidRDefault="007957AB" w14:paraId="62750407" w14:textId="6401BAC6">
      <w:pPr>
        <w:pStyle w:val="Heading2"/>
      </w:pPr>
      <w:bookmarkStart w:name="_Toc160790050" w:id="44"/>
      <w:r>
        <w:lastRenderedPageBreak/>
        <w:t>Evaluation</w:t>
      </w:r>
      <w:r w:rsidR="007E71F1">
        <w:t xml:space="preserve"> and Implementation Working Group</w:t>
      </w:r>
      <w:bookmarkEnd w:id="44"/>
    </w:p>
    <w:p w:rsidR="00752E5E" w:rsidP="00496A0F" w:rsidRDefault="00635583" w14:paraId="1EC30420" w14:textId="04B60165">
      <w:pPr>
        <w:pStyle w:val="Standard"/>
      </w:pPr>
      <w:r>
        <w:t>CforAT</w:t>
      </w:r>
      <w:r w:rsidR="003723B6">
        <w:t xml:space="preserve">, </w:t>
      </w:r>
      <w:r w:rsidR="005C038A">
        <w:t>Cal Advocate</w:t>
      </w:r>
      <w:r>
        <w:t>s</w:t>
      </w:r>
      <w:r w:rsidR="003723B6">
        <w:t>,</w:t>
      </w:r>
      <w:r w:rsidR="00CF1476">
        <w:t xml:space="preserve"> UCAN,</w:t>
      </w:r>
      <w:r w:rsidR="003723B6">
        <w:t xml:space="preserve"> and the Large Utilities</w:t>
      </w:r>
      <w:r w:rsidR="00913CBA">
        <w:t xml:space="preserve"> each</w:t>
      </w:r>
      <w:r w:rsidR="003723B6">
        <w:t xml:space="preserve"> </w:t>
      </w:r>
      <w:r w:rsidR="00DA2880">
        <w:t xml:space="preserve">proposed </w:t>
      </w:r>
      <w:r w:rsidR="00896CEE">
        <w:t xml:space="preserve">informal processes for </w:t>
      </w:r>
      <w:r w:rsidR="00555B22">
        <w:t xml:space="preserve">assessing </w:t>
      </w:r>
      <w:r w:rsidR="00913CBA">
        <w:t xml:space="preserve">income-graduated fixed charges and informing the development of </w:t>
      </w:r>
      <w:r w:rsidR="00773F3B">
        <w:t xml:space="preserve">improvements to </w:t>
      </w:r>
      <w:r w:rsidR="00913CBA">
        <w:t>income-graduated fixed charges.</w:t>
      </w:r>
      <w:r w:rsidR="00766DEE">
        <w:t xml:space="preserve"> </w:t>
      </w:r>
      <w:r w:rsidR="009055A8">
        <w:t xml:space="preserve">The Large Utilities </w:t>
      </w:r>
      <w:r w:rsidR="004258B5">
        <w:t>proposed to regularly report metrics</w:t>
      </w:r>
      <w:r w:rsidR="00983A1D">
        <w:t xml:space="preserve"> to a working group on a quarterly basis</w:t>
      </w:r>
      <w:r w:rsidR="00A114B0">
        <w:t>. The Large Utilities argued that extensive new evaluation plans are not needed for income</w:t>
      </w:r>
      <w:r w:rsidR="00B950DF">
        <w:t>-</w:t>
      </w:r>
      <w:r w:rsidR="00A114B0">
        <w:t xml:space="preserve">graduated fixed charges </w:t>
      </w:r>
      <w:r w:rsidR="00F31158">
        <w:t>that</w:t>
      </w:r>
      <w:r w:rsidR="00A114B0">
        <w:t xml:space="preserve"> rely on the existing CARE and FERA income-verification processes and </w:t>
      </w:r>
      <w:r w:rsidR="00F31158">
        <w:t xml:space="preserve">that </w:t>
      </w:r>
      <w:r w:rsidR="00A114B0">
        <w:t xml:space="preserve">will not require additional income data collection or </w:t>
      </w:r>
      <w:r w:rsidR="00496A0F">
        <w:t xml:space="preserve">other complex rate or program elements. </w:t>
      </w:r>
      <w:r w:rsidRPr="00496A0F" w:rsidR="00496A0F">
        <w:t xml:space="preserve">CforAT similarly argued that the Commission should not invest a lot of resources into evaluating income-graduated fixed charges </w:t>
      </w:r>
      <w:r w:rsidR="00C577B4">
        <w:t>that do</w:t>
      </w:r>
      <w:r w:rsidRPr="00496A0F" w:rsidR="00496A0F">
        <w:t xml:space="preserve"> not have separate tiers for moderate- and high-income customers</w:t>
      </w:r>
      <w:r w:rsidR="00496A0F">
        <w:t xml:space="preserve">. </w:t>
      </w:r>
      <w:r w:rsidR="001A1691">
        <w:t xml:space="preserve">Cal Advocates </w:t>
      </w:r>
      <w:r w:rsidR="00CF1476">
        <w:t xml:space="preserve">and UCAN </w:t>
      </w:r>
      <w:r w:rsidR="00E51146">
        <w:t xml:space="preserve">opposed an independent evaluator for income-graduated fixed charges and supported </w:t>
      </w:r>
      <w:r w:rsidR="00E13F5E">
        <w:t>regular reporting of metrics by the Large Utilities</w:t>
      </w:r>
      <w:r w:rsidR="000D0E18">
        <w:t>.</w:t>
      </w:r>
      <w:r w:rsidR="000D0E18">
        <w:rPr>
          <w:rStyle w:val="FootnoteReference"/>
        </w:rPr>
        <w:footnoteReference w:id="207"/>
      </w:r>
    </w:p>
    <w:p w:rsidR="00E13F5E" w:rsidP="00496A0F" w:rsidRDefault="00BF77AC" w14:paraId="2E361227" w14:textId="09E48182">
      <w:pPr>
        <w:pStyle w:val="Standard"/>
      </w:pPr>
      <w:r>
        <w:t xml:space="preserve">SEIA </w:t>
      </w:r>
      <w:r w:rsidR="009B3F2D">
        <w:t xml:space="preserve">supported the use of a working group for evaluating </w:t>
      </w:r>
      <w:r w:rsidR="000A5350">
        <w:t xml:space="preserve">income-graduated fixed charges but also advocated for hiring a third-party evaluation contractor. </w:t>
      </w:r>
      <w:r w:rsidR="00593E67">
        <w:t xml:space="preserve">SEIA argued that the Large Utilities should not be responsible for evaluating the </w:t>
      </w:r>
      <w:r w:rsidR="005E3EC9">
        <w:t>performance and merits of income-graduated fixed charges because t</w:t>
      </w:r>
      <w:r w:rsidR="00BA33FB">
        <w:t>he Large Utilities have shown a preference for larger fixed charges and will not be objective.</w:t>
      </w:r>
    </w:p>
    <w:p w:rsidR="00341575" w:rsidP="00496A0F" w:rsidRDefault="00FC2DFB" w14:paraId="4D89F560" w14:textId="49CF6273">
      <w:pPr>
        <w:pStyle w:val="Standard"/>
      </w:pPr>
      <w:r>
        <w:t>We agree that a working group</w:t>
      </w:r>
      <w:r w:rsidR="00A76531">
        <w:t xml:space="preserve"> (Implementation Working Group)</w:t>
      </w:r>
      <w:r>
        <w:t xml:space="preserve"> should evaluate the </w:t>
      </w:r>
      <w:r w:rsidR="00AF601B">
        <w:t xml:space="preserve">Large Utilities’ </w:t>
      </w:r>
      <w:r>
        <w:t>income-graduated fixed charges</w:t>
      </w:r>
      <w:r w:rsidR="00AF5D5A">
        <w:t xml:space="preserve">. This approach </w:t>
      </w:r>
      <w:r w:rsidR="00062D5B">
        <w:t xml:space="preserve">addresses parties’ concerns about efficient use of resources as well as SEIA’s concerns about preventing a conflict of interest by the Large Utilities. </w:t>
      </w:r>
      <w:r w:rsidR="004F4ACD">
        <w:t xml:space="preserve">The </w:t>
      </w:r>
      <w:r w:rsidR="00A76531">
        <w:lastRenderedPageBreak/>
        <w:t>Implementation W</w:t>
      </w:r>
      <w:r w:rsidR="004F4ACD">
        <w:t xml:space="preserve">orking </w:t>
      </w:r>
      <w:r w:rsidR="00A76531">
        <w:t>G</w:t>
      </w:r>
      <w:r w:rsidR="004F4ACD">
        <w:t xml:space="preserve">roup could also be used to </w:t>
      </w:r>
      <w:r w:rsidR="00A76531">
        <w:t>provide feedback to the Commission’s staff about implementation concerns and potential solutions.</w:t>
      </w:r>
    </w:p>
    <w:p w:rsidR="00E157B2" w:rsidP="00A24D59" w:rsidRDefault="00F805DC" w14:paraId="1F1FC92C" w14:textId="3A8C72A8">
      <w:pPr>
        <w:pStyle w:val="Standard"/>
      </w:pPr>
      <w:r>
        <w:t xml:space="preserve">The Large Utilities </w:t>
      </w:r>
      <w:r w:rsidR="000E4118">
        <w:t>shall</w:t>
      </w:r>
      <w:r w:rsidR="003D6BC3">
        <w:t xml:space="preserve"> (a)</w:t>
      </w:r>
      <w:r>
        <w:t xml:space="preserve"> report metrics on income-graduated fixed charges </w:t>
      </w:r>
      <w:r w:rsidR="005E14A2">
        <w:t>and associated ME&amp;O efforts within 30 days of each calendar quarter</w:t>
      </w:r>
      <w:r w:rsidR="004321D1">
        <w:t xml:space="preserve"> to the service list of this proceeding</w:t>
      </w:r>
      <w:r w:rsidR="003D6BC3">
        <w:t>,</w:t>
      </w:r>
      <w:r w:rsidR="00F263B4">
        <w:t xml:space="preserve"> and</w:t>
      </w:r>
      <w:r w:rsidR="003D6BC3">
        <w:t xml:space="preserve"> (b) present metrics and lessons learned from income-graduated fixed charges and associated ME&amp;O efforts </w:t>
      </w:r>
      <w:r w:rsidR="00F263B4">
        <w:t>to the Implementation Working Group at least once per calendar quarter</w:t>
      </w:r>
      <w:r w:rsidR="005E14A2">
        <w:t>.</w:t>
      </w:r>
      <w:r w:rsidR="004321D1">
        <w:t xml:space="preserve"> </w:t>
      </w:r>
    </w:p>
    <w:p w:rsidR="00A76531" w:rsidP="00A24D59" w:rsidRDefault="00454AA8" w14:paraId="3F30BA14" w14:textId="1AA85A9B">
      <w:pPr>
        <w:pStyle w:val="Standard"/>
      </w:pPr>
      <w:r>
        <w:t>The Implementation Working Group will be</w:t>
      </w:r>
      <w:r w:rsidRPr="00E157B2">
        <w:t xml:space="preserve"> convened and facilitated by the Commission’s staff</w:t>
      </w:r>
      <w:r>
        <w:t xml:space="preserve">. </w:t>
      </w:r>
      <w:r w:rsidR="00341575">
        <w:t>The Implementation Working Group</w:t>
      </w:r>
      <w:r w:rsidR="00E157B2">
        <w:t xml:space="preserve"> </w:t>
      </w:r>
      <w:r w:rsidR="007F1F3F">
        <w:t>shall have the following scope of work</w:t>
      </w:r>
      <w:r w:rsidR="007C2A2C">
        <w:t xml:space="preserve"> relating to </w:t>
      </w:r>
      <w:r w:rsidR="004B4EA9">
        <w:t xml:space="preserve">assessing and </w:t>
      </w:r>
      <w:r w:rsidR="007C2A2C">
        <w:t>evaluating income-graduated fixed charges</w:t>
      </w:r>
      <w:r w:rsidR="007F1F3F">
        <w:t xml:space="preserve">: (a) </w:t>
      </w:r>
      <w:r w:rsidR="00EB567E">
        <w:t>identify problems with implementation and ME&amp;O efforts</w:t>
      </w:r>
      <w:r w:rsidR="00301F3E">
        <w:t xml:space="preserve"> and suggest solutions</w:t>
      </w:r>
      <w:r w:rsidR="00F24568">
        <w:t xml:space="preserve"> at meetings</w:t>
      </w:r>
      <w:r w:rsidR="00301F3E">
        <w:t xml:space="preserve">, </w:t>
      </w:r>
      <w:r w:rsidR="00F33228">
        <w:t xml:space="preserve">and </w:t>
      </w:r>
      <w:r w:rsidR="00301F3E">
        <w:t xml:space="preserve">(b) </w:t>
      </w:r>
      <w:r w:rsidR="00592782">
        <w:t>p</w:t>
      </w:r>
      <w:r w:rsidR="004C74A8">
        <w:t xml:space="preserve">rovide </w:t>
      </w:r>
      <w:r w:rsidR="00592782">
        <w:t xml:space="preserve">written </w:t>
      </w:r>
      <w:r w:rsidR="00301F3E">
        <w:t xml:space="preserve">recommendations to the Commission’s staff about how </w:t>
      </w:r>
      <w:r w:rsidR="00F33228">
        <w:t xml:space="preserve">lessons learned from </w:t>
      </w:r>
      <w:r w:rsidR="00592782">
        <w:t xml:space="preserve">the implementation of income-graduated fixed charges should </w:t>
      </w:r>
      <w:r w:rsidR="00190542">
        <w:t>influence the design of future income-graduated fixed charges or alternative rate mechanisms.</w:t>
      </w:r>
      <w:r w:rsidR="0035288F">
        <w:rPr>
          <w:rStyle w:val="FootnoteReference"/>
        </w:rPr>
        <w:footnoteReference w:id="208"/>
      </w:r>
      <w:r w:rsidR="00F24568">
        <w:t xml:space="preserve"> </w:t>
      </w:r>
    </w:p>
    <w:p w:rsidR="007E71F1" w:rsidP="00A24D59" w:rsidRDefault="00F24568" w14:paraId="5C7A818E" w14:textId="5EC782FE">
      <w:pPr>
        <w:pStyle w:val="Standard"/>
      </w:pPr>
      <w:r>
        <w:t>The Commission’s staff will prepare a</w:t>
      </w:r>
      <w:r w:rsidR="00E564F5">
        <w:t>n evaluation</w:t>
      </w:r>
      <w:r w:rsidR="00F30205">
        <w:t xml:space="preserve"> report </w:t>
      </w:r>
      <w:r w:rsidR="00E564F5">
        <w:t xml:space="preserve">for income-graduated fixed charges </w:t>
      </w:r>
      <w:r w:rsidR="00802448">
        <w:t>based on one calendar year of metrics</w:t>
      </w:r>
      <w:r w:rsidR="00F33228">
        <w:t xml:space="preserve"> and input from the Implementation Working Group</w:t>
      </w:r>
      <w:r w:rsidR="00802448">
        <w:t>.</w:t>
      </w:r>
      <w:r w:rsidR="00C90721">
        <w:t xml:space="preserve"> The</w:t>
      </w:r>
      <w:r w:rsidR="00712221">
        <w:t xml:space="preserve"> Commission’s staff will </w:t>
      </w:r>
      <w:r w:rsidR="00B6462C">
        <w:t>facilitate the filing of</w:t>
      </w:r>
      <w:r w:rsidR="00712221">
        <w:t xml:space="preserve"> the evaluation</w:t>
      </w:r>
      <w:r w:rsidR="00C90721">
        <w:t xml:space="preserve"> report in this proceeding </w:t>
      </w:r>
      <w:r w:rsidR="00B16830">
        <w:t>to build the record for a decision on</w:t>
      </w:r>
      <w:r w:rsidR="00C90721">
        <w:t xml:space="preserve"> the </w:t>
      </w:r>
      <w:r w:rsidR="006E3FCE">
        <w:t>next version of income-graduated fixed charges or alternative rate mechanisms.</w:t>
      </w:r>
    </w:p>
    <w:p w:rsidR="00ED13F1" w:rsidP="002C5468" w:rsidRDefault="00B10740" w14:paraId="3F2B9B77" w14:textId="680199CC">
      <w:pPr>
        <w:pStyle w:val="Standard"/>
      </w:pPr>
      <w:r>
        <w:lastRenderedPageBreak/>
        <w:t xml:space="preserve">The Large Utilities proposed </w:t>
      </w:r>
      <w:r w:rsidR="00A24D59">
        <w:t xml:space="preserve">to report metrics </w:t>
      </w:r>
      <w:r w:rsidR="002C5468">
        <w:t xml:space="preserve">for income-graduated fixed charges </w:t>
      </w:r>
      <w:r w:rsidR="00A24D59">
        <w:t xml:space="preserve">on </w:t>
      </w:r>
      <w:r w:rsidR="00EA555B">
        <w:t>the</w:t>
      </w:r>
      <w:r w:rsidR="00A24D59">
        <w:t xml:space="preserve"> n</w:t>
      </w:r>
      <w:r w:rsidRPr="00B10740">
        <w:t>umber of customers</w:t>
      </w:r>
      <w:r>
        <w:t xml:space="preserve"> </w:t>
      </w:r>
      <w:r w:rsidRPr="00B10740">
        <w:t>in each</w:t>
      </w:r>
      <w:r w:rsidR="00C919F0">
        <w:t xml:space="preserve"> tier</w:t>
      </w:r>
      <w:r w:rsidR="00A24D59">
        <w:t xml:space="preserve">, </w:t>
      </w:r>
      <w:r w:rsidRPr="00BC4C03" w:rsidR="00BC4C03">
        <w:t xml:space="preserve">the number of customers who change tiers, </w:t>
      </w:r>
      <w:r w:rsidR="00A24D59">
        <w:t>a</w:t>
      </w:r>
      <w:r w:rsidR="00ED13F1">
        <w:t>verage customer bill impacts</w:t>
      </w:r>
      <w:r w:rsidR="00A24D59">
        <w:t>, and a</w:t>
      </w:r>
      <w:r w:rsidR="00ED13F1">
        <w:t>wareness and understanding of the new rate structure</w:t>
      </w:r>
      <w:r w:rsidR="002F5D55">
        <w:t>.</w:t>
      </w:r>
      <w:r w:rsidR="002C5468">
        <w:t xml:space="preserve"> In opening testimony, the Large Utilities </w:t>
      </w:r>
      <w:r w:rsidR="00397104">
        <w:t xml:space="preserve">also </w:t>
      </w:r>
      <w:r w:rsidR="002C5468">
        <w:t xml:space="preserve">proposed to track </w:t>
      </w:r>
      <w:r w:rsidRPr="002C5468" w:rsidR="002C5468">
        <w:t>press article mentions, reach and/o</w:t>
      </w:r>
      <w:r w:rsidR="002C5468">
        <w:t>r</w:t>
      </w:r>
      <w:r w:rsidRPr="002C5468" w:rsidR="002C5468">
        <w:t xml:space="preserve"> impressions of paid media, outbound targeted communications</w:t>
      </w:r>
      <w:r w:rsidR="002C5468">
        <w:t>,</w:t>
      </w:r>
      <w:r w:rsidRPr="002C5468" w:rsidR="002C5468">
        <w:t xml:space="preserve"> bill</w:t>
      </w:r>
      <w:r w:rsidR="002C5468">
        <w:t xml:space="preserve"> </w:t>
      </w:r>
      <w:r w:rsidRPr="002C5468" w:rsidR="002C5468">
        <w:t>messages, email response</w:t>
      </w:r>
      <w:r w:rsidR="002C5468">
        <w:t>s</w:t>
      </w:r>
      <w:r w:rsidRPr="002C5468" w:rsidR="002C5468">
        <w:t xml:space="preserve">, </w:t>
      </w:r>
      <w:r w:rsidR="002C5468">
        <w:t xml:space="preserve">and </w:t>
      </w:r>
      <w:r w:rsidRPr="002C5468" w:rsidR="002C5468">
        <w:t>call center feedback</w:t>
      </w:r>
      <w:r w:rsidR="002C5468">
        <w:t>.</w:t>
      </w:r>
      <w:r w:rsidR="00AE0233">
        <w:rPr>
          <w:rStyle w:val="FootnoteReference"/>
        </w:rPr>
        <w:footnoteReference w:id="209"/>
      </w:r>
      <w:r w:rsidR="00AE472F">
        <w:t xml:space="preserve"> Cal Advocates agreed with the Large Utilities’ proposed metrics.</w:t>
      </w:r>
      <w:r w:rsidR="00AE472F">
        <w:rPr>
          <w:rStyle w:val="FootnoteReference"/>
        </w:rPr>
        <w:footnoteReference w:id="210"/>
      </w:r>
      <w:r w:rsidR="00171C32">
        <w:t xml:space="preserve"> We agree that the quarterly reports should include these metrics.</w:t>
      </w:r>
    </w:p>
    <w:p w:rsidR="002F5D55" w:rsidP="000548EE" w:rsidRDefault="000548EE" w14:paraId="505DDA31" w14:textId="2B18B31F">
      <w:pPr>
        <w:pStyle w:val="Standard"/>
      </w:pPr>
      <w:r>
        <w:t>UCAN proposed to</w:t>
      </w:r>
      <w:r w:rsidR="0065394D">
        <w:t xml:space="preserve"> also</w:t>
      </w:r>
      <w:r>
        <w:t xml:space="preserve"> require the Large Utilities to report on </w:t>
      </w:r>
      <w:r w:rsidR="007731A8">
        <w:t xml:space="preserve">all </w:t>
      </w:r>
      <w:r>
        <w:t xml:space="preserve">ME&amp;O activities and dollars spent, the </w:t>
      </w:r>
      <w:r w:rsidRPr="000548EE">
        <w:t xml:space="preserve">number and type of calls and other customer inquiries concerning </w:t>
      </w:r>
      <w:r w:rsidR="00C919F0">
        <w:t>income-graduated fixed charges</w:t>
      </w:r>
      <w:r w:rsidRPr="000548EE">
        <w:t>,</w:t>
      </w:r>
      <w:r w:rsidR="00C919F0">
        <w:t xml:space="preserve"> </w:t>
      </w:r>
      <w:r w:rsidR="00BC4C03">
        <w:t>the</w:t>
      </w:r>
      <w:r w:rsidRPr="000548EE">
        <w:t xml:space="preserve"> number of customers for whom income verification is requested</w:t>
      </w:r>
      <w:r w:rsidR="00BC4C03">
        <w:t>, and the</w:t>
      </w:r>
      <w:r w:rsidRPr="000548EE">
        <w:t xml:space="preserve"> outcome</w:t>
      </w:r>
      <w:r w:rsidR="00BC4C03">
        <w:t>s</w:t>
      </w:r>
      <w:r w:rsidRPr="000548EE">
        <w:t xml:space="preserve"> of </w:t>
      </w:r>
      <w:r w:rsidR="00BC4C03">
        <w:t xml:space="preserve">income </w:t>
      </w:r>
      <w:r w:rsidRPr="000548EE">
        <w:t>verification requests.</w:t>
      </w:r>
      <w:r w:rsidR="007731A8">
        <w:rPr>
          <w:rStyle w:val="FootnoteReference"/>
        </w:rPr>
        <w:footnoteReference w:id="211"/>
      </w:r>
      <w:r w:rsidR="00684D78">
        <w:t xml:space="preserve"> </w:t>
      </w:r>
      <w:r w:rsidR="00095E6B">
        <w:t xml:space="preserve">We agree that the Large Utilities’ quarterly reports should include </w:t>
      </w:r>
      <w:r w:rsidR="005C0ABB">
        <w:t xml:space="preserve">metrics on ME&amp;O dollars spent, number of calls about income-graduated fixed charges, </w:t>
      </w:r>
      <w:r w:rsidR="00032980">
        <w:t>the number of customers who were subject to income verification through the CARE and FERA programs, and the</w:t>
      </w:r>
      <w:r w:rsidR="00171C32">
        <w:t xml:space="preserve"> </w:t>
      </w:r>
      <w:r w:rsidR="008908E7">
        <w:t>number of customers</w:t>
      </w:r>
      <w:r w:rsidR="00135C7B">
        <w:t xml:space="preserve"> </w:t>
      </w:r>
      <w:r w:rsidR="00C972BF">
        <w:t>who</w:t>
      </w:r>
      <w:r w:rsidR="00135C7B">
        <w:t xml:space="preserve"> </w:t>
      </w:r>
      <w:r w:rsidR="00D62D8F">
        <w:t>successfully verif</w:t>
      </w:r>
      <w:r w:rsidR="003002BA">
        <w:t>ied their</w:t>
      </w:r>
      <w:r w:rsidR="00D62D8F">
        <w:t xml:space="preserve"> incomes</w:t>
      </w:r>
      <w:r w:rsidR="003002BA">
        <w:t xml:space="preserve"> through the CARE and FERA programs</w:t>
      </w:r>
      <w:r w:rsidR="00171C32">
        <w:t>.</w:t>
      </w:r>
    </w:p>
    <w:p w:rsidR="00D63851" w:rsidP="006F2088" w:rsidRDefault="00EC1F3C" w14:paraId="2BC9EB31" w14:textId="1C37E3D3">
      <w:pPr>
        <w:pStyle w:val="Standard"/>
      </w:pPr>
      <w:r>
        <w:t xml:space="preserve">TURN/NRDC proposed </w:t>
      </w:r>
      <w:r w:rsidR="005E258D">
        <w:t>that an evaluation also consider the</w:t>
      </w:r>
      <w:r>
        <w:t xml:space="preserve"> cost efficiency of utility work on </w:t>
      </w:r>
      <w:r w:rsidR="005E258D">
        <w:t xml:space="preserve">implementation, </w:t>
      </w:r>
      <w:r w:rsidR="007A3BF1">
        <w:t xml:space="preserve">customer and market surveys to determine the effectiveness of ME&amp;O, </w:t>
      </w:r>
      <w:r w:rsidR="001D0870">
        <w:t>customer changes</w:t>
      </w:r>
      <w:r w:rsidR="0087190D">
        <w:t xml:space="preserve"> to usage in response to</w:t>
      </w:r>
      <w:r w:rsidR="001D0870">
        <w:t xml:space="preserve"> </w:t>
      </w:r>
      <w:r w:rsidR="0087190D">
        <w:t xml:space="preserve">changes </w:t>
      </w:r>
      <w:r w:rsidR="001D0870">
        <w:t>in volumetric rates, bill impacts for different customer sub-groups</w:t>
      </w:r>
      <w:r w:rsidR="0087190D">
        <w:t xml:space="preserve">, changes in CARE/FERA enrollment, </w:t>
      </w:r>
      <w:r w:rsidR="00084692">
        <w:t xml:space="preserve">and changes in purchases of building and </w:t>
      </w:r>
      <w:r w:rsidR="00084692">
        <w:lastRenderedPageBreak/>
        <w:t>transportation electrification assets.</w:t>
      </w:r>
      <w:r w:rsidR="00084692">
        <w:rPr>
          <w:rStyle w:val="FootnoteReference"/>
        </w:rPr>
        <w:footnoteReference w:id="212"/>
      </w:r>
      <w:r w:rsidR="00084692">
        <w:t xml:space="preserve"> </w:t>
      </w:r>
      <w:r w:rsidR="008F2B04">
        <w:t xml:space="preserve">Many of TURN/NRDC’s proposed evaluation questions are more appropriate for </w:t>
      </w:r>
      <w:r w:rsidR="000547C8">
        <w:t xml:space="preserve">the evaluation of </w:t>
      </w:r>
      <w:r w:rsidR="003075F3">
        <w:t>a future version of an</w:t>
      </w:r>
      <w:r w:rsidR="000547C8">
        <w:t xml:space="preserve"> income-graduated fixed charge</w:t>
      </w:r>
      <w:r w:rsidR="003075F3">
        <w:t xml:space="preserve"> </w:t>
      </w:r>
      <w:r w:rsidR="00C47F68">
        <w:t xml:space="preserve">with greater impacts on volumetric rates and electrification decisions. However, we agree that the </w:t>
      </w:r>
      <w:r w:rsidR="00DF7660">
        <w:t xml:space="preserve">evaluation metrics for income-graduated fixed charges should include </w:t>
      </w:r>
      <w:r w:rsidR="00030199">
        <w:t>bill impacts for different customer sub-groups</w:t>
      </w:r>
      <w:r w:rsidR="00B844AF">
        <w:t xml:space="preserve">. We </w:t>
      </w:r>
      <w:r w:rsidR="0049632F">
        <w:t xml:space="preserve">also agree that the </w:t>
      </w:r>
      <w:r w:rsidR="00D0727A">
        <w:t>Large Utilities should</w:t>
      </w:r>
      <w:r w:rsidR="005F1520">
        <w:t xml:space="preserve"> conduct</w:t>
      </w:r>
      <w:r w:rsidR="00C733D5">
        <w:t xml:space="preserve"> surveys to determine the effectiveness of ME&amp;O.</w:t>
      </w:r>
    </w:p>
    <w:p w:rsidR="00171C32" w:rsidP="000548EE" w:rsidRDefault="00171C32" w14:paraId="23BFF784" w14:textId="6AABA0C2">
      <w:pPr>
        <w:pStyle w:val="Standard"/>
      </w:pPr>
      <w:r>
        <w:t>It is reasonable for the Large Utilities’ quarterly reports on income-graduated fixed charges to include the following metrics:</w:t>
      </w:r>
    </w:p>
    <w:p w:rsidRPr="00771C7F" w:rsidR="00171C32" w:rsidP="003762A0" w:rsidRDefault="00F500AF" w14:paraId="2FB17F21" w14:textId="5CFFD2B5">
      <w:pPr>
        <w:pStyle w:val="ListAlpha"/>
        <w:ind w:right="1440"/>
      </w:pPr>
      <w:r w:rsidRPr="00771C7F">
        <w:t>Number of customers in each tier;</w:t>
      </w:r>
    </w:p>
    <w:p w:rsidR="00F500AF" w:rsidP="003762A0" w:rsidRDefault="00215F3A" w14:paraId="7A81B8FF" w14:textId="77E6AB43">
      <w:pPr>
        <w:pStyle w:val="ListAlpha"/>
        <w:ind w:right="1440"/>
      </w:pPr>
      <w:r>
        <w:t>Number of customers who change tiers;</w:t>
      </w:r>
    </w:p>
    <w:p w:rsidR="00215F3A" w:rsidP="003762A0" w:rsidRDefault="00215F3A" w14:paraId="63B666E6" w14:textId="7BADA9B2">
      <w:pPr>
        <w:pStyle w:val="ListAlpha"/>
        <w:ind w:right="1440"/>
      </w:pPr>
      <w:r>
        <w:t>Average customer bill impacts for each tier and each baseline territory;</w:t>
      </w:r>
    </w:p>
    <w:p w:rsidR="00215F3A" w:rsidP="003762A0" w:rsidRDefault="00133E65" w14:paraId="43836BE0" w14:textId="561343C2">
      <w:pPr>
        <w:pStyle w:val="ListAlpha"/>
        <w:ind w:right="1440"/>
      </w:pPr>
      <w:r>
        <w:t>Number of press article mentions;</w:t>
      </w:r>
    </w:p>
    <w:p w:rsidR="00133E65" w:rsidP="003762A0" w:rsidRDefault="002938E8" w14:paraId="6DF0BC13" w14:textId="0D18D427">
      <w:pPr>
        <w:pStyle w:val="ListAlpha"/>
        <w:ind w:right="1440"/>
      </w:pPr>
      <w:r>
        <w:t>Impressions and reach of paid media;</w:t>
      </w:r>
    </w:p>
    <w:p w:rsidR="002938E8" w:rsidP="003762A0" w:rsidRDefault="002938E8" w14:paraId="7E9E6416" w14:textId="2FCAB4C9">
      <w:pPr>
        <w:pStyle w:val="ListAlpha"/>
        <w:ind w:right="1440"/>
      </w:pPr>
      <w:r>
        <w:t>Number and type of outbound targeted communications and bill messages;</w:t>
      </w:r>
      <w:r w:rsidR="0027163D">
        <w:t xml:space="preserve"> </w:t>
      </w:r>
    </w:p>
    <w:p w:rsidR="00B40E0B" w:rsidP="003762A0" w:rsidRDefault="002938E8" w14:paraId="22888614" w14:textId="77777777">
      <w:pPr>
        <w:pStyle w:val="ListAlpha"/>
        <w:ind w:right="1440"/>
      </w:pPr>
      <w:r>
        <w:t xml:space="preserve">Number of </w:t>
      </w:r>
      <w:r w:rsidR="0027163D">
        <w:t xml:space="preserve">related </w:t>
      </w:r>
      <w:r>
        <w:t>calls or emails</w:t>
      </w:r>
      <w:r w:rsidR="0027163D">
        <w:t xml:space="preserve"> received</w:t>
      </w:r>
      <w:r w:rsidR="00B40E0B">
        <w:t>;</w:t>
      </w:r>
    </w:p>
    <w:p w:rsidR="00C972BF" w:rsidP="003762A0" w:rsidRDefault="00B40E0B" w14:paraId="149B749E" w14:textId="77777777">
      <w:pPr>
        <w:pStyle w:val="ListAlpha"/>
        <w:ind w:right="1440"/>
      </w:pPr>
      <w:r w:rsidRPr="00B40E0B">
        <w:t>ME&amp;O dollars spent</w:t>
      </w:r>
      <w:r w:rsidR="00C972BF">
        <w:t>;</w:t>
      </w:r>
    </w:p>
    <w:p w:rsidR="00C972BF" w:rsidP="003762A0" w:rsidRDefault="00C972BF" w14:paraId="69E1C3C5" w14:textId="78A7E9A1">
      <w:pPr>
        <w:pStyle w:val="ListAlpha"/>
        <w:ind w:right="1440"/>
      </w:pPr>
      <w:r>
        <w:t>N</w:t>
      </w:r>
      <w:r w:rsidRPr="00B40E0B" w:rsidR="00B40E0B">
        <w:t xml:space="preserve">umber of customers </w:t>
      </w:r>
      <w:r w:rsidR="00E423E4">
        <w:t xml:space="preserve">who were </w:t>
      </w:r>
      <w:r w:rsidRPr="00B40E0B" w:rsidR="00B40E0B">
        <w:t xml:space="preserve">asked to verify </w:t>
      </w:r>
      <w:r w:rsidR="001510AE">
        <w:t xml:space="preserve">their </w:t>
      </w:r>
      <w:r w:rsidRPr="00B40E0B" w:rsidR="00B40E0B">
        <w:t>incomes</w:t>
      </w:r>
      <w:r>
        <w:t xml:space="preserve"> through the CARE and FERA programs;</w:t>
      </w:r>
      <w:r w:rsidRPr="00B40E0B" w:rsidR="00B40E0B">
        <w:t xml:space="preserve"> </w:t>
      </w:r>
      <w:r w:rsidR="003D30B9">
        <w:t>and</w:t>
      </w:r>
    </w:p>
    <w:p w:rsidR="00052E14" w:rsidP="003762A0" w:rsidRDefault="00D01065" w14:paraId="0E78BA10" w14:textId="6AE9D201">
      <w:pPr>
        <w:pStyle w:val="ListAlpha"/>
        <w:ind w:right="1440"/>
      </w:pPr>
      <w:r>
        <w:t>N</w:t>
      </w:r>
      <w:r w:rsidRPr="00B40E0B" w:rsidR="00B40E0B">
        <w:t xml:space="preserve">umber of customers </w:t>
      </w:r>
      <w:r>
        <w:t xml:space="preserve">who </w:t>
      </w:r>
      <w:r w:rsidRPr="00B40E0B" w:rsidR="00B40E0B">
        <w:t>successfully verif</w:t>
      </w:r>
      <w:r>
        <w:t xml:space="preserve">ied their </w:t>
      </w:r>
      <w:r w:rsidRPr="00B40E0B" w:rsidR="00B40E0B">
        <w:t>incomes</w:t>
      </w:r>
      <w:r>
        <w:t xml:space="preserve"> through the CARE and FERA programs</w:t>
      </w:r>
      <w:r w:rsidR="0027163D">
        <w:t>.</w:t>
      </w:r>
    </w:p>
    <w:p w:rsidR="00026767" w:rsidP="00026767" w:rsidRDefault="00DA0465" w14:paraId="67B59C2D" w14:textId="1FC1BA33">
      <w:pPr>
        <w:pStyle w:val="Standard"/>
      </w:pPr>
      <w:r>
        <w:t>In the</w:t>
      </w:r>
      <w:r w:rsidR="006F2088">
        <w:t xml:space="preserve"> ME&amp;O section above, </w:t>
      </w:r>
      <w:r>
        <w:t>we directed the</w:t>
      </w:r>
      <w:r w:rsidR="006F2088">
        <w:t xml:space="preserve"> Large Utilities </w:t>
      </w:r>
      <w:r>
        <w:t>to</w:t>
      </w:r>
      <w:r w:rsidR="00F021AD">
        <w:t xml:space="preserve"> discuss their proposed </w:t>
      </w:r>
      <w:r w:rsidR="00610BAF">
        <w:t xml:space="preserve">ME&amp;O metrics </w:t>
      </w:r>
      <w:r w:rsidR="0081662D">
        <w:t xml:space="preserve">at the joint ME&amp;O workshop before proposing ME&amp;O metrics in their individual </w:t>
      </w:r>
      <w:r w:rsidR="00050ECC">
        <w:t xml:space="preserve">Tier 3 implementation advice letters. </w:t>
      </w:r>
      <w:r w:rsidR="008B7001">
        <w:t xml:space="preserve">The Large </w:t>
      </w:r>
      <w:r w:rsidR="008B7001">
        <w:lastRenderedPageBreak/>
        <w:t xml:space="preserve">Utilities’ proposed ME&amp;O metrics </w:t>
      </w:r>
      <w:r w:rsidR="003F75B2">
        <w:t>may include additional metric</w:t>
      </w:r>
      <w:r w:rsidR="00F639E9">
        <w:t xml:space="preserve">s not described above. </w:t>
      </w:r>
    </w:p>
    <w:p w:rsidRPr="00031698" w:rsidR="00C279D4" w:rsidP="00702F6F" w:rsidRDefault="00C279D4" w14:paraId="5DF7E74F" w14:textId="7F71B2C7">
      <w:pPr>
        <w:pStyle w:val="Heading2"/>
      </w:pPr>
      <w:bookmarkStart w:name="_Toc160790051" w:id="45"/>
      <w:bookmarkStart w:name="_Hlk157070462" w:id="46"/>
      <w:r w:rsidRPr="00031698">
        <w:t>Timing of Implementation</w:t>
      </w:r>
      <w:bookmarkEnd w:id="45"/>
    </w:p>
    <w:p w:rsidRPr="00FA093C" w:rsidR="00BA7956" w:rsidP="00296C3D" w:rsidRDefault="00DF1DD9" w14:paraId="4D6610C0" w14:textId="74DA9C50">
      <w:pPr>
        <w:pStyle w:val="Standard"/>
      </w:pPr>
      <w:r>
        <w:t xml:space="preserve">In their opening brief, the Large Utilities </w:t>
      </w:r>
      <w:r w:rsidR="00776D00">
        <w:t xml:space="preserve">provided the following </w:t>
      </w:r>
      <w:r w:rsidR="00FB737E">
        <w:t xml:space="preserve">estimated </w:t>
      </w:r>
      <w:r w:rsidR="00776D00">
        <w:t>timeline for income-graduated fixed charges:</w:t>
      </w:r>
    </w:p>
    <w:p w:rsidRPr="00FA093C" w:rsidR="00776D00" w:rsidP="006810D0" w:rsidRDefault="00776D00" w14:paraId="1C4B509F" w14:textId="00190B8D">
      <w:pPr>
        <w:pStyle w:val="ListBullet"/>
        <w:ind w:right="1440"/>
      </w:pPr>
      <w:r>
        <w:t xml:space="preserve">Each of the Large Utilities could file an implementation advice letter within </w:t>
      </w:r>
      <w:r w:rsidR="00FE0118">
        <w:t xml:space="preserve">90 days of </w:t>
      </w:r>
      <w:r w:rsidR="00350BA6">
        <w:t>a decision;</w:t>
      </w:r>
    </w:p>
    <w:p w:rsidR="00333532" w:rsidP="006810D0" w:rsidRDefault="00333532" w14:paraId="0974CC52" w14:textId="785BB8C7">
      <w:pPr>
        <w:pStyle w:val="ListBullet"/>
        <w:ind w:right="1440"/>
      </w:pPr>
      <w:r>
        <w:t>SCE and SDG&amp;E could begin ME&amp;O activities in the third quarter of 2024;</w:t>
      </w:r>
    </w:p>
    <w:p w:rsidRPr="00FA093C" w:rsidR="00350BA6" w:rsidP="006810D0" w:rsidRDefault="006217B8" w14:paraId="42BABFCE" w14:textId="0DA86F8F">
      <w:pPr>
        <w:pStyle w:val="ListBullet"/>
        <w:ind w:right="1440"/>
      </w:pPr>
      <w:r>
        <w:t xml:space="preserve">SCE and SDG&amp;E could each complete all </w:t>
      </w:r>
      <w:r w:rsidR="00A66FFD">
        <w:t>necessary</w:t>
      </w:r>
      <w:r>
        <w:t xml:space="preserve"> billing system upgrades </w:t>
      </w:r>
      <w:r w:rsidR="00EF53CE">
        <w:t xml:space="preserve">and pre-launch ME&amp;O activities </w:t>
      </w:r>
      <w:r w:rsidR="00A66FFD">
        <w:t>within 12 months of a decision</w:t>
      </w:r>
      <w:r w:rsidR="00A97356">
        <w:t xml:space="preserve"> and begin to apply the fixed charges to customer bills in the third quarter of 2025; and</w:t>
      </w:r>
    </w:p>
    <w:p w:rsidRPr="00A54002" w:rsidR="007212B5" w:rsidP="006810D0" w:rsidRDefault="008B0298" w14:paraId="5DAC6CDC" w14:textId="5F202C91">
      <w:pPr>
        <w:pStyle w:val="ListBullet"/>
        <w:ind w:right="1440"/>
      </w:pPr>
      <w:r>
        <w:t>PG&amp;E</w:t>
      </w:r>
      <w:r w:rsidR="00C11356">
        <w:t xml:space="preserve"> could </w:t>
      </w:r>
      <w:r w:rsidR="001F3842">
        <w:t>complete a transition to a new billing system</w:t>
      </w:r>
      <w:r w:rsidR="00CC344C">
        <w:t xml:space="preserve"> </w:t>
      </w:r>
      <w:r w:rsidR="00A97356">
        <w:t xml:space="preserve">and begin to apply the new fixed charges to customer bills in the </w:t>
      </w:r>
      <w:r w:rsidR="009E1695">
        <w:t>first quarter of 2028.</w:t>
      </w:r>
    </w:p>
    <w:p w:rsidR="005073FB" w:rsidP="00DF7B9D" w:rsidRDefault="00A54002" w14:paraId="1C0757EA" w14:textId="77777777">
      <w:pPr>
        <w:pStyle w:val="Standard"/>
      </w:pPr>
      <w:r w:rsidRPr="00A54002">
        <w:t xml:space="preserve">On December 18, 2023, ALJ Wang issued </w:t>
      </w:r>
      <w:r>
        <w:t xml:space="preserve">the </w:t>
      </w:r>
      <w:r w:rsidRPr="00A54002">
        <w:t>Budget and Timing Rulin</w:t>
      </w:r>
      <w:r>
        <w:t>g</w:t>
      </w:r>
      <w:r w:rsidRPr="00A54002">
        <w:t xml:space="preserve"> to direct the Large Utilities to file additional information about budgets and implementation timing and request party comments</w:t>
      </w:r>
      <w:r w:rsidR="000530A9">
        <w:t>.</w:t>
      </w:r>
      <w:r w:rsidR="00DF7B9D">
        <w:t xml:space="preserve"> </w:t>
      </w:r>
    </w:p>
    <w:p w:rsidRPr="00DF7B9D" w:rsidR="00DF7B9D" w:rsidP="00DF7B9D" w:rsidRDefault="00DF7B9D" w14:paraId="1176E432" w14:textId="53206966">
      <w:pPr>
        <w:pStyle w:val="Standard"/>
      </w:pPr>
      <w:r>
        <w:t xml:space="preserve">In </w:t>
      </w:r>
      <w:r w:rsidR="001771A0">
        <w:t xml:space="preserve">opening comments on the Budget and Timing Ruling, </w:t>
      </w:r>
      <w:r w:rsidR="00290DF9">
        <w:t xml:space="preserve">PG&amp;E </w:t>
      </w:r>
      <w:r w:rsidR="005073FB">
        <w:t>proposed</w:t>
      </w:r>
      <w:r w:rsidR="001771A0">
        <w:t xml:space="preserve"> </w:t>
      </w:r>
      <w:r w:rsidR="00AF70AE">
        <w:t>a revised timeline for implementing its income-graduated fixed charges:</w:t>
      </w:r>
      <w:r w:rsidR="00AF70AE">
        <w:rPr>
          <w:rStyle w:val="FootnoteReference"/>
        </w:rPr>
        <w:footnoteReference w:id="213"/>
      </w:r>
    </w:p>
    <w:p w:rsidR="00AF70AE" w:rsidP="003762A0" w:rsidRDefault="00DB3EBC" w14:paraId="473CECCC" w14:textId="583323C9">
      <w:pPr>
        <w:pStyle w:val="ListBullet"/>
        <w:ind w:right="1440"/>
      </w:pPr>
      <w:r>
        <w:t xml:space="preserve">PG&amp;E could </w:t>
      </w:r>
      <w:r w:rsidR="00D037AB">
        <w:t xml:space="preserve">program income-graduated fixed charges into its </w:t>
      </w:r>
      <w:r w:rsidR="003D64BA">
        <w:t>current primary</w:t>
      </w:r>
      <w:r w:rsidR="004F3E76">
        <w:t xml:space="preserve"> </w:t>
      </w:r>
      <w:r w:rsidR="005A064E">
        <w:t xml:space="preserve">billing system </w:t>
      </w:r>
      <w:r w:rsidR="004F3E76">
        <w:t xml:space="preserve">(Customer Care &amp; Billing System) </w:t>
      </w:r>
      <w:r w:rsidR="001F43B6">
        <w:t>for 98.2</w:t>
      </w:r>
      <w:r w:rsidR="00C1241D">
        <w:t xml:space="preserve"> percent</w:t>
      </w:r>
      <w:r w:rsidR="001F43B6">
        <w:t xml:space="preserve"> (4.8 million) residential customers</w:t>
      </w:r>
      <w:r w:rsidR="00704FD4">
        <w:t>, conduct ME&amp;O beginning in 2024,</w:t>
      </w:r>
      <w:r w:rsidR="00BB46DA">
        <w:t xml:space="preserve"> and </w:t>
      </w:r>
      <w:r w:rsidR="007B7F01">
        <w:t xml:space="preserve">apply the fixed charges to these customers by the </w:t>
      </w:r>
      <w:r w:rsidR="00D71BE7">
        <w:t>first</w:t>
      </w:r>
      <w:r w:rsidR="007B7F01">
        <w:t xml:space="preserve"> quarter of 202</w:t>
      </w:r>
      <w:r w:rsidR="00D71BE7">
        <w:t>6</w:t>
      </w:r>
      <w:r w:rsidR="007B7F01">
        <w:t>;</w:t>
      </w:r>
      <w:r w:rsidR="00704FD4">
        <w:t xml:space="preserve"> and</w:t>
      </w:r>
    </w:p>
    <w:p w:rsidR="009F442A" w:rsidP="003762A0" w:rsidRDefault="00C74CC3" w14:paraId="610AECCB" w14:textId="531F41CB">
      <w:pPr>
        <w:pStyle w:val="ListBullet"/>
        <w:ind w:right="1440"/>
      </w:pPr>
      <w:r>
        <w:t xml:space="preserve">PG&amp;E </w:t>
      </w:r>
      <w:r w:rsidR="00FB3509">
        <w:t>could</w:t>
      </w:r>
      <w:r w:rsidR="001E2DFC">
        <w:t xml:space="preserve"> propose</w:t>
      </w:r>
      <w:r w:rsidR="007046AC">
        <w:t xml:space="preserve"> an interim</w:t>
      </w:r>
      <w:r w:rsidR="00062E09">
        <w:t xml:space="preserve"> billing</w:t>
      </w:r>
      <w:r w:rsidR="007046AC">
        <w:t xml:space="preserve"> solution </w:t>
      </w:r>
      <w:r w:rsidR="00FB3509">
        <w:t>around the summer of 2024</w:t>
      </w:r>
      <w:r w:rsidR="007046AC">
        <w:t xml:space="preserve"> for </w:t>
      </w:r>
      <w:r w:rsidR="00644B6A">
        <w:t xml:space="preserve">how and when to apply fixed charges to </w:t>
      </w:r>
      <w:r w:rsidR="00753010">
        <w:t xml:space="preserve">the </w:t>
      </w:r>
      <w:r w:rsidR="000E6595">
        <w:t>1.8</w:t>
      </w:r>
      <w:r w:rsidR="00C1241D">
        <w:t xml:space="preserve"> percent</w:t>
      </w:r>
      <w:r w:rsidR="000E6595">
        <w:t xml:space="preserve"> of </w:t>
      </w:r>
      <w:r w:rsidR="006A39AF">
        <w:t>residential</w:t>
      </w:r>
      <w:r w:rsidR="000E6595">
        <w:t xml:space="preserve"> customers (approximately </w:t>
      </w:r>
      <w:r w:rsidR="00F848E7">
        <w:lastRenderedPageBreak/>
        <w:t>90</w:t>
      </w:r>
      <w:r w:rsidR="00096F76">
        <w:t>,000</w:t>
      </w:r>
      <w:r w:rsidR="00D21136">
        <w:t xml:space="preserve"> customers</w:t>
      </w:r>
      <w:r w:rsidR="00096F76">
        <w:t xml:space="preserve">) who are currently billed </w:t>
      </w:r>
      <w:r w:rsidR="003E671E">
        <w:t xml:space="preserve">through its </w:t>
      </w:r>
      <w:r w:rsidR="00AB336B">
        <w:t xml:space="preserve">legacy </w:t>
      </w:r>
      <w:r w:rsidR="001C264E">
        <w:t>billing system (Advanced Billing System)</w:t>
      </w:r>
      <w:r w:rsidR="00704FD4">
        <w:t>.</w:t>
      </w:r>
    </w:p>
    <w:p w:rsidR="00AF70AE" w:rsidP="00DF7B9D" w:rsidRDefault="00633385" w14:paraId="4D8F16A6" w14:textId="1818C804">
      <w:pPr>
        <w:pStyle w:val="Standard"/>
      </w:pPr>
      <w:r>
        <w:t xml:space="preserve">PG&amp;E </w:t>
      </w:r>
      <w:r w:rsidR="00CF55F7">
        <w:t xml:space="preserve">notes that the </w:t>
      </w:r>
      <w:r w:rsidR="00A214B0">
        <w:t xml:space="preserve">remaining </w:t>
      </w:r>
      <w:r w:rsidR="00CF55F7">
        <w:t>customers who are</w:t>
      </w:r>
      <w:r w:rsidR="00A71175">
        <w:t xml:space="preserve"> billed</w:t>
      </w:r>
      <w:r w:rsidR="00CF55F7">
        <w:t xml:space="preserve"> on the </w:t>
      </w:r>
      <w:r w:rsidR="00A214B0">
        <w:t xml:space="preserve">Advanced Billing System are primarily </w:t>
      </w:r>
      <w:r w:rsidRPr="00A214B0" w:rsidR="00A214B0">
        <w:t>solar</w:t>
      </w:r>
      <w:r w:rsidR="00A214B0">
        <w:t xml:space="preserve"> </w:t>
      </w:r>
      <w:r w:rsidRPr="00A214B0" w:rsidR="00A214B0">
        <w:t>customers on complex N</w:t>
      </w:r>
      <w:r w:rsidR="00A214B0">
        <w:t>et Energy Metering Rates.</w:t>
      </w:r>
      <w:r w:rsidR="00F02657">
        <w:t xml:space="preserve"> </w:t>
      </w:r>
      <w:r w:rsidR="007D1FD5">
        <w:t xml:space="preserve">PG&amp;E explained that the main problem with implementing a fixed charge for these customers is that the </w:t>
      </w:r>
      <w:r w:rsidR="001628FD">
        <w:t xml:space="preserve">Advanced Billing System </w:t>
      </w:r>
      <w:r w:rsidR="00C25E49">
        <w:t>has been in use for over 30 years</w:t>
      </w:r>
      <w:r w:rsidR="00604640">
        <w:t xml:space="preserve"> and is unstable. </w:t>
      </w:r>
      <w:r w:rsidR="000E3052">
        <w:t xml:space="preserve">PG&amp;E </w:t>
      </w:r>
      <w:r w:rsidR="001178C1">
        <w:t xml:space="preserve">intends to </w:t>
      </w:r>
      <w:r w:rsidR="00FE462A">
        <w:t xml:space="preserve">eventually move </w:t>
      </w:r>
      <w:r w:rsidR="00CC1448">
        <w:t>these</w:t>
      </w:r>
      <w:r w:rsidR="00FE462A">
        <w:t xml:space="preserve"> customers to a new billing system.</w:t>
      </w:r>
      <w:r w:rsidR="000E3052">
        <w:t xml:space="preserve"> </w:t>
      </w:r>
      <w:r w:rsidR="007150BD">
        <w:t>PG&amp;E assert</w:t>
      </w:r>
      <w:r w:rsidR="004C5A20">
        <w:t>ed</w:t>
      </w:r>
      <w:r w:rsidR="007150BD">
        <w:t xml:space="preserve"> that it would not be prudent to add additional functions to the </w:t>
      </w:r>
      <w:r w:rsidR="004D39B1">
        <w:t xml:space="preserve">old Advanced Billing System until </w:t>
      </w:r>
      <w:r w:rsidR="00984CF0">
        <w:t>it has been stabilized.</w:t>
      </w:r>
      <w:r w:rsidR="004C0E91">
        <w:t xml:space="preserve"> PG&amp;E assert</w:t>
      </w:r>
      <w:r w:rsidR="004C5A20">
        <w:t>ed</w:t>
      </w:r>
      <w:r w:rsidR="004C0E91">
        <w:t xml:space="preserve"> that it</w:t>
      </w:r>
      <w:r w:rsidR="00E66A58">
        <w:t xml:space="preserve"> </w:t>
      </w:r>
      <w:r w:rsidR="003352E7">
        <w:t>needs additional time</w:t>
      </w:r>
      <w:r w:rsidR="0091444B">
        <w:t xml:space="preserve"> to </w:t>
      </w:r>
      <w:r w:rsidR="00481203">
        <w:t xml:space="preserve">evaluate </w:t>
      </w:r>
      <w:r w:rsidR="00F36A35">
        <w:t>other options</w:t>
      </w:r>
      <w:r w:rsidR="0067183A">
        <w:t xml:space="preserve"> </w:t>
      </w:r>
      <w:r w:rsidR="5256F409">
        <w:t>and</w:t>
      </w:r>
      <w:r w:rsidR="00F02657">
        <w:t xml:space="preserve"> </w:t>
      </w:r>
      <w:r w:rsidR="0067183A">
        <w:t xml:space="preserve">offered </w:t>
      </w:r>
      <w:r w:rsidR="00F02657">
        <w:t xml:space="preserve">to prepare a supplemental advice letter filing </w:t>
      </w:r>
      <w:r w:rsidR="00713D65">
        <w:t xml:space="preserve">in mid-2024 to propose </w:t>
      </w:r>
      <w:r w:rsidR="0072697D">
        <w:t xml:space="preserve">an interim solution for those customers, including </w:t>
      </w:r>
      <w:r w:rsidR="008153CE">
        <w:t>updated cost estimates and timing</w:t>
      </w:r>
      <w:r w:rsidR="0097181C">
        <w:t>.</w:t>
      </w:r>
      <w:r w:rsidR="00713D65">
        <w:t xml:space="preserve"> </w:t>
      </w:r>
    </w:p>
    <w:p w:rsidR="003A0FFB" w:rsidP="007C5CC5" w:rsidRDefault="003A0FFB" w14:paraId="450FEA5D" w14:textId="3D577975">
      <w:pPr>
        <w:pStyle w:val="Standard"/>
      </w:pPr>
      <w:r>
        <w:t>Cal Advocates supported PG&amp;E’s</w:t>
      </w:r>
      <w:r w:rsidR="002322D3">
        <w:t xml:space="preserve"> revised timeline for implementing income-graduated fixed charges, including </w:t>
      </w:r>
      <w:r w:rsidR="002657DF">
        <w:t xml:space="preserve">PG&amp;E’s proposal to continue to evaluate how to transition </w:t>
      </w:r>
      <w:r w:rsidR="001D2946">
        <w:t>the customers who are billed on the old Advanced Billing System.</w:t>
      </w:r>
      <w:r w:rsidR="00995794">
        <w:rPr>
          <w:rStyle w:val="FootnoteReference"/>
        </w:rPr>
        <w:footnoteReference w:id="214"/>
      </w:r>
      <w:r w:rsidR="00C27F71">
        <w:t xml:space="preserve"> TURN/NRDC </w:t>
      </w:r>
      <w:r w:rsidR="00BB6135">
        <w:t>generally</w:t>
      </w:r>
      <w:r w:rsidR="00C27F71">
        <w:t xml:space="preserve"> supported expediting the implementation of income-graduated fixed charges</w:t>
      </w:r>
      <w:r w:rsidR="00BB6135">
        <w:t xml:space="preserve"> to </w:t>
      </w:r>
      <w:r w:rsidR="00C976DE">
        <w:t>support</w:t>
      </w:r>
      <w:r w:rsidR="00BB6135">
        <w:t xml:space="preserve"> equity and </w:t>
      </w:r>
      <w:r w:rsidR="00C976DE">
        <w:t>electrification</w:t>
      </w:r>
      <w:r w:rsidR="00C27F71">
        <w:t>.</w:t>
      </w:r>
      <w:r w:rsidR="00BB6135">
        <w:rPr>
          <w:rStyle w:val="FootnoteReference"/>
        </w:rPr>
        <w:footnoteReference w:id="215"/>
      </w:r>
    </w:p>
    <w:p w:rsidR="00DB15DB" w:rsidP="00921DB6" w:rsidRDefault="008C32FE" w14:paraId="13B8F297" w14:textId="6F09F862">
      <w:pPr>
        <w:pStyle w:val="Standard"/>
      </w:pPr>
      <w:r>
        <w:t>Several</w:t>
      </w:r>
      <w:r w:rsidRPr="0087210C" w:rsidR="0087210C">
        <w:t xml:space="preserve"> parties asserted that </w:t>
      </w:r>
      <w:r w:rsidR="00343C6F">
        <w:t xml:space="preserve">implementation of income-graduated </w:t>
      </w:r>
      <w:r w:rsidR="00D1700B">
        <w:t>fixed charges should be delayed</w:t>
      </w:r>
      <w:r>
        <w:t xml:space="preserve">. </w:t>
      </w:r>
      <w:r w:rsidR="002D64DB">
        <w:t>UCAN argued that</w:t>
      </w:r>
      <w:r w:rsidR="0016580A">
        <w:t xml:space="preserve"> </w:t>
      </w:r>
      <w:r w:rsidR="00052384">
        <w:t>SCE’s and SDG&amp;E’s proposed timeline for ME&amp;O is too compressed to support customer understanding</w:t>
      </w:r>
      <w:r w:rsidR="00FF2E9F">
        <w:t>.</w:t>
      </w:r>
      <w:r w:rsidR="002E54D7">
        <w:t xml:space="preserve"> </w:t>
      </w:r>
      <w:r w:rsidR="004A420B">
        <w:t>Advanced Energy United</w:t>
      </w:r>
      <w:r w:rsidR="00FE1805">
        <w:t xml:space="preserve"> and</w:t>
      </w:r>
      <w:r w:rsidR="00C62956">
        <w:t xml:space="preserve"> </w:t>
      </w:r>
      <w:r w:rsidRPr="0087210C" w:rsidR="00C62956">
        <w:t>California Energy Storage Alliance</w:t>
      </w:r>
      <w:r w:rsidR="004A420B">
        <w:t xml:space="preserve"> </w:t>
      </w:r>
      <w:r w:rsidR="0027367D">
        <w:t xml:space="preserve">also </w:t>
      </w:r>
      <w:r w:rsidR="004A420B">
        <w:t xml:space="preserve">argued </w:t>
      </w:r>
      <w:r w:rsidR="004A420B">
        <w:lastRenderedPageBreak/>
        <w:t xml:space="preserve">that </w:t>
      </w:r>
      <w:r w:rsidR="005B6066">
        <w:t xml:space="preserve">the Commission should delay implementation </w:t>
      </w:r>
      <w:r w:rsidR="0027367D">
        <w:t xml:space="preserve">to provide more </w:t>
      </w:r>
      <w:r w:rsidR="00FF168F">
        <w:t xml:space="preserve">time for </w:t>
      </w:r>
      <w:r w:rsidR="0027367D">
        <w:t>ME&amp;O</w:t>
      </w:r>
      <w:r w:rsidR="004A420B">
        <w:t>.</w:t>
      </w:r>
      <w:r w:rsidR="00921DB6">
        <w:rPr>
          <w:rStyle w:val="FootnoteReference"/>
        </w:rPr>
        <w:footnoteReference w:id="216"/>
      </w:r>
      <w:r w:rsidR="00BB7B12">
        <w:t xml:space="preserve"> </w:t>
      </w:r>
    </w:p>
    <w:p w:rsidR="007C5CC5" w:rsidP="00921DB6" w:rsidRDefault="001864A5" w14:paraId="6FD85FD6" w14:textId="3DAE398B">
      <w:pPr>
        <w:pStyle w:val="Standard"/>
      </w:pPr>
      <w:r>
        <w:t xml:space="preserve">Although </w:t>
      </w:r>
      <w:r w:rsidR="007C5CC5">
        <w:t>TURN/NRDC</w:t>
      </w:r>
      <w:r w:rsidR="002171A3">
        <w:t xml:space="preserve"> opposed delaying implementation</w:t>
      </w:r>
      <w:r>
        <w:t>, they</w:t>
      </w:r>
      <w:r w:rsidR="002171A3">
        <w:t xml:space="preserve"> agreed that ME&amp;O efforts are critical and should be initiated as soon as possible to ensure that </w:t>
      </w:r>
      <w:r w:rsidR="00FD1F92">
        <w:t xml:space="preserve">customers understand the </w:t>
      </w:r>
      <w:r w:rsidR="00785F19">
        <w:t xml:space="preserve">upcoming </w:t>
      </w:r>
      <w:r w:rsidR="00FD1F92">
        <w:t xml:space="preserve">changes </w:t>
      </w:r>
      <w:r w:rsidRPr="007C5CC5" w:rsidR="007C5CC5">
        <w:t xml:space="preserve">to rates and potential impact on bills. </w:t>
      </w:r>
      <w:r w:rsidR="00785F19">
        <w:t>TURN/NRDC argued that this</w:t>
      </w:r>
      <w:r w:rsidRPr="007C5CC5" w:rsidR="007C5CC5">
        <w:t xml:space="preserve"> effort is especially necessary in light of </w:t>
      </w:r>
      <w:r w:rsidR="00C91587">
        <w:t>“</w:t>
      </w:r>
      <w:r w:rsidRPr="007C5CC5" w:rsidR="007C5CC5">
        <w:t>organized efforts to intentionally mislead the public and spread misinformation</w:t>
      </w:r>
      <w:r w:rsidR="00C91587">
        <w:t>”</w:t>
      </w:r>
      <w:r w:rsidRPr="007C5CC5" w:rsidR="007C5CC5">
        <w:t xml:space="preserve"> about the purpose of the fixed charge and its expected impacts. </w:t>
      </w:r>
      <w:r w:rsidR="00B814E1">
        <w:t xml:space="preserve">TURN/NRDC noted that </w:t>
      </w:r>
      <w:r w:rsidR="00D43175">
        <w:t xml:space="preserve">online articles have labelled income-graduated fixed charges as a “utility tax” and have incorrectly implied that a fixed charge </w:t>
      </w:r>
      <w:r w:rsidR="00502CE8">
        <w:t xml:space="preserve">is an additional cost added to customer bills rather than a </w:t>
      </w:r>
      <w:r w:rsidR="007C0CF5">
        <w:t xml:space="preserve">restructuring </w:t>
      </w:r>
      <w:r w:rsidR="002F2C29">
        <w:t xml:space="preserve">to reduce volumetric rates without increasing </w:t>
      </w:r>
      <w:r w:rsidR="00F6088A">
        <w:t>revenues from residential rates.</w:t>
      </w:r>
      <w:r w:rsidR="00DF406C">
        <w:rPr>
          <w:rStyle w:val="FootnoteReference"/>
        </w:rPr>
        <w:footnoteReference w:id="217"/>
      </w:r>
    </w:p>
    <w:p w:rsidR="00F6088A" w:rsidP="00630919" w:rsidRDefault="002950FB" w14:paraId="25EA329A" w14:textId="0FBB90A6">
      <w:pPr>
        <w:pStyle w:val="Standard"/>
      </w:pPr>
      <w:r>
        <w:t xml:space="preserve">We agree with parties that ME&amp;O </w:t>
      </w:r>
      <w:r w:rsidR="001F46DD">
        <w:t>is</w:t>
      </w:r>
      <w:r>
        <w:t xml:space="preserve"> </w:t>
      </w:r>
      <w:r w:rsidR="008D09D7">
        <w:t>necessary</w:t>
      </w:r>
      <w:r>
        <w:t xml:space="preserve"> to </w:t>
      </w:r>
      <w:r w:rsidR="00A37E27">
        <w:t>enable</w:t>
      </w:r>
      <w:r w:rsidR="006B3AB8">
        <w:t xml:space="preserve"> customer understanding of the adopted </w:t>
      </w:r>
      <w:r w:rsidR="00711C7B">
        <w:t xml:space="preserve">income-graduated </w:t>
      </w:r>
      <w:r w:rsidR="006B3AB8">
        <w:t>fixed charges</w:t>
      </w:r>
      <w:r w:rsidR="0004069F">
        <w:t xml:space="preserve">. </w:t>
      </w:r>
      <w:r w:rsidR="00554CEF">
        <w:t xml:space="preserve">However, it is not necessary to delay implementation of the Large Utilities’ income-graduated fixed charges. </w:t>
      </w:r>
      <w:r w:rsidR="0004069F">
        <w:t>This decision authorized an expedited approach to developing ME&amp;O plans</w:t>
      </w:r>
      <w:r w:rsidR="005B6C96">
        <w:t xml:space="preserve">, which will enable </w:t>
      </w:r>
      <w:r w:rsidR="00361321">
        <w:t xml:space="preserve">utilities to </w:t>
      </w:r>
      <w:r w:rsidR="00F34917">
        <w:t xml:space="preserve">begin </w:t>
      </w:r>
      <w:r w:rsidR="006A5F5D">
        <w:t xml:space="preserve">ME&amp;O activities </w:t>
      </w:r>
      <w:r w:rsidR="00E51306">
        <w:t xml:space="preserve">as soon as possible. </w:t>
      </w:r>
      <w:r w:rsidR="00E4775A">
        <w:t>Each of the Large Utilities</w:t>
      </w:r>
      <w:r w:rsidR="00CB6DE2">
        <w:t xml:space="preserve"> proposed a schedule that </w:t>
      </w:r>
      <w:r w:rsidR="008F16C8">
        <w:t>included</w:t>
      </w:r>
      <w:r w:rsidR="00826EA5">
        <w:t xml:space="preserve"> </w:t>
      </w:r>
      <w:r w:rsidR="006B478B">
        <w:t>around</w:t>
      </w:r>
      <w:r w:rsidR="00CB6DE2">
        <w:t xml:space="preserve"> 12 months </w:t>
      </w:r>
      <w:r w:rsidR="00FB5176">
        <w:t>between</w:t>
      </w:r>
      <w:r w:rsidR="00337E4C">
        <w:t xml:space="preserve"> </w:t>
      </w:r>
      <w:r w:rsidR="00F619F4">
        <w:t>filing</w:t>
      </w:r>
      <w:r w:rsidR="00FB5176">
        <w:t xml:space="preserve"> </w:t>
      </w:r>
      <w:r w:rsidR="00947B51">
        <w:t>its</w:t>
      </w:r>
      <w:r w:rsidR="00826EA5">
        <w:t xml:space="preserve"> ME&amp;O plan</w:t>
      </w:r>
      <w:r w:rsidR="00D50DB3">
        <w:t xml:space="preserve"> </w:t>
      </w:r>
      <w:r w:rsidR="00947B51">
        <w:t xml:space="preserve">and </w:t>
      </w:r>
      <w:r w:rsidR="000B3F52">
        <w:t>applying</w:t>
      </w:r>
      <w:r w:rsidR="00207416">
        <w:t xml:space="preserve"> income-graduated fixed charge</w:t>
      </w:r>
      <w:r w:rsidR="007F3DA2">
        <w:t>s</w:t>
      </w:r>
      <w:r w:rsidR="00F2391F">
        <w:t xml:space="preserve"> to customer bills</w:t>
      </w:r>
      <w:r w:rsidR="00207416">
        <w:t>. Th</w:t>
      </w:r>
      <w:r w:rsidR="008A0287">
        <w:t xml:space="preserve">e proposed </w:t>
      </w:r>
      <w:r w:rsidR="003A0FFB">
        <w:t>timeline is sufficient for promoting customer understanding.</w:t>
      </w:r>
    </w:p>
    <w:p w:rsidR="00D23FE4" w:rsidP="00921DB6" w:rsidRDefault="007E0767" w14:paraId="016F6E11" w14:textId="77777777">
      <w:pPr>
        <w:pStyle w:val="Standard"/>
      </w:pPr>
      <w:r>
        <w:t xml:space="preserve">In opening comments on the Budget and Timing Ruling, </w:t>
      </w:r>
      <w:r w:rsidR="005427FD">
        <w:t xml:space="preserve">SEIA argued that </w:t>
      </w:r>
      <w:r w:rsidR="005E6AAD">
        <w:t xml:space="preserve">implementation of SCE’s and SDG&amp;E’s </w:t>
      </w:r>
      <w:r w:rsidR="002B18AC">
        <w:t xml:space="preserve">fixed charges should be delayed until </w:t>
      </w:r>
      <w:r w:rsidR="002B18AC">
        <w:lastRenderedPageBreak/>
        <w:t xml:space="preserve">PG&amp;E’s fixed charges are </w:t>
      </w:r>
      <w:r w:rsidR="00AB2BDC">
        <w:t xml:space="preserve">implemented to prevent </w:t>
      </w:r>
      <w:r w:rsidR="00B11FB8">
        <w:t>customer</w:t>
      </w:r>
      <w:r w:rsidR="00251900">
        <w:t xml:space="preserve">s </w:t>
      </w:r>
      <w:r w:rsidR="007E7799">
        <w:t xml:space="preserve">in Southern California </w:t>
      </w:r>
      <w:r w:rsidR="00D742EA">
        <w:t xml:space="preserve">from feeling that it is unfair </w:t>
      </w:r>
      <w:r w:rsidR="00D919D8">
        <w:t>to be subject to fixed charges</w:t>
      </w:r>
      <w:r w:rsidR="00AB2BDC">
        <w:t xml:space="preserve"> </w:t>
      </w:r>
      <w:r w:rsidR="007E7799">
        <w:t>earlier than other customers</w:t>
      </w:r>
      <w:r w:rsidR="00815D2D">
        <w:t xml:space="preserve"> in the state.</w:t>
      </w:r>
      <w:r>
        <w:t xml:space="preserve"> On the same day,</w:t>
      </w:r>
      <w:r w:rsidR="00CA1C22">
        <w:t xml:space="preserve"> </w:t>
      </w:r>
      <w:r w:rsidR="00FF0DFA">
        <w:t xml:space="preserve">PG&amp;E </w:t>
      </w:r>
      <w:r w:rsidR="00081C40">
        <w:t>proposed a</w:t>
      </w:r>
      <w:r w:rsidR="00FF0DFA">
        <w:t xml:space="preserve"> </w:t>
      </w:r>
      <w:r>
        <w:t xml:space="preserve">revised </w:t>
      </w:r>
      <w:r w:rsidR="00DF4564">
        <w:t xml:space="preserve">timeline </w:t>
      </w:r>
      <w:r w:rsidR="008A2FBB">
        <w:t>that reduce</w:t>
      </w:r>
      <w:r w:rsidR="00081C40">
        <w:t>d</w:t>
      </w:r>
      <w:r w:rsidR="008A2FBB">
        <w:t xml:space="preserve"> t</w:t>
      </w:r>
      <w:r w:rsidR="00081C40">
        <w:t>he</w:t>
      </w:r>
      <w:r w:rsidR="008A2FBB">
        <w:t xml:space="preserve"> gap between the i</w:t>
      </w:r>
      <w:r w:rsidR="006A6E1C">
        <w:t xml:space="preserve">mplementation of the SCE and SDG&amp;E fixed charges and the PG&amp;E fixed charges </w:t>
      </w:r>
      <w:r w:rsidR="000F60C8">
        <w:t>for most of its customers</w:t>
      </w:r>
      <w:r w:rsidR="006A6E1C">
        <w:t xml:space="preserve"> to </w:t>
      </w:r>
      <w:r w:rsidR="00302D82">
        <w:t>two</w:t>
      </w:r>
      <w:r w:rsidR="00E23737">
        <w:t xml:space="preserve"> calendar quarter</w:t>
      </w:r>
      <w:r w:rsidR="00302D82">
        <w:t>s</w:t>
      </w:r>
      <w:r w:rsidR="00E23737">
        <w:t>.</w:t>
      </w:r>
      <w:r w:rsidR="00081C40">
        <w:rPr>
          <w:rStyle w:val="FootnoteReference"/>
        </w:rPr>
        <w:footnoteReference w:id="218"/>
      </w:r>
      <w:r w:rsidR="00081C40">
        <w:t xml:space="preserve"> </w:t>
      </w:r>
    </w:p>
    <w:p w:rsidR="00930371" w:rsidP="00921DB6" w:rsidRDefault="00990307" w14:paraId="54771E6E" w14:textId="29495268">
      <w:pPr>
        <w:pStyle w:val="Standard"/>
      </w:pPr>
      <w:r>
        <w:t xml:space="preserve">Cal Advocates replied that the </w:t>
      </w:r>
      <w:r w:rsidR="00006E92">
        <w:t>time-of-use</w:t>
      </w:r>
      <w:r>
        <w:t xml:space="preserve"> transition showed that </w:t>
      </w:r>
      <w:r w:rsidR="002951D0">
        <w:t xml:space="preserve">phasing in implementation of rate changes </w:t>
      </w:r>
      <w:r w:rsidR="00760D2A">
        <w:t>is not problematic.</w:t>
      </w:r>
      <w:r w:rsidR="00760D2A">
        <w:rPr>
          <w:rStyle w:val="FootnoteReference"/>
        </w:rPr>
        <w:footnoteReference w:id="219"/>
      </w:r>
      <w:r w:rsidR="00760D2A">
        <w:t xml:space="preserve"> </w:t>
      </w:r>
      <w:r w:rsidR="00D23FE4">
        <w:t xml:space="preserve">350 Bay Area similarly commented that </w:t>
      </w:r>
      <w:r w:rsidR="00DB2203">
        <w:t xml:space="preserve">a later rollout of ME&amp;O by PG&amp;E could enable PG&amp;E to </w:t>
      </w:r>
      <w:r w:rsidR="009F24D7">
        <w:t xml:space="preserve">learn from the </w:t>
      </w:r>
      <w:r w:rsidR="00532761">
        <w:t>results of ME&amp;O by the other Large Utilities.</w:t>
      </w:r>
      <w:r w:rsidR="00532761">
        <w:rPr>
          <w:rStyle w:val="FootnoteReference"/>
        </w:rPr>
        <w:footnoteReference w:id="220"/>
      </w:r>
    </w:p>
    <w:p w:rsidR="0073225C" w:rsidP="00296C3D" w:rsidRDefault="00D31EF2" w14:paraId="7BB4FCC6" w14:textId="2AE5992C">
      <w:pPr>
        <w:pStyle w:val="Standard"/>
      </w:pPr>
      <w:r>
        <w:t xml:space="preserve">We agree with Cal Advocates </w:t>
      </w:r>
      <w:r w:rsidR="00D23FE4">
        <w:t>and 350 Bay Area</w:t>
      </w:r>
      <w:r>
        <w:t xml:space="preserve"> that </w:t>
      </w:r>
      <w:r w:rsidR="00A0760C">
        <w:t xml:space="preserve">the transition to income-graduated fixed charges does not need to be simultaneous, but we also see benefits </w:t>
      </w:r>
      <w:r w:rsidR="008E56BE">
        <w:t xml:space="preserve">to </w:t>
      </w:r>
      <w:r w:rsidR="00930371">
        <w:t xml:space="preserve">generally aligning </w:t>
      </w:r>
      <w:r w:rsidR="009C301B">
        <w:t>implementation</w:t>
      </w:r>
      <w:r w:rsidR="00930371">
        <w:t xml:space="preserve"> </w:t>
      </w:r>
      <w:r w:rsidR="00B579BF">
        <w:t xml:space="preserve">timelines of the Large Utilities. We will direct SCE and SDG&amp;E to </w:t>
      </w:r>
      <w:r w:rsidR="008B2080">
        <w:t>begin the transition in the fourth quarter of 2025 and PG&amp;E to begin the transition in the first quarter of 2026.</w:t>
      </w:r>
    </w:p>
    <w:p w:rsidR="008B2080" w:rsidP="008B2080" w:rsidRDefault="002455FF" w14:paraId="12BDE1F3" w14:textId="29D3EE61">
      <w:pPr>
        <w:pStyle w:val="Standard"/>
      </w:pPr>
      <w:r>
        <w:t xml:space="preserve">It is reasonable to adopt the following timeline for implementing </w:t>
      </w:r>
      <w:r w:rsidR="009377F7">
        <w:t xml:space="preserve">the Large Utilities’ </w:t>
      </w:r>
      <w:r>
        <w:t>income-graduated fixed charges:</w:t>
      </w:r>
    </w:p>
    <w:p w:rsidR="00C93128" w:rsidP="003762A0" w:rsidRDefault="006A1529" w14:paraId="195F63ED" w14:textId="16AD31C4">
      <w:pPr>
        <w:pStyle w:val="ListAlpha"/>
        <w:ind w:right="1440"/>
      </w:pPr>
      <w:r>
        <w:t xml:space="preserve">Within </w:t>
      </w:r>
      <w:r w:rsidR="00A259F7">
        <w:t>60</w:t>
      </w:r>
      <w:r w:rsidR="00E121B2">
        <w:t xml:space="preserve"> days of the </w:t>
      </w:r>
      <w:r w:rsidR="006A36FA">
        <w:t>issuance</w:t>
      </w:r>
      <w:r w:rsidR="00E121B2">
        <w:t xml:space="preserve"> date of this decision, t</w:t>
      </w:r>
      <w:r w:rsidR="00184CED">
        <w:t xml:space="preserve">he Large Utilities shall jointly host </w:t>
      </w:r>
      <w:r w:rsidR="00E34DA2">
        <w:t>the</w:t>
      </w:r>
      <w:r w:rsidR="00517944">
        <w:t xml:space="preserve"> ME&amp;O </w:t>
      </w:r>
      <w:r w:rsidR="004A073B">
        <w:t>workshop</w:t>
      </w:r>
      <w:r w:rsidR="00E34DA2">
        <w:t xml:space="preserve"> required by this decision</w:t>
      </w:r>
      <w:r w:rsidR="00517944">
        <w:t>;</w:t>
      </w:r>
      <w:r w:rsidR="00100245">
        <w:t xml:space="preserve"> </w:t>
      </w:r>
    </w:p>
    <w:p w:rsidR="002455FF" w:rsidP="003762A0" w:rsidRDefault="00C93128" w14:paraId="088201BF" w14:textId="63FE97B1">
      <w:pPr>
        <w:pStyle w:val="ListAlpha"/>
        <w:ind w:right="1440"/>
      </w:pPr>
      <w:r>
        <w:t xml:space="preserve">Within 90 days of the </w:t>
      </w:r>
      <w:r w:rsidR="006A36FA">
        <w:t>issuance</w:t>
      </w:r>
      <w:r>
        <w:t xml:space="preserve"> date of this decision, each of the Large Utilities shall file a Tier 3 advice letter to implement income</w:t>
      </w:r>
      <w:r w:rsidR="00B950DF">
        <w:t>-</w:t>
      </w:r>
      <w:r>
        <w:t>graduated fixed charges;</w:t>
      </w:r>
    </w:p>
    <w:p w:rsidR="00C93128" w:rsidP="003762A0" w:rsidRDefault="003168C9" w14:paraId="4423A8E3" w14:textId="14AC743E">
      <w:pPr>
        <w:pStyle w:val="ListAlpha"/>
        <w:ind w:right="1440"/>
      </w:pPr>
      <w:r>
        <w:lastRenderedPageBreak/>
        <w:t>B</w:t>
      </w:r>
      <w:r w:rsidR="00A25508">
        <w:t>etween</w:t>
      </w:r>
      <w:r>
        <w:t xml:space="preserve"> </w:t>
      </w:r>
      <w:r w:rsidR="00653013">
        <w:t>October 1, 2025</w:t>
      </w:r>
      <w:r w:rsidR="00A25508">
        <w:t xml:space="preserve"> and December </w:t>
      </w:r>
      <w:r w:rsidR="00433A08">
        <w:t>1</w:t>
      </w:r>
      <w:r w:rsidR="00306437">
        <w:t>5</w:t>
      </w:r>
      <w:r w:rsidR="00A25508">
        <w:t>, 2025</w:t>
      </w:r>
      <w:r w:rsidR="00653013">
        <w:t xml:space="preserve">, </w:t>
      </w:r>
      <w:r w:rsidR="0041229D">
        <w:t xml:space="preserve">SCE and SDG&amp;E shall begin to apply fixed charges to </w:t>
      </w:r>
      <w:r w:rsidR="00DE5255">
        <w:t>residential customers’ bills;</w:t>
      </w:r>
      <w:r w:rsidR="00B51A3F">
        <w:t xml:space="preserve"> and</w:t>
      </w:r>
    </w:p>
    <w:p w:rsidRPr="008B2080" w:rsidR="00B51A3F" w:rsidP="003762A0" w:rsidRDefault="00DA4D7E" w14:paraId="04097A73" w14:textId="14D7972B">
      <w:pPr>
        <w:pStyle w:val="ListAlpha"/>
        <w:ind w:right="1440"/>
      </w:pPr>
      <w:r>
        <w:t xml:space="preserve">Between January </w:t>
      </w:r>
      <w:r w:rsidR="004E7ED3">
        <w:t>1</w:t>
      </w:r>
      <w:r>
        <w:t>, 2026 and</w:t>
      </w:r>
      <w:r w:rsidR="004E7ED3">
        <w:t xml:space="preserve"> </w:t>
      </w:r>
      <w:r w:rsidR="008A297A">
        <w:t>March 31, 202</w:t>
      </w:r>
      <w:r w:rsidR="00D270F7">
        <w:t>6</w:t>
      </w:r>
      <w:r w:rsidR="008A297A">
        <w:t xml:space="preserve">, PG&amp;E shall </w:t>
      </w:r>
      <w:r w:rsidRPr="008A297A" w:rsidR="008A297A">
        <w:t>begin to apply fixed charges to residential customers’ bills</w:t>
      </w:r>
      <w:r w:rsidR="00B51A3F">
        <w:t>.</w:t>
      </w:r>
    </w:p>
    <w:p w:rsidR="003663E0" w:rsidP="00AB704E" w:rsidRDefault="00C279D4" w14:paraId="4CB14CED" w14:textId="65BDCF2D">
      <w:pPr>
        <w:pStyle w:val="Heading2"/>
      </w:pPr>
      <w:bookmarkStart w:name="_Toc160790052" w:id="47"/>
      <w:r>
        <w:t>Implementation</w:t>
      </w:r>
      <w:r w:rsidR="008C1B6B">
        <w:t xml:space="preserve"> </w:t>
      </w:r>
      <w:r w:rsidR="00A64D6A">
        <w:t>Budget</w:t>
      </w:r>
      <w:r w:rsidR="008C1B6B">
        <w:t xml:space="preserve"> and </w:t>
      </w:r>
      <w:r w:rsidR="00A64D6A">
        <w:t xml:space="preserve">Cost </w:t>
      </w:r>
      <w:r w:rsidR="008C1B6B">
        <w:t>Recovery</w:t>
      </w:r>
      <w:bookmarkEnd w:id="46"/>
      <w:bookmarkEnd w:id="47"/>
    </w:p>
    <w:p w:rsidR="00915EE5" w:rsidP="00915EE5" w:rsidRDefault="00915EE5" w14:paraId="6F56A2EC" w14:textId="09E0DAC3">
      <w:pPr>
        <w:pStyle w:val="Standard"/>
      </w:pPr>
      <w:r>
        <w:t xml:space="preserve">Generally, the Commission </w:t>
      </w:r>
      <w:r w:rsidR="000E43BD">
        <w:t>reviews</w:t>
      </w:r>
      <w:r>
        <w:t xml:space="preserve"> each </w:t>
      </w:r>
      <w:r w:rsidR="00AF642A">
        <w:t xml:space="preserve">of the </w:t>
      </w:r>
      <w:r>
        <w:t>Large Utilit</w:t>
      </w:r>
      <w:r w:rsidR="00AF642A">
        <w:t>ies’</w:t>
      </w:r>
      <w:r>
        <w:t xml:space="preserve"> revenue requirement for a multi-year period through General Rate Case Phase 1 proceedings. </w:t>
      </w:r>
      <w:r w:rsidR="003760C7">
        <w:t xml:space="preserve">When </w:t>
      </w:r>
      <w:r w:rsidR="0077474E">
        <w:t>directing</w:t>
      </w:r>
      <w:r w:rsidR="005D22D4">
        <w:t xml:space="preserve"> a Large </w:t>
      </w:r>
      <w:r w:rsidR="00942C5E">
        <w:t xml:space="preserve">Utility to incur </w:t>
      </w:r>
      <w:r w:rsidR="0057718E">
        <w:t xml:space="preserve">substantial </w:t>
      </w:r>
      <w:r w:rsidR="00942C5E">
        <w:t xml:space="preserve">additional costs </w:t>
      </w:r>
      <w:r w:rsidR="0070202F">
        <w:t>for activities</w:t>
      </w:r>
      <w:r w:rsidR="00942C5E">
        <w:t xml:space="preserve"> </w:t>
      </w:r>
      <w:r w:rsidR="00046FA8">
        <w:t xml:space="preserve">that were not considered </w:t>
      </w:r>
      <w:r w:rsidR="001F429C">
        <w:t xml:space="preserve">in </w:t>
      </w:r>
      <w:r w:rsidR="004E201C">
        <w:t>a</w:t>
      </w:r>
      <w:r w:rsidR="001F429C">
        <w:t xml:space="preserve"> General Rate Case Phase 1 proceeding, </w:t>
      </w:r>
      <w:r w:rsidR="0077474E">
        <w:t xml:space="preserve">the Commission considers how </w:t>
      </w:r>
      <w:r w:rsidR="008C7386">
        <w:t>the</w:t>
      </w:r>
      <w:r w:rsidR="0077474E">
        <w:t xml:space="preserve"> </w:t>
      </w:r>
      <w:r w:rsidR="006B5067">
        <w:t>utility should track and recover these additional costs.</w:t>
      </w:r>
    </w:p>
    <w:p w:rsidR="00567381" w:rsidP="00527FB8" w:rsidRDefault="00374175" w14:paraId="66C0F7D8" w14:textId="09FF37BE">
      <w:pPr>
        <w:pStyle w:val="Standard"/>
      </w:pPr>
      <w:r>
        <w:t xml:space="preserve">In </w:t>
      </w:r>
      <w:r w:rsidR="00F85ED2">
        <w:t xml:space="preserve">their opening brief, the Large Utilities proposed to </w:t>
      </w:r>
      <w:r w:rsidR="009F7512">
        <w:t xml:space="preserve">each </w:t>
      </w:r>
      <w:r w:rsidR="00EE5C02">
        <w:t xml:space="preserve">file </w:t>
      </w:r>
      <w:r w:rsidR="009F7512">
        <w:t xml:space="preserve">a </w:t>
      </w:r>
      <w:r w:rsidR="00EE5C02">
        <w:t xml:space="preserve">Tier 1 advice letter to </w:t>
      </w:r>
      <w:r w:rsidR="009F7512">
        <w:t>create a</w:t>
      </w:r>
      <w:r w:rsidR="00F85ED2">
        <w:t xml:space="preserve"> new </w:t>
      </w:r>
      <w:r w:rsidR="00A47AC0">
        <w:t xml:space="preserve">balancing account </w:t>
      </w:r>
      <w:r w:rsidR="00042CA2">
        <w:t xml:space="preserve">within 30 days of a decision </w:t>
      </w:r>
      <w:r w:rsidR="00B81150">
        <w:t xml:space="preserve">to track </w:t>
      </w:r>
      <w:r w:rsidR="008E2DB6">
        <w:t xml:space="preserve">actual </w:t>
      </w:r>
      <w:r w:rsidR="00B81150">
        <w:t xml:space="preserve">implementation costs </w:t>
      </w:r>
      <w:r w:rsidR="00160619">
        <w:t xml:space="preserve">(e.g., ME&amp;O, billing systems upgrades, operations) </w:t>
      </w:r>
      <w:r w:rsidR="00C412EB">
        <w:t xml:space="preserve">that are </w:t>
      </w:r>
      <w:r w:rsidR="007A7874">
        <w:t xml:space="preserve">incremental </w:t>
      </w:r>
      <w:r w:rsidR="00B522B9">
        <w:t xml:space="preserve">to </w:t>
      </w:r>
      <w:r w:rsidR="000234E1">
        <w:t>each utility’s</w:t>
      </w:r>
      <w:r w:rsidR="00B522B9">
        <w:t xml:space="preserve"> authorized revenue requirement.</w:t>
      </w:r>
      <w:r w:rsidR="00333FAE">
        <w:t xml:space="preserve"> </w:t>
      </w:r>
      <w:r w:rsidR="00AF57D9">
        <w:t xml:space="preserve">The Large Utilities proposed to </w:t>
      </w:r>
      <w:r w:rsidR="005E582B">
        <w:t xml:space="preserve">recover these implementation costs </w:t>
      </w:r>
      <w:r w:rsidR="00284040">
        <w:t>from Public Purpose Program charges</w:t>
      </w:r>
      <w:r w:rsidR="000320E1">
        <w:t xml:space="preserve"> through the Annual </w:t>
      </w:r>
      <w:r w:rsidR="00FF1A1C">
        <w:t>True-Up Advice Letter</w:t>
      </w:r>
      <w:r w:rsidR="00284040">
        <w:t>.</w:t>
      </w:r>
    </w:p>
    <w:p w:rsidR="007B7578" w:rsidP="0030006E" w:rsidRDefault="00615212" w14:paraId="7F988518" w14:textId="66737701">
      <w:pPr>
        <w:pStyle w:val="Standard"/>
      </w:pPr>
      <w:r>
        <w:t xml:space="preserve">Cal Advocates </w:t>
      </w:r>
      <w:r w:rsidR="00B637D5">
        <w:t xml:space="preserve">supported cost recovery through </w:t>
      </w:r>
      <w:r w:rsidR="00AF57D9">
        <w:t>Public Purpose Program</w:t>
      </w:r>
      <w:r w:rsidR="000C3325">
        <w:t xml:space="preserve"> but </w:t>
      </w:r>
      <w:r w:rsidR="004A2BCC">
        <w:t>recommended that t</w:t>
      </w:r>
      <w:r w:rsidR="00FA0623">
        <w:t xml:space="preserve">he Large Utilities record implementation costs in a memorandum account to </w:t>
      </w:r>
      <w:r w:rsidR="00C01A34">
        <w:t>provide the Commission and parties an opportunity to conduct a</w:t>
      </w:r>
      <w:r w:rsidR="00AD6ACF">
        <w:t xml:space="preserve"> review of the</w:t>
      </w:r>
      <w:r w:rsidR="00C01A34">
        <w:t xml:space="preserve"> reasonableness</w:t>
      </w:r>
      <w:r w:rsidR="00AD6ACF">
        <w:t xml:space="preserve"> of the costs.</w:t>
      </w:r>
      <w:r w:rsidR="00AD6ACF">
        <w:rPr>
          <w:rStyle w:val="FootnoteReference"/>
        </w:rPr>
        <w:footnoteReference w:id="221"/>
      </w:r>
      <w:r w:rsidR="001429D4">
        <w:t xml:space="preserve"> </w:t>
      </w:r>
      <w:r w:rsidRPr="001429D4" w:rsidR="001429D4">
        <w:t>TURN/NRD</w:t>
      </w:r>
      <w:r w:rsidR="001429D4">
        <w:t>C similarly proposed that the Commission review t</w:t>
      </w:r>
      <w:r w:rsidR="00054EAB">
        <w:t>he reasonableness of implementation costs</w:t>
      </w:r>
      <w:r w:rsidR="00346580">
        <w:t xml:space="preserve"> in a</w:t>
      </w:r>
      <w:r w:rsidR="00352D39">
        <w:t>n upcoming General Rate Case</w:t>
      </w:r>
      <w:r w:rsidR="00346580">
        <w:t xml:space="preserve"> proceeding.</w:t>
      </w:r>
      <w:r w:rsidR="00346580">
        <w:rPr>
          <w:rStyle w:val="FootnoteReference"/>
        </w:rPr>
        <w:footnoteReference w:id="222"/>
      </w:r>
      <w:r w:rsidR="00165846">
        <w:t xml:space="preserve"> </w:t>
      </w:r>
    </w:p>
    <w:p w:rsidR="0030006E" w:rsidP="0030006E" w:rsidRDefault="00165846" w14:paraId="18015CC9" w14:textId="483C5B61">
      <w:pPr>
        <w:pStyle w:val="Standard"/>
      </w:pPr>
      <w:r>
        <w:lastRenderedPageBreak/>
        <w:t xml:space="preserve">The Large Utilities replied that additional scrutiny of costs is not necessary because the Commission had the opportunity to review </w:t>
      </w:r>
      <w:r w:rsidR="00F81DD5">
        <w:t xml:space="preserve">reasonableness of proposed </w:t>
      </w:r>
      <w:r>
        <w:t>implementation costs in this proceeding.</w:t>
      </w:r>
      <w:r>
        <w:rPr>
          <w:rStyle w:val="FootnoteReference"/>
        </w:rPr>
        <w:footnoteReference w:id="223"/>
      </w:r>
      <w:r>
        <w:t xml:space="preserve"> </w:t>
      </w:r>
      <w:r w:rsidR="004C413B">
        <w:t xml:space="preserve">However, </w:t>
      </w:r>
      <w:r>
        <w:t>t</w:t>
      </w:r>
      <w:r w:rsidR="004C413B">
        <w:t>he Large Utilities provided only high</w:t>
      </w:r>
      <w:r w:rsidR="00FB223A">
        <w:t>-level information about implementation costs</w:t>
      </w:r>
      <w:r w:rsidR="002E1FAD">
        <w:t xml:space="preserve"> in this proceeding</w:t>
      </w:r>
      <w:r w:rsidR="0043408C">
        <w:t>.</w:t>
      </w:r>
      <w:r w:rsidR="003A218C">
        <w:rPr>
          <w:rStyle w:val="FootnoteReference"/>
        </w:rPr>
        <w:footnoteReference w:id="224"/>
      </w:r>
      <w:r w:rsidR="00FB223A">
        <w:t xml:space="preserve"> We agree with TURN/NRDC and Cal Advocates that additional scrutiny of actual implementation costs will be required. </w:t>
      </w:r>
    </w:p>
    <w:p w:rsidR="00840BF0" w:rsidP="0030006E" w:rsidRDefault="00840BF0" w14:paraId="3393B38E" w14:textId="0C4D643A">
      <w:pPr>
        <w:pStyle w:val="Standard"/>
      </w:pPr>
      <w:r>
        <w:t xml:space="preserve">It is reasonable </w:t>
      </w:r>
      <w:r w:rsidR="002F5E20">
        <w:t xml:space="preserve">for each of the Large Utilities to </w:t>
      </w:r>
      <w:r w:rsidR="00042CA2">
        <w:t xml:space="preserve">create a new Income-Graduated Fixed Charge Memorandum Account to record </w:t>
      </w:r>
      <w:r w:rsidR="00E37AF5">
        <w:t>the actual incremental</w:t>
      </w:r>
      <w:r w:rsidR="00E047D9">
        <w:t xml:space="preserve"> implementation </w:t>
      </w:r>
      <w:r w:rsidR="006A26EB">
        <w:t xml:space="preserve">costs of </w:t>
      </w:r>
      <w:r w:rsidR="00801B28">
        <w:t>implementing income-graduated fixed charges</w:t>
      </w:r>
      <w:r w:rsidR="006402E2">
        <w:t xml:space="preserve"> and</w:t>
      </w:r>
      <w:r w:rsidR="00F51BE7">
        <w:t xml:space="preserve"> propose to recover </w:t>
      </w:r>
      <w:r w:rsidR="006402E2">
        <w:t xml:space="preserve">such costs through a future General Rate Case </w:t>
      </w:r>
      <w:r w:rsidR="001F02A5">
        <w:t>or rate design window application</w:t>
      </w:r>
      <w:r w:rsidR="006402E2">
        <w:t xml:space="preserve"> proceeding</w:t>
      </w:r>
      <w:r w:rsidR="00801B28">
        <w:t>.</w:t>
      </w:r>
      <w:r w:rsidRPr="00ED73E4" w:rsidR="00ED73E4">
        <w:t xml:space="preserve"> </w:t>
      </w:r>
      <w:r w:rsidR="00ED73E4">
        <w:t>Each of the Large Utilities shall</w:t>
      </w:r>
      <w:r w:rsidRPr="00ED73E4" w:rsidR="00ED73E4">
        <w:t xml:space="preserve"> file a Tier 1 advice letter within 30 days of the </w:t>
      </w:r>
      <w:r w:rsidR="006A36FA">
        <w:t>issuance</w:t>
      </w:r>
      <w:r w:rsidRPr="00ED73E4" w:rsidR="00ED73E4">
        <w:t xml:space="preserve"> date of this decision t</w:t>
      </w:r>
      <w:r w:rsidR="00ED73E4">
        <w:t>o create the new accounts.</w:t>
      </w:r>
    </w:p>
    <w:p w:rsidR="009F001E" w:rsidP="00802284" w:rsidRDefault="00487304" w14:paraId="3D01324D" w14:textId="256229FE">
      <w:pPr>
        <w:pStyle w:val="Standard"/>
      </w:pPr>
      <w:r>
        <w:t xml:space="preserve">On </w:t>
      </w:r>
      <w:r w:rsidR="00C27437">
        <w:t>January 24, 2024, the Large Utilities filed opening comments on the Budget and Timing Ruling with</w:t>
      </w:r>
      <w:r w:rsidRPr="00A64D6A" w:rsidR="00A64D6A">
        <w:t xml:space="preserve"> </w:t>
      </w:r>
      <w:r w:rsidR="00DA2069">
        <w:t>updated</w:t>
      </w:r>
      <w:r w:rsidRPr="00A64D6A" w:rsidR="00A64D6A">
        <w:t xml:space="preserve"> </w:t>
      </w:r>
      <w:r w:rsidR="0005367F">
        <w:t xml:space="preserve">implementation budget proposals for </w:t>
      </w:r>
      <w:r w:rsidR="00F255E6">
        <w:t>income-graduated fixed charges</w:t>
      </w:r>
      <w:r w:rsidR="003412BC">
        <w:t xml:space="preserve"> that are summarized in the table below</w:t>
      </w:r>
      <w:r w:rsidR="00F255E6">
        <w:t>.</w:t>
      </w:r>
      <w:r w:rsidR="00192AB5">
        <w:t xml:space="preserve"> The Large Utilities also proposed ME&amp;O budgets. However, as discussed in </w:t>
      </w:r>
      <w:r w:rsidR="008A46DE">
        <w:t>the ME&amp;O section above, we will determine ME&amp;O budgets through the Tier 3 advice letter process when we review each utility’s ME&amp;O plan.</w:t>
      </w:r>
    </w:p>
    <w:p w:rsidR="00C82F23" w:rsidP="003412BC" w:rsidRDefault="003412BC" w14:paraId="59071CD2" w14:textId="2F3591D7">
      <w:pPr>
        <w:pStyle w:val="Standard"/>
        <w:ind w:firstLine="0"/>
      </w:pPr>
      <w:r w:rsidRPr="00E16A59">
        <w:rPr>
          <w:b/>
          <w:bCs/>
        </w:rPr>
        <w:t xml:space="preserve">Table </w:t>
      </w:r>
      <w:r w:rsidRPr="00E16A59" w:rsidR="00E16A59">
        <w:rPr>
          <w:b/>
          <w:bCs/>
        </w:rPr>
        <w:t>6</w:t>
      </w:r>
      <w:r w:rsidRPr="00E16A59">
        <w:rPr>
          <w:b/>
          <w:bCs/>
        </w:rPr>
        <w:t xml:space="preserve">: </w:t>
      </w:r>
      <w:r w:rsidRPr="00E16A59" w:rsidR="00A229E6">
        <w:rPr>
          <w:b/>
          <w:bCs/>
        </w:rPr>
        <w:t xml:space="preserve">Large </w:t>
      </w:r>
      <w:r w:rsidRPr="00E16A59" w:rsidR="009F63AC">
        <w:rPr>
          <w:b/>
          <w:bCs/>
        </w:rPr>
        <w:t>Utilities’ Revised Budget Proposals</w:t>
      </w:r>
      <w:r w:rsidRPr="00F55303" w:rsidR="00F55303">
        <w:rPr>
          <w:vertAlign w:val="superscript"/>
        </w:rPr>
        <w:footnoteReference w:id="225"/>
      </w:r>
    </w:p>
    <w:tbl>
      <w:tblPr>
        <w:tblStyle w:val="TableGrid"/>
        <w:tblW w:w="0" w:type="auto"/>
        <w:tblLook w:val="04A0" w:firstRow="1" w:lastRow="0" w:firstColumn="1" w:lastColumn="0" w:noHBand="0" w:noVBand="1"/>
      </w:tblPr>
      <w:tblGrid>
        <w:gridCol w:w="3955"/>
        <w:gridCol w:w="1800"/>
        <w:gridCol w:w="1800"/>
        <w:gridCol w:w="1795"/>
      </w:tblGrid>
      <w:tr w:rsidR="0001224B" w:rsidTr="00C97339" w14:paraId="2570B618" w14:textId="77777777">
        <w:tc>
          <w:tcPr>
            <w:tcW w:w="3955" w:type="dxa"/>
          </w:tcPr>
          <w:p w:rsidR="0001224B" w:rsidP="00C97339" w:rsidRDefault="0001224B" w14:paraId="1BEE6CFC" w14:textId="4B2FA978">
            <w:pPr>
              <w:pStyle w:val="Standard"/>
              <w:spacing w:after="120" w:line="240" w:lineRule="auto"/>
              <w:ind w:firstLine="0"/>
            </w:pPr>
            <w:r>
              <w:lastRenderedPageBreak/>
              <w:t>Activity</w:t>
            </w:r>
          </w:p>
        </w:tc>
        <w:tc>
          <w:tcPr>
            <w:tcW w:w="1800" w:type="dxa"/>
          </w:tcPr>
          <w:p w:rsidR="0001224B" w:rsidP="00C97339" w:rsidRDefault="00893EED" w14:paraId="24D7BD24" w14:textId="74645E42">
            <w:pPr>
              <w:pStyle w:val="Standard"/>
              <w:spacing w:after="120" w:line="240" w:lineRule="auto"/>
              <w:ind w:firstLine="0"/>
              <w:jc w:val="right"/>
            </w:pPr>
            <w:r>
              <w:t>PG&amp;E</w:t>
            </w:r>
            <w:r w:rsidR="005E5A2F">
              <w:t xml:space="preserve"> </w:t>
            </w:r>
            <w:r w:rsidR="00E3162C">
              <w:br/>
            </w:r>
            <w:r w:rsidR="005E5A2F">
              <w:t>($</w:t>
            </w:r>
            <w:r w:rsidR="00E3162C">
              <w:t xml:space="preserve"> </w:t>
            </w:r>
            <w:r w:rsidR="00387B48">
              <w:t>millions</w:t>
            </w:r>
            <w:r w:rsidR="00E3162C">
              <w:t>)</w:t>
            </w:r>
          </w:p>
        </w:tc>
        <w:tc>
          <w:tcPr>
            <w:tcW w:w="1800" w:type="dxa"/>
          </w:tcPr>
          <w:p w:rsidR="00E3162C" w:rsidP="00C97339" w:rsidRDefault="00893EED" w14:paraId="037FCD66" w14:textId="6665E7EA">
            <w:pPr>
              <w:pStyle w:val="Standard"/>
              <w:spacing w:after="120" w:line="240" w:lineRule="auto"/>
              <w:ind w:firstLine="0"/>
              <w:jc w:val="right"/>
            </w:pPr>
            <w:r>
              <w:t>SCE</w:t>
            </w:r>
            <w:r w:rsidR="00E3162C">
              <w:br/>
            </w:r>
            <w:r w:rsidRPr="00E3162C" w:rsidR="00E3162C">
              <w:t xml:space="preserve">($ </w:t>
            </w:r>
            <w:r w:rsidRPr="00387B48" w:rsidR="00387B48">
              <w:t>millions</w:t>
            </w:r>
            <w:r w:rsidRPr="00E3162C" w:rsidR="00E3162C">
              <w:t>)</w:t>
            </w:r>
          </w:p>
        </w:tc>
        <w:tc>
          <w:tcPr>
            <w:tcW w:w="1795" w:type="dxa"/>
          </w:tcPr>
          <w:p w:rsidR="0001224B" w:rsidP="00C97339" w:rsidRDefault="00893EED" w14:paraId="58F761D3" w14:textId="50B04D1B">
            <w:pPr>
              <w:pStyle w:val="Standard"/>
              <w:spacing w:after="120" w:line="240" w:lineRule="auto"/>
              <w:ind w:firstLine="0"/>
              <w:jc w:val="right"/>
            </w:pPr>
            <w:r>
              <w:t>SDG&amp;E</w:t>
            </w:r>
            <w:r w:rsidR="00E3162C">
              <w:br/>
            </w:r>
            <w:r w:rsidRPr="00E3162C" w:rsidR="00E3162C">
              <w:t xml:space="preserve">($ </w:t>
            </w:r>
            <w:r w:rsidR="00387B48">
              <w:t>millions</w:t>
            </w:r>
            <w:r w:rsidRPr="00E3162C" w:rsidR="00E3162C">
              <w:t>)</w:t>
            </w:r>
          </w:p>
        </w:tc>
      </w:tr>
      <w:tr w:rsidR="0001224B" w:rsidTr="00C97339" w14:paraId="571903CB" w14:textId="77777777">
        <w:tc>
          <w:tcPr>
            <w:tcW w:w="3955" w:type="dxa"/>
          </w:tcPr>
          <w:p w:rsidR="0001224B" w:rsidP="00C97339" w:rsidRDefault="009F001E" w14:paraId="70067368" w14:textId="435E8DD6">
            <w:pPr>
              <w:pStyle w:val="Standard"/>
              <w:spacing w:after="120" w:line="240" w:lineRule="auto"/>
              <w:ind w:firstLine="0"/>
            </w:pPr>
            <w:r>
              <w:t>Income</w:t>
            </w:r>
            <w:r w:rsidR="00FD1FBC">
              <w:t xml:space="preserve"> Verification</w:t>
            </w:r>
          </w:p>
        </w:tc>
        <w:tc>
          <w:tcPr>
            <w:tcW w:w="1800" w:type="dxa"/>
          </w:tcPr>
          <w:p w:rsidR="0001224B" w:rsidP="00C97339" w:rsidRDefault="00B4514B" w14:paraId="428661EE" w14:textId="6BD6E4A3">
            <w:pPr>
              <w:pStyle w:val="Standard"/>
              <w:spacing w:after="120" w:line="240" w:lineRule="auto"/>
              <w:ind w:firstLine="0"/>
              <w:jc w:val="right"/>
            </w:pPr>
            <w:r>
              <w:t>$4</w:t>
            </w:r>
            <w:r w:rsidR="00387B48">
              <w:t>.</w:t>
            </w:r>
            <w:r>
              <w:t>452</w:t>
            </w:r>
          </w:p>
        </w:tc>
        <w:tc>
          <w:tcPr>
            <w:tcW w:w="1800" w:type="dxa"/>
          </w:tcPr>
          <w:p w:rsidR="0001224B" w:rsidP="00C97339" w:rsidRDefault="00E4248F" w14:paraId="3867B8C2" w14:textId="75B2AE7F">
            <w:pPr>
              <w:pStyle w:val="Standard"/>
              <w:spacing w:after="120" w:line="240" w:lineRule="auto"/>
              <w:ind w:firstLine="0"/>
              <w:jc w:val="right"/>
            </w:pPr>
            <w:r>
              <w:t>$1</w:t>
            </w:r>
            <w:r w:rsidR="00387B48">
              <w:t>.</w:t>
            </w:r>
            <w:r>
              <w:t>898</w:t>
            </w:r>
          </w:p>
        </w:tc>
        <w:tc>
          <w:tcPr>
            <w:tcW w:w="1795" w:type="dxa"/>
          </w:tcPr>
          <w:p w:rsidR="0001224B" w:rsidP="00C97339" w:rsidRDefault="00700EA8" w14:paraId="7E27C762" w14:textId="6ED94002">
            <w:pPr>
              <w:pStyle w:val="Standard"/>
              <w:spacing w:after="120" w:line="240" w:lineRule="auto"/>
              <w:ind w:firstLine="0"/>
              <w:jc w:val="right"/>
            </w:pPr>
            <w:r>
              <w:t>$2</w:t>
            </w:r>
            <w:r w:rsidR="00387B48">
              <w:t>.</w:t>
            </w:r>
            <w:r>
              <w:t>630</w:t>
            </w:r>
          </w:p>
        </w:tc>
      </w:tr>
      <w:tr w:rsidR="0001224B" w:rsidTr="00C97339" w14:paraId="70CC8406" w14:textId="77777777">
        <w:tc>
          <w:tcPr>
            <w:tcW w:w="3955" w:type="dxa"/>
          </w:tcPr>
          <w:p w:rsidR="0001224B" w:rsidP="00C97339" w:rsidRDefault="00FD1FBC" w14:paraId="75B37310" w14:textId="216B106B">
            <w:pPr>
              <w:pStyle w:val="Standard"/>
              <w:spacing w:after="120" w:line="240" w:lineRule="auto"/>
              <w:ind w:firstLine="0"/>
            </w:pPr>
            <w:r>
              <w:t xml:space="preserve">Billing </w:t>
            </w:r>
            <w:r w:rsidR="006914F0">
              <w:t>System</w:t>
            </w:r>
          </w:p>
        </w:tc>
        <w:tc>
          <w:tcPr>
            <w:tcW w:w="1800" w:type="dxa"/>
          </w:tcPr>
          <w:p w:rsidR="0001224B" w:rsidP="00C97339" w:rsidRDefault="00B4514B" w14:paraId="0052115F" w14:textId="6E2049B1">
            <w:pPr>
              <w:pStyle w:val="Standard"/>
              <w:spacing w:after="120" w:line="240" w:lineRule="auto"/>
              <w:ind w:firstLine="0"/>
              <w:jc w:val="right"/>
            </w:pPr>
            <w:r>
              <w:t>$9</w:t>
            </w:r>
            <w:r w:rsidR="00387B48">
              <w:t>.</w:t>
            </w:r>
            <w:r>
              <w:t>245</w:t>
            </w:r>
          </w:p>
        </w:tc>
        <w:tc>
          <w:tcPr>
            <w:tcW w:w="1800" w:type="dxa"/>
          </w:tcPr>
          <w:p w:rsidR="0001224B" w:rsidP="00C97339" w:rsidRDefault="00B75E46" w14:paraId="677113FE" w14:textId="2EF7AD75">
            <w:pPr>
              <w:pStyle w:val="Standard"/>
              <w:spacing w:after="120" w:line="240" w:lineRule="auto"/>
              <w:ind w:firstLine="0"/>
              <w:jc w:val="right"/>
            </w:pPr>
            <w:r>
              <w:t>$2</w:t>
            </w:r>
            <w:r w:rsidR="00387B48">
              <w:t>.</w:t>
            </w:r>
            <w:r>
              <w:t>900</w:t>
            </w:r>
          </w:p>
        </w:tc>
        <w:tc>
          <w:tcPr>
            <w:tcW w:w="1795" w:type="dxa"/>
          </w:tcPr>
          <w:p w:rsidR="0001224B" w:rsidP="00C97339" w:rsidRDefault="00700EA8" w14:paraId="7818F719" w14:textId="68302E66">
            <w:pPr>
              <w:pStyle w:val="Standard"/>
              <w:spacing w:after="120" w:line="240" w:lineRule="auto"/>
              <w:ind w:firstLine="0"/>
              <w:jc w:val="right"/>
            </w:pPr>
            <w:r>
              <w:t>$4</w:t>
            </w:r>
            <w:r w:rsidR="00387B48">
              <w:t>.</w:t>
            </w:r>
            <w:r>
              <w:t>250</w:t>
            </w:r>
          </w:p>
        </w:tc>
      </w:tr>
      <w:tr w:rsidR="0001224B" w:rsidTr="00C97339" w14:paraId="573651E3" w14:textId="77777777">
        <w:tc>
          <w:tcPr>
            <w:tcW w:w="3955" w:type="dxa"/>
          </w:tcPr>
          <w:p w:rsidR="0001224B" w:rsidP="00C97339" w:rsidRDefault="00B4514B" w14:paraId="70F1C374" w14:textId="4F20DBBB">
            <w:pPr>
              <w:pStyle w:val="Standard"/>
              <w:spacing w:after="120" w:line="240" w:lineRule="auto"/>
              <w:ind w:firstLine="0"/>
            </w:pPr>
            <w:r>
              <w:t>Customer Rates Tools Updates</w:t>
            </w:r>
          </w:p>
        </w:tc>
        <w:tc>
          <w:tcPr>
            <w:tcW w:w="1800" w:type="dxa"/>
          </w:tcPr>
          <w:p w:rsidR="0001224B" w:rsidP="00C97339" w:rsidRDefault="00B4514B" w14:paraId="05E41AED" w14:textId="2DB16256">
            <w:pPr>
              <w:pStyle w:val="Standard"/>
              <w:spacing w:after="120" w:line="240" w:lineRule="auto"/>
              <w:ind w:firstLine="0"/>
              <w:jc w:val="right"/>
            </w:pPr>
            <w:r>
              <w:t>$</w:t>
            </w:r>
            <w:r w:rsidR="00387B48">
              <w:t>0.</w:t>
            </w:r>
            <w:r>
              <w:t>674</w:t>
            </w:r>
          </w:p>
        </w:tc>
        <w:tc>
          <w:tcPr>
            <w:tcW w:w="1800" w:type="dxa"/>
          </w:tcPr>
          <w:p w:rsidR="0001224B" w:rsidP="00C97339" w:rsidRDefault="00B75E46" w14:paraId="1AE9AB39" w14:textId="577F002B">
            <w:pPr>
              <w:pStyle w:val="Standard"/>
              <w:spacing w:after="120" w:line="240" w:lineRule="auto"/>
              <w:ind w:firstLine="0"/>
              <w:jc w:val="right"/>
            </w:pPr>
            <w:r>
              <w:t>$</w:t>
            </w:r>
            <w:r w:rsidR="00387B48">
              <w:t>0.0</w:t>
            </w:r>
            <w:r>
              <w:t>59</w:t>
            </w:r>
          </w:p>
        </w:tc>
        <w:tc>
          <w:tcPr>
            <w:tcW w:w="1795" w:type="dxa"/>
          </w:tcPr>
          <w:p w:rsidR="0001224B" w:rsidP="00C97339" w:rsidRDefault="00700EA8" w14:paraId="115A7B3B" w14:textId="21091F7C">
            <w:pPr>
              <w:pStyle w:val="Standard"/>
              <w:spacing w:after="120" w:line="240" w:lineRule="auto"/>
              <w:ind w:firstLine="0"/>
              <w:jc w:val="right"/>
            </w:pPr>
            <w:r>
              <w:t>$1</w:t>
            </w:r>
            <w:r w:rsidR="00387B48">
              <w:t>.</w:t>
            </w:r>
            <w:r>
              <w:t>200</w:t>
            </w:r>
          </w:p>
        </w:tc>
      </w:tr>
      <w:tr w:rsidR="00AF2BDD" w:rsidTr="009F001E" w14:paraId="4004B86B" w14:textId="77777777">
        <w:tc>
          <w:tcPr>
            <w:tcW w:w="3955" w:type="dxa"/>
          </w:tcPr>
          <w:p w:rsidR="00AF2BDD" w:rsidP="00E3162C" w:rsidRDefault="00AF2BDD" w14:paraId="1CD68FA5" w14:textId="3167D2B2">
            <w:pPr>
              <w:pStyle w:val="Standard"/>
              <w:spacing w:after="120" w:line="240" w:lineRule="auto"/>
              <w:ind w:firstLine="0"/>
            </w:pPr>
            <w:r>
              <w:t xml:space="preserve">Customer </w:t>
            </w:r>
            <w:r w:rsidR="0085191C">
              <w:t>Support (Contact Center)</w:t>
            </w:r>
          </w:p>
        </w:tc>
        <w:tc>
          <w:tcPr>
            <w:tcW w:w="1800" w:type="dxa"/>
          </w:tcPr>
          <w:p w:rsidR="00AF2BDD" w:rsidP="00C97339" w:rsidRDefault="0090777F" w14:paraId="6E516762" w14:textId="60AC8546">
            <w:pPr>
              <w:pStyle w:val="Standard"/>
              <w:spacing w:after="120" w:line="240" w:lineRule="auto"/>
              <w:ind w:firstLine="0"/>
              <w:jc w:val="right"/>
            </w:pPr>
            <w:r>
              <w:t>$11</w:t>
            </w:r>
            <w:r w:rsidR="00387B48">
              <w:t>.</w:t>
            </w:r>
            <w:r>
              <w:t>895</w:t>
            </w:r>
          </w:p>
        </w:tc>
        <w:tc>
          <w:tcPr>
            <w:tcW w:w="1800" w:type="dxa"/>
          </w:tcPr>
          <w:p w:rsidR="00AF2BDD" w:rsidP="00C97339" w:rsidRDefault="00E47296" w14:paraId="43F80E84" w14:textId="3765BB49">
            <w:pPr>
              <w:pStyle w:val="Standard"/>
              <w:spacing w:after="120" w:line="240" w:lineRule="auto"/>
              <w:ind w:firstLine="0"/>
              <w:jc w:val="right"/>
            </w:pPr>
            <w:r>
              <w:t>$16</w:t>
            </w:r>
            <w:r w:rsidR="00387B48">
              <w:t>.</w:t>
            </w:r>
            <w:r>
              <w:t>191</w:t>
            </w:r>
          </w:p>
        </w:tc>
        <w:tc>
          <w:tcPr>
            <w:tcW w:w="1795" w:type="dxa"/>
          </w:tcPr>
          <w:p w:rsidR="00AF2BDD" w:rsidP="00C97339" w:rsidRDefault="00700EA8" w14:paraId="1E51B7CB" w14:textId="0226A2A9">
            <w:pPr>
              <w:pStyle w:val="Standard"/>
              <w:spacing w:after="120" w:line="240" w:lineRule="auto"/>
              <w:ind w:firstLine="0"/>
              <w:jc w:val="right"/>
            </w:pPr>
            <w:r>
              <w:t>$</w:t>
            </w:r>
            <w:r w:rsidR="00C97339">
              <w:t>5</w:t>
            </w:r>
            <w:r w:rsidR="00387B48">
              <w:t>.</w:t>
            </w:r>
            <w:r w:rsidR="00C97339">
              <w:t>930</w:t>
            </w:r>
          </w:p>
        </w:tc>
      </w:tr>
      <w:tr w:rsidR="0001224B" w:rsidTr="00C97339" w14:paraId="72484FC5" w14:textId="77777777">
        <w:tc>
          <w:tcPr>
            <w:tcW w:w="3955" w:type="dxa"/>
          </w:tcPr>
          <w:p w:rsidR="0001224B" w:rsidP="00C97339" w:rsidRDefault="00B4514B" w14:paraId="59F047EE" w14:textId="475C04ED">
            <w:pPr>
              <w:pStyle w:val="Standard"/>
              <w:spacing w:after="120" w:line="240" w:lineRule="auto"/>
              <w:ind w:firstLine="0"/>
            </w:pPr>
            <w:r>
              <w:t>Program and Product Management</w:t>
            </w:r>
          </w:p>
        </w:tc>
        <w:tc>
          <w:tcPr>
            <w:tcW w:w="1800" w:type="dxa"/>
          </w:tcPr>
          <w:p w:rsidR="0001224B" w:rsidP="00C97339" w:rsidRDefault="00A37F30" w14:paraId="720466D3" w14:textId="6EC029C6">
            <w:pPr>
              <w:pStyle w:val="Standard"/>
              <w:spacing w:after="120" w:line="240" w:lineRule="auto"/>
              <w:ind w:firstLine="0"/>
              <w:jc w:val="right"/>
            </w:pPr>
            <w:r>
              <w:t>$</w:t>
            </w:r>
            <w:r w:rsidR="0090777F">
              <w:t>2</w:t>
            </w:r>
            <w:r w:rsidR="00387B48">
              <w:t>.</w:t>
            </w:r>
            <w:r w:rsidR="0090777F">
              <w:t>445</w:t>
            </w:r>
          </w:p>
        </w:tc>
        <w:tc>
          <w:tcPr>
            <w:tcW w:w="1800" w:type="dxa"/>
          </w:tcPr>
          <w:p w:rsidR="0001224B" w:rsidP="00C97339" w:rsidRDefault="00E47296" w14:paraId="2DE9A60A" w14:textId="7562D232">
            <w:pPr>
              <w:pStyle w:val="Standard"/>
              <w:spacing w:after="120" w:line="240" w:lineRule="auto"/>
              <w:ind w:firstLine="0"/>
              <w:jc w:val="right"/>
            </w:pPr>
            <w:r>
              <w:t>$</w:t>
            </w:r>
            <w:r w:rsidR="00387B48">
              <w:t>0.</w:t>
            </w:r>
            <w:r>
              <w:t>550</w:t>
            </w:r>
          </w:p>
        </w:tc>
        <w:tc>
          <w:tcPr>
            <w:tcW w:w="1795" w:type="dxa"/>
          </w:tcPr>
          <w:p w:rsidR="0001224B" w:rsidP="00C97339" w:rsidRDefault="00C97339" w14:paraId="77938AFF" w14:textId="5D0F7A5A">
            <w:pPr>
              <w:pStyle w:val="Standard"/>
              <w:spacing w:after="120" w:line="240" w:lineRule="auto"/>
              <w:ind w:firstLine="0"/>
              <w:jc w:val="right"/>
            </w:pPr>
            <w:r>
              <w:t>$1</w:t>
            </w:r>
            <w:r w:rsidR="00387B48">
              <w:t>.</w:t>
            </w:r>
            <w:r>
              <w:t>560</w:t>
            </w:r>
          </w:p>
        </w:tc>
      </w:tr>
      <w:tr w:rsidR="00B4514B" w:rsidTr="009F001E" w14:paraId="5CE25933" w14:textId="77777777">
        <w:tc>
          <w:tcPr>
            <w:tcW w:w="3955" w:type="dxa"/>
          </w:tcPr>
          <w:p w:rsidR="00B4514B" w:rsidP="00E3162C" w:rsidRDefault="00B4514B" w14:paraId="2767F1D6" w14:textId="43B67DD9">
            <w:pPr>
              <w:pStyle w:val="Standard"/>
              <w:spacing w:after="120" w:line="240" w:lineRule="auto"/>
              <w:ind w:firstLine="0"/>
            </w:pPr>
            <w:r>
              <w:t>Total</w:t>
            </w:r>
          </w:p>
        </w:tc>
        <w:tc>
          <w:tcPr>
            <w:tcW w:w="1800" w:type="dxa"/>
          </w:tcPr>
          <w:p w:rsidR="00B4514B" w:rsidP="00C97339" w:rsidRDefault="0090777F" w14:paraId="59B56ACB" w14:textId="7E455A19">
            <w:pPr>
              <w:pStyle w:val="Standard"/>
              <w:spacing w:after="120" w:line="240" w:lineRule="auto"/>
              <w:ind w:firstLine="0"/>
              <w:jc w:val="right"/>
            </w:pPr>
            <w:r>
              <w:t>$28</w:t>
            </w:r>
            <w:r w:rsidR="00387B48">
              <w:t>.</w:t>
            </w:r>
            <w:r>
              <w:t>711</w:t>
            </w:r>
          </w:p>
        </w:tc>
        <w:tc>
          <w:tcPr>
            <w:tcW w:w="1800" w:type="dxa"/>
          </w:tcPr>
          <w:p w:rsidR="00B4514B" w:rsidP="00C97339" w:rsidRDefault="00700EA8" w14:paraId="1FCED599" w14:textId="0EEDC94A">
            <w:pPr>
              <w:pStyle w:val="Standard"/>
              <w:spacing w:after="120" w:line="240" w:lineRule="auto"/>
              <w:ind w:firstLine="0"/>
              <w:jc w:val="right"/>
            </w:pPr>
            <w:r>
              <w:t>$21</w:t>
            </w:r>
            <w:r w:rsidR="00387B48">
              <w:t>.</w:t>
            </w:r>
            <w:r>
              <w:t>598</w:t>
            </w:r>
          </w:p>
        </w:tc>
        <w:tc>
          <w:tcPr>
            <w:tcW w:w="1795" w:type="dxa"/>
          </w:tcPr>
          <w:p w:rsidR="00B4514B" w:rsidP="00C97339" w:rsidRDefault="00C97339" w14:paraId="5CE51EFB" w14:textId="2AFEA5F1">
            <w:pPr>
              <w:pStyle w:val="Standard"/>
              <w:spacing w:after="120" w:line="240" w:lineRule="auto"/>
              <w:ind w:firstLine="0"/>
              <w:jc w:val="right"/>
            </w:pPr>
            <w:r>
              <w:t>$15</w:t>
            </w:r>
            <w:r w:rsidR="00387B48">
              <w:t>.</w:t>
            </w:r>
            <w:r>
              <w:t>570</w:t>
            </w:r>
          </w:p>
        </w:tc>
      </w:tr>
    </w:tbl>
    <w:p w:rsidR="00CB0DE2" w:rsidP="002A521A" w:rsidRDefault="00CB0DE2" w14:paraId="0F3AB1FE" w14:textId="77777777">
      <w:pPr>
        <w:pStyle w:val="Standard"/>
      </w:pPr>
    </w:p>
    <w:p w:rsidR="00D07C82" w:rsidP="006D79B7" w:rsidRDefault="00FC6F1B" w14:paraId="5A188622" w14:textId="33FB3C49">
      <w:pPr>
        <w:pStyle w:val="Standard"/>
      </w:pPr>
      <w:r>
        <w:t>The Large Utilities</w:t>
      </w:r>
      <w:r w:rsidR="00F4255A">
        <w:t xml:space="preserve"> each </w:t>
      </w:r>
      <w:r w:rsidR="00A738F8">
        <w:t>asserted that the implementation of income-graduated fixed charges would increase</w:t>
      </w:r>
      <w:r w:rsidR="005E3B0A">
        <w:t xml:space="preserve"> income verification costs</w:t>
      </w:r>
      <w:r w:rsidR="00F7488E">
        <w:t xml:space="preserve"> </w:t>
      </w:r>
      <w:r w:rsidR="00AF6CB1">
        <w:t>and/or call center cost</w:t>
      </w:r>
      <w:r w:rsidR="00683651">
        <w:t>s of</w:t>
      </w:r>
      <w:r w:rsidR="00F7488E">
        <w:t xml:space="preserve"> the</w:t>
      </w:r>
      <w:r w:rsidR="00A738F8">
        <w:t xml:space="preserve"> CARE and FERA </w:t>
      </w:r>
      <w:r w:rsidR="00F7488E">
        <w:t>programs</w:t>
      </w:r>
      <w:r w:rsidR="00AC0FB3">
        <w:t xml:space="preserve"> due to </w:t>
      </w:r>
      <w:r w:rsidR="006D79B7">
        <w:t xml:space="preserve">(a) </w:t>
      </w:r>
      <w:r w:rsidR="00AC0FB3">
        <w:t>anticipated increases in CARE or FERA enrollment,</w:t>
      </w:r>
      <w:r w:rsidR="006D79B7">
        <w:t xml:space="preserve"> or (b) costs related to the Large Utilities’ proposal to create two different income-graduated fixed charge tiers for CARE customers.</w:t>
      </w:r>
      <w:r w:rsidR="00D07C82">
        <w:rPr>
          <w:rStyle w:val="FootnoteReference"/>
        </w:rPr>
        <w:footnoteReference w:id="226"/>
      </w:r>
      <w:r w:rsidR="006D79B7">
        <w:t xml:space="preserve"> </w:t>
      </w:r>
      <w:r w:rsidR="000B00D9">
        <w:t>No party</w:t>
      </w:r>
      <w:r w:rsidR="007F3FC9">
        <w:t xml:space="preserve"> commented about whether to approve the Large Utilities’ proposed </w:t>
      </w:r>
      <w:r w:rsidR="00E53991">
        <w:t>implementation costs.</w:t>
      </w:r>
      <w:r w:rsidR="00E53991">
        <w:rPr>
          <w:rStyle w:val="FootnoteReference"/>
        </w:rPr>
        <w:footnoteReference w:id="227"/>
      </w:r>
    </w:p>
    <w:p w:rsidR="0081465A" w:rsidP="002A521A" w:rsidRDefault="0009389E" w14:paraId="73BE7C02" w14:textId="0DD6D0A5">
      <w:pPr>
        <w:pStyle w:val="Standard"/>
      </w:pPr>
      <w:r>
        <w:t xml:space="preserve">The first category of costs </w:t>
      </w:r>
      <w:r w:rsidR="00AC2F63">
        <w:t xml:space="preserve">(relating to increases in CARE or FERA enrollment) </w:t>
      </w:r>
      <w:r>
        <w:t xml:space="preserve">is not </w:t>
      </w:r>
      <w:r w:rsidR="009C55B6">
        <w:t xml:space="preserve">an </w:t>
      </w:r>
      <w:r w:rsidR="000F4104">
        <w:t xml:space="preserve">implementation cost of income-graduated fixed charges. </w:t>
      </w:r>
      <w:r w:rsidR="00D07C82">
        <w:t xml:space="preserve">The Commission </w:t>
      </w:r>
      <w:r w:rsidR="00D05AAF">
        <w:t xml:space="preserve">sets goals for increased enrollment and </w:t>
      </w:r>
      <w:r w:rsidR="00D07C82">
        <w:t xml:space="preserve">considers </w:t>
      </w:r>
      <w:r w:rsidR="009D7E26">
        <w:t xml:space="preserve">budgets for </w:t>
      </w:r>
      <w:r w:rsidR="00CF6DDD">
        <w:t xml:space="preserve">CARE and FERA </w:t>
      </w:r>
      <w:r w:rsidR="000D44B1">
        <w:t>implementation costs through</w:t>
      </w:r>
      <w:r w:rsidR="00CF6DDD">
        <w:t xml:space="preserve"> </w:t>
      </w:r>
      <w:r w:rsidR="004A56D5">
        <w:t xml:space="preserve">CARE and FERA program application </w:t>
      </w:r>
      <w:r w:rsidR="00A258B0">
        <w:t>proceedings</w:t>
      </w:r>
      <w:r w:rsidR="004A56D5">
        <w:t>.</w:t>
      </w:r>
      <w:r w:rsidR="00115972">
        <w:t xml:space="preserve"> </w:t>
      </w:r>
      <w:r w:rsidR="003D157E">
        <w:t xml:space="preserve">As noted above, </w:t>
      </w:r>
      <w:r w:rsidR="00CE254A">
        <w:t xml:space="preserve">CARE enrollment levels are already </w:t>
      </w:r>
      <w:r w:rsidR="00C149E9">
        <w:lastRenderedPageBreak/>
        <w:t>very high</w:t>
      </w:r>
      <w:r w:rsidR="005140F3">
        <w:t xml:space="preserve"> (88-95% among Large Utilities in 2019)</w:t>
      </w:r>
      <w:r w:rsidR="00C149E9">
        <w:t xml:space="preserve">, and </w:t>
      </w:r>
      <w:r w:rsidRPr="003D157E" w:rsidR="003D157E">
        <w:t>the Commission recently authorized new enrollment goals and ME&amp;O funding to increase FERA participation to 70 percent by 2026.</w:t>
      </w:r>
      <w:r w:rsidRPr="003D157E" w:rsidR="003D157E">
        <w:rPr>
          <w:vertAlign w:val="superscript"/>
        </w:rPr>
        <w:footnoteReference w:id="228"/>
      </w:r>
      <w:r w:rsidRPr="003D157E" w:rsidR="003D157E">
        <w:t xml:space="preserve"> </w:t>
      </w:r>
    </w:p>
    <w:p w:rsidR="00AC0FB3" w:rsidP="002A521A" w:rsidRDefault="00F177DD" w14:paraId="45B425B1" w14:textId="40A9D4AC">
      <w:pPr>
        <w:pStyle w:val="Standard"/>
      </w:pPr>
      <w:r>
        <w:t>The latter category of costs</w:t>
      </w:r>
      <w:r w:rsidR="00AC2F63">
        <w:t xml:space="preserve"> (related to the Large Utilities’ proposal to create two income tiers for CARE customers)</w:t>
      </w:r>
      <w:r>
        <w:t xml:space="preserve"> is not relevant because this decision approved only one income tier for </w:t>
      </w:r>
      <w:r w:rsidR="008533BA">
        <w:t xml:space="preserve">CARE-eligible customers. </w:t>
      </w:r>
      <w:r w:rsidR="00E57BDF">
        <w:t>Accordingly, this decision does not approve additional funding for income verification by the CARE and FERA programs</w:t>
      </w:r>
      <w:r w:rsidRPr="00DF5E85" w:rsidR="00DF5E85">
        <w:t xml:space="preserve"> </w:t>
      </w:r>
      <w:r w:rsidR="00DF5E85">
        <w:t>or increased call center volume for the CARE and FERA programs</w:t>
      </w:r>
      <w:r w:rsidR="00E57BDF">
        <w:t>.</w:t>
      </w:r>
    </w:p>
    <w:p w:rsidR="00AB4B40" w:rsidP="002F2E60" w:rsidRDefault="00887F5A" w14:paraId="44D6AC58" w14:textId="2E1DB271">
      <w:pPr>
        <w:pStyle w:val="Standard"/>
      </w:pPr>
      <w:r>
        <w:t xml:space="preserve">The Large Utilities </w:t>
      </w:r>
      <w:r w:rsidR="00897543">
        <w:t xml:space="preserve">each proposed </w:t>
      </w:r>
      <w:r w:rsidR="00711BBF">
        <w:t>estimates for billing system upgrade costs.</w:t>
      </w:r>
      <w:r w:rsidR="009E54BD">
        <w:t xml:space="preserve"> SCE’s proposed billing system costs </w:t>
      </w:r>
      <w:r w:rsidR="005236F5">
        <w:t xml:space="preserve">are </w:t>
      </w:r>
      <w:r w:rsidR="003208D2">
        <w:t>relatively modest</w:t>
      </w:r>
      <w:r w:rsidR="004E3192">
        <w:t>, presumably because SCE</w:t>
      </w:r>
      <w:r w:rsidR="00252921">
        <w:t xml:space="preserve"> </w:t>
      </w:r>
      <w:r w:rsidR="007E7735">
        <w:t xml:space="preserve">currently </w:t>
      </w:r>
      <w:r w:rsidR="00252921">
        <w:t>has a fixed charge on</w:t>
      </w:r>
      <w:r w:rsidR="009B69B5">
        <w:t xml:space="preserve"> </w:t>
      </w:r>
      <w:r w:rsidR="00D36F3E">
        <w:t>its</w:t>
      </w:r>
      <w:r w:rsidR="00252921">
        <w:t xml:space="preserve"> residential rates</w:t>
      </w:r>
      <w:r w:rsidR="003208D2">
        <w:t xml:space="preserve">. </w:t>
      </w:r>
      <w:r w:rsidR="00FE5795">
        <w:t xml:space="preserve">SDG&amp;E proposed </w:t>
      </w:r>
      <w:r w:rsidR="00751E3E">
        <w:t xml:space="preserve">an initial cost of $2.65 million </w:t>
      </w:r>
      <w:r w:rsidR="00B76371">
        <w:t xml:space="preserve">for the initial billing system upgrades for </w:t>
      </w:r>
      <w:r w:rsidR="00CA1F72">
        <w:t xml:space="preserve">implementing income-graduated fixed charges, and an additional </w:t>
      </w:r>
      <w:r w:rsidR="00C713C7">
        <w:t>$</w:t>
      </w:r>
      <w:r w:rsidRPr="00C713C7" w:rsidR="00C713C7">
        <w:t xml:space="preserve">125,000 </w:t>
      </w:r>
      <w:r w:rsidR="00C713C7">
        <w:t>to</w:t>
      </w:r>
      <w:r w:rsidRPr="00C713C7" w:rsidR="00C713C7">
        <w:t xml:space="preserve"> $140,000</w:t>
      </w:r>
      <w:r w:rsidR="00C713C7">
        <w:t xml:space="preserve"> for implementing each individual rate schedule, for a total of $</w:t>
      </w:r>
      <w:r w:rsidRPr="00C713C7" w:rsidR="00C713C7">
        <w:t>4</w:t>
      </w:r>
      <w:r w:rsidR="00B74288">
        <w:t>.</w:t>
      </w:r>
      <w:r w:rsidRPr="00C713C7" w:rsidR="00C713C7">
        <w:t>2</w:t>
      </w:r>
      <w:r w:rsidR="00B74288">
        <w:t>5 million.</w:t>
      </w:r>
      <w:r w:rsidR="00666B8A">
        <w:t xml:space="preserve"> </w:t>
      </w:r>
      <w:r w:rsidR="00802284">
        <w:t xml:space="preserve">PG&amp;E’s proposed billing system upgrade costs are substantially higher because they include </w:t>
      </w:r>
      <w:r w:rsidR="00123BA1">
        <w:t xml:space="preserve">$3.5 million for the </w:t>
      </w:r>
      <w:r w:rsidR="00BD4100">
        <w:t xml:space="preserve">potential </w:t>
      </w:r>
      <w:r w:rsidR="00802284">
        <w:t>costs of</w:t>
      </w:r>
      <w:r w:rsidR="00BD4100">
        <w:t xml:space="preserve"> implementing a temporary solution for </w:t>
      </w:r>
      <w:r w:rsidR="00264BF4">
        <w:t>customers on the old Advanced Billing System.</w:t>
      </w:r>
      <w:r w:rsidRPr="009478EE" w:rsidR="009478EE">
        <w:rPr>
          <w:vertAlign w:val="superscript"/>
        </w:rPr>
        <w:footnoteReference w:id="229"/>
      </w:r>
      <w:r w:rsidR="00264BF4">
        <w:t xml:space="preserve"> </w:t>
      </w:r>
      <w:r>
        <w:t>Since</w:t>
      </w:r>
      <w:r w:rsidR="00657FD2">
        <w:t xml:space="preserve"> </w:t>
      </w:r>
      <w:r w:rsidR="002D1DDA">
        <w:t xml:space="preserve">PG&amp;E needs additional time to </w:t>
      </w:r>
      <w:r w:rsidR="00E555E8">
        <w:t>propose</w:t>
      </w:r>
      <w:r w:rsidR="004C4738">
        <w:t xml:space="preserve"> a solution for customers on the old Advanced Billing System</w:t>
      </w:r>
      <w:r w:rsidR="00657FD2">
        <w:t xml:space="preserve">, we will not approve the estimated costs for </w:t>
      </w:r>
      <w:r w:rsidR="00123BA1">
        <w:t xml:space="preserve">that component of the billing system upgrades </w:t>
      </w:r>
      <w:r w:rsidR="00657FD2">
        <w:t>at this time</w:t>
      </w:r>
      <w:r w:rsidR="004C4738">
        <w:t>.</w:t>
      </w:r>
      <w:r w:rsidR="003427A2">
        <w:t xml:space="preserve"> </w:t>
      </w:r>
    </w:p>
    <w:p w:rsidR="009E54BD" w:rsidP="00887F5A" w:rsidRDefault="00AB4B40" w14:paraId="190AC102" w14:textId="3B2974F8">
      <w:pPr>
        <w:pStyle w:val="Standard"/>
      </w:pPr>
      <w:r>
        <w:t xml:space="preserve">It is reasonable for </w:t>
      </w:r>
      <w:r w:rsidR="00FE0FEF">
        <w:t xml:space="preserve">PG&amp;E </w:t>
      </w:r>
      <w:r>
        <w:t>to</w:t>
      </w:r>
      <w:r w:rsidR="00FE0FEF">
        <w:t xml:space="preserve"> propose</w:t>
      </w:r>
      <w:r w:rsidR="0031152E">
        <w:t xml:space="preserve"> a billing system solution and</w:t>
      </w:r>
      <w:r w:rsidR="004C4738">
        <w:t xml:space="preserve"> implementation costs for</w:t>
      </w:r>
      <w:r w:rsidR="0031152E">
        <w:t xml:space="preserve"> addressing </w:t>
      </w:r>
      <w:r w:rsidR="006724EF">
        <w:t>the Advanced Billing System</w:t>
      </w:r>
      <w:r w:rsidR="004C4738">
        <w:t xml:space="preserve"> </w:t>
      </w:r>
      <w:r w:rsidR="006724EF">
        <w:t xml:space="preserve">in its Tier 3 </w:t>
      </w:r>
      <w:r w:rsidR="00881FF7">
        <w:lastRenderedPageBreak/>
        <w:t xml:space="preserve">implementation </w:t>
      </w:r>
      <w:r w:rsidR="006724EF">
        <w:t xml:space="preserve">advice letter </w:t>
      </w:r>
      <w:r w:rsidR="00EF7D11">
        <w:t xml:space="preserve">or in a future </w:t>
      </w:r>
      <w:r w:rsidR="00972EE9">
        <w:t>application for billing system upgrade costs.</w:t>
      </w:r>
    </w:p>
    <w:p w:rsidR="00802284" w:rsidP="00887F5A" w:rsidRDefault="00E71ED2" w14:paraId="5E5D04BE" w14:textId="0F4BB363">
      <w:pPr>
        <w:pStyle w:val="Standard"/>
      </w:pPr>
      <w:r>
        <w:t xml:space="preserve">The Large Utilities each proposed updates to their customer rates tools. This is consistent with </w:t>
      </w:r>
      <w:r w:rsidR="00DA716B">
        <w:t>our decision to</w:t>
      </w:r>
      <w:r>
        <w:t xml:space="preserve"> </w:t>
      </w:r>
      <w:r w:rsidR="00A74DE8">
        <w:t xml:space="preserve">require </w:t>
      </w:r>
      <w:r w:rsidR="00EF5238">
        <w:t>the Large Utilities’</w:t>
      </w:r>
      <w:r w:rsidR="00A74DE8">
        <w:t xml:space="preserve"> ME&amp;O efforts to include </w:t>
      </w:r>
      <w:r w:rsidR="009F690F">
        <w:t xml:space="preserve">information about </w:t>
      </w:r>
      <w:r w:rsidR="00EF5238">
        <w:t>rate comparison tools.</w:t>
      </w:r>
      <w:r w:rsidR="00461284">
        <w:t xml:space="preserve"> The </w:t>
      </w:r>
      <w:r w:rsidR="009E5BD2">
        <w:t xml:space="preserve">cost of updates to rate comparison tools should be modest. </w:t>
      </w:r>
      <w:r w:rsidR="00710A0B">
        <w:t>SCE proposed only $</w:t>
      </w:r>
      <w:r w:rsidRPr="00710A0B" w:rsidR="00710A0B">
        <w:t>59</w:t>
      </w:r>
      <w:r w:rsidR="00710A0B">
        <w:t xml:space="preserve">,000 for this </w:t>
      </w:r>
      <w:r w:rsidR="001D0ED8">
        <w:t>activity</w:t>
      </w:r>
      <w:r w:rsidR="00DA5ECD">
        <w:t xml:space="preserve">, likely because SCE’s </w:t>
      </w:r>
      <w:r w:rsidR="009B69B5">
        <w:t xml:space="preserve">residential </w:t>
      </w:r>
      <w:r w:rsidR="00DA5ECD">
        <w:t xml:space="preserve">rates </w:t>
      </w:r>
      <w:r w:rsidR="001C4AA8">
        <w:t>currently</w:t>
      </w:r>
      <w:r w:rsidR="00DA5ECD">
        <w:t xml:space="preserve"> include a fixed charge</w:t>
      </w:r>
      <w:r w:rsidR="001D0ED8">
        <w:t>.</w:t>
      </w:r>
      <w:r w:rsidR="00710A0B">
        <w:t xml:space="preserve"> </w:t>
      </w:r>
      <w:r w:rsidR="003F0954">
        <w:t>SDG&amp;E did not provide a justification for why their proposed costs are twice as high as PG&amp;E’s proposed costs.</w:t>
      </w:r>
      <w:r w:rsidRPr="004A6761" w:rsidR="004A6761">
        <w:rPr>
          <w:vertAlign w:val="superscript"/>
        </w:rPr>
        <w:footnoteReference w:id="230"/>
      </w:r>
      <w:r w:rsidR="003F0954">
        <w:t xml:space="preserve"> For this reason, we reduced SDG&amp;E’s budget </w:t>
      </w:r>
      <w:r w:rsidR="004A6804">
        <w:t>for this cost to match PG&amp;E’s budget</w:t>
      </w:r>
      <w:r w:rsidR="00710A0B">
        <w:t>.</w:t>
      </w:r>
      <w:r w:rsidRPr="00AA4E25" w:rsidR="00AA4E25">
        <w:t xml:space="preserve"> </w:t>
      </w:r>
    </w:p>
    <w:p w:rsidR="00731615" w:rsidP="003159A2" w:rsidRDefault="00A83134" w14:paraId="68B988BD" w14:textId="0EC9DCA5">
      <w:pPr>
        <w:pStyle w:val="Standard"/>
      </w:pPr>
      <w:r>
        <w:t xml:space="preserve">Each of the Large Utilities proposed large budgets for </w:t>
      </w:r>
      <w:r w:rsidR="00C242A0">
        <w:t xml:space="preserve">incremental costs of customer support through call centers. </w:t>
      </w:r>
      <w:r w:rsidRPr="003159A2" w:rsidR="003159A2">
        <w:t xml:space="preserve">PG&amp;E’s </w:t>
      </w:r>
      <w:r w:rsidR="003159A2">
        <w:t>estimate</w:t>
      </w:r>
      <w:r w:rsidRPr="003159A2" w:rsidR="003159A2">
        <w:t xml:space="preserve"> assume</w:t>
      </w:r>
      <w:r w:rsidR="003159A2">
        <w:t>d a</w:t>
      </w:r>
      <w:r w:rsidRPr="003159A2" w:rsidR="003159A2">
        <w:t xml:space="preserve"> 50</w:t>
      </w:r>
      <w:r w:rsidR="00C1241D">
        <w:t xml:space="preserve"> percent</w:t>
      </w:r>
      <w:r w:rsidRPr="003159A2" w:rsidR="003159A2">
        <w:t xml:space="preserve"> higher incremental call volume than what they experienced during </w:t>
      </w:r>
      <w:r w:rsidR="003159A2">
        <w:t xml:space="preserve">the </w:t>
      </w:r>
      <w:r w:rsidR="00006E92">
        <w:t>time-of-use</w:t>
      </w:r>
      <w:r w:rsidRPr="003159A2" w:rsidR="003159A2">
        <w:t xml:space="preserve"> </w:t>
      </w:r>
      <w:r w:rsidR="003159A2">
        <w:t>transition, where PG&amp;E</w:t>
      </w:r>
      <w:r w:rsidRPr="003159A2" w:rsidR="003159A2">
        <w:t xml:space="preserve"> received calls from 3.2</w:t>
      </w:r>
      <w:r w:rsidR="00C1241D">
        <w:t xml:space="preserve"> percent</w:t>
      </w:r>
      <w:r w:rsidRPr="003159A2" w:rsidR="003159A2">
        <w:t xml:space="preserve"> of residential customers about </w:t>
      </w:r>
      <w:r w:rsidR="00006E92">
        <w:t>time-of-use</w:t>
      </w:r>
      <w:r w:rsidRPr="003159A2" w:rsidR="003159A2">
        <w:t xml:space="preserve"> rates.</w:t>
      </w:r>
      <w:r w:rsidRPr="00F55303" w:rsidR="00F55303">
        <w:rPr>
          <w:vertAlign w:val="superscript"/>
        </w:rPr>
        <w:footnoteReference w:id="231"/>
      </w:r>
      <w:r w:rsidRPr="003159A2" w:rsidR="003159A2">
        <w:t xml:space="preserve"> </w:t>
      </w:r>
      <w:r w:rsidR="0068019F">
        <w:t xml:space="preserve">We do not expect that </w:t>
      </w:r>
      <w:r w:rsidR="000C66E0">
        <w:t xml:space="preserve">the transition to income-graduated fixed charges will result in a higher call volume than the </w:t>
      </w:r>
      <w:r w:rsidR="00006E92">
        <w:t>time-of-use</w:t>
      </w:r>
      <w:r w:rsidR="000C66E0">
        <w:t xml:space="preserve"> transition. The </w:t>
      </w:r>
      <w:r w:rsidR="00997C2C">
        <w:t xml:space="preserve">new income-graduated fixed charges are modest and will not require </w:t>
      </w:r>
      <w:r w:rsidR="006207F4">
        <w:t>many</w:t>
      </w:r>
      <w:r w:rsidR="00997C2C">
        <w:t xml:space="preserve"> customers to take action to </w:t>
      </w:r>
      <w:r w:rsidR="006207F4">
        <w:t>change income tiers.</w:t>
      </w:r>
      <w:r w:rsidR="00B6367F">
        <w:t xml:space="preserve"> </w:t>
      </w:r>
      <w:r w:rsidR="00205605">
        <w:t>PG&amp;E also assumed that average calls about income-graduated fixed charges would take substantially longer than average calls about other billing-related topics</w:t>
      </w:r>
      <w:r w:rsidR="0068489F">
        <w:t xml:space="preserve"> (11.5 minutes versus 8 minutes)</w:t>
      </w:r>
      <w:r w:rsidR="00205605">
        <w:t xml:space="preserve">. </w:t>
      </w:r>
      <w:r w:rsidR="00255AD2">
        <w:t xml:space="preserve">The </w:t>
      </w:r>
      <w:r w:rsidR="00BD02AE">
        <w:t xml:space="preserve">adopted design of </w:t>
      </w:r>
      <w:r w:rsidR="00255AD2">
        <w:t xml:space="preserve">income-graduated fixed charges </w:t>
      </w:r>
      <w:r w:rsidR="00BD02AE">
        <w:t>is</w:t>
      </w:r>
      <w:r w:rsidR="00255AD2">
        <w:t xml:space="preserve"> simple</w:t>
      </w:r>
      <w:r w:rsidR="0034734C">
        <w:t xml:space="preserve"> compared with time-of-use rates</w:t>
      </w:r>
      <w:r w:rsidR="00255AD2">
        <w:t xml:space="preserve"> and should not take more time to discuss than other billing-related topics.</w:t>
      </w:r>
      <w:r w:rsidR="00205605">
        <w:t xml:space="preserve"> </w:t>
      </w:r>
      <w:r w:rsidR="00B6367F">
        <w:t xml:space="preserve">Accordingly, this decision </w:t>
      </w:r>
      <w:r w:rsidR="00B6367F">
        <w:lastRenderedPageBreak/>
        <w:t xml:space="preserve">adjusted the budget for PG&amp;E’s call center costs to </w:t>
      </w:r>
      <w:r w:rsidR="0065679C">
        <w:t>allow for up to 3.2</w:t>
      </w:r>
      <w:r w:rsidR="00C1241D">
        <w:t xml:space="preserve"> percent</w:t>
      </w:r>
      <w:r w:rsidR="0065679C">
        <w:t xml:space="preserve"> of residential customers to </w:t>
      </w:r>
      <w:r w:rsidR="0070505A">
        <w:t xml:space="preserve">call </w:t>
      </w:r>
      <w:r w:rsidR="00550C46">
        <w:t xml:space="preserve">about the </w:t>
      </w:r>
      <w:r w:rsidR="005A6240">
        <w:t>income-graduated fixed charges during the initial roll out period</w:t>
      </w:r>
      <w:r w:rsidR="00255AD2">
        <w:t xml:space="preserve"> and spend an average of 8 minutes</w:t>
      </w:r>
      <w:r w:rsidR="00627F32">
        <w:t xml:space="preserve"> on these calls</w:t>
      </w:r>
      <w:r w:rsidR="005A6240">
        <w:t>.</w:t>
      </w:r>
    </w:p>
    <w:p w:rsidR="002062A2" w:rsidP="00DC7676" w:rsidRDefault="005A6240" w14:paraId="3FAB7164" w14:textId="4993C568">
      <w:pPr>
        <w:pStyle w:val="Standard"/>
      </w:pPr>
      <w:r>
        <w:t xml:space="preserve">SCE </w:t>
      </w:r>
      <w:r w:rsidR="000D719E">
        <w:t xml:space="preserve">commented that </w:t>
      </w:r>
      <w:r w:rsidR="00C16888">
        <w:t>8</w:t>
      </w:r>
      <w:r w:rsidR="00C1241D">
        <w:t xml:space="preserve"> percent</w:t>
      </w:r>
      <w:r w:rsidR="00C16888">
        <w:t xml:space="preserve"> of residential customers</w:t>
      </w:r>
      <w:r w:rsidR="00BA23B1">
        <w:t xml:space="preserve"> </w:t>
      </w:r>
      <w:r w:rsidR="00244826">
        <w:t xml:space="preserve">affected by the </w:t>
      </w:r>
      <w:r w:rsidR="00006E92">
        <w:t>time-of-use</w:t>
      </w:r>
      <w:r w:rsidR="00F2521E">
        <w:t xml:space="preserve"> transition </w:t>
      </w:r>
      <w:r w:rsidR="00A251BA">
        <w:t>contacted a call center during the transition.</w:t>
      </w:r>
      <w:r w:rsidR="007B1314">
        <w:t xml:space="preserve"> SCE estimated that 8</w:t>
      </w:r>
      <w:r w:rsidR="00C1241D">
        <w:t xml:space="preserve"> percent</w:t>
      </w:r>
      <w:r w:rsidR="007B1314">
        <w:t xml:space="preserve"> of CARE customers </w:t>
      </w:r>
      <w:r w:rsidR="00710759">
        <w:t>with incomes under 100</w:t>
      </w:r>
      <w:r w:rsidR="00C1241D">
        <w:t xml:space="preserve"> percent</w:t>
      </w:r>
      <w:r w:rsidR="00710759">
        <w:t xml:space="preserve"> of Federal Poverty Guidelines</w:t>
      </w:r>
      <w:r w:rsidR="001669FE">
        <w:t xml:space="preserve"> would call about providing income data</w:t>
      </w:r>
      <w:r w:rsidR="0056637F">
        <w:t xml:space="preserve">, </w:t>
      </w:r>
      <w:r w:rsidR="00D762BB">
        <w:t>an a</w:t>
      </w:r>
      <w:r w:rsidR="00086FFF">
        <w:t xml:space="preserve">dditional group of CARE customers with significantly changed income levels would </w:t>
      </w:r>
      <w:r w:rsidR="00980945">
        <w:t>call about qualifying for the lowest income tier,</w:t>
      </w:r>
      <w:r w:rsidR="00E54F47">
        <w:t xml:space="preserve"> and 7</w:t>
      </w:r>
      <w:r w:rsidR="00C1241D">
        <w:t xml:space="preserve"> percent</w:t>
      </w:r>
      <w:r w:rsidR="00E54F47">
        <w:t xml:space="preserve"> of non-CARE customers would call </w:t>
      </w:r>
      <w:r w:rsidR="001669FE">
        <w:t>with billing questions about income-graduated fixed charges.</w:t>
      </w:r>
      <w:r w:rsidRPr="00F55303" w:rsidR="00F55303">
        <w:rPr>
          <w:vertAlign w:val="superscript"/>
        </w:rPr>
        <w:footnoteReference w:id="232"/>
      </w:r>
      <w:r w:rsidR="004B3EAA">
        <w:t xml:space="preserve"> </w:t>
      </w:r>
    </w:p>
    <w:p w:rsidR="00A12B46" w:rsidP="003159A2" w:rsidRDefault="004B3EAA" w14:paraId="560B4905" w14:textId="535C45FE">
      <w:pPr>
        <w:pStyle w:val="Standard"/>
      </w:pPr>
      <w:r>
        <w:t xml:space="preserve">We do not expect such a high percentage of SCE’s customers to contact a call center during the transition to income-graduated fixed charges. The </w:t>
      </w:r>
      <w:r w:rsidR="0034734C">
        <w:t xml:space="preserve">adopted design of </w:t>
      </w:r>
      <w:r w:rsidR="00C115D6">
        <w:t xml:space="preserve">income-graduated fixed charges </w:t>
      </w:r>
      <w:r w:rsidR="0034734C">
        <w:t>is</w:t>
      </w:r>
      <w:r w:rsidR="001B198A">
        <w:t xml:space="preserve"> simple </w:t>
      </w:r>
      <w:r w:rsidR="00B64BC5">
        <w:t xml:space="preserve">compared with SCE’s </w:t>
      </w:r>
      <w:r w:rsidR="00006E92">
        <w:t>time-of-use</w:t>
      </w:r>
      <w:r w:rsidR="00B64BC5">
        <w:t xml:space="preserve"> rate</w:t>
      </w:r>
      <w:r w:rsidR="00C81A8A">
        <w:t xml:space="preserve"> </w:t>
      </w:r>
      <w:r w:rsidR="001E2F38">
        <w:t>designs</w:t>
      </w:r>
      <w:r w:rsidR="001B198A">
        <w:t xml:space="preserve"> and do not require many customers to take any action.</w:t>
      </w:r>
      <w:r w:rsidR="00A3628F">
        <w:t xml:space="preserve"> </w:t>
      </w:r>
      <w:r w:rsidR="007822AD">
        <w:t xml:space="preserve">We expect </w:t>
      </w:r>
      <w:r w:rsidR="007A4C15">
        <w:t>PG&amp;E</w:t>
      </w:r>
      <w:r w:rsidR="00FC142F">
        <w:t xml:space="preserve"> customers’ </w:t>
      </w:r>
      <w:r w:rsidR="00A12B46">
        <w:t>call volume for</w:t>
      </w:r>
      <w:r w:rsidR="00FC142F">
        <w:t xml:space="preserve"> the time-of-use transition to be more reflective of </w:t>
      </w:r>
      <w:r w:rsidR="0017317A">
        <w:t>how customers will respond to income-graduated fixed charge</w:t>
      </w:r>
      <w:r w:rsidR="005A20B1">
        <w:t>s</w:t>
      </w:r>
      <w:r w:rsidR="00A042C7">
        <w:t xml:space="preserve"> than SCE customers’ experience</w:t>
      </w:r>
      <w:r w:rsidR="0017317A">
        <w:t xml:space="preserve">, given that PG&amp;E’s </w:t>
      </w:r>
      <w:r w:rsidR="003606FE">
        <w:t>two period time-of-use rate</w:t>
      </w:r>
      <w:r w:rsidR="00400C70">
        <w:t>s</w:t>
      </w:r>
      <w:r w:rsidR="003606FE">
        <w:t xml:space="preserve"> </w:t>
      </w:r>
      <w:r w:rsidR="00400C70">
        <w:t>are</w:t>
      </w:r>
      <w:r w:rsidR="00842201">
        <w:t xml:space="preserve"> much easier to understand</w:t>
      </w:r>
      <w:r w:rsidR="00A042C7">
        <w:t xml:space="preserve"> than SCE’s three period </w:t>
      </w:r>
      <w:r w:rsidR="00FE5B55">
        <w:t xml:space="preserve">time-of-use </w:t>
      </w:r>
      <w:r w:rsidR="00A042C7">
        <w:t xml:space="preserve">rates. </w:t>
      </w:r>
      <w:r w:rsidR="00AA6B06">
        <w:t xml:space="preserve">Further, </w:t>
      </w:r>
      <w:r w:rsidR="0013081D">
        <w:t xml:space="preserve">SCE’s proposal included the costs of </w:t>
      </w:r>
      <w:r w:rsidR="000D73ED">
        <w:t xml:space="preserve">customers calling to provide proof of </w:t>
      </w:r>
      <w:r w:rsidR="00817E70">
        <w:t>incomes below 100</w:t>
      </w:r>
      <w:r w:rsidR="00C1241D">
        <w:t xml:space="preserve"> percent</w:t>
      </w:r>
      <w:r w:rsidR="00817E70">
        <w:t xml:space="preserve"> of Federal Poverty Guidelines to qualify for the first tier</w:t>
      </w:r>
      <w:r w:rsidR="00D047E4">
        <w:t xml:space="preserve">, which </w:t>
      </w:r>
      <w:r w:rsidR="00013DBE">
        <w:t xml:space="preserve">relates to </w:t>
      </w:r>
      <w:r w:rsidR="003657BC">
        <w:t>a provision</w:t>
      </w:r>
      <w:r w:rsidR="00013DBE">
        <w:t xml:space="preserve"> of the Large Utilities’ proposal that </w:t>
      </w:r>
      <w:r w:rsidR="00EB4928">
        <w:t>this decision did not approve.</w:t>
      </w:r>
      <w:r w:rsidR="0013081D">
        <w:t xml:space="preserve"> </w:t>
      </w:r>
    </w:p>
    <w:p w:rsidR="00CE33A8" w:rsidP="00C93B5F" w:rsidRDefault="006223AD" w14:paraId="00B70FC2" w14:textId="64C1FDF0">
      <w:pPr>
        <w:pStyle w:val="Standard"/>
      </w:pPr>
      <w:r>
        <w:t>In accordance with our budget adjustments for PG&amp;E, we</w:t>
      </w:r>
      <w:r w:rsidR="00A3628F">
        <w:t xml:space="preserve"> adjusted the budget for SCE’s call center costs to allow up to 3.2</w:t>
      </w:r>
      <w:r w:rsidR="00C1241D">
        <w:t xml:space="preserve"> percent</w:t>
      </w:r>
      <w:r w:rsidR="00A3628F">
        <w:t xml:space="preserve"> of </w:t>
      </w:r>
      <w:r w:rsidR="00256063">
        <w:t xml:space="preserve">all </w:t>
      </w:r>
      <w:r w:rsidR="00A3628F">
        <w:t xml:space="preserve">residential </w:t>
      </w:r>
      <w:r w:rsidR="00A3628F">
        <w:lastRenderedPageBreak/>
        <w:t xml:space="preserve">customers </w:t>
      </w:r>
      <w:r w:rsidRPr="00A3628F" w:rsidR="00A3628F">
        <w:t>to call about the income-graduated fixed charges during the initial roll out period</w:t>
      </w:r>
      <w:r w:rsidR="00A3628F">
        <w:t>.</w:t>
      </w:r>
      <w:r w:rsidR="00FA28AB">
        <w:t xml:space="preserve"> </w:t>
      </w:r>
      <w:r w:rsidR="00F9594C">
        <w:t xml:space="preserve">Applying this assumption to SCE’s residential customer class of 4.5 million customers produces an anticipated incremental call volume of </w:t>
      </w:r>
      <w:r w:rsidR="00A30577">
        <w:t>144,000 as opposed to SCE’s estimate of 271,000.</w:t>
      </w:r>
      <w:r w:rsidR="00FA28AB">
        <w:t xml:space="preserve"> </w:t>
      </w:r>
      <w:r w:rsidR="002E0FDE">
        <w:t>Call</w:t>
      </w:r>
      <w:r w:rsidR="006B39C6">
        <w:t xml:space="preserve"> center costs </w:t>
      </w:r>
      <w:r w:rsidR="002E0FDE">
        <w:t>were scaled down accordingly for a</w:t>
      </w:r>
      <w:r w:rsidR="006B39C6">
        <w:t xml:space="preserve">ll costs other than </w:t>
      </w:r>
      <w:r w:rsidR="00D772F4">
        <w:t xml:space="preserve">training and </w:t>
      </w:r>
      <w:r w:rsidR="002924EC">
        <w:t>interactive voice recognition</w:t>
      </w:r>
      <w:r w:rsidR="008028BC">
        <w:t xml:space="preserve"> software</w:t>
      </w:r>
      <w:r w:rsidR="002924EC">
        <w:t xml:space="preserve"> </w:t>
      </w:r>
      <w:r w:rsidR="00D772F4">
        <w:t>upgrade costs (</w:t>
      </w:r>
      <w:r w:rsidR="00676ABD">
        <w:t>$1.</w:t>
      </w:r>
      <w:r w:rsidR="00CF172E">
        <w:t xml:space="preserve">759 million </w:t>
      </w:r>
      <w:r w:rsidR="00676ABD">
        <w:t>and $150</w:t>
      </w:r>
      <w:r w:rsidR="00CF172E">
        <w:t>,000</w:t>
      </w:r>
      <w:r w:rsidR="00676ABD">
        <w:t xml:space="preserve">, respectively) since those </w:t>
      </w:r>
      <w:r w:rsidR="005B3B6E">
        <w:t xml:space="preserve">costs </w:t>
      </w:r>
      <w:r w:rsidR="001004B0">
        <w:t xml:space="preserve">do not </w:t>
      </w:r>
      <w:r w:rsidR="00BE43E8">
        <w:t>scale with call volume.</w:t>
      </w:r>
      <w:r w:rsidR="00C93B5F">
        <w:t xml:space="preserve"> </w:t>
      </w:r>
    </w:p>
    <w:p w:rsidR="00033BE2" w:rsidP="00DC7676" w:rsidRDefault="00D8180D" w14:paraId="6ADF3FE3" w14:textId="06B002FA">
      <w:pPr>
        <w:pStyle w:val="Standard"/>
      </w:pPr>
      <w:r>
        <w:t>SDG&amp;E assumed that t</w:t>
      </w:r>
      <w:r w:rsidR="009C1BDE">
        <w:t>he Customer Care Center would receive 8</w:t>
      </w:r>
      <w:r w:rsidR="000A4519">
        <w:t xml:space="preserve"> percent</w:t>
      </w:r>
      <w:r w:rsidR="009C1BDE">
        <w:t xml:space="preserve"> incremental call volume </w:t>
      </w:r>
      <w:r w:rsidR="00D06EFD">
        <w:t xml:space="preserve">in 2025 </w:t>
      </w:r>
      <w:r w:rsidR="00860493">
        <w:t>compared to the average for 2019 through 2022</w:t>
      </w:r>
      <w:r w:rsidR="0023329D">
        <w:t xml:space="preserve"> </w:t>
      </w:r>
      <w:r w:rsidR="0096603B">
        <w:t>(</w:t>
      </w:r>
      <w:r w:rsidR="0023329D">
        <w:t>or 123,000 additional calls</w:t>
      </w:r>
      <w:r w:rsidR="0096603B">
        <w:t>)</w:t>
      </w:r>
      <w:r w:rsidR="005F04AD">
        <w:t xml:space="preserve"> relating to </w:t>
      </w:r>
      <w:r w:rsidR="0096603B">
        <w:t>fixed charges and general inquiries</w:t>
      </w:r>
      <w:r w:rsidR="00860493">
        <w:t xml:space="preserve">. </w:t>
      </w:r>
      <w:r w:rsidR="00366198">
        <w:t xml:space="preserve">This </w:t>
      </w:r>
      <w:r w:rsidR="00E87D38">
        <w:t>would be</w:t>
      </w:r>
      <w:r w:rsidR="00366198">
        <w:t xml:space="preserve"> approximately </w:t>
      </w:r>
      <w:r w:rsidR="000A4519">
        <w:t xml:space="preserve">9 percent of SDG&amp;E’s residential </w:t>
      </w:r>
      <w:r w:rsidR="00E87D38">
        <w:t>customers.</w:t>
      </w:r>
      <w:r w:rsidR="00B86BFA">
        <w:t xml:space="preserve"> </w:t>
      </w:r>
      <w:r w:rsidR="00747769">
        <w:t xml:space="preserve">We expect that the incremental call volume for income-graduated fixed charges should be similar to the incremental call volume for a transition to time-of-use rates. </w:t>
      </w:r>
      <w:r w:rsidR="008A58F4">
        <w:t xml:space="preserve">SDG&amp;E </w:t>
      </w:r>
      <w:r w:rsidR="00EE10DF">
        <w:t>commented</w:t>
      </w:r>
      <w:r w:rsidR="004E79AF">
        <w:t xml:space="preserve"> that they do not have a</w:t>
      </w:r>
      <w:r w:rsidR="00B36033">
        <w:t>n accurate estimate for the number of calls they received during the time-of-use transition that were truly related to time-of-use.</w:t>
      </w:r>
      <w:r w:rsidR="00EE10DF">
        <w:rPr>
          <w:rStyle w:val="FootnoteReference"/>
        </w:rPr>
        <w:footnoteReference w:id="233"/>
      </w:r>
      <w:r w:rsidR="00B36033">
        <w:t xml:space="preserve"> </w:t>
      </w:r>
      <w:r w:rsidR="005E1838">
        <w:t>Accordingly, we</w:t>
      </w:r>
      <w:r w:rsidR="00B36033">
        <w:t xml:space="preserve"> will apply t</w:t>
      </w:r>
      <w:r w:rsidR="003A55AE">
        <w:t>he incremental call volume</w:t>
      </w:r>
      <w:r w:rsidR="005E1838">
        <w:t xml:space="preserve"> percentage</w:t>
      </w:r>
      <w:r w:rsidR="003A55AE">
        <w:t xml:space="preserve"> that PG&amp;E experienced</w:t>
      </w:r>
      <w:r w:rsidR="005E1838">
        <w:t xml:space="preserve"> during its time-of-use transition (3.2 percent)</w:t>
      </w:r>
      <w:r w:rsidR="003A55AE">
        <w:t xml:space="preserve"> </w:t>
      </w:r>
      <w:r w:rsidR="0000551C">
        <w:t>to adjust SDG&amp;E’s estimate.</w:t>
      </w:r>
      <w:r w:rsidR="00273687">
        <w:t xml:space="preserve"> </w:t>
      </w:r>
    </w:p>
    <w:p w:rsidR="009F013F" w:rsidP="00DC7676" w:rsidRDefault="009951A3" w14:paraId="7F454CCF" w14:textId="14A26AED">
      <w:pPr>
        <w:pStyle w:val="Standard"/>
      </w:pPr>
      <w:r>
        <w:t xml:space="preserve">For the reasons discussed above, we adjusted SDG&amp;E’s </w:t>
      </w:r>
      <w:r w:rsidR="00655689">
        <w:t xml:space="preserve">budget for additional call center volume to allow for </w:t>
      </w:r>
      <w:r w:rsidR="00085830">
        <w:t>3.2</w:t>
      </w:r>
      <w:r w:rsidR="00C1241D">
        <w:t xml:space="preserve"> percent</w:t>
      </w:r>
      <w:r w:rsidR="00085830">
        <w:t xml:space="preserve"> of all residential customers to </w:t>
      </w:r>
      <w:r w:rsidR="00173130">
        <w:t>call about income-graduated fixed charges</w:t>
      </w:r>
      <w:r w:rsidR="004A331D">
        <w:t xml:space="preserve"> </w:t>
      </w:r>
      <w:r w:rsidR="003D2D77">
        <w:t>(</w:t>
      </w:r>
      <w:r w:rsidR="009B7C5F">
        <w:t xml:space="preserve">rather than </w:t>
      </w:r>
      <w:r w:rsidR="004A331D">
        <w:t>9 percent</w:t>
      </w:r>
      <w:r w:rsidR="009B7C5F">
        <w:t>)</w:t>
      </w:r>
      <w:r w:rsidR="00173130">
        <w:t>.</w:t>
      </w:r>
      <w:r w:rsidR="00701E44">
        <w:t xml:space="preserve"> </w:t>
      </w:r>
      <w:r w:rsidR="004A331D">
        <w:t xml:space="preserve">This adjustment was applied to </w:t>
      </w:r>
      <w:r w:rsidR="00816448">
        <w:t xml:space="preserve">all call center costs </w:t>
      </w:r>
      <w:r w:rsidR="00A77459">
        <w:t xml:space="preserve">other than the </w:t>
      </w:r>
      <w:r w:rsidR="009B7C5F">
        <w:t xml:space="preserve">estimated </w:t>
      </w:r>
      <w:r w:rsidR="00A77459">
        <w:t>$1.125</w:t>
      </w:r>
      <w:r w:rsidR="002812BB">
        <w:t> </w:t>
      </w:r>
      <w:r w:rsidR="009B7C5F">
        <w:t>million</w:t>
      </w:r>
      <w:r w:rsidR="00A77459">
        <w:t xml:space="preserve"> of non-labor costs</w:t>
      </w:r>
      <w:r w:rsidR="000D24C2">
        <w:t>, which we expect will not be re</w:t>
      </w:r>
      <w:r w:rsidR="003278A3">
        <w:t>duced with lower call volumes</w:t>
      </w:r>
      <w:r w:rsidR="00F61140">
        <w:t>.</w:t>
      </w:r>
    </w:p>
    <w:p w:rsidR="003159A2" w:rsidP="00887F5A" w:rsidRDefault="00390E8C" w14:paraId="3F4534AE" w14:textId="22FF077F">
      <w:pPr>
        <w:pStyle w:val="Standard"/>
      </w:pPr>
      <w:r>
        <w:lastRenderedPageBreak/>
        <w:t xml:space="preserve">Each of the Large Utilities also proposed </w:t>
      </w:r>
      <w:r w:rsidR="00834FE8">
        <w:t xml:space="preserve">budgets for program and product management. </w:t>
      </w:r>
      <w:r w:rsidR="00A95577">
        <w:t xml:space="preserve">SCE proposed a </w:t>
      </w:r>
      <w:r w:rsidR="00F712A6">
        <w:t>budget of $550,000 for this purpose.</w:t>
      </w:r>
      <w:r w:rsidRPr="00D25232" w:rsidR="00D25232">
        <w:rPr>
          <w:vertAlign w:val="superscript"/>
        </w:rPr>
        <w:footnoteReference w:id="234"/>
      </w:r>
      <w:r w:rsidR="00F712A6">
        <w:t xml:space="preserve"> No party objected to this proposed budget line-item. We agree that a budget of $550,000 for </w:t>
      </w:r>
      <w:r w:rsidR="00520FD1">
        <w:t xml:space="preserve">SCE’s program and product management for implementing income-graduated fixed charges is reasonable. </w:t>
      </w:r>
    </w:p>
    <w:p w:rsidR="00834FE8" w:rsidP="00D25232" w:rsidRDefault="00520FD1" w14:paraId="159B8BEC" w14:textId="3E632D3E">
      <w:pPr>
        <w:pStyle w:val="Standard"/>
      </w:pPr>
      <w:r>
        <w:t xml:space="preserve">PG&amp;E </w:t>
      </w:r>
      <w:r w:rsidR="000C6ABC">
        <w:t xml:space="preserve">and </w:t>
      </w:r>
      <w:r w:rsidR="00354A9E">
        <w:t xml:space="preserve">SDG&amp;E proposed </w:t>
      </w:r>
      <w:r w:rsidR="00455324">
        <w:t xml:space="preserve">budgets of $2.445 million and $1.56 million respectively for program and product management. </w:t>
      </w:r>
      <w:r w:rsidR="009478EE">
        <w:t>Neither party pro</w:t>
      </w:r>
      <w:r w:rsidR="00C56794">
        <w:t xml:space="preserve">vided a justification for why their proposed costs </w:t>
      </w:r>
      <w:r w:rsidR="00F63E67">
        <w:t xml:space="preserve">are </w:t>
      </w:r>
      <w:r w:rsidR="00795017">
        <w:t>roughly three</w:t>
      </w:r>
      <w:r w:rsidR="00156D4D">
        <w:t xml:space="preserve"> to </w:t>
      </w:r>
      <w:r w:rsidR="00795017">
        <w:t xml:space="preserve">four times higher </w:t>
      </w:r>
      <w:r w:rsidR="0039495A">
        <w:t xml:space="preserve">than SCE’s proposed costs for the same activities. </w:t>
      </w:r>
      <w:r w:rsidR="00173130">
        <w:t xml:space="preserve">This decision adjusted </w:t>
      </w:r>
      <w:r w:rsidR="00CE65E3">
        <w:t xml:space="preserve">each </w:t>
      </w:r>
      <w:r w:rsidR="00884C35">
        <w:t>of PG&amp;E’s and SDG&amp;E’s budgets for program and product management to match SCE’s proposed budget.</w:t>
      </w:r>
    </w:p>
    <w:p w:rsidR="0013498F" w:rsidP="00D25232" w:rsidRDefault="0013498F" w14:paraId="03F0422E" w14:textId="7534A6CE">
      <w:pPr>
        <w:pStyle w:val="Standard"/>
      </w:pPr>
      <w:r>
        <w:t xml:space="preserve">It is reasonable to adopt the </w:t>
      </w:r>
      <w:r w:rsidR="003B0B0B">
        <w:t xml:space="preserve">implementation budgets for the Large Utilities in Table </w:t>
      </w:r>
      <w:r w:rsidR="00E16A59">
        <w:t>7</w:t>
      </w:r>
      <w:r w:rsidR="003B0B0B">
        <w:t xml:space="preserve"> below.</w:t>
      </w:r>
    </w:p>
    <w:p w:rsidRPr="001773B3" w:rsidR="00170F47" w:rsidP="00170F47" w:rsidRDefault="00170F47" w14:paraId="7616CB02" w14:textId="7737DB53">
      <w:pPr>
        <w:pStyle w:val="Standard"/>
        <w:ind w:firstLine="0"/>
        <w:rPr>
          <w:b/>
        </w:rPr>
      </w:pPr>
      <w:r w:rsidRPr="001773B3">
        <w:rPr>
          <w:b/>
        </w:rPr>
        <w:t xml:space="preserve">Table </w:t>
      </w:r>
      <w:r w:rsidR="00E16A59">
        <w:rPr>
          <w:b/>
        </w:rPr>
        <w:t>7</w:t>
      </w:r>
      <w:r w:rsidRPr="001773B3">
        <w:rPr>
          <w:b/>
        </w:rPr>
        <w:t xml:space="preserve">: Large Utilities’ </w:t>
      </w:r>
      <w:r w:rsidRPr="001773B3" w:rsidR="00F00C88">
        <w:rPr>
          <w:b/>
        </w:rPr>
        <w:t xml:space="preserve">Approved </w:t>
      </w:r>
      <w:r w:rsidRPr="001773B3" w:rsidR="00BD4100">
        <w:rPr>
          <w:b/>
        </w:rPr>
        <w:t>Implementation</w:t>
      </w:r>
      <w:r w:rsidRPr="001773B3" w:rsidR="00F00C88">
        <w:rPr>
          <w:b/>
        </w:rPr>
        <w:t xml:space="preserve"> Budgets</w:t>
      </w:r>
    </w:p>
    <w:tbl>
      <w:tblPr>
        <w:tblStyle w:val="TableGrid"/>
        <w:tblW w:w="0" w:type="auto"/>
        <w:tblLook w:val="04A0" w:firstRow="1" w:lastRow="0" w:firstColumn="1" w:lastColumn="0" w:noHBand="0" w:noVBand="1"/>
      </w:tblPr>
      <w:tblGrid>
        <w:gridCol w:w="3955"/>
        <w:gridCol w:w="1800"/>
        <w:gridCol w:w="1800"/>
        <w:gridCol w:w="1795"/>
      </w:tblGrid>
      <w:tr w:rsidR="00170F47" w14:paraId="1A6E8B52" w14:textId="77777777">
        <w:tc>
          <w:tcPr>
            <w:tcW w:w="3955" w:type="dxa"/>
          </w:tcPr>
          <w:p w:rsidR="00170F47" w:rsidRDefault="00170F47" w14:paraId="637714D8" w14:textId="77777777">
            <w:pPr>
              <w:pStyle w:val="Standard"/>
              <w:spacing w:after="120" w:line="240" w:lineRule="auto"/>
              <w:ind w:firstLine="0"/>
            </w:pPr>
            <w:r>
              <w:t>Activity</w:t>
            </w:r>
          </w:p>
        </w:tc>
        <w:tc>
          <w:tcPr>
            <w:tcW w:w="1800" w:type="dxa"/>
          </w:tcPr>
          <w:p w:rsidR="00170F47" w:rsidRDefault="00170F47" w14:paraId="6A678BE4" w14:textId="77777777">
            <w:pPr>
              <w:pStyle w:val="Standard"/>
              <w:spacing w:after="120" w:line="240" w:lineRule="auto"/>
              <w:ind w:firstLine="0"/>
              <w:jc w:val="right"/>
            </w:pPr>
            <w:r>
              <w:t xml:space="preserve">PG&amp;E </w:t>
            </w:r>
            <w:r>
              <w:br/>
              <w:t>($ millions)</w:t>
            </w:r>
          </w:p>
        </w:tc>
        <w:tc>
          <w:tcPr>
            <w:tcW w:w="1800" w:type="dxa"/>
          </w:tcPr>
          <w:p w:rsidR="00170F47" w:rsidRDefault="00170F47" w14:paraId="216E9979" w14:textId="77777777">
            <w:pPr>
              <w:pStyle w:val="Standard"/>
              <w:spacing w:after="120" w:line="240" w:lineRule="auto"/>
              <w:ind w:firstLine="0"/>
              <w:jc w:val="right"/>
            </w:pPr>
            <w:r>
              <w:t>SCE</w:t>
            </w:r>
            <w:r>
              <w:br/>
            </w:r>
            <w:r w:rsidRPr="00E3162C">
              <w:t xml:space="preserve">($ </w:t>
            </w:r>
            <w:r w:rsidRPr="00387B48">
              <w:t>millions</w:t>
            </w:r>
            <w:r w:rsidRPr="00E3162C">
              <w:t>)</w:t>
            </w:r>
          </w:p>
        </w:tc>
        <w:tc>
          <w:tcPr>
            <w:tcW w:w="1795" w:type="dxa"/>
          </w:tcPr>
          <w:p w:rsidR="00170F47" w:rsidRDefault="00170F47" w14:paraId="2B028329" w14:textId="77777777">
            <w:pPr>
              <w:pStyle w:val="Standard"/>
              <w:spacing w:after="120" w:line="240" w:lineRule="auto"/>
              <w:ind w:firstLine="0"/>
              <w:jc w:val="right"/>
            </w:pPr>
            <w:r>
              <w:t>SDG&amp;E</w:t>
            </w:r>
            <w:r>
              <w:br/>
            </w:r>
            <w:r w:rsidRPr="00E3162C">
              <w:t xml:space="preserve">($ </w:t>
            </w:r>
            <w:r>
              <w:t>millions</w:t>
            </w:r>
            <w:r w:rsidRPr="00E3162C">
              <w:t>)</w:t>
            </w:r>
          </w:p>
        </w:tc>
      </w:tr>
      <w:tr w:rsidR="00170F47" w14:paraId="3DF4500F" w14:textId="77777777">
        <w:tc>
          <w:tcPr>
            <w:tcW w:w="3955" w:type="dxa"/>
          </w:tcPr>
          <w:p w:rsidR="00170F47" w:rsidRDefault="00170F47" w14:paraId="1DE390F3" w14:textId="77777777">
            <w:pPr>
              <w:pStyle w:val="Standard"/>
              <w:spacing w:after="120" w:line="240" w:lineRule="auto"/>
              <w:ind w:firstLine="0"/>
            </w:pPr>
            <w:r>
              <w:t>Income Verification</w:t>
            </w:r>
          </w:p>
        </w:tc>
        <w:tc>
          <w:tcPr>
            <w:tcW w:w="1800" w:type="dxa"/>
          </w:tcPr>
          <w:p w:rsidR="00170F47" w:rsidRDefault="00170F47" w14:paraId="3E3C6AAE" w14:textId="0C7897FB">
            <w:pPr>
              <w:pStyle w:val="Standard"/>
              <w:spacing w:after="120" w:line="240" w:lineRule="auto"/>
              <w:ind w:firstLine="0"/>
              <w:jc w:val="right"/>
            </w:pPr>
            <w:r>
              <w:t>$</w:t>
            </w:r>
            <w:r w:rsidR="0026295A">
              <w:t>0</w:t>
            </w:r>
          </w:p>
        </w:tc>
        <w:tc>
          <w:tcPr>
            <w:tcW w:w="1800" w:type="dxa"/>
          </w:tcPr>
          <w:p w:rsidR="00170F47" w:rsidRDefault="00170F47" w14:paraId="2ED57C17" w14:textId="4B9D0765">
            <w:pPr>
              <w:pStyle w:val="Standard"/>
              <w:spacing w:after="120" w:line="240" w:lineRule="auto"/>
              <w:ind w:firstLine="0"/>
              <w:jc w:val="right"/>
            </w:pPr>
            <w:r>
              <w:t>$</w:t>
            </w:r>
            <w:r w:rsidR="0026295A">
              <w:t>0</w:t>
            </w:r>
          </w:p>
        </w:tc>
        <w:tc>
          <w:tcPr>
            <w:tcW w:w="1795" w:type="dxa"/>
          </w:tcPr>
          <w:p w:rsidR="00170F47" w:rsidRDefault="00170F47" w14:paraId="4F0640E4" w14:textId="0EB04E39">
            <w:pPr>
              <w:pStyle w:val="Standard"/>
              <w:spacing w:after="120" w:line="240" w:lineRule="auto"/>
              <w:ind w:firstLine="0"/>
              <w:jc w:val="right"/>
            </w:pPr>
            <w:r>
              <w:t>$</w:t>
            </w:r>
            <w:r w:rsidR="0026295A">
              <w:t>0</w:t>
            </w:r>
          </w:p>
        </w:tc>
      </w:tr>
      <w:tr w:rsidR="00170F47" w14:paraId="2EDED52B" w14:textId="77777777">
        <w:tc>
          <w:tcPr>
            <w:tcW w:w="3955" w:type="dxa"/>
          </w:tcPr>
          <w:p w:rsidR="00170F47" w:rsidRDefault="00170F47" w14:paraId="60B01222" w14:textId="77777777">
            <w:pPr>
              <w:pStyle w:val="Standard"/>
              <w:spacing w:after="120" w:line="240" w:lineRule="auto"/>
              <w:ind w:firstLine="0"/>
            </w:pPr>
            <w:r>
              <w:t>Billing System</w:t>
            </w:r>
          </w:p>
        </w:tc>
        <w:tc>
          <w:tcPr>
            <w:tcW w:w="1800" w:type="dxa"/>
          </w:tcPr>
          <w:p w:rsidR="00170F47" w:rsidRDefault="0026295A" w14:paraId="5DB49584" w14:textId="6D863E48">
            <w:pPr>
              <w:pStyle w:val="Standard"/>
              <w:spacing w:after="120" w:line="240" w:lineRule="auto"/>
              <w:ind w:firstLine="0"/>
              <w:jc w:val="right"/>
            </w:pPr>
            <w:r>
              <w:t>$</w:t>
            </w:r>
            <w:r w:rsidR="00EE70F9">
              <w:t>5.745</w:t>
            </w:r>
          </w:p>
        </w:tc>
        <w:tc>
          <w:tcPr>
            <w:tcW w:w="1800" w:type="dxa"/>
          </w:tcPr>
          <w:p w:rsidR="00170F47" w:rsidRDefault="0026295A" w14:paraId="73D8C9C2" w14:textId="3CDB15EB">
            <w:pPr>
              <w:pStyle w:val="Standard"/>
              <w:spacing w:after="120" w:line="240" w:lineRule="auto"/>
              <w:ind w:firstLine="0"/>
              <w:jc w:val="right"/>
            </w:pPr>
            <w:r>
              <w:t>$2.900</w:t>
            </w:r>
          </w:p>
        </w:tc>
        <w:tc>
          <w:tcPr>
            <w:tcW w:w="1795" w:type="dxa"/>
          </w:tcPr>
          <w:p w:rsidR="00170F47" w:rsidRDefault="0026295A" w14:paraId="5EC10B64" w14:textId="5D012A58">
            <w:pPr>
              <w:pStyle w:val="Standard"/>
              <w:spacing w:after="120" w:line="240" w:lineRule="auto"/>
              <w:ind w:firstLine="0"/>
              <w:jc w:val="right"/>
            </w:pPr>
            <w:r>
              <w:t>$4.250</w:t>
            </w:r>
          </w:p>
        </w:tc>
      </w:tr>
      <w:tr w:rsidR="00170F47" w14:paraId="346CE1D0" w14:textId="77777777">
        <w:tc>
          <w:tcPr>
            <w:tcW w:w="3955" w:type="dxa"/>
          </w:tcPr>
          <w:p w:rsidR="00170F47" w:rsidRDefault="00170F47" w14:paraId="35A4A44B" w14:textId="77777777">
            <w:pPr>
              <w:pStyle w:val="Standard"/>
              <w:spacing w:after="120" w:line="240" w:lineRule="auto"/>
              <w:ind w:firstLine="0"/>
            </w:pPr>
            <w:r>
              <w:t>Customer Rates Tools Updates</w:t>
            </w:r>
          </w:p>
        </w:tc>
        <w:tc>
          <w:tcPr>
            <w:tcW w:w="1800" w:type="dxa"/>
          </w:tcPr>
          <w:p w:rsidR="00170F47" w:rsidRDefault="00D66CD3" w14:paraId="083FAAA4" w14:textId="470BD149">
            <w:pPr>
              <w:pStyle w:val="Standard"/>
              <w:spacing w:after="120" w:line="240" w:lineRule="auto"/>
              <w:ind w:firstLine="0"/>
              <w:jc w:val="right"/>
            </w:pPr>
            <w:r>
              <w:t>$0.674</w:t>
            </w:r>
          </w:p>
        </w:tc>
        <w:tc>
          <w:tcPr>
            <w:tcW w:w="1800" w:type="dxa"/>
          </w:tcPr>
          <w:p w:rsidR="00170F47" w:rsidRDefault="00D66CD3" w14:paraId="0D81FD72" w14:textId="785956ED">
            <w:pPr>
              <w:pStyle w:val="Standard"/>
              <w:spacing w:after="120" w:line="240" w:lineRule="auto"/>
              <w:ind w:firstLine="0"/>
              <w:jc w:val="right"/>
            </w:pPr>
            <w:r>
              <w:t>$0.059</w:t>
            </w:r>
          </w:p>
        </w:tc>
        <w:tc>
          <w:tcPr>
            <w:tcW w:w="1795" w:type="dxa"/>
          </w:tcPr>
          <w:p w:rsidR="00170F47" w:rsidRDefault="00D66CD3" w14:paraId="4EE4A3CD" w14:textId="144CA8B8">
            <w:pPr>
              <w:pStyle w:val="Standard"/>
              <w:spacing w:after="120" w:line="240" w:lineRule="auto"/>
              <w:ind w:firstLine="0"/>
              <w:jc w:val="right"/>
            </w:pPr>
            <w:r>
              <w:t>$0.674</w:t>
            </w:r>
          </w:p>
        </w:tc>
      </w:tr>
      <w:tr w:rsidR="00170F47" w14:paraId="68EB6A57" w14:textId="77777777">
        <w:tc>
          <w:tcPr>
            <w:tcW w:w="3955" w:type="dxa"/>
          </w:tcPr>
          <w:p w:rsidR="00170F47" w:rsidRDefault="00170F47" w14:paraId="501FC972" w14:textId="77777777">
            <w:pPr>
              <w:pStyle w:val="Standard"/>
              <w:spacing w:after="120" w:line="240" w:lineRule="auto"/>
              <w:ind w:firstLine="0"/>
            </w:pPr>
            <w:r>
              <w:t>Customer Support (Contact Center)</w:t>
            </w:r>
          </w:p>
        </w:tc>
        <w:tc>
          <w:tcPr>
            <w:tcW w:w="1800" w:type="dxa"/>
          </w:tcPr>
          <w:p w:rsidRPr="00F65E0B" w:rsidR="00170F47" w:rsidRDefault="00170F47" w14:paraId="6E7FEEEE" w14:textId="78F3706F">
            <w:pPr>
              <w:pStyle w:val="Standard"/>
              <w:spacing w:after="120" w:line="240" w:lineRule="auto"/>
              <w:ind w:firstLine="0"/>
              <w:jc w:val="right"/>
            </w:pPr>
            <w:r w:rsidRPr="00F65E0B">
              <w:t>$</w:t>
            </w:r>
            <w:r w:rsidRPr="00F65E0B" w:rsidR="00525EDA">
              <w:t>7.304</w:t>
            </w:r>
          </w:p>
        </w:tc>
        <w:tc>
          <w:tcPr>
            <w:tcW w:w="1800" w:type="dxa"/>
          </w:tcPr>
          <w:p w:rsidRPr="00F65E0B" w:rsidR="00170F47" w:rsidRDefault="00170F47" w14:paraId="3CFE1C78" w14:textId="2E2D3814">
            <w:pPr>
              <w:pStyle w:val="Standard"/>
              <w:spacing w:after="120" w:line="240" w:lineRule="auto"/>
              <w:ind w:firstLine="0"/>
              <w:jc w:val="right"/>
            </w:pPr>
            <w:r w:rsidRPr="00F65E0B">
              <w:t>$</w:t>
            </w:r>
            <w:r w:rsidRPr="00F65E0B" w:rsidR="00D84FB5">
              <w:t>9.498</w:t>
            </w:r>
          </w:p>
        </w:tc>
        <w:tc>
          <w:tcPr>
            <w:tcW w:w="1795" w:type="dxa"/>
          </w:tcPr>
          <w:p w:rsidRPr="00F65E0B" w:rsidR="00170F47" w:rsidRDefault="00170F47" w14:paraId="7B96F2BE" w14:textId="7CEDECBF">
            <w:pPr>
              <w:pStyle w:val="Standard"/>
              <w:spacing w:after="120" w:line="240" w:lineRule="auto"/>
              <w:ind w:firstLine="0"/>
              <w:jc w:val="right"/>
            </w:pPr>
            <w:r w:rsidRPr="00F65E0B">
              <w:t>$</w:t>
            </w:r>
            <w:r w:rsidRPr="00F65E0B" w:rsidR="00DF79BE">
              <w:t>2.833</w:t>
            </w:r>
          </w:p>
        </w:tc>
      </w:tr>
      <w:tr w:rsidR="00170F47" w14:paraId="72C5EC8C" w14:textId="77777777">
        <w:tc>
          <w:tcPr>
            <w:tcW w:w="3955" w:type="dxa"/>
          </w:tcPr>
          <w:p w:rsidR="00170F47" w:rsidRDefault="00170F47" w14:paraId="2A5B8D9C" w14:textId="77777777">
            <w:pPr>
              <w:pStyle w:val="Standard"/>
              <w:spacing w:after="120" w:line="240" w:lineRule="auto"/>
              <w:ind w:firstLine="0"/>
            </w:pPr>
            <w:r>
              <w:t>Program and Product Management</w:t>
            </w:r>
          </w:p>
        </w:tc>
        <w:tc>
          <w:tcPr>
            <w:tcW w:w="1800" w:type="dxa"/>
          </w:tcPr>
          <w:p w:rsidR="00170F47" w:rsidRDefault="00170F47" w14:paraId="155452C5" w14:textId="4E206711">
            <w:pPr>
              <w:pStyle w:val="Standard"/>
              <w:spacing w:after="120" w:line="240" w:lineRule="auto"/>
              <w:ind w:firstLine="0"/>
              <w:jc w:val="right"/>
            </w:pPr>
            <w:r>
              <w:t>$</w:t>
            </w:r>
            <w:r w:rsidR="00AE3ABD">
              <w:t>0.550</w:t>
            </w:r>
          </w:p>
        </w:tc>
        <w:tc>
          <w:tcPr>
            <w:tcW w:w="1800" w:type="dxa"/>
          </w:tcPr>
          <w:p w:rsidR="00170F47" w:rsidRDefault="00170F47" w14:paraId="5EF812C7" w14:textId="3A060F1E">
            <w:pPr>
              <w:pStyle w:val="Standard"/>
              <w:spacing w:after="120" w:line="240" w:lineRule="auto"/>
              <w:ind w:firstLine="0"/>
              <w:jc w:val="right"/>
            </w:pPr>
            <w:r>
              <w:t>$</w:t>
            </w:r>
            <w:r w:rsidR="00AE3ABD">
              <w:t>0.550</w:t>
            </w:r>
          </w:p>
        </w:tc>
        <w:tc>
          <w:tcPr>
            <w:tcW w:w="1795" w:type="dxa"/>
          </w:tcPr>
          <w:p w:rsidR="00170F47" w:rsidRDefault="00170F47" w14:paraId="6DF53382" w14:textId="37D14F8D">
            <w:pPr>
              <w:pStyle w:val="Standard"/>
              <w:spacing w:after="120" w:line="240" w:lineRule="auto"/>
              <w:ind w:firstLine="0"/>
              <w:jc w:val="right"/>
            </w:pPr>
            <w:r>
              <w:t>$</w:t>
            </w:r>
            <w:r w:rsidR="00AE3ABD">
              <w:t>0.550</w:t>
            </w:r>
          </w:p>
        </w:tc>
      </w:tr>
      <w:tr w:rsidR="00170F47" w14:paraId="1281D3BC" w14:textId="77777777">
        <w:tc>
          <w:tcPr>
            <w:tcW w:w="3955" w:type="dxa"/>
          </w:tcPr>
          <w:p w:rsidR="00170F47" w:rsidRDefault="00170F47" w14:paraId="2E10AD79" w14:textId="77777777">
            <w:pPr>
              <w:pStyle w:val="Standard"/>
              <w:spacing w:after="120" w:line="240" w:lineRule="auto"/>
              <w:ind w:firstLine="0"/>
            </w:pPr>
            <w:r>
              <w:t>Total</w:t>
            </w:r>
          </w:p>
        </w:tc>
        <w:tc>
          <w:tcPr>
            <w:tcW w:w="1800" w:type="dxa"/>
          </w:tcPr>
          <w:p w:rsidR="00170F47" w:rsidRDefault="00170F47" w14:paraId="50DBC31D" w14:textId="4EA056B8">
            <w:pPr>
              <w:pStyle w:val="Standard"/>
              <w:spacing w:after="120" w:line="240" w:lineRule="auto"/>
              <w:ind w:firstLine="0"/>
              <w:jc w:val="right"/>
            </w:pPr>
            <w:r>
              <w:t>$</w:t>
            </w:r>
            <w:r w:rsidR="000E6D1B">
              <w:t>14.273</w:t>
            </w:r>
          </w:p>
        </w:tc>
        <w:tc>
          <w:tcPr>
            <w:tcW w:w="1800" w:type="dxa"/>
          </w:tcPr>
          <w:p w:rsidR="00170F47" w:rsidRDefault="00170F47" w14:paraId="19D9064E" w14:textId="782BAA15">
            <w:pPr>
              <w:pStyle w:val="Standard"/>
              <w:spacing w:after="120" w:line="240" w:lineRule="auto"/>
              <w:ind w:firstLine="0"/>
              <w:jc w:val="right"/>
            </w:pPr>
            <w:r>
              <w:t>$</w:t>
            </w:r>
            <w:r w:rsidR="008C1AE2">
              <w:t>13.007</w:t>
            </w:r>
          </w:p>
        </w:tc>
        <w:tc>
          <w:tcPr>
            <w:tcW w:w="1795" w:type="dxa"/>
          </w:tcPr>
          <w:p w:rsidR="00170F47" w:rsidRDefault="00170F47" w14:paraId="35D39EDA" w14:textId="3E28CE48">
            <w:pPr>
              <w:pStyle w:val="Standard"/>
              <w:spacing w:after="120" w:line="240" w:lineRule="auto"/>
              <w:ind w:firstLine="0"/>
              <w:jc w:val="right"/>
            </w:pPr>
            <w:r>
              <w:t>$</w:t>
            </w:r>
            <w:r w:rsidR="00BA3511">
              <w:t>8.307</w:t>
            </w:r>
          </w:p>
        </w:tc>
      </w:tr>
    </w:tbl>
    <w:p w:rsidR="00470D1F" w:rsidP="003762A0" w:rsidRDefault="00470D1F" w14:paraId="1EFDFE83" w14:textId="0117B962">
      <w:pPr>
        <w:pStyle w:val="Heading1"/>
        <w:spacing w:before="240"/>
      </w:pPr>
      <w:bookmarkStart w:name="_Toc160790053" w:id="48"/>
      <w:r>
        <w:lastRenderedPageBreak/>
        <w:t xml:space="preserve">Whether to Approve the </w:t>
      </w:r>
      <w:r w:rsidR="005605DA">
        <w:t>Small Utilities</w:t>
      </w:r>
      <w:r>
        <w:t xml:space="preserve"> Settlement Agreement</w:t>
      </w:r>
      <w:bookmarkEnd w:id="48"/>
    </w:p>
    <w:p w:rsidR="00AA0064" w:rsidP="00AA0064" w:rsidRDefault="001B7B4E" w14:paraId="68D3EB99" w14:textId="78ED0E46">
      <w:pPr>
        <w:pStyle w:val="Standard"/>
      </w:pPr>
      <w:r>
        <w:t>The</w:t>
      </w:r>
      <w:r w:rsidR="00BB25DD">
        <w:t xml:space="preserve"> </w:t>
      </w:r>
      <w:r w:rsidR="005605DA">
        <w:t>Small Utilities</w:t>
      </w:r>
      <w:r w:rsidR="00BB25DD">
        <w:t xml:space="preserve"> and Cal Advocates </w:t>
      </w:r>
      <w:r>
        <w:t>filed</w:t>
      </w:r>
      <w:r w:rsidR="00622B7A">
        <w:t xml:space="preserve"> a </w:t>
      </w:r>
      <w:r w:rsidR="00F84A60">
        <w:t>Settlement Motion</w:t>
      </w:r>
      <w:r w:rsidR="00622B7A">
        <w:t xml:space="preserve"> </w:t>
      </w:r>
      <w:r w:rsidR="00AE6FB7">
        <w:t>for</w:t>
      </w:r>
      <w:r w:rsidR="00622B7A">
        <w:t xml:space="preserve"> adopt</w:t>
      </w:r>
      <w:r w:rsidR="00AE6FB7">
        <w:t>ion of</w:t>
      </w:r>
      <w:r w:rsidR="00622B7A">
        <w:t xml:space="preserve"> the Settlement Agreement</w:t>
      </w:r>
      <w:r>
        <w:t xml:space="preserve"> on January</w:t>
      </w:r>
      <w:r w:rsidR="00622B7A">
        <w:t xml:space="preserve"> </w:t>
      </w:r>
      <w:r w:rsidR="004506DB">
        <w:t xml:space="preserve">16, 2024. </w:t>
      </w:r>
      <w:r w:rsidR="00252472">
        <w:t>On February 1</w:t>
      </w:r>
      <w:r w:rsidR="00A451DC">
        <w:t>5</w:t>
      </w:r>
      <w:r w:rsidR="00252472">
        <w:t>, 2024, SEIA</w:t>
      </w:r>
      <w:r w:rsidR="008D03A5">
        <w:t xml:space="preserve">, </w:t>
      </w:r>
      <w:r w:rsidR="009D0426">
        <w:t>CforAT</w:t>
      </w:r>
      <w:r w:rsidR="008D03A5">
        <w:t xml:space="preserve">, </w:t>
      </w:r>
      <w:r w:rsidR="003C34C6">
        <w:t xml:space="preserve">Sierra Club/CEJA, and </w:t>
      </w:r>
      <w:r w:rsidR="0005692E">
        <w:t>TURN/NRDC</w:t>
      </w:r>
      <w:r w:rsidR="008D03A5">
        <w:t xml:space="preserve"> </w:t>
      </w:r>
      <w:r w:rsidR="0005692E">
        <w:t>filed</w:t>
      </w:r>
      <w:r w:rsidR="00367661">
        <w:t xml:space="preserve"> response</w:t>
      </w:r>
      <w:r w:rsidR="008D03A5">
        <w:t>s</w:t>
      </w:r>
      <w:r w:rsidR="00367661">
        <w:t xml:space="preserve"> t</w:t>
      </w:r>
      <w:r w:rsidR="00F066D2">
        <w:t>o</w:t>
      </w:r>
      <w:r w:rsidR="008D03A5">
        <w:t xml:space="preserve"> </w:t>
      </w:r>
      <w:r w:rsidR="00F066D2">
        <w:t xml:space="preserve">the </w:t>
      </w:r>
      <w:r w:rsidR="00F53A72">
        <w:t xml:space="preserve">Settlement </w:t>
      </w:r>
      <w:r w:rsidR="00A476BE">
        <w:t>Motion</w:t>
      </w:r>
      <w:r w:rsidR="00F066D2">
        <w:t>.</w:t>
      </w:r>
      <w:r w:rsidR="008D03A5">
        <w:t xml:space="preserve"> </w:t>
      </w:r>
      <w:r w:rsidR="00634AE6">
        <w:t>SEIA</w:t>
      </w:r>
      <w:r w:rsidR="002208FD">
        <w:t>,</w:t>
      </w:r>
      <w:r w:rsidR="001A2BA0">
        <w:t xml:space="preserve"> </w:t>
      </w:r>
      <w:r w:rsidR="009D0426">
        <w:t>CforAT</w:t>
      </w:r>
      <w:r w:rsidR="002208FD">
        <w:t>,</w:t>
      </w:r>
      <w:r w:rsidR="00603B1D">
        <w:t xml:space="preserve"> and </w:t>
      </w:r>
      <w:r w:rsidR="000857CD">
        <w:t xml:space="preserve">Sierra Club/CEJA </w:t>
      </w:r>
      <w:r w:rsidR="002208FD">
        <w:t>each opposed</w:t>
      </w:r>
      <w:r w:rsidR="003657BC">
        <w:t xml:space="preserve"> </w:t>
      </w:r>
      <w:r w:rsidR="00736679">
        <w:t xml:space="preserve">different </w:t>
      </w:r>
      <w:r w:rsidR="003657BC">
        <w:t>provisions</w:t>
      </w:r>
      <w:r w:rsidR="002208FD">
        <w:t xml:space="preserve"> of the Settlement Agreement</w:t>
      </w:r>
      <w:r w:rsidR="00061791">
        <w:t xml:space="preserve">. </w:t>
      </w:r>
      <w:r w:rsidR="003C34C6">
        <w:t>TURN/NRDC</w:t>
      </w:r>
      <w:r w:rsidR="00AA0064">
        <w:t xml:space="preserve"> </w:t>
      </w:r>
      <w:r w:rsidR="00FC524C">
        <w:t xml:space="preserve">did not oppose the Settlement Agreement but </w:t>
      </w:r>
      <w:r w:rsidR="00E42629">
        <w:t>r</w:t>
      </w:r>
      <w:r w:rsidR="00AA0064">
        <w:t xml:space="preserve">aised concerns about </w:t>
      </w:r>
      <w:r w:rsidR="00EB47BC">
        <w:t xml:space="preserve">certain </w:t>
      </w:r>
      <w:r w:rsidR="003657BC">
        <w:t>provisions</w:t>
      </w:r>
      <w:r w:rsidR="003545E2">
        <w:t>.</w:t>
      </w:r>
      <w:r w:rsidR="00527D37">
        <w:t xml:space="preserve"> </w:t>
      </w:r>
      <w:r w:rsidRPr="00527D37" w:rsidR="00527D37">
        <w:t>On March 1, 2024, the Small Utilities, CEJA, and the Large Utilities filed replies to comments on the Settlement Motion.</w:t>
      </w:r>
    </w:p>
    <w:p w:rsidR="00D35352" w:rsidP="00CF02D2" w:rsidRDefault="004506DB" w14:paraId="698975C0" w14:textId="77777777">
      <w:pPr>
        <w:pStyle w:val="Standard"/>
      </w:pPr>
      <w:r w:rsidRPr="004506DB">
        <w:t xml:space="preserve">Section 12.1(d) of the Commission’s Rules provides that the Commission will not approve settlements, whether contested or uncontested, unless the settlement is reasonable in light of the whole record, consistent with law, and in the public interest. </w:t>
      </w:r>
      <w:r w:rsidRPr="00BE3B69" w:rsidR="00BE3B69">
        <w:t>Where a settlement is contested, it will be subject to more scrutiny than an uncontested settlement.</w:t>
      </w:r>
      <w:r w:rsidRPr="004A6ADD" w:rsidR="004A6ADD">
        <w:t xml:space="preserve"> </w:t>
      </w:r>
      <w:r w:rsidR="004A6ADD">
        <w:t xml:space="preserve">While our policy is to favor the settlement of disputes, we will not approve unreasonable settlements. </w:t>
      </w:r>
    </w:p>
    <w:p w:rsidR="00BE3B69" w:rsidP="004A6ADD" w:rsidRDefault="00736679" w14:paraId="66E36592" w14:textId="22A62696">
      <w:pPr>
        <w:pStyle w:val="Standard"/>
      </w:pPr>
      <w:r>
        <w:t>Specifically, t</w:t>
      </w:r>
      <w:r w:rsidR="005660A2">
        <w:t>his decision</w:t>
      </w:r>
      <w:r w:rsidR="004A6ADD">
        <w:t xml:space="preserve"> consider</w:t>
      </w:r>
      <w:r w:rsidR="005660A2">
        <w:t>ed</w:t>
      </w:r>
      <w:r w:rsidR="004A6ADD">
        <w:t xml:space="preserve"> whether the Settlement </w:t>
      </w:r>
      <w:r w:rsidR="00F84A60">
        <w:t>Agreement</w:t>
      </w:r>
      <w:r w:rsidR="004A6ADD">
        <w:t xml:space="preserve"> </w:t>
      </w:r>
      <w:r w:rsidR="00403F5B">
        <w:t xml:space="preserve">fully </w:t>
      </w:r>
      <w:r w:rsidR="007B40FA">
        <w:t>and</w:t>
      </w:r>
      <w:r w:rsidR="00403F5B">
        <w:t xml:space="preserve"> fairly </w:t>
      </w:r>
      <w:r w:rsidR="00544A7B">
        <w:t xml:space="preserve">balances </w:t>
      </w:r>
      <w:r w:rsidR="00403F5B">
        <w:t xml:space="preserve">the </w:t>
      </w:r>
      <w:r>
        <w:t xml:space="preserve">relevant public </w:t>
      </w:r>
      <w:r w:rsidR="00403F5B">
        <w:t xml:space="preserve">interests </w:t>
      </w:r>
      <w:r>
        <w:t xml:space="preserve">and those </w:t>
      </w:r>
      <w:r w:rsidR="00403F5B">
        <w:t xml:space="preserve">of all affected </w:t>
      </w:r>
      <w:r w:rsidR="002D7B7A">
        <w:t>stakeholders</w:t>
      </w:r>
      <w:r>
        <w:t xml:space="preserve"> and</w:t>
      </w:r>
      <w:r w:rsidR="004A6ADD">
        <w:t xml:space="preserve"> address</w:t>
      </w:r>
      <w:r>
        <w:t>ed</w:t>
      </w:r>
      <w:r w:rsidR="004A6ADD">
        <w:t xml:space="preserve"> any contested issue in the proceeding</w:t>
      </w:r>
      <w:r>
        <w:t xml:space="preserve">. This decision also looked at whether the Settlement Agreement </w:t>
      </w:r>
      <w:r w:rsidR="007B21BD">
        <w:t>substantially align</w:t>
      </w:r>
      <w:r>
        <w:t>s</w:t>
      </w:r>
      <w:r w:rsidR="007B21BD">
        <w:t xml:space="preserve"> with</w:t>
      </w:r>
      <w:r w:rsidR="004A6ADD">
        <w:t xml:space="preserve"> Commission policies and practices </w:t>
      </w:r>
      <w:r w:rsidR="00106F6D">
        <w:t>or compl</w:t>
      </w:r>
      <w:r>
        <w:t>ies</w:t>
      </w:r>
      <w:r w:rsidR="00106F6D">
        <w:t xml:space="preserve"> with the law</w:t>
      </w:r>
      <w:r w:rsidR="004A6ADD">
        <w:t xml:space="preserve">. </w:t>
      </w:r>
      <w:r w:rsidR="000E77A1">
        <w:t>Finally, t</w:t>
      </w:r>
      <w:r w:rsidR="007C5317">
        <w:t>his decision</w:t>
      </w:r>
      <w:r w:rsidR="004A6ADD">
        <w:t xml:space="preserve"> consider</w:t>
      </w:r>
      <w:r w:rsidR="007C5317">
        <w:t>ed</w:t>
      </w:r>
      <w:r w:rsidR="004A6ADD">
        <w:t xml:space="preserve"> </w:t>
      </w:r>
      <w:r>
        <w:t xml:space="preserve">the reasonableness of the Settlement Agreement in light of the proceeding record and </w:t>
      </w:r>
      <w:r w:rsidR="004A6ADD">
        <w:t xml:space="preserve">whether the proponents of the Settlement </w:t>
      </w:r>
      <w:r w:rsidR="007C5317">
        <w:t>Agreement</w:t>
      </w:r>
      <w:r w:rsidR="004A6ADD">
        <w:t xml:space="preserve"> adequately explained and justified each </w:t>
      </w:r>
      <w:r w:rsidR="003657BC">
        <w:t>provision</w:t>
      </w:r>
      <w:r w:rsidR="004A6ADD">
        <w:t xml:space="preserve"> of the </w:t>
      </w:r>
      <w:r w:rsidR="007C5317">
        <w:t>agreement</w:t>
      </w:r>
      <w:r w:rsidR="00F84A60">
        <w:t>.</w:t>
      </w:r>
    </w:p>
    <w:p w:rsidRPr="00403F5B" w:rsidR="00403F5B" w:rsidP="00403F5B" w:rsidRDefault="00403F5B" w14:paraId="7D06EAF2" w14:textId="43EDC52A">
      <w:pPr>
        <w:pStyle w:val="Standard"/>
      </w:pPr>
      <w:r w:rsidRPr="00403F5B">
        <w:t xml:space="preserve">The parties to the Settlement Agreement represent the interests of Small Utilities and their ratepayers. However, the parties </w:t>
      </w:r>
      <w:r w:rsidR="00816A4B">
        <w:t xml:space="preserve">to the </w:t>
      </w:r>
      <w:r w:rsidRPr="00403F5B">
        <w:t xml:space="preserve">Settlement Agreement </w:t>
      </w:r>
      <w:r w:rsidRPr="00403F5B">
        <w:lastRenderedPageBreak/>
        <w:t xml:space="preserve">do not represent the interests of </w:t>
      </w:r>
      <w:r w:rsidR="009745CF">
        <w:t xml:space="preserve">the parties who oppose the </w:t>
      </w:r>
      <w:r w:rsidR="004B4194">
        <w:t xml:space="preserve">agreement (i.e., </w:t>
      </w:r>
      <w:r w:rsidRPr="00403F5B">
        <w:t>environmental and social justice</w:t>
      </w:r>
      <w:r w:rsidR="6E32C39D">
        <w:t xml:space="preserve"> organizations</w:t>
      </w:r>
      <w:r w:rsidR="00CC089A">
        <w:t xml:space="preserve">, </w:t>
      </w:r>
      <w:r w:rsidR="0046361C">
        <w:t>people with disabilities, and the</w:t>
      </w:r>
      <w:r w:rsidRPr="00403F5B">
        <w:t xml:space="preserve"> solar industry).</w:t>
      </w:r>
    </w:p>
    <w:p w:rsidR="00BC4465" w:rsidP="006879D7" w:rsidRDefault="003016EA" w14:paraId="76820FA5" w14:textId="0995A99B">
      <w:pPr>
        <w:pStyle w:val="Standard"/>
      </w:pPr>
      <w:r>
        <w:t xml:space="preserve">The Settlement Agreement </w:t>
      </w:r>
      <w:r w:rsidR="00FA33DD">
        <w:t>addresse</w:t>
      </w:r>
      <w:r w:rsidR="00065FB8">
        <w:t>d</w:t>
      </w:r>
      <w:r w:rsidR="00FA33DD">
        <w:t xml:space="preserve"> all of the contested</w:t>
      </w:r>
      <w:r>
        <w:t xml:space="preserve"> issue</w:t>
      </w:r>
      <w:r w:rsidR="00FA33DD">
        <w:t>s</w:t>
      </w:r>
      <w:r>
        <w:t xml:space="preserve"> </w:t>
      </w:r>
      <w:r w:rsidR="005156B7">
        <w:t xml:space="preserve">relating to the </w:t>
      </w:r>
      <w:r w:rsidRPr="005156B7" w:rsidR="005156B7">
        <w:t xml:space="preserve">first </w:t>
      </w:r>
      <w:r w:rsidR="00BE2590">
        <w:t xml:space="preserve">version of the Small Utilities’ </w:t>
      </w:r>
      <w:r w:rsidRPr="005156B7" w:rsidR="005156B7">
        <w:t>income-graduated fixed charges</w:t>
      </w:r>
      <w:r w:rsidR="00177CC7">
        <w:t>, except for one major issue.</w:t>
      </w:r>
      <w:r w:rsidR="00FA33DD">
        <w:t xml:space="preserve"> </w:t>
      </w:r>
      <w:r w:rsidR="004B11F6">
        <w:t xml:space="preserve">The </w:t>
      </w:r>
      <w:r w:rsidR="00D0501B">
        <w:t>Settlement Agreement propose</w:t>
      </w:r>
      <w:r w:rsidR="00B03044">
        <w:t>d</w:t>
      </w:r>
      <w:r w:rsidR="00D0501B">
        <w:t xml:space="preserve"> to primarily recover </w:t>
      </w:r>
      <w:r w:rsidR="005605DA">
        <w:t>Small Utilities</w:t>
      </w:r>
      <w:r w:rsidR="0091674E">
        <w:t>’ base revenue costs</w:t>
      </w:r>
      <w:r w:rsidR="006879D7">
        <w:t xml:space="preserve"> through income-graduated fixed charges. However, the Settlement Agreement d</w:t>
      </w:r>
      <w:r w:rsidR="00B03044">
        <w:t>id</w:t>
      </w:r>
      <w:r w:rsidR="006879D7">
        <w:t xml:space="preserve"> not </w:t>
      </w:r>
      <w:r w:rsidR="00B46A49">
        <w:t xml:space="preserve">include an agreement about </w:t>
      </w:r>
      <w:r w:rsidR="006237CD">
        <w:t>which</w:t>
      </w:r>
      <w:r w:rsidR="00AC2625">
        <w:t xml:space="preserve"> specific </w:t>
      </w:r>
      <w:r w:rsidR="006237CD">
        <w:t>cost categories</w:t>
      </w:r>
      <w:r w:rsidR="00AC2625">
        <w:t xml:space="preserve"> </w:t>
      </w:r>
      <w:r w:rsidR="006237CD">
        <w:t>within</w:t>
      </w:r>
      <w:r w:rsidRPr="00391D9A" w:rsidR="00391D9A">
        <w:t xml:space="preserve"> </w:t>
      </w:r>
      <w:r w:rsidR="00AC2625">
        <w:t xml:space="preserve">the </w:t>
      </w:r>
      <w:r w:rsidR="005605DA">
        <w:t>Small Utilities</w:t>
      </w:r>
      <w:r w:rsidR="00AC2625">
        <w:t xml:space="preserve">’ </w:t>
      </w:r>
      <w:r w:rsidRPr="00391D9A" w:rsidR="00391D9A">
        <w:t>base revenue</w:t>
      </w:r>
      <w:r w:rsidRPr="00FA33DD" w:rsidR="00FA33DD">
        <w:t xml:space="preserve"> costs</w:t>
      </w:r>
      <w:r w:rsidRPr="00391D9A" w:rsidR="00391D9A">
        <w:t xml:space="preserve"> are “fixed costs”</w:t>
      </w:r>
      <w:r w:rsidR="00BF4EDC">
        <w:t xml:space="preserve"> </w:t>
      </w:r>
      <w:r w:rsidR="007226F0">
        <w:t>that may be recovered</w:t>
      </w:r>
      <w:r w:rsidR="00BF4EDC">
        <w:t xml:space="preserve"> </w:t>
      </w:r>
      <w:r w:rsidR="00E72673">
        <w:t>through a fixed charge in accordance with AB 205</w:t>
      </w:r>
      <w:r w:rsidR="00544EA3">
        <w:t>.</w:t>
      </w:r>
      <w:r w:rsidR="00FA33DD">
        <w:rPr>
          <w:rStyle w:val="FootnoteReference"/>
        </w:rPr>
        <w:footnoteReference w:id="235"/>
      </w:r>
      <w:r w:rsidR="004A28BA">
        <w:t xml:space="preserve"> </w:t>
      </w:r>
    </w:p>
    <w:p w:rsidR="007B7026" w:rsidP="007B7026" w:rsidRDefault="006C2F26" w14:paraId="0550D7F4" w14:textId="77777777">
      <w:pPr>
        <w:pStyle w:val="Standard"/>
      </w:pPr>
      <w:r>
        <w:t>SEIA</w:t>
      </w:r>
      <w:r w:rsidR="002560AB">
        <w:t xml:space="preserve">, </w:t>
      </w:r>
      <w:r w:rsidR="008C58E6">
        <w:t>Sierra Club/CEJA, and</w:t>
      </w:r>
      <w:r>
        <w:t xml:space="preserve"> TURN/NRDC filed responses to the Settlement Agreement </w:t>
      </w:r>
      <w:r w:rsidR="004C5E08">
        <w:t xml:space="preserve">that </w:t>
      </w:r>
      <w:r w:rsidR="002C44FC">
        <w:t>disputed the Settlement Agreement’s proposal to recover base revenues without an assessment of whether all included cost categories are fixed costs</w:t>
      </w:r>
      <w:r w:rsidR="005C37A0">
        <w:t xml:space="preserve">. </w:t>
      </w:r>
    </w:p>
    <w:p w:rsidR="00391D9A" w:rsidP="007B7026" w:rsidRDefault="002A4FAF" w14:paraId="1BD66FAC" w14:textId="5BCAEE90">
      <w:pPr>
        <w:pStyle w:val="Standard"/>
      </w:pPr>
      <w:r>
        <w:t xml:space="preserve">For the reasons discussed in the statutory interpretation </w:t>
      </w:r>
      <w:r w:rsidR="00783D08">
        <w:t>section</w:t>
      </w:r>
      <w:r>
        <w:t xml:space="preserve"> above, </w:t>
      </w:r>
      <w:r w:rsidR="000103B1">
        <w:t>only</w:t>
      </w:r>
      <w:r w:rsidR="001C32D7">
        <w:t xml:space="preserve"> fixed costs </w:t>
      </w:r>
      <w:r w:rsidR="000103B1">
        <w:t xml:space="preserve">may be recovered </w:t>
      </w:r>
      <w:r w:rsidR="001C32D7">
        <w:t>through a</w:t>
      </w:r>
      <w:r w:rsidR="000103B1">
        <w:t>n income-graduated</w:t>
      </w:r>
      <w:r w:rsidR="001C32D7">
        <w:t xml:space="preserve"> fixed charge. </w:t>
      </w:r>
      <w:r w:rsidR="004535B1">
        <w:t>As discussed in</w:t>
      </w:r>
      <w:r w:rsidR="00E577E3">
        <w:t xml:space="preserve"> Section </w:t>
      </w:r>
      <w:r w:rsidR="000C1E1E">
        <w:t>6</w:t>
      </w:r>
      <w:r w:rsidR="00E577E3">
        <w:t xml:space="preserve">.2 below, the </w:t>
      </w:r>
      <w:r w:rsidR="006B0996">
        <w:t xml:space="preserve">record </w:t>
      </w:r>
      <w:r w:rsidR="00F5579F">
        <w:t>of this proceeding d</w:t>
      </w:r>
      <w:r w:rsidR="001C2811">
        <w:t>id</w:t>
      </w:r>
      <w:r w:rsidR="006B0996">
        <w:t xml:space="preserve"> not </w:t>
      </w:r>
      <w:r w:rsidR="00F5579F">
        <w:t xml:space="preserve">include sufficient evidence about the </w:t>
      </w:r>
      <w:r w:rsidR="005605DA">
        <w:t>Small Utilities</w:t>
      </w:r>
      <w:r w:rsidR="006445E6">
        <w:t xml:space="preserve">’ base revenue costs to determine </w:t>
      </w:r>
      <w:r w:rsidR="009F29B3">
        <w:t>wh</w:t>
      </w:r>
      <w:r w:rsidR="001C2811">
        <w:t>ich</w:t>
      </w:r>
      <w:r w:rsidR="009F29B3">
        <w:t xml:space="preserve"> portion </w:t>
      </w:r>
      <w:r w:rsidR="008A7ED2">
        <w:t>consists of fixed costs</w:t>
      </w:r>
      <w:r w:rsidR="007B7026">
        <w:t xml:space="preserve"> that may be recovered through a fixed charge in accordance with </w:t>
      </w:r>
      <w:r w:rsidRPr="007B7026" w:rsidR="007B7026">
        <w:t>AB 205</w:t>
      </w:r>
      <w:r w:rsidR="008A7ED2">
        <w:t>.</w:t>
      </w:r>
      <w:r w:rsidR="00D53F18">
        <w:t xml:space="preserve"> Accordingly,</w:t>
      </w:r>
      <w:r w:rsidR="00952A31">
        <w:t xml:space="preserve"> the Settlement Agreement</w:t>
      </w:r>
      <w:r w:rsidR="00DA43E1">
        <w:t>’s proposal to</w:t>
      </w:r>
      <w:r w:rsidR="00952A31">
        <w:t xml:space="preserve"> </w:t>
      </w:r>
      <w:r w:rsidR="00E10677">
        <w:t xml:space="preserve">recover base revenues </w:t>
      </w:r>
      <w:r w:rsidR="00516A46">
        <w:t xml:space="preserve">through </w:t>
      </w:r>
      <w:r w:rsidR="00160021">
        <w:t>income-graduated fixed charges</w:t>
      </w:r>
      <w:r w:rsidR="00B5375C">
        <w:t xml:space="preserve"> is not </w:t>
      </w:r>
      <w:r w:rsidR="000E77A1">
        <w:t>reasonable in light of the proceeding record</w:t>
      </w:r>
      <w:r w:rsidR="007E0453">
        <w:t>.</w:t>
      </w:r>
    </w:p>
    <w:p w:rsidR="00D7762F" w:rsidP="00284C26" w:rsidRDefault="00FA33DD" w14:paraId="024804C3" w14:textId="0F45DEF4">
      <w:pPr>
        <w:pStyle w:val="Standard"/>
      </w:pPr>
      <w:r w:rsidRPr="00FA33DD">
        <w:t xml:space="preserve">The Settlement Motion </w:t>
      </w:r>
      <w:r w:rsidR="009D25CA">
        <w:t>provide</w:t>
      </w:r>
      <w:r w:rsidR="00175E96">
        <w:t>d</w:t>
      </w:r>
      <w:r w:rsidR="009D25CA">
        <w:t xml:space="preserve"> that</w:t>
      </w:r>
      <w:r w:rsidRPr="00FA33DD">
        <w:t xml:space="preserve"> each clause of the Settlement Agreement is severable, and if any clause is deemed illegal, void, or </w:t>
      </w:r>
      <w:r w:rsidRPr="00FA33DD">
        <w:lastRenderedPageBreak/>
        <w:t>unenforceable, such determination will not affect the validity of any other clause of the agreement.</w:t>
      </w:r>
      <w:r w:rsidRPr="00A71175" w:rsidR="00A71175">
        <w:t xml:space="preserve"> </w:t>
      </w:r>
      <w:r w:rsidR="00E26C59">
        <w:t>It is reasonable to sever</w:t>
      </w:r>
      <w:r w:rsidR="00100EF7">
        <w:t xml:space="preserve"> the portion </w:t>
      </w:r>
      <w:r w:rsidR="00AF2BCA">
        <w:t xml:space="preserve">of the Settlement Agreement that is </w:t>
      </w:r>
      <w:r w:rsidR="000E77A1">
        <w:t xml:space="preserve">unsupported by the record of this proceeding </w:t>
      </w:r>
      <w:r w:rsidR="00AF2BCA">
        <w:t xml:space="preserve">and </w:t>
      </w:r>
      <w:r w:rsidR="00141B11">
        <w:t>consider</w:t>
      </w:r>
      <w:r w:rsidR="00AD3702">
        <w:t xml:space="preserve"> whether the </w:t>
      </w:r>
      <w:r w:rsidR="00236C26">
        <w:t xml:space="preserve">balance of </w:t>
      </w:r>
      <w:r w:rsidR="00B9036E">
        <w:t>the Settlement Agreement</w:t>
      </w:r>
      <w:r w:rsidR="00AD3702">
        <w:t xml:space="preserve"> is </w:t>
      </w:r>
      <w:r w:rsidRPr="00AD3702" w:rsidR="00AD3702">
        <w:t>reasonable in light of the whole record, consistent with law, and in the public interest.</w:t>
      </w:r>
    </w:p>
    <w:p w:rsidR="00175E96" w:rsidP="00D7762F" w:rsidRDefault="00175E96" w14:paraId="442D89A2" w14:textId="01B03EE3">
      <w:pPr>
        <w:pStyle w:val="Standard"/>
      </w:pPr>
      <w:r w:rsidRPr="00B27280">
        <w:t xml:space="preserve">The Settlement Motion provided that it should not have precedential value for future Commission decisions related to income-graduated fixed charges, and </w:t>
      </w:r>
      <w:r w:rsidR="00B72AD8">
        <w:t xml:space="preserve">that </w:t>
      </w:r>
      <w:r w:rsidRPr="00B27280">
        <w:t>there are no separate agreements between the settling parties that relate to issues in the Settlement Agreement that are not disclosed in the Settlement Agreement.</w:t>
      </w:r>
    </w:p>
    <w:p w:rsidRPr="0094099A" w:rsidR="00FA5447" w:rsidP="00D71B8A" w:rsidRDefault="00E756D3" w14:paraId="7631D200" w14:textId="4FCFD1E6">
      <w:pPr>
        <w:pStyle w:val="Standard"/>
      </w:pPr>
      <w:r>
        <w:t>For the reasons below, this decision approves the Settlement Agreement</w:t>
      </w:r>
      <w:r w:rsidR="00072358">
        <w:t xml:space="preserve">, with the exception of the proposal to recover </w:t>
      </w:r>
      <w:r w:rsidRPr="00183CE5" w:rsidR="00183CE5">
        <w:t>each of the Small Utilities’ base revenues (and Bear Valley’s General Rate Case Revenue Requirement Memorandum Account)</w:t>
      </w:r>
      <w:r w:rsidR="005C70E7">
        <w:t xml:space="preserve"> and the </w:t>
      </w:r>
      <w:r w:rsidR="0035395B">
        <w:t>associated fixed charge levels</w:t>
      </w:r>
      <w:r w:rsidR="00072358">
        <w:t xml:space="preserve">. </w:t>
      </w:r>
      <w:r w:rsidR="00050108">
        <w:t>As explained further below, t</w:t>
      </w:r>
      <w:r w:rsidR="00376AEF">
        <w:t>his decision directs the Small Utilities to file a Tier 3 advice letter with more information about the cost categories included in base revenues</w:t>
      </w:r>
      <w:r w:rsidR="00DD79FF">
        <w:t xml:space="preserve"> and </w:t>
      </w:r>
      <w:r w:rsidR="001316D5">
        <w:t xml:space="preserve">makes the determination of fixed charge levels subject to </w:t>
      </w:r>
      <w:r w:rsidR="00850F85">
        <w:t>an analysis</w:t>
      </w:r>
      <w:r w:rsidR="001316D5">
        <w:t xml:space="preserve"> </w:t>
      </w:r>
      <w:r w:rsidR="00857174">
        <w:t xml:space="preserve">of </w:t>
      </w:r>
      <w:r w:rsidR="00850F85">
        <w:t xml:space="preserve">the </w:t>
      </w:r>
      <w:r w:rsidR="005B5676">
        <w:t xml:space="preserve">total </w:t>
      </w:r>
      <w:r w:rsidR="00D50330">
        <w:t xml:space="preserve">revenue requirement </w:t>
      </w:r>
      <w:r w:rsidR="00850F85">
        <w:t>for fixed cost categories approved in this decision</w:t>
      </w:r>
      <w:r w:rsidR="009C1D81">
        <w:t>.</w:t>
      </w:r>
      <w:r w:rsidR="00FF6FC6">
        <w:t xml:space="preserve"> </w:t>
      </w:r>
      <w:r w:rsidR="00EF4CE6">
        <w:t xml:space="preserve">The </w:t>
      </w:r>
      <w:r w:rsidR="00DC58E2">
        <w:t>approval</w:t>
      </w:r>
      <w:r w:rsidR="00EF4CE6">
        <w:t xml:space="preserve"> of </w:t>
      </w:r>
      <w:r w:rsidR="00AB028B">
        <w:t>the</w:t>
      </w:r>
      <w:r w:rsidR="00EF4CE6">
        <w:t xml:space="preserve"> Settlement Agreement </w:t>
      </w:r>
      <w:r w:rsidR="00242A32">
        <w:t>should</w:t>
      </w:r>
      <w:r w:rsidR="004450BE">
        <w:t xml:space="preserve"> not have </w:t>
      </w:r>
      <w:r w:rsidR="00152AEF">
        <w:t>precedential value.</w:t>
      </w:r>
    </w:p>
    <w:p w:rsidRPr="0094099A" w:rsidR="00B27280" w:rsidP="00B27280" w:rsidRDefault="00B27280" w14:paraId="715B1745" w14:textId="092E73B6">
      <w:pPr>
        <w:pStyle w:val="Standard"/>
      </w:pPr>
      <w:r w:rsidRPr="00B27280">
        <w:t xml:space="preserve">The Settlement Agreement did not address several uncontested issues relating to the </w:t>
      </w:r>
      <w:r w:rsidR="004B5928">
        <w:t>Small Utilities’</w:t>
      </w:r>
      <w:r w:rsidRPr="00B27280">
        <w:t xml:space="preserve"> income-graduated fixed charges, such as the implementation budget and metrics. </w:t>
      </w:r>
      <w:r w:rsidR="00E57C57">
        <w:t xml:space="preserve">This decision considered </w:t>
      </w:r>
      <w:r w:rsidR="00AF3073">
        <w:t>how</w:t>
      </w:r>
      <w:r w:rsidR="00E57C57">
        <w:t xml:space="preserve"> to </w:t>
      </w:r>
      <w:r w:rsidR="00AF3073">
        <w:t xml:space="preserve">address the uncontested issues based on the </w:t>
      </w:r>
      <w:r w:rsidR="004B0FBA">
        <w:t>record of the proceeding.</w:t>
      </w:r>
    </w:p>
    <w:p w:rsidR="00470D1F" w:rsidP="00702F6F" w:rsidRDefault="00470D1F" w14:paraId="11199AC5" w14:textId="6C0B0597">
      <w:pPr>
        <w:pStyle w:val="Heading2"/>
      </w:pPr>
      <w:bookmarkStart w:name="_Toc160790054" w:id="49"/>
      <w:r>
        <w:t>Income Tiers</w:t>
      </w:r>
      <w:r w:rsidR="00727F54">
        <w:t xml:space="preserve"> and Income Verification</w:t>
      </w:r>
      <w:bookmarkEnd w:id="49"/>
    </w:p>
    <w:p w:rsidR="00406DA2" w:rsidP="002C70C7" w:rsidRDefault="00406DA2" w14:paraId="4B58D738" w14:textId="562C62F9">
      <w:pPr>
        <w:pStyle w:val="Standard"/>
      </w:pPr>
      <w:r>
        <w:t xml:space="preserve">The Settlement Agreement proposed the following </w:t>
      </w:r>
      <w:r w:rsidR="00AD61C6">
        <w:t xml:space="preserve">income tiers for the first </w:t>
      </w:r>
      <w:r w:rsidR="002E6800">
        <w:t xml:space="preserve">version of </w:t>
      </w:r>
      <w:r w:rsidR="00AD61C6">
        <w:t>income-graduated fixed charges</w:t>
      </w:r>
      <w:r w:rsidR="009B01D1">
        <w:t xml:space="preserve"> for the Small Utilities</w:t>
      </w:r>
      <w:r w:rsidR="00AD61C6">
        <w:t>:</w:t>
      </w:r>
    </w:p>
    <w:p w:rsidR="00AD61C6" w:rsidP="003762A0" w:rsidRDefault="006B1E80" w14:paraId="5E7DBB0F" w14:textId="1A4D596A">
      <w:pPr>
        <w:pStyle w:val="ListBullet"/>
        <w:ind w:right="1350"/>
      </w:pPr>
      <w:r>
        <w:lastRenderedPageBreak/>
        <w:t xml:space="preserve">Tier 1: </w:t>
      </w:r>
      <w:r w:rsidR="00511EC1">
        <w:t xml:space="preserve">Incomes </w:t>
      </w:r>
      <w:r w:rsidR="00932B0A">
        <w:t>between 0 to</w:t>
      </w:r>
      <w:r w:rsidR="00511EC1">
        <w:t xml:space="preserve"> 100</w:t>
      </w:r>
      <w:r w:rsidR="00C1241D">
        <w:t xml:space="preserve"> percent</w:t>
      </w:r>
      <w:r w:rsidR="00511EC1">
        <w:t xml:space="preserve"> of Federal Poverty Guideline</w:t>
      </w:r>
      <w:r w:rsidR="00ED5AD9">
        <w:t xml:space="preserve"> levels</w:t>
      </w:r>
      <w:r w:rsidR="00511EC1">
        <w:t>;</w:t>
      </w:r>
    </w:p>
    <w:p w:rsidR="00511EC1" w:rsidP="003762A0" w:rsidRDefault="00511EC1" w14:paraId="11EB303D" w14:textId="5DF70DA1">
      <w:pPr>
        <w:pStyle w:val="ListBullet"/>
        <w:ind w:right="1350"/>
      </w:pPr>
      <w:r>
        <w:t xml:space="preserve">Tier 2: Incomes </w:t>
      </w:r>
      <w:r w:rsidR="00856194">
        <w:t>above 100</w:t>
      </w:r>
      <w:r w:rsidR="00C1241D">
        <w:t xml:space="preserve"> percent</w:t>
      </w:r>
      <w:r w:rsidR="00856194">
        <w:t xml:space="preserve"> and up to 200</w:t>
      </w:r>
      <w:r w:rsidR="00C1241D">
        <w:t xml:space="preserve"> percent</w:t>
      </w:r>
      <w:r w:rsidR="00856194">
        <w:t xml:space="preserve"> of </w:t>
      </w:r>
      <w:r w:rsidR="000E0472">
        <w:t>Federal Poverty Guideline levels; and</w:t>
      </w:r>
    </w:p>
    <w:p w:rsidR="000E0472" w:rsidP="003762A0" w:rsidRDefault="000E0472" w14:paraId="42B494F3" w14:textId="69D2CD7A">
      <w:pPr>
        <w:pStyle w:val="ListBullet"/>
        <w:ind w:right="1350"/>
      </w:pPr>
      <w:r>
        <w:t>Tier 3: Incomes above 200</w:t>
      </w:r>
      <w:r w:rsidR="00C1241D">
        <w:t xml:space="preserve"> percent</w:t>
      </w:r>
      <w:r>
        <w:t xml:space="preserve"> of Federal Poverty Guideline levels.</w:t>
      </w:r>
    </w:p>
    <w:p w:rsidR="00597ABB" w:rsidP="00597ABB" w:rsidRDefault="00597ABB" w14:paraId="282B4671" w14:textId="4052B9AB">
      <w:pPr>
        <w:pStyle w:val="Standard"/>
      </w:pPr>
      <w:r>
        <w:t>The Settlement Agreement proposed to rely on the existing CARE income verification processes amended to obtain income information from customers with incomes betwee</w:t>
      </w:r>
      <w:r w:rsidR="00932B0A">
        <w:t>n 0</w:t>
      </w:r>
      <w:r w:rsidR="00C1241D">
        <w:t xml:space="preserve"> percent</w:t>
      </w:r>
      <w:r w:rsidR="00932B0A">
        <w:t xml:space="preserve"> to 100</w:t>
      </w:r>
      <w:r w:rsidR="00C1241D">
        <w:t xml:space="preserve"> percent</w:t>
      </w:r>
      <w:r w:rsidR="00932B0A">
        <w:t xml:space="preserve"> of </w:t>
      </w:r>
      <w:r w:rsidRPr="00932B0A" w:rsidR="00932B0A">
        <w:t>Federal Poverty Guideline levels</w:t>
      </w:r>
      <w:r w:rsidR="00932B0A">
        <w:t>.</w:t>
      </w:r>
      <w:r w:rsidR="006C4B9E">
        <w:t xml:space="preserve"> </w:t>
      </w:r>
    </w:p>
    <w:p w:rsidR="00C51C2E" w:rsidP="003C0742" w:rsidRDefault="0076247F" w14:paraId="6DAAD501" w14:textId="09DF0490">
      <w:pPr>
        <w:pStyle w:val="Standard"/>
      </w:pPr>
      <w:r>
        <w:t xml:space="preserve">The Settlement Motion argued that the proposed income tiers </w:t>
      </w:r>
      <w:r w:rsidR="009D69EC">
        <w:t xml:space="preserve">comply with the requirements of AB 205 because they include </w:t>
      </w:r>
      <w:r w:rsidR="000A5CD6">
        <w:t xml:space="preserve">three tiers </w:t>
      </w:r>
      <w:r w:rsidR="009D69EC">
        <w:t xml:space="preserve">and </w:t>
      </w:r>
      <w:r w:rsidR="00A41849">
        <w:t xml:space="preserve">enable the </w:t>
      </w:r>
      <w:r w:rsidR="005605DA">
        <w:t>Small Utilities</w:t>
      </w:r>
      <w:r w:rsidR="00A41849">
        <w:t xml:space="preserve"> to </w:t>
      </w:r>
      <w:r w:rsidR="0083238D">
        <w:t>apply a lower fixed charge to</w:t>
      </w:r>
      <w:r w:rsidR="00A41849">
        <w:t xml:space="preserve"> low-income customer</w:t>
      </w:r>
      <w:r w:rsidR="0083238D">
        <w:t xml:space="preserve"> bills</w:t>
      </w:r>
      <w:r w:rsidR="00A41849">
        <w:t xml:space="preserve"> in accordance with AB 205.</w:t>
      </w:r>
      <w:r w:rsidR="009D69EC">
        <w:t xml:space="preserve"> We agree that the proposed income tiers comply with the requirements of AB 205.</w:t>
      </w:r>
    </w:p>
    <w:p w:rsidR="00CC3A20" w:rsidP="00CC3A20" w:rsidRDefault="00CC3A20" w14:paraId="22FF8B94" w14:textId="0DC8066A">
      <w:pPr>
        <w:pStyle w:val="Standard"/>
      </w:pPr>
      <w:r w:rsidRPr="00CC3A20">
        <w:t xml:space="preserve">The Settlement Motion argued that the </w:t>
      </w:r>
      <w:r w:rsidR="00C668F9">
        <w:t>proposal</w:t>
      </w:r>
      <w:r w:rsidRPr="00CC3A20">
        <w:t xml:space="preserve"> is reasonable in light of the </w:t>
      </w:r>
      <w:r w:rsidR="005605DA">
        <w:t>Small Utilities</w:t>
      </w:r>
      <w:r w:rsidRPr="00CC3A20">
        <w:t xml:space="preserve">’ limited staff resources and small customer </w:t>
      </w:r>
      <w:r>
        <w:t>base</w:t>
      </w:r>
      <w:r w:rsidR="571787D7">
        <w:t>s</w:t>
      </w:r>
      <w:r>
        <w:t>.</w:t>
      </w:r>
      <w:r w:rsidRPr="00CC3A20">
        <w:t xml:space="preserve"> The Settlement Motion argued that the Commission has authorized different requirements for </w:t>
      </w:r>
      <w:r w:rsidR="005605DA">
        <w:t>Small Utilities</w:t>
      </w:r>
      <w:r w:rsidRPr="00CC3A20">
        <w:t xml:space="preserve"> than Large Utilities in the past to limit administrative burdens for </w:t>
      </w:r>
      <w:r w:rsidR="005605DA">
        <w:t>Small Utilities</w:t>
      </w:r>
      <w:r w:rsidRPr="00CC3A20">
        <w:t>.</w:t>
      </w:r>
    </w:p>
    <w:p w:rsidR="0067761D" w:rsidP="00A41849" w:rsidRDefault="00C51C2E" w14:paraId="77B70712" w14:textId="3FDFFB1E">
      <w:pPr>
        <w:pStyle w:val="Standard"/>
      </w:pPr>
      <w:r w:rsidRPr="00C51C2E">
        <w:t xml:space="preserve">The Settlement Motion argued that </w:t>
      </w:r>
      <w:r w:rsidR="00C668F9">
        <w:t>the proposal</w:t>
      </w:r>
      <w:r w:rsidRPr="00C51C2E">
        <w:t xml:space="preserve"> </w:t>
      </w:r>
      <w:r w:rsidR="00C668F9">
        <w:t xml:space="preserve">is also </w:t>
      </w:r>
      <w:r w:rsidRPr="00C51C2E">
        <w:t xml:space="preserve">reasonable because </w:t>
      </w:r>
      <w:r w:rsidR="00C668F9">
        <w:t>it</w:t>
      </w:r>
      <w:r w:rsidR="000A5CD6">
        <w:t xml:space="preserve"> </w:t>
      </w:r>
      <w:r w:rsidR="00C91446">
        <w:t>leverage</w:t>
      </w:r>
      <w:r w:rsidR="00C668F9">
        <w:t>s</w:t>
      </w:r>
      <w:r w:rsidR="00C91446">
        <w:t xml:space="preserve"> existing</w:t>
      </w:r>
      <w:r w:rsidR="003154D8">
        <w:t xml:space="preserve"> CARE </w:t>
      </w:r>
      <w:r w:rsidR="00C91446">
        <w:t xml:space="preserve">income-verification processes in accordance with the Implementation Pathway Ruling. The Settlement Motion argued that </w:t>
      </w:r>
      <w:r w:rsidR="00787994">
        <w:t xml:space="preserve">the CARE program is the only program that the </w:t>
      </w:r>
      <w:r w:rsidR="005605DA">
        <w:t>Small Utilities</w:t>
      </w:r>
      <w:r w:rsidR="00787994">
        <w:t xml:space="preserve"> </w:t>
      </w:r>
      <w:r w:rsidR="007C4A58">
        <w:t xml:space="preserve">currently use to identify customers as low-income for monthly billing purposes. </w:t>
      </w:r>
      <w:r w:rsidR="00DA2EFD">
        <w:t>The</w:t>
      </w:r>
      <w:r w:rsidR="001F10EF">
        <w:t xml:space="preserve"> Settlement Agreement</w:t>
      </w:r>
      <w:r w:rsidR="00DA2EFD">
        <w:t xml:space="preserve"> did not propose a middle tier based on FERA eligibility because they do not administer FERA programs. </w:t>
      </w:r>
    </w:p>
    <w:p w:rsidR="001C240C" w:rsidP="00D6477C" w:rsidRDefault="001F10EF" w14:paraId="6119A114" w14:textId="0E6BF022">
      <w:pPr>
        <w:pStyle w:val="Standard"/>
      </w:pPr>
      <w:r>
        <w:lastRenderedPageBreak/>
        <w:t xml:space="preserve">The Settlement Agreement’s </w:t>
      </w:r>
      <w:r w:rsidR="00FF004B">
        <w:t>proposal</w:t>
      </w:r>
      <w:r w:rsidRPr="001F10EF">
        <w:t xml:space="preserve"> is consistent with the proposal advanced in the </w:t>
      </w:r>
      <w:r w:rsidR="005605DA">
        <w:t>Small Utilities</w:t>
      </w:r>
      <w:r w:rsidRPr="001F10EF">
        <w:t>’ opening brief.</w:t>
      </w:r>
      <w:r w:rsidR="00E44B87">
        <w:t xml:space="preserve"> </w:t>
      </w:r>
      <w:r w:rsidR="00701642">
        <w:t xml:space="preserve">In its reply brief, CforAT opposed the </w:t>
      </w:r>
      <w:r w:rsidR="005605DA">
        <w:t>Small Utilities</w:t>
      </w:r>
      <w:r w:rsidR="00452F84">
        <w:t xml:space="preserve">’ income tiers proposal because </w:t>
      </w:r>
      <w:r w:rsidR="00503562">
        <w:t xml:space="preserve">it would </w:t>
      </w:r>
      <w:r w:rsidR="009107E2">
        <w:t>put additional administrative burdens on the</w:t>
      </w:r>
      <w:r w:rsidR="00503562">
        <w:t xml:space="preserve"> lowest income customers</w:t>
      </w:r>
      <w:r w:rsidR="00994FFA">
        <w:t xml:space="preserve"> and because</w:t>
      </w:r>
      <w:r w:rsidR="006166C4">
        <w:t xml:space="preserve"> the middle tier would not include customers</w:t>
      </w:r>
      <w:r w:rsidR="00994FFA">
        <w:t xml:space="preserve"> between 200 and 250</w:t>
      </w:r>
      <w:r w:rsidR="00C1241D">
        <w:t xml:space="preserve"> percent</w:t>
      </w:r>
      <w:r w:rsidR="00994FFA">
        <w:t xml:space="preserve"> of Federal Poverty Guidelines</w:t>
      </w:r>
      <w:r w:rsidR="006166C4">
        <w:t>.</w:t>
      </w:r>
      <w:r w:rsidR="007E38FD">
        <w:rPr>
          <w:rStyle w:val="FootnoteReference"/>
        </w:rPr>
        <w:footnoteReference w:id="236"/>
      </w:r>
      <w:r w:rsidR="00E44B87">
        <w:t xml:space="preserve"> </w:t>
      </w:r>
      <w:r w:rsidR="00376E4E">
        <w:t xml:space="preserve">Sierra Club/CEJA </w:t>
      </w:r>
      <w:r w:rsidR="003766D3">
        <w:t xml:space="preserve">also </w:t>
      </w:r>
      <w:r w:rsidR="00376E4E">
        <w:t xml:space="preserve">opposed the tier structure, arguing that </w:t>
      </w:r>
      <w:r w:rsidR="00F72472">
        <w:t>it fails to</w:t>
      </w:r>
      <w:r w:rsidR="00723D34">
        <w:t xml:space="preserve"> prevent placing low- and moderate-income customers in Tier 3 with high income customers.</w:t>
      </w:r>
      <w:r w:rsidR="00A56D6F">
        <w:rPr>
          <w:rStyle w:val="FootnoteReference"/>
        </w:rPr>
        <w:footnoteReference w:id="237"/>
      </w:r>
      <w:r w:rsidR="00A956A5">
        <w:t xml:space="preserve"> </w:t>
      </w:r>
    </w:p>
    <w:p w:rsidR="007E6728" w:rsidP="00836B63" w:rsidRDefault="00F95E8F" w14:paraId="6B95B1E2" w14:textId="566DB404">
      <w:pPr>
        <w:pStyle w:val="Standard"/>
      </w:pPr>
      <w:r>
        <w:t>The</w:t>
      </w:r>
      <w:r w:rsidR="00465787">
        <w:t xml:space="preserve"> Settlement Agreement’s tier structure is aligned with the adopted definition of low-income customer, based on 200</w:t>
      </w:r>
      <w:r w:rsidR="00C1241D">
        <w:t xml:space="preserve"> percent</w:t>
      </w:r>
      <w:r w:rsidR="00465787">
        <w:t xml:space="preserve"> of the Federal Poverty Guidelines level</w:t>
      </w:r>
      <w:r w:rsidR="008B297F">
        <w:t xml:space="preserve">, but does not </w:t>
      </w:r>
      <w:r w:rsidR="006820AC">
        <w:t xml:space="preserve">differentiate between customers with moderate </w:t>
      </w:r>
      <w:r w:rsidR="007E56D0">
        <w:t>and higher incomes</w:t>
      </w:r>
      <w:r w:rsidR="00465787">
        <w:t xml:space="preserve">. </w:t>
      </w:r>
      <w:r w:rsidR="0020650E">
        <w:t>In Section 4, this decision adopted a</w:t>
      </w:r>
      <w:r w:rsidR="007C0BEE">
        <w:t xml:space="preserve">n implementation pathway </w:t>
      </w:r>
      <w:r w:rsidR="00473F89">
        <w:t xml:space="preserve">approach </w:t>
      </w:r>
      <w:r w:rsidR="000B61E2">
        <w:t>for</w:t>
      </w:r>
      <w:r w:rsidR="00473F89">
        <w:t xml:space="preserve"> implementing AB </w:t>
      </w:r>
      <w:r w:rsidR="00E64F41">
        <w:t>205</w:t>
      </w:r>
      <w:r w:rsidR="00D028CE">
        <w:t xml:space="preserve">. We determined that it is reasonable for the </w:t>
      </w:r>
      <w:r w:rsidR="002E6800">
        <w:t xml:space="preserve">Large Utilities’ </w:t>
      </w:r>
      <w:r w:rsidR="00D028CE">
        <w:t>income-graduated fixed charges to rely on utilities’ existing income verification processes for CARE and FERA.</w:t>
      </w:r>
      <w:r w:rsidR="00525007">
        <w:t xml:space="preserve"> </w:t>
      </w:r>
      <w:r w:rsidR="002707E9">
        <w:t>In Section 4, t</w:t>
      </w:r>
      <w:r w:rsidR="00525007">
        <w:t xml:space="preserve">his decision also established </w:t>
      </w:r>
      <w:r w:rsidR="00890B94">
        <w:t xml:space="preserve">a Process </w:t>
      </w:r>
      <w:r w:rsidR="00B862DE">
        <w:t>Working Group</w:t>
      </w:r>
      <w:r w:rsidR="00525007">
        <w:t xml:space="preserve"> for </w:t>
      </w:r>
      <w:r w:rsidR="000E1491">
        <w:t>proposing a</w:t>
      </w:r>
      <w:r w:rsidR="002502E4">
        <w:t xml:space="preserve"> new income-verification process</w:t>
      </w:r>
      <w:r w:rsidR="000E1491">
        <w:t xml:space="preserve"> </w:t>
      </w:r>
      <w:r w:rsidR="000F27C1">
        <w:t>to enable the next version of income-graduated fixed charges to differentiate between customers with moderate and higher incomes.</w:t>
      </w:r>
    </w:p>
    <w:p w:rsidR="00D411BB" w:rsidP="001674EB" w:rsidRDefault="00E44B87" w14:paraId="3B344B81" w14:textId="6C55CA12">
      <w:pPr>
        <w:pStyle w:val="Standard"/>
      </w:pPr>
      <w:r>
        <w:t xml:space="preserve">This decision </w:t>
      </w:r>
      <w:r w:rsidR="004C5E26">
        <w:t xml:space="preserve">did not adopt the Large Utilities’ proposal to separate CARE-eligible customers into two tiers in the same manner as proposed by the Settlement Agreement. However, we agree with the Settlement Motion that </w:t>
      </w:r>
      <w:r w:rsidR="00CC3A20">
        <w:t xml:space="preserve">the </w:t>
      </w:r>
      <w:r w:rsidR="005605DA">
        <w:t>Small Utilities</w:t>
      </w:r>
      <w:r w:rsidR="00CC3A20">
        <w:t xml:space="preserve"> have different circumstances because they do not administer a FERA program. </w:t>
      </w:r>
    </w:p>
    <w:p w:rsidR="001674EB" w:rsidP="001674EB" w:rsidRDefault="001674EB" w14:paraId="20E78DC9" w14:textId="068FE167">
      <w:pPr>
        <w:pStyle w:val="Standard"/>
      </w:pPr>
      <w:r w:rsidRPr="00476C55">
        <w:lastRenderedPageBreak/>
        <w:t xml:space="preserve">It is reasonable for the </w:t>
      </w:r>
      <w:r w:rsidR="005605DA">
        <w:t>Small Utilities</w:t>
      </w:r>
      <w:r w:rsidR="001F54BA">
        <w:t>’ income-graduated fixed charges</w:t>
      </w:r>
      <w:r w:rsidRPr="00476C55">
        <w:t xml:space="preserve"> to rely on their existing CARE income verification processes as amended to obtain income information from customers with incomes between 0 to 100</w:t>
      </w:r>
      <w:r w:rsidR="00C1241D">
        <w:t xml:space="preserve"> percent</w:t>
      </w:r>
      <w:r w:rsidRPr="00476C55">
        <w:t xml:space="preserve"> of Federal Poverty Guideline levels.</w:t>
      </w:r>
      <w:r w:rsidR="00CD5837">
        <w:t xml:space="preserve"> </w:t>
      </w:r>
      <w:r w:rsidR="00BE75A4">
        <w:t xml:space="preserve">The </w:t>
      </w:r>
      <w:r w:rsidR="00890B94">
        <w:t>Process</w:t>
      </w:r>
      <w:r w:rsidR="00B862DE">
        <w:t xml:space="preserve"> Working Group should </w:t>
      </w:r>
      <w:r w:rsidR="007B1E50">
        <w:t>develop a proposal</w:t>
      </w:r>
      <w:r w:rsidR="00265AC3">
        <w:t xml:space="preserve"> for</w:t>
      </w:r>
      <w:r w:rsidR="007B1E50">
        <w:t xml:space="preserve"> </w:t>
      </w:r>
      <w:r w:rsidR="00A35408">
        <w:t xml:space="preserve">how </w:t>
      </w:r>
      <w:r w:rsidR="001A2CCE">
        <w:t xml:space="preserve">to improve the income verification processes of the </w:t>
      </w:r>
      <w:r w:rsidR="00364DCF">
        <w:t>Small Utilities’ income-graduated fixed charges</w:t>
      </w:r>
      <w:r w:rsidR="001A2CCE">
        <w:t>, including how to verify the incomes of moderate-income customers</w:t>
      </w:r>
      <w:r w:rsidR="00BB4738">
        <w:t>.</w:t>
      </w:r>
    </w:p>
    <w:p w:rsidR="00D63064" w:rsidP="00D63064" w:rsidRDefault="00D63064" w14:paraId="443ED5AC" w14:textId="3B1AEA29">
      <w:pPr>
        <w:pStyle w:val="Standard"/>
      </w:pPr>
      <w:r w:rsidRPr="00D63064">
        <w:t xml:space="preserve">TURN/NRDC did not oppose the tier structure but expressed concerns about how customers will be placed into </w:t>
      </w:r>
      <w:r w:rsidR="000371FF">
        <w:t>either Tier 1 or Tier 2.</w:t>
      </w:r>
      <w:r w:rsidR="0047209C">
        <w:rPr>
          <w:rStyle w:val="FootnoteReference"/>
        </w:rPr>
        <w:footnoteReference w:id="238"/>
      </w:r>
      <w:r w:rsidR="000371FF">
        <w:t xml:space="preserve"> </w:t>
      </w:r>
      <w:r w:rsidR="00AD5C1B">
        <w:t xml:space="preserve">We </w:t>
      </w:r>
      <w:r w:rsidR="00D71EAB">
        <w:t>are similarly</w:t>
      </w:r>
      <w:r w:rsidR="0083528A">
        <w:t xml:space="preserve"> concern</w:t>
      </w:r>
      <w:r w:rsidR="00D71EAB">
        <w:t xml:space="preserve">ed </w:t>
      </w:r>
      <w:r w:rsidR="00877F7B">
        <w:t xml:space="preserve">that </w:t>
      </w:r>
      <w:r w:rsidR="00B9636D">
        <w:t xml:space="preserve">customers eligible for Tier 1 will not be aware of </w:t>
      </w:r>
      <w:r w:rsidR="00D34193">
        <w:t>how to enroll in Tier 1 or will face barriers to enrolling in Tier 1</w:t>
      </w:r>
      <w:r w:rsidR="0083528A">
        <w:t xml:space="preserve">. </w:t>
      </w:r>
    </w:p>
    <w:p w:rsidR="00963FB1" w:rsidP="00963FB1" w:rsidRDefault="009E6573" w14:paraId="68E61AC5" w14:textId="36B8004C">
      <w:pPr>
        <w:pStyle w:val="Standard"/>
      </w:pPr>
      <w:r>
        <w:t xml:space="preserve">The Settlement Agreement’s income tier and income verification proposal is reasonable in light of the </w:t>
      </w:r>
      <w:r w:rsidRPr="00022947" w:rsidR="00022947">
        <w:t xml:space="preserve">whole record, consistent with law, and in the public interest. </w:t>
      </w:r>
      <w:r w:rsidR="00963FB1">
        <w:t>Each of t</w:t>
      </w:r>
      <w:r w:rsidRPr="00963FB1" w:rsidR="00963FB1">
        <w:t>he Small Utilities should provide information in their Tier 3 implementation advice letter about when and how customers will be informed about the opportunity to be placed in Tier 1 and how to reduce barriers to enrolling in Tier 1.</w:t>
      </w:r>
    </w:p>
    <w:p w:rsidRPr="00CD279E" w:rsidR="00CD279E" w:rsidP="00CD279E" w:rsidRDefault="00CD279E" w14:paraId="06A806B0" w14:textId="3D66F4FA">
      <w:pPr>
        <w:pStyle w:val="Standard"/>
      </w:pPr>
      <w:r w:rsidRPr="00CD279E">
        <w:t xml:space="preserve">It is reasonable to adopt the following tier structure for the income-graduated fixed charges of the </w:t>
      </w:r>
      <w:r w:rsidR="005605DA">
        <w:t>Small Utilities</w:t>
      </w:r>
      <w:r w:rsidRPr="00CD279E">
        <w:t>:</w:t>
      </w:r>
    </w:p>
    <w:p w:rsidRPr="00CD279E" w:rsidR="00CD279E" w:rsidP="003762A0" w:rsidRDefault="00CD279E" w14:paraId="771533EC" w14:textId="0925F897">
      <w:pPr>
        <w:pStyle w:val="ListAlpha"/>
        <w:ind w:right="1440"/>
      </w:pPr>
      <w:r w:rsidRPr="00CD279E">
        <w:t xml:space="preserve">Tier 1 will be assigned to customers with incomes of 0 to </w:t>
      </w:r>
      <w:r>
        <w:t>1</w:t>
      </w:r>
      <w:r w:rsidRPr="00CD279E">
        <w:t>00</w:t>
      </w:r>
      <w:r w:rsidR="00C1241D">
        <w:t xml:space="preserve"> percent</w:t>
      </w:r>
      <w:r w:rsidRPr="00CD279E">
        <w:t xml:space="preserve"> of the Federal Poverty Guideline levels applicable to that household under the CARE program;</w:t>
      </w:r>
    </w:p>
    <w:p w:rsidRPr="00CD279E" w:rsidR="00CD279E" w:rsidP="003762A0" w:rsidRDefault="00CD279E" w14:paraId="0375E876" w14:textId="0EB184F8">
      <w:pPr>
        <w:pStyle w:val="ListAlpha"/>
        <w:ind w:right="1440"/>
      </w:pPr>
      <w:r w:rsidRPr="00CD279E">
        <w:t>Tier 2 will be assigned to customers with incomes a</w:t>
      </w:r>
      <w:r w:rsidR="00476C55">
        <w:t>bove 100</w:t>
      </w:r>
      <w:r w:rsidR="00C1241D">
        <w:t xml:space="preserve"> percent</w:t>
      </w:r>
      <w:r w:rsidR="00476C55">
        <w:t xml:space="preserve"> and at or below</w:t>
      </w:r>
      <w:r w:rsidRPr="00CD279E">
        <w:t xml:space="preserve"> 200</w:t>
      </w:r>
      <w:r w:rsidR="00C1241D">
        <w:t xml:space="preserve"> percent</w:t>
      </w:r>
      <w:r w:rsidRPr="00CD279E">
        <w:t xml:space="preserve"> of the Federal Poverty Guideline levels applicable to that household under the </w:t>
      </w:r>
      <w:r w:rsidR="00334D5E">
        <w:t>CARE</w:t>
      </w:r>
      <w:r w:rsidRPr="00CD279E" w:rsidR="00334D5E">
        <w:t xml:space="preserve"> </w:t>
      </w:r>
      <w:r w:rsidRPr="00CD279E">
        <w:t>program</w:t>
      </w:r>
      <w:r w:rsidR="00476C55">
        <w:t>; and</w:t>
      </w:r>
    </w:p>
    <w:p w:rsidRPr="00CD279E" w:rsidR="00CD279E" w:rsidP="003762A0" w:rsidRDefault="00CD279E" w14:paraId="5D63B6EE" w14:textId="77777777">
      <w:pPr>
        <w:pStyle w:val="ListAlpha"/>
        <w:ind w:right="1440"/>
      </w:pPr>
      <w:r w:rsidRPr="00CD279E">
        <w:lastRenderedPageBreak/>
        <w:t>Tier 3 will be assigned to customers who do not qualify for the first or second tiers.</w:t>
      </w:r>
    </w:p>
    <w:p w:rsidRPr="00CD279E" w:rsidR="00CD279E" w:rsidP="00CD279E" w:rsidRDefault="00CD279E" w14:paraId="556DADEA" w14:textId="0881A293">
      <w:pPr>
        <w:pStyle w:val="Standard"/>
      </w:pPr>
      <w:r w:rsidRPr="00CD279E">
        <w:t xml:space="preserve">It is reasonable to adopt the following income tier assignment processes for the income-graduated fixed charges of the </w:t>
      </w:r>
      <w:r w:rsidR="005605DA">
        <w:t>Small Utilities</w:t>
      </w:r>
      <w:r w:rsidRPr="00CD279E">
        <w:t>:</w:t>
      </w:r>
    </w:p>
    <w:p w:rsidRPr="003762A0" w:rsidR="001E115E" w:rsidP="002D2501" w:rsidRDefault="005605DA" w14:paraId="1235BDA6" w14:textId="04DCC102">
      <w:pPr>
        <w:pStyle w:val="ListAlpha"/>
        <w:numPr>
          <w:ilvl w:val="7"/>
          <w:numId w:val="25"/>
        </w:numPr>
        <w:ind w:right="1530"/>
      </w:pPr>
      <w:r w:rsidRPr="003762A0">
        <w:t>Small Utilities</w:t>
      </w:r>
      <w:r w:rsidRPr="003762A0" w:rsidR="001E115E">
        <w:t xml:space="preserve"> will assign customers who </w:t>
      </w:r>
      <w:r w:rsidRPr="003762A0" w:rsidR="00E51822">
        <w:t>attest to having eligible incomes</w:t>
      </w:r>
      <w:r w:rsidRPr="003762A0" w:rsidR="008A142F">
        <w:t xml:space="preserve"> through the CARE application process</w:t>
      </w:r>
      <w:r w:rsidRPr="003762A0" w:rsidR="00E51822">
        <w:t xml:space="preserve"> </w:t>
      </w:r>
      <w:r w:rsidRPr="003762A0" w:rsidR="001E115E">
        <w:t>to Tier 1;</w:t>
      </w:r>
    </w:p>
    <w:p w:rsidRPr="003762A0" w:rsidR="00B1179F" w:rsidP="003762A0" w:rsidRDefault="005605DA" w14:paraId="651171E5" w14:textId="28675C83">
      <w:pPr>
        <w:pStyle w:val="ListAlpha"/>
        <w:ind w:right="1530"/>
      </w:pPr>
      <w:r w:rsidRPr="003762A0">
        <w:t>Small Utilities</w:t>
      </w:r>
      <w:r w:rsidRPr="003762A0" w:rsidR="00097468">
        <w:t xml:space="preserve"> </w:t>
      </w:r>
      <w:r w:rsidRPr="003762A0" w:rsidR="00CD279E">
        <w:t xml:space="preserve">will assign all </w:t>
      </w:r>
      <w:r w:rsidRPr="003762A0" w:rsidR="00B1179F">
        <w:t xml:space="preserve">other </w:t>
      </w:r>
      <w:r w:rsidRPr="003762A0" w:rsidR="00CD279E">
        <w:t xml:space="preserve">customers enrolled in CARE to Tier </w:t>
      </w:r>
      <w:r w:rsidRPr="003762A0" w:rsidR="00097468">
        <w:t>2</w:t>
      </w:r>
      <w:r w:rsidRPr="003762A0" w:rsidR="00CD279E">
        <w:t xml:space="preserve"> without the need for the customer to take any action;</w:t>
      </w:r>
      <w:r w:rsidRPr="003762A0" w:rsidR="00267909">
        <w:t xml:space="preserve"> and</w:t>
      </w:r>
    </w:p>
    <w:p w:rsidRPr="003762A0" w:rsidR="00097468" w:rsidP="003762A0" w:rsidRDefault="00CD279E" w14:paraId="2C754328" w14:textId="0879B0A2">
      <w:pPr>
        <w:pStyle w:val="ListAlpha"/>
        <w:ind w:right="1530"/>
      </w:pPr>
      <w:r w:rsidRPr="003762A0">
        <w:t>Utilities will assign all customers</w:t>
      </w:r>
      <w:r w:rsidRPr="003762A0" w:rsidR="00B1179F">
        <w:t xml:space="preserve"> who are not enrolled in the CARE</w:t>
      </w:r>
      <w:r w:rsidRPr="003762A0" w:rsidR="00267909">
        <w:t xml:space="preserve"> </w:t>
      </w:r>
      <w:r w:rsidRPr="003762A0" w:rsidR="00B1179F">
        <w:t>program</w:t>
      </w:r>
      <w:r w:rsidRPr="003762A0">
        <w:t xml:space="preserve"> to Tier 3.</w:t>
      </w:r>
    </w:p>
    <w:p w:rsidR="00470D1F" w:rsidP="00702F6F" w:rsidRDefault="00470D1F" w14:paraId="4BBC611A" w14:textId="7BB30AF9">
      <w:pPr>
        <w:pStyle w:val="Heading2"/>
      </w:pPr>
      <w:bookmarkStart w:name="_Toc160790055" w:id="50"/>
      <w:r>
        <w:t>Fixed Costs</w:t>
      </w:r>
      <w:r w:rsidR="0031323E">
        <w:t xml:space="preserve"> and Fixed Charge Levels</w:t>
      </w:r>
      <w:bookmarkEnd w:id="50"/>
    </w:p>
    <w:p w:rsidR="00F90CA9" w:rsidP="00B27829" w:rsidRDefault="00F90CA9" w14:paraId="2718599C" w14:textId="43111144">
      <w:pPr>
        <w:pStyle w:val="Standard"/>
      </w:pPr>
      <w:r>
        <w:t>The Settlement Agreement proposed the</w:t>
      </w:r>
      <w:r w:rsidR="00893BF8">
        <w:t xml:space="preserve"> initial</w:t>
      </w:r>
      <w:r w:rsidR="00EA40E3">
        <w:t xml:space="preserve"> income-graduated </w:t>
      </w:r>
      <w:r>
        <w:t>fixed charge levels</w:t>
      </w:r>
      <w:r w:rsidR="007504E9">
        <w:t xml:space="preserve"> in </w:t>
      </w:r>
      <w:r w:rsidR="00E92725">
        <w:t>the table</w:t>
      </w:r>
      <w:r w:rsidR="007504E9">
        <w:t xml:space="preserve"> below.</w:t>
      </w:r>
    </w:p>
    <w:p w:rsidRPr="00E16A59" w:rsidR="00F90CA9" w:rsidP="00F90CA9" w:rsidRDefault="00F90CA9" w14:paraId="02B924D4" w14:textId="39DD62E6">
      <w:pPr>
        <w:pStyle w:val="Standard"/>
        <w:ind w:firstLine="0"/>
        <w:rPr>
          <w:b/>
          <w:bCs/>
        </w:rPr>
      </w:pPr>
      <w:r w:rsidRPr="00E16A59">
        <w:rPr>
          <w:b/>
          <w:bCs/>
        </w:rPr>
        <w:t xml:space="preserve">Table </w:t>
      </w:r>
      <w:r w:rsidRPr="00E16A59" w:rsidR="00E16A59">
        <w:rPr>
          <w:b/>
          <w:bCs/>
        </w:rPr>
        <w:t>8</w:t>
      </w:r>
      <w:r w:rsidRPr="00E16A59">
        <w:rPr>
          <w:b/>
          <w:bCs/>
        </w:rPr>
        <w:t>: Settlement Agreement Total Fixed Charge Levels</w:t>
      </w:r>
    </w:p>
    <w:tbl>
      <w:tblPr>
        <w:tblStyle w:val="TableGrid"/>
        <w:tblW w:w="0" w:type="auto"/>
        <w:tblLook w:val="04A0" w:firstRow="1" w:lastRow="0" w:firstColumn="1" w:lastColumn="0" w:noHBand="0" w:noVBand="1"/>
      </w:tblPr>
      <w:tblGrid>
        <w:gridCol w:w="2337"/>
        <w:gridCol w:w="2337"/>
        <w:gridCol w:w="2338"/>
        <w:gridCol w:w="2338"/>
      </w:tblGrid>
      <w:tr w:rsidR="00F90CA9" w:rsidTr="00F90CA9" w14:paraId="4887A264" w14:textId="77777777">
        <w:tc>
          <w:tcPr>
            <w:tcW w:w="2337" w:type="dxa"/>
          </w:tcPr>
          <w:p w:rsidR="00F90CA9" w:rsidP="004F06C8" w:rsidRDefault="005605DA" w14:paraId="42F2B245" w14:textId="02C66856">
            <w:pPr>
              <w:pStyle w:val="Standard"/>
              <w:spacing w:after="120" w:line="240" w:lineRule="auto"/>
              <w:ind w:firstLine="0"/>
            </w:pPr>
            <w:r>
              <w:t>Utility</w:t>
            </w:r>
          </w:p>
        </w:tc>
        <w:tc>
          <w:tcPr>
            <w:tcW w:w="2337" w:type="dxa"/>
          </w:tcPr>
          <w:p w:rsidR="00F90CA9" w:rsidP="004F06C8" w:rsidRDefault="001B29C1" w14:paraId="73ADE6E4" w14:textId="5B640004">
            <w:pPr>
              <w:pStyle w:val="Standard"/>
              <w:spacing w:after="120" w:line="240" w:lineRule="auto"/>
              <w:ind w:firstLine="0"/>
            </w:pPr>
            <w:r>
              <w:t>Tier 1</w:t>
            </w:r>
          </w:p>
        </w:tc>
        <w:tc>
          <w:tcPr>
            <w:tcW w:w="2338" w:type="dxa"/>
          </w:tcPr>
          <w:p w:rsidR="00F90CA9" w:rsidP="004F06C8" w:rsidRDefault="001B29C1" w14:paraId="717FB342" w14:textId="3C884A61">
            <w:pPr>
              <w:pStyle w:val="Standard"/>
              <w:spacing w:after="120" w:line="240" w:lineRule="auto"/>
              <w:ind w:firstLine="0"/>
            </w:pPr>
            <w:r>
              <w:t>Tier 2</w:t>
            </w:r>
          </w:p>
        </w:tc>
        <w:tc>
          <w:tcPr>
            <w:tcW w:w="2338" w:type="dxa"/>
          </w:tcPr>
          <w:p w:rsidR="00F90CA9" w:rsidP="004F06C8" w:rsidRDefault="001B29C1" w14:paraId="4B0CE3B0" w14:textId="20D1305B">
            <w:pPr>
              <w:pStyle w:val="Standard"/>
              <w:spacing w:after="120" w:line="240" w:lineRule="auto"/>
              <w:ind w:firstLine="0"/>
            </w:pPr>
            <w:r>
              <w:t>Tier 3</w:t>
            </w:r>
          </w:p>
        </w:tc>
      </w:tr>
      <w:tr w:rsidR="00F90CA9" w:rsidTr="00F90CA9" w14:paraId="0A5C9334" w14:textId="77777777">
        <w:tc>
          <w:tcPr>
            <w:tcW w:w="2337" w:type="dxa"/>
          </w:tcPr>
          <w:p w:rsidR="00F90CA9" w:rsidP="004F06C8" w:rsidRDefault="001626C5" w14:paraId="166DACCC" w14:textId="7A086C6D">
            <w:pPr>
              <w:pStyle w:val="Standard"/>
              <w:spacing w:after="120" w:line="240" w:lineRule="auto"/>
              <w:ind w:firstLine="0"/>
            </w:pPr>
            <w:r>
              <w:t>Bear Valley</w:t>
            </w:r>
          </w:p>
        </w:tc>
        <w:tc>
          <w:tcPr>
            <w:tcW w:w="2337" w:type="dxa"/>
          </w:tcPr>
          <w:p w:rsidR="00F90CA9" w:rsidP="004F06C8" w:rsidRDefault="001B29C1" w14:paraId="088AD91E" w14:textId="5CAE6822">
            <w:pPr>
              <w:pStyle w:val="Standard"/>
              <w:spacing w:after="120" w:line="240" w:lineRule="auto"/>
              <w:ind w:firstLine="0"/>
            </w:pPr>
            <w:r>
              <w:t>$</w:t>
            </w:r>
            <w:r w:rsidRPr="001B29C1">
              <w:t>5.77</w:t>
            </w:r>
          </w:p>
        </w:tc>
        <w:tc>
          <w:tcPr>
            <w:tcW w:w="2338" w:type="dxa"/>
          </w:tcPr>
          <w:p w:rsidR="00F90CA9" w:rsidP="004F06C8" w:rsidRDefault="001626C5" w14:paraId="51B8008E" w14:textId="266731C3">
            <w:pPr>
              <w:pStyle w:val="Standard"/>
              <w:spacing w:after="120" w:line="240" w:lineRule="auto"/>
              <w:ind w:firstLine="0"/>
            </w:pPr>
            <w:r>
              <w:t>$1</w:t>
            </w:r>
            <w:r w:rsidRPr="001626C5">
              <w:t>0.83</w:t>
            </w:r>
          </w:p>
        </w:tc>
        <w:tc>
          <w:tcPr>
            <w:tcW w:w="2338" w:type="dxa"/>
          </w:tcPr>
          <w:p w:rsidR="00F90CA9" w:rsidP="004F06C8" w:rsidRDefault="00A32420" w14:paraId="1AFA2B51" w14:textId="7157F44F">
            <w:pPr>
              <w:pStyle w:val="Standard"/>
              <w:spacing w:after="120" w:line="240" w:lineRule="auto"/>
              <w:ind w:firstLine="0"/>
            </w:pPr>
            <w:r>
              <w:t>$</w:t>
            </w:r>
            <w:r w:rsidRPr="00A32420">
              <w:t>25.24</w:t>
            </w:r>
          </w:p>
        </w:tc>
      </w:tr>
      <w:tr w:rsidR="00F90CA9" w:rsidTr="00F90CA9" w14:paraId="39BCF047" w14:textId="77777777">
        <w:tc>
          <w:tcPr>
            <w:tcW w:w="2337" w:type="dxa"/>
          </w:tcPr>
          <w:p w:rsidR="00F90CA9" w:rsidP="004F06C8" w:rsidRDefault="00C65E43" w14:paraId="1C87DE07" w14:textId="7A5392F3">
            <w:pPr>
              <w:pStyle w:val="Standard"/>
              <w:spacing w:after="120" w:line="240" w:lineRule="auto"/>
              <w:ind w:firstLine="0"/>
            </w:pPr>
            <w:r>
              <w:t>Liberty</w:t>
            </w:r>
          </w:p>
        </w:tc>
        <w:tc>
          <w:tcPr>
            <w:tcW w:w="2337" w:type="dxa"/>
          </w:tcPr>
          <w:p w:rsidR="00F90CA9" w:rsidP="004F06C8" w:rsidRDefault="00A32420" w14:paraId="235D657F" w14:textId="556CD377">
            <w:pPr>
              <w:pStyle w:val="Standard"/>
              <w:spacing w:after="120" w:line="240" w:lineRule="auto"/>
              <w:ind w:firstLine="0"/>
            </w:pPr>
            <w:r>
              <w:t>$</w:t>
            </w:r>
            <w:r w:rsidRPr="00A32420">
              <w:t>5.00</w:t>
            </w:r>
          </w:p>
        </w:tc>
        <w:tc>
          <w:tcPr>
            <w:tcW w:w="2338" w:type="dxa"/>
          </w:tcPr>
          <w:p w:rsidR="00F90CA9" w:rsidP="004F06C8" w:rsidRDefault="00C65E43" w14:paraId="510B8065" w14:textId="6EA6A7FE">
            <w:pPr>
              <w:pStyle w:val="Standard"/>
              <w:spacing w:after="120" w:line="240" w:lineRule="auto"/>
              <w:ind w:firstLine="0"/>
            </w:pPr>
            <w:r>
              <w:t>$10.00</w:t>
            </w:r>
          </w:p>
        </w:tc>
        <w:tc>
          <w:tcPr>
            <w:tcW w:w="2338" w:type="dxa"/>
          </w:tcPr>
          <w:p w:rsidR="00F90CA9" w:rsidP="004F06C8" w:rsidRDefault="001E299F" w14:paraId="41497291" w14:textId="0EE913FC">
            <w:pPr>
              <w:pStyle w:val="Standard"/>
              <w:spacing w:after="120" w:line="240" w:lineRule="auto"/>
              <w:ind w:firstLine="0"/>
            </w:pPr>
            <w:r>
              <w:t>$</w:t>
            </w:r>
            <w:r w:rsidRPr="001E299F">
              <w:t>32.76</w:t>
            </w:r>
          </w:p>
        </w:tc>
      </w:tr>
      <w:tr w:rsidR="00F90CA9" w:rsidTr="00F90CA9" w14:paraId="620EDCFB" w14:textId="77777777">
        <w:tc>
          <w:tcPr>
            <w:tcW w:w="2337" w:type="dxa"/>
          </w:tcPr>
          <w:p w:rsidR="00F90CA9" w:rsidP="004F06C8" w:rsidRDefault="001E299F" w14:paraId="205AB833" w14:textId="094FD525">
            <w:pPr>
              <w:pStyle w:val="Standard"/>
              <w:spacing w:after="120" w:line="240" w:lineRule="auto"/>
              <w:ind w:firstLine="0"/>
            </w:pPr>
            <w:r>
              <w:t>PacifiCorp</w:t>
            </w:r>
            <w:r w:rsidR="004F06C8">
              <w:t xml:space="preserve"> (single-family)</w:t>
            </w:r>
          </w:p>
        </w:tc>
        <w:tc>
          <w:tcPr>
            <w:tcW w:w="2337" w:type="dxa"/>
          </w:tcPr>
          <w:p w:rsidR="00F90CA9" w:rsidP="004F06C8" w:rsidRDefault="001E299F" w14:paraId="53593F4A" w14:textId="37FFF825">
            <w:pPr>
              <w:pStyle w:val="Standard"/>
              <w:spacing w:after="120" w:line="240" w:lineRule="auto"/>
              <w:ind w:firstLine="0"/>
            </w:pPr>
            <w:r w:rsidRPr="001E299F">
              <w:t>$7.21</w:t>
            </w:r>
          </w:p>
        </w:tc>
        <w:tc>
          <w:tcPr>
            <w:tcW w:w="2338" w:type="dxa"/>
          </w:tcPr>
          <w:p w:rsidR="00F90CA9" w:rsidP="004F06C8" w:rsidRDefault="00122319" w14:paraId="21DDCDA8" w14:textId="3B714F17">
            <w:pPr>
              <w:pStyle w:val="Standard"/>
              <w:spacing w:after="120" w:line="240" w:lineRule="auto"/>
              <w:ind w:firstLine="0"/>
            </w:pPr>
            <w:r>
              <w:t>$15.64</w:t>
            </w:r>
          </w:p>
        </w:tc>
        <w:tc>
          <w:tcPr>
            <w:tcW w:w="2338" w:type="dxa"/>
          </w:tcPr>
          <w:p w:rsidR="00F90CA9" w:rsidP="004F06C8" w:rsidRDefault="00122319" w14:paraId="55275C5A" w14:textId="646270AE">
            <w:pPr>
              <w:pStyle w:val="Standard"/>
              <w:spacing w:after="120" w:line="240" w:lineRule="auto"/>
              <w:ind w:firstLine="0"/>
            </w:pPr>
            <w:r>
              <w:t>$</w:t>
            </w:r>
            <w:r w:rsidRPr="00122319">
              <w:t>33.98</w:t>
            </w:r>
          </w:p>
        </w:tc>
      </w:tr>
      <w:tr w:rsidR="00F90CA9" w:rsidTr="00F90CA9" w14:paraId="2F8FBF98" w14:textId="77777777">
        <w:tc>
          <w:tcPr>
            <w:tcW w:w="2337" w:type="dxa"/>
          </w:tcPr>
          <w:p w:rsidR="00F90CA9" w:rsidP="004F06C8" w:rsidRDefault="004F06C8" w14:paraId="6F4085C9" w14:textId="328F9515">
            <w:pPr>
              <w:pStyle w:val="Standard"/>
              <w:spacing w:after="120" w:line="240" w:lineRule="auto"/>
              <w:ind w:firstLine="0"/>
            </w:pPr>
            <w:r>
              <w:t>PacifiCorp (multi-family)</w:t>
            </w:r>
          </w:p>
        </w:tc>
        <w:tc>
          <w:tcPr>
            <w:tcW w:w="2337" w:type="dxa"/>
          </w:tcPr>
          <w:p w:rsidR="00F90CA9" w:rsidP="004F06C8" w:rsidRDefault="007504E9" w14:paraId="195972D9" w14:textId="42AA1351">
            <w:pPr>
              <w:pStyle w:val="Standard"/>
              <w:spacing w:after="120" w:line="240" w:lineRule="auto"/>
              <w:ind w:firstLine="0"/>
            </w:pPr>
            <w:r>
              <w:t>$</w:t>
            </w:r>
            <w:r w:rsidRPr="00122319" w:rsidR="00122319">
              <w:t>5.20</w:t>
            </w:r>
          </w:p>
        </w:tc>
        <w:tc>
          <w:tcPr>
            <w:tcW w:w="2338" w:type="dxa"/>
          </w:tcPr>
          <w:p w:rsidR="00F90CA9" w:rsidP="004F06C8" w:rsidRDefault="007504E9" w14:paraId="1797A801" w14:textId="0D5CF830">
            <w:pPr>
              <w:pStyle w:val="Standard"/>
              <w:spacing w:after="120" w:line="240" w:lineRule="auto"/>
              <w:ind w:firstLine="0"/>
            </w:pPr>
            <w:r>
              <w:t>$</w:t>
            </w:r>
            <w:r w:rsidRPr="007504E9">
              <w:t>10.25</w:t>
            </w:r>
          </w:p>
        </w:tc>
        <w:tc>
          <w:tcPr>
            <w:tcW w:w="2338" w:type="dxa"/>
          </w:tcPr>
          <w:p w:rsidR="00F90CA9" w:rsidP="004F06C8" w:rsidRDefault="007504E9" w14:paraId="3014F88B" w14:textId="4F0EFF17">
            <w:pPr>
              <w:pStyle w:val="Standard"/>
              <w:spacing w:after="120" w:line="240" w:lineRule="auto"/>
              <w:ind w:firstLine="0"/>
            </w:pPr>
            <w:r>
              <w:t>$</w:t>
            </w:r>
            <w:r w:rsidRPr="007504E9">
              <w:t>23.40</w:t>
            </w:r>
          </w:p>
        </w:tc>
      </w:tr>
    </w:tbl>
    <w:p w:rsidR="00230771" w:rsidP="00544A7B" w:rsidRDefault="000D41F2" w14:paraId="3EC3B862" w14:textId="52A1DEA6">
      <w:pPr>
        <w:pStyle w:val="Standard"/>
        <w:spacing w:before="240"/>
      </w:pPr>
      <w:r>
        <w:t xml:space="preserve">The Settlement Motion argued that the </w:t>
      </w:r>
      <w:r w:rsidR="00042F4E">
        <w:t>fixed charge levels above are</w:t>
      </w:r>
      <w:r w:rsidR="00200D63">
        <w:t xml:space="preserve"> consistent with the law because </w:t>
      </w:r>
      <w:r w:rsidR="004C48B7">
        <w:t>low-income ratepayers</w:t>
      </w:r>
      <w:r w:rsidR="00B0217B">
        <w:t xml:space="preserve"> (Tier </w:t>
      </w:r>
      <w:r w:rsidR="00864BBC">
        <w:t>1 and Tier 2)</w:t>
      </w:r>
      <w:r w:rsidR="00270EA9">
        <w:t xml:space="preserve"> with average usage</w:t>
      </w:r>
      <w:r w:rsidR="004C48B7">
        <w:t xml:space="preserve"> </w:t>
      </w:r>
      <w:r w:rsidR="00D75711">
        <w:t xml:space="preserve">in each baseline </w:t>
      </w:r>
      <w:r w:rsidR="00270EA9">
        <w:t xml:space="preserve">territory would see a reduction in </w:t>
      </w:r>
      <w:r w:rsidRPr="00D75711" w:rsidR="00D75711">
        <w:t>monthly bills</w:t>
      </w:r>
      <w:r w:rsidR="00077937">
        <w:t xml:space="preserve"> without changes </w:t>
      </w:r>
      <w:r w:rsidR="00236D8A">
        <w:t>to</w:t>
      </w:r>
      <w:r w:rsidRPr="00D75711" w:rsidR="00D75711">
        <w:t xml:space="preserve"> usage.</w:t>
      </w:r>
      <w:r w:rsidR="00584867">
        <w:t xml:space="preserve"> The Settlement Motion attached the </w:t>
      </w:r>
      <w:r w:rsidR="005605DA">
        <w:t>Small Utilities</w:t>
      </w:r>
      <w:r w:rsidR="00584867">
        <w:t>’ work papers</w:t>
      </w:r>
      <w:r w:rsidR="00361AAB">
        <w:t xml:space="preserve"> to show compliance with the law</w:t>
      </w:r>
      <w:r w:rsidR="00434382">
        <w:t xml:space="preserve"> for each </w:t>
      </w:r>
      <w:r w:rsidR="001C24A7">
        <w:t>of Tier 1 and Tier 2</w:t>
      </w:r>
      <w:r w:rsidR="00361AAB">
        <w:t>.</w:t>
      </w:r>
    </w:p>
    <w:p w:rsidR="008252BE" w:rsidP="00230771" w:rsidRDefault="008252BE" w14:paraId="32330181" w14:textId="56DC044D">
      <w:pPr>
        <w:pStyle w:val="Standard"/>
      </w:pPr>
      <w:r>
        <w:lastRenderedPageBreak/>
        <w:t xml:space="preserve">Sierra Club/CEJA </w:t>
      </w:r>
      <w:r w:rsidR="00677752">
        <w:t>and CforAT</w:t>
      </w:r>
      <w:r>
        <w:t xml:space="preserve"> opposed the fixed charge levels, arguing that the fixed charges would not meet statutory requirements to provide </w:t>
      </w:r>
      <w:r w:rsidR="006D6621">
        <w:t xml:space="preserve">bills savings to </w:t>
      </w:r>
      <w:r>
        <w:t xml:space="preserve">all low-income ratepayers </w:t>
      </w:r>
      <w:r w:rsidR="006D6621">
        <w:t xml:space="preserve">(not just customers </w:t>
      </w:r>
      <w:r>
        <w:t xml:space="preserve">with </w:t>
      </w:r>
      <w:r w:rsidR="006D6621">
        <w:t xml:space="preserve">average usage). </w:t>
      </w:r>
      <w:r w:rsidR="001F6995">
        <w:t>However, i</w:t>
      </w:r>
      <w:r w:rsidR="00BA5B35">
        <w:t>n Section 3.4 of this decision,</w:t>
      </w:r>
      <w:r w:rsidR="00F215AB">
        <w:t xml:space="preserve"> we concluded that </w:t>
      </w:r>
      <w:r w:rsidR="006A51DF">
        <w:t xml:space="preserve">AB 205 requires </w:t>
      </w:r>
      <w:r w:rsidR="003811DC">
        <w:t>income-graduated fixed charges to</w:t>
      </w:r>
      <w:r w:rsidRPr="00BA5B35" w:rsidR="00BA5B35">
        <w:t xml:space="preserve"> lower the average monthly bill for </w:t>
      </w:r>
      <w:r w:rsidR="002F536C">
        <w:t xml:space="preserve">a </w:t>
      </w:r>
      <w:r w:rsidRPr="00BA5B35" w:rsidR="00BA5B35">
        <w:t xml:space="preserve">low-income ratepayer </w:t>
      </w:r>
      <w:r w:rsidR="002F536C">
        <w:t>with average usage</w:t>
      </w:r>
      <w:r w:rsidRPr="00BA5B35" w:rsidR="00BA5B35">
        <w:t xml:space="preserve"> in each baseline territory without making any changes to usage.</w:t>
      </w:r>
      <w:r w:rsidR="004D7EB9">
        <w:rPr>
          <w:rStyle w:val="FootnoteReference"/>
        </w:rPr>
        <w:footnoteReference w:id="239"/>
      </w:r>
      <w:r w:rsidRPr="00BA5B35" w:rsidR="00BA5B35">
        <w:t xml:space="preserve"> </w:t>
      </w:r>
    </w:p>
    <w:p w:rsidR="00B943B5" w:rsidP="00403BB2" w:rsidRDefault="00E16EE6" w14:paraId="6CC6F4CF" w14:textId="4C8686AB">
      <w:pPr>
        <w:pStyle w:val="Standard"/>
      </w:pPr>
      <w:r>
        <w:t xml:space="preserve">TURN/NRDC expressed concerns that the </w:t>
      </w:r>
      <w:r w:rsidR="009C715F">
        <w:t xml:space="preserve">Tier 2 customer savings would be </w:t>
      </w:r>
      <w:r w:rsidR="000F0523">
        <w:t>modest</w:t>
      </w:r>
      <w:r w:rsidR="00A42DE2">
        <w:t xml:space="preserve"> compared to Tier </w:t>
      </w:r>
      <w:r w:rsidR="001C1A69">
        <w:t>1</w:t>
      </w:r>
      <w:r w:rsidR="00A42DE2">
        <w:t xml:space="preserve"> customer savings but did not oppose th</w:t>
      </w:r>
      <w:r w:rsidR="00C71B24">
        <w:t xml:space="preserve">e specific fixed charge levels or dispute that the fixed charge </w:t>
      </w:r>
      <w:r w:rsidR="00692A56">
        <w:t>levels would comply with statutory requirements</w:t>
      </w:r>
      <w:r w:rsidR="008029A8">
        <w:t xml:space="preserve"> to </w:t>
      </w:r>
      <w:r w:rsidR="006E200B">
        <w:t xml:space="preserve">result in bill savings for </w:t>
      </w:r>
      <w:r w:rsidR="009E53D1">
        <w:t xml:space="preserve">Tier 2 </w:t>
      </w:r>
      <w:r w:rsidR="009232DA">
        <w:t xml:space="preserve">low-income </w:t>
      </w:r>
      <w:r w:rsidR="009E53D1">
        <w:t>customers</w:t>
      </w:r>
      <w:r w:rsidR="006E200B">
        <w:t xml:space="preserve"> with average electricity usage in each baseline territory</w:t>
      </w:r>
      <w:r w:rsidR="00C71B24">
        <w:t>.</w:t>
      </w:r>
      <w:r w:rsidR="00C71B24">
        <w:rPr>
          <w:rStyle w:val="FootnoteReference"/>
        </w:rPr>
        <w:footnoteReference w:id="240"/>
      </w:r>
      <w:r w:rsidR="00692A56">
        <w:t xml:space="preserve"> </w:t>
      </w:r>
      <w:r w:rsidR="00B372F9">
        <w:t xml:space="preserve">The Large Utilities replied that </w:t>
      </w:r>
      <w:r w:rsidR="00B61222">
        <w:t xml:space="preserve">TURN/NRDC’s response should not assume </w:t>
      </w:r>
      <w:r w:rsidR="00A14A56">
        <w:t>th</w:t>
      </w:r>
      <w:r w:rsidR="00125A79">
        <w:t>at each of the</w:t>
      </w:r>
      <w:r w:rsidR="000752A0">
        <w:t xml:space="preserve"> two</w:t>
      </w:r>
      <w:r w:rsidR="00125A79">
        <w:t xml:space="preserve"> low</w:t>
      </w:r>
      <w:r w:rsidR="00BB6641">
        <w:t xml:space="preserve">-income fixed charge tiers would be required to </w:t>
      </w:r>
      <w:r w:rsidR="009213F0">
        <w:t xml:space="preserve">separately </w:t>
      </w:r>
      <w:r w:rsidR="004560BF">
        <w:t xml:space="preserve">comply with the </w:t>
      </w:r>
      <w:r w:rsidR="00B203C2">
        <w:t>AB 205</w:t>
      </w:r>
      <w:r w:rsidR="004560BF">
        <w:t xml:space="preserve"> requirement </w:t>
      </w:r>
      <w:r w:rsidR="00D24425">
        <w:t xml:space="preserve">for the “average low-income customer” to </w:t>
      </w:r>
      <w:r w:rsidR="00B203C2">
        <w:t xml:space="preserve">realize bill savings in each baseline territory. </w:t>
      </w:r>
      <w:r w:rsidR="000F0276">
        <w:t xml:space="preserve">In other words, the Large Utilities argued that </w:t>
      </w:r>
      <w:r w:rsidR="00025D65">
        <w:t>the Commission should allow</w:t>
      </w:r>
      <w:r w:rsidR="000E470B">
        <w:t xml:space="preserve"> a combined analysis of bill savings for </w:t>
      </w:r>
      <w:r w:rsidR="00D334FA">
        <w:t xml:space="preserve">the two low-income </w:t>
      </w:r>
      <w:r w:rsidR="00BB7C2E">
        <w:t>fixed charge tiers.</w:t>
      </w:r>
      <w:r w:rsidR="00F45A04">
        <w:t xml:space="preserve"> The Large Utilities are incorrect.</w:t>
      </w:r>
    </w:p>
    <w:p w:rsidR="00886E79" w:rsidP="00EB68BC" w:rsidRDefault="0008397E" w14:paraId="7950F433" w14:textId="55AAA5B5">
      <w:pPr>
        <w:pStyle w:val="Standard"/>
      </w:pPr>
      <w:r>
        <w:t>This decision</w:t>
      </w:r>
      <w:r w:rsidR="00292373">
        <w:t xml:space="preserve"> interpreted AB 205 </w:t>
      </w:r>
      <w:r w:rsidR="008B2020">
        <w:t>as requiring</w:t>
      </w:r>
      <w:r w:rsidR="00964B47">
        <w:t xml:space="preserve"> bill savings for </w:t>
      </w:r>
      <w:r w:rsidR="00322C42">
        <w:t>“</w:t>
      </w:r>
      <w:r w:rsidR="00964B47">
        <w:t>a low-income customer with average electricity usage</w:t>
      </w:r>
      <w:r w:rsidR="00260444">
        <w:t>.</w:t>
      </w:r>
      <w:r w:rsidR="00322C42">
        <w:t>”</w:t>
      </w:r>
      <w:r w:rsidR="00637879">
        <w:t xml:space="preserve"> </w:t>
      </w:r>
      <w:r w:rsidR="009564D0">
        <w:t xml:space="preserve">TURN/NRDC is correct that </w:t>
      </w:r>
      <w:r w:rsidR="00014FAA">
        <w:t xml:space="preserve">the Small Utilities must show compliance with the AB 205 bill savings requirement separately for Tier 1 and Tier 2. </w:t>
      </w:r>
      <w:r w:rsidR="001C24A7">
        <w:t xml:space="preserve">As noted above, the Settlement Motion demonstrates </w:t>
      </w:r>
      <w:r w:rsidR="002B7B8F">
        <w:t>compliance with AB 205 separately for Tier 1 and Tier 2.</w:t>
      </w:r>
    </w:p>
    <w:p w:rsidR="003371C8" w:rsidP="003371C8" w:rsidRDefault="00845793" w14:paraId="5C36EDC5" w14:textId="66BBB1AB">
      <w:pPr>
        <w:pStyle w:val="Standard"/>
      </w:pPr>
      <w:r>
        <w:lastRenderedPageBreak/>
        <w:t xml:space="preserve">The Settlement Agreement proposed to </w:t>
      </w:r>
      <w:r w:rsidR="00943E03">
        <w:t>recover two categories of costs</w:t>
      </w:r>
      <w:r w:rsidR="00550C09">
        <w:t xml:space="preserve"> through fixed charges</w:t>
      </w:r>
      <w:r w:rsidR="00943E03">
        <w:t>: (a) a portion of base revenues</w:t>
      </w:r>
      <w:r w:rsidR="00700753">
        <w:t>,</w:t>
      </w:r>
      <w:r w:rsidR="00943E03">
        <w:t xml:space="preserve"> and (b) specific</w:t>
      </w:r>
      <w:r w:rsidR="00700753">
        <w:t xml:space="preserve"> cost </w:t>
      </w:r>
      <w:r w:rsidR="006C2299">
        <w:t xml:space="preserve">adjustment </w:t>
      </w:r>
      <w:r w:rsidR="00700753">
        <w:t xml:space="preserve">categories. </w:t>
      </w:r>
      <w:r w:rsidR="006C2299">
        <w:t xml:space="preserve">The proposed fixed charges primarily recover base revenue costs rather than specific cost adjustment categories. For example, the </w:t>
      </w:r>
      <w:r w:rsidR="00073707">
        <w:t>proposed Tier 3 fixed charge</w:t>
      </w:r>
      <w:r w:rsidR="00985626">
        <w:t xml:space="preserve"> of $32.76</w:t>
      </w:r>
      <w:r w:rsidR="00073707">
        <w:t xml:space="preserve"> for Liberty recovers </w:t>
      </w:r>
      <w:r w:rsidRPr="00985626" w:rsidR="00985626">
        <w:t>$31.70</w:t>
      </w:r>
      <w:r w:rsidR="00985626">
        <w:t xml:space="preserve"> </w:t>
      </w:r>
      <w:r w:rsidR="00CD1CA7">
        <w:t>for</w:t>
      </w:r>
      <w:r w:rsidR="00985626">
        <w:t xml:space="preserve"> base revenues and only $1.</w:t>
      </w:r>
      <w:r w:rsidR="00CD1CA7">
        <w:t>06 for specific cost adjustment categories.</w:t>
      </w:r>
      <w:r w:rsidRPr="003371C8" w:rsidR="003371C8">
        <w:t xml:space="preserve"> </w:t>
      </w:r>
    </w:p>
    <w:p w:rsidR="003371C8" w:rsidP="003371C8" w:rsidRDefault="003371C8" w14:paraId="2449DF16" w14:textId="54285AE2">
      <w:pPr>
        <w:pStyle w:val="Standard"/>
      </w:pPr>
      <w:r w:rsidRPr="00222523">
        <w:t xml:space="preserve">The Settlement Motion argued that the proposed fixed charge levels are reasonable because they recover a reasonable portion of fixed costs. However, the Settlement Agreement </w:t>
      </w:r>
      <w:r w:rsidR="00490030">
        <w:t>asserted that no specific methodology for calculating fixed costs was agreed upon in the Settlement Agreement.</w:t>
      </w:r>
      <w:r w:rsidR="00AB42B7">
        <w:t xml:space="preserve"> T</w:t>
      </w:r>
      <w:r w:rsidRPr="00222523">
        <w:t>he Settlement Agreement d</w:t>
      </w:r>
      <w:r w:rsidR="00490030">
        <w:t>id</w:t>
      </w:r>
      <w:r w:rsidRPr="00222523">
        <w:t xml:space="preserve"> not include an agreement about the total amount of each </w:t>
      </w:r>
      <w:r>
        <w:t>Small Utilities</w:t>
      </w:r>
      <w:r w:rsidRPr="00222523">
        <w:t xml:space="preserve">’ fixed costs or what percentage of the </w:t>
      </w:r>
      <w:r>
        <w:t>Small Utilities</w:t>
      </w:r>
      <w:r w:rsidRPr="00222523">
        <w:t>’ fixed costs the proposed fixed charges would recover.</w:t>
      </w:r>
      <w:r w:rsidRPr="003371C8">
        <w:t xml:space="preserve"> </w:t>
      </w:r>
    </w:p>
    <w:p w:rsidR="00470D1F" w:rsidP="00470D1F" w:rsidRDefault="00B240CF" w14:paraId="14E5F41F" w14:textId="061B7FF8">
      <w:pPr>
        <w:pStyle w:val="Standard"/>
      </w:pPr>
      <w:r>
        <w:t xml:space="preserve">The Settlement Agreement proposed to recover the </w:t>
      </w:r>
      <w:r w:rsidR="00123526">
        <w:t xml:space="preserve">following </w:t>
      </w:r>
      <w:r w:rsidR="00D04771">
        <w:t>adjustment</w:t>
      </w:r>
      <w:r w:rsidR="00BB2958">
        <w:t xml:space="preserve"> schedules </w:t>
      </w:r>
      <w:r w:rsidR="00123526">
        <w:t xml:space="preserve">through the </w:t>
      </w:r>
      <w:r w:rsidR="005605DA">
        <w:t>Small Utilities</w:t>
      </w:r>
      <w:r w:rsidR="00123526">
        <w:t>’ income-graduated fixed charges:</w:t>
      </w:r>
    </w:p>
    <w:p w:rsidR="00123526" w:rsidP="003762A0" w:rsidRDefault="00123526" w14:paraId="372AF4AE" w14:textId="44C5041A">
      <w:pPr>
        <w:pStyle w:val="ListBullet"/>
        <w:ind w:right="1440"/>
      </w:pPr>
      <w:r>
        <w:t xml:space="preserve">CARE program </w:t>
      </w:r>
      <w:r w:rsidR="00D04771">
        <w:t>surcharge</w:t>
      </w:r>
      <w:r>
        <w:t xml:space="preserve"> (</w:t>
      </w:r>
      <w:r w:rsidR="00B27829">
        <w:t xml:space="preserve">all </w:t>
      </w:r>
      <w:r w:rsidR="005605DA">
        <w:t>Small Utilities</w:t>
      </w:r>
      <w:r>
        <w:t>);</w:t>
      </w:r>
    </w:p>
    <w:p w:rsidR="0088434C" w:rsidP="003762A0" w:rsidRDefault="0088434C" w14:paraId="4227C95A" w14:textId="59315FF4">
      <w:pPr>
        <w:pStyle w:val="ListBullet"/>
        <w:ind w:right="1440"/>
      </w:pPr>
      <w:r w:rsidRPr="0088434C">
        <w:t>Energy Savings Assistance Program surcharge</w:t>
      </w:r>
      <w:r>
        <w:t xml:space="preserve"> </w:t>
      </w:r>
      <w:r w:rsidRPr="0088434C">
        <w:t>(</w:t>
      </w:r>
      <w:r w:rsidR="00B27829">
        <w:t xml:space="preserve">all </w:t>
      </w:r>
      <w:r w:rsidR="005605DA">
        <w:t>Small Utilities</w:t>
      </w:r>
      <w:r w:rsidR="00B27829">
        <w:t>)</w:t>
      </w:r>
      <w:r w:rsidRPr="0088434C">
        <w:t xml:space="preserve">; </w:t>
      </w:r>
    </w:p>
    <w:p w:rsidR="004C7A0D" w:rsidP="003762A0" w:rsidRDefault="004C7A0D" w14:paraId="3527B986" w14:textId="2D1A2057">
      <w:pPr>
        <w:pStyle w:val="ListBullet"/>
        <w:ind w:right="1440"/>
      </w:pPr>
      <w:r>
        <w:t xml:space="preserve">Catastrophic Event Memorandum Account recorded costs </w:t>
      </w:r>
      <w:r w:rsidRPr="004C7A0D">
        <w:t>(</w:t>
      </w:r>
      <w:r w:rsidR="00B27829">
        <w:t xml:space="preserve">all </w:t>
      </w:r>
      <w:r w:rsidR="005605DA">
        <w:t>Small Utilities</w:t>
      </w:r>
      <w:r w:rsidRPr="004C7A0D">
        <w:t>)</w:t>
      </w:r>
      <w:r w:rsidRPr="0088434C">
        <w:t>;</w:t>
      </w:r>
    </w:p>
    <w:p w:rsidR="00123526" w:rsidP="003762A0" w:rsidRDefault="00123526" w14:paraId="69A4F4DD" w14:textId="7A238AD9">
      <w:pPr>
        <w:pStyle w:val="ListBullet"/>
        <w:ind w:right="1440"/>
      </w:pPr>
      <w:r>
        <w:t xml:space="preserve">Public Purpose Program </w:t>
      </w:r>
      <w:r w:rsidR="00D04771">
        <w:t>surcharge</w:t>
      </w:r>
      <w:r>
        <w:t xml:space="preserve"> (</w:t>
      </w:r>
      <w:r w:rsidR="00D04771">
        <w:t>PacifiCorp and Bear Valley);</w:t>
      </w:r>
    </w:p>
    <w:p w:rsidR="00717037" w:rsidP="003762A0" w:rsidRDefault="00717037" w14:paraId="796DE9C3" w14:textId="4B1CB5FA">
      <w:pPr>
        <w:pStyle w:val="ListBullet"/>
        <w:ind w:right="1440"/>
      </w:pPr>
      <w:r>
        <w:t>Energy Efficiency Balancing Account (</w:t>
      </w:r>
      <w:r w:rsidR="00033783">
        <w:t>Liberty)</w:t>
      </w:r>
      <w:r w:rsidR="00060A2C">
        <w:t>; and</w:t>
      </w:r>
    </w:p>
    <w:p w:rsidR="001D0C60" w:rsidP="003762A0" w:rsidRDefault="00060A2C" w14:paraId="1F9E13D3" w14:textId="33F603BA">
      <w:pPr>
        <w:pStyle w:val="ListBullet"/>
        <w:ind w:right="1440"/>
      </w:pPr>
      <w:r>
        <w:t>General Rate Case Revenue Requirement Memorandum Account</w:t>
      </w:r>
      <w:r w:rsidR="00B27829">
        <w:t xml:space="preserve"> (Bear Valley)</w:t>
      </w:r>
      <w:r w:rsidR="001D0C60">
        <w:t>.</w:t>
      </w:r>
    </w:p>
    <w:p w:rsidR="008F316D" w:rsidP="000659DE" w:rsidRDefault="00B27829" w14:paraId="1C58213D" w14:textId="5D240C0D">
      <w:pPr>
        <w:pStyle w:val="Standard"/>
      </w:pPr>
      <w:r w:rsidRPr="00B27829">
        <w:t xml:space="preserve">The Settlement </w:t>
      </w:r>
      <w:r>
        <w:t xml:space="preserve">Motion argued that all of the </w:t>
      </w:r>
      <w:r w:rsidR="00BB2958">
        <w:t xml:space="preserve">proposed adjustment schedules for recovery through the fixed charges are fixed costs for the </w:t>
      </w:r>
      <w:r w:rsidR="005605DA">
        <w:t xml:space="preserve">Small </w:t>
      </w:r>
      <w:r w:rsidR="005605DA">
        <w:lastRenderedPageBreak/>
        <w:t>Utilities</w:t>
      </w:r>
      <w:r w:rsidR="00BB2958">
        <w:t xml:space="preserve"> that are</w:t>
      </w:r>
      <w:r w:rsidR="000659DE">
        <w:t xml:space="preserve"> not directly tied to the </w:t>
      </w:r>
      <w:r w:rsidRPr="00B27829">
        <w:t>amount of electricity used by a customer</w:t>
      </w:r>
      <w:r w:rsidR="000659DE">
        <w:t xml:space="preserve"> and</w:t>
      </w:r>
      <w:r w:rsidRPr="00B27829">
        <w:t xml:space="preserve"> are</w:t>
      </w:r>
      <w:r w:rsidR="000659DE">
        <w:t xml:space="preserve"> </w:t>
      </w:r>
      <w:r w:rsidRPr="00B27829">
        <w:t>incurred regardless of how much electricity is use</w:t>
      </w:r>
      <w:r w:rsidR="000659DE">
        <w:t>d.</w:t>
      </w:r>
    </w:p>
    <w:p w:rsidR="0089342C" w:rsidP="0089342C" w:rsidRDefault="008F316D" w14:paraId="7FFE5BC7" w14:textId="4B6F5C40">
      <w:pPr>
        <w:pStyle w:val="Standard"/>
      </w:pPr>
      <w:r>
        <w:t xml:space="preserve">The statutory interpretation section of this decision determined that Section 739.9 of the Pub. Util. Code </w:t>
      </w:r>
      <w:r w:rsidR="001D7746">
        <w:t>provides that</w:t>
      </w:r>
      <w:r>
        <w:t xml:space="preserve"> only </w:t>
      </w:r>
      <w:r w:rsidRPr="008F316D">
        <w:t>fixed costs may be recovered through a fixed charge.</w:t>
      </w:r>
      <w:r w:rsidR="000659DE">
        <w:t xml:space="preserve"> </w:t>
      </w:r>
      <w:r w:rsidR="0089342C">
        <w:t xml:space="preserve">Further, </w:t>
      </w:r>
      <w:r w:rsidR="004F0A03">
        <w:t>this decision defined</w:t>
      </w:r>
      <w:r w:rsidR="0089342C">
        <w:t xml:space="preserve"> a fixed cost </w:t>
      </w:r>
      <w:r w:rsidR="004F0A03">
        <w:t>as</w:t>
      </w:r>
      <w:r w:rsidR="00206005">
        <w:t xml:space="preserve"> a cost</w:t>
      </w:r>
      <w:r w:rsidR="0089342C">
        <w:t xml:space="preserve"> that does not </w:t>
      </w:r>
      <w:r w:rsidRPr="0089342C" w:rsidR="0089342C">
        <w:t xml:space="preserve">directly vary based on </w:t>
      </w:r>
      <w:r w:rsidRPr="00A1450E" w:rsidR="00A1450E">
        <w:t>the electricity usage of the customer from whom the revenue is being collected</w:t>
      </w:r>
      <w:r w:rsidR="00A1450E">
        <w:t>.</w:t>
      </w:r>
    </w:p>
    <w:p w:rsidR="00FD2A4D" w:rsidP="000C3C38" w:rsidRDefault="000659DE" w14:paraId="06774003" w14:textId="3C705E80">
      <w:pPr>
        <w:pStyle w:val="Standard"/>
      </w:pPr>
      <w:r>
        <w:t>As discussed</w:t>
      </w:r>
      <w:r w:rsidR="00EA628E">
        <w:t xml:space="preserve"> above in the section approving the</w:t>
      </w:r>
      <w:r w:rsidR="00BA1F31">
        <w:t xml:space="preserve"> Large Utilities’ fixed costs</w:t>
      </w:r>
      <w:r w:rsidR="00EA628E">
        <w:t xml:space="preserve"> for income-graduated fixed charges</w:t>
      </w:r>
      <w:r>
        <w:t xml:space="preserve">, </w:t>
      </w:r>
      <w:r w:rsidR="00BA1F31">
        <w:t>public policy-related costs like CARE program surcharge</w:t>
      </w:r>
      <w:r w:rsidR="00EA628E">
        <w:t xml:space="preserve"> </w:t>
      </w:r>
      <w:r w:rsidRPr="00EA628E" w:rsidR="00EA628E">
        <w:t>are</w:t>
      </w:r>
      <w:r w:rsidR="00B7335E">
        <w:t xml:space="preserve"> fixed costs because the</w:t>
      </w:r>
      <w:r w:rsidR="003B22BC">
        <w:t xml:space="preserve"> revenue requirement </w:t>
      </w:r>
      <w:r w:rsidR="000C3C38">
        <w:t xml:space="preserve">for such costs does not </w:t>
      </w:r>
      <w:r w:rsidRPr="000C3C38" w:rsidR="000C3C38">
        <w:t xml:space="preserve">directly vary based on </w:t>
      </w:r>
      <w:r w:rsidRPr="00A1450E" w:rsidR="00A1450E">
        <w:t>the</w:t>
      </w:r>
      <w:r w:rsidRPr="000C3C38" w:rsidR="000C3C38">
        <w:t xml:space="preserve"> electricity </w:t>
      </w:r>
      <w:r w:rsidRPr="00A1450E" w:rsidR="00A1450E">
        <w:t xml:space="preserve">usage of the </w:t>
      </w:r>
      <w:r w:rsidRPr="000C3C38" w:rsidR="000C3C38">
        <w:t xml:space="preserve">customer </w:t>
      </w:r>
      <w:r w:rsidRPr="00A1450E" w:rsidR="00A1450E">
        <w:t>from whom the revenue is being collected</w:t>
      </w:r>
      <w:r w:rsidR="00FD2A4D">
        <w:t>. Each of the following costs are</w:t>
      </w:r>
      <w:r w:rsidR="007B57C5">
        <w:t xml:space="preserve"> public-policy related</w:t>
      </w:r>
      <w:r w:rsidR="00FD2A4D">
        <w:t xml:space="preserve"> </w:t>
      </w:r>
      <w:r w:rsidR="00DA1B73">
        <w:t xml:space="preserve">fixed costs: </w:t>
      </w:r>
      <w:r w:rsidRPr="00FD2A4D" w:rsidR="00FD2A4D">
        <w:t>CARE program surcharge</w:t>
      </w:r>
      <w:r w:rsidR="00DA1B73">
        <w:t xml:space="preserve">, </w:t>
      </w:r>
      <w:r w:rsidRPr="00FD2A4D" w:rsidR="00FD2A4D">
        <w:t>Energy Savings Assistance Program surcharge</w:t>
      </w:r>
      <w:r w:rsidR="00DA1B73">
        <w:t xml:space="preserve">, </w:t>
      </w:r>
      <w:r w:rsidRPr="00FD2A4D" w:rsidR="00FD2A4D">
        <w:t>Catastrophic Event Memorandum Account recorded costs</w:t>
      </w:r>
      <w:r w:rsidR="00DA1B73">
        <w:t xml:space="preserve">, </w:t>
      </w:r>
      <w:r w:rsidRPr="00FD2A4D" w:rsidR="00FD2A4D">
        <w:t>Public Purpose Program surcharge</w:t>
      </w:r>
      <w:r w:rsidR="00DA1B73">
        <w:t xml:space="preserve">, and </w:t>
      </w:r>
      <w:r w:rsidRPr="00FD2A4D" w:rsidR="00FD2A4D">
        <w:t>Energy Efficiency Balancing Account</w:t>
      </w:r>
      <w:r w:rsidR="007B57C5">
        <w:t>.</w:t>
      </w:r>
      <w:r w:rsidR="00DE2B1E">
        <w:t xml:space="preserve"> No party raised any legal restrictions on recovery of any of these costs through a fixed charge.</w:t>
      </w:r>
    </w:p>
    <w:p w:rsidR="009D6F13" w:rsidP="00337828" w:rsidRDefault="00941A19" w14:paraId="30BF0B20" w14:textId="72A68621">
      <w:pPr>
        <w:pStyle w:val="Standard"/>
      </w:pPr>
      <w:r>
        <w:t xml:space="preserve">The Settlement Agreement </w:t>
      </w:r>
      <w:r w:rsidR="00ED38B2">
        <w:t>also propose</w:t>
      </w:r>
      <w:r w:rsidR="00AF44B8">
        <w:t>d</w:t>
      </w:r>
      <w:r w:rsidR="00ED38B2">
        <w:t xml:space="preserve"> to recover Bear Valley’s</w:t>
      </w:r>
      <w:r>
        <w:t xml:space="preserve"> </w:t>
      </w:r>
      <w:r w:rsidRPr="00941A19">
        <w:t>General Rate Case Revenue Requirement Memorandum Account</w:t>
      </w:r>
      <w:r w:rsidR="0099306F">
        <w:t xml:space="preserve"> </w:t>
      </w:r>
      <w:r w:rsidR="007F6456">
        <w:t>through income-graduated fixed charges</w:t>
      </w:r>
      <w:r w:rsidR="00ED38B2">
        <w:t>.</w:t>
      </w:r>
      <w:r w:rsidR="007F6456">
        <w:t xml:space="preserve"> </w:t>
      </w:r>
      <w:r w:rsidR="001E74B8">
        <w:t>Bear Vall</w:t>
      </w:r>
      <w:r w:rsidR="00FD4A32">
        <w:t>e</w:t>
      </w:r>
      <w:r w:rsidR="001E74B8">
        <w:t>y</w:t>
      </w:r>
      <w:r w:rsidR="007F6456">
        <w:t xml:space="preserve"> </w:t>
      </w:r>
      <w:r w:rsidR="00C87AAC">
        <w:t xml:space="preserve">did not </w:t>
      </w:r>
      <w:r w:rsidR="001E74B8">
        <w:t xml:space="preserve">previously </w:t>
      </w:r>
      <w:r w:rsidR="00C87AAC">
        <w:t>propose</w:t>
      </w:r>
      <w:r w:rsidR="0099306F">
        <w:t xml:space="preserve"> to recover the costs of this account through a </w:t>
      </w:r>
      <w:r w:rsidR="002E61DC">
        <w:t>fixed charge</w:t>
      </w:r>
      <w:r w:rsidR="007F6456">
        <w:t>.</w:t>
      </w:r>
      <w:r w:rsidR="001E74B8">
        <w:rPr>
          <w:rStyle w:val="FootnoteReference"/>
        </w:rPr>
        <w:footnoteReference w:id="241"/>
      </w:r>
      <w:r w:rsidR="00094A47">
        <w:t xml:space="preserve"> The Settlement Motion argued that these costs are </w:t>
      </w:r>
      <w:r w:rsidR="00670DC4">
        <w:t>incurred regardless of customer usage and are fixed costs</w:t>
      </w:r>
      <w:r w:rsidR="009B2AB0">
        <w:t>.</w:t>
      </w:r>
      <w:r w:rsidR="000A0504">
        <w:t xml:space="preserve"> </w:t>
      </w:r>
      <w:r w:rsidR="009D6F13">
        <w:t xml:space="preserve">No party argued that </w:t>
      </w:r>
      <w:r w:rsidR="00D51432">
        <w:t>th</w:t>
      </w:r>
      <w:r w:rsidR="00FC4892">
        <w:t>ere are legal restrictions on recovering this cost through a fixed charge.</w:t>
      </w:r>
    </w:p>
    <w:p w:rsidR="00B240CF" w:rsidP="00DA0132" w:rsidRDefault="00D626BF" w14:paraId="0DCA0F5B" w14:textId="60754CAE">
      <w:pPr>
        <w:pStyle w:val="Standard"/>
      </w:pPr>
      <w:r>
        <w:lastRenderedPageBreak/>
        <w:t xml:space="preserve">SEIA responded that the Settlement Motion did not explain </w:t>
      </w:r>
      <w:r w:rsidR="00D7459D">
        <w:t xml:space="preserve">why these costs are </w:t>
      </w:r>
      <w:r w:rsidR="00337828">
        <w:t>incurred regardless of customer usage</w:t>
      </w:r>
      <w:r w:rsidR="00FA2F5A">
        <w:t>.</w:t>
      </w:r>
      <w:r w:rsidR="00FC4892">
        <w:rPr>
          <w:rStyle w:val="FootnoteReference"/>
        </w:rPr>
        <w:footnoteReference w:id="242"/>
      </w:r>
      <w:r w:rsidR="00337828">
        <w:t xml:space="preserve"> </w:t>
      </w:r>
      <w:r w:rsidRPr="00DE4B62" w:rsidR="00DE4B62">
        <w:rPr>
          <w:rFonts w:ascii="Segoe UI" w:hAnsi="Segoe UI" w:eastAsia="Times New Roman" w:cs="Segoe UI"/>
          <w:sz w:val="18"/>
          <w:szCs w:val="18"/>
        </w:rPr>
        <w:t xml:space="preserve"> </w:t>
      </w:r>
      <w:r w:rsidRPr="00DE4B62" w:rsidR="00DE4B62">
        <w:t>This memo</w:t>
      </w:r>
      <w:r w:rsidR="00DE4B62">
        <w:t>randum</w:t>
      </w:r>
      <w:r w:rsidRPr="00DE4B62" w:rsidR="00DE4B62">
        <w:t xml:space="preserve"> account was established in D.22-08-010 </w:t>
      </w:r>
      <w:r w:rsidR="00DE4B62">
        <w:t>to</w:t>
      </w:r>
      <w:r w:rsidRPr="00DE4B62" w:rsidR="00DE4B62">
        <w:t xml:space="preserve"> track the difference between rates effective </w:t>
      </w:r>
      <w:r w:rsidR="00F0584A">
        <w:t xml:space="preserve">on </w:t>
      </w:r>
      <w:r w:rsidRPr="00DE4B62" w:rsidR="00DE4B62">
        <w:t>Dec</w:t>
      </w:r>
      <w:r w:rsidR="00F0584A">
        <w:t>ember</w:t>
      </w:r>
      <w:r w:rsidRPr="00DE4B62" w:rsidR="00DE4B62">
        <w:t xml:space="preserve"> 31, 2022 and the rates that would be authorized </w:t>
      </w:r>
      <w:r w:rsidR="00F0584A">
        <w:t xml:space="preserve">in a subsequent decision. </w:t>
      </w:r>
      <w:r w:rsidR="002E2060">
        <w:t xml:space="preserve">The Settlement Motion </w:t>
      </w:r>
      <w:r w:rsidR="00DA0132">
        <w:t xml:space="preserve">does not provide sufficient information to determine which portion of </w:t>
      </w:r>
      <w:r w:rsidRPr="00855068" w:rsidR="00855068">
        <w:t xml:space="preserve">Bear Valley’s General Rate Case Revenue Requirement Memorandum Account </w:t>
      </w:r>
      <w:r w:rsidR="00855068">
        <w:t xml:space="preserve">costs </w:t>
      </w:r>
      <w:r w:rsidR="00DA0132">
        <w:t>are fixed costs.</w:t>
      </w:r>
    </w:p>
    <w:p w:rsidR="009849EE" w:rsidP="009849EE" w:rsidRDefault="009849EE" w14:paraId="2D4F6016" w14:textId="0F47D703">
      <w:pPr>
        <w:pStyle w:val="Standard"/>
      </w:pPr>
      <w:r w:rsidRPr="009849EE">
        <w:t xml:space="preserve">It is reasonable in light of the whole record, consistent with law, and in the public interest to approve the recovery of the following cost categories through the </w:t>
      </w:r>
      <w:r w:rsidR="005605DA">
        <w:t>Small Utilities</w:t>
      </w:r>
      <w:r w:rsidRPr="009849EE">
        <w:t>’ income-graduated fixed charges: CARE program surcharge, Energy Savings Assistance Program surcharge, Catastrophic Event Memorandum Account recorded costs, Public Purpose Program surcharge, and Energy Efficiency Balancing Account</w:t>
      </w:r>
      <w:r w:rsidR="007679F4">
        <w:t xml:space="preserve"> (together, the </w:t>
      </w:r>
      <w:r w:rsidR="000703E4">
        <w:t>S</w:t>
      </w:r>
      <w:r w:rsidR="005605DA">
        <w:t>mall Utilities’</w:t>
      </w:r>
      <w:r w:rsidR="000703E4">
        <w:t xml:space="preserve"> Line-Item Fixed Costs).</w:t>
      </w:r>
    </w:p>
    <w:p w:rsidRPr="009E1AB1" w:rsidR="009E1AB1" w:rsidP="009E1AB1" w:rsidRDefault="00B947D1" w14:paraId="769C7616" w14:textId="429E9061">
      <w:pPr>
        <w:pStyle w:val="Standard"/>
      </w:pPr>
      <w:r>
        <w:t xml:space="preserve">Neither the Settlement Motion nor the Settlement Agreement </w:t>
      </w:r>
      <w:r w:rsidR="009E7CA6">
        <w:t xml:space="preserve">included an agreement or argument about which portion of each </w:t>
      </w:r>
      <w:r w:rsidR="005605DA">
        <w:t>Small Utilities</w:t>
      </w:r>
      <w:r w:rsidR="009E7CA6">
        <w:t xml:space="preserve">’ base revenues are fixed costs. </w:t>
      </w:r>
      <w:r w:rsidR="006C399D">
        <w:t xml:space="preserve">The record of this proceeding does not include </w:t>
      </w:r>
      <w:r w:rsidR="00397133">
        <w:t>sufficient</w:t>
      </w:r>
      <w:r w:rsidR="006C399D">
        <w:t xml:space="preserve"> evidence regarding which portion of </w:t>
      </w:r>
      <w:r w:rsidRPr="006C399D" w:rsidR="006C399D">
        <w:t xml:space="preserve">each </w:t>
      </w:r>
      <w:r w:rsidR="005605DA">
        <w:t>Small Utilities</w:t>
      </w:r>
      <w:r w:rsidRPr="006C399D" w:rsidR="006C399D">
        <w:t>’ base revenues are fixed costs</w:t>
      </w:r>
      <w:r w:rsidR="003A5D66">
        <w:t xml:space="preserve">. </w:t>
      </w:r>
      <w:r w:rsidR="00AB45E4">
        <w:t>Neither</w:t>
      </w:r>
      <w:r w:rsidR="00AB1806">
        <w:t xml:space="preserve"> Bear Valley nor </w:t>
      </w:r>
      <w:r w:rsidR="00D95084">
        <w:t>PacifiCorp</w:t>
      </w:r>
      <w:r w:rsidR="00AB45E4">
        <w:t xml:space="preserve"> </w:t>
      </w:r>
      <w:r w:rsidR="003E6A4C">
        <w:t xml:space="preserve">previously proposed to recover base revenues; instead, each utility proposed to recover all </w:t>
      </w:r>
      <w:r w:rsidR="009C60ED">
        <w:t xml:space="preserve">residential </w:t>
      </w:r>
      <w:r w:rsidR="003E6A4C">
        <w:t xml:space="preserve">distribution costs through </w:t>
      </w:r>
      <w:r w:rsidR="00C241C5">
        <w:t>fixed charges.</w:t>
      </w:r>
      <w:r w:rsidR="00E3779E">
        <w:rPr>
          <w:rStyle w:val="FootnoteReference"/>
        </w:rPr>
        <w:footnoteReference w:id="243"/>
      </w:r>
      <w:r w:rsidR="00E3779E">
        <w:t xml:space="preserve"> </w:t>
      </w:r>
      <w:r w:rsidR="008E11C3">
        <w:t xml:space="preserve">In opening testimony </w:t>
      </w:r>
      <w:r w:rsidR="00196735">
        <w:t xml:space="preserve">and the </w:t>
      </w:r>
      <w:r w:rsidR="005605DA">
        <w:t>Small Utilities</w:t>
      </w:r>
      <w:r w:rsidR="00196735">
        <w:t xml:space="preserve">’ opening brief, </w:t>
      </w:r>
      <w:r w:rsidR="00E3779E">
        <w:t>Liberty</w:t>
      </w:r>
      <w:r w:rsidR="008E11C3">
        <w:t xml:space="preserve"> </w:t>
      </w:r>
      <w:r w:rsidR="00E3779E">
        <w:t>proposed to recover both “distribution base revenues” and “generation base revenues” through fixed charges.</w:t>
      </w:r>
      <w:r w:rsidR="00302466">
        <w:rPr>
          <w:rStyle w:val="FootnoteReference"/>
        </w:rPr>
        <w:footnoteReference w:id="244"/>
      </w:r>
      <w:r w:rsidR="008E11C3">
        <w:t xml:space="preserve"> Cal Advo</w:t>
      </w:r>
      <w:r w:rsidR="00196735">
        <w:t xml:space="preserve">cates </w:t>
      </w:r>
      <w:r w:rsidR="009E1AB1">
        <w:t xml:space="preserve">initially </w:t>
      </w:r>
      <w:r w:rsidR="00EE0E3E">
        <w:lastRenderedPageBreak/>
        <w:t xml:space="preserve">opposed </w:t>
      </w:r>
      <w:r w:rsidR="00981821">
        <w:t>inclusion of generation base revenues, arguing that these costs are related to usage and are not fixed costs</w:t>
      </w:r>
      <w:r w:rsidR="008D536B">
        <w:t>.</w:t>
      </w:r>
      <w:r w:rsidRPr="00EE0E3E" w:rsidR="00EE0E3E">
        <w:t xml:space="preserve"> Cal Advocates a</w:t>
      </w:r>
      <w:r w:rsidR="008D536B">
        <w:t>lso noted that</w:t>
      </w:r>
      <w:r w:rsidRPr="00EE0E3E" w:rsidR="00EE0E3E">
        <w:t xml:space="preserve"> Liberty did not provide any indication whether the generation costs were related to sunk costs or stranded assets.</w:t>
      </w:r>
      <w:r w:rsidR="00EE0E3E">
        <w:rPr>
          <w:rStyle w:val="FootnoteReference"/>
        </w:rPr>
        <w:footnoteReference w:id="245"/>
      </w:r>
      <w:r w:rsidR="009F3A69">
        <w:t xml:space="preserve"> </w:t>
      </w:r>
    </w:p>
    <w:p w:rsidR="00371D78" w:rsidP="00C76EB0" w:rsidRDefault="00C76EB0" w14:paraId="2CFAAA47" w14:textId="20401B22">
      <w:pPr>
        <w:pStyle w:val="Standard"/>
      </w:pPr>
      <w:r w:rsidRPr="00C76EB0">
        <w:t>SEIA commented that the Small Utilities failed to provide information about what cost categories are included in base revenues in response to a data request</w:t>
      </w:r>
      <w:r w:rsidR="009573D3">
        <w:t xml:space="preserve"> and therefore the fixed charge levels are not justified</w:t>
      </w:r>
      <w:r w:rsidRPr="00C76EB0">
        <w:t>.</w:t>
      </w:r>
      <w:r w:rsidRPr="00C76EB0">
        <w:rPr>
          <w:vertAlign w:val="superscript"/>
        </w:rPr>
        <w:footnoteReference w:id="246"/>
      </w:r>
      <w:r>
        <w:t xml:space="preserve"> </w:t>
      </w:r>
      <w:r w:rsidR="005F23FE">
        <w:t xml:space="preserve">Sierra Club/CEJA also </w:t>
      </w:r>
      <w:r w:rsidR="00ED4BB6">
        <w:t xml:space="preserve">raised concerns about the </w:t>
      </w:r>
      <w:r w:rsidR="00C348EB">
        <w:t xml:space="preserve">Settlement Agreement’s failure to </w:t>
      </w:r>
      <w:r w:rsidR="00BC0589">
        <w:t xml:space="preserve">identify which costs </w:t>
      </w:r>
      <w:r w:rsidR="00D950A7">
        <w:t>are included in base revenues</w:t>
      </w:r>
      <w:r w:rsidR="00582DC4">
        <w:t xml:space="preserve"> and argued that the proposed fixed charge levels are not justified</w:t>
      </w:r>
      <w:r w:rsidR="00D950A7">
        <w:t>.</w:t>
      </w:r>
      <w:r w:rsidR="00D950A7">
        <w:rPr>
          <w:rStyle w:val="FootnoteReference"/>
        </w:rPr>
        <w:footnoteReference w:id="247"/>
      </w:r>
      <w:r w:rsidR="009573D3">
        <w:t xml:space="preserve"> </w:t>
      </w:r>
      <w:r w:rsidR="0044058D">
        <w:t xml:space="preserve">In </w:t>
      </w:r>
      <w:r w:rsidR="00832269">
        <w:t>reply</w:t>
      </w:r>
      <w:r w:rsidR="00204BF1">
        <w:t xml:space="preserve">, the </w:t>
      </w:r>
      <w:r w:rsidR="009F3288">
        <w:t xml:space="preserve">Small Utilities </w:t>
      </w:r>
      <w:r w:rsidR="00C27064">
        <w:t xml:space="preserve">simply reiterated that </w:t>
      </w:r>
      <w:r w:rsidR="00DC51B7">
        <w:t xml:space="preserve">the </w:t>
      </w:r>
      <w:r w:rsidR="001D0782">
        <w:t>base revenue</w:t>
      </w:r>
      <w:r w:rsidR="00DC51B7">
        <w:t xml:space="preserve"> fixed charge component</w:t>
      </w:r>
      <w:r w:rsidR="001D0782">
        <w:t xml:space="preserve"> consist</w:t>
      </w:r>
      <w:r w:rsidR="00DC51B7">
        <w:t>s</w:t>
      </w:r>
      <w:r w:rsidR="001D0782">
        <w:t xml:space="preserve"> of </w:t>
      </w:r>
      <w:r w:rsidR="00DC51B7">
        <w:t xml:space="preserve">“distribution </w:t>
      </w:r>
      <w:r w:rsidR="009F090D">
        <w:t xml:space="preserve">costs that are fixed in nature” without further </w:t>
      </w:r>
      <w:r w:rsidR="00CD61ED">
        <w:t>description of these costs.</w:t>
      </w:r>
      <w:r w:rsidR="00A47099">
        <w:rPr>
          <w:rStyle w:val="FootnoteReference"/>
        </w:rPr>
        <w:footnoteReference w:id="248"/>
      </w:r>
      <w:r w:rsidR="00CD61ED">
        <w:t xml:space="preserve"> </w:t>
      </w:r>
    </w:p>
    <w:p w:rsidR="00C76EB0" w:rsidP="00C76EB0" w:rsidRDefault="00371D78" w14:paraId="4101DB99" w14:textId="190DC91C">
      <w:pPr>
        <w:pStyle w:val="Standard"/>
      </w:pPr>
      <w:r>
        <w:t xml:space="preserve">The Settlement Motion </w:t>
      </w:r>
      <w:r w:rsidR="007B489F">
        <w:t>proposed</w:t>
      </w:r>
      <w:r>
        <w:t xml:space="preserve"> fixed charge</w:t>
      </w:r>
      <w:r w:rsidR="00DD19B9">
        <w:t xml:space="preserve"> levels </w:t>
      </w:r>
      <w:r w:rsidR="00401070">
        <w:t xml:space="preserve">based on the </w:t>
      </w:r>
      <w:r w:rsidR="004A69E0">
        <w:t xml:space="preserve">revenue requirement for specific </w:t>
      </w:r>
      <w:r w:rsidR="009E2447">
        <w:t>costs</w:t>
      </w:r>
      <w:r w:rsidR="003B2EC4">
        <w:t xml:space="preserve">. </w:t>
      </w:r>
      <w:r w:rsidR="0037635D">
        <w:t xml:space="preserve">The </w:t>
      </w:r>
      <w:r w:rsidR="00205A74">
        <w:t xml:space="preserve">Small Utilities’ base revenue costs comprise the </w:t>
      </w:r>
      <w:r w:rsidR="0037635D">
        <w:t xml:space="preserve">majority of the </w:t>
      </w:r>
      <w:r w:rsidR="00E26CE4">
        <w:t>proposed costs for recovery</w:t>
      </w:r>
      <w:r w:rsidR="00205A74">
        <w:t xml:space="preserve"> through the fixed charges. </w:t>
      </w:r>
      <w:r w:rsidR="002421D5">
        <w:t>Wh</w:t>
      </w:r>
      <w:r w:rsidR="006C7DA2">
        <w:t xml:space="preserve">ether the proposed fixed charges are reasonable depends on whether </w:t>
      </w:r>
      <w:r w:rsidR="00B10DF2">
        <w:t xml:space="preserve">all of </w:t>
      </w:r>
      <w:r w:rsidR="006C7DA2">
        <w:t xml:space="preserve">the </w:t>
      </w:r>
      <w:r w:rsidR="000975C9">
        <w:t xml:space="preserve">proposed </w:t>
      </w:r>
      <w:r w:rsidR="004636CD">
        <w:t xml:space="preserve">base revenue costs </w:t>
      </w:r>
      <w:r w:rsidR="00FF3C7F">
        <w:t>for recovery</w:t>
      </w:r>
      <w:r w:rsidR="004636CD">
        <w:t xml:space="preserve"> </w:t>
      </w:r>
      <w:r w:rsidR="00FF3C7F">
        <w:t>are fixed costs</w:t>
      </w:r>
      <w:r w:rsidR="00186821">
        <w:t>.</w:t>
      </w:r>
    </w:p>
    <w:p w:rsidR="009E1AB1" w:rsidP="008D536B" w:rsidRDefault="003B18EE" w14:paraId="1D4BD434" w14:textId="066175DA">
      <w:pPr>
        <w:pStyle w:val="Standard"/>
      </w:pPr>
      <w:r>
        <w:t xml:space="preserve">TURN/NRDC recommended that the Commission require the </w:t>
      </w:r>
      <w:r w:rsidR="005605DA">
        <w:t>Small Utilities</w:t>
      </w:r>
      <w:r>
        <w:t xml:space="preserve"> to </w:t>
      </w:r>
      <w:r w:rsidR="009D55E2">
        <w:t xml:space="preserve">identify the cost categories </w:t>
      </w:r>
      <w:r w:rsidR="00AB6C5F">
        <w:t>included in base revenues</w:t>
      </w:r>
      <w:r w:rsidR="00FB5B47">
        <w:t xml:space="preserve"> and </w:t>
      </w:r>
      <w:r w:rsidR="00B0114A">
        <w:t xml:space="preserve">explain </w:t>
      </w:r>
      <w:r w:rsidR="008326DD">
        <w:t>why</w:t>
      </w:r>
      <w:r w:rsidR="00B0114A">
        <w:t xml:space="preserve"> </w:t>
      </w:r>
      <w:r w:rsidR="00D90082">
        <w:t>these</w:t>
      </w:r>
      <w:r w:rsidR="00B0114A">
        <w:t xml:space="preserve"> </w:t>
      </w:r>
      <w:r w:rsidR="008326DD">
        <w:t>c</w:t>
      </w:r>
      <w:r w:rsidR="00061C34">
        <w:t xml:space="preserve">ost </w:t>
      </w:r>
      <w:r w:rsidR="00B0114A">
        <w:t xml:space="preserve">categories </w:t>
      </w:r>
      <w:r w:rsidR="00470043">
        <w:t xml:space="preserve">are similar to the cost categories that the Commission </w:t>
      </w:r>
      <w:r w:rsidR="00DE55A0">
        <w:t>authorized</w:t>
      </w:r>
      <w:r w:rsidR="00470043">
        <w:t xml:space="preserve"> for fixed charge recovery</w:t>
      </w:r>
      <w:r w:rsidR="006615F6">
        <w:t xml:space="preserve"> (for the Small Utilities or the Large Utilities)</w:t>
      </w:r>
      <w:r w:rsidR="00DE55A0">
        <w:t>.</w:t>
      </w:r>
      <w:r w:rsidR="00426772">
        <w:t xml:space="preserve"> TURN/NRDC </w:t>
      </w:r>
      <w:r w:rsidR="000C4ED2">
        <w:t xml:space="preserve">recommended that the Commission </w:t>
      </w:r>
      <w:r w:rsidR="00B849A2">
        <w:t>reduce</w:t>
      </w:r>
      <w:r w:rsidR="000C4ED2">
        <w:t xml:space="preserve"> the </w:t>
      </w:r>
      <w:r w:rsidR="005605DA">
        <w:t xml:space="preserve">Small </w:t>
      </w:r>
      <w:r w:rsidR="005605DA">
        <w:lastRenderedPageBreak/>
        <w:t>Utilities</w:t>
      </w:r>
      <w:r w:rsidR="00B849A2">
        <w:t xml:space="preserve">’ </w:t>
      </w:r>
      <w:r w:rsidR="000C4ED2">
        <w:t xml:space="preserve">fixed charge levels if </w:t>
      </w:r>
      <w:r w:rsidR="00EB2E8B">
        <w:t xml:space="preserve">the </w:t>
      </w:r>
      <w:r w:rsidR="00B153C2">
        <w:t xml:space="preserve">Commission finds that the </w:t>
      </w:r>
      <w:r w:rsidR="00272C6E">
        <w:t xml:space="preserve">total </w:t>
      </w:r>
      <w:r w:rsidR="00577B00">
        <w:t xml:space="preserve">revenue requirement </w:t>
      </w:r>
      <w:r w:rsidR="00F83366">
        <w:t>(</w:t>
      </w:r>
      <w:r w:rsidR="00577B00">
        <w:t>for</w:t>
      </w:r>
      <w:r w:rsidR="00F83366">
        <w:t xml:space="preserve"> the proposed</w:t>
      </w:r>
      <w:r w:rsidR="00F73BA0">
        <w:t xml:space="preserve"> fixed costs</w:t>
      </w:r>
      <w:r w:rsidR="00F83366">
        <w:t>)</w:t>
      </w:r>
      <w:r w:rsidR="00F73BA0">
        <w:t xml:space="preserve"> </w:t>
      </w:r>
      <w:r w:rsidR="00CC04E0">
        <w:t xml:space="preserve">is </w:t>
      </w:r>
      <w:r w:rsidR="00F73BA0">
        <w:t>not high enough to support the proposed fixed charge levels.</w:t>
      </w:r>
      <w:r w:rsidR="00702839">
        <w:rPr>
          <w:rStyle w:val="FootnoteReference"/>
        </w:rPr>
        <w:footnoteReference w:id="249"/>
      </w:r>
    </w:p>
    <w:p w:rsidR="00B37C32" w:rsidP="00B37C32" w:rsidRDefault="00D0707D" w14:paraId="2D9EF56F" w14:textId="2C5D9ED5">
      <w:pPr>
        <w:pStyle w:val="Standard"/>
      </w:pPr>
      <w:r>
        <w:t>Th</w:t>
      </w:r>
      <w:r w:rsidR="00F23E4F">
        <w:t>e</w:t>
      </w:r>
      <w:r>
        <w:t xml:space="preserve"> </w:t>
      </w:r>
      <w:r w:rsidR="00097165">
        <w:t xml:space="preserve">record of this </w:t>
      </w:r>
      <w:r>
        <w:t xml:space="preserve">proceeding </w:t>
      </w:r>
      <w:r w:rsidR="00097165">
        <w:t xml:space="preserve">is </w:t>
      </w:r>
      <w:r w:rsidR="009F3A69">
        <w:t xml:space="preserve">not sufficient to determine which portion of </w:t>
      </w:r>
      <w:r w:rsidR="005605DA">
        <w:t>Small Utilities</w:t>
      </w:r>
      <w:r w:rsidR="009F3A69">
        <w:t xml:space="preserve">’ base revenues </w:t>
      </w:r>
      <w:r w:rsidRPr="009F3A69" w:rsidR="009F3A69">
        <w:t>are fixed costs that may be recovered through a fixed charge</w:t>
      </w:r>
      <w:r w:rsidR="00ED568F">
        <w:t>.</w:t>
      </w:r>
      <w:r w:rsidR="00AF78E3">
        <w:t xml:space="preserve"> </w:t>
      </w:r>
      <w:r w:rsidR="00502CDC">
        <w:t xml:space="preserve">We agree that TURN/NRDC’s proposed </w:t>
      </w:r>
      <w:r w:rsidR="001D5A42">
        <w:t xml:space="preserve">solution is a reasonable way to </w:t>
      </w:r>
      <w:r w:rsidR="00207471">
        <w:t>address this issue.</w:t>
      </w:r>
    </w:p>
    <w:p w:rsidR="00916644" w:rsidP="0061039D" w:rsidRDefault="003B4961" w14:paraId="4D3761B5" w14:textId="5450F0BB">
      <w:pPr>
        <w:pStyle w:val="Standard"/>
      </w:pPr>
      <w:r>
        <w:t>It is reasonable for the Commission to determine which portion of the</w:t>
      </w:r>
      <w:r w:rsidR="007B0C36">
        <w:t xml:space="preserve"> </w:t>
      </w:r>
      <w:r w:rsidR="005605DA">
        <w:t>Small Utilities</w:t>
      </w:r>
      <w:r w:rsidR="00C25946">
        <w:t xml:space="preserve">’ </w:t>
      </w:r>
      <w:r w:rsidR="00EC4DD0">
        <w:t>base revenu</w:t>
      </w:r>
      <w:r w:rsidR="00E4612D">
        <w:t xml:space="preserve">es are fixed costs </w:t>
      </w:r>
      <w:r w:rsidR="007816B5">
        <w:t>that</w:t>
      </w:r>
      <w:r w:rsidR="00E4612D">
        <w:t xml:space="preserve"> may be recovered through income-graduated fixed charges through </w:t>
      </w:r>
      <w:r w:rsidR="004B3B50">
        <w:t>a</w:t>
      </w:r>
      <w:r w:rsidR="00E4612D">
        <w:t xml:space="preserve"> Tier 3 advice letter process. </w:t>
      </w:r>
    </w:p>
    <w:p w:rsidR="001D76AD" w:rsidP="0061039D" w:rsidRDefault="00BF0A7E" w14:paraId="56B4819A" w14:textId="70E4B3F0">
      <w:pPr>
        <w:pStyle w:val="Standard"/>
      </w:pPr>
      <w:r w:rsidRPr="00BF0A7E">
        <w:t xml:space="preserve">If </w:t>
      </w:r>
      <w:r w:rsidR="009D2763">
        <w:t>the Commission determines in a resolution of the Tier 3 advice letter that</w:t>
      </w:r>
      <w:r w:rsidRPr="00BF0A7E">
        <w:t xml:space="preserve"> the total revenue requirement for all of the </w:t>
      </w:r>
      <w:r w:rsidR="005605DA">
        <w:t>Small Utilities</w:t>
      </w:r>
      <w:r w:rsidRPr="00BF0A7E">
        <w:t xml:space="preserve">’ fixed cost categories is sufficient to support the fixed charge levels </w:t>
      </w:r>
      <w:r w:rsidR="000E0B49">
        <w:t>in</w:t>
      </w:r>
      <w:r w:rsidRPr="00BF0A7E">
        <w:t xml:space="preserve"> the Settlement Agreement,</w:t>
      </w:r>
      <w:r>
        <w:t xml:space="preserve"> then it </w:t>
      </w:r>
      <w:r w:rsidR="008F79E6">
        <w:t>would be</w:t>
      </w:r>
      <w:r>
        <w:t xml:space="preserve"> reasonable </w:t>
      </w:r>
      <w:r w:rsidR="009D2763">
        <w:t>for the resolution to</w:t>
      </w:r>
      <w:r w:rsidR="00F74F33">
        <w:t xml:space="preserve"> approve the </w:t>
      </w:r>
      <w:r w:rsidR="009D2763">
        <w:t>Settlement Agreement’s fixed charge levels. If the</w:t>
      </w:r>
      <w:r w:rsidR="0061039D">
        <w:t xml:space="preserve"> Commission </w:t>
      </w:r>
      <w:r w:rsidR="0009540F">
        <w:t>resolution</w:t>
      </w:r>
      <w:r w:rsidR="0061039D">
        <w:t xml:space="preserve"> determines that</w:t>
      </w:r>
      <w:r w:rsidRPr="00492935" w:rsidR="00492935">
        <w:t xml:space="preserve"> the total revenue requirement for all of the </w:t>
      </w:r>
      <w:r w:rsidR="005605DA">
        <w:t>Small Utilities</w:t>
      </w:r>
      <w:r w:rsidRPr="00492935" w:rsidR="00492935">
        <w:t xml:space="preserve">’ fixed cost categories </w:t>
      </w:r>
      <w:r w:rsidR="00E96AFD">
        <w:t>does not</w:t>
      </w:r>
      <w:r w:rsidRPr="00492935" w:rsidR="00492935">
        <w:t xml:space="preserve"> support the fixed charge levels</w:t>
      </w:r>
      <w:r w:rsidR="000E0B49">
        <w:t xml:space="preserve"> in the Settlement Agreement</w:t>
      </w:r>
      <w:r w:rsidRPr="00492935" w:rsidR="00492935">
        <w:t xml:space="preserve">, it </w:t>
      </w:r>
      <w:r w:rsidR="00B422FD">
        <w:t>would be</w:t>
      </w:r>
      <w:r w:rsidRPr="00492935" w:rsidR="00492935">
        <w:t xml:space="preserve"> reasonable for the Commission </w:t>
      </w:r>
      <w:r w:rsidR="0009540F">
        <w:t>resolution</w:t>
      </w:r>
      <w:r w:rsidRPr="00492935" w:rsidR="00492935">
        <w:t xml:space="preserve"> to reduce the </w:t>
      </w:r>
      <w:r w:rsidR="005605DA">
        <w:t>Small Utilities</w:t>
      </w:r>
      <w:r w:rsidRPr="00492935" w:rsidR="00492935">
        <w:t>’ fixed charge levels accordingly.</w:t>
      </w:r>
    </w:p>
    <w:p w:rsidR="00731FFF" w:rsidP="00426772" w:rsidRDefault="00C61E74" w14:paraId="0A1782A0" w14:textId="5F668F50">
      <w:pPr>
        <w:pStyle w:val="Standard"/>
      </w:pPr>
      <w:r>
        <w:t>Each</w:t>
      </w:r>
      <w:r w:rsidR="00175D67">
        <w:t xml:space="preserve"> </w:t>
      </w:r>
      <w:r w:rsidR="005605DA">
        <w:t>of the Small Utilities</w:t>
      </w:r>
      <w:r>
        <w:t xml:space="preserve"> shall</w:t>
      </w:r>
      <w:r w:rsidR="00175D67">
        <w:t xml:space="preserve"> </w:t>
      </w:r>
      <w:r w:rsidR="00101B27">
        <w:t>include the following information</w:t>
      </w:r>
      <w:r w:rsidR="004C4147">
        <w:t xml:space="preserve"> regarding </w:t>
      </w:r>
      <w:r w:rsidR="00143813">
        <w:t xml:space="preserve">proposed </w:t>
      </w:r>
      <w:r w:rsidR="004C4147">
        <w:t>fixed costs</w:t>
      </w:r>
      <w:r w:rsidR="00101B27">
        <w:t xml:space="preserve"> </w:t>
      </w:r>
      <w:r w:rsidR="00426772">
        <w:t>and fixed charge levels</w:t>
      </w:r>
      <w:r w:rsidR="00101B27">
        <w:t xml:space="preserve"> in</w:t>
      </w:r>
      <w:r w:rsidR="0040134F">
        <w:t xml:space="preserve"> a Tier 3 advice letter for </w:t>
      </w:r>
      <w:r w:rsidR="00106B82">
        <w:t xml:space="preserve">implementing </w:t>
      </w:r>
      <w:r w:rsidR="00620541">
        <w:t xml:space="preserve">income-graduated fixed charges: </w:t>
      </w:r>
    </w:p>
    <w:p w:rsidR="00731FFF" w:rsidP="003762A0" w:rsidRDefault="00731FFF" w14:paraId="180ADFC8" w14:textId="63162B1E">
      <w:pPr>
        <w:pStyle w:val="ListAlpha"/>
        <w:ind w:right="1440"/>
      </w:pPr>
      <w:r>
        <w:t>A</w:t>
      </w:r>
      <w:r w:rsidR="00B129C1">
        <w:t xml:space="preserve"> </w:t>
      </w:r>
      <w:r w:rsidR="001322A0">
        <w:t xml:space="preserve">list of </w:t>
      </w:r>
      <w:r w:rsidR="00AB1004">
        <w:t>all base revenue cost categories</w:t>
      </w:r>
      <w:r w:rsidR="002C42A4">
        <w:t xml:space="preserve"> </w:t>
      </w:r>
      <w:r w:rsidR="001322A0">
        <w:t xml:space="preserve">that </w:t>
      </w:r>
      <w:r w:rsidR="001D76AD">
        <w:t xml:space="preserve">the utility proposes to recover through its income-graduated fixed </w:t>
      </w:r>
      <w:r w:rsidR="001D76AD">
        <w:lastRenderedPageBreak/>
        <w:t>charge</w:t>
      </w:r>
      <w:r w:rsidR="008569EE">
        <w:t>s</w:t>
      </w:r>
      <w:r w:rsidR="008A196A">
        <w:t xml:space="preserve"> and the revenue requirement associated with each cost category</w:t>
      </w:r>
      <w:r>
        <w:t>;</w:t>
      </w:r>
    </w:p>
    <w:p w:rsidR="00D82250" w:rsidP="003762A0" w:rsidRDefault="00731FFF" w14:paraId="0B5C493C" w14:textId="783F903B">
      <w:pPr>
        <w:pStyle w:val="ListAlpha"/>
        <w:ind w:right="1440"/>
      </w:pPr>
      <w:r>
        <w:t>A</w:t>
      </w:r>
      <w:r w:rsidR="008A196A">
        <w:t>n</w:t>
      </w:r>
      <w:r w:rsidR="00357F44">
        <w:t xml:space="preserve"> explanation </w:t>
      </w:r>
      <w:r w:rsidR="008A196A">
        <w:t xml:space="preserve">of why each </w:t>
      </w:r>
      <w:r>
        <w:t xml:space="preserve">listed </w:t>
      </w:r>
      <w:r w:rsidR="008A196A">
        <w:t xml:space="preserve">base revenue cost category </w:t>
      </w:r>
      <w:r>
        <w:t xml:space="preserve">is a fixed cost similar to a </w:t>
      </w:r>
      <w:r w:rsidR="00625348">
        <w:t>category approved for recovery through this decision;</w:t>
      </w:r>
    </w:p>
    <w:p w:rsidR="00865098" w:rsidP="003762A0" w:rsidRDefault="005D519A" w14:paraId="3C5044F4" w14:textId="398D26BD">
      <w:pPr>
        <w:pStyle w:val="ListAlpha"/>
        <w:ind w:right="1440"/>
      </w:pPr>
      <w:r>
        <w:t xml:space="preserve">The </w:t>
      </w:r>
      <w:r w:rsidR="000009BE">
        <w:t xml:space="preserve">revenue requirement </w:t>
      </w:r>
      <w:r w:rsidR="00AE525D">
        <w:t>for each of</w:t>
      </w:r>
      <w:r w:rsidR="001B2E95">
        <w:t xml:space="preserve"> the </w:t>
      </w:r>
      <w:r w:rsidR="00593466">
        <w:t xml:space="preserve">fixed </w:t>
      </w:r>
      <w:r w:rsidR="001B2E95">
        <w:t xml:space="preserve">cost </w:t>
      </w:r>
      <w:r w:rsidR="00675A73">
        <w:t>categories approved in this decision</w:t>
      </w:r>
      <w:r w:rsidR="00841DD3">
        <w:t>,</w:t>
      </w:r>
      <w:r w:rsidR="00675A73">
        <w:t xml:space="preserve"> if applicable to the </w:t>
      </w:r>
      <w:r w:rsidR="00FB2652">
        <w:t>utility</w:t>
      </w:r>
      <w:r w:rsidR="0077678B">
        <w:t>;</w:t>
      </w:r>
    </w:p>
    <w:p w:rsidR="0077678B" w:rsidP="003762A0" w:rsidRDefault="008D6419" w14:paraId="14B3615F" w14:textId="4BC0898A">
      <w:pPr>
        <w:pStyle w:val="ListAlpha"/>
        <w:ind w:right="1440"/>
      </w:pPr>
      <w:r>
        <w:t xml:space="preserve">An explanation of how each base revenue cost category </w:t>
      </w:r>
      <w:r w:rsidR="00A726B5">
        <w:t xml:space="preserve">was converted from </w:t>
      </w:r>
      <w:r w:rsidR="00A031EE">
        <w:t xml:space="preserve">the current volumetric rate </w:t>
      </w:r>
      <w:r w:rsidR="00314CB8">
        <w:t xml:space="preserve">to </w:t>
      </w:r>
      <w:r w:rsidR="001A7EDA">
        <w:t xml:space="preserve">a new per customer rate, if it is incremental to the current </w:t>
      </w:r>
      <w:r w:rsidR="00A360DD">
        <w:t>fixed charges;</w:t>
      </w:r>
    </w:p>
    <w:p w:rsidR="002C6435" w:rsidP="003762A0" w:rsidRDefault="0021129E" w14:paraId="02F177C5" w14:textId="23CAC892">
      <w:pPr>
        <w:pStyle w:val="ListAlpha"/>
        <w:ind w:right="1440"/>
      </w:pPr>
      <w:r>
        <w:t xml:space="preserve">If a review of the base revenue cost categories shows insufficient fixed costs to support the Settlement Agreement’s fixed charge levels, then the </w:t>
      </w:r>
      <w:r w:rsidR="00152917">
        <w:t>utility</w:t>
      </w:r>
      <w:r>
        <w:t xml:space="preserve"> shall propose </w:t>
      </w:r>
      <w:r w:rsidR="001A32DE">
        <w:t>lower fixed charges; and</w:t>
      </w:r>
    </w:p>
    <w:p w:rsidR="00A360DD" w:rsidP="003762A0" w:rsidRDefault="00152917" w14:paraId="36D941EA" w14:textId="4672BEF0">
      <w:pPr>
        <w:pStyle w:val="ListAlpha"/>
        <w:ind w:right="1440"/>
      </w:pPr>
      <w:r>
        <w:t xml:space="preserve">A </w:t>
      </w:r>
      <w:r w:rsidR="00A310F3">
        <w:t xml:space="preserve">bill impact analysis demonstrating that </w:t>
      </w:r>
      <w:r w:rsidR="00536574">
        <w:t xml:space="preserve">both </w:t>
      </w:r>
      <w:r w:rsidR="00226B51">
        <w:t>Tier 1 and Tier 2 customers with average</w:t>
      </w:r>
      <w:r w:rsidR="00A81DFA">
        <w:t xml:space="preserve"> electricity</w:t>
      </w:r>
      <w:r w:rsidR="00226B51">
        <w:t xml:space="preserve"> usage</w:t>
      </w:r>
      <w:r w:rsidR="00145836">
        <w:t xml:space="preserve"> in each baseline territory</w:t>
      </w:r>
      <w:r w:rsidR="00226B51">
        <w:t xml:space="preserve"> </w:t>
      </w:r>
      <w:r w:rsidR="00115A8B">
        <w:t xml:space="preserve">without changes to usage </w:t>
      </w:r>
      <w:r w:rsidR="00C64013">
        <w:t>will realize a bill savings</w:t>
      </w:r>
      <w:r w:rsidR="00226B51">
        <w:t xml:space="preserve"> </w:t>
      </w:r>
      <w:r w:rsidR="0084344A">
        <w:t xml:space="preserve">compared to </w:t>
      </w:r>
      <w:r w:rsidR="004C5584">
        <w:t>currently effective rates.</w:t>
      </w:r>
    </w:p>
    <w:p w:rsidR="00470D1F" w:rsidP="00702F6F" w:rsidRDefault="00470D1F" w14:paraId="0D4F28FC" w14:textId="43F89357">
      <w:pPr>
        <w:pStyle w:val="Heading2"/>
      </w:pPr>
      <w:bookmarkStart w:name="_Toc160790056" w:id="51"/>
      <w:r>
        <w:t>Small and Large Customer Differentiation</w:t>
      </w:r>
      <w:bookmarkEnd w:id="51"/>
    </w:p>
    <w:p w:rsidR="00B85730" w:rsidP="00BB35B5" w:rsidRDefault="0093175F" w14:paraId="2E43E379" w14:textId="59C46A6B">
      <w:pPr>
        <w:pStyle w:val="Standard"/>
      </w:pPr>
      <w:r>
        <w:t xml:space="preserve">The Settlement </w:t>
      </w:r>
      <w:r w:rsidR="00B85730">
        <w:t xml:space="preserve">Motion argued that the Settlement Agreement </w:t>
      </w:r>
      <w:r w:rsidR="00BB35B5">
        <w:t>compl</w:t>
      </w:r>
      <w:r w:rsidR="00B85730">
        <w:t>ies</w:t>
      </w:r>
      <w:r w:rsidR="00BB35B5">
        <w:t xml:space="preserve"> with the </w:t>
      </w:r>
      <w:r w:rsidRPr="007442C0" w:rsidR="00470D1F">
        <w:t xml:space="preserve">Section 739.9(d) </w:t>
      </w:r>
      <w:r w:rsidR="00CA1D04">
        <w:t xml:space="preserve">requirement for fixed charges to appropriately reflect the </w:t>
      </w:r>
      <w:r w:rsidR="00B85730">
        <w:t xml:space="preserve">different </w:t>
      </w:r>
      <w:r w:rsidR="00CA1D04">
        <w:t>cost</w:t>
      </w:r>
      <w:r w:rsidR="00B85730">
        <w:t>s</w:t>
      </w:r>
      <w:r w:rsidR="00CA1D04">
        <w:t xml:space="preserve"> of serving small and large customer</w:t>
      </w:r>
      <w:r w:rsidR="00B85730">
        <w:t>s. However, the Settlement Agreement does not differentiate between small and large customers of Liberty or Bear Valley. The Settlement Agreement does propose lower fixed charges for multi</w:t>
      </w:r>
      <w:r w:rsidR="00CB38EE">
        <w:t>-</w:t>
      </w:r>
      <w:r w:rsidR="00B85730">
        <w:t xml:space="preserve">family </w:t>
      </w:r>
      <w:r w:rsidR="006961F6">
        <w:t xml:space="preserve">housing </w:t>
      </w:r>
      <w:r w:rsidR="00B85730">
        <w:t xml:space="preserve">customers of </w:t>
      </w:r>
      <w:r w:rsidR="00CB38EE">
        <w:t xml:space="preserve">PacifiCorp than single-family </w:t>
      </w:r>
      <w:r w:rsidR="006961F6">
        <w:t xml:space="preserve">housing </w:t>
      </w:r>
      <w:r w:rsidR="00CB38EE">
        <w:t>customers.</w:t>
      </w:r>
      <w:r w:rsidR="00A24A83">
        <w:t xml:space="preserve"> No party opposed this </w:t>
      </w:r>
      <w:r w:rsidR="003657BC">
        <w:t>provision</w:t>
      </w:r>
      <w:r w:rsidR="00A24A83">
        <w:t xml:space="preserve"> of the Settlement Agreement.</w:t>
      </w:r>
    </w:p>
    <w:p w:rsidR="008A5793" w:rsidP="008A5793" w:rsidRDefault="00CB38EE" w14:paraId="47CF5524" w14:textId="69A763FB">
      <w:pPr>
        <w:pStyle w:val="Standard"/>
      </w:pPr>
      <w:r>
        <w:t xml:space="preserve">This decision determined that it </w:t>
      </w:r>
      <w:r w:rsidR="008A5793">
        <w:t xml:space="preserve">is </w:t>
      </w:r>
      <w:r w:rsidRPr="008A5793" w:rsidR="008A5793">
        <w:t xml:space="preserve">reasonable to </w:t>
      </w:r>
      <w:r w:rsidR="001C1C8C">
        <w:t xml:space="preserve">initially </w:t>
      </w:r>
      <w:r w:rsidRPr="008A5793" w:rsidR="008A5793">
        <w:t xml:space="preserve">adopt income-graduated fixed charges for the Large Utilities that do not differentiate between the costs of serving small and large customers. </w:t>
      </w:r>
      <w:r w:rsidR="008A5793">
        <w:t xml:space="preserve">This decision </w:t>
      </w:r>
      <w:r w:rsidR="0050116B">
        <w:t xml:space="preserve">directed the Large </w:t>
      </w:r>
      <w:r w:rsidR="0050116B">
        <w:lastRenderedPageBreak/>
        <w:t xml:space="preserve">Utilities to take specific actions to enable the Commission to </w:t>
      </w:r>
      <w:r w:rsidR="00C34C23">
        <w:t xml:space="preserve">study </w:t>
      </w:r>
      <w:r w:rsidR="00593FC5">
        <w:t xml:space="preserve">the feasibility of identifying </w:t>
      </w:r>
      <w:r w:rsidR="002937C7">
        <w:t xml:space="preserve">small and large customers based on whether the customer is located in a single- or multi-family residence, among other potential solutions. </w:t>
      </w:r>
    </w:p>
    <w:p w:rsidRPr="008A5793" w:rsidR="008A5793" w:rsidP="00C520F3" w:rsidRDefault="00D83881" w14:paraId="4B73CD9B" w14:textId="753C4D78">
      <w:pPr>
        <w:pStyle w:val="Standard"/>
        <w:rPr>
          <w:b/>
          <w:bCs/>
        </w:rPr>
      </w:pPr>
      <w:r w:rsidRPr="00D83881">
        <w:t>It is reasonable in light of the whole record, consistent with law, and in the public interest t</w:t>
      </w:r>
      <w:r>
        <w:t>o approve the Settlement Agreement</w:t>
      </w:r>
      <w:r w:rsidR="00C520F3">
        <w:t xml:space="preserve"> provision for </w:t>
      </w:r>
      <w:r w:rsidR="003E30D0">
        <w:t xml:space="preserve">PacifiCorp to reflect the different costs of serving small and large customers by </w:t>
      </w:r>
      <w:r w:rsidR="00F76F09">
        <w:t xml:space="preserve">imposing a lower fixed charge on customers in multi-family </w:t>
      </w:r>
      <w:r w:rsidR="00497F59">
        <w:t xml:space="preserve">housing </w:t>
      </w:r>
      <w:r w:rsidR="00F76F09">
        <w:t xml:space="preserve">compared with customers in single-family </w:t>
      </w:r>
      <w:r w:rsidR="00497F59">
        <w:t>housing.</w:t>
      </w:r>
    </w:p>
    <w:p w:rsidR="0099629D" w:rsidP="006174BC" w:rsidRDefault="00C520F3" w14:paraId="3C21F332" w14:textId="1045518D">
      <w:pPr>
        <w:pStyle w:val="Standard"/>
      </w:pPr>
      <w:r w:rsidRPr="00C520F3">
        <w:t>It is reasonable in light of the whole record, consistent with law, and in the public interest to approve the Settlement Agreement provision</w:t>
      </w:r>
      <w:r>
        <w:t xml:space="preserve"> for the income-graduated fixed charges of Liberty and Bear Valley to not </w:t>
      </w:r>
      <w:r w:rsidRPr="00C520F3">
        <w:t>reflect the different costs of serving small and large customers</w:t>
      </w:r>
      <w:r>
        <w:t>.</w:t>
      </w:r>
    </w:p>
    <w:p w:rsidR="00470D1F" w:rsidP="0099629D" w:rsidRDefault="00C520F3" w14:paraId="757E884C" w14:textId="7049E41A">
      <w:pPr>
        <w:pStyle w:val="Standard"/>
      </w:pPr>
      <w:r>
        <w:t xml:space="preserve">However, Liberty and Bear Valley must </w:t>
      </w:r>
      <w:r w:rsidR="002F5CC7">
        <w:t>take similar steps as the Large Utilities to enable compliance with the statute in the next version of its income-graduated fixed charges.</w:t>
      </w:r>
      <w:r w:rsidR="0099629D">
        <w:t xml:space="preserve"> </w:t>
      </w:r>
      <w:r w:rsidR="00423B8F">
        <w:t xml:space="preserve">The Commission </w:t>
      </w:r>
      <w:r w:rsidR="00C775F3">
        <w:t xml:space="preserve">directs Liberty and Bear Valley to </w:t>
      </w:r>
      <w:r w:rsidRPr="00B06B27" w:rsidR="00B06B27">
        <w:t xml:space="preserve">each (a) consult with PacificCorp to understand how PacifiCorp differentiates between single- and multi-family housing and whether it would be feasible for </w:t>
      </w:r>
      <w:r w:rsidR="009771D7">
        <w:t>Liberty and Bear Valley</w:t>
      </w:r>
      <w:r w:rsidRPr="00B06B27" w:rsidR="009771D7">
        <w:t xml:space="preserve"> </w:t>
      </w:r>
      <w:r w:rsidRPr="00B06B27" w:rsidR="00B06B27">
        <w:t>to collect and use similar data for the purpose of differentiating fixed charges; (b) present their findings at the workshop hosted by the large utilities regarding differentiating between single- and multi-family households</w:t>
      </w:r>
      <w:r w:rsidR="00904BBA">
        <w:t>;</w:t>
      </w:r>
      <w:r w:rsidRPr="00B06B27" w:rsidR="00B06B27">
        <w:t xml:space="preserve"> and (c) file a report in this proceeding within 90 days of the workshop.</w:t>
      </w:r>
      <w:r w:rsidR="00904BBA">
        <w:t xml:space="preserve"> </w:t>
      </w:r>
      <w:r w:rsidR="00F30662">
        <w:t xml:space="preserve">These findings will be used by the Commission to help inform the design of the next version of the income-graduated fixed charge for the Small Utilities. </w:t>
      </w:r>
    </w:p>
    <w:p w:rsidR="00470D1F" w:rsidP="00702F6F" w:rsidRDefault="00C34489" w14:paraId="123FC9CB" w14:textId="12149EC4">
      <w:pPr>
        <w:pStyle w:val="Heading2"/>
      </w:pPr>
      <w:bookmarkStart w:name="_Toc160790057" w:id="52"/>
      <w:r>
        <w:lastRenderedPageBreak/>
        <w:t>Rate</w:t>
      </w:r>
      <w:r w:rsidR="00836FE4">
        <w:t xml:space="preserve"> </w:t>
      </w:r>
      <w:r w:rsidR="00470D1F">
        <w:t>Adjustments</w:t>
      </w:r>
      <w:bookmarkEnd w:id="52"/>
    </w:p>
    <w:p w:rsidRPr="007F520E" w:rsidR="007F520E" w:rsidP="007F520E" w:rsidRDefault="007F520E" w14:paraId="3E0CD394" w14:textId="66D07646">
      <w:pPr>
        <w:pStyle w:val="Heading3"/>
      </w:pPr>
      <w:bookmarkStart w:name="_Toc160790058" w:id="53"/>
      <w:r>
        <w:t>Volumetric Rate Adjustments</w:t>
      </w:r>
      <w:bookmarkEnd w:id="53"/>
    </w:p>
    <w:p w:rsidR="007B2898" w:rsidP="006613D2" w:rsidRDefault="008C414E" w14:paraId="2D9CE2B0" w14:textId="4E564059">
      <w:pPr>
        <w:pStyle w:val="Standard"/>
      </w:pPr>
      <w:r>
        <w:t xml:space="preserve">In Section </w:t>
      </w:r>
      <w:r w:rsidR="005605DA">
        <w:t>5</w:t>
      </w:r>
      <w:r>
        <w:t xml:space="preserve"> above, this decision determined that </w:t>
      </w:r>
      <w:r w:rsidR="006613D2">
        <w:t xml:space="preserve">the Large Utilities shall apply </w:t>
      </w:r>
      <w:r w:rsidRPr="007B2898" w:rsidR="007B2898">
        <w:t>revenues collected through income-graduated fixed charges to reduce</w:t>
      </w:r>
      <w:r w:rsidR="0000459C">
        <w:t xml:space="preserve"> distribution</w:t>
      </w:r>
      <w:r w:rsidRPr="007B2898" w:rsidR="007B2898">
        <w:t xml:space="preserve"> rates equally during all </w:t>
      </w:r>
      <w:r w:rsidR="00006E92">
        <w:t>time-of-use</w:t>
      </w:r>
      <w:r w:rsidRPr="007B2898" w:rsidR="007B2898">
        <w:t xml:space="preserve"> hours.</w:t>
      </w:r>
    </w:p>
    <w:p w:rsidR="00F01A4D" w:rsidP="00501B89" w:rsidRDefault="00B652F0" w14:paraId="31376F56" w14:textId="476BF5A3">
      <w:pPr>
        <w:pStyle w:val="Standard"/>
      </w:pPr>
      <w:r>
        <w:t xml:space="preserve">The </w:t>
      </w:r>
      <w:r w:rsidR="005605DA">
        <w:t>Small Utilities</w:t>
      </w:r>
      <w:r w:rsidR="00501B89">
        <w:t>’</w:t>
      </w:r>
      <w:r w:rsidR="00154BEC">
        <w:t xml:space="preserve"> default</w:t>
      </w:r>
      <w:r w:rsidR="00411414">
        <w:t xml:space="preserve"> </w:t>
      </w:r>
      <w:r>
        <w:t xml:space="preserve">residential </w:t>
      </w:r>
      <w:r w:rsidR="00411414">
        <w:t>volumetric rates ar</w:t>
      </w:r>
      <w:r w:rsidR="00154BEC">
        <w:t>e</w:t>
      </w:r>
      <w:r w:rsidR="00411414">
        <w:t xml:space="preserve"> tiered based on </w:t>
      </w:r>
      <w:r w:rsidR="00E5080A">
        <w:t xml:space="preserve">monthly aggregate usage </w:t>
      </w:r>
      <w:r w:rsidR="003C5FA7">
        <w:t>and are</w:t>
      </w:r>
      <w:r w:rsidR="007F7709">
        <w:t xml:space="preserve"> differentiated by season but </w:t>
      </w:r>
      <w:r w:rsidR="00BA0973">
        <w:t xml:space="preserve">not by </w:t>
      </w:r>
      <w:r w:rsidR="00361360">
        <w:t xml:space="preserve">the </w:t>
      </w:r>
      <w:r w:rsidR="00BA0973">
        <w:t>time of</w:t>
      </w:r>
      <w:r w:rsidR="00361360">
        <w:t xml:space="preserve"> day</w:t>
      </w:r>
      <w:r w:rsidR="00E5080A">
        <w:t>.</w:t>
      </w:r>
      <w:r w:rsidR="003206B2">
        <w:rPr>
          <w:rStyle w:val="FootnoteReference"/>
        </w:rPr>
        <w:footnoteReference w:id="250"/>
      </w:r>
      <w:r w:rsidR="00501B89">
        <w:t xml:space="preserve"> </w:t>
      </w:r>
      <w:r w:rsidR="00B16D36">
        <w:t xml:space="preserve">The Settlement Agreement </w:t>
      </w:r>
      <w:r w:rsidR="007B0B49">
        <w:t>did</w:t>
      </w:r>
      <w:r w:rsidR="00B16D36">
        <w:t xml:space="preserve"> not address whether </w:t>
      </w:r>
      <w:r w:rsidR="005605DA">
        <w:t>Small Utilities</w:t>
      </w:r>
      <w:r w:rsidR="00B16D36">
        <w:t xml:space="preserve"> should apply </w:t>
      </w:r>
      <w:r w:rsidRPr="007B2898" w:rsidR="00B16D36">
        <w:t xml:space="preserve">revenues collected through income-graduated fixed charges to reduce </w:t>
      </w:r>
      <w:r w:rsidR="0000459C">
        <w:t>distribution</w:t>
      </w:r>
      <w:r w:rsidRPr="007B2898" w:rsidR="00B16D36">
        <w:t xml:space="preserve"> rates </w:t>
      </w:r>
      <w:r w:rsidR="00554670">
        <w:t>in a time-differentiated or season-differentiated way</w:t>
      </w:r>
      <w:r w:rsidR="00B16D36">
        <w:t>.</w:t>
      </w:r>
      <w:r w:rsidR="007B0B49">
        <w:t xml:space="preserve"> </w:t>
      </w:r>
      <w:r w:rsidR="00855275">
        <w:t xml:space="preserve">No party argued that </w:t>
      </w:r>
      <w:r w:rsidR="005605DA">
        <w:t>Small Utilities</w:t>
      </w:r>
      <w:r w:rsidR="00855275">
        <w:t xml:space="preserve"> specifically should </w:t>
      </w:r>
      <w:r w:rsidR="00F01A4D">
        <w:t xml:space="preserve">apply revenues collected through their income-graduated fixed charges to reduce volumetric rates in a time-differentiated </w:t>
      </w:r>
      <w:r w:rsidR="00554670">
        <w:t xml:space="preserve">or season-differentiated </w:t>
      </w:r>
      <w:r w:rsidR="00F01A4D">
        <w:t xml:space="preserve">way. </w:t>
      </w:r>
    </w:p>
    <w:p w:rsidRPr="005A208B" w:rsidR="00470D1F" w:rsidP="00E553CF" w:rsidRDefault="00F01A4D" w14:paraId="20299460" w14:textId="4D993383">
      <w:pPr>
        <w:pStyle w:val="Standard"/>
      </w:pPr>
      <w:r>
        <w:t xml:space="preserve">For the reasons above, it is reasonable </w:t>
      </w:r>
      <w:r w:rsidR="00BD7ABF">
        <w:t xml:space="preserve">for the </w:t>
      </w:r>
      <w:r w:rsidR="005605DA">
        <w:t>Small Utilities</w:t>
      </w:r>
      <w:r w:rsidR="00BD7ABF">
        <w:t xml:space="preserve"> to </w:t>
      </w:r>
      <w:r w:rsidRPr="00BD7ABF" w:rsidR="00BD7ABF">
        <w:t xml:space="preserve">apply </w:t>
      </w:r>
      <w:r w:rsidRPr="007B2898" w:rsidR="00BD7ABF">
        <w:t xml:space="preserve">revenues collected through income-graduated fixed charges to reduce </w:t>
      </w:r>
      <w:r w:rsidR="0000459C">
        <w:t>distribution</w:t>
      </w:r>
      <w:r w:rsidRPr="007B2898" w:rsidR="0000459C">
        <w:t xml:space="preserve"> </w:t>
      </w:r>
      <w:r w:rsidRPr="007B2898" w:rsidR="00BD7ABF">
        <w:t xml:space="preserve">rates equally during all </w:t>
      </w:r>
      <w:r w:rsidR="00BD7ABF">
        <w:t xml:space="preserve">hours of the day and </w:t>
      </w:r>
      <w:r w:rsidR="00650C24">
        <w:t>during</w:t>
      </w:r>
      <w:r w:rsidR="00BD7ABF">
        <w:t xml:space="preserve"> all </w:t>
      </w:r>
      <w:r w:rsidR="00650C24">
        <w:t>seasons of the year.</w:t>
      </w:r>
    </w:p>
    <w:p w:rsidR="00C4710E" w:rsidP="008B2170" w:rsidRDefault="004F549A" w14:paraId="57DDD347" w14:textId="2D67D493">
      <w:pPr>
        <w:pStyle w:val="Heading3"/>
      </w:pPr>
      <w:bookmarkStart w:name="_Toc160790059" w:id="54"/>
      <w:r>
        <w:t xml:space="preserve">CARE </w:t>
      </w:r>
      <w:r w:rsidR="00475C13">
        <w:t>Adjustment</w:t>
      </w:r>
      <w:r w:rsidR="00FF68D2">
        <w:t>s</w:t>
      </w:r>
      <w:bookmarkEnd w:id="54"/>
    </w:p>
    <w:p w:rsidR="003014B1" w:rsidP="00475C13" w:rsidRDefault="00475C13" w14:paraId="28CC5790" w14:textId="69044BFC">
      <w:pPr>
        <w:pStyle w:val="Standard"/>
      </w:pPr>
      <w:r w:rsidRPr="00475C13">
        <w:t>T</w:t>
      </w:r>
      <w:r w:rsidR="00FF68D2">
        <w:t xml:space="preserve">he </w:t>
      </w:r>
      <w:r w:rsidR="005605DA">
        <w:t>Small Utilities</w:t>
      </w:r>
      <w:r w:rsidR="00FF68D2">
        <w:t xml:space="preserve"> argued that the provisions of </w:t>
      </w:r>
      <w:r w:rsidR="00393210">
        <w:t>AB 205 that modified</w:t>
      </w:r>
      <w:r w:rsidR="00FF68D2">
        <w:t xml:space="preserve"> Section </w:t>
      </w:r>
      <w:r w:rsidR="00393210">
        <w:t xml:space="preserve">739.1(c)(1) of the Pub. Util. Code to </w:t>
      </w:r>
      <w:r w:rsidR="00601D58">
        <w:t>change how Large Utilities</w:t>
      </w:r>
      <w:r w:rsidR="003014B1">
        <w:t xml:space="preserve"> calculate the average effective CARE discount do not apply to the </w:t>
      </w:r>
      <w:r w:rsidR="005605DA">
        <w:t>Small Utilities</w:t>
      </w:r>
      <w:r w:rsidR="003014B1">
        <w:t xml:space="preserve">. As discussed in Section 3.7 above, Section 739.1(c)(1) only applies to </w:t>
      </w:r>
      <w:r w:rsidR="001F6AA6">
        <w:t xml:space="preserve">utilities with </w:t>
      </w:r>
      <w:r w:rsidR="00FF2E38">
        <w:t xml:space="preserve">100,000 or more customer accounts. The </w:t>
      </w:r>
      <w:r w:rsidR="005605DA">
        <w:t>Small Utilities</w:t>
      </w:r>
      <w:r w:rsidR="00FF2E38">
        <w:t xml:space="preserve"> </w:t>
      </w:r>
      <w:r w:rsidR="00793608">
        <w:t xml:space="preserve">asserted in opening testimony </w:t>
      </w:r>
      <w:r w:rsidR="00FF2E38">
        <w:t xml:space="preserve">that they each have fewer than 100,000 </w:t>
      </w:r>
      <w:r w:rsidR="00793608">
        <w:t xml:space="preserve">customer accounts in </w:t>
      </w:r>
      <w:r w:rsidR="00793608">
        <w:lastRenderedPageBreak/>
        <w:t>California.</w:t>
      </w:r>
      <w:r w:rsidR="00793608">
        <w:rPr>
          <w:rStyle w:val="FootnoteReference"/>
        </w:rPr>
        <w:footnoteReference w:id="251"/>
      </w:r>
      <w:r w:rsidR="00793608">
        <w:t xml:space="preserve"> We agree that Section 739.1(c)(1) does not apply to the </w:t>
      </w:r>
      <w:r w:rsidR="005605DA">
        <w:t>Small Utilities</w:t>
      </w:r>
      <w:r w:rsidR="00793608">
        <w:t>.</w:t>
      </w:r>
    </w:p>
    <w:p w:rsidR="000C7345" w:rsidP="00301102" w:rsidRDefault="00CE3FEB" w14:paraId="3D5B5E63" w14:textId="77777777">
      <w:pPr>
        <w:pStyle w:val="Standard"/>
      </w:pPr>
      <w:r>
        <w:t xml:space="preserve">The Settlement Agreement </w:t>
      </w:r>
      <w:r w:rsidR="003B2660">
        <w:t>provided, “</w:t>
      </w:r>
      <w:r w:rsidRPr="003B2660" w:rsidR="003B2660">
        <w:t>The fixed charge rates for low-income tiers already reflect a discount for low-income customers. No further discount will be</w:t>
      </w:r>
      <w:r w:rsidR="00A96E87">
        <w:t xml:space="preserve"> </w:t>
      </w:r>
      <w:r w:rsidRPr="003B2660" w:rsidR="003B2660">
        <w:t>applied to the fixed charge through the CARE program, however, the CARE discount will continue to apply to the</w:t>
      </w:r>
      <w:r w:rsidR="00A96E87">
        <w:t xml:space="preserve"> </w:t>
      </w:r>
      <w:r w:rsidRPr="003B2660" w:rsidR="003B2660">
        <w:t>volumetric rate.</w:t>
      </w:r>
      <w:r w:rsidR="00A96E87">
        <w:t>”</w:t>
      </w:r>
      <w:r w:rsidR="00973717">
        <w:t xml:space="preserve"> </w:t>
      </w:r>
    </w:p>
    <w:p w:rsidR="000C7345" w:rsidP="00301102" w:rsidRDefault="000C7345" w14:paraId="55A82AC3" w14:textId="489ED625">
      <w:pPr>
        <w:pStyle w:val="Standard"/>
      </w:pPr>
      <w:r>
        <w:t xml:space="preserve">In response to the Settlement Agreement, TURN/NRDC urged the Commission to </w:t>
      </w:r>
      <w:r w:rsidR="002446AD">
        <w:t>ensure</w:t>
      </w:r>
      <w:r>
        <w:t xml:space="preserve"> that </w:t>
      </w:r>
      <w:r w:rsidR="00714C29">
        <w:t>shifting a portion of fixed costs from volumetric rates</w:t>
      </w:r>
      <w:r>
        <w:t xml:space="preserve"> to </w:t>
      </w:r>
      <w:r w:rsidR="009942A1">
        <w:t xml:space="preserve">fixed charges will not </w:t>
      </w:r>
      <w:r w:rsidR="00A5279C">
        <w:t>reduce the</w:t>
      </w:r>
      <w:r w:rsidR="009942A1">
        <w:t xml:space="preserve"> </w:t>
      </w:r>
      <w:r w:rsidR="002745C1">
        <w:t xml:space="preserve">CARE program </w:t>
      </w:r>
      <w:r w:rsidR="00996AEC">
        <w:t>revenue requirement</w:t>
      </w:r>
      <w:r w:rsidR="0028237F">
        <w:t xml:space="preserve"> </w:t>
      </w:r>
      <w:r w:rsidR="001A2CC4">
        <w:t xml:space="preserve">that </w:t>
      </w:r>
      <w:r w:rsidR="00996AEC">
        <w:t>is</w:t>
      </w:r>
      <w:r w:rsidR="001A2CC4">
        <w:t xml:space="preserve"> funded by </w:t>
      </w:r>
      <w:r w:rsidR="00F9144F">
        <w:t>the Public Purpose Program</w:t>
      </w:r>
      <w:r w:rsidR="00F94FA0">
        <w:t xml:space="preserve"> charge</w:t>
      </w:r>
      <w:r w:rsidR="00F9144F">
        <w:t xml:space="preserve">, which is </w:t>
      </w:r>
      <w:r w:rsidR="00856D2A">
        <w:t>paid for by both residential and non-residential customers.</w:t>
      </w:r>
      <w:r w:rsidR="00645A66">
        <w:t xml:space="preserve"> </w:t>
      </w:r>
      <w:r w:rsidR="00460BB3">
        <w:t xml:space="preserve">However, </w:t>
      </w:r>
      <w:r w:rsidR="001D549B">
        <w:t xml:space="preserve">TURN/NRDC did not </w:t>
      </w:r>
      <w:r w:rsidR="00166997">
        <w:t>argue that there is a legal</w:t>
      </w:r>
      <w:r w:rsidR="00170376">
        <w:t xml:space="preserve"> requirement to </w:t>
      </w:r>
      <w:r w:rsidR="00842337">
        <w:t xml:space="preserve">adopt their preferred approach. </w:t>
      </w:r>
      <w:r w:rsidR="00944E10">
        <w:t xml:space="preserve"> </w:t>
      </w:r>
    </w:p>
    <w:p w:rsidR="000A1E94" w:rsidP="009D15E0" w:rsidRDefault="000F3E96" w14:paraId="14DF3303" w14:textId="6FD455D8">
      <w:pPr>
        <w:pStyle w:val="Standard"/>
      </w:pPr>
      <w:r>
        <w:t xml:space="preserve">It is reasonable in light of the record, consistent with the law, and in the public interest to approve the Settlement Agreement’s </w:t>
      </w:r>
      <w:r w:rsidR="00DC76E5">
        <w:t>provision</w:t>
      </w:r>
      <w:r w:rsidR="007F3574">
        <w:t>s</w:t>
      </w:r>
      <w:r w:rsidR="00DC76E5">
        <w:t xml:space="preserve"> </w:t>
      </w:r>
      <w:r w:rsidR="007F3574">
        <w:t>regarding the application of the CARE discount.</w:t>
      </w:r>
    </w:p>
    <w:p w:rsidR="00470D1F" w:rsidP="00702F6F" w:rsidRDefault="0052443C" w14:paraId="7186AB63" w14:textId="7B5107C2">
      <w:pPr>
        <w:pStyle w:val="Heading2"/>
      </w:pPr>
      <w:bookmarkStart w:name="_Toc160790060" w:id="55"/>
      <w:r>
        <w:t>Optional</w:t>
      </w:r>
      <w:r w:rsidR="00470D1F">
        <w:t xml:space="preserve"> Rates</w:t>
      </w:r>
      <w:r w:rsidR="00972793">
        <w:t xml:space="preserve"> and Master-Metered Rates</w:t>
      </w:r>
      <w:bookmarkEnd w:id="55"/>
    </w:p>
    <w:p w:rsidR="00470D1F" w:rsidP="003D0EE3" w:rsidRDefault="002E7E43" w14:paraId="0FE4FF44" w14:textId="2F174311">
      <w:pPr>
        <w:pStyle w:val="Standard"/>
      </w:pPr>
      <w:r>
        <w:t>The Settlement Agreement did not address whether</w:t>
      </w:r>
      <w:r w:rsidRPr="00C45F52" w:rsidR="00470D1F">
        <w:t xml:space="preserve"> the </w:t>
      </w:r>
      <w:r w:rsidR="005605DA">
        <w:t>Small Utilities</w:t>
      </w:r>
      <w:r w:rsidR="00BD1F72">
        <w:t xml:space="preserve">’ </w:t>
      </w:r>
      <w:r w:rsidRPr="00C45F52" w:rsidR="00470D1F">
        <w:t xml:space="preserve">income-graduated fixed </w:t>
      </w:r>
      <w:r w:rsidR="00BD1F72">
        <w:t>charges should apply to</w:t>
      </w:r>
      <w:r w:rsidRPr="00C45F52" w:rsidR="00470D1F">
        <w:t xml:space="preserve"> all residential rates</w:t>
      </w:r>
      <w:r w:rsidR="00AA6F06">
        <w:t xml:space="preserve">, and if so, whether </w:t>
      </w:r>
      <w:r w:rsidRPr="00D822E8" w:rsidR="00470D1F">
        <w:t xml:space="preserve">the fixed </w:t>
      </w:r>
      <w:r w:rsidR="00AA6F06">
        <w:t>charges should</w:t>
      </w:r>
      <w:r w:rsidRPr="00D822E8" w:rsidR="00470D1F">
        <w:t xml:space="preserve"> vary between default residential rates and </w:t>
      </w:r>
      <w:r w:rsidR="0052443C">
        <w:t>optional</w:t>
      </w:r>
      <w:r w:rsidRPr="00D822E8" w:rsidR="00470D1F">
        <w:t xml:space="preserve"> residential rates</w:t>
      </w:r>
      <w:r w:rsidR="00AA6F06">
        <w:t>.</w:t>
      </w:r>
    </w:p>
    <w:p w:rsidR="008723CD" w:rsidP="008723CD" w:rsidRDefault="008723CD" w14:paraId="1B982720" w14:textId="1878153C">
      <w:pPr>
        <w:pStyle w:val="Standard"/>
      </w:pPr>
      <w:r w:rsidRPr="008723CD">
        <w:t xml:space="preserve">This decision </w:t>
      </w:r>
      <w:r w:rsidR="005B3E1D">
        <w:t>authorized</w:t>
      </w:r>
      <w:r w:rsidRPr="008723CD">
        <w:t xml:space="preserve"> the </w:t>
      </w:r>
      <w:r w:rsidR="005B3E1D">
        <w:t xml:space="preserve">Large Utilities’ </w:t>
      </w:r>
      <w:r w:rsidRPr="008723CD">
        <w:t>income-graduated fixed charges for</w:t>
      </w:r>
      <w:r w:rsidR="005B3E1D">
        <w:t xml:space="preserve"> all</w:t>
      </w:r>
      <w:r w:rsidRPr="008723CD">
        <w:t xml:space="preserve"> default and optional residential rates, with the following exceptions: master-metered rates that are not sub-metered, separately-metered electric vehicle rates for customers whose primary meter has an income-</w:t>
      </w:r>
      <w:r w:rsidRPr="008723CD">
        <w:lastRenderedPageBreak/>
        <w:t xml:space="preserve">graduated fixed charge, and rate schedules that are scheduled to be eliminated by the second quarter of 2026. </w:t>
      </w:r>
    </w:p>
    <w:p w:rsidR="006174BC" w:rsidP="003D0EE3" w:rsidRDefault="008E5FF2" w14:paraId="4ECD11C4" w14:textId="6BB890E3">
      <w:pPr>
        <w:pStyle w:val="Standard"/>
      </w:pPr>
      <w:r>
        <w:t xml:space="preserve">In their opening brief, </w:t>
      </w:r>
      <w:r w:rsidR="00154630">
        <w:t xml:space="preserve">the </w:t>
      </w:r>
      <w:r w:rsidR="005605DA">
        <w:t>Small Utilities</w:t>
      </w:r>
      <w:r w:rsidR="00154630">
        <w:t xml:space="preserve"> argued that fixed charges should apply </w:t>
      </w:r>
      <w:r w:rsidR="00B03747">
        <w:t>“</w:t>
      </w:r>
      <w:r w:rsidR="00154630">
        <w:t>equally</w:t>
      </w:r>
      <w:r w:rsidR="00B03747">
        <w:t>”</w:t>
      </w:r>
      <w:r w:rsidR="00154630">
        <w:t xml:space="preserve"> to default and optional residential rates</w:t>
      </w:r>
      <w:r w:rsidR="00F06E4B">
        <w:t xml:space="preserve">. </w:t>
      </w:r>
      <w:r w:rsidR="004B5CD9">
        <w:t xml:space="preserve">The </w:t>
      </w:r>
      <w:r w:rsidR="005605DA">
        <w:t>Small Utilities</w:t>
      </w:r>
      <w:r w:rsidR="004B5CD9">
        <w:t xml:space="preserve"> argued that applying the same fixed charges to all residential rates would prevent rate shopping </w:t>
      </w:r>
      <w:r w:rsidR="008722B4">
        <w:t>and will allow</w:t>
      </w:r>
      <w:r w:rsidR="0057144C">
        <w:t xml:space="preserve"> for</w:t>
      </w:r>
      <w:r w:rsidR="008722B4">
        <w:t xml:space="preserve"> a more </w:t>
      </w:r>
      <w:r w:rsidR="0057144C">
        <w:t>equitable</w:t>
      </w:r>
      <w:r w:rsidR="008722B4">
        <w:t xml:space="preserve"> allocation of costs to customers. </w:t>
      </w:r>
      <w:r w:rsidR="00921BE1">
        <w:t xml:space="preserve">The </w:t>
      </w:r>
      <w:r w:rsidR="005605DA">
        <w:t>Small Utilities</w:t>
      </w:r>
      <w:r w:rsidR="00921BE1">
        <w:t xml:space="preserve"> have fewer optional rate schedules and did not propose to var</w:t>
      </w:r>
      <w:r w:rsidR="006A4DE2">
        <w:t>y the terms of income-graduated fixed charges between default and optional residential rates.</w:t>
      </w:r>
      <w:r w:rsidR="001411DF">
        <w:t xml:space="preserve"> </w:t>
      </w:r>
      <w:r w:rsidR="00914429">
        <w:t>No party argued</w:t>
      </w:r>
      <w:r w:rsidR="001411DF">
        <w:t xml:space="preserve"> that the exceptions for applying </w:t>
      </w:r>
      <w:r w:rsidR="002945EA">
        <w:t xml:space="preserve">fixed charges to optional residential rates or master-metered rates should be different for </w:t>
      </w:r>
      <w:r w:rsidR="005605DA">
        <w:t>Small Utilities</w:t>
      </w:r>
      <w:r w:rsidR="00972793">
        <w:t xml:space="preserve"> than Large Utilities.</w:t>
      </w:r>
      <w:r w:rsidR="006A4DE2">
        <w:rPr>
          <w:rStyle w:val="FootnoteReference"/>
        </w:rPr>
        <w:footnoteReference w:id="252"/>
      </w:r>
    </w:p>
    <w:p w:rsidRPr="00C30DB4" w:rsidR="008531C8" w:rsidP="008531C8" w:rsidRDefault="00B54907" w14:paraId="46D18473" w14:textId="39E47830">
      <w:pPr>
        <w:pStyle w:val="Standard"/>
      </w:pPr>
      <w:r>
        <w:t xml:space="preserve">It </w:t>
      </w:r>
      <w:r w:rsidR="00EA7FC4">
        <w:t>is reasonable t</w:t>
      </w:r>
      <w:r w:rsidR="005A5F90">
        <w:t xml:space="preserve">o </w:t>
      </w:r>
      <w:r w:rsidR="009E4E92">
        <w:t xml:space="preserve">authorize </w:t>
      </w:r>
      <w:r w:rsidR="00EA7FC4">
        <w:t xml:space="preserve">income-graduated fixed charges </w:t>
      </w:r>
      <w:r w:rsidR="009E4E92">
        <w:t>for all of the</w:t>
      </w:r>
      <w:r w:rsidR="00EA7FC4">
        <w:t xml:space="preserve"> </w:t>
      </w:r>
      <w:r w:rsidR="005605DA">
        <w:t>Small Utilities</w:t>
      </w:r>
      <w:r w:rsidR="002C7F69">
        <w:t>’ default and optional residential rate schedules</w:t>
      </w:r>
      <w:r w:rsidR="009E4E92">
        <w:t xml:space="preserve">, with the following exceptions: </w:t>
      </w:r>
      <w:r w:rsidRPr="008723CD" w:rsidR="009E4E92">
        <w:t>master-metered rates that are not sub-metered, separately-metered electric vehicle rates for customers whose primary meter has an income-graduated fixed charge, and rate schedules that are scheduled to be eliminated by the second quarter of 2026.</w:t>
      </w:r>
    </w:p>
    <w:p w:rsidR="008531C8" w:rsidP="00702F6F" w:rsidRDefault="008531C8" w14:paraId="6ED30F15" w14:textId="1438D57C">
      <w:pPr>
        <w:pStyle w:val="Heading2"/>
      </w:pPr>
      <w:bookmarkStart w:name="_Toc160790061" w:id="56"/>
      <w:r>
        <w:t>Marketing, Education, and Outreach</w:t>
      </w:r>
      <w:bookmarkEnd w:id="56"/>
    </w:p>
    <w:p w:rsidR="005F04BF" w:rsidP="005D0FC6" w:rsidRDefault="00D755DE" w14:paraId="6741384B" w14:textId="0E62C578">
      <w:pPr>
        <w:pStyle w:val="Standard"/>
      </w:pPr>
      <w:r>
        <w:t xml:space="preserve">The Settlement Agreement </w:t>
      </w:r>
      <w:r w:rsidR="00E6279F">
        <w:t>d</w:t>
      </w:r>
      <w:r w:rsidR="00BC0A0D">
        <w:t>id</w:t>
      </w:r>
      <w:r w:rsidR="00E6279F">
        <w:t xml:space="preserve"> not include a proposal for </w:t>
      </w:r>
      <w:r w:rsidR="00B72C80">
        <w:t>ME&amp;O</w:t>
      </w:r>
      <w:r w:rsidR="00E116E1">
        <w:t xml:space="preserve"> for the </w:t>
      </w:r>
      <w:r w:rsidR="005605DA">
        <w:t>Small Utilities</w:t>
      </w:r>
      <w:r w:rsidR="00E116E1">
        <w:t>’ income-graduated fixed charges.</w:t>
      </w:r>
      <w:r w:rsidR="005D0FC6">
        <w:t xml:space="preserve"> </w:t>
      </w:r>
    </w:p>
    <w:p w:rsidRPr="00D44991" w:rsidR="00D44991" w:rsidP="00936C75" w:rsidRDefault="00FE6135" w14:paraId="13FE7915" w14:textId="28D43857">
      <w:pPr>
        <w:pStyle w:val="Standard"/>
      </w:pPr>
      <w:r>
        <w:t xml:space="preserve">In </w:t>
      </w:r>
      <w:r w:rsidR="00255C79">
        <w:t xml:space="preserve">their </w:t>
      </w:r>
      <w:r>
        <w:t xml:space="preserve">opening brief, the </w:t>
      </w:r>
      <w:r w:rsidR="005605DA">
        <w:t>Small Utilities</w:t>
      </w:r>
      <w:r>
        <w:t xml:space="preserve"> </w:t>
      </w:r>
      <w:r w:rsidR="004E0720">
        <w:t xml:space="preserve">originally supported a statewide ME&amp;O </w:t>
      </w:r>
      <w:r w:rsidR="002D54E6">
        <w:t xml:space="preserve">approach. </w:t>
      </w:r>
      <w:r w:rsidR="00D44991">
        <w:t xml:space="preserve">The </w:t>
      </w:r>
      <w:r w:rsidR="005605DA">
        <w:t>Small Utilities</w:t>
      </w:r>
      <w:r w:rsidR="00D44991">
        <w:t xml:space="preserve"> proposed</w:t>
      </w:r>
      <w:r w:rsidR="0057023C">
        <w:t xml:space="preserve"> using ME&amp;O to </w:t>
      </w:r>
      <w:r w:rsidRPr="00D44991" w:rsidR="00D44991">
        <w:t>inform customers about</w:t>
      </w:r>
      <w:r w:rsidR="00936C75">
        <w:t xml:space="preserve"> </w:t>
      </w:r>
      <w:r w:rsidRPr="00D44991" w:rsidR="00D44991">
        <w:t>how volumetric rates will decline, how</w:t>
      </w:r>
      <w:r w:rsidR="00936C75">
        <w:t xml:space="preserve"> income-graduated fixed charges</w:t>
      </w:r>
      <w:r w:rsidRPr="00D44991" w:rsidR="00D44991">
        <w:t xml:space="preserve"> will function, and how </w:t>
      </w:r>
      <w:r w:rsidR="00E54088">
        <w:t>the income-grad</w:t>
      </w:r>
      <w:r w:rsidR="00AA3DC9">
        <w:t xml:space="preserve">uated fixed charges will impact overall </w:t>
      </w:r>
      <w:r w:rsidR="00AA3DC9">
        <w:lastRenderedPageBreak/>
        <w:t>electric bills.</w:t>
      </w:r>
      <w:r w:rsidR="00073B66">
        <w:t xml:space="preserve"> The </w:t>
      </w:r>
      <w:r w:rsidR="005605DA">
        <w:t>Small Utilities</w:t>
      </w:r>
      <w:r w:rsidR="00073B66">
        <w:t xml:space="preserve"> proposed to </w:t>
      </w:r>
      <w:r w:rsidR="00EE7B3E">
        <w:t xml:space="preserve">use statewide ME&amp;O to </w:t>
      </w:r>
      <w:r w:rsidR="00B06DC1">
        <w:t>provi</w:t>
      </w:r>
      <w:r w:rsidR="004E58B7">
        <w:t xml:space="preserve">de awareness and </w:t>
      </w:r>
      <w:r w:rsidR="00B56B91">
        <w:t>notice of the rate changes, and the subsequent utility-specific ME&amp;O plans would provide details about how the fixed charges will impact customer bills.</w:t>
      </w:r>
    </w:p>
    <w:p w:rsidR="00053769" w:rsidP="00DC594B" w:rsidRDefault="004E5069" w14:paraId="13C45C3B" w14:textId="3769ABED">
      <w:pPr>
        <w:pStyle w:val="Standard"/>
      </w:pPr>
      <w:r>
        <w:t>In</w:t>
      </w:r>
      <w:r w:rsidR="001B1E7B">
        <w:t xml:space="preserve"> its</w:t>
      </w:r>
      <w:r>
        <w:t xml:space="preserve"> reply brief, </w:t>
      </w:r>
      <w:r w:rsidR="004C0C2D">
        <w:t xml:space="preserve">the </w:t>
      </w:r>
      <w:r w:rsidR="005605DA">
        <w:t>Small Utilities</w:t>
      </w:r>
      <w:r w:rsidR="004C0C2D">
        <w:t xml:space="preserve"> made a revised proposal </w:t>
      </w:r>
      <w:r w:rsidR="00DC594B">
        <w:t>without a statewide</w:t>
      </w:r>
      <w:r w:rsidR="00A47ECB">
        <w:t xml:space="preserve"> ME&amp;O</w:t>
      </w:r>
      <w:r w:rsidR="00DC594B">
        <w:t xml:space="preserve"> </w:t>
      </w:r>
      <w:r w:rsidR="00A47ECB">
        <w:t>plan</w:t>
      </w:r>
      <w:r w:rsidR="00466103">
        <w:t>.</w:t>
      </w:r>
      <w:r w:rsidR="004C0C2D">
        <w:t xml:space="preserve"> The </w:t>
      </w:r>
      <w:r w:rsidR="005605DA">
        <w:t>Small Utilities</w:t>
      </w:r>
      <w:r w:rsidR="004C0C2D">
        <w:t xml:space="preserve"> asserted that </w:t>
      </w:r>
      <w:r w:rsidR="000F5DC7">
        <w:t xml:space="preserve">they met and conferred with the Large Utilities about lessons learned </w:t>
      </w:r>
      <w:r w:rsidR="00166237">
        <w:t xml:space="preserve">from </w:t>
      </w:r>
      <w:r w:rsidR="00341338">
        <w:t xml:space="preserve">the Large Utilities’ previous ME&amp;O activities and expectations for </w:t>
      </w:r>
      <w:r w:rsidR="00FA2B89">
        <w:t xml:space="preserve">income-graduated fixed charges. </w:t>
      </w:r>
      <w:r w:rsidR="00EF32BC">
        <w:t xml:space="preserve">The </w:t>
      </w:r>
      <w:r w:rsidR="005605DA">
        <w:t>Small Utilities</w:t>
      </w:r>
      <w:r w:rsidR="00926A2A">
        <w:t xml:space="preserve"> reported that </w:t>
      </w:r>
      <w:r w:rsidR="00746928">
        <w:t>the</w:t>
      </w:r>
      <w:r w:rsidR="007A6D83">
        <w:t>y agre</w:t>
      </w:r>
      <w:r w:rsidR="001668CB">
        <w:t>ed to hold a</w:t>
      </w:r>
      <w:r w:rsidR="00DE4AE7">
        <w:t>nother</w:t>
      </w:r>
      <w:r w:rsidR="001668CB">
        <w:t xml:space="preserve"> meet and confer with the</w:t>
      </w:r>
      <w:r w:rsidR="00746928">
        <w:t xml:space="preserve"> Large Utilities</w:t>
      </w:r>
      <w:r w:rsidR="00D044C4">
        <w:t xml:space="preserve"> in the first quarter of 2024</w:t>
      </w:r>
      <w:r w:rsidR="002763B7">
        <w:t xml:space="preserve">, open to all parties, to learn </w:t>
      </w:r>
      <w:r w:rsidR="001668CB">
        <w:t xml:space="preserve">more about the research findings and refined ME&amp;O proposals of the Large Utilities. </w:t>
      </w:r>
    </w:p>
    <w:p w:rsidR="005D0FC6" w:rsidP="00DC594B" w:rsidRDefault="001668CB" w14:paraId="4316D75A" w14:textId="4CDF114D">
      <w:pPr>
        <w:pStyle w:val="Standard"/>
      </w:pPr>
      <w:r>
        <w:t xml:space="preserve">The </w:t>
      </w:r>
      <w:r w:rsidR="005605DA">
        <w:t>Small Utilities</w:t>
      </w:r>
      <w:r>
        <w:t xml:space="preserve"> </w:t>
      </w:r>
      <w:r w:rsidR="00053769">
        <w:t xml:space="preserve">argued that </w:t>
      </w:r>
      <w:r w:rsidR="00711F4B">
        <w:t xml:space="preserve">this approach to collaboration with the Large Utilities is </w:t>
      </w:r>
      <w:r w:rsidR="007E4733">
        <w:t>a</w:t>
      </w:r>
      <w:r w:rsidR="00BC7FF6">
        <w:t xml:space="preserve">n efficient and cost-effective alternative to a statewide ME&amp;O plan for </w:t>
      </w:r>
      <w:r w:rsidR="00E126FB">
        <w:t xml:space="preserve">informing the </w:t>
      </w:r>
      <w:r w:rsidR="005605DA">
        <w:t>Small Utilities</w:t>
      </w:r>
      <w:r w:rsidR="00E126FB">
        <w:t>’ ME&amp;O efforts and communications.</w:t>
      </w:r>
    </w:p>
    <w:p w:rsidR="0025560B" w:rsidP="00723EB8" w:rsidRDefault="002C05F0" w14:paraId="3BC40D5B" w14:textId="4AECD2ED">
      <w:pPr>
        <w:pStyle w:val="Standard"/>
      </w:pPr>
      <w:r>
        <w:t>Th</w:t>
      </w:r>
      <w:r w:rsidR="005D129B">
        <w:t xml:space="preserve">e </w:t>
      </w:r>
      <w:r w:rsidR="005605DA">
        <w:t>Small Utilities</w:t>
      </w:r>
      <w:r w:rsidR="005D129B">
        <w:t xml:space="preserve">’ proposal is </w:t>
      </w:r>
      <w:r w:rsidR="00C51036">
        <w:t xml:space="preserve">consistent with the directions this decision provided for the Large Utilities </w:t>
      </w:r>
      <w:r w:rsidR="00891765">
        <w:t xml:space="preserve">to jointly </w:t>
      </w:r>
      <w:r w:rsidRPr="002C05F0">
        <w:t>host a public workshop to discuss each utility’s ME&amp;O plan</w:t>
      </w:r>
      <w:r w:rsidR="00891765">
        <w:t xml:space="preserve"> and </w:t>
      </w:r>
      <w:r w:rsidR="00723EB8">
        <w:t>p</w:t>
      </w:r>
      <w:r w:rsidRPr="002C05F0">
        <w:t xml:space="preserve">ropose individual ME&amp;O plans </w:t>
      </w:r>
      <w:r w:rsidR="00877450">
        <w:t>in</w:t>
      </w:r>
      <w:r w:rsidR="00D36028">
        <w:t xml:space="preserve"> </w:t>
      </w:r>
      <w:r w:rsidRPr="002C05F0">
        <w:t>Tier 3 implementation advice letter</w:t>
      </w:r>
      <w:r w:rsidR="00D36028">
        <w:t>s</w:t>
      </w:r>
      <w:r w:rsidRPr="002C05F0">
        <w:t>.</w:t>
      </w:r>
      <w:r w:rsidR="00453046">
        <w:t xml:space="preserve"> </w:t>
      </w:r>
    </w:p>
    <w:p w:rsidR="002C05F0" w:rsidP="00723EB8" w:rsidRDefault="00453046" w14:paraId="0707F6DC" w14:textId="635A02C6">
      <w:pPr>
        <w:pStyle w:val="Standard"/>
      </w:pPr>
      <w:r>
        <w:t xml:space="preserve">It is reasonable for </w:t>
      </w:r>
      <w:r w:rsidR="009F525A">
        <w:t xml:space="preserve">the </w:t>
      </w:r>
      <w:r w:rsidR="005605DA">
        <w:t>Small Utilities</w:t>
      </w:r>
      <w:r>
        <w:t xml:space="preserve"> to c</w:t>
      </w:r>
      <w:r w:rsidR="009C746E">
        <w:t xml:space="preserve">ollaborate with the Large Utilities to </w:t>
      </w:r>
      <w:r w:rsidR="00151B62">
        <w:t>learn more about</w:t>
      </w:r>
      <w:r w:rsidR="0025560B">
        <w:t xml:space="preserve"> the Large Utilities’</w:t>
      </w:r>
      <w:r w:rsidR="00151B62">
        <w:t xml:space="preserve"> research findings, best practices, and </w:t>
      </w:r>
      <w:r w:rsidR="001B0424">
        <w:t xml:space="preserve">detailed </w:t>
      </w:r>
      <w:r w:rsidR="00D32B97">
        <w:t xml:space="preserve">ME&amp;O </w:t>
      </w:r>
      <w:r w:rsidR="001B0424">
        <w:t xml:space="preserve">plans </w:t>
      </w:r>
      <w:r w:rsidR="0025560B">
        <w:t>for income-graduated fixed charges.</w:t>
      </w:r>
    </w:p>
    <w:p w:rsidRPr="00544361" w:rsidR="008531C8" w:rsidP="00C84171" w:rsidRDefault="0025560B" w14:paraId="5E164BA9" w14:textId="316B154C">
      <w:pPr>
        <w:pStyle w:val="Standard"/>
      </w:pPr>
      <w:r>
        <w:t xml:space="preserve">Each </w:t>
      </w:r>
      <w:r w:rsidR="00FB2652">
        <w:t>of the Small Utilities</w:t>
      </w:r>
      <w:r>
        <w:t xml:space="preserve"> shall</w:t>
      </w:r>
      <w:r w:rsidR="00EB21E5">
        <w:t xml:space="preserve"> </w:t>
      </w:r>
      <w:r w:rsidR="006458D7">
        <w:t xml:space="preserve">(a) participate in </w:t>
      </w:r>
      <w:r w:rsidR="00EB21E5">
        <w:t xml:space="preserve">Large Utilities’ </w:t>
      </w:r>
      <w:r w:rsidR="00BB5AA1">
        <w:t xml:space="preserve">joint </w:t>
      </w:r>
      <w:r w:rsidR="009F0C2C">
        <w:t xml:space="preserve">ME&amp;O </w:t>
      </w:r>
      <w:r w:rsidR="00D23159">
        <w:t>workshop to dis</w:t>
      </w:r>
      <w:r w:rsidR="00063688">
        <w:t xml:space="preserve">cuss the </w:t>
      </w:r>
      <w:r w:rsidR="0085749A">
        <w:t>Large Utilities’ ME&amp;O plans</w:t>
      </w:r>
      <w:r w:rsidR="00F81BDF">
        <w:t>, research findings, and messaging</w:t>
      </w:r>
      <w:r w:rsidR="006458D7">
        <w:t xml:space="preserve">, </w:t>
      </w:r>
      <w:r w:rsidR="002A0086">
        <w:t xml:space="preserve">and (b) include in its Tier 3 advice letter for </w:t>
      </w:r>
      <w:r w:rsidR="00396A9F">
        <w:t xml:space="preserve">implementing income-graduated fixed charges a </w:t>
      </w:r>
      <w:r w:rsidR="003748A5">
        <w:t>utility-specific</w:t>
      </w:r>
      <w:r w:rsidR="00396A9F">
        <w:t xml:space="preserve"> ME&amp;O plan</w:t>
      </w:r>
      <w:r w:rsidR="009D1980">
        <w:t xml:space="preserve">, </w:t>
      </w:r>
      <w:r w:rsidR="00396A9F">
        <w:t>a line-item budget for ME&amp;O activity costs</w:t>
      </w:r>
      <w:r w:rsidR="009D1980">
        <w:t>, and a justification for each proposed line-item</w:t>
      </w:r>
      <w:r w:rsidR="00930113">
        <w:t xml:space="preserve"> cost</w:t>
      </w:r>
      <w:r w:rsidR="009D1980">
        <w:t>.</w:t>
      </w:r>
    </w:p>
    <w:p w:rsidR="008531C8" w:rsidP="00702F6F" w:rsidRDefault="008531C8" w14:paraId="18616857" w14:textId="11F9B2B5">
      <w:pPr>
        <w:pStyle w:val="Heading2"/>
      </w:pPr>
      <w:bookmarkStart w:name="_Toc160790062" w:id="57"/>
      <w:r>
        <w:lastRenderedPageBreak/>
        <w:t>Revenue Shortfalls and Overcollection</w:t>
      </w:r>
      <w:bookmarkEnd w:id="57"/>
    </w:p>
    <w:p w:rsidR="00B660A3" w:rsidP="00C163EF" w:rsidRDefault="00A678B9" w14:paraId="06BA551A" w14:textId="08302E04">
      <w:pPr>
        <w:pStyle w:val="Standard"/>
      </w:pPr>
      <w:r>
        <w:t>The Settlement Motion explained that e</w:t>
      </w:r>
      <w:r w:rsidRPr="00B660A3" w:rsidR="00B660A3">
        <w:t xml:space="preserve">ach </w:t>
      </w:r>
      <w:r w:rsidR="00FB2652">
        <w:t>of the Small Utilities</w:t>
      </w:r>
      <w:r w:rsidRPr="00B660A3" w:rsidR="00B660A3">
        <w:t xml:space="preserve"> will project the number of customers that will be enrolled in each income tier, and if the projections are incorrect, the income-graduated fixed charges will either collect more or less than the </w:t>
      </w:r>
      <w:r w:rsidR="005605DA">
        <w:t>Small Utilities</w:t>
      </w:r>
      <w:r w:rsidRPr="00B660A3" w:rsidR="00B660A3">
        <w:t xml:space="preserve"> estimated.</w:t>
      </w:r>
    </w:p>
    <w:p w:rsidR="00DE6768" w:rsidP="00C163EF" w:rsidRDefault="005B4F9B" w14:paraId="0113E7C2" w14:textId="5278FED8">
      <w:pPr>
        <w:pStyle w:val="Standard"/>
      </w:pPr>
      <w:r>
        <w:t xml:space="preserve">The Commission approves the </w:t>
      </w:r>
      <w:r w:rsidR="005605DA">
        <w:t>Small Utilities</w:t>
      </w:r>
      <w:r>
        <w:t>’</w:t>
      </w:r>
      <w:r w:rsidR="00C20FEE">
        <w:t xml:space="preserve"> revenue requirements </w:t>
      </w:r>
      <w:r w:rsidR="007A73AB">
        <w:t xml:space="preserve">every few years through a General Rate Case </w:t>
      </w:r>
      <w:r>
        <w:t>decision</w:t>
      </w:r>
      <w:r w:rsidR="007A73AB">
        <w:t xml:space="preserve">. </w:t>
      </w:r>
      <w:r w:rsidR="005C158D">
        <w:t xml:space="preserve">Liberty and Bear Valley each </w:t>
      </w:r>
      <w:r w:rsidR="00EE2B38">
        <w:t>record</w:t>
      </w:r>
      <w:r w:rsidR="005C158D">
        <w:t xml:space="preserve"> the difference </w:t>
      </w:r>
      <w:r w:rsidR="00CD1135">
        <w:t xml:space="preserve">between </w:t>
      </w:r>
      <w:r w:rsidR="00680468">
        <w:t>authorize</w:t>
      </w:r>
      <w:r w:rsidR="00ED6DA1">
        <w:t>d</w:t>
      </w:r>
      <w:r w:rsidR="00680468">
        <w:t xml:space="preserve"> base revenue requirement and the recorded revenues collected from customers in their</w:t>
      </w:r>
      <w:r w:rsidR="00082B38">
        <w:t xml:space="preserve"> respective</w:t>
      </w:r>
      <w:r w:rsidR="00680468">
        <w:t xml:space="preserve"> </w:t>
      </w:r>
      <w:r w:rsidR="00082B38">
        <w:t>Base Revenue Requirement Balancing Account.</w:t>
      </w:r>
      <w:r w:rsidR="00662675">
        <w:t xml:space="preserve"> </w:t>
      </w:r>
      <w:r w:rsidR="00C0087D">
        <w:t>D.</w:t>
      </w:r>
      <w:r w:rsidRPr="00F42DBA" w:rsidR="00F42DBA">
        <w:t xml:space="preserve">12-11-030 </w:t>
      </w:r>
      <w:r w:rsidR="00C0087D">
        <w:t xml:space="preserve">authorized Liberty to </w:t>
      </w:r>
      <w:r w:rsidR="00903812">
        <w:t>file a</w:t>
      </w:r>
      <w:r w:rsidR="00EE2B38">
        <w:t xml:space="preserve"> Tier 2 advice letter to request recovery of costs recorded in</w:t>
      </w:r>
      <w:r w:rsidR="00F46725">
        <w:t xml:space="preserve"> its</w:t>
      </w:r>
      <w:r w:rsidR="00E4486F">
        <w:t xml:space="preserve"> </w:t>
      </w:r>
      <w:r w:rsidRPr="00E4486F" w:rsidR="00E4486F">
        <w:t>Base Revenue Requirement Balancing Account</w:t>
      </w:r>
      <w:r w:rsidR="00903812">
        <w:t xml:space="preserve"> when the </w:t>
      </w:r>
      <w:r w:rsidR="00340E62">
        <w:t>recorded total over- or under-collection exceeds 5</w:t>
      </w:r>
      <w:r w:rsidR="00242F71">
        <w:t xml:space="preserve"> percent of the authorized base revenue requirement</w:t>
      </w:r>
      <w:r w:rsidR="00E4486F">
        <w:t>.</w:t>
      </w:r>
      <w:r w:rsidR="00A742A4">
        <w:t xml:space="preserve"> Similarly, D.14-</w:t>
      </w:r>
      <w:r w:rsidR="0083088E">
        <w:t xml:space="preserve">11-002 authorized Bear Valley to </w:t>
      </w:r>
      <w:r w:rsidR="00D039D8">
        <w:t>file a Tier 1 advice letter to request</w:t>
      </w:r>
      <w:r w:rsidRPr="00D039D8" w:rsidR="00D039D8">
        <w:t xml:space="preserve"> recovery of costs recorded in </w:t>
      </w:r>
      <w:r w:rsidR="00F46725">
        <w:t>its</w:t>
      </w:r>
      <w:r w:rsidRPr="00D039D8" w:rsidR="00D039D8">
        <w:t xml:space="preserve"> Base Revenue Requirement Balancing Account</w:t>
      </w:r>
      <w:r w:rsidR="00FE0CBC">
        <w:t>.</w:t>
      </w:r>
      <w:r w:rsidR="00466B7B">
        <w:t xml:space="preserve"> </w:t>
      </w:r>
      <w:r w:rsidR="00A513BD">
        <w:t>The Settlement Motion noted that</w:t>
      </w:r>
      <w:r w:rsidR="00466B7B">
        <w:t xml:space="preserve"> PacifiCorp does not have a similar </w:t>
      </w:r>
      <w:r w:rsidR="00A513BD">
        <w:t>balancing</w:t>
      </w:r>
      <w:r w:rsidR="00466B7B">
        <w:t xml:space="preserve"> </w:t>
      </w:r>
      <w:r w:rsidR="00A513BD">
        <w:t>account.</w:t>
      </w:r>
    </w:p>
    <w:p w:rsidR="00617F5A" w:rsidP="00C163EF" w:rsidRDefault="00601651" w14:paraId="4759DB2C" w14:textId="05B05459">
      <w:pPr>
        <w:pStyle w:val="Standard"/>
      </w:pPr>
      <w:r>
        <w:t xml:space="preserve">The Settlement Agreement proposed </w:t>
      </w:r>
      <w:r w:rsidR="00E426FB">
        <w:t>to</w:t>
      </w:r>
      <w:r>
        <w:t xml:space="preserve"> </w:t>
      </w:r>
      <w:r w:rsidR="00F4613B">
        <w:t>address</w:t>
      </w:r>
      <w:r w:rsidR="00F10C0A">
        <w:t xml:space="preserve"> the</w:t>
      </w:r>
      <w:r w:rsidR="00F4613B">
        <w:t xml:space="preserve"> </w:t>
      </w:r>
      <w:r w:rsidR="0064126F">
        <w:t>over- or under</w:t>
      </w:r>
      <w:r w:rsidR="00617F5A">
        <w:t>-collections of revenue</w:t>
      </w:r>
      <w:r w:rsidR="00454483">
        <w:t xml:space="preserve">s by the </w:t>
      </w:r>
      <w:r w:rsidR="005605DA">
        <w:t>Small Utilities</w:t>
      </w:r>
      <w:r w:rsidR="00E60C7D">
        <w:t xml:space="preserve">’ </w:t>
      </w:r>
      <w:r w:rsidR="00670869">
        <w:t>income-graduated fixed charges</w:t>
      </w:r>
      <w:r w:rsidR="00942636">
        <w:t xml:space="preserve"> as follows</w:t>
      </w:r>
      <w:r w:rsidR="00CA40AD">
        <w:t>:</w:t>
      </w:r>
    </w:p>
    <w:p w:rsidR="00D0428F" w:rsidP="003762A0" w:rsidRDefault="0066317D" w14:paraId="2AEDD99D" w14:textId="5CE87684">
      <w:pPr>
        <w:pStyle w:val="ListBullet"/>
        <w:ind w:right="1440"/>
      </w:pPr>
      <w:r>
        <w:t>Bear Valley and Liberty</w:t>
      </w:r>
      <w:r w:rsidR="00CA40AD">
        <w:t xml:space="preserve"> would</w:t>
      </w:r>
      <w:r w:rsidR="00082B38">
        <w:t xml:space="preserve"> each</w:t>
      </w:r>
      <w:r w:rsidR="00CA40AD">
        <w:t xml:space="preserve"> </w:t>
      </w:r>
      <w:r w:rsidR="00455452">
        <w:t>use</w:t>
      </w:r>
      <w:r>
        <w:t xml:space="preserve"> </w:t>
      </w:r>
      <w:r w:rsidR="00082B38">
        <w:t xml:space="preserve">its </w:t>
      </w:r>
      <w:r>
        <w:t xml:space="preserve">existing </w:t>
      </w:r>
      <w:r w:rsidRPr="00082B38" w:rsidR="00082B38">
        <w:t>Base Revenue Requirement Balancing Account</w:t>
      </w:r>
      <w:r w:rsidR="003C1865">
        <w:t xml:space="preserve"> </w:t>
      </w:r>
      <w:r w:rsidR="00877C2B">
        <w:t xml:space="preserve">to </w:t>
      </w:r>
      <w:r w:rsidR="00CB1E24">
        <w:t>record</w:t>
      </w:r>
      <w:r w:rsidR="00877C2B">
        <w:t xml:space="preserve"> revenue imbalances. </w:t>
      </w:r>
      <w:r w:rsidR="00592727">
        <w:t xml:space="preserve">Each utility would </w:t>
      </w:r>
      <w:r w:rsidR="00E65524">
        <w:t>adjust the</w:t>
      </w:r>
      <w:r w:rsidR="00327A7D">
        <w:t xml:space="preserve"> portion </w:t>
      </w:r>
      <w:r w:rsidR="000703E4">
        <w:t xml:space="preserve">of the </w:t>
      </w:r>
      <w:r w:rsidRPr="000703E4" w:rsidR="000703E4">
        <w:t>S</w:t>
      </w:r>
      <w:r w:rsidR="007C0460">
        <w:t>mall Utilities’</w:t>
      </w:r>
      <w:r w:rsidRPr="000703E4" w:rsidR="000703E4">
        <w:t xml:space="preserve"> Line-Item Fixed Costs </w:t>
      </w:r>
      <w:r w:rsidR="00327A7D">
        <w:t>recovered</w:t>
      </w:r>
      <w:r w:rsidR="00071977">
        <w:t xml:space="preserve"> </w:t>
      </w:r>
      <w:r w:rsidR="00327A7D">
        <w:t>through fixed c</w:t>
      </w:r>
      <w:r w:rsidR="00DB1AE1">
        <w:t>harges</w:t>
      </w:r>
      <w:r w:rsidR="00327A7D">
        <w:t xml:space="preserve"> to </w:t>
      </w:r>
      <w:r w:rsidR="0064126F">
        <w:t>address the over- or under-collection</w:t>
      </w:r>
      <w:r w:rsidR="008E5D53">
        <w:t>.</w:t>
      </w:r>
    </w:p>
    <w:p w:rsidR="00A05C0D" w:rsidP="003762A0" w:rsidRDefault="00877C2B" w14:paraId="62A5D08E" w14:textId="28441A31">
      <w:pPr>
        <w:pStyle w:val="ListBullet"/>
        <w:ind w:right="1440"/>
      </w:pPr>
      <w:r>
        <w:t xml:space="preserve">PacifiCorp </w:t>
      </w:r>
      <w:r w:rsidR="007A22F6">
        <w:t xml:space="preserve">would </w:t>
      </w:r>
      <w:r w:rsidR="000D2DB2">
        <w:t xml:space="preserve">file an advice letter once per year with a </w:t>
      </w:r>
      <w:r w:rsidR="007A22F6">
        <w:t>calculat</w:t>
      </w:r>
      <w:r w:rsidR="000D2DB2">
        <w:t>ion of</w:t>
      </w:r>
      <w:r w:rsidR="007A22F6">
        <w:t xml:space="preserve"> the</w:t>
      </w:r>
      <w:r w:rsidR="00F12DD9">
        <w:t xml:space="preserve"> differences between </w:t>
      </w:r>
      <w:r w:rsidR="00DF08CD">
        <w:t xml:space="preserve">projected and actual </w:t>
      </w:r>
      <w:r w:rsidR="00DF08CD">
        <w:lastRenderedPageBreak/>
        <w:t>revenues from fixed charges</w:t>
      </w:r>
      <w:r w:rsidR="007A22F6">
        <w:t>. PacifiCorp</w:t>
      </w:r>
      <w:r w:rsidR="000D2DB2">
        <w:t xml:space="preserve"> </w:t>
      </w:r>
      <w:r w:rsidR="007A22F6">
        <w:t>would</w:t>
      </w:r>
      <w:r w:rsidR="009230DB">
        <w:t xml:space="preserve"> add a new adjustment schedule to residential customers’ bills t</w:t>
      </w:r>
      <w:r w:rsidR="00D86B8F">
        <w:t>o</w:t>
      </w:r>
      <w:r w:rsidR="009230DB">
        <w:t xml:space="preserve"> </w:t>
      </w:r>
      <w:r w:rsidR="006835A7">
        <w:t xml:space="preserve">provide </w:t>
      </w:r>
      <w:r w:rsidR="00290B64">
        <w:t xml:space="preserve">a surcharge or credit </w:t>
      </w:r>
      <w:r w:rsidR="007C1BA3">
        <w:t xml:space="preserve">based on the annual </w:t>
      </w:r>
      <w:r w:rsidR="007776AD">
        <w:t>calculation.</w:t>
      </w:r>
    </w:p>
    <w:p w:rsidR="00C54082" w:rsidP="00064706" w:rsidRDefault="00CC4980" w14:paraId="13504457" w14:textId="715096F1">
      <w:pPr>
        <w:pStyle w:val="Standard"/>
      </w:pPr>
      <w:r>
        <w:t xml:space="preserve">In other words, the Settlement Agreement </w:t>
      </w:r>
      <w:r w:rsidR="00942636">
        <w:t xml:space="preserve">proposed </w:t>
      </w:r>
      <w:r w:rsidRPr="00942636" w:rsidR="00942636">
        <w:t>two different mechanisms fo</w:t>
      </w:r>
      <w:r w:rsidR="00F85B7E">
        <w:t>r addressing</w:t>
      </w:r>
      <w:r w:rsidR="00043CB0">
        <w:t xml:space="preserve"> the differences between projected revenues and actual revenues from</w:t>
      </w:r>
      <w:r w:rsidR="00F85B7E">
        <w:t xml:space="preserve"> income-graduated fixed charges</w:t>
      </w:r>
      <w:r w:rsidR="002344BB">
        <w:t xml:space="preserve">: (a) Bear Valley and Liberty </w:t>
      </w:r>
      <w:r w:rsidR="00972A31">
        <w:t xml:space="preserve">would </w:t>
      </w:r>
      <w:r w:rsidR="00635544">
        <w:t xml:space="preserve">record the imbalances in balancing accounts and </w:t>
      </w:r>
      <w:r w:rsidR="008E270D">
        <w:t xml:space="preserve">file an advice letter (Tier 1 </w:t>
      </w:r>
      <w:r w:rsidR="00F362AD">
        <w:t>advice letter</w:t>
      </w:r>
      <w:r w:rsidR="008E270D">
        <w:t xml:space="preserve"> for Bear Valley, Tier 2</w:t>
      </w:r>
      <w:r w:rsidR="00F362AD">
        <w:t xml:space="preserve"> advice letter</w:t>
      </w:r>
      <w:r w:rsidR="008E270D">
        <w:t xml:space="preserve"> for </w:t>
      </w:r>
      <w:r w:rsidR="00F362AD">
        <w:t>Liberty</w:t>
      </w:r>
      <w:r w:rsidR="008E270D">
        <w:t xml:space="preserve">) to </w:t>
      </w:r>
      <w:r w:rsidR="00972A31">
        <w:t>either increase or decrease their income-graduated fixed charges</w:t>
      </w:r>
      <w:r w:rsidR="008744F9">
        <w:t xml:space="preserve"> to address the imbalance</w:t>
      </w:r>
      <w:r w:rsidR="000568F7">
        <w:t xml:space="preserve">, </w:t>
      </w:r>
      <w:r w:rsidR="00043CB0">
        <w:t xml:space="preserve">and (b) PacifiCorp </w:t>
      </w:r>
      <w:r w:rsidR="00C60A83">
        <w:t xml:space="preserve">would </w:t>
      </w:r>
      <w:r w:rsidR="00F03570">
        <w:t>calculate</w:t>
      </w:r>
      <w:r w:rsidR="00C60A83">
        <w:t xml:space="preserve"> revenue imbalances </w:t>
      </w:r>
      <w:r w:rsidR="00F03570">
        <w:t>once per year</w:t>
      </w:r>
      <w:r w:rsidR="00676A3D">
        <w:t xml:space="preserve"> and</w:t>
      </w:r>
      <w:r w:rsidR="00C60A83">
        <w:t xml:space="preserve"> </w:t>
      </w:r>
      <w:r w:rsidR="00043CB0">
        <w:t xml:space="preserve">would </w:t>
      </w:r>
      <w:r w:rsidR="008744F9">
        <w:t>file a</w:t>
      </w:r>
      <w:r w:rsidR="00565B4C">
        <w:t xml:space="preserve">n advice letter </w:t>
      </w:r>
      <w:r w:rsidR="004A39DC">
        <w:t>to</w:t>
      </w:r>
      <w:r w:rsidR="00043CB0">
        <w:t xml:space="preserve"> </w:t>
      </w:r>
      <w:r w:rsidR="00D272CF">
        <w:t xml:space="preserve">add a surcharge or credit on </w:t>
      </w:r>
      <w:r w:rsidR="00223E12">
        <w:t>residential customers’ bills to re</w:t>
      </w:r>
      <w:r w:rsidR="002812E2">
        <w:t>medy</w:t>
      </w:r>
      <w:r w:rsidR="00223E12">
        <w:t xml:space="preserve"> the </w:t>
      </w:r>
      <w:r w:rsidR="002812E2">
        <w:t>over- or under-collection of revenues</w:t>
      </w:r>
      <w:r w:rsidR="0040688A">
        <w:t>.</w:t>
      </w:r>
      <w:r w:rsidR="00C60A83">
        <w:t xml:space="preserve"> </w:t>
      </w:r>
    </w:p>
    <w:p w:rsidR="00563D1C" w:rsidP="00064706" w:rsidRDefault="00563D1C" w14:paraId="454BA02E" w14:textId="221A648E">
      <w:pPr>
        <w:pStyle w:val="Standard"/>
      </w:pPr>
      <w:r>
        <w:t>No party opposed this provision of the Settlement Motion.</w:t>
      </w:r>
    </w:p>
    <w:p w:rsidR="00A75F66" w:rsidP="00064706" w:rsidRDefault="00A75F66" w14:paraId="78553554" w14:textId="28E061F4">
      <w:pPr>
        <w:pStyle w:val="Standard"/>
      </w:pPr>
      <w:r>
        <w:t>The Settlement Motion argued that t</w:t>
      </w:r>
      <w:r w:rsidR="00836A8F">
        <w:t xml:space="preserve">hese proposed mechanisms are </w:t>
      </w:r>
      <w:r w:rsidR="005E6CAB">
        <w:t>supported by the record</w:t>
      </w:r>
      <w:r w:rsidR="00836A8F">
        <w:t xml:space="preserve"> because </w:t>
      </w:r>
      <w:r w:rsidR="002A1725">
        <w:t xml:space="preserve">they are consistent with </w:t>
      </w:r>
      <w:r w:rsidR="006C21D6">
        <w:t xml:space="preserve">the </w:t>
      </w:r>
      <w:r w:rsidR="005605DA">
        <w:t>Small Utilities</w:t>
      </w:r>
      <w:r w:rsidR="006C21D6">
        <w:t>’ previous proposals in this proceeding.</w:t>
      </w:r>
      <w:r w:rsidR="006C21D6">
        <w:rPr>
          <w:rStyle w:val="FootnoteReference"/>
        </w:rPr>
        <w:footnoteReference w:id="253"/>
      </w:r>
      <w:r w:rsidR="002A1725">
        <w:t xml:space="preserve"> </w:t>
      </w:r>
      <w:r w:rsidR="005E6CAB">
        <w:t xml:space="preserve">We agree that these proposals are </w:t>
      </w:r>
      <w:r w:rsidR="00F03CB2">
        <w:t xml:space="preserve">consistent with the </w:t>
      </w:r>
      <w:r w:rsidR="005605DA">
        <w:t>Small Utilities</w:t>
      </w:r>
      <w:r w:rsidR="00F03CB2">
        <w:t>’ previous proposals in this proceeding.</w:t>
      </w:r>
    </w:p>
    <w:p w:rsidR="00510FF2" w:rsidP="00E06680" w:rsidRDefault="00074C28" w14:paraId="69335BF6" w14:textId="7C1DC3EE">
      <w:pPr>
        <w:pStyle w:val="Standard"/>
      </w:pPr>
      <w:r>
        <w:t>The S</w:t>
      </w:r>
      <w:r w:rsidR="002420F6">
        <w:t>ettlement Agreement’s</w:t>
      </w:r>
      <w:r>
        <w:t xml:space="preserve"> proposed mechanisms for </w:t>
      </w:r>
      <w:r w:rsidR="006E15D8">
        <w:t>recording</w:t>
      </w:r>
      <w:r w:rsidR="001241CB">
        <w:t xml:space="preserve"> revenue imbalances from income-graduated fixed charges </w:t>
      </w:r>
      <w:r w:rsidR="006E15D8">
        <w:t>and proposing adjustments</w:t>
      </w:r>
      <w:r w:rsidR="001241CB">
        <w:t xml:space="preserve"> are generally consistent with the </w:t>
      </w:r>
      <w:r w:rsidR="007229FC">
        <w:t xml:space="preserve">record </w:t>
      </w:r>
      <w:r w:rsidR="00B27882">
        <w:t xml:space="preserve">and the Commission’s standard ratemaking practices. </w:t>
      </w:r>
    </w:p>
    <w:p w:rsidR="00E06680" w:rsidP="00E06680" w:rsidRDefault="007A3780" w14:paraId="0E47A797" w14:textId="719E83CE">
      <w:pPr>
        <w:pStyle w:val="Standard"/>
      </w:pPr>
      <w:r>
        <w:t xml:space="preserve">The Settlement Agreement did not specify which type of advice letter will be required for </w:t>
      </w:r>
      <w:r w:rsidR="00E77CEC">
        <w:t xml:space="preserve">proposing adjustments. </w:t>
      </w:r>
      <w:r w:rsidRPr="00CD2907" w:rsidR="00CD2907">
        <w:t xml:space="preserve">A Tier 2 advice letter requires approval </w:t>
      </w:r>
      <w:r w:rsidRPr="00CD2907" w:rsidR="00CD2907">
        <w:lastRenderedPageBreak/>
        <w:t xml:space="preserve">by the Commission’s staff prior to the rate change taking effect, whereas a Tier 1 advice letter takes effect immediately. </w:t>
      </w:r>
      <w:r w:rsidR="00E77CEC">
        <w:t>We</w:t>
      </w:r>
      <w:r w:rsidR="00E06680">
        <w:t xml:space="preserve"> will require </w:t>
      </w:r>
      <w:r w:rsidR="00E77CEC">
        <w:t xml:space="preserve">each </w:t>
      </w:r>
      <w:r w:rsidR="007C0460">
        <w:t>of the Small Utilities</w:t>
      </w:r>
      <w:r w:rsidR="00E06680">
        <w:t xml:space="preserve"> to file a Tier 2 advice letter to request any </w:t>
      </w:r>
      <w:r w:rsidR="0017595B">
        <w:t xml:space="preserve">adjustments </w:t>
      </w:r>
      <w:r w:rsidR="00A5671E">
        <w:t>to address</w:t>
      </w:r>
      <w:r w:rsidR="00E06680">
        <w:t xml:space="preserve"> </w:t>
      </w:r>
      <w:r w:rsidR="00826569">
        <w:t>such revenue imbalances</w:t>
      </w:r>
      <w:r w:rsidR="00E77CEC">
        <w:t xml:space="preserve"> </w:t>
      </w:r>
      <w:r w:rsidR="001F6EE3">
        <w:t>to ensure sufficient oversight</w:t>
      </w:r>
      <w:r w:rsidR="00DC12B5">
        <w:t xml:space="preserve"> of such </w:t>
      </w:r>
      <w:r w:rsidR="001F6EE3">
        <w:t>adjustments.</w:t>
      </w:r>
    </w:p>
    <w:p w:rsidR="002F582D" w:rsidP="00AA6F06" w:rsidRDefault="002F582D" w14:paraId="19A9038C" w14:textId="64F245D3">
      <w:pPr>
        <w:pStyle w:val="Standard"/>
      </w:pPr>
      <w:r>
        <w:t>Howeve</w:t>
      </w:r>
      <w:r w:rsidR="00F421D3">
        <w:t xml:space="preserve">r, </w:t>
      </w:r>
      <w:r w:rsidR="00262CAB">
        <w:t xml:space="preserve">we are concerned </w:t>
      </w:r>
      <w:r w:rsidR="002420F6">
        <w:t xml:space="preserve">that the proposal for Bear Valley and </w:t>
      </w:r>
      <w:r w:rsidR="00DD0545">
        <w:t xml:space="preserve">Liberty to adjust </w:t>
      </w:r>
      <w:r w:rsidR="006B271E">
        <w:t xml:space="preserve">its income-graduated fixed charges to </w:t>
      </w:r>
      <w:r w:rsidR="001E68C4">
        <w:t>recover</w:t>
      </w:r>
      <w:r w:rsidR="006B271E">
        <w:t xml:space="preserve"> </w:t>
      </w:r>
      <w:r w:rsidR="00170A3B">
        <w:t xml:space="preserve">over- or under-collections </w:t>
      </w:r>
      <w:r w:rsidR="001E68C4">
        <w:t>could result in volatility in income-graduated fixed charge</w:t>
      </w:r>
      <w:r w:rsidR="007D4CF2">
        <w:t xml:space="preserve"> level</w:t>
      </w:r>
      <w:r w:rsidR="001E68C4">
        <w:t>s and customer confusion.</w:t>
      </w:r>
      <w:r w:rsidR="006569A1">
        <w:t xml:space="preserve"> We will make a minor adjustment to the implementation of the Settlement Agreement</w:t>
      </w:r>
      <w:r w:rsidR="00912A05">
        <w:t>.</w:t>
      </w:r>
      <w:r w:rsidR="001E68C4">
        <w:t xml:space="preserve"> </w:t>
      </w:r>
      <w:r w:rsidR="00A348BA">
        <w:t>This decision approves</w:t>
      </w:r>
      <w:r w:rsidR="00E73B9F">
        <w:t xml:space="preserve"> </w:t>
      </w:r>
      <w:r w:rsidR="004B0089">
        <w:t xml:space="preserve">the </w:t>
      </w:r>
      <w:r w:rsidR="00C54893">
        <w:t xml:space="preserve">standalone </w:t>
      </w:r>
      <w:r w:rsidR="00436B4B">
        <w:t xml:space="preserve">adjustment schedule </w:t>
      </w:r>
      <w:r w:rsidR="004B0089">
        <w:t xml:space="preserve">approach </w:t>
      </w:r>
      <w:r w:rsidR="00594947">
        <w:t>(</w:t>
      </w:r>
      <w:r w:rsidR="004B0089">
        <w:t>proposed for PacifiCorp</w:t>
      </w:r>
      <w:r w:rsidR="00594947">
        <w:t>)</w:t>
      </w:r>
      <w:r w:rsidR="00F94417">
        <w:t xml:space="preserve"> for all three </w:t>
      </w:r>
      <w:r w:rsidR="005605DA">
        <w:t>Small Utilities</w:t>
      </w:r>
      <w:r w:rsidR="004B0089">
        <w:t>.</w:t>
      </w:r>
      <w:r w:rsidR="001E68C4">
        <w:t xml:space="preserve"> </w:t>
      </w:r>
      <w:r w:rsidR="003349F3">
        <w:t>This does not substantially change the outcome or impacts on any party</w:t>
      </w:r>
      <w:r w:rsidR="006222B9">
        <w:t>.</w:t>
      </w:r>
      <w:r w:rsidR="00AE1299">
        <w:t xml:space="preserve"> The</w:t>
      </w:r>
      <w:r w:rsidR="00E56E50">
        <w:t xml:space="preserve"> only</w:t>
      </w:r>
      <w:r w:rsidR="00AE1299">
        <w:t xml:space="preserve"> difference will be how the </w:t>
      </w:r>
      <w:r w:rsidR="00D50CD5">
        <w:t xml:space="preserve">adjustment </w:t>
      </w:r>
      <w:r w:rsidR="00793F4E">
        <w:t>will be</w:t>
      </w:r>
      <w:r w:rsidR="00D50CD5">
        <w:t xml:space="preserve"> presented on customer bills. </w:t>
      </w:r>
      <w:r w:rsidR="00DD0321">
        <w:t>Each</w:t>
      </w:r>
      <w:r w:rsidR="007C0460">
        <w:t xml:space="preserve"> of the Small Utilities</w:t>
      </w:r>
      <w:r w:rsidR="00F94417">
        <w:t xml:space="preserve"> </w:t>
      </w:r>
      <w:r w:rsidR="002A75F1">
        <w:t>may</w:t>
      </w:r>
      <w:r w:rsidR="001E68C4">
        <w:t xml:space="preserve"> </w:t>
      </w:r>
      <w:r w:rsidR="00DD0321">
        <w:t>propose in its Tier 2 advice letter</w:t>
      </w:r>
      <w:r w:rsidR="003763DD">
        <w:t xml:space="preserve"> (for addressing a revenue imbalance)</w:t>
      </w:r>
      <w:r w:rsidR="00DD0321">
        <w:t xml:space="preserve"> </w:t>
      </w:r>
      <w:r w:rsidR="003763DD">
        <w:t xml:space="preserve">to </w:t>
      </w:r>
      <w:r w:rsidRPr="001E68C4" w:rsidR="001E68C4">
        <w:t>add a</w:t>
      </w:r>
      <w:r w:rsidR="008F367E">
        <w:t>n adjustment schedule on residential customer bills that represents a</w:t>
      </w:r>
      <w:r w:rsidRPr="001E68C4" w:rsidR="001E68C4">
        <w:t xml:space="preserve"> surcharge or credit to remedy the over- or under-collection of revenues</w:t>
      </w:r>
      <w:r w:rsidR="00D26312">
        <w:t>.</w:t>
      </w:r>
    </w:p>
    <w:p w:rsidR="00D26312" w:rsidP="00AA6F06" w:rsidRDefault="00D26312" w14:paraId="444EC585" w14:textId="4079E395">
      <w:pPr>
        <w:pStyle w:val="Standard"/>
      </w:pPr>
      <w:r>
        <w:t xml:space="preserve">It is reasonable to approve the following provisions for </w:t>
      </w:r>
      <w:r w:rsidR="005605DA">
        <w:t>Small Utilities</w:t>
      </w:r>
      <w:r>
        <w:t xml:space="preserve"> to calculate and recover an over- or under-collection of revenues by income-graduated fixed charges:</w:t>
      </w:r>
    </w:p>
    <w:p w:rsidR="002C765A" w:rsidP="003762A0" w:rsidRDefault="00E540DB" w14:paraId="718480B2" w14:textId="63D2BF5C">
      <w:pPr>
        <w:pStyle w:val="ListAlpha"/>
        <w:ind w:right="1440"/>
      </w:pPr>
      <w:r w:rsidRPr="00E540DB">
        <w:t xml:space="preserve">Bear Valley and Liberty </w:t>
      </w:r>
      <w:r>
        <w:t>shall each record any over- or under-collection o</w:t>
      </w:r>
      <w:r w:rsidR="002C765A">
        <w:t>f revenues by income-graduated fixed charges as a separate line-item in</w:t>
      </w:r>
      <w:r w:rsidRPr="00E540DB">
        <w:t xml:space="preserve"> its existing Base Revenue Requirement Balancing Account</w:t>
      </w:r>
      <w:r w:rsidR="002C765A">
        <w:t>;</w:t>
      </w:r>
    </w:p>
    <w:p w:rsidR="002C765A" w:rsidP="003762A0" w:rsidRDefault="00E540DB" w14:paraId="39F73EC9" w14:textId="6B5BB443">
      <w:pPr>
        <w:pStyle w:val="ListAlpha"/>
        <w:ind w:right="1440"/>
      </w:pPr>
      <w:r w:rsidRPr="00E540DB">
        <w:t>Bear Valley and Liberty</w:t>
      </w:r>
      <w:r w:rsidRPr="00AE2A2F" w:rsidR="00AE2A2F">
        <w:t xml:space="preserve"> </w:t>
      </w:r>
      <w:r w:rsidR="00AA4C84">
        <w:t>may</w:t>
      </w:r>
      <w:r w:rsidR="0011786E">
        <w:t xml:space="preserve"> </w:t>
      </w:r>
      <w:r w:rsidR="00AE2A2F">
        <w:t>each</w:t>
      </w:r>
      <w:r w:rsidR="0011786E">
        <w:t xml:space="preserve"> </w:t>
      </w:r>
      <w:r w:rsidR="006F43D4">
        <w:t xml:space="preserve">file a Tier 2 advice letter </w:t>
      </w:r>
      <w:r w:rsidR="00AA4C84">
        <w:t xml:space="preserve">to </w:t>
      </w:r>
      <w:r w:rsidR="00F72960">
        <w:t xml:space="preserve">address any </w:t>
      </w:r>
      <w:r w:rsidRPr="00F72960" w:rsidR="00F72960">
        <w:t>over- or under-collection</w:t>
      </w:r>
      <w:r w:rsidR="00AA4C84">
        <w:t xml:space="preserve"> of </w:t>
      </w:r>
      <w:r w:rsidRPr="00F72960" w:rsidR="00F72960">
        <w:t xml:space="preserve">revenues </w:t>
      </w:r>
      <w:r w:rsidR="002813FF">
        <w:t>recorded in its Base Revenue Requirement Balancing Account</w:t>
      </w:r>
      <w:r w:rsidR="00C11312">
        <w:t xml:space="preserve"> asso</w:t>
      </w:r>
      <w:r w:rsidR="008E7997">
        <w:t>ciated with income-graduated fixed charges</w:t>
      </w:r>
      <w:r w:rsidR="00DA4390">
        <w:t xml:space="preserve">. Each utility shall include in the advice letter </w:t>
      </w:r>
      <w:r w:rsidR="00332B50">
        <w:t xml:space="preserve">the </w:t>
      </w:r>
      <w:r w:rsidRPr="00332B50" w:rsidR="00332B50">
        <w:t xml:space="preserve">proposed amount of surcharge or credit to residential customer bills </w:t>
      </w:r>
      <w:r w:rsidRPr="00332B50" w:rsidR="00332B50">
        <w:lastRenderedPageBreak/>
        <w:t>that would be implemented through a standalone adjustment schedule</w:t>
      </w:r>
      <w:r w:rsidR="00F72960">
        <w:t>;</w:t>
      </w:r>
      <w:r w:rsidR="00DB14A7">
        <w:t xml:space="preserve"> and</w:t>
      </w:r>
    </w:p>
    <w:p w:rsidR="002A0A46" w:rsidP="003762A0" w:rsidRDefault="00F72960" w14:paraId="726498E5" w14:textId="4C1DD544">
      <w:pPr>
        <w:pStyle w:val="ListAlpha"/>
        <w:ind w:right="1440"/>
      </w:pPr>
      <w:r>
        <w:t xml:space="preserve">PacifiCorp </w:t>
      </w:r>
      <w:r w:rsidR="001B5F13">
        <w:t>may</w:t>
      </w:r>
      <w:r>
        <w:t xml:space="preserve"> file a Tier </w:t>
      </w:r>
      <w:r w:rsidR="001B5F13">
        <w:t xml:space="preserve">2 advice letter once per year to </w:t>
      </w:r>
      <w:r w:rsidR="00D63DEB">
        <w:t>propose to address any over- or under-collection of revenues from</w:t>
      </w:r>
      <w:r w:rsidR="00451DB5">
        <w:t xml:space="preserve"> </w:t>
      </w:r>
      <w:r w:rsidR="00425124">
        <w:t xml:space="preserve">income-graduated fixed charges. PacifiCorp shall include </w:t>
      </w:r>
      <w:r w:rsidR="00CA5154">
        <w:t>in the Tier 2 advice letter</w:t>
      </w:r>
      <w:r w:rsidR="00425124">
        <w:t xml:space="preserve"> its calculation of the </w:t>
      </w:r>
      <w:r w:rsidR="000259B7">
        <w:t>over- or under-collection</w:t>
      </w:r>
      <w:r w:rsidR="00CA5154">
        <w:t xml:space="preserve"> of revenues, and</w:t>
      </w:r>
      <w:r w:rsidR="000259B7">
        <w:t xml:space="preserve"> </w:t>
      </w:r>
      <w:r w:rsidR="00F77AD8">
        <w:t>the</w:t>
      </w:r>
      <w:r w:rsidR="00E935A6">
        <w:t xml:space="preserve"> proposed</w:t>
      </w:r>
      <w:r w:rsidR="00F77AD8">
        <w:t xml:space="preserve"> amount </w:t>
      </w:r>
      <w:r w:rsidR="00501794">
        <w:t xml:space="preserve">of surcharge or credit to residential customer bills </w:t>
      </w:r>
      <w:r w:rsidR="00776E91">
        <w:t xml:space="preserve">that would be </w:t>
      </w:r>
      <w:r w:rsidR="00DA4390">
        <w:t>implemented through a standalone</w:t>
      </w:r>
      <w:r w:rsidR="00E935A6">
        <w:t xml:space="preserve"> </w:t>
      </w:r>
      <w:r w:rsidRPr="00E540DB" w:rsidR="00E935A6">
        <w:t>adjustment schedule.</w:t>
      </w:r>
    </w:p>
    <w:p w:rsidR="008531C8" w:rsidP="00702F6F" w:rsidRDefault="008531C8" w14:paraId="0154EB2F" w14:textId="090F6846">
      <w:pPr>
        <w:pStyle w:val="Heading2"/>
      </w:pPr>
      <w:bookmarkStart w:name="_Toc160790063" w:id="58"/>
      <w:r>
        <w:t>Metrics and Evaluation</w:t>
      </w:r>
      <w:bookmarkEnd w:id="58"/>
    </w:p>
    <w:p w:rsidR="008531C8" w:rsidP="00507F2F" w:rsidRDefault="00507F2F" w14:paraId="37A6EE73" w14:textId="13977CE4">
      <w:pPr>
        <w:pStyle w:val="Standard"/>
      </w:pPr>
      <w:r>
        <w:t xml:space="preserve">The Settlement Agreement does not include metrics, reporting requirements, or evaluation requirements for the </w:t>
      </w:r>
      <w:r w:rsidR="005605DA">
        <w:t>Small Utilities</w:t>
      </w:r>
      <w:r>
        <w:t>’ income-graduated fixed charges.</w:t>
      </w:r>
    </w:p>
    <w:p w:rsidR="00111929" w:rsidP="00C96D90" w:rsidRDefault="003F71EF" w14:paraId="6BCB7E50" w14:textId="71DA50F7">
      <w:pPr>
        <w:pStyle w:val="Standard"/>
      </w:pPr>
      <w:r>
        <w:t>In</w:t>
      </w:r>
      <w:r w:rsidR="00607AC2">
        <w:t xml:space="preserve">itially, the </w:t>
      </w:r>
      <w:r w:rsidR="005605DA">
        <w:t>Small Utilities</w:t>
      </w:r>
      <w:r w:rsidR="00607AC2">
        <w:t xml:space="preserve"> did not propose metrics, reporting, or evaluation requirements in the</w:t>
      </w:r>
      <w:r w:rsidR="0053187C">
        <w:t xml:space="preserve"> testimony or their comments on the </w:t>
      </w:r>
      <w:r w:rsidR="00D732B5">
        <w:t>Implementation Pathway Ruling.</w:t>
      </w:r>
      <w:r w:rsidR="00426D43">
        <w:t xml:space="preserve"> </w:t>
      </w:r>
      <w:r w:rsidR="00507F2F">
        <w:t xml:space="preserve">In </w:t>
      </w:r>
      <w:r w:rsidR="009C5688">
        <w:t xml:space="preserve">their opening brief, the </w:t>
      </w:r>
      <w:r w:rsidR="005605DA">
        <w:t>Small Utilities</w:t>
      </w:r>
      <w:r w:rsidR="00800304">
        <w:t xml:space="preserve"> argued that</w:t>
      </w:r>
      <w:r w:rsidR="008777E0">
        <w:t xml:space="preserve"> any reporting requirements should focus on </w:t>
      </w:r>
      <w:r w:rsidR="0029778A">
        <w:t>c</w:t>
      </w:r>
      <w:r w:rsidR="00053A30">
        <w:t xml:space="preserve">ustomer bill impacts of income-graduated fixed charges and whether the fixed charges </w:t>
      </w:r>
      <w:r w:rsidR="00A553CC">
        <w:t>provide</w:t>
      </w:r>
      <w:r w:rsidR="00053A30">
        <w:t xml:space="preserve"> </w:t>
      </w:r>
      <w:r w:rsidRPr="008777E0" w:rsidR="008777E0">
        <w:t>sufficient revenue</w:t>
      </w:r>
      <w:r w:rsidR="004A3A2C">
        <w:t xml:space="preserve"> to meet utility costs. </w:t>
      </w:r>
      <w:r w:rsidR="005605DA">
        <w:t>Small Utilities</w:t>
      </w:r>
      <w:r w:rsidR="009C5688">
        <w:t xml:space="preserve"> </w:t>
      </w:r>
      <w:r w:rsidR="00111929">
        <w:t xml:space="preserve">proposed to only require </w:t>
      </w:r>
      <w:r w:rsidR="005605DA">
        <w:t>Small Utilities</w:t>
      </w:r>
      <w:r w:rsidR="00111929">
        <w:t xml:space="preserve"> to </w:t>
      </w:r>
      <w:r w:rsidR="003158DB">
        <w:t xml:space="preserve">provide one report every two years with the following </w:t>
      </w:r>
      <w:r w:rsidR="00375DE1">
        <w:t xml:space="preserve">metrics: </w:t>
      </w:r>
      <w:r w:rsidRPr="00111929" w:rsidR="00111929">
        <w:t>revenue collection data,</w:t>
      </w:r>
      <w:r w:rsidR="00375DE1">
        <w:t xml:space="preserve"> </w:t>
      </w:r>
      <w:r w:rsidRPr="00111929" w:rsidR="00111929">
        <w:t>actual utility cost data, and comparison data for low-income customer bills to demonstrate how</w:t>
      </w:r>
      <w:r w:rsidR="00CA419C">
        <w:t xml:space="preserve"> </w:t>
      </w:r>
      <w:r w:rsidRPr="00111929" w:rsidR="00111929">
        <w:t>customer bills were impacted by</w:t>
      </w:r>
      <w:r w:rsidR="00CA419C">
        <w:t xml:space="preserve"> income-graduated fixed charges. The </w:t>
      </w:r>
      <w:r w:rsidR="005605DA">
        <w:t>Small Utilities</w:t>
      </w:r>
      <w:r w:rsidR="00CA419C">
        <w:t xml:space="preserve"> argued that </w:t>
      </w:r>
      <w:r w:rsidR="000D5BA2">
        <w:t xml:space="preserve">the Commission should avoid placing additional administrative burdens on </w:t>
      </w:r>
      <w:r w:rsidR="005605DA">
        <w:t>Small Utilities</w:t>
      </w:r>
      <w:r w:rsidR="00934076">
        <w:t xml:space="preserve"> and associated </w:t>
      </w:r>
      <w:r w:rsidR="000D3D9E">
        <w:t xml:space="preserve">rate </w:t>
      </w:r>
      <w:r w:rsidR="00735A20">
        <w:t xml:space="preserve">impacts on </w:t>
      </w:r>
      <w:r w:rsidR="006F4350">
        <w:t>each</w:t>
      </w:r>
      <w:r w:rsidR="00735A20">
        <w:t xml:space="preserve"> </w:t>
      </w:r>
      <w:r w:rsidR="007C0460">
        <w:t>utility</w:t>
      </w:r>
      <w:r w:rsidR="000D3D9E">
        <w:t>’</w:t>
      </w:r>
      <w:r w:rsidR="00735A20">
        <w:t>s small customer base in California.</w:t>
      </w:r>
      <w:r w:rsidR="00EE7998">
        <w:t xml:space="preserve"> </w:t>
      </w:r>
      <w:r w:rsidR="00E979F0">
        <w:t>No party commented on th</w:t>
      </w:r>
      <w:r w:rsidR="00FA1F5E">
        <w:t>is proposal</w:t>
      </w:r>
      <w:r w:rsidR="00C96D90">
        <w:t xml:space="preserve"> in reply briefs.</w:t>
      </w:r>
    </w:p>
    <w:p w:rsidR="003B3C5C" w:rsidP="003B3C5C" w:rsidRDefault="00D6214B" w14:paraId="7B1D8E44" w14:textId="5C9F2891">
      <w:pPr>
        <w:pStyle w:val="Standard"/>
      </w:pPr>
      <w:r>
        <w:t>For the Large Utilities, t</w:t>
      </w:r>
      <w:r w:rsidRPr="00517130" w:rsidR="00517130">
        <w:t xml:space="preserve">his decision </w:t>
      </w:r>
      <w:r>
        <w:t xml:space="preserve">(a) required quarterly reporting of </w:t>
      </w:r>
      <w:r w:rsidRPr="00517130" w:rsidR="00517130">
        <w:t>metrics</w:t>
      </w:r>
      <w:r>
        <w:t xml:space="preserve"> to</w:t>
      </w:r>
      <w:r w:rsidRPr="00517130" w:rsidR="00517130">
        <w:t xml:space="preserve"> </w:t>
      </w:r>
      <w:r w:rsidR="000F70F6">
        <w:t xml:space="preserve">the </w:t>
      </w:r>
      <w:r w:rsidRPr="00517130" w:rsidR="00517130">
        <w:t>service list of this proceeding</w:t>
      </w:r>
      <w:r w:rsidR="00FB052D">
        <w:t xml:space="preserve"> and </w:t>
      </w:r>
      <w:r>
        <w:t xml:space="preserve">(b) </w:t>
      </w:r>
      <w:r w:rsidR="007C38C8">
        <w:t xml:space="preserve">established </w:t>
      </w:r>
      <w:r w:rsidRPr="00517130" w:rsidR="00517130">
        <w:t xml:space="preserve">a process for the </w:t>
      </w:r>
      <w:r w:rsidRPr="00517130" w:rsidR="00517130">
        <w:lastRenderedPageBreak/>
        <w:t xml:space="preserve">Commission’s staff to draft an evaluation report for </w:t>
      </w:r>
      <w:r w:rsidRPr="000B3A87" w:rsidR="00517130">
        <w:t>income-graduated fixed charges based on one calendar year of metrics</w:t>
      </w:r>
      <w:r w:rsidR="00806274">
        <w:t xml:space="preserve"> and</w:t>
      </w:r>
      <w:r w:rsidRPr="00517130" w:rsidR="00517130">
        <w:t xml:space="preserve"> input from the Implementation Working </w:t>
      </w:r>
      <w:r w:rsidR="00806274">
        <w:t>Group.</w:t>
      </w:r>
      <w:r w:rsidR="008B239E">
        <w:t xml:space="preserve"> The eva</w:t>
      </w:r>
      <w:r w:rsidR="003B3C5C">
        <w:t xml:space="preserve">luation report will be used to inform the design of the next version of income-graduated fixed charges. </w:t>
      </w:r>
    </w:p>
    <w:p w:rsidR="00FA7361" w:rsidP="008D3856" w:rsidRDefault="006E71BF" w14:paraId="3442657C" w14:textId="389FBCCB">
      <w:pPr>
        <w:pStyle w:val="Standard"/>
      </w:pPr>
      <w:r>
        <w:t xml:space="preserve">While </w:t>
      </w:r>
      <w:r w:rsidR="003842C5">
        <w:t xml:space="preserve">it is not necessary to require </w:t>
      </w:r>
      <w:r w:rsidR="005605DA">
        <w:t>Small Utilities</w:t>
      </w:r>
      <w:r w:rsidR="003842C5">
        <w:t xml:space="preserve"> to serve quarterly reports, </w:t>
      </w:r>
      <w:r w:rsidR="002C0B1D">
        <w:t xml:space="preserve">we </w:t>
      </w:r>
      <w:r w:rsidR="004D4D9D">
        <w:t>will increase the frequency of reports to</w:t>
      </w:r>
      <w:r w:rsidR="00EA29B0">
        <w:t xml:space="preserve"> once per calendar year to </w:t>
      </w:r>
      <w:r w:rsidR="00027638">
        <w:t xml:space="preserve">enable the </w:t>
      </w:r>
      <w:r w:rsidR="005A6E39">
        <w:t xml:space="preserve">Commission’s staff to include an </w:t>
      </w:r>
      <w:r w:rsidR="00636C17">
        <w:t>assessment</w:t>
      </w:r>
      <w:r w:rsidR="005A6E39">
        <w:t xml:space="preserve"> </w:t>
      </w:r>
      <w:r w:rsidR="00112631">
        <w:t xml:space="preserve">of the </w:t>
      </w:r>
      <w:r w:rsidR="005605DA">
        <w:t>Small Utilities</w:t>
      </w:r>
      <w:r w:rsidR="00112631">
        <w:t>’ income-graduated fixed charges</w:t>
      </w:r>
      <w:r w:rsidR="00636C17">
        <w:t xml:space="preserve"> in </w:t>
      </w:r>
      <w:r w:rsidR="0074651C">
        <w:t>the evaluation report.</w:t>
      </w:r>
    </w:p>
    <w:p w:rsidRPr="00B3310B" w:rsidR="00B3310B" w:rsidP="00815CB9" w:rsidRDefault="00642A71" w14:paraId="427C8771" w14:textId="43122657">
      <w:pPr>
        <w:pStyle w:val="Standard"/>
      </w:pPr>
      <w:r>
        <w:t>This decision directed</w:t>
      </w:r>
      <w:r w:rsidR="00486072">
        <w:t xml:space="preserve"> the Large Utilities</w:t>
      </w:r>
      <w:r>
        <w:t xml:space="preserve"> to </w:t>
      </w:r>
      <w:r w:rsidR="00CD4B63">
        <w:t xml:space="preserve">report </w:t>
      </w:r>
      <w:r w:rsidR="004F6845">
        <w:t>the</w:t>
      </w:r>
      <w:r w:rsidR="003D20FC">
        <w:t xml:space="preserve"> following metrics</w:t>
      </w:r>
      <w:r w:rsidRPr="00486072" w:rsidR="00486072">
        <w:t>:</w:t>
      </w:r>
      <w:r w:rsidR="0038148F">
        <w:t xml:space="preserve">  n</w:t>
      </w:r>
      <w:r w:rsidRPr="00486072" w:rsidR="00486072">
        <w:t>umber of customers in each tier</w:t>
      </w:r>
      <w:r w:rsidR="0038148F">
        <w:t>, n</w:t>
      </w:r>
      <w:r w:rsidRPr="00486072" w:rsidR="00486072">
        <w:t>umber of customers who change tiers</w:t>
      </w:r>
      <w:r w:rsidR="0038148F">
        <w:t>, a</w:t>
      </w:r>
      <w:r w:rsidRPr="00486072" w:rsidR="00486072">
        <w:t>verage customer bill impacts for each tier and each baseline territory</w:t>
      </w:r>
      <w:r w:rsidR="0038148F">
        <w:t xml:space="preserve">, </w:t>
      </w:r>
      <w:r w:rsidR="00815CB9">
        <w:t>n</w:t>
      </w:r>
      <w:r w:rsidRPr="00B3310B" w:rsidR="00B3310B">
        <w:t>umber of press article mentions</w:t>
      </w:r>
      <w:r w:rsidR="00815CB9">
        <w:t>, i</w:t>
      </w:r>
      <w:r w:rsidRPr="00B3310B" w:rsidR="00B3310B">
        <w:t>mpressions and reach of paid media</w:t>
      </w:r>
      <w:r w:rsidR="007D6578">
        <w:t>, n</w:t>
      </w:r>
      <w:r w:rsidRPr="007D6578" w:rsidR="007D6578">
        <w:t>umber and type of outbound targeted communications and bill messages</w:t>
      </w:r>
      <w:r w:rsidR="007D6578">
        <w:t>, and number of related calls or emails received.</w:t>
      </w:r>
    </w:p>
    <w:p w:rsidR="00EA7861" w:rsidP="00AA6F06" w:rsidRDefault="002B6083" w14:paraId="5EBD4256" w14:textId="0D8974C4">
      <w:pPr>
        <w:pStyle w:val="Standard"/>
      </w:pPr>
      <w:r>
        <w:t xml:space="preserve">We do not expect the </w:t>
      </w:r>
      <w:r w:rsidR="005605DA">
        <w:t>Small Utilities</w:t>
      </w:r>
      <w:r>
        <w:t xml:space="preserve"> to conduct </w:t>
      </w:r>
      <w:r w:rsidR="00BA0AFB">
        <w:t xml:space="preserve">substantial ME&amp;O. Therefore, it is not necessary for </w:t>
      </w:r>
      <w:r w:rsidR="005605DA">
        <w:t>Small Utilities</w:t>
      </w:r>
      <w:r w:rsidR="00BA0AFB">
        <w:t xml:space="preserve"> to report on ME&amp;O metrics. However, the </w:t>
      </w:r>
      <w:r w:rsidR="005605DA">
        <w:t>Small Utilities</w:t>
      </w:r>
      <w:r w:rsidR="00BA0AFB">
        <w:t xml:space="preserve"> should report</w:t>
      </w:r>
      <w:r w:rsidR="00B13A25">
        <w:t xml:space="preserve"> </w:t>
      </w:r>
      <w:r w:rsidR="00846058">
        <w:t>on the number of customers in each tier, the number of customers who changed tiers, and a</w:t>
      </w:r>
      <w:r w:rsidRPr="00846058" w:rsidR="00846058">
        <w:t>verage customer bill impacts for each tier and each baseline territory</w:t>
      </w:r>
      <w:r w:rsidR="00846058">
        <w:t>.</w:t>
      </w:r>
      <w:r w:rsidR="007D33FF">
        <w:t xml:space="preserve"> </w:t>
      </w:r>
      <w:r w:rsidR="000F255E">
        <w:t xml:space="preserve">The Commission’s staff </w:t>
      </w:r>
      <w:r w:rsidR="00B00CDC">
        <w:t xml:space="preserve">will </w:t>
      </w:r>
      <w:r w:rsidR="000B0CD4">
        <w:t>include this information in its evaluation report for income-graduated fixed charges.</w:t>
      </w:r>
    </w:p>
    <w:p w:rsidR="00FE2017" w:rsidP="00106D42" w:rsidRDefault="00905E1E" w14:paraId="78282928" w14:textId="4B46D41E">
      <w:pPr>
        <w:pStyle w:val="Standard"/>
      </w:pPr>
      <w:r>
        <w:t xml:space="preserve">It is reasonable </w:t>
      </w:r>
      <w:r w:rsidR="000476AA">
        <w:t xml:space="preserve">for each </w:t>
      </w:r>
      <w:r w:rsidR="007C0460">
        <w:t>of the Small Utilities</w:t>
      </w:r>
      <w:r w:rsidR="000476AA">
        <w:t xml:space="preserve"> to serve a report on the service list of this proceeding w</w:t>
      </w:r>
      <w:r w:rsidR="004C2C88">
        <w:t xml:space="preserve">ithin </w:t>
      </w:r>
      <w:r w:rsidR="00D150F0">
        <w:t>60</w:t>
      </w:r>
      <w:r w:rsidR="004C2C88">
        <w:t xml:space="preserve"> days after </w:t>
      </w:r>
      <w:r w:rsidR="00B80CB0">
        <w:t>each</w:t>
      </w:r>
      <w:r w:rsidR="004C2C88">
        <w:t xml:space="preserve"> anniversary of </w:t>
      </w:r>
      <w:r w:rsidR="00C13017">
        <w:t>the</w:t>
      </w:r>
      <w:r w:rsidR="005E0279">
        <w:t xml:space="preserve"> launch of its </w:t>
      </w:r>
      <w:r w:rsidR="00B80CB0">
        <w:t xml:space="preserve">income-graduated fixed charges </w:t>
      </w:r>
      <w:r w:rsidR="00C80AFA">
        <w:t xml:space="preserve">with </w:t>
      </w:r>
      <w:r w:rsidR="00B80CB0">
        <w:t>the</w:t>
      </w:r>
      <w:r w:rsidR="000476AA">
        <w:t xml:space="preserve"> following metrics</w:t>
      </w:r>
      <w:r w:rsidR="00B80CB0">
        <w:t xml:space="preserve">: </w:t>
      </w:r>
      <w:r w:rsidRPr="00B51218" w:rsidR="00B51218">
        <w:t>number of customers in each tier, the number of customers who changed tiers, and average customer bill impacts for each tier and each baseline territory.</w:t>
      </w:r>
    </w:p>
    <w:p w:rsidR="00566582" w:rsidP="007C3228" w:rsidRDefault="00566582" w14:paraId="0E9CE6A6" w14:textId="0C097680">
      <w:pPr>
        <w:pStyle w:val="Heading2"/>
      </w:pPr>
      <w:bookmarkStart w:name="_Toc160790064" w:id="59"/>
      <w:r>
        <w:lastRenderedPageBreak/>
        <w:t>Implementation Costs</w:t>
      </w:r>
      <w:bookmarkEnd w:id="59"/>
    </w:p>
    <w:p w:rsidR="00A13E24" w:rsidP="00A13E24" w:rsidRDefault="00C1238F" w14:paraId="2276C353" w14:textId="2CACEEC2">
      <w:pPr>
        <w:pStyle w:val="Standard"/>
      </w:pPr>
      <w:r>
        <w:t xml:space="preserve">The Settlement Agreement did not propose a budget for </w:t>
      </w:r>
      <w:r w:rsidR="007C0460">
        <w:t xml:space="preserve">the Small Utilities’ </w:t>
      </w:r>
      <w:r w:rsidR="0094729A">
        <w:t>implementation costs</w:t>
      </w:r>
      <w:r w:rsidR="005941D7">
        <w:t xml:space="preserve">. However, the Settlement Agreement </w:t>
      </w:r>
      <w:r w:rsidR="00253380">
        <w:t>included a proposal for each</w:t>
      </w:r>
      <w:r w:rsidR="007C0460">
        <w:t xml:space="preserve"> utility </w:t>
      </w:r>
      <w:r w:rsidR="00253380">
        <w:t xml:space="preserve">to establish a </w:t>
      </w:r>
      <w:r w:rsidR="001E1CB8">
        <w:t>memorandum account to track all implementation and</w:t>
      </w:r>
      <w:r w:rsidR="00297D9E">
        <w:t xml:space="preserve"> </w:t>
      </w:r>
      <w:r w:rsidR="001E1CB8">
        <w:t>administrative costs</w:t>
      </w:r>
      <w:r w:rsidR="00C36C21">
        <w:t xml:space="preserve"> (such as </w:t>
      </w:r>
      <w:r w:rsidRPr="00C36C21" w:rsidR="00C36C21">
        <w:t>billing system</w:t>
      </w:r>
      <w:r w:rsidR="00C36C21">
        <w:t xml:space="preserve"> upgrade costs) and </w:t>
      </w:r>
      <w:r w:rsidR="00C2462A">
        <w:t>recover these costs through a futur</w:t>
      </w:r>
      <w:r w:rsidR="0035280B">
        <w:t>e</w:t>
      </w:r>
      <w:r w:rsidRPr="0035280B" w:rsidR="0035280B">
        <w:t xml:space="preserve"> </w:t>
      </w:r>
      <w:r w:rsidR="0035280B">
        <w:t xml:space="preserve">request. </w:t>
      </w:r>
      <w:r w:rsidR="00A801F7">
        <w:t xml:space="preserve">The Settlement </w:t>
      </w:r>
      <w:r w:rsidR="004836CB">
        <w:t xml:space="preserve">Motion asserted that use of a memorandum account to track </w:t>
      </w:r>
      <w:r w:rsidR="00E97AD1">
        <w:t xml:space="preserve">costs is consistent with </w:t>
      </w:r>
      <w:r w:rsidR="004640DA">
        <w:t>standard</w:t>
      </w:r>
      <w:r w:rsidR="00953E21">
        <w:t xml:space="preserve"> practice</w:t>
      </w:r>
      <w:r w:rsidR="00AD5D27">
        <w:t>s</w:t>
      </w:r>
      <w:r w:rsidR="001B3C3F">
        <w:t xml:space="preserve">. </w:t>
      </w:r>
      <w:r w:rsidR="00A13E24">
        <w:t>No party commented on this issue in response to the Settlement Motion.</w:t>
      </w:r>
    </w:p>
    <w:p w:rsidR="004640DA" w:rsidP="00C36C21" w:rsidRDefault="004640DA" w14:paraId="1BC33B6F" w14:textId="5C1EBE48">
      <w:pPr>
        <w:pStyle w:val="Standard"/>
      </w:pPr>
      <w:r>
        <w:t xml:space="preserve">We agree that tracking administrative costs in a memorandum account is consistent with </w:t>
      </w:r>
      <w:r w:rsidR="00FA2AD6">
        <w:t>standard</w:t>
      </w:r>
      <w:r>
        <w:t xml:space="preserve"> practices.</w:t>
      </w:r>
      <w:r w:rsidR="006847DE">
        <w:t xml:space="preserve"> We will also </w:t>
      </w:r>
      <w:r w:rsidR="00CD36D3">
        <w:t xml:space="preserve">clarify that </w:t>
      </w:r>
      <w:r w:rsidR="005D201D">
        <w:t xml:space="preserve">each </w:t>
      </w:r>
      <w:r w:rsidR="009B01D1">
        <w:t>of the Small Utilities</w:t>
      </w:r>
      <w:r w:rsidR="005D201D">
        <w:t xml:space="preserve"> must propose an implementation budget</w:t>
      </w:r>
      <w:r w:rsidR="00D8681A">
        <w:t xml:space="preserve"> </w:t>
      </w:r>
      <w:r w:rsidR="00EA70A9">
        <w:t>in its Tier 3 implementation advice letter.</w:t>
      </w:r>
    </w:p>
    <w:p w:rsidR="00F91627" w:rsidP="00A2223F" w:rsidRDefault="00937D99" w14:paraId="1E7641E1" w14:textId="2D31EA1B">
      <w:pPr>
        <w:pStyle w:val="Standard"/>
      </w:pPr>
      <w:r>
        <w:t xml:space="preserve">It is </w:t>
      </w:r>
      <w:r w:rsidRPr="00937D99">
        <w:t>reasonable in light of the whole record, consistent with law, and in the public interest</w:t>
      </w:r>
      <w:r>
        <w:t xml:space="preserve"> </w:t>
      </w:r>
      <w:r w:rsidR="007A6CB1">
        <w:t xml:space="preserve">to approve the Settlement Agreement’s provision for each of the </w:t>
      </w:r>
      <w:r w:rsidR="005605DA">
        <w:t>Small Utilities</w:t>
      </w:r>
      <w:r w:rsidR="007A6CB1">
        <w:t xml:space="preserve"> to track </w:t>
      </w:r>
      <w:r w:rsidR="00B50B86">
        <w:t xml:space="preserve">implementation </w:t>
      </w:r>
      <w:r w:rsidR="007A6CB1">
        <w:t xml:space="preserve">and administrative </w:t>
      </w:r>
      <w:r w:rsidR="00B50B86">
        <w:t xml:space="preserve">costs </w:t>
      </w:r>
      <w:r w:rsidR="00734E15">
        <w:t>of the income</w:t>
      </w:r>
      <w:r w:rsidR="007D6156">
        <w:t>-</w:t>
      </w:r>
      <w:r w:rsidR="00734E15">
        <w:t>graduated fixed charges</w:t>
      </w:r>
      <w:r w:rsidR="007A6CB1">
        <w:t xml:space="preserve"> in a new memorandum account.</w:t>
      </w:r>
      <w:r w:rsidR="0079382E">
        <w:t xml:space="preserve"> </w:t>
      </w:r>
    </w:p>
    <w:p w:rsidRPr="00566582" w:rsidR="00AD5D27" w:rsidP="00A2223F" w:rsidRDefault="0079382E" w14:paraId="2ADB5CD0" w14:textId="2F008136">
      <w:pPr>
        <w:pStyle w:val="Standard"/>
      </w:pPr>
      <w:r>
        <w:t xml:space="preserve">Each </w:t>
      </w:r>
      <w:r w:rsidR="00344395">
        <w:t>of the Small Utilities</w:t>
      </w:r>
      <w:r>
        <w:t xml:space="preserve"> shall </w:t>
      </w:r>
      <w:r w:rsidR="00894673">
        <w:t xml:space="preserve">(a) </w:t>
      </w:r>
      <w:r w:rsidR="00D10DE5">
        <w:t>establish a memorandum account to track</w:t>
      </w:r>
      <w:r w:rsidR="00811771">
        <w:t xml:space="preserve"> all implementation </w:t>
      </w:r>
      <w:r w:rsidR="00AD032F">
        <w:t xml:space="preserve">costs and incremental administration costs of </w:t>
      </w:r>
      <w:r w:rsidR="002A339C">
        <w:t xml:space="preserve">income-graduated fixed charges, and (b) </w:t>
      </w:r>
      <w:r w:rsidR="00A844EB">
        <w:t xml:space="preserve">include a </w:t>
      </w:r>
      <w:r w:rsidR="00A2223F">
        <w:t xml:space="preserve">proposed implementation and administrative costs budget, with a breakdown by line-item and a justification for each line-item, in its Tier 3 advice letter </w:t>
      </w:r>
      <w:r w:rsidR="00F91627">
        <w:t>for implementing income-graduated fixed charges.</w:t>
      </w:r>
    </w:p>
    <w:p w:rsidR="007C3228" w:rsidP="007C3228" w:rsidRDefault="007C3228" w14:paraId="59C34F31" w14:textId="439FCD56">
      <w:pPr>
        <w:pStyle w:val="Heading2"/>
      </w:pPr>
      <w:bookmarkStart w:name="_Toc160790065" w:id="60"/>
      <w:r>
        <w:t>Timing of Implementation</w:t>
      </w:r>
      <w:bookmarkEnd w:id="60"/>
    </w:p>
    <w:p w:rsidRPr="004E1FDA" w:rsidR="00076CAF" w:rsidP="004E1FDA" w:rsidRDefault="00120706" w14:paraId="46CFAAF1" w14:textId="51171DDF">
      <w:pPr>
        <w:pStyle w:val="Standard"/>
      </w:pPr>
      <w:r>
        <w:t>The Settlement Agreement</w:t>
      </w:r>
      <w:r w:rsidR="004D7509">
        <w:t xml:space="preserve"> does not </w:t>
      </w:r>
      <w:r w:rsidR="00DD7EF7">
        <w:t xml:space="preserve">address </w:t>
      </w:r>
      <w:r w:rsidR="00470AF1">
        <w:t xml:space="preserve">the timing of implementation of the </w:t>
      </w:r>
      <w:r w:rsidR="005605DA">
        <w:t>Small Utilities</w:t>
      </w:r>
      <w:r w:rsidR="00470AF1">
        <w:t xml:space="preserve">’ income-graduated fixed charges </w:t>
      </w:r>
      <w:r w:rsidR="0060654D">
        <w:t>and associated ME&amp;O efforts.</w:t>
      </w:r>
      <w:r w:rsidR="00AF66BD">
        <w:t xml:space="preserve"> </w:t>
      </w:r>
    </w:p>
    <w:p w:rsidRPr="004E1FDA" w:rsidR="0062362B" w:rsidP="00921A5E" w:rsidRDefault="000F15B3" w14:paraId="776372DE" w14:textId="6211D32D">
      <w:pPr>
        <w:pStyle w:val="Standard"/>
      </w:pPr>
      <w:r>
        <w:lastRenderedPageBreak/>
        <w:t xml:space="preserve">The </w:t>
      </w:r>
      <w:r w:rsidR="005605DA">
        <w:t>Small Utilities</w:t>
      </w:r>
      <w:r>
        <w:t xml:space="preserve"> did not provide </w:t>
      </w:r>
      <w:r w:rsidR="008F509F">
        <w:t>estimated timing of implementation of its income-graduated fixed charges</w:t>
      </w:r>
      <w:r w:rsidR="00895181">
        <w:t xml:space="preserve">. In its opening brief, the </w:t>
      </w:r>
      <w:r w:rsidR="005605DA">
        <w:t>Small Utilities</w:t>
      </w:r>
      <w:r w:rsidR="00895181">
        <w:t xml:space="preserve"> argued that they</w:t>
      </w:r>
      <w:r w:rsidR="008F509F">
        <w:t xml:space="preserve"> </w:t>
      </w:r>
      <w:r w:rsidR="007504BF">
        <w:t xml:space="preserve">could not provide </w:t>
      </w:r>
      <w:r w:rsidR="00690A4E">
        <w:t>estimated timelines without knowing the de</w:t>
      </w:r>
      <w:r w:rsidR="00DC7B92">
        <w:t>sign</w:t>
      </w:r>
      <w:r w:rsidR="00690A4E">
        <w:t xml:space="preserve"> of the </w:t>
      </w:r>
      <w:r w:rsidR="00DC7B92">
        <w:t xml:space="preserve">income-graduated fixed charges. </w:t>
      </w:r>
      <w:r w:rsidR="00D90B14">
        <w:t xml:space="preserve">However, </w:t>
      </w:r>
      <w:r w:rsidR="000C5C0F">
        <w:t xml:space="preserve">the </w:t>
      </w:r>
      <w:r w:rsidR="005605DA">
        <w:t>Small Utilities</w:t>
      </w:r>
      <w:r w:rsidR="000C5C0F">
        <w:t xml:space="preserve"> asserted that they could implement </w:t>
      </w:r>
      <w:r w:rsidR="00F03F5A">
        <w:t>fixed charges more quickly if the Commission adopted a simple design</w:t>
      </w:r>
      <w:r w:rsidR="0062362B">
        <w:t xml:space="preserve"> based on their recommendations.</w:t>
      </w:r>
      <w:r w:rsidR="004E40CA">
        <w:t xml:space="preserve"> No</w:t>
      </w:r>
      <w:r w:rsidR="0018256C">
        <w:t xml:space="preserve"> other</w:t>
      </w:r>
      <w:r w:rsidR="004E40CA">
        <w:t xml:space="preserve"> party specifically commented on the timing of </w:t>
      </w:r>
      <w:r w:rsidR="0018256C">
        <w:t xml:space="preserve">applying </w:t>
      </w:r>
      <w:r w:rsidR="004E40CA">
        <w:t>the S</w:t>
      </w:r>
      <w:r w:rsidR="00A44977">
        <w:t>mall Utilities</w:t>
      </w:r>
      <w:r w:rsidR="004E40CA">
        <w:t xml:space="preserve">’ </w:t>
      </w:r>
      <w:r w:rsidR="0018256C">
        <w:t>income-graduated fixed charges.</w:t>
      </w:r>
    </w:p>
    <w:p w:rsidR="007C3228" w:rsidP="007C3228" w:rsidRDefault="000011F7" w14:paraId="19507A22" w14:textId="649C0D2E">
      <w:pPr>
        <w:pStyle w:val="Standard"/>
      </w:pPr>
      <w:r>
        <w:t>This decision adopted the Settlement Agreement’s simplified design for the income-graduated fixed charges</w:t>
      </w:r>
      <w:r w:rsidR="00795EF7">
        <w:t xml:space="preserve">, including reliance on the </w:t>
      </w:r>
      <w:r w:rsidR="005605DA">
        <w:t>Small Utilities</w:t>
      </w:r>
      <w:r w:rsidR="00795EF7">
        <w:t>’ existing</w:t>
      </w:r>
      <w:r>
        <w:t xml:space="preserve"> </w:t>
      </w:r>
      <w:r w:rsidR="00FE4CBA">
        <w:t xml:space="preserve">CARE income verification processes. </w:t>
      </w:r>
      <w:r w:rsidR="00511F1B">
        <w:t xml:space="preserve">Further, this decision </w:t>
      </w:r>
      <w:r w:rsidR="00DE7F01">
        <w:t>a</w:t>
      </w:r>
      <w:r w:rsidR="00EE1E58">
        <w:t>uthorized</w:t>
      </w:r>
      <w:r w:rsidR="00DE7F01">
        <w:t xml:space="preserve"> a</w:t>
      </w:r>
      <w:r w:rsidR="00B62ADB">
        <w:t xml:space="preserve"> Tier 3 advice letter</w:t>
      </w:r>
      <w:r w:rsidR="00DE7F01">
        <w:t xml:space="preserve"> process for </w:t>
      </w:r>
      <w:r w:rsidR="00B62ADB">
        <w:t xml:space="preserve">approving the </w:t>
      </w:r>
      <w:r w:rsidR="005605DA">
        <w:t>Small Utilities</w:t>
      </w:r>
      <w:r w:rsidR="00B62ADB">
        <w:t xml:space="preserve">’ </w:t>
      </w:r>
      <w:r w:rsidR="00EF5F87">
        <w:t>income-graduated fixed charges and associated ME&amp;O efforts.</w:t>
      </w:r>
      <w:r w:rsidR="00EE1E58">
        <w:t xml:space="preserve"> </w:t>
      </w:r>
      <w:r w:rsidR="00B22E0E">
        <w:t>Further,</w:t>
      </w:r>
      <w:r w:rsidR="007073A9">
        <w:t xml:space="preserve"> </w:t>
      </w:r>
      <w:r w:rsidR="00984F76">
        <w:t xml:space="preserve">the </w:t>
      </w:r>
      <w:r w:rsidR="005605DA">
        <w:t>Small Utilities</w:t>
      </w:r>
      <w:r w:rsidR="0059369B">
        <w:t xml:space="preserve"> must</w:t>
      </w:r>
      <w:r w:rsidR="004D0DA9">
        <w:t xml:space="preserve"> leverage the Large Utilities’ existing ME&amp;O research and best practices </w:t>
      </w:r>
      <w:r w:rsidR="0059369B">
        <w:t xml:space="preserve">rather than conducting additional research. </w:t>
      </w:r>
      <w:r w:rsidR="001905BD">
        <w:t xml:space="preserve">Accordingly, we expect that the </w:t>
      </w:r>
      <w:r w:rsidR="005605DA">
        <w:t>Small Utilities</w:t>
      </w:r>
      <w:r w:rsidR="001905BD">
        <w:t xml:space="preserve"> </w:t>
      </w:r>
      <w:r w:rsidR="00AC6614">
        <w:t xml:space="preserve">will be able to </w:t>
      </w:r>
      <w:r w:rsidR="00C55357">
        <w:t xml:space="preserve">quickly </w:t>
      </w:r>
      <w:r w:rsidR="00015711">
        <w:t>file a Tier 3 advice letter and</w:t>
      </w:r>
      <w:r w:rsidR="00C55357">
        <w:t xml:space="preserve"> implement the </w:t>
      </w:r>
      <w:r w:rsidR="004F3DCB">
        <w:t xml:space="preserve">income-graduated fixed charges </w:t>
      </w:r>
      <w:r w:rsidR="00986F70">
        <w:t xml:space="preserve">along </w:t>
      </w:r>
      <w:r w:rsidR="004875A4">
        <w:t>a similar timeline as the Large Utilities.</w:t>
      </w:r>
    </w:p>
    <w:p w:rsidRPr="00470D1F" w:rsidR="008531C8" w:rsidP="00470D1F" w:rsidRDefault="00486845" w14:paraId="6D20A927" w14:textId="146FF2CB">
      <w:pPr>
        <w:pStyle w:val="Standard"/>
      </w:pPr>
      <w:r>
        <w:t xml:space="preserve">It is reasonable </w:t>
      </w:r>
      <w:r w:rsidR="005D77E3">
        <w:t>to direct each</w:t>
      </w:r>
      <w:r w:rsidRPr="00142FAA" w:rsidR="007C3228">
        <w:t xml:space="preserve"> </w:t>
      </w:r>
      <w:r w:rsidR="00344395">
        <w:t>of the Small Utilities</w:t>
      </w:r>
      <w:r w:rsidRPr="00142FAA" w:rsidR="007C3228">
        <w:t xml:space="preserve"> </w:t>
      </w:r>
      <w:r w:rsidR="005D77E3">
        <w:t>to</w:t>
      </w:r>
      <w:r w:rsidRPr="00142FAA" w:rsidR="007C3228">
        <w:t xml:space="preserve"> file a Tier 3 advice letter within </w:t>
      </w:r>
      <w:r w:rsidR="00D150F0">
        <w:t>120</w:t>
      </w:r>
      <w:r w:rsidRPr="00142FAA" w:rsidR="00D150F0">
        <w:t xml:space="preserve"> </w:t>
      </w:r>
      <w:r w:rsidRPr="00142FAA" w:rsidR="007C3228">
        <w:t>days of this decision to implement income</w:t>
      </w:r>
      <w:r w:rsidR="00D3733A">
        <w:t>-</w:t>
      </w:r>
      <w:r w:rsidRPr="00142FAA" w:rsidR="007C3228">
        <w:t xml:space="preserve">graduated fixed charges. The </w:t>
      </w:r>
      <w:r w:rsidR="00723B7A">
        <w:t>Tier 3</w:t>
      </w:r>
      <w:r w:rsidRPr="00142FAA" w:rsidR="007C3228">
        <w:t xml:space="preserve"> advice letter shall include </w:t>
      </w:r>
      <w:r w:rsidR="00406835">
        <w:t>an implementation</w:t>
      </w:r>
      <w:r w:rsidR="00723B7A">
        <w:t xml:space="preserve"> schedule </w:t>
      </w:r>
      <w:r w:rsidR="00406835">
        <w:t>that</w:t>
      </w:r>
      <w:r w:rsidR="00723B7A">
        <w:t xml:space="preserve"> </w:t>
      </w:r>
      <w:r w:rsidR="005028D0">
        <w:t xml:space="preserve">facilitates </w:t>
      </w:r>
      <w:r w:rsidR="00F23227">
        <w:t xml:space="preserve">beginning to </w:t>
      </w:r>
      <w:r w:rsidR="00F21C51">
        <w:t xml:space="preserve">apply </w:t>
      </w:r>
      <w:r w:rsidR="00F23227">
        <w:t xml:space="preserve">income-graduated fixed charges to </w:t>
      </w:r>
      <w:r w:rsidR="00344395">
        <w:t>Small Utilities’</w:t>
      </w:r>
      <w:r w:rsidR="00F23227">
        <w:t xml:space="preserve"> customers by the first quarter of 2026.</w:t>
      </w:r>
    </w:p>
    <w:p w:rsidR="00603238" w:rsidP="00476643" w:rsidRDefault="00603238" w14:paraId="76C7C374" w14:textId="5D0B1A94">
      <w:pPr>
        <w:pStyle w:val="Heading1"/>
      </w:pPr>
      <w:bookmarkStart w:name="_Toc160790066" w:id="61"/>
      <w:r>
        <w:t>Summary of Public Comment</w:t>
      </w:r>
      <w:bookmarkEnd w:id="61"/>
    </w:p>
    <w:p w:rsidR="00CF1C9A" w:rsidP="00284D8D" w:rsidRDefault="00CF1C9A" w14:paraId="3F9D2ACC" w14:textId="77EDA389">
      <w:r w:rsidRPr="00CF1C9A">
        <w:t xml:space="preserve">Rule 1.18 of the Commission’s Rules allows any member of the public to submit written comment in any Commission proceeding using the “Public Comment” tab of the online Docket Card for that proceeding on the </w:t>
      </w:r>
      <w:r w:rsidRPr="00CF1C9A">
        <w:lastRenderedPageBreak/>
        <w:t>Commission’s website. Rule 1.18(b) requires that relevant written comment submitted in a proceeding be summarized in the final decision issued in that proceeding.</w:t>
      </w:r>
    </w:p>
    <w:p w:rsidR="009C6283" w:rsidP="00284D8D" w:rsidRDefault="009C6283" w14:paraId="6CA1CC65" w14:textId="12969DB2">
      <w:r>
        <w:t xml:space="preserve">Over 900 public comments </w:t>
      </w:r>
      <w:r w:rsidR="00F76CC8">
        <w:t xml:space="preserve">about </w:t>
      </w:r>
      <w:r w:rsidRPr="00F76CC8" w:rsidR="00F76CC8">
        <w:t>income-graduated fixed charg</w:t>
      </w:r>
      <w:r w:rsidR="00F76CC8">
        <w:t xml:space="preserve">es </w:t>
      </w:r>
      <w:r>
        <w:t xml:space="preserve">were posted on the Docket Card of this proceeding. These </w:t>
      </w:r>
      <w:r w:rsidR="00F909F1">
        <w:t>comments generally oppose</w:t>
      </w:r>
      <w:r w:rsidR="00F76CC8">
        <w:t>d</w:t>
      </w:r>
      <w:r w:rsidR="00F909F1">
        <w:t xml:space="preserve"> the Large Utilities’ income-graduated fixed charge proposals, </w:t>
      </w:r>
      <w:r w:rsidR="009B04F6">
        <w:t xml:space="preserve">additional </w:t>
      </w:r>
      <w:r w:rsidR="00F909F1">
        <w:t>income verification requirements,</w:t>
      </w:r>
      <w:r w:rsidR="000F1A85">
        <w:t xml:space="preserve"> high fixed charges, or </w:t>
      </w:r>
      <w:r w:rsidR="009F0B31">
        <w:t>varying fixed charges based on income levels.</w:t>
      </w:r>
    </w:p>
    <w:p w:rsidR="006011AB" w:rsidP="00476643" w:rsidRDefault="006011AB" w14:paraId="2860916A" w14:textId="77777777">
      <w:pPr>
        <w:pStyle w:val="Heading1"/>
      </w:pPr>
      <w:bookmarkStart w:name="_Toc160790067" w:id="62"/>
      <w:bookmarkStart w:name="_Toc8123723" w:id="63"/>
      <w:bookmarkEnd w:id="31"/>
      <w:r>
        <w:t>Procedural Matters</w:t>
      </w:r>
      <w:bookmarkEnd w:id="62"/>
    </w:p>
    <w:p w:rsidR="006011AB" w:rsidP="006011AB" w:rsidRDefault="006011AB" w14:paraId="5B24A87C" w14:textId="443B97FE">
      <w:pPr>
        <w:pStyle w:val="Standard"/>
      </w:pPr>
      <w:r w:rsidRPr="008B175A">
        <w:t xml:space="preserve">This decision affirms all rulings made by the </w:t>
      </w:r>
      <w:r w:rsidR="00C93E69">
        <w:t>assigned ALJ</w:t>
      </w:r>
      <w:r w:rsidRPr="008B175A">
        <w:t xml:space="preserve"> </w:t>
      </w:r>
      <w:r w:rsidR="00731065">
        <w:t>or</w:t>
      </w:r>
      <w:r w:rsidRPr="008B175A">
        <w:t xml:space="preserve"> </w:t>
      </w:r>
      <w:r w:rsidR="004A3DA7">
        <w:t>the</w:t>
      </w:r>
      <w:r w:rsidRPr="008B175A">
        <w:t xml:space="preserve"> assigned Commissioner</w:t>
      </w:r>
      <w:r>
        <w:t xml:space="preserve"> </w:t>
      </w:r>
      <w:r w:rsidR="006D482C">
        <w:t>in</w:t>
      </w:r>
      <w:r>
        <w:t xml:space="preserve"> </w:t>
      </w:r>
      <w:r w:rsidRPr="008B175A">
        <w:t xml:space="preserve">this proceeding. </w:t>
      </w:r>
    </w:p>
    <w:p w:rsidR="005939A5" w:rsidP="00476643" w:rsidRDefault="005939A5" w14:paraId="6C691D03" w14:textId="54C3ACE1">
      <w:pPr>
        <w:pStyle w:val="Heading1"/>
      </w:pPr>
      <w:bookmarkStart w:name="_Toc160790068" w:id="64"/>
      <w:r>
        <w:t>Comments on Proposed Decision</w:t>
      </w:r>
      <w:bookmarkEnd w:id="63"/>
      <w:bookmarkEnd w:id="64"/>
      <w:r w:rsidR="00507A3B">
        <w:t xml:space="preserve"> and Modifications to </w:t>
      </w:r>
      <w:r w:rsidR="003171DD">
        <w:t xml:space="preserve">the </w:t>
      </w:r>
      <w:r w:rsidR="00507A3B">
        <w:t>Settlement Agreement</w:t>
      </w:r>
    </w:p>
    <w:p w:rsidR="00507A3B" w:rsidP="00507A3B" w:rsidRDefault="00C85B82" w14:paraId="542E338D" w14:textId="086C6818">
      <w:pPr>
        <w:pStyle w:val="Standard"/>
      </w:pPr>
      <w:r w:rsidRPr="00C85B82">
        <w:t xml:space="preserve">The proposed decision of ALJ Stephanie Wang </w:t>
      </w:r>
      <w:r w:rsidR="005C58FA">
        <w:t xml:space="preserve">in this matter was mailed to the parties in accordance with Section 311 of the Public Utilities Code and comments were allowed under Rule 14.3.  Comments were filed on </w:t>
      </w:r>
      <w:r w:rsidR="003359D1">
        <w:t xml:space="preserve">April </w:t>
      </w:r>
      <w:r w:rsidR="000814C5">
        <w:t>16, 2024</w:t>
      </w:r>
      <w:r w:rsidR="008E7809">
        <w:t>,</w:t>
      </w:r>
      <w:r w:rsidR="003359D1">
        <w:t xml:space="preserve"> </w:t>
      </w:r>
      <w:r w:rsidR="00AF0FCD">
        <w:t xml:space="preserve">by </w:t>
      </w:r>
      <w:r w:rsidR="00AB4EA4">
        <w:t xml:space="preserve">Advanced Energy United, </w:t>
      </w:r>
      <w:r w:rsidRPr="00952B79" w:rsidR="00952B79">
        <w:t>California Energy Storage Alliance</w:t>
      </w:r>
      <w:r w:rsidR="005503D8">
        <w:t xml:space="preserve">, </w:t>
      </w:r>
      <w:r w:rsidRPr="00952B79" w:rsidR="00952B79">
        <w:t>California Solar &amp; Storage Association;</w:t>
      </w:r>
      <w:r w:rsidR="00AB4EA4">
        <w:t xml:space="preserve"> CUE, 350 Bay Area, </w:t>
      </w:r>
      <w:r w:rsidR="00260DF5">
        <w:t xml:space="preserve">Cal Advocates, </w:t>
      </w:r>
      <w:r w:rsidR="00085978">
        <w:t xml:space="preserve">TURN/NRDC, PearlX, Sierra Club/CEJA, </w:t>
      </w:r>
      <w:r w:rsidR="005A2626">
        <w:t xml:space="preserve">the </w:t>
      </w:r>
      <w:r w:rsidR="00085978">
        <w:t xml:space="preserve">Small Utilities, </w:t>
      </w:r>
      <w:r w:rsidR="00233258">
        <w:t xml:space="preserve">the </w:t>
      </w:r>
      <w:r w:rsidR="00085978">
        <w:t xml:space="preserve">Greenlining Institute, </w:t>
      </w:r>
      <w:r w:rsidR="00E66E3D">
        <w:t xml:space="preserve">the Large Utilities, </w:t>
      </w:r>
      <w:r w:rsidR="00AE41F7">
        <w:t>Alexis K. Wodtke,</w:t>
      </w:r>
      <w:r w:rsidR="002F2062">
        <w:t xml:space="preserve"> CforAT, Vote Solar, </w:t>
      </w:r>
      <w:r w:rsidR="00CF2F9F">
        <w:t xml:space="preserve">CalCCA, </w:t>
      </w:r>
      <w:r w:rsidR="00B26D29">
        <w:t xml:space="preserve">UCAN, </w:t>
      </w:r>
      <w:r w:rsidR="00CF2F9F">
        <w:t>and SEIA</w:t>
      </w:r>
      <w:r w:rsidR="00AB4EA4">
        <w:t xml:space="preserve">, </w:t>
      </w:r>
      <w:r w:rsidR="005C58FA">
        <w:t xml:space="preserve">and reply comments were filed on </w:t>
      </w:r>
      <w:r w:rsidR="005503D8">
        <w:t xml:space="preserve">April 22, 2024, </w:t>
      </w:r>
      <w:r w:rsidR="005C58FA">
        <w:t xml:space="preserve">by </w:t>
      </w:r>
      <w:r w:rsidR="005E5B2C">
        <w:t xml:space="preserve">SEIA, </w:t>
      </w:r>
      <w:r w:rsidR="00567A09">
        <w:t xml:space="preserve">CforAT, </w:t>
      </w:r>
      <w:r w:rsidR="00C549A7">
        <w:t>CUE</w:t>
      </w:r>
      <w:r w:rsidR="00067781">
        <w:t>, TURN/NRDC</w:t>
      </w:r>
      <w:r w:rsidR="002E3AE7">
        <w:t xml:space="preserve">, Sierra Club/CEJA, the Large Utilities, </w:t>
      </w:r>
      <w:r w:rsidR="00683566">
        <w:t xml:space="preserve">the </w:t>
      </w:r>
      <w:r w:rsidR="009509D6">
        <w:t>Small Utilities,</w:t>
      </w:r>
      <w:r w:rsidR="002E3AE7">
        <w:t xml:space="preserve"> </w:t>
      </w:r>
      <w:r w:rsidR="00903667">
        <w:t>PearlX</w:t>
      </w:r>
      <w:r w:rsidR="007C5C4D">
        <w:t xml:space="preserve">, Cal Advocates, </w:t>
      </w:r>
      <w:r w:rsidR="00720F80">
        <w:t xml:space="preserve">and </w:t>
      </w:r>
      <w:r w:rsidR="007D2481">
        <w:t>Alexis K. Wodtke</w:t>
      </w:r>
      <w:r w:rsidR="005E5B2C">
        <w:t>.</w:t>
      </w:r>
      <w:r w:rsidRPr="00C878D5" w:rsidR="005E5B2C">
        <w:t xml:space="preserve"> </w:t>
      </w:r>
    </w:p>
    <w:p w:rsidR="003171DD" w:rsidP="003171DD" w:rsidRDefault="00507A3B" w14:paraId="789112BB" w14:textId="1B77F975">
      <w:pPr>
        <w:pStyle w:val="Standard"/>
      </w:pPr>
      <w:r w:rsidRPr="00507A3B">
        <w:t xml:space="preserve">Pursuant to Rule 12.4(c), the Commission </w:t>
      </w:r>
      <w:r w:rsidR="003171DD">
        <w:t xml:space="preserve">may </w:t>
      </w:r>
      <w:r>
        <w:t xml:space="preserve">provide parties to a settlement agreement with a reasonable amount of time to elect to accept </w:t>
      </w:r>
      <w:r w:rsidR="003171DD">
        <w:t xml:space="preserve">alternative terms proposed by the Commission or request other relief. The modifications to the proposed settlement set forth in the proposed decision </w:t>
      </w:r>
      <w:r w:rsidR="003171DD">
        <w:lastRenderedPageBreak/>
        <w:t xml:space="preserve">constitute alternative terms. The parties to the </w:t>
      </w:r>
      <w:r>
        <w:t xml:space="preserve">Settlement Agreement </w:t>
      </w:r>
      <w:r w:rsidR="00CC0544">
        <w:t xml:space="preserve">had the opportunity to </w:t>
      </w:r>
      <w:r>
        <w:t xml:space="preserve">file </w:t>
      </w:r>
      <w:r w:rsidR="003171DD">
        <w:t>comments on the proposed decision to accept the modifications to the proposed settlement or request other relief.</w:t>
      </w:r>
      <w:r w:rsidR="00CC0544">
        <w:t xml:space="preserve"> </w:t>
      </w:r>
      <w:r w:rsidR="007D1A06">
        <w:t xml:space="preserve">The Small Utilities and Cal Advocates each filed </w:t>
      </w:r>
      <w:r w:rsidR="00DB6637">
        <w:t xml:space="preserve">opening </w:t>
      </w:r>
      <w:r w:rsidR="007D1A06">
        <w:t xml:space="preserve">comments </w:t>
      </w:r>
      <w:r w:rsidR="00DB6637">
        <w:t xml:space="preserve">on the proposed decision </w:t>
      </w:r>
      <w:r w:rsidR="007D1A06">
        <w:t xml:space="preserve">that </w:t>
      </w:r>
      <w:r w:rsidR="00E07A21">
        <w:t xml:space="preserve">generally </w:t>
      </w:r>
      <w:r w:rsidR="007D1A06">
        <w:t>supported adoption of the proposed decision</w:t>
      </w:r>
      <w:r w:rsidR="00A26F5D">
        <w:t xml:space="preserve"> and did not oppose the </w:t>
      </w:r>
      <w:r w:rsidR="001D2FF9">
        <w:t>modifications to the proposed settlement.</w:t>
      </w:r>
    </w:p>
    <w:p w:rsidR="005939A5" w:rsidP="00476643" w:rsidRDefault="005939A5" w14:paraId="453BC084" w14:textId="77777777">
      <w:pPr>
        <w:pStyle w:val="Heading1"/>
      </w:pPr>
      <w:bookmarkStart w:name="_Toc8123724" w:id="65"/>
      <w:bookmarkStart w:name="_Toc160790069" w:id="66"/>
      <w:r>
        <w:t>Assignment of Proceeding</w:t>
      </w:r>
      <w:bookmarkEnd w:id="65"/>
      <w:bookmarkEnd w:id="66"/>
    </w:p>
    <w:p w:rsidR="00400734" w:rsidP="00400734" w:rsidRDefault="00400734" w14:paraId="3B2C0111" w14:textId="5B830FB6">
      <w:pPr>
        <w:pStyle w:val="Standard"/>
      </w:pPr>
      <w:r>
        <w:t xml:space="preserve">President Alice Reynolds is the assigned Commissioner and Stephanie Wang is the assigned </w:t>
      </w:r>
      <w:r w:rsidR="004F7A0D">
        <w:t>ALJ</w:t>
      </w:r>
      <w:r>
        <w:t xml:space="preserve"> and Presiding Officer in this proceeding.</w:t>
      </w:r>
    </w:p>
    <w:p w:rsidR="005939A5" w:rsidP="005939A5" w:rsidRDefault="005939A5" w14:paraId="03BB5B45" w14:textId="77777777">
      <w:pPr>
        <w:pStyle w:val="Dummy"/>
      </w:pPr>
      <w:bookmarkStart w:name="_Toc8123725" w:id="67"/>
      <w:bookmarkStart w:name="_Toc160790070" w:id="68"/>
      <w:r>
        <w:t>Findings of Fact</w:t>
      </w:r>
      <w:bookmarkEnd w:id="67"/>
      <w:bookmarkEnd w:id="68"/>
    </w:p>
    <w:p w:rsidRPr="00521DCF" w:rsidR="009A4635" w:rsidP="00521DCF" w:rsidRDefault="009A4635" w14:paraId="1D181052" w14:textId="77777777">
      <w:pPr>
        <w:pStyle w:val="FoF"/>
      </w:pPr>
      <w:r w:rsidRPr="00521DCF">
        <w:t>California has not conducted pilots of income-graduated fixed charges for residential rates.</w:t>
      </w:r>
    </w:p>
    <w:p w:rsidRPr="009A4635" w:rsidR="009A4635" w:rsidP="00521DCF" w:rsidRDefault="009A4635" w14:paraId="3F36D103" w14:textId="77777777">
      <w:pPr>
        <w:pStyle w:val="FoF"/>
      </w:pPr>
      <w:r w:rsidRPr="009A4635">
        <w:t>The Franchise Tax Board cannot share income data or confirm self-reported income data without a taxpayer’s written consent.</w:t>
      </w:r>
    </w:p>
    <w:p w:rsidRPr="009A4635" w:rsidR="009A4635" w:rsidP="00521DCF" w:rsidRDefault="009A4635" w14:paraId="34FD34E9" w14:textId="77777777">
      <w:pPr>
        <w:pStyle w:val="FoF"/>
      </w:pPr>
      <w:r w:rsidRPr="009A4635">
        <w:t>California agencies have used The Work Number as a tool for verifying incomes for low-income assistance programs but have not used it to determine whether customers have higher incomes based on salaries, wages, or investments.</w:t>
      </w:r>
    </w:p>
    <w:p w:rsidRPr="009A4635" w:rsidR="009A4635" w:rsidP="00521DCF" w:rsidRDefault="009A4635" w14:paraId="70E399CC" w14:textId="55BA8C85">
      <w:pPr>
        <w:pStyle w:val="FoF"/>
      </w:pPr>
      <w:r w:rsidRPr="009A4635">
        <w:t>In 2019, the Large Utilities’ estimated rates of enrollment of eligible customers in the CARE and FERA programs were as follows: PG&amp;E (95</w:t>
      </w:r>
      <w:r w:rsidR="00C1241D">
        <w:t xml:space="preserve"> percent</w:t>
      </w:r>
      <w:r w:rsidRPr="009A4635">
        <w:t xml:space="preserve"> CARE, 13</w:t>
      </w:r>
      <w:r w:rsidR="00C1241D">
        <w:t xml:space="preserve"> percent</w:t>
      </w:r>
      <w:r w:rsidRPr="009A4635">
        <w:t xml:space="preserve"> FERA), SCE (88</w:t>
      </w:r>
      <w:r w:rsidR="00C1241D">
        <w:t xml:space="preserve"> percent</w:t>
      </w:r>
      <w:r w:rsidRPr="009A4635">
        <w:t xml:space="preserve"> CARE, 10</w:t>
      </w:r>
      <w:r w:rsidR="00C1241D">
        <w:t xml:space="preserve"> percent</w:t>
      </w:r>
      <w:r w:rsidRPr="009A4635">
        <w:t xml:space="preserve"> FERA), SDG&amp;E (93</w:t>
      </w:r>
      <w:r w:rsidR="002812BB">
        <w:t> </w:t>
      </w:r>
      <w:r w:rsidR="00C1241D">
        <w:t>percent</w:t>
      </w:r>
      <w:r w:rsidRPr="009A4635">
        <w:t xml:space="preserve"> CARE, 20</w:t>
      </w:r>
      <w:r w:rsidR="00C1241D">
        <w:t xml:space="preserve"> percent</w:t>
      </w:r>
      <w:r w:rsidRPr="009A4635">
        <w:t xml:space="preserve"> FERA). </w:t>
      </w:r>
    </w:p>
    <w:p w:rsidRPr="009A4635" w:rsidR="009A4635" w:rsidP="00521DCF" w:rsidRDefault="009A4635" w14:paraId="66900811" w14:textId="77777777">
      <w:pPr>
        <w:pStyle w:val="FoF"/>
      </w:pPr>
      <w:r w:rsidRPr="009A4635">
        <w:t>The Large Utilities together serve approximately 10.8 million residential customers.</w:t>
      </w:r>
    </w:p>
    <w:p w:rsidRPr="009A4635" w:rsidR="009A4635" w:rsidP="00521DCF" w:rsidRDefault="009A4635" w14:paraId="3E924FD0" w14:textId="77777777">
      <w:pPr>
        <w:pStyle w:val="FoF"/>
      </w:pPr>
      <w:r w:rsidRPr="009A4635">
        <w:lastRenderedPageBreak/>
        <w:t>The Commission needs additional time to consider the feasibility, cost, and administrative burdens of new processes for verifying the incomes of moderate- or high-income customers.</w:t>
      </w:r>
    </w:p>
    <w:p w:rsidRPr="009A4635" w:rsidR="009A4635" w:rsidP="00521DCF" w:rsidRDefault="009A4635" w14:paraId="0E0CBE06" w14:textId="557B005D">
      <w:pPr>
        <w:pStyle w:val="FoF"/>
      </w:pPr>
      <w:r w:rsidRPr="009A4635">
        <w:t>Around 1</w:t>
      </w:r>
      <w:r w:rsidR="00C1241D">
        <w:t xml:space="preserve"> percent</w:t>
      </w:r>
      <w:r w:rsidRPr="009A4635">
        <w:t xml:space="preserve"> of the Large Utilities’ residential customers are enrolled in FERA programs.</w:t>
      </w:r>
    </w:p>
    <w:p w:rsidRPr="009A4635" w:rsidR="009A4635" w:rsidP="00521DCF" w:rsidRDefault="009A4635" w14:paraId="19E2AF65" w14:textId="77777777">
      <w:pPr>
        <w:pStyle w:val="FoF"/>
      </w:pPr>
      <w:r w:rsidRPr="009A4635">
        <w:t>There were over 527,000 government-subsidized affordable rental homes in California as of January 2023.</w:t>
      </w:r>
    </w:p>
    <w:p w:rsidRPr="009A4635" w:rsidR="009A4635" w:rsidP="00521DCF" w:rsidRDefault="009A4635" w14:paraId="286F668C" w14:textId="258A4DE4">
      <w:pPr>
        <w:pStyle w:val="FoF"/>
      </w:pPr>
      <w:r w:rsidRPr="009A4635">
        <w:t xml:space="preserve">The Sacramento Municipal Utility District </w:t>
      </w:r>
      <w:r w:rsidR="00FA4197">
        <w:t xml:space="preserve">currently </w:t>
      </w:r>
      <w:r w:rsidRPr="009A4635">
        <w:t xml:space="preserve">assesses a default residential fixed charge of $24.15 per month and a low-income residential fixed charge of $14.15 per month.  </w:t>
      </w:r>
    </w:p>
    <w:p w:rsidRPr="009A4635" w:rsidR="009A4635" w:rsidP="00521DCF" w:rsidRDefault="009A4635" w14:paraId="54BDCCD2" w14:textId="37C56646">
      <w:pPr>
        <w:pStyle w:val="FoF"/>
      </w:pPr>
      <w:r w:rsidRPr="009A4635">
        <w:t xml:space="preserve">The following electric utility cost categories are fixed costs: Marginal Customer Access Costs, Public Purpose Program non-bypassable charges, New System Generation </w:t>
      </w:r>
      <w:r w:rsidRPr="009A4635" w:rsidR="005C5897">
        <w:t>charges</w:t>
      </w:r>
      <w:r w:rsidRPr="009A4635">
        <w:t>, Local Generation charges, and Nuclear Decommissioning non-bypassable charges.</w:t>
      </w:r>
    </w:p>
    <w:p w:rsidRPr="009A4635" w:rsidR="009A4635" w:rsidP="00521DCF" w:rsidRDefault="00FA4197" w14:paraId="10676477" w14:textId="761ACA6E">
      <w:pPr>
        <w:pStyle w:val="FoF"/>
      </w:pPr>
      <w:r>
        <w:t>T</w:t>
      </w:r>
      <w:r w:rsidRPr="00FA4197">
        <w:t xml:space="preserve">he Public Tool estimated that </w:t>
      </w:r>
      <w:r w:rsidR="00C80AFA">
        <w:t xml:space="preserve">a </w:t>
      </w:r>
      <w:r w:rsidRPr="00FA4197">
        <w:t xml:space="preserve">Tier 1 fixed charge of $6.00 per month paired with a Tier 3 fixed charge of $24.15 and a Tier 2 fixed charge of $12.08 would comply with the AB 205 requirement to lower the average monthly bill for </w:t>
      </w:r>
      <w:r w:rsidR="003C78AE">
        <w:t>a</w:t>
      </w:r>
      <w:r w:rsidRPr="00FA4197">
        <w:t xml:space="preserve"> low-income ratepayer</w:t>
      </w:r>
      <w:r w:rsidR="003C78AE">
        <w:t xml:space="preserve"> with </w:t>
      </w:r>
      <w:r w:rsidRPr="003C78AE" w:rsidR="003C78AE">
        <w:t>average electricity usage</w:t>
      </w:r>
      <w:r w:rsidRPr="00FA4197">
        <w:t xml:space="preserve"> in each baseline territory of each of the Large Utilities without making any changes to usage</w:t>
      </w:r>
      <w:bookmarkStart w:name="_Hlk159582492" w:id="69"/>
      <w:r w:rsidRPr="009A4635" w:rsidR="005C5897">
        <w:t>.</w:t>
      </w:r>
      <w:bookmarkEnd w:id="69"/>
    </w:p>
    <w:p w:rsidRPr="009A4635" w:rsidR="009A4635" w:rsidP="00521DCF" w:rsidRDefault="009A4635" w14:paraId="6985EA57" w14:textId="2D1125DD">
      <w:pPr>
        <w:pStyle w:val="FoF"/>
      </w:pPr>
      <w:r w:rsidRPr="009A4635">
        <w:t>The Commission needs additional information about how electric utilities can identify large and small customers for purposes of complying with Section</w:t>
      </w:r>
      <w:r w:rsidR="003762A0">
        <w:t> </w:t>
      </w:r>
      <w:r w:rsidRPr="009A4635">
        <w:t xml:space="preserve">739.9(d)(1) of the Pub. Util. Code. </w:t>
      </w:r>
    </w:p>
    <w:p w:rsidRPr="009A4635" w:rsidR="009A4635" w:rsidP="00521DCF" w:rsidRDefault="009A4635" w14:paraId="1DFAC017" w14:textId="53520ECC">
      <w:pPr>
        <w:pStyle w:val="FoF"/>
      </w:pPr>
      <w:r w:rsidRPr="009A4635">
        <w:t xml:space="preserve">The </w:t>
      </w:r>
      <w:r w:rsidR="00D3733A">
        <w:t xml:space="preserve">Large Utilities’ </w:t>
      </w:r>
      <w:r w:rsidRPr="009A4635">
        <w:t>income-graduated fixed charges adopted by this decision do not unreasonably impair incentives for conservation or energy efficiency when applied to volumetric rates equally during all hours of the day.</w:t>
      </w:r>
    </w:p>
    <w:p w:rsidRPr="009A4635" w:rsidR="009A4635" w:rsidP="00521DCF" w:rsidRDefault="009A4635" w14:paraId="41E36EA0" w14:textId="23824BD4">
      <w:pPr>
        <w:pStyle w:val="FoF"/>
      </w:pPr>
      <w:r w:rsidRPr="009A4635">
        <w:lastRenderedPageBreak/>
        <w:t>SCE and SDG&amp;E can</w:t>
      </w:r>
      <w:r w:rsidR="00D3733A">
        <w:t xml:space="preserve"> begin to</w:t>
      </w:r>
      <w:r w:rsidRPr="009A4635">
        <w:t xml:space="preserve"> implement income-graduated fixed charges for its customers by the third quarter of 2025.</w:t>
      </w:r>
    </w:p>
    <w:p w:rsidRPr="009A4635" w:rsidR="009A4635" w:rsidP="00521DCF" w:rsidRDefault="009A4635" w14:paraId="4D17C58B" w14:textId="005EFFE4">
      <w:pPr>
        <w:pStyle w:val="FoF"/>
      </w:pPr>
      <w:r w:rsidRPr="009A4635">
        <w:t>Around 98.2</w:t>
      </w:r>
      <w:r w:rsidR="00C1241D">
        <w:t xml:space="preserve"> percent</w:t>
      </w:r>
      <w:r w:rsidRPr="009A4635">
        <w:t xml:space="preserve"> of PG&amp;E’s residential customers are served by its current primary billing system.</w:t>
      </w:r>
    </w:p>
    <w:p w:rsidRPr="009A4635" w:rsidR="009A4635" w:rsidP="00521DCF" w:rsidRDefault="009A4635" w14:paraId="24024209" w14:textId="5FC2AA80">
      <w:pPr>
        <w:pStyle w:val="FoF"/>
      </w:pPr>
      <w:r w:rsidRPr="009A4635">
        <w:t>Around 1.8</w:t>
      </w:r>
      <w:r w:rsidR="00C1241D">
        <w:t xml:space="preserve"> percent</w:t>
      </w:r>
      <w:r w:rsidRPr="009A4635">
        <w:t xml:space="preserve"> of PG&amp;E’s residential customers are currently billed through an unstable legacy billing system.</w:t>
      </w:r>
    </w:p>
    <w:p w:rsidRPr="009A4635" w:rsidR="009A4635" w:rsidP="00521DCF" w:rsidRDefault="009A4635" w14:paraId="05AC1343" w14:textId="63840823">
      <w:pPr>
        <w:pStyle w:val="FoF"/>
      </w:pPr>
      <w:r w:rsidRPr="009A4635">
        <w:t xml:space="preserve">PG&amp;E can </w:t>
      </w:r>
      <w:r w:rsidR="007125CC">
        <w:t xml:space="preserve">begin to </w:t>
      </w:r>
      <w:r w:rsidRPr="009A4635">
        <w:t>implement income-graduated fixed charges for its customers on its primary billing system by the first quarter of 2026.</w:t>
      </w:r>
    </w:p>
    <w:p w:rsidRPr="009A4635" w:rsidR="009A4635" w:rsidP="00521DCF" w:rsidRDefault="009A4635" w14:paraId="356BA976" w14:textId="61B55248">
      <w:pPr>
        <w:pStyle w:val="FoF"/>
      </w:pPr>
      <w:r w:rsidRPr="009A4635">
        <w:t>PG&amp;E needs additional time to evaluate options for applying income-graduated fixed charges to the residential customers on its unstable legacy billing system.</w:t>
      </w:r>
    </w:p>
    <w:p w:rsidRPr="009A4635" w:rsidR="009A4635" w:rsidP="00521DCF" w:rsidRDefault="009A4635" w14:paraId="7E50EF93" w14:textId="595563E6">
      <w:pPr>
        <w:pStyle w:val="FoF"/>
      </w:pPr>
      <w:r w:rsidRPr="009A4635">
        <w:t xml:space="preserve">ME&amp;O is necessary to enable customer understanding of the </w:t>
      </w:r>
      <w:r w:rsidR="00046D84">
        <w:t xml:space="preserve">Large Utilities’ </w:t>
      </w:r>
      <w:r w:rsidRPr="009A4635">
        <w:t>income-graduated fixed charges.</w:t>
      </w:r>
    </w:p>
    <w:p w:rsidRPr="009A4635" w:rsidR="009A4635" w:rsidP="00521DCF" w:rsidRDefault="009A4635" w14:paraId="0203E732" w14:textId="64CE4B37">
      <w:pPr>
        <w:pStyle w:val="FoF"/>
      </w:pPr>
      <w:r w:rsidRPr="009A4635">
        <w:t xml:space="preserve">The adopted timeline for implementing the </w:t>
      </w:r>
      <w:r w:rsidR="007125CC">
        <w:t xml:space="preserve">Large Utilities’ </w:t>
      </w:r>
      <w:r w:rsidRPr="009A4635">
        <w:t>income-graduated fixed charges is sufficient to promote customer understanding.</w:t>
      </w:r>
    </w:p>
    <w:p w:rsidRPr="009A4635" w:rsidR="009A4635" w:rsidP="00521DCF" w:rsidRDefault="009A4635" w14:paraId="6AC92854" w14:textId="77777777">
      <w:pPr>
        <w:pStyle w:val="FoF"/>
      </w:pPr>
      <w:r w:rsidRPr="009A4635">
        <w:t>The parties to the Settlement Agreement did not represent the interests of all affected stakeholders.</w:t>
      </w:r>
    </w:p>
    <w:p w:rsidRPr="009A4635" w:rsidR="009A4635" w:rsidP="00521DCF" w:rsidRDefault="009A4635" w14:paraId="421CFD14" w14:textId="77777777">
      <w:pPr>
        <w:pStyle w:val="FoF"/>
      </w:pPr>
      <w:r w:rsidRPr="009A4635">
        <w:t>The Settlement Agreement did not address the contested issue of which specific cost categories within the Small Utilities’ base revenue costs are fixed costs that may be recovered through a fixed charge in accordance with AB 205.</w:t>
      </w:r>
    </w:p>
    <w:p w:rsidRPr="009A4635" w:rsidR="009A4635" w:rsidP="00521DCF" w:rsidRDefault="009A4635" w14:paraId="6D25BBA9" w14:textId="77777777">
      <w:pPr>
        <w:pStyle w:val="FoF"/>
      </w:pPr>
      <w:r w:rsidRPr="009A4635">
        <w:t>The Small Utilities do not administer FERA programs.</w:t>
      </w:r>
    </w:p>
    <w:p w:rsidRPr="009A4635" w:rsidR="009A4635" w:rsidP="00521DCF" w:rsidRDefault="009A4635" w14:paraId="5B9D229A" w14:textId="77777777">
      <w:pPr>
        <w:pStyle w:val="FoF"/>
      </w:pPr>
      <w:r w:rsidRPr="009A4635">
        <w:t>The CARE program is the only program that the Small Utilities currently use to identify customers as low-income for monthly billing purposes.</w:t>
      </w:r>
    </w:p>
    <w:p w:rsidR="00621F77" w:rsidP="00521DCF" w:rsidRDefault="00621F77" w14:paraId="21E38713" w14:textId="31446FF8">
      <w:pPr>
        <w:pStyle w:val="FoF"/>
      </w:pPr>
      <w:r>
        <w:t>The record of this proceeding is not sufficient to</w:t>
      </w:r>
      <w:r w:rsidRPr="00621F77">
        <w:t xml:space="preserve"> determine which portion of Bear Valley’s General Rate Case Revenue Requirement Memorandum Account costs are fixed costs</w:t>
      </w:r>
      <w:r w:rsidR="00291A9E">
        <w:t xml:space="preserve"> that may be recovered through a fixed charge</w:t>
      </w:r>
      <w:r w:rsidRPr="00621F77">
        <w:t>.</w:t>
      </w:r>
    </w:p>
    <w:p w:rsidRPr="009A4635" w:rsidR="009A4635" w:rsidP="00521DCF" w:rsidRDefault="009A4635" w14:paraId="3645507A" w14:textId="41C0F0D2">
      <w:pPr>
        <w:pStyle w:val="FoF"/>
      </w:pPr>
      <w:r w:rsidRPr="009A4635">
        <w:lastRenderedPageBreak/>
        <w:t>The record of this proceeding is not sufficient to determine which portion of Small Utilities’ base revenues are fixed costs that may be recovered through a fixed charge.</w:t>
      </w:r>
    </w:p>
    <w:p w:rsidRPr="004552BF" w:rsidR="00E30F43" w:rsidP="00521DCF" w:rsidRDefault="009A4635" w14:paraId="631A8C29" w14:textId="2E4897F5">
      <w:pPr>
        <w:pStyle w:val="FoF"/>
      </w:pPr>
      <w:r w:rsidRPr="009A4635">
        <w:t>The Small Utilities each have fewer than 100,000 customer accounts in California.</w:t>
      </w:r>
    </w:p>
    <w:p w:rsidR="005939A5" w:rsidP="005939A5" w:rsidRDefault="005939A5" w14:paraId="2DBC2FB4" w14:textId="77777777">
      <w:pPr>
        <w:pStyle w:val="Dummy"/>
      </w:pPr>
      <w:bookmarkStart w:name="_Toc8123726" w:id="70"/>
      <w:bookmarkStart w:name="_Toc160790071" w:id="71"/>
      <w:r>
        <w:t>Conclusions of Law</w:t>
      </w:r>
      <w:bookmarkEnd w:id="70"/>
      <w:bookmarkEnd w:id="71"/>
    </w:p>
    <w:p w:rsidRPr="00FB205F" w:rsidR="00632125" w:rsidP="00521DCF" w:rsidRDefault="0098599B" w14:paraId="042DDBFF" w14:textId="40E1D179">
      <w:pPr>
        <w:pStyle w:val="FoF"/>
        <w:numPr>
          <w:ilvl w:val="0"/>
          <w:numId w:val="24"/>
        </w:numPr>
      </w:pPr>
      <w:r w:rsidRPr="00FB205F">
        <w:t>For purposes of Section 739.9(e)</w:t>
      </w:r>
      <w:r w:rsidR="00AF7225">
        <w:t xml:space="preserve"> of the Pub. Util. Code</w:t>
      </w:r>
      <w:r w:rsidRPr="00FB205F">
        <w:t xml:space="preserve">, </w:t>
      </w:r>
      <w:r w:rsidRPr="00FB205F" w:rsidR="00BA2433">
        <w:t xml:space="preserve">it is reasonable to interpret </w:t>
      </w:r>
      <w:r w:rsidRPr="00FB205F">
        <w:t xml:space="preserve">a “fixed charge” </w:t>
      </w:r>
      <w:r w:rsidRPr="00FB205F" w:rsidR="005A4669">
        <w:t xml:space="preserve">as </w:t>
      </w:r>
      <w:r w:rsidRPr="00FB205F">
        <w:t>mean</w:t>
      </w:r>
      <w:r w:rsidRPr="00FB205F" w:rsidR="005A4669">
        <w:t>ing</w:t>
      </w:r>
      <w:r w:rsidRPr="00FB205F">
        <w:t xml:space="preserve"> any fixed customer charge, basic service fee, demand differentiated basic service fee, or non-volumetric charge that applies based on demand or the mere existence of a customer account.</w:t>
      </w:r>
    </w:p>
    <w:p w:rsidR="0098599B" w:rsidP="00521DCF" w:rsidRDefault="0098599B" w14:paraId="6C3A7BEC" w14:textId="1C3B2F2F">
      <w:pPr>
        <w:pStyle w:val="FoF"/>
      </w:pPr>
      <w:r>
        <w:t>It is reasonable for a bundle of fixed charges to collectively comply with the requirements of Section 739.9(e)</w:t>
      </w:r>
      <w:r w:rsidR="00AF7225">
        <w:t xml:space="preserve"> </w:t>
      </w:r>
      <w:r w:rsidRPr="00AF7225" w:rsidR="00AF7225">
        <w:t>of the Pub. Util. Code</w:t>
      </w:r>
      <w:r>
        <w:t>.</w:t>
      </w:r>
    </w:p>
    <w:p w:rsidR="0098599B" w:rsidP="00521DCF" w:rsidRDefault="0098599B" w14:paraId="1AB0F569" w14:textId="21935CE6">
      <w:pPr>
        <w:pStyle w:val="FoF"/>
      </w:pPr>
      <w:r>
        <w:t>It is reasonable to define “customer” for purposes of Section 739.9</w:t>
      </w:r>
      <w:r w:rsidRPr="00AF7225" w:rsidR="00AF7225">
        <w:t xml:space="preserve"> of the Pub. Util. Code</w:t>
      </w:r>
      <w:r>
        <w:t xml:space="preserve"> as all persons residing in one </w:t>
      </w:r>
      <w:r w:rsidR="005C6145">
        <w:t xml:space="preserve">dwelling </w:t>
      </w:r>
      <w:r>
        <w:t>and served by the same electric meter.</w:t>
      </w:r>
    </w:p>
    <w:p w:rsidR="0098599B" w:rsidP="00521DCF" w:rsidRDefault="0098599B" w14:paraId="11C38D8C" w14:textId="77777777">
      <w:pPr>
        <w:pStyle w:val="FoF"/>
      </w:pPr>
      <w:r>
        <w:t>It is reasonable for an income-graduated fixed charge to include a minimum of three income tiers.</w:t>
      </w:r>
    </w:p>
    <w:p w:rsidR="0098599B" w:rsidP="00521DCF" w:rsidRDefault="0098599B" w14:paraId="1619E384" w14:textId="3DFDAEC3">
      <w:pPr>
        <w:pStyle w:val="FoF"/>
      </w:pPr>
      <w:r>
        <w:t>It is reasonable to define a low-income ratepayer for purposes of designing an income-graduated fixed charge as a customer with a household income at or below 200</w:t>
      </w:r>
      <w:r w:rsidR="00C1241D">
        <w:t xml:space="preserve"> percent</w:t>
      </w:r>
      <w:r>
        <w:t xml:space="preserve"> of the Federal Poverty Guidelines level applicable to that household under the CARE program.</w:t>
      </w:r>
    </w:p>
    <w:p w:rsidR="0098599B" w:rsidP="00521DCF" w:rsidRDefault="0098599B" w14:paraId="7A3A0682" w14:textId="51940FDB">
      <w:pPr>
        <w:pStyle w:val="FoF"/>
      </w:pPr>
      <w:r>
        <w:t xml:space="preserve">It is reasonable to adopt a fixed charge that lowers the average monthly bill for </w:t>
      </w:r>
      <w:r w:rsidR="003C78AE">
        <w:t>a</w:t>
      </w:r>
      <w:r>
        <w:t xml:space="preserve"> low-income ratepayer </w:t>
      </w:r>
      <w:r w:rsidRPr="003C78AE" w:rsidR="003C78AE">
        <w:t xml:space="preserve">with average electricity usage </w:t>
      </w:r>
      <w:r>
        <w:t>in each baseline territory without making any changes to usage.</w:t>
      </w:r>
    </w:p>
    <w:p w:rsidR="0098599B" w:rsidP="00521DCF" w:rsidRDefault="0098599B" w14:paraId="1F1894FA" w14:textId="21913B78">
      <w:pPr>
        <w:pStyle w:val="FoF"/>
      </w:pPr>
      <w:r>
        <w:lastRenderedPageBreak/>
        <w:t xml:space="preserve">It is reasonable to define fixed costs as costs that do not directly vary based on </w:t>
      </w:r>
      <w:r w:rsidRPr="00A1450E" w:rsidR="00A1450E">
        <w:t>the</w:t>
      </w:r>
      <w:r>
        <w:t xml:space="preserve"> electricity </w:t>
      </w:r>
      <w:r w:rsidRPr="00A1450E" w:rsidR="00A1450E">
        <w:t>usage of the</w:t>
      </w:r>
      <w:r>
        <w:t xml:space="preserve"> customer </w:t>
      </w:r>
      <w:r w:rsidRPr="00A1450E" w:rsidR="00A1450E">
        <w:t>from whom the revenue is being collected</w:t>
      </w:r>
      <w:r>
        <w:t>.</w:t>
      </w:r>
    </w:p>
    <w:p w:rsidR="0098599B" w:rsidP="00521DCF" w:rsidRDefault="0098599B" w14:paraId="0D17F618" w14:textId="77777777">
      <w:pPr>
        <w:pStyle w:val="FoF"/>
      </w:pPr>
      <w:r>
        <w:t>Only</w:t>
      </w:r>
      <w:r w:rsidRPr="00BF1166">
        <w:t xml:space="preserve"> fixed costs </w:t>
      </w:r>
      <w:r>
        <w:t xml:space="preserve">may be recovered </w:t>
      </w:r>
      <w:r w:rsidRPr="00BF1166">
        <w:t>through a</w:t>
      </w:r>
      <w:r>
        <w:t>n income-graduated</w:t>
      </w:r>
      <w:r w:rsidRPr="00BF1166">
        <w:t xml:space="preserve"> fixed charge.</w:t>
      </w:r>
    </w:p>
    <w:p w:rsidR="0098599B" w:rsidP="00521DCF" w:rsidRDefault="0098599B" w14:paraId="6B489DD4" w14:textId="77777777">
      <w:pPr>
        <w:pStyle w:val="FoF"/>
      </w:pPr>
      <w:r>
        <w:t>It is reasonable to prohibit the use of the composite tier methodology for any revenues resulting from a fixed charge.</w:t>
      </w:r>
    </w:p>
    <w:p w:rsidR="0098599B" w:rsidP="00521DCF" w:rsidRDefault="0098599B" w14:paraId="5BDBC72C" w14:textId="7EC41FA7">
      <w:pPr>
        <w:pStyle w:val="FoF"/>
      </w:pPr>
      <w:r>
        <w:t>The income-graduated fixed charge revenues should be applied to each usage tier proportionally to ensure that the ratio between the usage tier 2 and the usage tier 1 volumetric rates are maintained at the required level.</w:t>
      </w:r>
    </w:p>
    <w:p w:rsidR="0098599B" w:rsidP="00521DCF" w:rsidRDefault="0098599B" w14:paraId="1974D840" w14:textId="2DF9590C">
      <w:pPr>
        <w:pStyle w:val="FoF"/>
      </w:pPr>
      <w:r>
        <w:t>It is reasonable to adopt the following process for the Large Utilities to calculate and apply CARE discounts</w:t>
      </w:r>
      <w:r w:rsidR="003C219C">
        <w:t xml:space="preserve">, </w:t>
      </w:r>
      <w:r w:rsidRPr="003C219C" w:rsidR="003C219C">
        <w:t>provided that the fourth step will not take effect until income-graduated fixed charges are implemented</w:t>
      </w:r>
      <w:r>
        <w:t xml:space="preserve">: </w:t>
      </w:r>
    </w:p>
    <w:p w:rsidR="0098599B" w:rsidP="00544A7B" w:rsidRDefault="0098599B" w14:paraId="3298CCFE" w14:textId="77777777">
      <w:pPr>
        <w:pStyle w:val="FoF"/>
        <w:numPr>
          <w:ilvl w:val="1"/>
          <w:numId w:val="6"/>
        </w:numPr>
        <w:spacing w:before="120" w:after="120" w:line="240" w:lineRule="auto"/>
        <w:ind w:right="1080"/>
      </w:pPr>
      <w:r>
        <w:t>First, calculate the total revenues for CARE customers that would have been produced for the same billed usage by non-CARE customers;</w:t>
      </w:r>
    </w:p>
    <w:p w:rsidR="0098599B" w:rsidP="00544A7B" w:rsidRDefault="0098599B" w14:paraId="2AFCF987" w14:textId="77777777">
      <w:pPr>
        <w:pStyle w:val="FoF"/>
        <w:numPr>
          <w:ilvl w:val="1"/>
          <w:numId w:val="6"/>
        </w:numPr>
        <w:spacing w:before="120" w:after="120" w:line="240" w:lineRule="auto"/>
        <w:ind w:right="1080"/>
      </w:pPr>
      <w:r>
        <w:t>Second, remove from the total revenues all of the charges that CARE customers are exempt from and all rate and charge discounts that CARE customers receive, excluding discounts on income-graduated fixed charges;</w:t>
      </w:r>
    </w:p>
    <w:p w:rsidR="0098599B" w:rsidP="00544A7B" w:rsidRDefault="0098599B" w14:paraId="45FD6DEF" w14:textId="548475E7">
      <w:pPr>
        <w:pStyle w:val="FoF"/>
        <w:numPr>
          <w:ilvl w:val="1"/>
          <w:numId w:val="6"/>
        </w:numPr>
        <w:spacing w:before="120" w:after="120" w:line="240" w:lineRule="auto"/>
        <w:ind w:right="1080"/>
      </w:pPr>
      <w:r>
        <w:t>Third, apply the applicable CARE discount rate (</w:t>
      </w:r>
      <w:r w:rsidR="00BD4C46">
        <w:t xml:space="preserve">between </w:t>
      </w:r>
      <w:r>
        <w:t>30</w:t>
      </w:r>
      <w:r w:rsidR="00C1241D">
        <w:t xml:space="preserve"> </w:t>
      </w:r>
      <w:r w:rsidR="00BD4C46">
        <w:t>and</w:t>
      </w:r>
      <w:r w:rsidR="00FB205F">
        <w:t xml:space="preserve"> </w:t>
      </w:r>
      <w:r>
        <w:t>35</w:t>
      </w:r>
      <w:r w:rsidR="002812BB">
        <w:t> </w:t>
      </w:r>
      <w:r w:rsidR="00C1241D">
        <w:t>percent</w:t>
      </w:r>
      <w:r>
        <w:t xml:space="preserve">) to the volumetric and fixed components of the rate; </w:t>
      </w:r>
    </w:p>
    <w:p w:rsidR="0098599B" w:rsidP="00544A7B" w:rsidRDefault="0098599B" w14:paraId="266F4504" w14:textId="77777777">
      <w:pPr>
        <w:pStyle w:val="FoF"/>
        <w:numPr>
          <w:ilvl w:val="1"/>
          <w:numId w:val="6"/>
        </w:numPr>
        <w:spacing w:before="120" w:after="120" w:line="240" w:lineRule="auto"/>
        <w:ind w:right="1080"/>
      </w:pPr>
      <w:r>
        <w:t xml:space="preserve">Fourth, apply any remaining discount to CARE customers’ fixed charge that is needed to achieve the required income-graduated fixed charge for CARE customers (note that this additional discount will not be funded by the CARE program, but will instead be funded by income-graduated fixed charge revenues collected from higher income tiers and is thus incremental to the CARE discount); and </w:t>
      </w:r>
    </w:p>
    <w:p w:rsidR="0098599B" w:rsidP="00544A7B" w:rsidRDefault="0098599B" w14:paraId="15B7601B" w14:textId="77777777">
      <w:pPr>
        <w:pStyle w:val="FoF"/>
        <w:numPr>
          <w:ilvl w:val="1"/>
          <w:numId w:val="6"/>
        </w:numPr>
        <w:spacing w:before="120" w:after="120" w:line="240" w:lineRule="auto"/>
        <w:ind w:right="1080"/>
      </w:pPr>
      <w:r>
        <w:lastRenderedPageBreak/>
        <w:t>Finally, allocate the CARE discount budget for collection on an equal cents per kWh basis.</w:t>
      </w:r>
    </w:p>
    <w:p w:rsidR="0098599B" w:rsidP="00521DCF" w:rsidRDefault="0098599B" w14:paraId="36EEA162" w14:textId="21AA94D9">
      <w:pPr>
        <w:pStyle w:val="FoF"/>
      </w:pPr>
      <w:r>
        <w:t>It is reasonable to direct each of the Large Utilities</w:t>
      </w:r>
      <w:r w:rsidR="00B325A1">
        <w:t xml:space="preserve"> and the Small Utilities</w:t>
      </w:r>
      <w:r>
        <w:t xml:space="preserve"> to file a Tier 3 advice letter to implement income-graduated fixed charges.</w:t>
      </w:r>
    </w:p>
    <w:p w:rsidR="0098599B" w:rsidP="00521DCF" w:rsidRDefault="0098599B" w14:paraId="7BB20191" w14:textId="24536966">
      <w:pPr>
        <w:pStyle w:val="FoF"/>
      </w:pPr>
      <w:r>
        <w:t>It is reasonable for the income-graduated fixed charges</w:t>
      </w:r>
      <w:r w:rsidR="00D1135C">
        <w:t xml:space="preserve"> </w:t>
      </w:r>
      <w:r w:rsidR="00194958">
        <w:t>authorized by</w:t>
      </w:r>
      <w:r w:rsidR="00D1135C">
        <w:t xml:space="preserve"> this decision</w:t>
      </w:r>
      <w:r>
        <w:t xml:space="preserve"> to rely on utilities’ existing CARE and FERA income verification processes.</w:t>
      </w:r>
    </w:p>
    <w:p w:rsidR="0098599B" w:rsidP="00521DCF" w:rsidRDefault="0098599B" w14:paraId="76F31720" w14:textId="6EFB69E7">
      <w:pPr>
        <w:pStyle w:val="FoF"/>
      </w:pPr>
      <w:r>
        <w:t xml:space="preserve">It is reasonable to establish </w:t>
      </w:r>
      <w:r w:rsidR="00890B94">
        <w:t>a Process</w:t>
      </w:r>
      <w:r>
        <w:t xml:space="preserve"> Working Group to develop </w:t>
      </w:r>
      <w:r w:rsidR="00890B94">
        <w:t>a Process</w:t>
      </w:r>
      <w:r w:rsidRPr="00AC26FE" w:rsidR="00AC26FE">
        <w:t xml:space="preserve"> </w:t>
      </w:r>
      <w:r>
        <w:t xml:space="preserve">Working Group Proposal with the following components: </w:t>
      </w:r>
    </w:p>
    <w:p w:rsidR="0098599B" w:rsidP="00544A7B" w:rsidRDefault="0098599B" w14:paraId="66CB25C7" w14:textId="77777777">
      <w:pPr>
        <w:pStyle w:val="FoF"/>
        <w:numPr>
          <w:ilvl w:val="1"/>
          <w:numId w:val="6"/>
        </w:numPr>
        <w:spacing w:before="120" w:after="120" w:line="240" w:lineRule="auto"/>
        <w:ind w:right="1080"/>
      </w:pPr>
      <w:r>
        <w:t>An overview of existing income verification processes and alternatives to income verification used for moderate- and higher-income customers in California and other states;</w:t>
      </w:r>
    </w:p>
    <w:p w:rsidR="0098599B" w:rsidP="00544A7B" w:rsidRDefault="0098599B" w14:paraId="1A752693" w14:textId="31D69336">
      <w:pPr>
        <w:pStyle w:val="FoF"/>
        <w:numPr>
          <w:ilvl w:val="1"/>
          <w:numId w:val="6"/>
        </w:numPr>
        <w:spacing w:before="120" w:after="120" w:line="240" w:lineRule="auto"/>
        <w:ind w:right="1080"/>
      </w:pPr>
      <w:r>
        <w:t>An assessment of existing and potential data sources for assigning customers to income tiers</w:t>
      </w:r>
      <w:r w:rsidR="00523162">
        <w:t xml:space="preserve"> for income-graduated fixed charges</w:t>
      </w:r>
      <w:r>
        <w:t>;</w:t>
      </w:r>
    </w:p>
    <w:p w:rsidR="0098599B" w:rsidP="00544A7B" w:rsidRDefault="00890B94" w14:paraId="1B55A2BB" w14:textId="71AC5877">
      <w:pPr>
        <w:pStyle w:val="FoF"/>
        <w:numPr>
          <w:ilvl w:val="1"/>
          <w:numId w:val="6"/>
        </w:numPr>
        <w:spacing w:before="120" w:after="120" w:line="240" w:lineRule="auto"/>
        <w:ind w:right="1080"/>
      </w:pPr>
      <w:r>
        <w:t>Proposed i</w:t>
      </w:r>
      <w:r w:rsidR="0098599B">
        <w:t>ncome verification processes and alternative</w:t>
      </w:r>
      <w:r>
        <w:t>s</w:t>
      </w:r>
      <w:r w:rsidR="0098599B">
        <w:t>;</w:t>
      </w:r>
    </w:p>
    <w:p w:rsidR="0098599B" w:rsidP="00544A7B" w:rsidRDefault="0098599B" w14:paraId="3F50A4CB" w14:textId="77777777">
      <w:pPr>
        <w:pStyle w:val="FoF"/>
        <w:numPr>
          <w:ilvl w:val="1"/>
          <w:numId w:val="6"/>
        </w:numPr>
        <w:spacing w:before="120" w:after="120" w:line="240" w:lineRule="auto"/>
        <w:ind w:right="1080"/>
      </w:pPr>
      <w:r>
        <w:t>A definition of moderate-income customer;</w:t>
      </w:r>
    </w:p>
    <w:p w:rsidR="0098599B" w:rsidP="00544A7B" w:rsidRDefault="0098599B" w14:paraId="13CED6D1" w14:textId="7BCAB201">
      <w:pPr>
        <w:pStyle w:val="FoF"/>
        <w:numPr>
          <w:ilvl w:val="1"/>
          <w:numId w:val="6"/>
        </w:numPr>
        <w:spacing w:before="120" w:after="120" w:line="240" w:lineRule="auto"/>
        <w:ind w:right="1080"/>
      </w:pPr>
      <w:r>
        <w:t xml:space="preserve">Administration structure, including a scope of work for the proposed administrator(s); and </w:t>
      </w:r>
    </w:p>
    <w:p w:rsidR="0098599B" w:rsidP="00544A7B" w:rsidRDefault="0098599B" w14:paraId="0113C5F4" w14:textId="26F26964">
      <w:pPr>
        <w:pStyle w:val="FoF"/>
        <w:numPr>
          <w:ilvl w:val="1"/>
          <w:numId w:val="6"/>
        </w:numPr>
        <w:spacing w:before="120" w:after="120" w:line="240" w:lineRule="auto"/>
        <w:ind w:right="1080"/>
      </w:pPr>
      <w:r>
        <w:t xml:space="preserve">Estimated costs and an analysis of the costs compared to the benefits </w:t>
      </w:r>
      <w:r w:rsidR="0002512E">
        <w:t>of</w:t>
      </w:r>
      <w:r w:rsidR="001B26C7">
        <w:t xml:space="preserve"> each of</w:t>
      </w:r>
      <w:r>
        <w:t xml:space="preserve"> the proposed income verification processes.</w:t>
      </w:r>
    </w:p>
    <w:p w:rsidR="00DC2195" w:rsidP="00DC2195" w:rsidRDefault="003E2F98" w14:paraId="7F1C79DB" w14:textId="712D3A3A">
      <w:pPr>
        <w:pStyle w:val="FoF"/>
      </w:pPr>
      <w:r w:rsidRPr="003E2F98">
        <w:t xml:space="preserve">It is reasonable to direct PG&amp;E to issue a request for proposals and enter into a contract with a </w:t>
      </w:r>
      <w:r w:rsidR="00AC26FE">
        <w:t>Facilitation</w:t>
      </w:r>
      <w:r w:rsidRPr="003E2F98" w:rsidR="00AC26FE">
        <w:t xml:space="preserve"> </w:t>
      </w:r>
      <w:r w:rsidRPr="003E2F98">
        <w:t xml:space="preserve">Contractor with expertise in implementing </w:t>
      </w:r>
      <w:r w:rsidR="006A3C12">
        <w:t xml:space="preserve">voluntary </w:t>
      </w:r>
      <w:r w:rsidRPr="003E2F98">
        <w:t>income verification processes</w:t>
      </w:r>
      <w:r>
        <w:t xml:space="preserve"> </w:t>
      </w:r>
      <w:r w:rsidRPr="003E2F98">
        <w:t>within 8 months of the issuance date of this decision.</w:t>
      </w:r>
    </w:p>
    <w:p w:rsidRPr="00DC2195" w:rsidR="00DC2195" w:rsidP="00DC2195" w:rsidRDefault="003E2F98" w14:paraId="62BEE5E7" w14:textId="2A1BDC68">
      <w:pPr>
        <w:pStyle w:val="FoF"/>
      </w:pPr>
      <w:r w:rsidRPr="003E2F98">
        <w:t xml:space="preserve"> </w:t>
      </w:r>
      <w:r w:rsidRPr="00DC2195" w:rsidR="00DC2195">
        <w:t xml:space="preserve">It is reasonable for the Commission’s Energy Division to provide guidance to PG&amp;E on the selection of the </w:t>
      </w:r>
      <w:r w:rsidR="00AC26FE">
        <w:t>Facilitation</w:t>
      </w:r>
      <w:r w:rsidRPr="00DC2195" w:rsidR="00DC2195">
        <w:t xml:space="preserve"> Contractor and approval of key </w:t>
      </w:r>
      <w:r w:rsidRPr="00DC2195" w:rsidR="00DC2195">
        <w:lastRenderedPageBreak/>
        <w:t xml:space="preserve">deliverables of the </w:t>
      </w:r>
      <w:r w:rsidR="00AC26FE">
        <w:t>Facilitation</w:t>
      </w:r>
      <w:r w:rsidRPr="00DC2195" w:rsidR="00AC26FE">
        <w:t xml:space="preserve"> </w:t>
      </w:r>
      <w:r w:rsidRPr="00DC2195" w:rsidR="00DC2195">
        <w:t xml:space="preserve">Contractor, including the scope of work and the </w:t>
      </w:r>
      <w:r w:rsidR="00890B94">
        <w:t>Process</w:t>
      </w:r>
      <w:r w:rsidRPr="00AC26FE" w:rsidR="00AC26FE">
        <w:t xml:space="preserve"> </w:t>
      </w:r>
      <w:r w:rsidRPr="00DC2195" w:rsidR="00DC2195">
        <w:t xml:space="preserve">Working Group Proposal. </w:t>
      </w:r>
    </w:p>
    <w:p w:rsidR="0098599B" w:rsidP="00DC2195" w:rsidRDefault="0098599B" w14:paraId="37CF1408" w14:textId="111E05CD">
      <w:pPr>
        <w:pStyle w:val="FoF"/>
      </w:pPr>
      <w:r>
        <w:t xml:space="preserve">It is reasonable for the scope of work for the </w:t>
      </w:r>
      <w:r w:rsidR="00AC26FE">
        <w:t>Facilitation</w:t>
      </w:r>
      <w:r>
        <w:t xml:space="preserve"> Contractor to include the following items: </w:t>
      </w:r>
    </w:p>
    <w:p w:rsidR="0098599B" w:rsidP="00544A7B" w:rsidRDefault="0098599B" w14:paraId="1E40371F" w14:textId="3722D282">
      <w:pPr>
        <w:pStyle w:val="FoF"/>
        <w:numPr>
          <w:ilvl w:val="1"/>
          <w:numId w:val="6"/>
        </w:numPr>
        <w:spacing w:before="120" w:after="120" w:line="240" w:lineRule="auto"/>
        <w:ind w:right="1080"/>
      </w:pPr>
      <w:r>
        <w:t xml:space="preserve">Organize and facilitate </w:t>
      </w:r>
      <w:r w:rsidR="00890B94">
        <w:t>Process</w:t>
      </w:r>
      <w:r>
        <w:t xml:space="preserve"> Working Group meetings to develop consensus on working group issues to the extent feasible;</w:t>
      </w:r>
    </w:p>
    <w:p w:rsidR="0098599B" w:rsidP="00544A7B" w:rsidRDefault="0098599B" w14:paraId="208F6D4A" w14:textId="6019D1E9">
      <w:pPr>
        <w:pStyle w:val="FoF"/>
        <w:numPr>
          <w:ilvl w:val="1"/>
          <w:numId w:val="6"/>
        </w:numPr>
        <w:spacing w:before="120" w:after="120" w:line="240" w:lineRule="auto"/>
        <w:ind w:right="1080"/>
      </w:pPr>
      <w:r>
        <w:t>Research and draft an overview of existing income verification processes and alternatives to income verification used for moderate- and higher-income customers in California and other states;</w:t>
      </w:r>
    </w:p>
    <w:p w:rsidR="0098599B" w:rsidP="00544A7B" w:rsidRDefault="0098599B" w14:paraId="39607F3C" w14:textId="77777777">
      <w:pPr>
        <w:pStyle w:val="FoF"/>
        <w:numPr>
          <w:ilvl w:val="1"/>
          <w:numId w:val="6"/>
        </w:numPr>
        <w:spacing w:before="120" w:after="120" w:line="240" w:lineRule="auto"/>
        <w:ind w:right="1080"/>
      </w:pPr>
      <w:r>
        <w:t>Research and draft an assessment of existing and potential data sources for assigning customers to income tiers;</w:t>
      </w:r>
    </w:p>
    <w:p w:rsidR="0098599B" w:rsidP="00544A7B" w:rsidRDefault="0098599B" w14:paraId="45FDE1FC" w14:textId="77777777">
      <w:pPr>
        <w:pStyle w:val="FoF"/>
        <w:numPr>
          <w:ilvl w:val="1"/>
          <w:numId w:val="6"/>
        </w:numPr>
        <w:spacing w:before="120" w:after="120" w:line="240" w:lineRule="auto"/>
        <w:ind w:right="1080"/>
      </w:pPr>
      <w:r>
        <w:t>Research and draft estimated costs of the proposed income verification processes; and</w:t>
      </w:r>
    </w:p>
    <w:p w:rsidR="0098599B" w:rsidP="00544A7B" w:rsidRDefault="00E12EE2" w14:paraId="37D35B70" w14:textId="38AEAA5E">
      <w:pPr>
        <w:pStyle w:val="FoF"/>
        <w:numPr>
          <w:ilvl w:val="1"/>
          <w:numId w:val="6"/>
        </w:numPr>
        <w:spacing w:before="120" w:after="120" w:line="240" w:lineRule="auto"/>
        <w:ind w:right="1080"/>
      </w:pPr>
      <w:r w:rsidRPr="00E12EE2">
        <w:t xml:space="preserve">Draft the </w:t>
      </w:r>
      <w:r w:rsidR="00890B94">
        <w:t>Process</w:t>
      </w:r>
      <w:r w:rsidRPr="00E12EE2">
        <w:t xml:space="preserve"> Working Group Proposal, incorporate input from </w:t>
      </w:r>
      <w:r w:rsidR="00890B94">
        <w:t>Process</w:t>
      </w:r>
      <w:r w:rsidRPr="00E12EE2">
        <w:t xml:space="preserve"> Working Group members, and serve the final proposal to the assigned ALJ within one year of </w:t>
      </w:r>
      <w:r w:rsidR="00FE4723">
        <w:t>entering into a contract with PG&amp;E</w:t>
      </w:r>
      <w:r w:rsidR="0098599B">
        <w:t>.</w:t>
      </w:r>
    </w:p>
    <w:p w:rsidR="0098599B" w:rsidP="00521DCF" w:rsidRDefault="0098599B" w14:paraId="426797D4" w14:textId="50461191">
      <w:pPr>
        <w:pStyle w:val="FoF"/>
      </w:pPr>
      <w:r>
        <w:t>It is reasonable to adopt the following tier structure for the income-graduated fixed charges of the Large Utilities:</w:t>
      </w:r>
    </w:p>
    <w:p w:rsidR="0098599B" w:rsidP="00544A7B" w:rsidRDefault="0098599B" w14:paraId="1B386613" w14:textId="3A2A68E5">
      <w:pPr>
        <w:pStyle w:val="FoF"/>
        <w:numPr>
          <w:ilvl w:val="1"/>
          <w:numId w:val="6"/>
        </w:numPr>
        <w:spacing w:before="120" w:after="120" w:line="240" w:lineRule="auto"/>
        <w:ind w:right="1080"/>
      </w:pPr>
      <w:r>
        <w:t>Tier 1 will be assigned to customers with incomes of 0 to 200</w:t>
      </w:r>
      <w:r w:rsidR="00C1241D">
        <w:t xml:space="preserve"> percent</w:t>
      </w:r>
      <w:r>
        <w:t xml:space="preserve"> of the Federal Poverty Guideline levels applicable to that household under the CARE program;</w:t>
      </w:r>
    </w:p>
    <w:p w:rsidR="0098599B" w:rsidP="00544A7B" w:rsidRDefault="0098599B" w14:paraId="5DB0BA5F" w14:textId="03FF59AE">
      <w:pPr>
        <w:pStyle w:val="FoF"/>
        <w:numPr>
          <w:ilvl w:val="1"/>
          <w:numId w:val="6"/>
        </w:numPr>
        <w:spacing w:before="120" w:after="120" w:line="240" w:lineRule="auto"/>
        <w:ind w:right="1080"/>
      </w:pPr>
      <w:r>
        <w:t>Tier 2 will be assigned to customers (i) with incomes above 200</w:t>
      </w:r>
      <w:r w:rsidR="00C1241D">
        <w:t xml:space="preserve"> percent</w:t>
      </w:r>
      <w:r>
        <w:t xml:space="preserve"> and below 250</w:t>
      </w:r>
      <w:r w:rsidR="00C1241D">
        <w:t xml:space="preserve"> percent</w:t>
      </w:r>
      <w:r>
        <w:t xml:space="preserve"> of the Federal Poverty Guideline levels applicable to that household under the FERA program or (ii) who live in an affordable rental home that is restricted by the rules of federal or state subsidies to residents who have incomes at or below 80</w:t>
      </w:r>
      <w:r w:rsidR="00C1241D">
        <w:t xml:space="preserve"> percent</w:t>
      </w:r>
      <w:r>
        <w:t xml:space="preserve"> of Area Median Income; and</w:t>
      </w:r>
    </w:p>
    <w:p w:rsidR="0098599B" w:rsidP="00544A7B" w:rsidRDefault="0098599B" w14:paraId="5FEAB5B0" w14:textId="77777777">
      <w:pPr>
        <w:pStyle w:val="FoF"/>
        <w:numPr>
          <w:ilvl w:val="1"/>
          <w:numId w:val="6"/>
        </w:numPr>
        <w:spacing w:before="120" w:after="120" w:line="240" w:lineRule="auto"/>
        <w:ind w:right="1080"/>
      </w:pPr>
      <w:r>
        <w:lastRenderedPageBreak/>
        <w:t>Tier 3 will be assigned to customers who do not qualify for the first or second tiers.</w:t>
      </w:r>
    </w:p>
    <w:p w:rsidR="0098599B" w:rsidP="00521DCF" w:rsidRDefault="0098599B" w14:paraId="4A48FF59" w14:textId="42119EA6">
      <w:pPr>
        <w:pStyle w:val="FoF"/>
      </w:pPr>
      <w:r>
        <w:t>It is reasonable to adopt the following income tier assignment processes for the income-graduated fixed charges of the Large Utilities:</w:t>
      </w:r>
    </w:p>
    <w:p w:rsidR="0098599B" w:rsidP="00544A7B" w:rsidRDefault="0098599B" w14:paraId="6D78CE13" w14:textId="77777777">
      <w:pPr>
        <w:pStyle w:val="FoF"/>
        <w:numPr>
          <w:ilvl w:val="1"/>
          <w:numId w:val="6"/>
        </w:numPr>
        <w:spacing w:before="120" w:after="120" w:line="240" w:lineRule="auto"/>
        <w:ind w:right="1080"/>
      </w:pPr>
      <w:r>
        <w:t>Utilities will assign all customers enrolled in CARE to Tier 1 without the need for the customer to take any action;</w:t>
      </w:r>
    </w:p>
    <w:p w:rsidR="0098599B" w:rsidP="00544A7B" w:rsidRDefault="0098599B" w14:paraId="4E869973" w14:textId="77777777">
      <w:pPr>
        <w:pStyle w:val="FoF"/>
        <w:numPr>
          <w:ilvl w:val="1"/>
          <w:numId w:val="6"/>
        </w:numPr>
        <w:spacing w:before="120" w:after="120" w:line="240" w:lineRule="auto"/>
        <w:ind w:right="1080"/>
      </w:pPr>
      <w:r>
        <w:t>Utilities will assign all customers enrolled in FERA to Tier 2 without the need for the customer to take any action;</w:t>
      </w:r>
    </w:p>
    <w:p w:rsidR="0098599B" w:rsidP="00544A7B" w:rsidRDefault="0098599B" w14:paraId="1CB9B602" w14:textId="64A9B3D3">
      <w:pPr>
        <w:pStyle w:val="FoF"/>
        <w:numPr>
          <w:ilvl w:val="1"/>
          <w:numId w:val="6"/>
        </w:numPr>
        <w:spacing w:before="120" w:after="120" w:line="240" w:lineRule="auto"/>
        <w:ind w:right="1080"/>
      </w:pPr>
      <w:r>
        <w:t>Utilities will assign all customers who (i) live in an affordable rental home that is restricted by the rules of federal or state subsidies to residents who have incomes at or below 80</w:t>
      </w:r>
      <w:r w:rsidR="00C1241D">
        <w:t xml:space="preserve"> percent</w:t>
      </w:r>
      <w:r>
        <w:t xml:space="preserve"> of Area Median Income and (ii) are not enrolled in CARE to Tier 2, based on the statewide database of such homes maintained by the California Housing Partnership</w:t>
      </w:r>
      <w:r w:rsidR="00B12BDF">
        <w:t xml:space="preserve"> and self-attestation</w:t>
      </w:r>
      <w:r>
        <w:t>; and</w:t>
      </w:r>
    </w:p>
    <w:p w:rsidR="0098599B" w:rsidP="00544A7B" w:rsidRDefault="0098599B" w14:paraId="1B882D6A" w14:textId="77777777">
      <w:pPr>
        <w:pStyle w:val="FoF"/>
        <w:numPr>
          <w:ilvl w:val="1"/>
          <w:numId w:val="6"/>
        </w:numPr>
        <w:spacing w:before="120" w:after="120" w:line="240" w:lineRule="auto"/>
        <w:ind w:right="1080"/>
      </w:pPr>
      <w:r>
        <w:t>Utilities will assign all other customers to Tier 3.</w:t>
      </w:r>
    </w:p>
    <w:p w:rsidR="00C12EFF" w:rsidP="00521DCF" w:rsidRDefault="00C12EFF" w14:paraId="74A3C7B1" w14:textId="596FE811">
      <w:pPr>
        <w:pStyle w:val="FoF"/>
      </w:pPr>
      <w:r w:rsidRPr="00C12EFF">
        <w:t>It is reasonable to direct the Large Utilities to propose</w:t>
      </w:r>
      <w:r w:rsidR="00FA6036">
        <w:t xml:space="preserve"> in their Tier 3 advice letters for implement</w:t>
      </w:r>
      <w:r w:rsidR="005C22D1">
        <w:t>ing</w:t>
      </w:r>
      <w:r w:rsidR="00FA6036">
        <w:t xml:space="preserve"> the fixed charges</w:t>
      </w:r>
      <w:r w:rsidRPr="00C12EFF">
        <w:t xml:space="preserve"> </w:t>
      </w:r>
      <w:r>
        <w:t xml:space="preserve">(a) </w:t>
      </w:r>
      <w:r w:rsidR="00FA6036">
        <w:t xml:space="preserve">how to </w:t>
      </w:r>
      <w:r w:rsidR="0053452D">
        <w:t xml:space="preserve">assign </w:t>
      </w:r>
      <w:r w:rsidR="00B76A76">
        <w:t xml:space="preserve">eligible </w:t>
      </w:r>
      <w:r w:rsidR="0053452D">
        <w:t>customers who live in</w:t>
      </w:r>
      <w:r w:rsidR="009936FB">
        <w:t xml:space="preserve"> deed-restricted</w:t>
      </w:r>
      <w:r w:rsidR="0053452D">
        <w:t xml:space="preserve"> affordable rental homes to Tier 2,</w:t>
      </w:r>
      <w:r w:rsidR="00FA6036">
        <w:t xml:space="preserve"> and (b) </w:t>
      </w:r>
      <w:r w:rsidRPr="00C12EFF">
        <w:t>how to share Tier 2 assignment information with CCAs in their Tier 3 advice letters to implement the fixed charges.</w:t>
      </w:r>
    </w:p>
    <w:p w:rsidR="0098599B" w:rsidP="00521DCF" w:rsidRDefault="0098599B" w14:paraId="5243084F" w14:textId="1F7C0A4C">
      <w:pPr>
        <w:pStyle w:val="FoF"/>
      </w:pPr>
      <w:r>
        <w:t xml:space="preserve">It is reasonable to use </w:t>
      </w:r>
      <w:r w:rsidRPr="00573AE3">
        <w:t>the Sacramento Municipal Utility District’</w:t>
      </w:r>
      <w:r>
        <w:t xml:space="preserve">s </w:t>
      </w:r>
      <w:r w:rsidRPr="00573AE3">
        <w:t>residential fixed charge</w:t>
      </w:r>
      <w:r>
        <w:t>s</w:t>
      </w:r>
      <w:r w:rsidRPr="00573AE3">
        <w:t xml:space="preserve"> </w:t>
      </w:r>
      <w:r>
        <w:t>as a</w:t>
      </w:r>
      <w:r w:rsidRPr="00573AE3">
        <w:t xml:space="preserve"> benchmark for establishing the first income-graduated fixed charge</w:t>
      </w:r>
      <w:r>
        <w:t xml:space="preserve"> levels</w:t>
      </w:r>
      <w:r w:rsidR="00F86C34">
        <w:t xml:space="preserve"> for the Large Utilities</w:t>
      </w:r>
      <w:r w:rsidRPr="00573AE3">
        <w:t xml:space="preserve">. </w:t>
      </w:r>
    </w:p>
    <w:p w:rsidR="0098599B" w:rsidP="00521DCF" w:rsidRDefault="0098599B" w14:paraId="70A29F81" w14:textId="443A485E">
      <w:pPr>
        <w:pStyle w:val="FoF"/>
      </w:pPr>
      <w:r w:rsidRPr="00EF44C2">
        <w:t>It is reasonable for the income-graduated fixed charges of the Large Utilities to recover all or a portion of the revenue requirement as established in the most recent applicable Commission decision for each of the following fixed cost categories:</w:t>
      </w:r>
    </w:p>
    <w:p w:rsidR="0098599B" w:rsidP="00521DCF" w:rsidRDefault="0098599B" w14:paraId="29CE0BC7" w14:textId="77777777">
      <w:pPr>
        <w:pStyle w:val="FoF"/>
        <w:numPr>
          <w:ilvl w:val="1"/>
          <w:numId w:val="6"/>
        </w:numPr>
      </w:pPr>
      <w:r w:rsidRPr="00EF44C2">
        <w:t>Marginal Customer Access Costs;</w:t>
      </w:r>
    </w:p>
    <w:p w:rsidR="0098599B" w:rsidP="00521DCF" w:rsidRDefault="0098599B" w14:paraId="60A6AB21" w14:textId="77777777">
      <w:pPr>
        <w:pStyle w:val="FoF"/>
        <w:numPr>
          <w:ilvl w:val="1"/>
          <w:numId w:val="6"/>
        </w:numPr>
      </w:pPr>
      <w:r w:rsidRPr="00EF44C2">
        <w:lastRenderedPageBreak/>
        <w:t>Public Purpose Program non-bypassable charges;</w:t>
      </w:r>
    </w:p>
    <w:p w:rsidR="0098599B" w:rsidP="00521DCF" w:rsidRDefault="0098599B" w14:paraId="75000905" w14:textId="28AEAE1D">
      <w:pPr>
        <w:pStyle w:val="FoF"/>
        <w:numPr>
          <w:ilvl w:val="1"/>
          <w:numId w:val="6"/>
        </w:numPr>
      </w:pPr>
      <w:r w:rsidRPr="00EF44C2">
        <w:t>New System Generation or Local Generation charges; and</w:t>
      </w:r>
    </w:p>
    <w:p w:rsidR="0098599B" w:rsidP="00521DCF" w:rsidRDefault="0098599B" w14:paraId="1D670492" w14:textId="77777777">
      <w:pPr>
        <w:pStyle w:val="FoF"/>
        <w:numPr>
          <w:ilvl w:val="1"/>
          <w:numId w:val="6"/>
        </w:numPr>
      </w:pPr>
      <w:r w:rsidRPr="00EF44C2">
        <w:t>Nuclear Decommissioning non-bypassable charges.</w:t>
      </w:r>
    </w:p>
    <w:p w:rsidR="0098599B" w:rsidP="00521DCF" w:rsidRDefault="0080738A" w14:paraId="14272358" w14:textId="7BF749BD">
      <w:pPr>
        <w:pStyle w:val="FoF"/>
      </w:pPr>
      <w:r w:rsidRPr="0080738A">
        <w:t>It is reasonable for the Large Utilities to propose income-graduated fixed charge levels in their Tier 3 implementation advice letters based on the most recently adopted revenue requirements that meet all of the following requirements:</w:t>
      </w:r>
    </w:p>
    <w:p w:rsidR="0080738A" w:rsidP="00544A7B" w:rsidRDefault="0080738A" w14:paraId="09940994" w14:textId="29E00DFB">
      <w:pPr>
        <w:pStyle w:val="FoF"/>
        <w:numPr>
          <w:ilvl w:val="1"/>
          <w:numId w:val="6"/>
        </w:numPr>
        <w:spacing w:before="120" w:after="120" w:line="240" w:lineRule="auto"/>
        <w:ind w:right="1080"/>
      </w:pPr>
      <w:r>
        <w:t>The fixed charges shall recover 100 percent of Marginal Customer Access Costs;</w:t>
      </w:r>
    </w:p>
    <w:p w:rsidR="0080738A" w:rsidP="00544A7B" w:rsidRDefault="0080738A" w14:paraId="0F401769" w14:textId="77777777">
      <w:pPr>
        <w:pStyle w:val="FoF"/>
        <w:numPr>
          <w:ilvl w:val="1"/>
          <w:numId w:val="6"/>
        </w:numPr>
        <w:spacing w:before="120" w:after="120" w:line="240" w:lineRule="auto"/>
        <w:ind w:right="1080"/>
      </w:pPr>
      <w:r>
        <w:t>The fixed charges shall recover up to 100 percent of the following fixed cost categories: Public Purpose Program non-bypassable charges, New System Generation or Local Generation charges as applicable, and Nuclear Decommissioning non-bypassable charges;</w:t>
      </w:r>
    </w:p>
    <w:p w:rsidR="0080738A" w:rsidP="00544A7B" w:rsidRDefault="0080738A" w14:paraId="28CEC3CE" w14:textId="77777777">
      <w:pPr>
        <w:pStyle w:val="FoF"/>
        <w:numPr>
          <w:ilvl w:val="1"/>
          <w:numId w:val="6"/>
        </w:numPr>
        <w:spacing w:before="120" w:after="120" w:line="240" w:lineRule="auto"/>
        <w:ind w:right="1080"/>
      </w:pPr>
      <w:r>
        <w:t>The fixed cost and fixed charge calculations shall use the latest revenue requirements and billing determinants approved by the Commission;</w:t>
      </w:r>
    </w:p>
    <w:p w:rsidR="0080738A" w:rsidP="00544A7B" w:rsidRDefault="0080738A" w14:paraId="1F3A7334" w14:textId="3AF790FC">
      <w:pPr>
        <w:pStyle w:val="FoF"/>
        <w:numPr>
          <w:ilvl w:val="1"/>
          <w:numId w:val="6"/>
        </w:numPr>
        <w:spacing w:before="120" w:after="120" w:line="240" w:lineRule="auto"/>
        <w:ind w:right="1080"/>
      </w:pPr>
      <w:r>
        <w:t xml:space="preserve">The Tier 1 fixed charge shall be $6.00, provided that the fixed charge shall be reduced if necessary to comply with the Section 739.9(e)(1) requirement for CARE-eligible customers </w:t>
      </w:r>
      <w:r w:rsidR="006279D4">
        <w:t xml:space="preserve">with average </w:t>
      </w:r>
      <w:r w:rsidR="0068696D">
        <w:t xml:space="preserve">electricity usage </w:t>
      </w:r>
      <w:r>
        <w:t>to realize average monthly bill savings in all baseline territories without changes to usage based on an updated customer bill impact assessment;</w:t>
      </w:r>
    </w:p>
    <w:p w:rsidR="0080738A" w:rsidP="00544A7B" w:rsidRDefault="0080738A" w14:paraId="6A17998C" w14:textId="77777777">
      <w:pPr>
        <w:pStyle w:val="FoF"/>
        <w:numPr>
          <w:ilvl w:val="1"/>
          <w:numId w:val="6"/>
        </w:numPr>
        <w:spacing w:before="120" w:after="120" w:line="240" w:lineRule="auto"/>
        <w:ind w:right="1080"/>
      </w:pPr>
      <w:r>
        <w:t>The Tier 2 fixed charge shall be $12.08; and</w:t>
      </w:r>
    </w:p>
    <w:p w:rsidR="0080738A" w:rsidP="00544A7B" w:rsidRDefault="0080738A" w14:paraId="5CC1394A" w14:textId="45112B41">
      <w:pPr>
        <w:pStyle w:val="FoF"/>
        <w:numPr>
          <w:ilvl w:val="1"/>
          <w:numId w:val="6"/>
        </w:numPr>
        <w:spacing w:before="120" w:after="120" w:line="240" w:lineRule="auto"/>
        <w:ind w:right="1080"/>
      </w:pPr>
      <w:r>
        <w:t>The Tier 3 fixed charge shall be $24.15, provided that the Tier 3 fixed charge shall be reduced if 100 percent recovery of each of the authorized fixed cost categories through the income-graduated fixed charge is not sufficient to produce a Tier 3 fixed charge of $24.15 while also complying with the remaining requirements listed here and the AB 205 requirements for the CARE discount.</w:t>
      </w:r>
    </w:p>
    <w:p w:rsidR="0098599B" w:rsidP="00521DCF" w:rsidRDefault="0098599B" w14:paraId="1EB7C560" w14:textId="043D1F02">
      <w:pPr>
        <w:pStyle w:val="FoF"/>
      </w:pPr>
      <w:r w:rsidRPr="00787617">
        <w:lastRenderedPageBreak/>
        <w:t>It is reasonable to</w:t>
      </w:r>
      <w:r w:rsidR="001C1C8C">
        <w:t xml:space="preserve"> initially</w:t>
      </w:r>
      <w:r w:rsidRPr="00787617">
        <w:t xml:space="preserve"> adopt income-graduated fixed charges for the Large Utilities that do not differentiate between the costs of serving small and large customers</w:t>
      </w:r>
      <w:r w:rsidR="001C1C8C">
        <w:t xml:space="preserve"> </w:t>
      </w:r>
      <w:r w:rsidRPr="001C1C8C" w:rsidR="001C1C8C">
        <w:t>and direct the Large Utilities to prepare a study regarding how to differentiate between customers who live in single- or multi-family housing</w:t>
      </w:r>
      <w:r w:rsidRPr="00787617">
        <w:t>.</w:t>
      </w:r>
    </w:p>
    <w:p w:rsidR="0098599B" w:rsidP="00521DCF" w:rsidRDefault="0098599B" w14:paraId="0B1BAEC6" w14:textId="312AEF96">
      <w:pPr>
        <w:pStyle w:val="FoF"/>
      </w:pPr>
      <w:r>
        <w:t>It is reasonable for the Large Utilities to remove minimum bills from residential customer bills when the income-graduated fixed charges are implemented.</w:t>
      </w:r>
    </w:p>
    <w:p w:rsidR="00C264DB" w:rsidP="00521DCF" w:rsidRDefault="0098599B" w14:paraId="162C9798" w14:textId="40A31171">
      <w:pPr>
        <w:pStyle w:val="FoF"/>
      </w:pPr>
      <w:r>
        <w:t xml:space="preserve">It is reasonable to apply </w:t>
      </w:r>
      <w:r w:rsidRPr="00BB7915">
        <w:t>revenue</w:t>
      </w:r>
      <w:r>
        <w:t>s</w:t>
      </w:r>
      <w:r w:rsidRPr="00BB7915">
        <w:t xml:space="preserve"> collected through the income-graduated fixed charges </w:t>
      </w:r>
      <w:r>
        <w:t xml:space="preserve">for </w:t>
      </w:r>
      <w:r w:rsidR="00766734">
        <w:t xml:space="preserve">the Large Utilities’ </w:t>
      </w:r>
      <w:r>
        <w:t xml:space="preserve">default rates </w:t>
      </w:r>
      <w:r w:rsidRPr="00BB7915">
        <w:t xml:space="preserve">to reduce </w:t>
      </w:r>
      <w:r w:rsidR="00E9463F">
        <w:t>distribution</w:t>
      </w:r>
      <w:r w:rsidRPr="00BB7915" w:rsidR="00E9463F">
        <w:t xml:space="preserve"> </w:t>
      </w:r>
      <w:r w:rsidRPr="00BB7915">
        <w:t>rates</w:t>
      </w:r>
      <w:r>
        <w:t xml:space="preserve"> </w:t>
      </w:r>
      <w:r w:rsidR="00C264DB">
        <w:t xml:space="preserve">on an equal cents per kWh basis during all hours of the day. </w:t>
      </w:r>
    </w:p>
    <w:p w:rsidR="00D351CF" w:rsidP="00D351CF" w:rsidRDefault="00D351CF" w14:paraId="1B6ED9C2" w14:textId="2F7CC4AF">
      <w:pPr>
        <w:pStyle w:val="FoF"/>
        <w:numPr>
          <w:ilvl w:val="0"/>
          <w:numId w:val="23"/>
        </w:numPr>
      </w:pPr>
      <w:r w:rsidRPr="009A4635">
        <w:t>The</w:t>
      </w:r>
      <w:r>
        <w:t xml:space="preserve"> Large Utilities’</w:t>
      </w:r>
      <w:r w:rsidRPr="009A4635">
        <w:t xml:space="preserve"> existing fixed charges for electrification rates do not comply with the AB 205 requirement for all fixed charges to be income-graduated.</w:t>
      </w:r>
    </w:p>
    <w:p w:rsidR="0098599B" w:rsidP="00521DCF" w:rsidRDefault="0098599B" w14:paraId="3C7957B7" w14:textId="55F05D11">
      <w:pPr>
        <w:pStyle w:val="FoF"/>
      </w:pPr>
      <w:r w:rsidRPr="00C456A0">
        <w:t xml:space="preserve">It is reasonable to authorize income-graduated fixed charges for </w:t>
      </w:r>
      <w:r>
        <w:t xml:space="preserve">both </w:t>
      </w:r>
      <w:r w:rsidRPr="00C456A0">
        <w:t>default and optional residential rates</w:t>
      </w:r>
      <w:r w:rsidR="00766734">
        <w:t xml:space="preserve"> of the Large Utilities</w:t>
      </w:r>
      <w:r w:rsidRPr="00C456A0">
        <w:t xml:space="preserve">. </w:t>
      </w:r>
    </w:p>
    <w:p w:rsidR="0098599B" w:rsidP="00521DCF" w:rsidRDefault="0098599B" w14:paraId="1626D46F" w14:textId="0247A2D6">
      <w:pPr>
        <w:pStyle w:val="FoF"/>
      </w:pPr>
      <w:r w:rsidRPr="00C456A0">
        <w:t>It is reasonable to apply the income-graduated fixed charges adopted for default rates to all optional rates</w:t>
      </w:r>
      <w:r w:rsidR="00766734">
        <w:t xml:space="preserve"> of the Large Utilities</w:t>
      </w:r>
      <w:r w:rsidRPr="00C456A0">
        <w:t xml:space="preserve">, except for master-metered rates that are not sub-metered, separately-metered electric vehicle rates for customers whose primary meter has an income-graduated fixed charge, or rate schedules that are scheduled to be eliminated by the second quarter of 2026. </w:t>
      </w:r>
    </w:p>
    <w:p w:rsidR="0098599B" w:rsidP="00521DCF" w:rsidRDefault="0098599B" w14:paraId="6AB06EB4" w14:textId="77777777">
      <w:pPr>
        <w:pStyle w:val="FoF"/>
      </w:pPr>
      <w:r w:rsidRPr="00672290">
        <w:t>Volumetric rate adjustments for the first income-graduated fixed charges should not cause any rate schedule to include negative rates.</w:t>
      </w:r>
    </w:p>
    <w:p w:rsidR="0098599B" w:rsidP="00521DCF" w:rsidRDefault="0098599B" w14:paraId="0D93DB11" w14:textId="7E332866">
      <w:pPr>
        <w:pStyle w:val="FoF"/>
      </w:pPr>
      <w:r w:rsidRPr="00672290">
        <w:t xml:space="preserve">It is reasonable to apply the revenues recovered by the </w:t>
      </w:r>
      <w:r w:rsidR="00624CED">
        <w:t xml:space="preserve">Large Utilities’ </w:t>
      </w:r>
      <w:r w:rsidRPr="00672290">
        <w:t xml:space="preserve">income-graduated fixed charges for optional rates to volumetric rates as follows: any fixed charge revenue that is not used to </w:t>
      </w:r>
      <w:r w:rsidR="00364722">
        <w:t>recover the costs</w:t>
      </w:r>
      <w:r w:rsidR="008A6EFB">
        <w:t xml:space="preserve"> of</w:t>
      </w:r>
      <w:r w:rsidRPr="00672290" w:rsidR="00364722">
        <w:t xml:space="preserve"> </w:t>
      </w:r>
      <w:r w:rsidRPr="00672290">
        <w:t xml:space="preserve">specific line items should be used to reduce </w:t>
      </w:r>
      <w:r w:rsidR="00624CED">
        <w:t>distribution</w:t>
      </w:r>
      <w:r w:rsidRPr="00672290" w:rsidR="00624CED">
        <w:t xml:space="preserve"> </w:t>
      </w:r>
      <w:r w:rsidRPr="00672290">
        <w:t xml:space="preserve">rates on an equal cents per kWh </w:t>
      </w:r>
      <w:r w:rsidRPr="00672290">
        <w:lastRenderedPageBreak/>
        <w:t>basis across all time periods, unless doing so would result in a negative distribution rate during any time period for a given rate schedule. In this scenario, distribution rates should instead be reduced on an equal percent basis across all time periods.</w:t>
      </w:r>
    </w:p>
    <w:p w:rsidR="0098599B" w:rsidP="00521DCF" w:rsidRDefault="0098599B" w14:paraId="7C47CF53" w14:textId="4450DC68">
      <w:pPr>
        <w:pStyle w:val="FoF"/>
      </w:pPr>
      <w:r>
        <w:t xml:space="preserve">It is reasonable for the </w:t>
      </w:r>
      <w:r w:rsidR="00766734">
        <w:t xml:space="preserve">Large Utilities’ </w:t>
      </w:r>
      <w:r>
        <w:t>ME&amp;O for income-graduated fixed charges to address the following topics:</w:t>
      </w:r>
    </w:p>
    <w:p w:rsidR="0098599B" w:rsidP="00544A7B" w:rsidRDefault="0098599B" w14:paraId="69E98D2C" w14:textId="77777777">
      <w:pPr>
        <w:pStyle w:val="FoF"/>
        <w:numPr>
          <w:ilvl w:val="1"/>
          <w:numId w:val="6"/>
        </w:numPr>
        <w:spacing w:before="120" w:after="120" w:line="240" w:lineRule="auto"/>
        <w:ind w:right="1080"/>
      </w:pPr>
      <w:r>
        <w:t>When the new fixed charge will be applied;</w:t>
      </w:r>
    </w:p>
    <w:p w:rsidR="0098599B" w:rsidP="00544A7B" w:rsidRDefault="0098599B" w14:paraId="3FD9D216" w14:textId="77777777">
      <w:pPr>
        <w:pStyle w:val="FoF"/>
        <w:numPr>
          <w:ilvl w:val="1"/>
          <w:numId w:val="6"/>
        </w:numPr>
        <w:spacing w:before="120" w:after="120" w:line="240" w:lineRule="auto"/>
        <w:ind w:right="1080"/>
      </w:pPr>
      <w:r>
        <w:t>Why and how the new fixed charge will reduce volumetric rates;</w:t>
      </w:r>
    </w:p>
    <w:p w:rsidR="0098599B" w:rsidP="00544A7B" w:rsidRDefault="0098599B" w14:paraId="225D6E8F" w14:textId="77777777">
      <w:pPr>
        <w:pStyle w:val="FoF"/>
        <w:numPr>
          <w:ilvl w:val="1"/>
          <w:numId w:val="6"/>
        </w:numPr>
        <w:spacing w:before="120" w:after="120" w:line="240" w:lineRule="auto"/>
        <w:ind w:right="1080"/>
      </w:pPr>
      <w:r>
        <w:t>The amount of the fixed charge and how the fixed charge will affect customers’ bills;</w:t>
      </w:r>
    </w:p>
    <w:p w:rsidR="0098599B" w:rsidP="00544A7B" w:rsidRDefault="0098599B" w14:paraId="7567323F" w14:textId="77777777">
      <w:pPr>
        <w:pStyle w:val="FoF"/>
        <w:numPr>
          <w:ilvl w:val="1"/>
          <w:numId w:val="6"/>
        </w:numPr>
        <w:spacing w:before="120" w:after="120" w:line="240" w:lineRule="auto"/>
        <w:ind w:right="1080"/>
      </w:pPr>
      <w:r>
        <w:t>How tiers will be assigned and how to move to a different income tier;</w:t>
      </w:r>
    </w:p>
    <w:p w:rsidR="0098599B" w:rsidP="00544A7B" w:rsidRDefault="0098599B" w14:paraId="12FF93F9" w14:textId="77777777">
      <w:pPr>
        <w:pStyle w:val="FoF"/>
        <w:numPr>
          <w:ilvl w:val="1"/>
          <w:numId w:val="6"/>
        </w:numPr>
        <w:spacing w:before="120" w:after="120" w:line="240" w:lineRule="auto"/>
        <w:ind w:right="1080"/>
      </w:pPr>
      <w:r>
        <w:t>Different rate options and rate comparison tools;</w:t>
      </w:r>
    </w:p>
    <w:p w:rsidR="0098599B" w:rsidP="00544A7B" w:rsidRDefault="0098599B" w14:paraId="71DC7F50" w14:textId="77777777">
      <w:pPr>
        <w:pStyle w:val="FoF"/>
        <w:numPr>
          <w:ilvl w:val="1"/>
          <w:numId w:val="6"/>
        </w:numPr>
        <w:spacing w:before="120" w:after="120" w:line="240" w:lineRule="auto"/>
        <w:ind w:right="1080"/>
      </w:pPr>
      <w:r>
        <w:t xml:space="preserve">Options to enroll in CARE or FERA and other ways to manage energy costs; </w:t>
      </w:r>
    </w:p>
    <w:p w:rsidR="0098599B" w:rsidP="00544A7B" w:rsidRDefault="0098599B" w14:paraId="330D0152" w14:textId="77777777">
      <w:pPr>
        <w:pStyle w:val="FoF"/>
        <w:numPr>
          <w:ilvl w:val="1"/>
          <w:numId w:val="6"/>
        </w:numPr>
        <w:spacing w:before="120" w:after="120" w:line="240" w:lineRule="auto"/>
        <w:ind w:right="1080"/>
      </w:pPr>
      <w:r>
        <w:t>Assure CARE and FERA customers that their assistance program discounts will not be affected by the fixed charge and that they may see lower bills as a result of the fixed charge; and</w:t>
      </w:r>
    </w:p>
    <w:p w:rsidR="0098599B" w:rsidP="00544A7B" w:rsidRDefault="0098599B" w14:paraId="14F877F0" w14:textId="20B47AD3">
      <w:pPr>
        <w:pStyle w:val="FoF"/>
        <w:numPr>
          <w:ilvl w:val="1"/>
          <w:numId w:val="6"/>
        </w:numPr>
        <w:spacing w:before="120" w:after="120" w:line="240" w:lineRule="auto"/>
        <w:ind w:right="1080"/>
      </w:pPr>
      <w:r>
        <w:t>Why and how the fixed charge will encourage the adoption of electrification technologies and associated reduced use of fossil fuels</w:t>
      </w:r>
      <w:r w:rsidR="00ED2BF7">
        <w:t xml:space="preserve"> </w:t>
      </w:r>
      <w:r w:rsidRPr="00ED2BF7" w:rsidR="00ED2BF7">
        <w:t>and how customers can find rebates to electrify</w:t>
      </w:r>
      <w:r>
        <w:t>.</w:t>
      </w:r>
    </w:p>
    <w:p w:rsidR="0098599B" w:rsidP="00521DCF" w:rsidRDefault="0098599B" w14:paraId="1B1E012A" w14:textId="6EF94F2D">
      <w:pPr>
        <w:pStyle w:val="FoF"/>
      </w:pPr>
      <w:bookmarkStart w:name="_Hlk161151288" w:id="72"/>
      <w:r>
        <w:t>It is reasonable to direct each of the Large Utilities to develop an ME&amp;O plan for income</w:t>
      </w:r>
      <w:r w:rsidR="00D22E0D">
        <w:t>-</w:t>
      </w:r>
      <w:r>
        <w:t>graduated fixed charges through the following process:</w:t>
      </w:r>
    </w:p>
    <w:p w:rsidR="0098599B" w:rsidP="00544A7B" w:rsidRDefault="0098599B" w14:paraId="691F6CF7" w14:textId="6C3DAB2D">
      <w:pPr>
        <w:pStyle w:val="FoF"/>
        <w:numPr>
          <w:ilvl w:val="1"/>
          <w:numId w:val="6"/>
        </w:numPr>
        <w:spacing w:before="120" w:after="120" w:line="240" w:lineRule="auto"/>
        <w:ind w:right="1080"/>
      </w:pPr>
      <w:r>
        <w:t xml:space="preserve">The Large Utilities shall meet and confer </w:t>
      </w:r>
      <w:r w:rsidRPr="00417B6C" w:rsidR="00417B6C">
        <w:t xml:space="preserve">with each other and the Commission’s staff </w:t>
      </w:r>
      <w:r>
        <w:t xml:space="preserve">to </w:t>
      </w:r>
      <w:r w:rsidR="0089770A">
        <w:t xml:space="preserve">strive to </w:t>
      </w:r>
      <w:r>
        <w:t>develop consistent proposed terminology, high-level messages, and metrics.</w:t>
      </w:r>
    </w:p>
    <w:p w:rsidR="0098599B" w:rsidP="00544A7B" w:rsidRDefault="0098599B" w14:paraId="75A42F39" w14:textId="5D6499F1">
      <w:pPr>
        <w:pStyle w:val="FoF"/>
        <w:numPr>
          <w:ilvl w:val="1"/>
          <w:numId w:val="6"/>
        </w:numPr>
        <w:spacing w:before="120" w:after="120" w:line="240" w:lineRule="auto"/>
        <w:ind w:right="1080"/>
      </w:pPr>
      <w:r>
        <w:t xml:space="preserve">The Large Utilities shall </w:t>
      </w:r>
      <w:r w:rsidRPr="00856280" w:rsidR="00856280">
        <w:t xml:space="preserve">invite parties to this proceeding to a workshop, consult with the Commission’s staff to plan the workshop, and jointly host a public workshop to discuss each </w:t>
      </w:r>
      <w:r w:rsidRPr="00856280" w:rsidR="00856280">
        <w:lastRenderedPageBreak/>
        <w:t xml:space="preserve">utility’s </w:t>
      </w:r>
      <w:r w:rsidR="00754B2A">
        <w:t>ME&amp;O</w:t>
      </w:r>
      <w:r w:rsidRPr="00856280" w:rsidR="00856280">
        <w:t xml:space="preserve"> plan and </w:t>
      </w:r>
      <w:r w:rsidR="003235D4">
        <w:t>proposed</w:t>
      </w:r>
      <w:r w:rsidRPr="00856280" w:rsidR="003235D4">
        <w:t xml:space="preserve"> </w:t>
      </w:r>
      <w:r w:rsidRPr="00856280" w:rsidR="00856280">
        <w:t>terminology, high-level messages, and metrics</w:t>
      </w:r>
      <w:r>
        <w:t>.</w:t>
      </w:r>
    </w:p>
    <w:p w:rsidR="0098599B" w:rsidP="00544A7B" w:rsidRDefault="0098599B" w14:paraId="36B48256" w14:textId="777288CA">
      <w:pPr>
        <w:pStyle w:val="FoF"/>
        <w:numPr>
          <w:ilvl w:val="1"/>
          <w:numId w:val="6"/>
        </w:numPr>
        <w:spacing w:before="120" w:after="120" w:line="240" w:lineRule="auto"/>
        <w:ind w:right="1080"/>
      </w:pPr>
      <w:r>
        <w:t xml:space="preserve">Each Large Utility shall propose an individual ME&amp;O plan in a Tier 3 implementation advice letter with the following components: (a) </w:t>
      </w:r>
      <w:r w:rsidR="0089770A">
        <w:t xml:space="preserve">proposed </w:t>
      </w:r>
      <w:r>
        <w:t>terminology and high-level messages, (b) sample bill impact templates, (c) consistent ME&amp;O metrics, and (d) a proposed ME&amp;O implementation budget, with a line-item breakdown and justifications for the proposed cost of each individual line-item</w:t>
      </w:r>
      <w:r w:rsidR="002551A0">
        <w:t>.</w:t>
      </w:r>
    </w:p>
    <w:bookmarkEnd w:id="72"/>
    <w:p w:rsidR="0098599B" w:rsidP="00521DCF" w:rsidRDefault="0098599B" w14:paraId="45F8F4FC" w14:textId="3507C3F5">
      <w:pPr>
        <w:pStyle w:val="FoF"/>
      </w:pPr>
      <w:r w:rsidRPr="002338C7">
        <w:t xml:space="preserve">It </w:t>
      </w:r>
      <w:bookmarkStart w:name="_Hlk161151297" w:id="73"/>
      <w:r w:rsidRPr="002338C7">
        <w:t xml:space="preserve">is reasonable for each of the Large Utilities to (a) </w:t>
      </w:r>
      <w:r w:rsidRPr="00754B2A" w:rsidR="00754B2A">
        <w:t xml:space="preserve">establish a new distribution balancing account to </w:t>
      </w:r>
      <w:r w:rsidRPr="002338C7">
        <w:t>record over- or under-collections of revenues compared to projected revenues from income-graduated fixed charges, and (b) propose in each Annual True-Up Advice Letter how to modify volumetric rates to account for over- or under-collections of revenues by the income-graduated fixed charges compared to projected revenues.</w:t>
      </w:r>
    </w:p>
    <w:bookmarkEnd w:id="73"/>
    <w:p w:rsidR="0098599B" w:rsidP="00521DCF" w:rsidRDefault="0098599B" w14:paraId="7ADB35EB" w14:textId="6F4452E3">
      <w:pPr>
        <w:pStyle w:val="FoF"/>
      </w:pPr>
      <w:r>
        <w:t xml:space="preserve">The </w:t>
      </w:r>
      <w:r w:rsidRPr="00FB37E8">
        <w:t>Implementation Working Group should evaluate the Large Utilities’ income-graduated fixed charges</w:t>
      </w:r>
      <w:r>
        <w:t>.</w:t>
      </w:r>
    </w:p>
    <w:p w:rsidR="0098599B" w:rsidP="00521DCF" w:rsidRDefault="0098599B" w14:paraId="46B0786C" w14:textId="4947CD1F">
      <w:pPr>
        <w:pStyle w:val="FoF"/>
      </w:pPr>
      <w:bookmarkStart w:name="_Hlk161151305" w:id="74"/>
      <w:r>
        <w:t xml:space="preserve">The Large Utilities should (a) report metrics on income-graduated fixed charges and associated ME&amp;O efforts within 30 days of each calendar quarter to the service list of this proceeding, and (b) present metrics and lessons learned from income-graduated fixed charges and associated ME&amp;O efforts to the Implementation Working Group at least once per calendar quarter. </w:t>
      </w:r>
    </w:p>
    <w:bookmarkEnd w:id="74"/>
    <w:p w:rsidR="0098599B" w:rsidP="00521DCF" w:rsidRDefault="0098599B" w14:paraId="7B08B168" w14:textId="5CF81B8B">
      <w:pPr>
        <w:pStyle w:val="FoF"/>
      </w:pPr>
      <w:r>
        <w:t xml:space="preserve">The Implementation Working Group should have the following scope of work relating to assessing and evaluating income-graduated fixed charges: </w:t>
      </w:r>
    </w:p>
    <w:p w:rsidR="0098599B" w:rsidP="00544A7B" w:rsidRDefault="0098599B" w14:paraId="178ACB62" w14:textId="77777777">
      <w:pPr>
        <w:pStyle w:val="FoF"/>
        <w:numPr>
          <w:ilvl w:val="1"/>
          <w:numId w:val="6"/>
        </w:numPr>
        <w:spacing w:before="120" w:after="120" w:line="240" w:lineRule="auto"/>
        <w:ind w:right="1080"/>
      </w:pPr>
      <w:r>
        <w:t xml:space="preserve">Identify problems with implementation and ME&amp;O efforts and suggest solutions at meetings; and </w:t>
      </w:r>
    </w:p>
    <w:p w:rsidR="0098599B" w:rsidP="00544A7B" w:rsidRDefault="0098599B" w14:paraId="42A937F5" w14:textId="7CAA5F99">
      <w:pPr>
        <w:pStyle w:val="FoF"/>
        <w:numPr>
          <w:ilvl w:val="1"/>
          <w:numId w:val="6"/>
        </w:numPr>
        <w:spacing w:before="120" w:after="120" w:line="240" w:lineRule="auto"/>
        <w:ind w:right="1080"/>
      </w:pPr>
      <w:r>
        <w:t xml:space="preserve">Provide written recommendations to the Commission’s staff about how lessons learned from the implementation of income-graduated fixed charges should influence the design of future income-graduated fixed charges or alternative rate mechanisms. </w:t>
      </w:r>
    </w:p>
    <w:p w:rsidR="0098599B" w:rsidP="00521DCF" w:rsidRDefault="0098599B" w14:paraId="70D4852C" w14:textId="3A5EDF89">
      <w:pPr>
        <w:pStyle w:val="FoF"/>
      </w:pPr>
      <w:r>
        <w:t>It is reasonable for the Large Utilities’ quarterly reports on income-graduated fixed charges to include the following metrics:</w:t>
      </w:r>
    </w:p>
    <w:p w:rsidR="0098599B" w:rsidP="00544A7B" w:rsidRDefault="0098599B" w14:paraId="2405DAA7" w14:textId="77777777">
      <w:pPr>
        <w:pStyle w:val="FoF"/>
        <w:numPr>
          <w:ilvl w:val="1"/>
          <w:numId w:val="6"/>
        </w:numPr>
        <w:spacing w:before="120" w:after="120" w:line="240" w:lineRule="auto"/>
        <w:ind w:right="1080"/>
      </w:pPr>
      <w:r>
        <w:t>Number of customers in each tier;</w:t>
      </w:r>
    </w:p>
    <w:p w:rsidR="0098599B" w:rsidP="00544A7B" w:rsidRDefault="0098599B" w14:paraId="0FA20147" w14:textId="77777777">
      <w:pPr>
        <w:pStyle w:val="FoF"/>
        <w:numPr>
          <w:ilvl w:val="1"/>
          <w:numId w:val="6"/>
        </w:numPr>
        <w:spacing w:before="120" w:after="120" w:line="240" w:lineRule="auto"/>
        <w:ind w:right="1080"/>
      </w:pPr>
      <w:r>
        <w:t>Number of customers who change tiers;</w:t>
      </w:r>
    </w:p>
    <w:p w:rsidR="0098599B" w:rsidP="00544A7B" w:rsidRDefault="0098599B" w14:paraId="5517B4A4" w14:textId="77777777">
      <w:pPr>
        <w:pStyle w:val="FoF"/>
        <w:numPr>
          <w:ilvl w:val="1"/>
          <w:numId w:val="6"/>
        </w:numPr>
        <w:spacing w:before="120" w:after="120" w:line="240" w:lineRule="auto"/>
        <w:ind w:right="1080"/>
      </w:pPr>
      <w:r>
        <w:t>Average customer bill impacts for each tier and each baseline territory;</w:t>
      </w:r>
    </w:p>
    <w:p w:rsidR="0098599B" w:rsidP="00544A7B" w:rsidRDefault="0098599B" w14:paraId="0979EC18" w14:textId="77777777">
      <w:pPr>
        <w:pStyle w:val="FoF"/>
        <w:numPr>
          <w:ilvl w:val="1"/>
          <w:numId w:val="6"/>
        </w:numPr>
        <w:spacing w:before="120" w:after="120" w:line="240" w:lineRule="auto"/>
        <w:ind w:right="1080"/>
      </w:pPr>
      <w:r>
        <w:t>Number of press article mentions;</w:t>
      </w:r>
    </w:p>
    <w:p w:rsidR="0098599B" w:rsidP="00544A7B" w:rsidRDefault="0098599B" w14:paraId="25631981" w14:textId="77777777">
      <w:pPr>
        <w:pStyle w:val="FoF"/>
        <w:numPr>
          <w:ilvl w:val="1"/>
          <w:numId w:val="6"/>
        </w:numPr>
        <w:spacing w:before="120" w:after="120" w:line="240" w:lineRule="auto"/>
        <w:ind w:right="1080"/>
      </w:pPr>
      <w:r>
        <w:t>Impressions and reach of paid media;</w:t>
      </w:r>
    </w:p>
    <w:p w:rsidR="0098599B" w:rsidP="00544A7B" w:rsidRDefault="0098599B" w14:paraId="65D639F6" w14:textId="0169CDEA">
      <w:pPr>
        <w:pStyle w:val="FoF"/>
        <w:numPr>
          <w:ilvl w:val="1"/>
          <w:numId w:val="6"/>
        </w:numPr>
        <w:spacing w:before="120" w:after="120" w:line="240" w:lineRule="auto"/>
        <w:ind w:right="1080"/>
      </w:pPr>
      <w:r>
        <w:t>Number and type of outbound targeted communications and bill messages;</w:t>
      </w:r>
    </w:p>
    <w:p w:rsidR="008A69DF" w:rsidP="00544A7B" w:rsidRDefault="0098599B" w14:paraId="5ADD3137" w14:textId="08C33956">
      <w:pPr>
        <w:pStyle w:val="FoF"/>
        <w:numPr>
          <w:ilvl w:val="1"/>
          <w:numId w:val="6"/>
        </w:numPr>
        <w:spacing w:before="120" w:after="120" w:line="240" w:lineRule="auto"/>
        <w:ind w:right="1080"/>
      </w:pPr>
      <w:r>
        <w:t>Number of related calls or emails received</w:t>
      </w:r>
      <w:r w:rsidR="008A69DF">
        <w:t>;</w:t>
      </w:r>
    </w:p>
    <w:p w:rsidR="008A69DF" w:rsidP="00544A7B" w:rsidRDefault="008A69DF" w14:paraId="58FB9DC1" w14:textId="77777777">
      <w:pPr>
        <w:pStyle w:val="FoF"/>
        <w:numPr>
          <w:ilvl w:val="1"/>
          <w:numId w:val="6"/>
        </w:numPr>
        <w:spacing w:before="120" w:after="120" w:line="240" w:lineRule="auto"/>
        <w:ind w:right="1080"/>
      </w:pPr>
      <w:r>
        <w:t>ME&amp;O dollars spent;</w:t>
      </w:r>
    </w:p>
    <w:p w:rsidR="008A69DF" w:rsidP="00544A7B" w:rsidRDefault="008A69DF" w14:paraId="47DFE608" w14:textId="1B1BBE3F">
      <w:pPr>
        <w:pStyle w:val="FoF"/>
        <w:numPr>
          <w:ilvl w:val="1"/>
          <w:numId w:val="6"/>
        </w:numPr>
        <w:spacing w:before="120" w:after="120" w:line="240" w:lineRule="auto"/>
        <w:ind w:right="1080"/>
      </w:pPr>
      <w:r>
        <w:t xml:space="preserve">Number of customers who were asked to verify their incomes through the CARE and FERA programs; </w:t>
      </w:r>
      <w:r w:rsidR="00981636">
        <w:t>and</w:t>
      </w:r>
    </w:p>
    <w:p w:rsidR="0098599B" w:rsidP="00544A7B" w:rsidRDefault="008A69DF" w14:paraId="667A72DF" w14:textId="045895F5">
      <w:pPr>
        <w:pStyle w:val="FoF"/>
        <w:numPr>
          <w:ilvl w:val="1"/>
          <w:numId w:val="6"/>
        </w:numPr>
        <w:spacing w:before="120" w:after="120" w:line="240" w:lineRule="auto"/>
        <w:ind w:right="1080"/>
      </w:pPr>
      <w:r>
        <w:t>Number of customers who successfully verified their incomes through the CARE and FERA programs</w:t>
      </w:r>
      <w:r w:rsidR="0098599B">
        <w:t>.</w:t>
      </w:r>
    </w:p>
    <w:p w:rsidR="0098599B" w:rsidP="00521DCF" w:rsidRDefault="0098599B" w14:paraId="0295D36B" w14:textId="77777777">
      <w:pPr>
        <w:pStyle w:val="FoF"/>
      </w:pPr>
      <w:r w:rsidRPr="00FB37E8">
        <w:t>The Large Utilities’ individual ME&amp;O plans should include one or more surveys to assess the effectiveness of ME&amp;O.</w:t>
      </w:r>
    </w:p>
    <w:p w:rsidR="0098599B" w:rsidP="00521DCF" w:rsidRDefault="0098599B" w14:paraId="48DC73C2" w14:textId="1F41922B">
      <w:pPr>
        <w:pStyle w:val="FoF"/>
      </w:pPr>
      <w:r>
        <w:t xml:space="preserve">It is </w:t>
      </w:r>
      <w:bookmarkStart w:name="_Hlk161151318" w:id="75"/>
      <w:r>
        <w:t xml:space="preserve">reasonable to adopt the following timeline for implementing the </w:t>
      </w:r>
      <w:r w:rsidR="00AE0AE0">
        <w:t xml:space="preserve">Large Utilities’ </w:t>
      </w:r>
      <w:r>
        <w:t>income-graduated fixed charges:</w:t>
      </w:r>
    </w:p>
    <w:p w:rsidR="0098599B" w:rsidP="00544A7B" w:rsidRDefault="0098599B" w14:paraId="4C51A2AF" w14:textId="32310DCD">
      <w:pPr>
        <w:pStyle w:val="FoF"/>
        <w:numPr>
          <w:ilvl w:val="1"/>
          <w:numId w:val="6"/>
        </w:numPr>
        <w:spacing w:before="120" w:after="120" w:line="240" w:lineRule="auto"/>
        <w:ind w:right="1080"/>
      </w:pPr>
      <w:r>
        <w:t xml:space="preserve">Within 60 days of the </w:t>
      </w:r>
      <w:r w:rsidR="006A36FA">
        <w:t>issuance</w:t>
      </w:r>
      <w:r>
        <w:t xml:space="preserve"> date of this decision, the Large Utilities shall jointly host the ME&amp;O workshop required by this decision; </w:t>
      </w:r>
    </w:p>
    <w:p w:rsidR="0098599B" w:rsidP="00544A7B" w:rsidRDefault="0098599B" w14:paraId="72DAEFCF" w14:textId="51CEFF0D">
      <w:pPr>
        <w:pStyle w:val="FoF"/>
        <w:numPr>
          <w:ilvl w:val="1"/>
          <w:numId w:val="6"/>
        </w:numPr>
        <w:spacing w:before="120" w:after="120" w:line="240" w:lineRule="auto"/>
        <w:ind w:right="1080"/>
      </w:pPr>
      <w:r>
        <w:t xml:space="preserve">Within 90 days of the </w:t>
      </w:r>
      <w:r w:rsidR="006A36FA">
        <w:t>issuance</w:t>
      </w:r>
      <w:r>
        <w:t xml:space="preserve"> date of this decision, each of the Large Utilities shall file a Tier 3 advice letter to implement income</w:t>
      </w:r>
      <w:r w:rsidR="009B6AAD">
        <w:t>-</w:t>
      </w:r>
      <w:r>
        <w:t>graduated fixed charges;</w:t>
      </w:r>
    </w:p>
    <w:p w:rsidR="0098599B" w:rsidP="00544A7B" w:rsidRDefault="0098599B" w14:paraId="542EC90A" w14:textId="77777777">
      <w:pPr>
        <w:pStyle w:val="FoF"/>
        <w:numPr>
          <w:ilvl w:val="1"/>
          <w:numId w:val="6"/>
        </w:numPr>
        <w:spacing w:before="120" w:after="120" w:line="240" w:lineRule="auto"/>
        <w:ind w:right="1080"/>
      </w:pPr>
      <w:r>
        <w:t>Between October 1, 2025 and December 15, 2025, SCE and SDG&amp;E shall begin to apply fixed charges to residential customers’ bills; and</w:t>
      </w:r>
    </w:p>
    <w:p w:rsidR="0098599B" w:rsidP="00544A7B" w:rsidRDefault="0098599B" w14:paraId="21E373C1" w14:textId="7D14E4C8">
      <w:pPr>
        <w:pStyle w:val="FoF"/>
        <w:numPr>
          <w:ilvl w:val="1"/>
          <w:numId w:val="6"/>
        </w:numPr>
        <w:spacing w:before="120" w:after="120" w:line="240" w:lineRule="auto"/>
        <w:ind w:right="1080"/>
      </w:pPr>
      <w:r>
        <w:t>Between January 1, 2026 and March 31, 202</w:t>
      </w:r>
      <w:r w:rsidR="00D270F7">
        <w:t>6</w:t>
      </w:r>
      <w:r>
        <w:t>, PG&amp;E shall begin to apply fixed charges to residential customers’ bills.</w:t>
      </w:r>
    </w:p>
    <w:p w:rsidR="0098599B" w:rsidP="00521DCF" w:rsidRDefault="0098599B" w14:paraId="2DDC74E7" w14:textId="4D5E1611">
      <w:pPr>
        <w:pStyle w:val="FoF"/>
      </w:pPr>
      <w:bookmarkStart w:name="_Hlk161151326" w:id="76"/>
      <w:bookmarkEnd w:id="75"/>
      <w:r>
        <w:t>It is reasonable for each of the Large Utilities to create a new Income-Graduated Fixed Charge Memorandum Account to record the actual incremental implementation costs of implementing income-graduated fixed charges and propose to recover such costs through a future General Rate Case or rate design window application proceeding.</w:t>
      </w:r>
    </w:p>
    <w:bookmarkEnd w:id="76"/>
    <w:p w:rsidR="0098599B" w:rsidP="00521DCF" w:rsidRDefault="0098599B" w14:paraId="7D7D87D3" w14:textId="77777777">
      <w:pPr>
        <w:pStyle w:val="FoF"/>
      </w:pPr>
      <w:r>
        <w:t xml:space="preserve">It </w:t>
      </w:r>
      <w:bookmarkStart w:name="_Hlk161151332" w:id="77"/>
      <w:r>
        <w:t>is reasonable for PG&amp;E to propose a billing system solution and implementation costs for addressing the Advanced Billing System in its Tier 3 implementation advice letter or in a future application for billing system upgrade costs.</w:t>
      </w:r>
    </w:p>
    <w:bookmarkEnd w:id="77"/>
    <w:p w:rsidR="0098599B" w:rsidP="00521DCF" w:rsidRDefault="0098599B" w14:paraId="53D0958C" w14:textId="7D846A1F">
      <w:pPr>
        <w:pStyle w:val="FoF"/>
      </w:pPr>
      <w:r>
        <w:t xml:space="preserve">It is reasonable to adopt the implementation budgets for the Large Utilities in Table </w:t>
      </w:r>
      <w:r w:rsidR="00E16A59">
        <w:t>7</w:t>
      </w:r>
      <w:r>
        <w:t xml:space="preserve"> of this decision.</w:t>
      </w:r>
    </w:p>
    <w:p w:rsidR="0098599B" w:rsidP="00521DCF" w:rsidRDefault="0098599B" w14:paraId="04060B48" w14:textId="254930BC">
      <w:pPr>
        <w:pStyle w:val="FoF"/>
      </w:pPr>
      <w:r>
        <w:t>T</w:t>
      </w:r>
      <w:r w:rsidRPr="00BF1166">
        <w:t xml:space="preserve">he Settlement Agreement’s proposal to recover base revenues through income-graduated fixed charges is not </w:t>
      </w:r>
      <w:r w:rsidRPr="00310B10" w:rsidR="00310B10">
        <w:t>reasonable in light of the proceeding record</w:t>
      </w:r>
      <w:r w:rsidRPr="00BF1166">
        <w:t>.</w:t>
      </w:r>
    </w:p>
    <w:p w:rsidR="0098599B" w:rsidP="00521DCF" w:rsidRDefault="0098599B" w14:paraId="76EB8073" w14:textId="7BA54548">
      <w:pPr>
        <w:pStyle w:val="FoF"/>
      </w:pPr>
      <w:r>
        <w:t xml:space="preserve">It is reasonable to </w:t>
      </w:r>
      <w:r w:rsidRPr="00BF1166">
        <w:t xml:space="preserve">sever the portion of the Settlement Agreement that is </w:t>
      </w:r>
      <w:r w:rsidRPr="00AD4CC4" w:rsidR="00AD4CC4">
        <w:t>not reasonable in light of the proceeding record</w:t>
      </w:r>
      <w:r w:rsidR="00AD4CC4">
        <w:t xml:space="preserve"> </w:t>
      </w:r>
      <w:r w:rsidRPr="00BF1166">
        <w:t>and consider whether the balance of the Settlement Agreement is reasonable in light of the whole record, consistent with law, and in the public interest.</w:t>
      </w:r>
    </w:p>
    <w:p w:rsidR="00434E2F" w:rsidP="00521DCF" w:rsidRDefault="00434E2F" w14:paraId="02950926" w14:textId="3FAFB438">
      <w:pPr>
        <w:pStyle w:val="FoF"/>
      </w:pPr>
      <w:r>
        <w:t>T</w:t>
      </w:r>
      <w:r w:rsidRPr="00434E2F">
        <w:t>he Settlement Agreement, with the exception of the proposal to recover each of the Small Utilities’ base revenues (and Bear Valley’s General Rate Case Revenue Requirement Memorandum Account) and the associated fixed charge levels</w:t>
      </w:r>
      <w:r>
        <w:t>, should be approved and adopted</w:t>
      </w:r>
      <w:r w:rsidRPr="00434E2F">
        <w:t>.</w:t>
      </w:r>
    </w:p>
    <w:p w:rsidR="0098599B" w:rsidP="00521DCF" w:rsidRDefault="0098599B" w14:paraId="43ABBDEE" w14:textId="77777777">
      <w:pPr>
        <w:pStyle w:val="FoF"/>
      </w:pPr>
      <w:r w:rsidRPr="00BF1166">
        <w:t xml:space="preserve">The approval of the Settlement Agreement </w:t>
      </w:r>
      <w:r>
        <w:t>should</w:t>
      </w:r>
      <w:r w:rsidRPr="00BF1166">
        <w:t xml:space="preserve"> not have precedential value.</w:t>
      </w:r>
    </w:p>
    <w:p w:rsidR="0098599B" w:rsidP="00521DCF" w:rsidRDefault="0098599B" w14:paraId="2EA21A92" w14:textId="215D24B3">
      <w:pPr>
        <w:pStyle w:val="FoF"/>
      </w:pPr>
      <w:r w:rsidRPr="00476C55">
        <w:t xml:space="preserve">It is reasonable for the </w:t>
      </w:r>
      <w:r>
        <w:t>Small Utilities’ income-graduated fixed charges</w:t>
      </w:r>
      <w:r w:rsidRPr="00476C55">
        <w:t xml:space="preserve"> to rely on their existing CARE income verification processes as amended to obtain income information from customers with incomes between 0 to 100</w:t>
      </w:r>
      <w:r w:rsidR="00C1241D">
        <w:t xml:space="preserve"> percent</w:t>
      </w:r>
      <w:r w:rsidRPr="00476C55">
        <w:t xml:space="preserve"> of Federal Poverty Guideline levels.</w:t>
      </w:r>
      <w:r>
        <w:t xml:space="preserve"> </w:t>
      </w:r>
    </w:p>
    <w:p w:rsidR="0098599B" w:rsidP="00521DCF" w:rsidRDefault="0098599B" w14:paraId="1BE214FA" w14:textId="5B060F93">
      <w:pPr>
        <w:pStyle w:val="FoF"/>
      </w:pPr>
      <w:r>
        <w:t xml:space="preserve">The </w:t>
      </w:r>
      <w:r w:rsidR="00890B94">
        <w:t>Process</w:t>
      </w:r>
      <w:r>
        <w:t xml:space="preserve"> Working Group should develop a proposal for how </w:t>
      </w:r>
      <w:r w:rsidR="005D2684">
        <w:t xml:space="preserve">to improve income verification processes </w:t>
      </w:r>
      <w:r w:rsidR="001A2CCE">
        <w:t>of</w:t>
      </w:r>
      <w:r w:rsidR="005D2684">
        <w:t xml:space="preserve"> the Small Utilities’ income-graduated fixed charges, including </w:t>
      </w:r>
      <w:r w:rsidR="001A2CCE">
        <w:t xml:space="preserve">how to </w:t>
      </w:r>
      <w:r>
        <w:t>verify the incomes of moderate-income customers.</w:t>
      </w:r>
    </w:p>
    <w:p w:rsidR="0098599B" w:rsidP="00521DCF" w:rsidRDefault="0098599B" w14:paraId="4B4B8EAA" w14:textId="77777777">
      <w:pPr>
        <w:pStyle w:val="FoF"/>
      </w:pPr>
      <w:r>
        <w:t xml:space="preserve">The Settlement Agreement’s income tier and income verification proposal is reasonable in light of the </w:t>
      </w:r>
      <w:r w:rsidRPr="00022947">
        <w:t xml:space="preserve">whole record, consistent with law, and in the public interest. </w:t>
      </w:r>
    </w:p>
    <w:p w:rsidR="0098599B" w:rsidP="00521DCF" w:rsidRDefault="0098599B" w14:paraId="2CACF36A" w14:textId="77777777">
      <w:pPr>
        <w:pStyle w:val="FoF"/>
      </w:pPr>
      <w:bookmarkStart w:name="_Hlk161151355" w:id="78"/>
      <w:r>
        <w:t>Each of t</w:t>
      </w:r>
      <w:r w:rsidRPr="00963FB1">
        <w:t>he Small Utilities should provide information in their Tier 3 implementation advice letter about when and how customers will be informed about the opportunity to be placed in Tier 1 and how to reduce barriers to enrolling in Tier 1.</w:t>
      </w:r>
    </w:p>
    <w:bookmarkEnd w:id="78"/>
    <w:p w:rsidRPr="00BF1166" w:rsidR="0098599B" w:rsidP="00521DCF" w:rsidRDefault="0098599B" w14:paraId="0202F351" w14:textId="509A48B9">
      <w:pPr>
        <w:pStyle w:val="FoF"/>
      </w:pPr>
      <w:r w:rsidRPr="00BF1166">
        <w:t>It is reasonable to adopt the following tier structure for the income-graduated fixed charges of the Small Utilities:</w:t>
      </w:r>
    </w:p>
    <w:p w:rsidRPr="00BF1166" w:rsidR="0098599B" w:rsidP="00544A7B" w:rsidRDefault="0098599B" w14:paraId="463D1AAE" w14:textId="3BA1EB59">
      <w:pPr>
        <w:pStyle w:val="FoF"/>
        <w:numPr>
          <w:ilvl w:val="1"/>
          <w:numId w:val="6"/>
        </w:numPr>
        <w:spacing w:before="120" w:after="120" w:line="240" w:lineRule="auto"/>
        <w:ind w:right="1080"/>
      </w:pPr>
      <w:r w:rsidRPr="00BF1166">
        <w:t>Tier 1 will be assigned to customers with incomes of 0 to 100</w:t>
      </w:r>
      <w:r w:rsidR="00C1241D">
        <w:t xml:space="preserve"> percent</w:t>
      </w:r>
      <w:r w:rsidRPr="00BF1166">
        <w:t xml:space="preserve"> of the Federal Poverty Guideline levels applicable to that household under the CARE program;</w:t>
      </w:r>
    </w:p>
    <w:p w:rsidRPr="00BF1166" w:rsidR="0098599B" w:rsidP="00544A7B" w:rsidRDefault="0098599B" w14:paraId="31355E28" w14:textId="497A9B90">
      <w:pPr>
        <w:pStyle w:val="FoF"/>
        <w:numPr>
          <w:ilvl w:val="1"/>
          <w:numId w:val="6"/>
        </w:numPr>
        <w:spacing w:before="120" w:after="120" w:line="240" w:lineRule="auto"/>
        <w:ind w:right="1080"/>
      </w:pPr>
      <w:r w:rsidRPr="00BF1166">
        <w:t>Tier 2 will be assigned to customers with incomes above 100</w:t>
      </w:r>
      <w:r w:rsidR="00C1241D">
        <w:t xml:space="preserve"> percent</w:t>
      </w:r>
      <w:r w:rsidRPr="00BF1166">
        <w:t xml:space="preserve"> and at or below 200</w:t>
      </w:r>
      <w:r w:rsidR="00C1241D">
        <w:t xml:space="preserve"> percent</w:t>
      </w:r>
      <w:r w:rsidRPr="00BF1166">
        <w:t xml:space="preserve"> of the Federal Poverty Guideline levels applicable to that household under the </w:t>
      </w:r>
      <w:r w:rsidR="008A66A8">
        <w:t>CARE</w:t>
      </w:r>
      <w:r w:rsidRPr="00BF1166" w:rsidR="008A66A8">
        <w:t xml:space="preserve"> </w:t>
      </w:r>
      <w:r w:rsidRPr="00BF1166">
        <w:t>program; and</w:t>
      </w:r>
    </w:p>
    <w:p w:rsidRPr="00BF1166" w:rsidR="0098599B" w:rsidP="00544A7B" w:rsidRDefault="0098599B" w14:paraId="6769DFF3" w14:textId="77777777">
      <w:pPr>
        <w:pStyle w:val="FoF"/>
        <w:numPr>
          <w:ilvl w:val="1"/>
          <w:numId w:val="6"/>
        </w:numPr>
        <w:spacing w:before="120" w:after="120" w:line="240" w:lineRule="auto"/>
        <w:ind w:right="1080"/>
      </w:pPr>
      <w:r w:rsidRPr="00BF1166">
        <w:t>Tier 3 will be assigned to customers who do not qualify for the first or second tiers.</w:t>
      </w:r>
    </w:p>
    <w:p w:rsidRPr="00BF1166" w:rsidR="0098599B" w:rsidP="00521DCF" w:rsidRDefault="0098599B" w14:paraId="63C148B0" w14:textId="618FE7F7">
      <w:pPr>
        <w:pStyle w:val="FoF"/>
      </w:pPr>
      <w:r w:rsidRPr="00BF1166">
        <w:t>It is reasonable to adopt the following income tier assignment processes for the income-graduated fixed charges of the Small Utilities:</w:t>
      </w:r>
    </w:p>
    <w:p w:rsidRPr="00BF1166" w:rsidR="0098599B" w:rsidP="00544A7B" w:rsidRDefault="0098599B" w14:paraId="090E78DC" w14:textId="77777777">
      <w:pPr>
        <w:pStyle w:val="FoF"/>
        <w:numPr>
          <w:ilvl w:val="1"/>
          <w:numId w:val="6"/>
        </w:numPr>
        <w:spacing w:before="120" w:after="120" w:line="240" w:lineRule="auto"/>
        <w:ind w:right="1080"/>
      </w:pPr>
      <w:r w:rsidRPr="00BF1166">
        <w:t>Small Utilities will assign customers who attest to having eligible incomes through the CARE application process to Tier 1;</w:t>
      </w:r>
    </w:p>
    <w:p w:rsidRPr="00BF1166" w:rsidR="0098599B" w:rsidP="00544A7B" w:rsidRDefault="0098599B" w14:paraId="0B3F3923" w14:textId="77777777">
      <w:pPr>
        <w:pStyle w:val="FoF"/>
        <w:numPr>
          <w:ilvl w:val="1"/>
          <w:numId w:val="6"/>
        </w:numPr>
        <w:spacing w:before="120" w:after="120" w:line="240" w:lineRule="auto"/>
        <w:ind w:right="1080"/>
      </w:pPr>
      <w:r w:rsidRPr="00BF1166">
        <w:t>Small Utilities will assign all other customers enrolled in CARE to Tier 2 without the need for the customer to take any action; and</w:t>
      </w:r>
    </w:p>
    <w:p w:rsidRPr="00BF1166" w:rsidR="0098599B" w:rsidP="00544A7B" w:rsidRDefault="0098599B" w14:paraId="137FA372" w14:textId="77777777">
      <w:pPr>
        <w:pStyle w:val="FoF"/>
        <w:numPr>
          <w:ilvl w:val="1"/>
          <w:numId w:val="6"/>
        </w:numPr>
        <w:spacing w:before="120" w:after="120" w:line="240" w:lineRule="auto"/>
        <w:ind w:right="1080"/>
      </w:pPr>
      <w:r w:rsidRPr="00BF1166">
        <w:t>Utilities will assign all customers who are not enrolled in the CARE program to Tier 3.</w:t>
      </w:r>
    </w:p>
    <w:p w:rsidR="0098599B" w:rsidP="00521DCF" w:rsidRDefault="0098599B" w14:paraId="22AE1AF1" w14:textId="7D4C2D84">
      <w:pPr>
        <w:pStyle w:val="FoF"/>
      </w:pPr>
      <w:r w:rsidRPr="009849EE">
        <w:t xml:space="preserve">It is reasonable to approve the recovery of </w:t>
      </w:r>
      <w:r>
        <w:t>the Small Utilities’ Line-Item Fixed Costs</w:t>
      </w:r>
      <w:r w:rsidRPr="009849EE">
        <w:t xml:space="preserve"> through the </w:t>
      </w:r>
      <w:r>
        <w:t>Small Utilities</w:t>
      </w:r>
      <w:r w:rsidRPr="009849EE">
        <w:t>’ income-graduated fixed charges</w:t>
      </w:r>
      <w:r>
        <w:t>.</w:t>
      </w:r>
    </w:p>
    <w:p w:rsidR="0098599B" w:rsidP="00521DCF" w:rsidRDefault="0098599B" w14:paraId="0C4C50D1" w14:textId="2F01FF0C">
      <w:pPr>
        <w:pStyle w:val="FoF"/>
      </w:pPr>
      <w:r>
        <w:t xml:space="preserve">It is reasonable for the Commission to determine which portion of the Small Utilities’ base revenues are fixed costs that may be recovered through income-graduated fixed charges through a Tier 3 advice letter process. </w:t>
      </w:r>
    </w:p>
    <w:p w:rsidR="0098599B" w:rsidP="00521DCF" w:rsidRDefault="0098599B" w14:paraId="66C51D6B" w14:textId="77777777">
      <w:pPr>
        <w:pStyle w:val="FoF"/>
      </w:pPr>
      <w:r>
        <w:t xml:space="preserve">If the Commission determines in a resolution of the Tier 3 advice letter that the total revenue requirement for all of the Small Utilities’ fixed cost categories is sufficient to support the fixed charge levels in the Settlement Agreement, then it would be reasonable for the resolution to approve the Settlement Agreement’s fixed charge levels. </w:t>
      </w:r>
    </w:p>
    <w:p w:rsidR="0098599B" w:rsidP="00521DCF" w:rsidRDefault="0098599B" w14:paraId="33067441" w14:textId="77777777">
      <w:pPr>
        <w:pStyle w:val="FoF"/>
      </w:pPr>
      <w:r>
        <w:t>If the Commission resolution determines that the total revenue requirement for all of the Small Utilities’ fixed cost categories does not support the fixed charge levels in the Settlement Agreement, it would be reasonable for the Commission resolution to reduce the Small Utilities’ fixed charge levels accordingly.</w:t>
      </w:r>
    </w:p>
    <w:p w:rsidR="0098599B" w:rsidP="00521DCF" w:rsidRDefault="0098599B" w14:paraId="19A6A80C" w14:textId="36E2DDD2">
      <w:pPr>
        <w:pStyle w:val="FoF"/>
      </w:pPr>
      <w:bookmarkStart w:name="_Hlk161151379" w:id="79"/>
      <w:r>
        <w:t xml:space="preserve">Each of the Small Utilities should include the following information regarding proposed fixed costs and fixed charge levels in a Tier 3 advice letter for implementing income-graduated fixed charges: </w:t>
      </w:r>
    </w:p>
    <w:p w:rsidR="0098599B" w:rsidP="00544A7B" w:rsidRDefault="0098599B" w14:paraId="2989A44F" w14:textId="67E25642">
      <w:pPr>
        <w:pStyle w:val="FoF"/>
        <w:numPr>
          <w:ilvl w:val="1"/>
          <w:numId w:val="6"/>
        </w:numPr>
        <w:spacing w:before="120" w:after="120" w:line="240" w:lineRule="auto"/>
        <w:ind w:right="1080"/>
      </w:pPr>
      <w:r>
        <w:t>A list of all base revenue cost categories that the utility proposes to recover through its income-graduated fixed charge</w:t>
      </w:r>
      <w:r w:rsidR="00B55416">
        <w:t>s</w:t>
      </w:r>
      <w:r>
        <w:t xml:space="preserve"> and the revenue requirement associated with each cost category;</w:t>
      </w:r>
    </w:p>
    <w:p w:rsidR="0098599B" w:rsidP="00544A7B" w:rsidRDefault="0098599B" w14:paraId="20713D46" w14:textId="361ACB7A">
      <w:pPr>
        <w:pStyle w:val="FoF"/>
        <w:numPr>
          <w:ilvl w:val="1"/>
          <w:numId w:val="6"/>
        </w:numPr>
        <w:spacing w:before="120" w:after="120" w:line="240" w:lineRule="auto"/>
        <w:ind w:right="1080"/>
      </w:pPr>
      <w:r>
        <w:t xml:space="preserve">An explanation of why each listed base revenue cost category is a fixed cost similar to a category approved for recovery through this decision; </w:t>
      </w:r>
    </w:p>
    <w:p w:rsidR="0098599B" w:rsidP="00544A7B" w:rsidRDefault="0098599B" w14:paraId="3348605A" w14:textId="76F4E51C">
      <w:pPr>
        <w:pStyle w:val="FoF"/>
        <w:numPr>
          <w:ilvl w:val="1"/>
          <w:numId w:val="6"/>
        </w:numPr>
        <w:spacing w:before="120" w:after="120" w:line="240" w:lineRule="auto"/>
        <w:ind w:right="1080"/>
      </w:pPr>
      <w:r>
        <w:t>The revenue requirement for each of the fixed cost categories approved in this decision, if applicable to the utility</w:t>
      </w:r>
      <w:r w:rsidR="00871470">
        <w:t>;</w:t>
      </w:r>
    </w:p>
    <w:p w:rsidR="00871470" w:rsidP="00544A7B" w:rsidRDefault="00871470" w14:paraId="181E5559" w14:textId="0FB8A5B1">
      <w:pPr>
        <w:pStyle w:val="FoF"/>
        <w:numPr>
          <w:ilvl w:val="1"/>
          <w:numId w:val="6"/>
        </w:numPr>
        <w:spacing w:before="120" w:after="120" w:line="240" w:lineRule="auto"/>
        <w:ind w:right="1080"/>
      </w:pPr>
      <w:r>
        <w:t>An explanation of how each base revenue cost category was converted from the current volumetric rate to a new per customer rate, if it is incremental to the current fixed charges;</w:t>
      </w:r>
    </w:p>
    <w:p w:rsidRPr="00BF4BC3" w:rsidR="00BF4BC3" w:rsidP="00544A7B" w:rsidRDefault="00BF4BC3" w14:paraId="60A43F10" w14:textId="20708BF0">
      <w:pPr>
        <w:pStyle w:val="ListParagraph"/>
        <w:numPr>
          <w:ilvl w:val="1"/>
          <w:numId w:val="6"/>
        </w:numPr>
        <w:spacing w:before="120" w:after="120" w:line="240" w:lineRule="auto"/>
        <w:ind w:right="1080"/>
      </w:pPr>
      <w:r w:rsidRPr="00BF4BC3">
        <w:rPr>
          <w:rFonts w:ascii="Book Antiqua" w:hAnsi="Book Antiqua"/>
          <w:kern w:val="0"/>
          <w:sz w:val="26"/>
          <w14:ligatures w14:val="none"/>
        </w:rPr>
        <w:t xml:space="preserve">If a review of the base revenue cost categories shows insufficient fixed costs to support the Settlement Agreement’s fixed charge levels, then the </w:t>
      </w:r>
      <w:r w:rsidR="00152917">
        <w:rPr>
          <w:rFonts w:ascii="Book Antiqua" w:hAnsi="Book Antiqua"/>
          <w:kern w:val="0"/>
          <w:sz w:val="26"/>
          <w14:ligatures w14:val="none"/>
        </w:rPr>
        <w:t>utility</w:t>
      </w:r>
      <w:r w:rsidRPr="00BF4BC3">
        <w:rPr>
          <w:rFonts w:ascii="Book Antiqua" w:hAnsi="Book Antiqua"/>
          <w:kern w:val="0"/>
          <w:sz w:val="26"/>
          <w14:ligatures w14:val="none"/>
        </w:rPr>
        <w:t xml:space="preserve"> shall propose lower fixed charges; and</w:t>
      </w:r>
    </w:p>
    <w:p w:rsidR="00871470" w:rsidP="00544A7B" w:rsidRDefault="00152917" w14:paraId="3FD320D9" w14:textId="7A09250C">
      <w:pPr>
        <w:pStyle w:val="FoF"/>
        <w:numPr>
          <w:ilvl w:val="1"/>
          <w:numId w:val="6"/>
        </w:numPr>
        <w:spacing w:before="120" w:after="120" w:line="240" w:lineRule="auto"/>
        <w:ind w:right="1080"/>
      </w:pPr>
      <w:r>
        <w:t>A</w:t>
      </w:r>
      <w:r w:rsidR="00871470">
        <w:t xml:space="preserve"> bill impact analysis demonstrating that both Tier 1 and Tier 2 customers with average electricity usage in each baseline territory will realize a bill savings compared to currently effective rates.  </w:t>
      </w:r>
    </w:p>
    <w:bookmarkEnd w:id="79"/>
    <w:p w:rsidRPr="00521DCF" w:rsidR="0098599B" w:rsidP="00521DCF" w:rsidRDefault="0098599B" w14:paraId="7AA51FD4" w14:textId="694F700E">
      <w:pPr>
        <w:pStyle w:val="FoF"/>
        <w:rPr>
          <w:b/>
          <w:bCs/>
        </w:rPr>
      </w:pPr>
      <w:r w:rsidRPr="00D83881">
        <w:t xml:space="preserve">It is reasonable </w:t>
      </w:r>
      <w:r>
        <w:t xml:space="preserve">for PacifiCorp to reflect the different costs of serving small and large customers by imposing a lower fixed charge on customers in multi-family </w:t>
      </w:r>
      <w:r w:rsidR="00497F59">
        <w:t xml:space="preserve">housing </w:t>
      </w:r>
      <w:r>
        <w:t xml:space="preserve">compared with customers in single-family </w:t>
      </w:r>
      <w:r w:rsidR="00497F59">
        <w:t>housing</w:t>
      </w:r>
      <w:r>
        <w:t>.</w:t>
      </w:r>
    </w:p>
    <w:p w:rsidR="0098599B" w:rsidP="00521DCF" w:rsidRDefault="0098599B" w14:paraId="2BC2FEA1" w14:textId="278AC9E4">
      <w:pPr>
        <w:pStyle w:val="FoF"/>
      </w:pPr>
      <w:r w:rsidRPr="00C520F3">
        <w:t xml:space="preserve">It is reasonable </w:t>
      </w:r>
      <w:r>
        <w:t xml:space="preserve">for the income-graduated fixed charges of Liberty and Bear Valley to not </w:t>
      </w:r>
      <w:r w:rsidRPr="00C520F3">
        <w:t>reflect the different costs of serving small and large customers</w:t>
      </w:r>
      <w:r>
        <w:t>.</w:t>
      </w:r>
    </w:p>
    <w:p w:rsidR="00D437C5" w:rsidP="00D437C5" w:rsidRDefault="00D437C5" w14:paraId="0655069E" w14:textId="1EDE1D3C">
      <w:pPr>
        <w:pStyle w:val="FoF"/>
      </w:pPr>
      <w:bookmarkStart w:name="_Hlk161151394" w:id="80"/>
      <w:r>
        <w:t xml:space="preserve">It is reasonable to direct Liberty and Bear Valley to consult with </w:t>
      </w:r>
      <w:r w:rsidR="00AB5DA8">
        <w:t>PacifiCorp about</w:t>
      </w:r>
      <w:r>
        <w:t xml:space="preserve"> how to differentiate between customers who live in single- or multi-family housing</w:t>
      </w:r>
      <w:r w:rsidR="00AB5DA8">
        <w:t xml:space="preserve"> </w:t>
      </w:r>
      <w:r w:rsidR="002D6587">
        <w:t xml:space="preserve">and file a report in this proceeding about </w:t>
      </w:r>
      <w:r w:rsidR="001F348F">
        <w:t>its findings</w:t>
      </w:r>
      <w:r>
        <w:t xml:space="preserve">. </w:t>
      </w:r>
    </w:p>
    <w:bookmarkEnd w:id="80"/>
    <w:p w:rsidR="0098599B" w:rsidP="00521DCF" w:rsidRDefault="0098599B" w14:paraId="459D46B5" w14:textId="46AB3C88">
      <w:pPr>
        <w:pStyle w:val="FoF"/>
      </w:pPr>
      <w:r>
        <w:t>I</w:t>
      </w:r>
      <w:r w:rsidRPr="00CB1730">
        <w:t xml:space="preserve">t is reasonable for the Small Utilities to apply revenues collected through income-graduated fixed charges to reduce </w:t>
      </w:r>
      <w:r w:rsidR="0000459C">
        <w:t>distribution</w:t>
      </w:r>
      <w:r w:rsidRPr="00CB1730">
        <w:t xml:space="preserve"> rates equally during all hours of the day and during all seasons of the year.</w:t>
      </w:r>
    </w:p>
    <w:p w:rsidR="0098599B" w:rsidP="00521DCF" w:rsidRDefault="0098599B" w14:paraId="3DAE74C8" w14:textId="77777777">
      <w:pPr>
        <w:pStyle w:val="FoF"/>
      </w:pPr>
      <w:r w:rsidRPr="006B0AB1">
        <w:t xml:space="preserve">Section 739.1(c)(1) </w:t>
      </w:r>
      <w:r>
        <w:t xml:space="preserve">of the Pub. Util. Code </w:t>
      </w:r>
      <w:r w:rsidRPr="006B0AB1">
        <w:t>does not apply to the Small Utilities.</w:t>
      </w:r>
    </w:p>
    <w:p w:rsidR="0098599B" w:rsidP="00521DCF" w:rsidRDefault="0098599B" w14:paraId="68C2ED21" w14:textId="762140E4">
      <w:pPr>
        <w:pStyle w:val="FoF"/>
      </w:pPr>
      <w:r>
        <w:t>It is reasonable to approve the Settlement Agreement’s provision</w:t>
      </w:r>
      <w:r w:rsidR="00BA22A2">
        <w:t>s regarding application of the CARE discount</w:t>
      </w:r>
      <w:r>
        <w:t xml:space="preserve">. </w:t>
      </w:r>
    </w:p>
    <w:p w:rsidRPr="00C30DB4" w:rsidR="0098599B" w:rsidP="00521DCF" w:rsidRDefault="0098599B" w14:paraId="12432542" w14:textId="323DF543">
      <w:pPr>
        <w:pStyle w:val="FoF"/>
      </w:pPr>
      <w:r>
        <w:t xml:space="preserve">It is reasonable to authorize income-graduated fixed charges for all of the Small Utilities’ default and optional residential rate schedules, with the following exceptions: </w:t>
      </w:r>
      <w:r w:rsidRPr="008723CD">
        <w:t>master-metered rates that are not sub-metered, separately-metered electric vehicle rates for customers whose primary meter has an income-graduated fixed charge, and rate schedules that are scheduled to be eliminated by the second quarter of 2026.</w:t>
      </w:r>
    </w:p>
    <w:p w:rsidR="0098599B" w:rsidP="00521DCF" w:rsidRDefault="0098599B" w14:paraId="34F91ABC" w14:textId="0DF6EC9A">
      <w:pPr>
        <w:pStyle w:val="FoF"/>
      </w:pPr>
      <w:r>
        <w:t>It is reasonable for the Small Utilities to collaborate with the Large Utilities to learn more about the Large Utilities’ research findings, best practices, and detailed ME&amp;O plans for income-graduated fixed charges.</w:t>
      </w:r>
    </w:p>
    <w:p w:rsidRPr="00544361" w:rsidR="0098599B" w:rsidP="00521DCF" w:rsidRDefault="0098599B" w14:paraId="53837C42" w14:textId="54DF7A94">
      <w:pPr>
        <w:pStyle w:val="FoF"/>
      </w:pPr>
      <w:bookmarkStart w:name="_Hlk161151412" w:id="81"/>
      <w:r>
        <w:t xml:space="preserve">Each of the Small Utilities should (a) participate in Large Utilities’ joint ME&amp;O workshop to discuss the Large Utilities’ ME&amp;O plans, research findings, and messaging, and (b) include in its Tier 3 advice letter </w:t>
      </w:r>
      <w:r w:rsidR="00C55D9A">
        <w:t>(</w:t>
      </w:r>
      <w:r>
        <w:t>for implementing the income-graduated fixed charges</w:t>
      </w:r>
      <w:r w:rsidR="00093F13">
        <w:t>)</w:t>
      </w:r>
      <w:r>
        <w:t xml:space="preserve"> a utility-specific ME&amp;O plan, a line-item budget for ME&amp;O activity costs, and a justification for each proposed line-item cost.</w:t>
      </w:r>
    </w:p>
    <w:bookmarkEnd w:id="81"/>
    <w:p w:rsidR="0098599B" w:rsidP="00521DCF" w:rsidRDefault="0098599B" w14:paraId="7642C145" w14:textId="1C6E672B">
      <w:pPr>
        <w:pStyle w:val="FoF"/>
      </w:pPr>
      <w:r>
        <w:t xml:space="preserve">It is </w:t>
      </w:r>
      <w:bookmarkStart w:name="_Hlk161151420" w:id="82"/>
      <w:r>
        <w:t>reasonable to approve the following provisions for Small Utilities to calculate and recover an over- or under-collection of revenues by income-graduated fixed charges:</w:t>
      </w:r>
    </w:p>
    <w:p w:rsidR="0098599B" w:rsidP="00544A7B" w:rsidRDefault="0098599B" w14:paraId="79FD7756" w14:textId="5278A992">
      <w:pPr>
        <w:pStyle w:val="FoF"/>
        <w:numPr>
          <w:ilvl w:val="1"/>
          <w:numId w:val="6"/>
        </w:numPr>
        <w:spacing w:before="120" w:after="120" w:line="240" w:lineRule="auto"/>
        <w:ind w:right="1080"/>
      </w:pPr>
      <w:r>
        <w:t>Bear Valley and Liberty shall each record any over- or under-collection of revenues by income-graduated fixed charges as a separate line-item in its existing Base Revenue Requirement Balancing Account;</w:t>
      </w:r>
    </w:p>
    <w:p w:rsidR="0098599B" w:rsidP="00544A7B" w:rsidRDefault="0098599B" w14:paraId="0BD82770" w14:textId="7A0E34C8">
      <w:pPr>
        <w:pStyle w:val="FoF"/>
        <w:numPr>
          <w:ilvl w:val="1"/>
          <w:numId w:val="6"/>
        </w:numPr>
        <w:spacing w:before="120" w:after="120" w:line="240" w:lineRule="auto"/>
        <w:ind w:right="1080"/>
      </w:pPr>
      <w:r>
        <w:t>Bear Valley and Liberty may each file a Tier 2 advice letter to address any over- or under-collection of revenues recorded in its Base Revenue Requirement Balancing Account associated with income-graduated fixed charges. Each utility shall include in the advice letter the proposed amount of surcharge or credit to residential customer bills that would be implemented through a standalone adjustment schedule; and</w:t>
      </w:r>
    </w:p>
    <w:p w:rsidR="0098599B" w:rsidP="00544A7B" w:rsidRDefault="0098599B" w14:paraId="7E6DBDA3" w14:textId="4BB824D9">
      <w:pPr>
        <w:pStyle w:val="FoF"/>
        <w:numPr>
          <w:ilvl w:val="1"/>
          <w:numId w:val="6"/>
        </w:numPr>
        <w:spacing w:before="120" w:after="120" w:line="240" w:lineRule="auto"/>
        <w:ind w:right="1080"/>
      </w:pPr>
      <w:r>
        <w:t xml:space="preserve">PacifiCorp may file a Tier 2 advice letter once per year to propose to address any over- or under-collection of revenues from its income-graduated fixed charges. PacifiCorp shall include in the Tier 2 advice letter (i) its calculation of the over- or under-collection of revenues, and </w:t>
      </w:r>
      <w:r w:rsidR="006B0A99">
        <w:t xml:space="preserve">(ii) </w:t>
      </w:r>
      <w:r>
        <w:t>the proposed amount of surcharge or credit to residential customer bills that would be implemented through a standalone adjustment schedule.</w:t>
      </w:r>
    </w:p>
    <w:p w:rsidR="0098599B" w:rsidP="00521DCF" w:rsidRDefault="0098599B" w14:paraId="53112122" w14:textId="7FAEB342">
      <w:pPr>
        <w:pStyle w:val="FoF"/>
      </w:pPr>
      <w:bookmarkStart w:name="_Hlk161151430" w:id="83"/>
      <w:bookmarkEnd w:id="82"/>
      <w:r>
        <w:t xml:space="preserve">It is reasonable for each of the Small Utilities to serve a report on the service list of this proceeding within </w:t>
      </w:r>
      <w:r w:rsidR="00D150F0">
        <w:t>60</w:t>
      </w:r>
      <w:r>
        <w:t xml:space="preserve"> days after each anniversary of the launch of its income-graduated fixed charges </w:t>
      </w:r>
      <w:r w:rsidR="00227342">
        <w:t xml:space="preserve">with </w:t>
      </w:r>
      <w:r>
        <w:t xml:space="preserve">the following metrics: </w:t>
      </w:r>
      <w:r w:rsidRPr="00B51218">
        <w:t>number of customers in each tier, the number of customers who changed tiers, and average customer bill impacts for each tier and each baseline territory.</w:t>
      </w:r>
    </w:p>
    <w:p w:rsidRPr="00566582" w:rsidR="0098599B" w:rsidP="00521DCF" w:rsidRDefault="0098599B" w14:paraId="15FC0BFF" w14:textId="6E90E6D9">
      <w:pPr>
        <w:pStyle w:val="FoF"/>
      </w:pPr>
      <w:r>
        <w:t>Each of the Small Utilities should (a) establish a memorandum account to track all implementation costs and incremental administration costs of income-graduated fixed charges, and (b) include a proposed implementation and administrative costs budget, with a breakdown by line-item and a justification for each line-item, in its Tier 3 advice letter for implementing income-graduated fixed charges.</w:t>
      </w:r>
    </w:p>
    <w:p w:rsidR="0098599B" w:rsidP="00521DCF" w:rsidRDefault="0098599B" w14:paraId="0164E479" w14:textId="6C1FE3E9">
      <w:pPr>
        <w:pStyle w:val="FoF"/>
      </w:pPr>
      <w:r>
        <w:t>It is reasonable to direct each of the Small Utilities to</w:t>
      </w:r>
      <w:r w:rsidRPr="00142FAA">
        <w:t xml:space="preserve"> file a Tier 3 advice letter within </w:t>
      </w:r>
      <w:r w:rsidR="00D150F0">
        <w:t>120</w:t>
      </w:r>
      <w:r>
        <w:t xml:space="preserve"> </w:t>
      </w:r>
      <w:r w:rsidRPr="00142FAA">
        <w:t xml:space="preserve">days of </w:t>
      </w:r>
      <w:r w:rsidR="006A36FA">
        <w:t xml:space="preserve">the issuance date of </w:t>
      </w:r>
      <w:r w:rsidRPr="00142FAA">
        <w:t>this decision to implement income</w:t>
      </w:r>
      <w:r w:rsidR="00093F13">
        <w:t>-</w:t>
      </w:r>
      <w:r w:rsidRPr="00142FAA">
        <w:t xml:space="preserve">graduated fixed charges. </w:t>
      </w:r>
    </w:p>
    <w:bookmarkEnd w:id="83"/>
    <w:p w:rsidR="006052AC" w:rsidP="00521DCF" w:rsidRDefault="0098599B" w14:paraId="6506B41E" w14:textId="5A5A4F66">
      <w:pPr>
        <w:pStyle w:val="FoF"/>
      </w:pPr>
      <w:r>
        <w:t>Each of the</w:t>
      </w:r>
      <w:r w:rsidRPr="00142FAA">
        <w:t xml:space="preserve"> </w:t>
      </w:r>
      <w:r>
        <w:t xml:space="preserve">Small Utilities’ Tier 3 implementation </w:t>
      </w:r>
      <w:r w:rsidRPr="00142FAA">
        <w:t>advice letter</w:t>
      </w:r>
      <w:r>
        <w:t>s</w:t>
      </w:r>
      <w:r w:rsidRPr="00142FAA">
        <w:t xml:space="preserve"> sh</w:t>
      </w:r>
      <w:r>
        <w:t>ould</w:t>
      </w:r>
      <w:r w:rsidRPr="00142FAA">
        <w:t xml:space="preserve"> include </w:t>
      </w:r>
      <w:r>
        <w:t>an implementation schedule that facilitates beginning to apply income-graduated fixed charges to Small Utilities’ customers by the first quarter of 2026.</w:t>
      </w:r>
    </w:p>
    <w:p w:rsidR="00D45A68" w:rsidP="00521DCF" w:rsidRDefault="00D45A68" w14:paraId="3FDC58BD" w14:textId="454B20D6">
      <w:pPr>
        <w:pStyle w:val="FoF"/>
      </w:pPr>
      <w:r>
        <w:t>It is reasonable to affirm</w:t>
      </w:r>
      <w:r w:rsidRPr="00D45A68">
        <w:t xml:space="preserve"> all rulings made by the assigned ALJ or </w:t>
      </w:r>
      <w:r w:rsidR="004A3DA7">
        <w:t xml:space="preserve">the </w:t>
      </w:r>
      <w:r w:rsidRPr="00D45A68">
        <w:t>assigned Commissioner in this proceeding.</w:t>
      </w:r>
    </w:p>
    <w:p w:rsidRPr="001E2A62" w:rsidR="00654676" w:rsidP="00521DCF" w:rsidRDefault="00654676" w14:paraId="7A357F1D" w14:textId="28681607">
      <w:pPr>
        <w:pStyle w:val="FoF"/>
      </w:pPr>
      <w:r>
        <w:t>Th</w:t>
      </w:r>
      <w:r w:rsidR="006A36FA">
        <w:t>is</w:t>
      </w:r>
      <w:r>
        <w:t xml:space="preserve"> proceeding should remain open.</w:t>
      </w:r>
    </w:p>
    <w:p w:rsidR="00BB0243" w:rsidP="000A6E05" w:rsidRDefault="005939A5" w14:paraId="54C3BC0B" w14:textId="77777777">
      <w:pPr>
        <w:pStyle w:val="Mainex"/>
      </w:pPr>
      <w:bookmarkStart w:name="_Toc160790072" w:id="84"/>
      <w:r>
        <w:t>O</w:t>
      </w:r>
      <w:r w:rsidR="00722850">
        <w:t>RDER</w:t>
      </w:r>
      <w:bookmarkEnd w:id="84"/>
    </w:p>
    <w:p w:rsidR="00BB0243" w:rsidP="000A6E05" w:rsidRDefault="00BB0243" w14:paraId="7411C889" w14:textId="77777777">
      <w:pPr>
        <w:keepNext/>
      </w:pPr>
      <w:r w:rsidRPr="00BB0243">
        <w:rPr>
          <w:b/>
        </w:rPr>
        <w:t>IT IS ORDERED</w:t>
      </w:r>
      <w:r>
        <w:t xml:space="preserve"> that:</w:t>
      </w:r>
    </w:p>
    <w:p w:rsidR="00E30F43" w:rsidP="006810D0" w:rsidRDefault="00E30F43" w14:paraId="7A8FF042" w14:textId="08BBE85D">
      <w:pPr>
        <w:pStyle w:val="FoF"/>
        <w:numPr>
          <w:ilvl w:val="0"/>
          <w:numId w:val="27"/>
        </w:numPr>
        <w:ind w:left="0"/>
      </w:pPr>
      <w:r>
        <w:t>Pacific Gas and Electric Company, Southern California Edison Company, San Diego Gas &amp; Electric Company</w:t>
      </w:r>
      <w:r w:rsidR="006F7423">
        <w:t xml:space="preserve">, </w:t>
      </w:r>
      <w:r w:rsidRPr="006F7423" w:rsidR="006F7423">
        <w:t xml:space="preserve">Bear Valley Electric Service, Inc., Liberty Utilities, and PacificCorp d/b/a Pacific Power </w:t>
      </w:r>
      <w:r>
        <w:t xml:space="preserve">shall each file a Tier 1 advice letter within 30 days of the </w:t>
      </w:r>
      <w:r w:rsidR="00654676">
        <w:t xml:space="preserve">issuance </w:t>
      </w:r>
      <w:r>
        <w:t xml:space="preserve">date of this decision to create </w:t>
      </w:r>
      <w:r w:rsidR="00754B2A">
        <w:t xml:space="preserve">(a) </w:t>
      </w:r>
      <w:r>
        <w:t>a new Income-Graduated Fixed Charge Memorandum Account</w:t>
      </w:r>
      <w:r w:rsidR="00754B2A">
        <w:t xml:space="preserve"> </w:t>
      </w:r>
      <w:r w:rsidRPr="00754B2A" w:rsidR="00754B2A">
        <w:t>and (b) a new Income-Graduated Fixed Charge Balancing Account</w:t>
      </w:r>
      <w:r>
        <w:t>.</w:t>
      </w:r>
    </w:p>
    <w:p w:rsidR="00FE4723" w:rsidP="00FE4723" w:rsidRDefault="00FE4723" w14:paraId="74C17B4D" w14:textId="6FDA6FBC">
      <w:pPr>
        <w:pStyle w:val="FoF"/>
      </w:pPr>
      <w:r w:rsidRPr="00FE4723">
        <w:t>Pacific Gas and Electric Company</w:t>
      </w:r>
      <w:r>
        <w:t xml:space="preserve"> shall </w:t>
      </w:r>
      <w:r w:rsidRPr="003E2F98">
        <w:t xml:space="preserve">issue a request for proposals and enter into a contract with </w:t>
      </w:r>
      <w:r>
        <w:t>a contractor</w:t>
      </w:r>
      <w:r w:rsidRPr="003E2F98">
        <w:t xml:space="preserve"> with expertise in implementing income verification processes</w:t>
      </w:r>
      <w:r>
        <w:t xml:space="preserve"> to provide the services described in this decision </w:t>
      </w:r>
      <w:r w:rsidRPr="003E2F98">
        <w:t>within 8 months of the issuance date of this decision.</w:t>
      </w:r>
    </w:p>
    <w:p w:rsidR="00E30F43" w:rsidP="00EC501A" w:rsidRDefault="00E30F43" w14:paraId="7F00FCCC" w14:textId="2530169C">
      <w:pPr>
        <w:pStyle w:val="FoF"/>
      </w:pPr>
      <w:r>
        <w:t>Pacific Gas and Electric Company, Southern California Edison Company, and San Diego Gas &amp; Electric Company shall</w:t>
      </w:r>
      <w:r w:rsidR="00EC501A">
        <w:t xml:space="preserve"> (a) </w:t>
      </w:r>
      <w:r w:rsidRPr="00EC501A" w:rsidR="00EC501A">
        <w:t xml:space="preserve">meet and confer </w:t>
      </w:r>
      <w:r w:rsidRPr="00417B6C" w:rsidR="00417B6C">
        <w:t xml:space="preserve">with each other and the Commission’s staff </w:t>
      </w:r>
      <w:r w:rsidRPr="00EC501A" w:rsidR="00EC501A">
        <w:t xml:space="preserve">to </w:t>
      </w:r>
      <w:r w:rsidR="000C4873">
        <w:t xml:space="preserve">strive to </w:t>
      </w:r>
      <w:r w:rsidRPr="00EC501A" w:rsidR="00EC501A">
        <w:t>develop consistent proposed terminology, high-level messages, and metrics</w:t>
      </w:r>
      <w:r w:rsidR="00EC501A">
        <w:t xml:space="preserve">, (b) </w:t>
      </w:r>
      <w:r w:rsidR="00417B6C">
        <w:t xml:space="preserve">within 60 days of the issuance date of this decision, </w:t>
      </w:r>
      <w:r w:rsidRPr="00B62B8B" w:rsidR="00417B6C">
        <w:t>invite parties to this proceeding</w:t>
      </w:r>
      <w:r w:rsidR="00417B6C">
        <w:t xml:space="preserve"> to a workshop, consult with the Commission’s staff to plan the workshop,</w:t>
      </w:r>
      <w:r w:rsidRPr="00B62B8B" w:rsidR="00417B6C">
        <w:t xml:space="preserve"> </w:t>
      </w:r>
      <w:r w:rsidR="00417B6C">
        <w:t xml:space="preserve">and </w:t>
      </w:r>
      <w:r w:rsidRPr="00B62B8B" w:rsidR="00EC501A">
        <w:t xml:space="preserve">jointly host a public workshop to discuss each utility’s </w:t>
      </w:r>
      <w:r w:rsidR="00EC501A">
        <w:t>marketing, education, and outreach</w:t>
      </w:r>
      <w:r w:rsidRPr="00B62B8B" w:rsidR="00EC501A">
        <w:t xml:space="preserve"> plan and </w:t>
      </w:r>
      <w:r w:rsidR="008C6EFA">
        <w:t xml:space="preserve">proposed </w:t>
      </w:r>
      <w:r w:rsidRPr="00B62B8B" w:rsidR="00EC501A">
        <w:t>terminology, high-level messages, and metrics</w:t>
      </w:r>
      <w:r w:rsidR="00EC501A">
        <w:t xml:space="preserve">, and (c) within 90 days of the issuance date of this decision, each </w:t>
      </w:r>
      <w:r>
        <w:t>file a Tier 3 advice letter to implement income-graduated fixed charges, remove minimum bills from residential customer bills (if applicable), and propose a</w:t>
      </w:r>
      <w:r w:rsidR="00EC501A">
        <w:t xml:space="preserve"> marketing, education, and outreach plan. </w:t>
      </w:r>
    </w:p>
    <w:p w:rsidR="003C219C" w:rsidP="003C219C" w:rsidRDefault="00E30F43" w14:paraId="02860D2A" w14:textId="7B258363">
      <w:pPr>
        <w:pStyle w:val="FoF"/>
      </w:pPr>
      <w:r>
        <w:t xml:space="preserve">Pacific Gas and Electric Company, Southern California Edison Company, and San Diego Gas &amp; Electric Company shall each </w:t>
      </w:r>
      <w:r w:rsidDel="00FF6143">
        <w:t xml:space="preserve">file a Tier 1 advice letter </w:t>
      </w:r>
      <w:r w:rsidR="0A564F61">
        <w:t>by December 15, 2024</w:t>
      </w:r>
      <w:r w:rsidDel="00FF6143">
        <w:t xml:space="preserve"> to </w:t>
      </w:r>
      <w:r>
        <w:t xml:space="preserve">implement the </w:t>
      </w:r>
      <w:r w:rsidR="003C219C">
        <w:t xml:space="preserve">adopted </w:t>
      </w:r>
      <w:r>
        <w:t>process for calculating and applying C</w:t>
      </w:r>
      <w:r w:rsidR="00B65E74">
        <w:t xml:space="preserve">alifornia </w:t>
      </w:r>
      <w:r>
        <w:t>A</w:t>
      </w:r>
      <w:r w:rsidR="00B65E74">
        <w:t xml:space="preserve">lternate </w:t>
      </w:r>
      <w:r>
        <w:t>R</w:t>
      </w:r>
      <w:r w:rsidR="00B65E74">
        <w:t>ates for Energy</w:t>
      </w:r>
      <w:r>
        <w:t xml:space="preserve"> discounts</w:t>
      </w:r>
      <w:r w:rsidR="00944158">
        <w:t>, effective January 1, 2025</w:t>
      </w:r>
      <w:r w:rsidR="003C219C">
        <w:t>.</w:t>
      </w:r>
    </w:p>
    <w:p w:rsidR="0027268A" w:rsidP="00521DCF" w:rsidRDefault="0027268A" w14:paraId="1C5AEAB5" w14:textId="2010649D">
      <w:pPr>
        <w:pStyle w:val="FoF"/>
      </w:pPr>
      <w:r w:rsidRPr="0027268A">
        <w:t>Pacific Gas and Electric Company, Southern California Edison Company, and San Diego Gas &amp; Electric Company shall (a) each prepare a study on the collection and use of data that identifies whether a given residential customer lives in single- or multi-family housing (either directly or through a proxy indicator such as a shared service drop; several options may be evaluated in the study), including the feasibility and cost of collecting such data, the timeline for data collection, the reliability of the data, the difference in cost of serving the different customer types, and any other information that will inform the design of income-graduated fixed charge</w:t>
      </w:r>
      <w:r w:rsidR="0057670C">
        <w:t>s</w:t>
      </w:r>
      <w:r w:rsidRPr="0027268A">
        <w:t xml:space="preserve"> that differentiate between single- and multi-family households; (b) jointly host a </w:t>
      </w:r>
      <w:r w:rsidR="00726AF6">
        <w:t xml:space="preserve">public </w:t>
      </w:r>
      <w:r w:rsidRPr="0027268A">
        <w:t>workshop and present these findings at the workshop by the end of February 2025; and (c) each file a report that incorporates any feedback gathered from parties at the workshop in this proceeding within 90 days of the workshop.</w:t>
      </w:r>
    </w:p>
    <w:p w:rsidR="00EC501A" w:rsidP="00521DCF" w:rsidRDefault="00EC501A" w14:paraId="1FBF3B6A" w14:textId="35C6107F">
      <w:pPr>
        <w:pStyle w:val="FoF"/>
      </w:pPr>
      <w:r w:rsidRPr="00EC501A">
        <w:t>Pacific Gas and Electric Company, Southern California Edison Company, and San Diego Gas &amp; Electric Company shall</w:t>
      </w:r>
      <w:r>
        <w:t xml:space="preserve"> </w:t>
      </w:r>
      <w:r w:rsidRPr="00EC501A">
        <w:t xml:space="preserve">(a) record over- or under-collections of revenues compared to projected revenues from income-graduated fixed charges in its respective </w:t>
      </w:r>
      <w:r w:rsidRPr="00754B2A" w:rsidR="00754B2A">
        <w:t>Income</w:t>
      </w:r>
      <w:r w:rsidR="00754B2A">
        <w:t>-</w:t>
      </w:r>
      <w:r w:rsidRPr="00754B2A" w:rsidR="00754B2A">
        <w:t>Graduated Fixed Charge Balancing Account</w:t>
      </w:r>
      <w:r w:rsidRPr="00EC501A">
        <w:t xml:space="preserve">, and (b) propose in each </w:t>
      </w:r>
      <w:r>
        <w:t>a</w:t>
      </w:r>
      <w:r w:rsidRPr="00EC501A">
        <w:t xml:space="preserve">nnual </w:t>
      </w:r>
      <w:r>
        <w:t>t</w:t>
      </w:r>
      <w:r w:rsidRPr="00EC501A">
        <w:t>rue-</w:t>
      </w:r>
      <w:r>
        <w:t>u</w:t>
      </w:r>
      <w:r w:rsidRPr="00EC501A">
        <w:t xml:space="preserve">p </w:t>
      </w:r>
      <w:r>
        <w:t>a</w:t>
      </w:r>
      <w:r w:rsidRPr="00EC501A">
        <w:t xml:space="preserve">dvice </w:t>
      </w:r>
      <w:r>
        <w:t>l</w:t>
      </w:r>
      <w:r w:rsidRPr="00EC501A">
        <w:t xml:space="preserve">etter how to modify </w:t>
      </w:r>
      <w:r w:rsidR="00754B2A">
        <w:t xml:space="preserve">distribution </w:t>
      </w:r>
      <w:r w:rsidRPr="00EC501A">
        <w:t>rates to account for over- or under-collections of revenues by the income-graduated fixed charges compared to projected revenues.</w:t>
      </w:r>
    </w:p>
    <w:p w:rsidR="00D351CF" w:rsidP="00D351CF" w:rsidRDefault="00EC501A" w14:paraId="38FF0ED2" w14:textId="77777777">
      <w:pPr>
        <w:pStyle w:val="FoF"/>
      </w:pPr>
      <w:r w:rsidRPr="00EC501A">
        <w:t>Pacific Gas and Electric Company, Southern California Edison Company, and San Diego Gas &amp; Electric Company shall</w:t>
      </w:r>
      <w:r>
        <w:t xml:space="preserve"> each (a) </w:t>
      </w:r>
      <w:r w:rsidRPr="00EC501A">
        <w:t>report metrics on income-graduated fixed charges and associated</w:t>
      </w:r>
      <w:r w:rsidR="00B65E74">
        <w:t xml:space="preserve"> marketing, education, and outreach </w:t>
      </w:r>
      <w:r w:rsidRPr="00EC501A">
        <w:t>efforts within 30 days of each calendar quarter to the service list of this proceeding</w:t>
      </w:r>
      <w:r>
        <w:t xml:space="preserve">, and </w:t>
      </w:r>
      <w:r w:rsidRPr="00EC501A">
        <w:t xml:space="preserve">(b) present metrics and lessons learned from income-graduated fixed charges and associated </w:t>
      </w:r>
      <w:r>
        <w:t>marketing, education, and outreach</w:t>
      </w:r>
      <w:r w:rsidRPr="00EC501A">
        <w:t xml:space="preserve"> efforts to the</w:t>
      </w:r>
      <w:r>
        <w:t xml:space="preserve"> i</w:t>
      </w:r>
      <w:r w:rsidRPr="00EC501A">
        <w:t xml:space="preserve">mplementation </w:t>
      </w:r>
      <w:r>
        <w:t>w</w:t>
      </w:r>
      <w:r w:rsidRPr="00EC501A">
        <w:t xml:space="preserve">orking </w:t>
      </w:r>
      <w:r>
        <w:t>g</w:t>
      </w:r>
      <w:r w:rsidRPr="00EC501A">
        <w:t xml:space="preserve">roup </w:t>
      </w:r>
      <w:r>
        <w:t>for income-graduated fixed charges</w:t>
      </w:r>
      <w:r w:rsidRPr="00EC501A">
        <w:t xml:space="preserve"> at least once per calendar quarter.</w:t>
      </w:r>
    </w:p>
    <w:p w:rsidR="00B65E74" w:rsidP="00175A6B" w:rsidRDefault="00B65E74" w14:paraId="5C6CE988" w14:textId="5FC602BD">
      <w:pPr>
        <w:pStyle w:val="FoF"/>
      </w:pPr>
      <w:r>
        <w:t>T</w:t>
      </w:r>
      <w:r w:rsidRPr="00434E2F">
        <w:t xml:space="preserve">he </w:t>
      </w:r>
      <w:r w:rsidR="00175A6B">
        <w:t xml:space="preserve">settlement agreement </w:t>
      </w:r>
      <w:r w:rsidR="00D908A3">
        <w:t>attached to this decision as Attachment C</w:t>
      </w:r>
      <w:r w:rsidR="00175A6B">
        <w:t xml:space="preserve"> </w:t>
      </w:r>
      <w:r w:rsidRPr="00175A6B" w:rsidR="00175A6B">
        <w:t>is approved and adopted</w:t>
      </w:r>
      <w:r w:rsidR="00175A6B">
        <w:t>,</w:t>
      </w:r>
      <w:r w:rsidRPr="00434E2F">
        <w:t xml:space="preserve"> with the exception of </w:t>
      </w:r>
      <w:r w:rsidR="00F10B8F">
        <w:t xml:space="preserve">(a) </w:t>
      </w:r>
      <w:r w:rsidRPr="00434E2F">
        <w:t>the proposal to recover each of the</w:t>
      </w:r>
      <w:r w:rsidR="00175A6B">
        <w:t xml:space="preserve"> small</w:t>
      </w:r>
      <w:r w:rsidR="00D908A3">
        <w:t xml:space="preserve"> and multijurisdictional</w:t>
      </w:r>
      <w:r w:rsidR="00175A6B">
        <w:t xml:space="preserve"> utilities’ </w:t>
      </w:r>
      <w:r w:rsidRPr="00434E2F">
        <w:t xml:space="preserve">base revenues and </w:t>
      </w:r>
      <w:r w:rsidRPr="00F10B8F" w:rsidR="00F10B8F">
        <w:t>Bear Valley Electric Service, Inc</w:t>
      </w:r>
      <w:r w:rsidR="00F10B8F">
        <w:t xml:space="preserve">.’s </w:t>
      </w:r>
      <w:r w:rsidRPr="00434E2F">
        <w:t xml:space="preserve">General Rate Case Revenue Requirement Memorandum Account </w:t>
      </w:r>
      <w:r w:rsidR="00F10B8F">
        <w:t xml:space="preserve">and (b) the </w:t>
      </w:r>
      <w:r w:rsidR="00D908A3">
        <w:t>proposed</w:t>
      </w:r>
      <w:r w:rsidRPr="00434E2F">
        <w:t xml:space="preserve"> fixed charge levels</w:t>
      </w:r>
      <w:r w:rsidR="00F10B8F">
        <w:t>.</w:t>
      </w:r>
    </w:p>
    <w:p w:rsidR="00170B11" w:rsidP="00170B11" w:rsidRDefault="00170B11" w14:paraId="7EFF30E6" w14:textId="35D8A3AA">
      <w:pPr>
        <w:pStyle w:val="FoF"/>
      </w:pPr>
      <w:r w:rsidRPr="00170B11">
        <w:t>Bear Valley Electric Service, Inc., Liberty Utilities, and PacificCorp d/b/a Pacific Power shall each</w:t>
      </w:r>
      <w:r>
        <w:t xml:space="preserve"> </w:t>
      </w:r>
      <w:r w:rsidRPr="00170B11">
        <w:t xml:space="preserve">file a Tier 1 advice letter within 30 days of the issuance date of this decision to create a </w:t>
      </w:r>
      <w:r>
        <w:t xml:space="preserve">new income-graduated fixed charges </w:t>
      </w:r>
      <w:r w:rsidRPr="00170B11">
        <w:t>memorandum account to track all implementation costs and incremental administration costs of income-graduated fixed charges</w:t>
      </w:r>
      <w:r>
        <w:t>.</w:t>
      </w:r>
    </w:p>
    <w:p w:rsidR="00152917" w:rsidP="00152917" w:rsidRDefault="00AB7C8C" w14:paraId="3E24348A" w14:textId="692E5DE1">
      <w:pPr>
        <w:pStyle w:val="FoF"/>
      </w:pPr>
      <w:r w:rsidRPr="00AB7C8C">
        <w:t>Bear Valley Electric Service, Inc.</w:t>
      </w:r>
      <w:r>
        <w:t xml:space="preserve">, </w:t>
      </w:r>
      <w:r w:rsidRPr="00AB7C8C">
        <w:t>Liberty Utilities</w:t>
      </w:r>
      <w:r>
        <w:t xml:space="preserve">, and </w:t>
      </w:r>
      <w:r w:rsidRPr="00AB7C8C">
        <w:t>PacificCorp d/b/a Pacific Power</w:t>
      </w:r>
      <w:r w:rsidR="00E30F43">
        <w:t xml:space="preserve"> shall each</w:t>
      </w:r>
      <w:r w:rsidR="00170B11">
        <w:t xml:space="preserve"> (a)</w:t>
      </w:r>
      <w:r w:rsidRPr="00170B11" w:rsidR="00170B11">
        <w:t xml:space="preserve"> participate </w:t>
      </w:r>
      <w:r w:rsidR="00170B11">
        <w:t>in the large utilities’</w:t>
      </w:r>
      <w:r w:rsidRPr="00170B11" w:rsidR="00170B11">
        <w:t xml:space="preserve"> </w:t>
      </w:r>
      <w:r w:rsidR="00170B11">
        <w:t>marketing, education, and outreach</w:t>
      </w:r>
      <w:r w:rsidRPr="00170B11" w:rsidR="00170B11">
        <w:t xml:space="preserve"> workshop to discuss the </w:t>
      </w:r>
      <w:r w:rsidR="00170B11">
        <w:t>large utilities’</w:t>
      </w:r>
      <w:r w:rsidRPr="00170B11" w:rsidR="00170B11">
        <w:t xml:space="preserve"> plans, research findings, and messaging, and (b)</w:t>
      </w:r>
      <w:r w:rsidR="00E30F43">
        <w:t xml:space="preserve"> </w:t>
      </w:r>
      <w:r w:rsidR="00170B11">
        <w:t xml:space="preserve">within </w:t>
      </w:r>
      <w:r w:rsidR="00D150F0">
        <w:t xml:space="preserve">120 </w:t>
      </w:r>
      <w:r w:rsidR="00170B11">
        <w:t xml:space="preserve">days of the issuance date of this decision, </w:t>
      </w:r>
      <w:r w:rsidR="00E30F43">
        <w:t>file a Tier 3 advice letter to implement income-graduated fixed charges</w:t>
      </w:r>
      <w:r w:rsidR="00170B11">
        <w:t>,</w:t>
      </w:r>
      <w:r w:rsidR="00E30F43">
        <w:t xml:space="preserve"> propose </w:t>
      </w:r>
      <w:r w:rsidR="00B65E74">
        <w:t>a marketing, education, and outreach</w:t>
      </w:r>
      <w:r w:rsidR="00E30F43">
        <w:t xml:space="preserve"> plan</w:t>
      </w:r>
      <w:r w:rsidR="00170B11">
        <w:t xml:space="preserve">, propose </w:t>
      </w:r>
      <w:r w:rsidRPr="00170B11" w:rsidR="00170B11">
        <w:t xml:space="preserve">a line-item budget for </w:t>
      </w:r>
      <w:r w:rsidR="00170B11">
        <w:t>implementation costs</w:t>
      </w:r>
      <w:r w:rsidRPr="00170B11" w:rsidR="00170B11">
        <w:t>, and</w:t>
      </w:r>
      <w:r w:rsidR="00170B11">
        <w:t xml:space="preserve"> provide</w:t>
      </w:r>
      <w:r w:rsidRPr="00170B11" w:rsidR="00170B11">
        <w:t xml:space="preserve"> a justification for each proposed line-item cost</w:t>
      </w:r>
      <w:r w:rsidR="00E30F43">
        <w:t>.</w:t>
      </w:r>
      <w:r w:rsidR="00152917">
        <w:t xml:space="preserve"> Each of the small </w:t>
      </w:r>
      <w:r w:rsidR="00D908A3">
        <w:t xml:space="preserve">and multijurisdictional </w:t>
      </w:r>
      <w:r w:rsidR="00152917">
        <w:t>utilities shall include the following information in the Tier 3 advice letter: (i) a list of all base revenue cost categories that the utility proposes to recover through its income-graduated fixed charges and the revenue requirement associated with each cost category; (ii) an explanation of why each listed base revenue cost category is a fixed cost similar to a category approved for recovery through this decision; (iii) the revenue requirement for each of the fixed cost categories approved in this decision, if applicable to the utility; (iv) an explanation of how each base revenue cost category was converted from the current volumetric rate to a new per customer rate, if it is incremental to the current fixed charges; (v) proposed fixed charge levels; and (vi) a bill impact analysis demonstrating that both Tier 1 and Tier 2 customers with average electricity usage in each baseline territory will realize a bill savings compared to currently effective rates.</w:t>
      </w:r>
    </w:p>
    <w:p w:rsidR="00AC1EED" w:rsidP="00FE752C" w:rsidRDefault="00170B11" w14:paraId="2015A439" w14:textId="2000947C">
      <w:pPr>
        <w:pStyle w:val="FoF"/>
      </w:pPr>
      <w:r w:rsidRPr="00170B11">
        <w:t>Bear Valley Electric Service, Inc.</w:t>
      </w:r>
      <w:r>
        <w:t xml:space="preserve"> and </w:t>
      </w:r>
      <w:r w:rsidRPr="00170B11">
        <w:t xml:space="preserve">Liberty Utilities </w:t>
      </w:r>
      <w:r>
        <w:t>shall each record any over- or under-collection of revenues by income-graduated fixed charges as a separate line-item in its existing Base Revenue Requirement Balancing Account.</w:t>
      </w:r>
    </w:p>
    <w:p w:rsidR="00AC1EED" w:rsidP="00AC1EED" w:rsidRDefault="004B659D" w14:paraId="1AE90A5D" w14:textId="726B7934">
      <w:pPr>
        <w:pStyle w:val="FoF"/>
      </w:pPr>
      <w:r w:rsidRPr="004B659D">
        <w:t>Bear Valley Electric Service, Inc.</w:t>
      </w:r>
      <w:r w:rsidR="00BB6B5D">
        <w:t xml:space="preserve"> and </w:t>
      </w:r>
      <w:r w:rsidRPr="004B659D">
        <w:t>Liberty Utilities</w:t>
      </w:r>
      <w:r w:rsidR="00BB6B5D">
        <w:t xml:space="preserve"> </w:t>
      </w:r>
      <w:r w:rsidRPr="004B659D">
        <w:t xml:space="preserve">shall each </w:t>
      </w:r>
      <w:r w:rsidR="00252AFF">
        <w:t xml:space="preserve">(a) </w:t>
      </w:r>
      <w:r w:rsidRPr="004B659D">
        <w:t xml:space="preserve">consult with PacificCorp d/b/a Pacific Power to understand </w:t>
      </w:r>
      <w:r w:rsidR="00640DE0">
        <w:t>how PacifiCorp</w:t>
      </w:r>
      <w:r w:rsidRPr="004B659D">
        <w:t xml:space="preserve"> differentiate</w:t>
      </w:r>
      <w:r w:rsidR="00640DE0">
        <w:t>s</w:t>
      </w:r>
      <w:r w:rsidRPr="004B659D">
        <w:t xml:space="preserve"> between single- and multi-family </w:t>
      </w:r>
      <w:r w:rsidR="00137B84">
        <w:t>housing</w:t>
      </w:r>
      <w:r w:rsidRPr="004B659D">
        <w:t xml:space="preserve"> and whether it would be feasible </w:t>
      </w:r>
      <w:r w:rsidR="003459E1">
        <w:t xml:space="preserve">for the utility </w:t>
      </w:r>
      <w:r w:rsidRPr="004B659D">
        <w:t>to collect and use similar data for the purpose of differentiating fixed charges</w:t>
      </w:r>
      <w:r w:rsidR="00252AFF">
        <w:t>; (b)</w:t>
      </w:r>
      <w:r w:rsidRPr="004B659D">
        <w:t xml:space="preserve"> present their findings at the workshop hosted by the </w:t>
      </w:r>
      <w:r w:rsidR="00CA55BD">
        <w:t xml:space="preserve">large utilities </w:t>
      </w:r>
      <w:r w:rsidR="00EA12B0">
        <w:t>regarding differentiating between single- and multi-family households</w:t>
      </w:r>
      <w:r w:rsidR="00904BBA">
        <w:t>;</w:t>
      </w:r>
      <w:r w:rsidR="00EA12B0">
        <w:t xml:space="preserve"> and </w:t>
      </w:r>
      <w:r w:rsidR="007B263B">
        <w:t>(c)</w:t>
      </w:r>
      <w:r w:rsidRPr="004B659D">
        <w:t xml:space="preserve"> file a repor</w:t>
      </w:r>
      <w:r w:rsidR="00506DE2">
        <w:t>t</w:t>
      </w:r>
      <w:r w:rsidR="00A90173">
        <w:t xml:space="preserve"> in this proceeding within 90 days of the workshop</w:t>
      </w:r>
      <w:r w:rsidRPr="004B659D">
        <w:t>.</w:t>
      </w:r>
    </w:p>
    <w:p w:rsidRPr="00E30F43" w:rsidR="00AC1EED" w:rsidP="00AC1EED" w:rsidRDefault="00AC1EED" w14:paraId="4FAB3570" w14:textId="32D476C0">
      <w:pPr>
        <w:pStyle w:val="FoF"/>
      </w:pPr>
      <w:r w:rsidRPr="00AC1EED">
        <w:t xml:space="preserve">Bear Valley Electric Service, Inc., Liberty Utilities, and PacificCorp d/b/a Pacific Power shall each </w:t>
      </w:r>
      <w:r>
        <w:t xml:space="preserve">serve a report on the service list of this proceeding within </w:t>
      </w:r>
      <w:r w:rsidR="00D150F0">
        <w:t xml:space="preserve">60 </w:t>
      </w:r>
      <w:r>
        <w:t xml:space="preserve">days after each anniversary of the launch of its income-graduated fixed charges the following metrics: </w:t>
      </w:r>
      <w:r w:rsidRPr="00B51218">
        <w:t>number of customers in each tier, the number of customers who changed tiers, and average customer bill impacts for each tier and each baseline territory.</w:t>
      </w:r>
    </w:p>
    <w:p w:rsidR="00D45A68" w:rsidP="00521DCF" w:rsidRDefault="00D45A68" w14:paraId="08184207" w14:textId="5695B391">
      <w:pPr>
        <w:pStyle w:val="FoF"/>
      </w:pPr>
      <w:r>
        <w:t xml:space="preserve">All </w:t>
      </w:r>
      <w:r w:rsidRPr="009F6E3E" w:rsidR="009F6E3E">
        <w:t>rulings made by the assigned A</w:t>
      </w:r>
      <w:r w:rsidR="00AC1EED">
        <w:t>dministrative Law Judge</w:t>
      </w:r>
      <w:r w:rsidRPr="009F6E3E" w:rsidR="009F6E3E">
        <w:t xml:space="preserve"> or </w:t>
      </w:r>
      <w:r w:rsidR="004A3DA7">
        <w:t xml:space="preserve">the </w:t>
      </w:r>
      <w:r w:rsidRPr="009F6E3E" w:rsidR="009F6E3E">
        <w:t>assigned Commissioner in this proceeding</w:t>
      </w:r>
      <w:r w:rsidR="009F6E3E">
        <w:t xml:space="preserve"> are affirmed</w:t>
      </w:r>
      <w:r w:rsidRPr="009F6E3E" w:rsidR="009F6E3E">
        <w:t>.</w:t>
      </w:r>
    </w:p>
    <w:p w:rsidR="00F6397D" w:rsidP="00521DCF" w:rsidRDefault="00E23CBB" w14:paraId="69DA62DB" w14:textId="6DBD093C">
      <w:pPr>
        <w:pStyle w:val="FoF"/>
      </w:pPr>
      <w:r w:rsidRPr="001E2A62">
        <w:t>Rulemakin</w:t>
      </w:r>
      <w:r w:rsidR="00EB666D">
        <w:t>g 22-07-005 remains open.</w:t>
      </w:r>
    </w:p>
    <w:p w:rsidR="008F0116" w:rsidP="008F0116" w:rsidRDefault="008F0116" w14:paraId="7A0F5D99" w14:textId="77777777">
      <w:r>
        <w:t>This order is effective today.</w:t>
      </w:r>
    </w:p>
    <w:p w:rsidR="00976259" w:rsidP="00816E05" w:rsidRDefault="008F0116" w14:paraId="3A86A1F4" w14:textId="525D8DB5">
      <w:r>
        <w:t xml:space="preserve">Dated </w:t>
      </w:r>
      <w:r w:rsidRPr="00364959" w:rsidR="00364959">
        <w:t>May 9, 2024</w:t>
      </w:r>
      <w:r>
        <w:t xml:space="preserve">, at </w:t>
      </w:r>
      <w:r w:rsidR="00364959">
        <w:t>Sacramento</w:t>
      </w:r>
      <w:r>
        <w:t>, California</w:t>
      </w:r>
    </w:p>
    <w:p w:rsidR="00146CF9" w:rsidRDefault="00146CF9" w14:paraId="7D4CE9D5" w14:textId="77777777">
      <w:pPr>
        <w:spacing w:after="160" w:line="259" w:lineRule="auto"/>
        <w:ind w:firstLine="0"/>
      </w:pPr>
    </w:p>
    <w:p w:rsidRPr="00364959" w:rsidR="00364959" w:rsidP="00364959" w:rsidRDefault="00364959" w14:paraId="0E370CC3" w14:textId="77777777">
      <w:pPr>
        <w:keepNext/>
        <w:keepLines/>
        <w:autoSpaceDE w:val="0"/>
        <w:autoSpaceDN w:val="0"/>
        <w:adjustRightInd w:val="0"/>
        <w:spacing w:line="240" w:lineRule="auto"/>
        <w:ind w:left="4320" w:firstLine="0"/>
        <w:jc w:val="both"/>
        <w:rPr>
          <w:rFonts w:cs="Times New Roman"/>
          <w:szCs w:val="20"/>
        </w:rPr>
      </w:pPr>
      <w:r w:rsidRPr="00364959">
        <w:rPr>
          <w:rFonts w:cs="Times New Roman"/>
          <w:szCs w:val="20"/>
        </w:rPr>
        <w:t>ALICE REYNOLDS</w:t>
      </w:r>
    </w:p>
    <w:p w:rsidRPr="00364959" w:rsidR="00364959" w:rsidP="00364959" w:rsidRDefault="00364959" w14:paraId="70F14A69" w14:textId="77777777">
      <w:pPr>
        <w:keepNext/>
        <w:keepLines/>
        <w:autoSpaceDE w:val="0"/>
        <w:autoSpaceDN w:val="0"/>
        <w:adjustRightInd w:val="0"/>
        <w:spacing w:line="240" w:lineRule="auto"/>
        <w:jc w:val="both"/>
        <w:rPr>
          <w:rFonts w:cs="Times New Roman"/>
          <w:szCs w:val="20"/>
        </w:rPr>
      </w:pPr>
      <w:r w:rsidRPr="00364959">
        <w:rPr>
          <w:rFonts w:cs="Times New Roman"/>
          <w:szCs w:val="20"/>
        </w:rPr>
        <w:tab/>
      </w:r>
      <w:r w:rsidRPr="00364959">
        <w:rPr>
          <w:rFonts w:cs="Times New Roman"/>
          <w:szCs w:val="20"/>
        </w:rPr>
        <w:tab/>
      </w:r>
      <w:r w:rsidRPr="00364959">
        <w:rPr>
          <w:rFonts w:cs="Times New Roman"/>
          <w:szCs w:val="20"/>
        </w:rPr>
        <w:tab/>
      </w:r>
      <w:r w:rsidRPr="00364959">
        <w:rPr>
          <w:rFonts w:cs="Times New Roman"/>
          <w:szCs w:val="20"/>
        </w:rPr>
        <w:tab/>
      </w:r>
      <w:r w:rsidRPr="00364959">
        <w:rPr>
          <w:rFonts w:cs="Times New Roman"/>
          <w:szCs w:val="20"/>
        </w:rPr>
        <w:tab/>
        <w:t xml:space="preserve">                       President</w:t>
      </w:r>
    </w:p>
    <w:p w:rsidRPr="00364959" w:rsidR="00364959" w:rsidP="00364959" w:rsidRDefault="00364959" w14:paraId="73C09979" w14:textId="77777777">
      <w:pPr>
        <w:autoSpaceDE w:val="0"/>
        <w:autoSpaceDN w:val="0"/>
        <w:adjustRightInd w:val="0"/>
        <w:spacing w:line="240" w:lineRule="auto"/>
        <w:ind w:left="3600"/>
        <w:jc w:val="both"/>
        <w:rPr>
          <w:rFonts w:cs="Times New Roman"/>
          <w:szCs w:val="20"/>
        </w:rPr>
      </w:pPr>
      <w:r w:rsidRPr="00364959">
        <w:rPr>
          <w:rFonts w:cs="Times New Roman"/>
          <w:szCs w:val="20"/>
        </w:rPr>
        <w:t>DARCIE L. HOUCK</w:t>
      </w:r>
    </w:p>
    <w:p w:rsidRPr="00364959" w:rsidR="00364959" w:rsidP="00364959" w:rsidRDefault="00364959" w14:paraId="3ECCB68F" w14:textId="77777777">
      <w:pPr>
        <w:autoSpaceDE w:val="0"/>
        <w:autoSpaceDN w:val="0"/>
        <w:adjustRightInd w:val="0"/>
        <w:spacing w:line="240" w:lineRule="auto"/>
        <w:ind w:left="3600"/>
        <w:jc w:val="both"/>
        <w:rPr>
          <w:rFonts w:cs="Times New Roman"/>
          <w:szCs w:val="20"/>
        </w:rPr>
      </w:pPr>
      <w:r w:rsidRPr="00364959">
        <w:rPr>
          <w:rFonts w:cs="Times New Roman"/>
          <w:szCs w:val="20"/>
        </w:rPr>
        <w:t>JOHN REYNOLDS</w:t>
      </w:r>
    </w:p>
    <w:p w:rsidRPr="00364959" w:rsidR="00364959" w:rsidP="00364959" w:rsidRDefault="00364959" w14:paraId="4E8472AD" w14:textId="77777777">
      <w:pPr>
        <w:autoSpaceDE w:val="0"/>
        <w:autoSpaceDN w:val="0"/>
        <w:adjustRightInd w:val="0"/>
        <w:spacing w:line="240" w:lineRule="auto"/>
        <w:ind w:left="3600"/>
        <w:jc w:val="both"/>
        <w:rPr>
          <w:rFonts w:eastAsia="Times New Roman" w:cs="Calibri"/>
          <w:color w:val="000000"/>
          <w:szCs w:val="26"/>
        </w:rPr>
      </w:pPr>
      <w:r w:rsidRPr="00364959">
        <w:rPr>
          <w:rFonts w:eastAsia="Times New Roman" w:cs="Calibri"/>
          <w:color w:val="000000"/>
          <w:szCs w:val="26"/>
        </w:rPr>
        <w:t>KAREN DOUGLAS</w:t>
      </w:r>
    </w:p>
    <w:p w:rsidRPr="00364959" w:rsidR="00364959" w:rsidP="00364959" w:rsidRDefault="00364959" w14:paraId="4A3031CF" w14:textId="77777777">
      <w:pPr>
        <w:keepNext/>
        <w:keepLines/>
        <w:autoSpaceDE w:val="0"/>
        <w:autoSpaceDN w:val="0"/>
        <w:adjustRightInd w:val="0"/>
        <w:spacing w:line="240" w:lineRule="auto"/>
        <w:ind w:left="4320"/>
        <w:jc w:val="both"/>
        <w:rPr>
          <w:rFonts w:cs="Times New Roman"/>
          <w:szCs w:val="20"/>
        </w:rPr>
      </w:pPr>
      <w:r w:rsidRPr="00364959">
        <w:rPr>
          <w:rFonts w:cs="Times New Roman"/>
          <w:szCs w:val="20"/>
        </w:rPr>
        <w:t xml:space="preserve">            Commissioners</w:t>
      </w:r>
    </w:p>
    <w:p w:rsidRPr="00364959" w:rsidR="00364959" w:rsidP="00364959" w:rsidRDefault="00364959" w14:paraId="630CEB6B" w14:textId="77777777">
      <w:pPr>
        <w:keepNext/>
        <w:keepLines/>
      </w:pPr>
    </w:p>
    <w:p w:rsidRPr="00364959" w:rsidR="00364959" w:rsidP="00364959" w:rsidRDefault="00364959" w14:paraId="01B06215" w14:textId="77777777">
      <w:pPr>
        <w:keepNext/>
        <w:keepLines/>
        <w:autoSpaceDE w:val="0"/>
        <w:autoSpaceDN w:val="0"/>
        <w:adjustRightInd w:val="0"/>
        <w:spacing w:line="240" w:lineRule="auto"/>
        <w:ind w:left="4380" w:firstLine="0"/>
        <w:rPr>
          <w:rFonts w:cs="Times New Roman"/>
          <w:szCs w:val="20"/>
        </w:rPr>
      </w:pPr>
      <w:r w:rsidRPr="00364959">
        <w:rPr>
          <w:rFonts w:cs="Times New Roman"/>
          <w:szCs w:val="20"/>
        </w:rPr>
        <w:t>Commissioner Matthew Baker recused himself from this agenda item and was not part of the quorum in its consideration.</w:t>
      </w:r>
    </w:p>
    <w:p w:rsidR="00364959" w:rsidRDefault="00364959" w14:paraId="653EDB6C" w14:textId="77777777">
      <w:pPr>
        <w:spacing w:after="160" w:line="259" w:lineRule="auto"/>
        <w:ind w:firstLine="0"/>
      </w:pPr>
    </w:p>
    <w:p w:rsidR="00364959" w:rsidRDefault="00364959" w14:paraId="147B6335" w14:textId="77777777">
      <w:pPr>
        <w:spacing w:after="160" w:line="259" w:lineRule="auto"/>
        <w:ind w:firstLine="0"/>
      </w:pPr>
    </w:p>
    <w:p w:rsidR="00364959" w:rsidRDefault="00364959" w14:paraId="0DFD8F55" w14:textId="77777777">
      <w:pPr>
        <w:spacing w:after="160" w:line="259" w:lineRule="auto"/>
        <w:ind w:firstLine="0"/>
      </w:pPr>
    </w:p>
    <w:p w:rsidR="00364959" w:rsidRDefault="00364959" w14:paraId="38C34394" w14:textId="77777777">
      <w:pPr>
        <w:spacing w:after="160" w:line="259" w:lineRule="auto"/>
        <w:ind w:firstLine="0"/>
        <w:sectPr w:rsidR="00364959" w:rsidSect="0012402D">
          <w:headerReference w:type="default" r:id="rId15"/>
          <w:footerReference w:type="default" r:id="rId16"/>
          <w:pgSz w:w="12240" w:h="15840"/>
          <w:pgMar w:top="1728" w:right="1440" w:bottom="1440" w:left="1440" w:header="720" w:footer="720" w:gutter="0"/>
          <w:pgNumType w:start="2"/>
          <w:cols w:space="720"/>
          <w:docGrid w:linePitch="360"/>
        </w:sectPr>
      </w:pPr>
    </w:p>
    <w:p w:rsidR="00976259" w:rsidP="002D2501" w:rsidRDefault="00976259" w14:paraId="42176A42" w14:textId="03FD71EC">
      <w:pPr>
        <w:ind w:firstLine="0"/>
        <w:jc w:val="center"/>
        <w:rPr>
          <w:b/>
        </w:rPr>
      </w:pPr>
      <w:r w:rsidRPr="00141D86">
        <w:rPr>
          <w:b/>
        </w:rPr>
        <w:t>Attachment A</w:t>
      </w:r>
    </w:p>
    <w:p w:rsidR="00554488" w:rsidP="00C224BE" w:rsidRDefault="007C3F3F" w14:paraId="6577FF71" w14:textId="2C492837">
      <w:pPr>
        <w:ind w:firstLine="0"/>
        <w:jc w:val="center"/>
        <w:rPr>
          <w:b/>
        </w:rPr>
      </w:pPr>
      <w:r>
        <w:rPr>
          <w:b/>
        </w:rPr>
        <w:t xml:space="preserve">Estimated </w:t>
      </w:r>
      <w:r w:rsidR="005A3ABF">
        <w:rPr>
          <w:b/>
        </w:rPr>
        <w:t xml:space="preserve">Bill Impacts </w:t>
      </w:r>
      <w:r w:rsidR="007D681E">
        <w:rPr>
          <w:b/>
        </w:rPr>
        <w:t>f</w:t>
      </w:r>
      <w:r w:rsidR="009D21E7">
        <w:rPr>
          <w:b/>
        </w:rPr>
        <w:t>or</w:t>
      </w:r>
      <w:r w:rsidR="00D912DD">
        <w:rPr>
          <w:b/>
        </w:rPr>
        <w:t xml:space="preserve"> Customers of</w:t>
      </w:r>
      <w:r w:rsidR="009D21E7">
        <w:rPr>
          <w:b/>
        </w:rPr>
        <w:t xml:space="preserve"> </w:t>
      </w:r>
      <w:r w:rsidR="005A3ABF">
        <w:rPr>
          <w:b/>
        </w:rPr>
        <w:t>Large Utilities</w:t>
      </w:r>
      <w:r w:rsidR="00D912DD">
        <w:rPr>
          <w:b/>
        </w:rPr>
        <w:t xml:space="preserve"> with Average Usage</w:t>
      </w:r>
    </w:p>
    <w:p w:rsidR="007D681E" w:rsidP="00C224BE" w:rsidRDefault="007D681E" w14:paraId="1868DB81" w14:textId="77777777">
      <w:pPr>
        <w:ind w:firstLine="0"/>
        <w:jc w:val="center"/>
        <w:rPr>
          <w:b/>
          <w:bCs/>
        </w:rPr>
      </w:pPr>
    </w:p>
    <w:p w:rsidR="00B12675" w:rsidP="00B12675" w:rsidRDefault="00141D86" w14:paraId="265BF773" w14:textId="7DCE6286">
      <w:r>
        <w:t xml:space="preserve">This </w:t>
      </w:r>
      <w:r w:rsidR="00BD7F10">
        <w:t>attachment presents the</w:t>
      </w:r>
      <w:r w:rsidR="003B2FBB">
        <w:t xml:space="preserve"> income-graduated fixed charge design adopted </w:t>
      </w:r>
      <w:r w:rsidR="008937FA">
        <w:t xml:space="preserve">for the Large Utilities </w:t>
      </w:r>
      <w:r w:rsidR="003B2FBB">
        <w:t>in this decision, as modeled in the Public Tool</w:t>
      </w:r>
      <w:r w:rsidR="005D7325">
        <w:t xml:space="preserve">, along with the </w:t>
      </w:r>
      <w:r w:rsidR="001309CD">
        <w:t xml:space="preserve">estimated </w:t>
      </w:r>
      <w:r w:rsidR="005D7325">
        <w:t xml:space="preserve">weighted average </w:t>
      </w:r>
      <w:r w:rsidR="0023510A">
        <w:t xml:space="preserve">bill impacts by </w:t>
      </w:r>
      <w:r w:rsidR="00682DDB">
        <w:t>CARE</w:t>
      </w:r>
      <w:r w:rsidR="00894DED">
        <w:t>/FERA</w:t>
      </w:r>
      <w:r w:rsidR="00C42820">
        <w:t>-status and climate zone</w:t>
      </w:r>
      <w:r w:rsidR="001B78CC">
        <w:t xml:space="preserve"> for each of the Large Utilities.</w:t>
      </w:r>
      <w:r w:rsidR="00C64529">
        <w:t xml:space="preserve"> </w:t>
      </w:r>
      <w:r w:rsidR="0055550A">
        <w:t>Weighted average</w:t>
      </w:r>
      <w:r w:rsidR="00482A6E">
        <w:t xml:space="preserve"> bill impacts</w:t>
      </w:r>
      <w:r w:rsidR="0055550A">
        <w:t xml:space="preserve"> </w:t>
      </w:r>
      <w:r w:rsidR="00257A53">
        <w:t xml:space="preserve">(in Tables A-4 through A-6) </w:t>
      </w:r>
      <w:r w:rsidR="00DA6F59">
        <w:t>we</w:t>
      </w:r>
      <w:r w:rsidR="0055550A">
        <w:t xml:space="preserve">re computed by </w:t>
      </w:r>
      <w:r w:rsidR="00A17649">
        <w:t xml:space="preserve">averaging the bill impacts </w:t>
      </w:r>
      <w:r w:rsidR="00763338">
        <w:t xml:space="preserve">produced by the Public Tool </w:t>
      </w:r>
      <w:r w:rsidR="00482A6E">
        <w:t xml:space="preserve">for </w:t>
      </w:r>
      <w:r w:rsidR="00DA6F59">
        <w:t xml:space="preserve">individual income </w:t>
      </w:r>
      <w:r w:rsidR="0094606E">
        <w:t xml:space="preserve">groups within each </w:t>
      </w:r>
      <w:r w:rsidR="003226B0">
        <w:t>customer segment defined by CARE/FERA-status and climate zone</w:t>
      </w:r>
      <w:r w:rsidR="00456020">
        <w:t xml:space="preserve">, using the customer count for each income group </w:t>
      </w:r>
      <w:r w:rsidR="00034BCB">
        <w:t>as a weighting factor.</w:t>
      </w:r>
      <w:r w:rsidR="00B242D5">
        <w:rPr>
          <w:rStyle w:val="FootnoteReference"/>
        </w:rPr>
        <w:footnoteReference w:id="254"/>
      </w:r>
    </w:p>
    <w:p w:rsidR="00DD0AA9" w:rsidP="00B12675" w:rsidRDefault="00C64529" w14:paraId="398E82B7" w14:textId="2948A764">
      <w:r>
        <w:t xml:space="preserve">Note that the </w:t>
      </w:r>
      <w:r w:rsidR="00CD6B3B">
        <w:t xml:space="preserve">modeled rates </w:t>
      </w:r>
      <w:r w:rsidR="000245DD">
        <w:t>with</w:t>
      </w:r>
      <w:r w:rsidR="00CD6B3B">
        <w:t xml:space="preserve"> an income-graduated fixed charge are compared </w:t>
      </w:r>
      <w:r w:rsidR="00CF0BD7">
        <w:t xml:space="preserve">to modeled </w:t>
      </w:r>
      <w:r w:rsidR="00081665">
        <w:t>rates based on the existing rate structure (i.e., purely volumetric recovery of revenue requirement)</w:t>
      </w:r>
      <w:r w:rsidR="00CC6013">
        <w:rPr>
          <w:rStyle w:val="FootnoteReference"/>
        </w:rPr>
        <w:footnoteReference w:id="255"/>
      </w:r>
      <w:r w:rsidR="000A434C">
        <w:t xml:space="preserve"> </w:t>
      </w:r>
      <w:r w:rsidR="00337F51">
        <w:t xml:space="preserve">with both </w:t>
      </w:r>
      <w:r w:rsidR="002F6AEC">
        <w:t xml:space="preserve">sets of </w:t>
      </w:r>
      <w:r w:rsidR="00337F51">
        <w:t>modeled rates</w:t>
      </w:r>
      <w:r w:rsidR="007F0E48">
        <w:t xml:space="preserve"> reflect</w:t>
      </w:r>
      <w:r w:rsidR="00337F51">
        <w:t>ing</w:t>
      </w:r>
      <w:r w:rsidR="007F0E48">
        <w:t xml:space="preserve"> the </w:t>
      </w:r>
      <w:r w:rsidR="00BB3428">
        <w:t xml:space="preserve">AB 205-mandated </w:t>
      </w:r>
      <w:r w:rsidR="004B3A14">
        <w:t xml:space="preserve">change to the CARE </w:t>
      </w:r>
      <w:r w:rsidR="006E401F">
        <w:t xml:space="preserve">average </w:t>
      </w:r>
      <w:r w:rsidR="004B3A14">
        <w:t>effective discount</w:t>
      </w:r>
      <w:r w:rsidR="00823C03">
        <w:t>. This was done</w:t>
      </w:r>
      <w:r w:rsidR="004B3A14">
        <w:t xml:space="preserve"> to isolate the impact of the </w:t>
      </w:r>
      <w:r w:rsidR="002C6DCD">
        <w:t>income-graduated fixed charge</w:t>
      </w:r>
      <w:r w:rsidR="00DA2444">
        <w:t xml:space="preserve"> </w:t>
      </w:r>
      <w:r w:rsidR="006E401F">
        <w:t xml:space="preserve">(from changes to the CARE average effective discount) </w:t>
      </w:r>
      <w:r w:rsidR="00DA2444">
        <w:t xml:space="preserve">and demonstrate that the AB 205 </w:t>
      </w:r>
      <w:r w:rsidR="00F50B57">
        <w:t xml:space="preserve">bill savings </w:t>
      </w:r>
      <w:r w:rsidR="00DA2444">
        <w:t>requirement for low-income customers can be met with this rate design</w:t>
      </w:r>
      <w:r w:rsidR="002C6DCD">
        <w:t>.</w:t>
      </w:r>
    </w:p>
    <w:p w:rsidR="005D7B4D" w:rsidP="003375ED" w:rsidRDefault="009E66A6" w14:paraId="078D7D08" w14:textId="724290E7">
      <w:r>
        <w:t xml:space="preserve">Because </w:t>
      </w:r>
      <w:r w:rsidRPr="00C8703C" w:rsidR="00C8703C">
        <w:t xml:space="preserve">this is a revenue neutral rate design, the utilities </w:t>
      </w:r>
      <w:r w:rsidR="00C8703C">
        <w:t xml:space="preserve">collect the </w:t>
      </w:r>
      <w:r w:rsidR="00616847">
        <w:t xml:space="preserve">exact </w:t>
      </w:r>
      <w:r w:rsidR="00C8703C">
        <w:t xml:space="preserve">same amount of </w:t>
      </w:r>
      <w:r w:rsidR="00ED7F20">
        <w:t>money</w:t>
      </w:r>
      <w:r w:rsidR="00C8703C">
        <w:t xml:space="preserve"> from residential customers </w:t>
      </w:r>
      <w:r w:rsidR="005568CD">
        <w:t>with both sets of rates</w:t>
      </w:r>
      <w:r w:rsidRPr="00C8703C" w:rsidR="00C8703C">
        <w:t>. That means that in order to provide low-income customers with bill savings and all customers with an electrification incentive, some non-CARE</w:t>
      </w:r>
      <w:r w:rsidR="0005272E">
        <w:t>/FERA</w:t>
      </w:r>
      <w:r w:rsidRPr="00C8703C" w:rsidR="00C8703C">
        <w:t xml:space="preserve"> customers </w:t>
      </w:r>
      <w:r w:rsidR="00716BD2">
        <w:t>are expected to</w:t>
      </w:r>
      <w:r w:rsidRPr="00C8703C" w:rsidR="00C8703C">
        <w:t xml:space="preserve"> see some minor bill increases.</w:t>
      </w:r>
    </w:p>
    <w:p w:rsidRPr="00403845" w:rsidR="00714CF2" w:rsidP="00976259" w:rsidRDefault="003103B9" w14:paraId="377DFE7D" w14:textId="507A0E5E">
      <w:pPr>
        <w:ind w:firstLine="0"/>
        <w:rPr>
          <w:b/>
          <w:bCs/>
        </w:rPr>
      </w:pPr>
      <w:r w:rsidRPr="00403845">
        <w:rPr>
          <w:b/>
          <w:bCs/>
        </w:rPr>
        <w:t xml:space="preserve">Table A-1: </w:t>
      </w:r>
      <w:r w:rsidRPr="00403845" w:rsidR="000F5B49">
        <w:rPr>
          <w:b/>
          <w:bCs/>
        </w:rPr>
        <w:t xml:space="preserve">Estimated </w:t>
      </w:r>
      <w:r w:rsidRPr="00403845" w:rsidR="00550CA6">
        <w:rPr>
          <w:b/>
          <w:bCs/>
        </w:rPr>
        <w:t>Impact</w:t>
      </w:r>
      <w:r w:rsidRPr="00403845" w:rsidR="000A20E8">
        <w:rPr>
          <w:b/>
          <w:bCs/>
        </w:rPr>
        <w:t xml:space="preserve"> of Adopted Fixed Charges</w:t>
      </w:r>
      <w:r w:rsidRPr="00403845" w:rsidR="00550CA6">
        <w:rPr>
          <w:b/>
          <w:bCs/>
        </w:rPr>
        <w:t xml:space="preserve"> on </w:t>
      </w:r>
      <w:r w:rsidRPr="00403845" w:rsidR="000A20E8">
        <w:rPr>
          <w:b/>
          <w:bCs/>
        </w:rPr>
        <w:t xml:space="preserve">PG&amp;E’s </w:t>
      </w:r>
      <w:r w:rsidRPr="00403845" w:rsidR="0011368E">
        <w:rPr>
          <w:b/>
          <w:bCs/>
        </w:rPr>
        <w:t>Rates</w:t>
      </w:r>
    </w:p>
    <w:tbl>
      <w:tblPr>
        <w:tblW w:w="9520" w:type="dxa"/>
        <w:tblLook w:val="04A0" w:firstRow="1" w:lastRow="0" w:firstColumn="1" w:lastColumn="0" w:noHBand="0" w:noVBand="1"/>
      </w:tblPr>
      <w:tblGrid>
        <w:gridCol w:w="1780"/>
        <w:gridCol w:w="2460"/>
        <w:gridCol w:w="1760"/>
        <w:gridCol w:w="1760"/>
        <w:gridCol w:w="1760"/>
      </w:tblGrid>
      <w:tr w:rsidRPr="00735291" w:rsidR="007805F9" w:rsidTr="007805F9" w14:paraId="62D5E0A9" w14:textId="77777777">
        <w:trPr>
          <w:trHeight w:val="1035"/>
        </w:trPr>
        <w:tc>
          <w:tcPr>
            <w:tcW w:w="4240" w:type="dxa"/>
            <w:gridSpan w:val="2"/>
            <w:tcBorders>
              <w:top w:val="single" w:color="auto" w:sz="4" w:space="0"/>
              <w:left w:val="single" w:color="auto" w:sz="4" w:space="0"/>
              <w:bottom w:val="single" w:color="000000" w:sz="4" w:space="0"/>
              <w:right w:val="single" w:color="auto" w:sz="4" w:space="0"/>
            </w:tcBorders>
            <w:shd w:val="clear" w:color="000000" w:fill="4472C4"/>
            <w:noWrap/>
            <w:vAlign w:val="center"/>
            <w:hideMark/>
          </w:tcPr>
          <w:p w:rsidRPr="0060765B" w:rsidR="007805F9" w:rsidP="007805F9" w:rsidRDefault="007805F9" w14:paraId="25EB14D4" w14:textId="77777777">
            <w:pPr>
              <w:spacing w:line="240" w:lineRule="auto"/>
              <w:ind w:firstLine="0"/>
              <w:jc w:val="center"/>
              <w:rPr>
                <w:rFonts w:eastAsia="Times New Roman" w:cs="Calibri"/>
                <w:b/>
                <w:color w:val="FFFFFF"/>
                <w:sz w:val="24"/>
                <w:szCs w:val="24"/>
              </w:rPr>
            </w:pPr>
            <w:r w:rsidRPr="0060765B">
              <w:rPr>
                <w:rFonts w:eastAsia="Times New Roman" w:cs="Calibri"/>
                <w:b/>
                <w:color w:val="FFFFFF"/>
                <w:sz w:val="24"/>
                <w:szCs w:val="24"/>
              </w:rPr>
              <w:t>PG&amp;E</w:t>
            </w:r>
          </w:p>
        </w:tc>
        <w:tc>
          <w:tcPr>
            <w:tcW w:w="1760" w:type="dxa"/>
            <w:tcBorders>
              <w:top w:val="single" w:color="auto" w:sz="4" w:space="0"/>
              <w:left w:val="nil"/>
              <w:bottom w:val="single" w:color="auto" w:sz="4" w:space="0"/>
              <w:right w:val="single" w:color="auto" w:sz="4" w:space="0"/>
            </w:tcBorders>
            <w:shd w:val="clear" w:color="000000" w:fill="4472C4"/>
            <w:vAlign w:val="center"/>
            <w:hideMark/>
          </w:tcPr>
          <w:p w:rsidRPr="0060765B" w:rsidR="007805F9" w:rsidP="007805F9" w:rsidRDefault="007805F9" w14:paraId="468AE268" w14:textId="77777777">
            <w:pPr>
              <w:spacing w:line="240" w:lineRule="auto"/>
              <w:ind w:firstLine="0"/>
              <w:jc w:val="center"/>
              <w:rPr>
                <w:rFonts w:eastAsia="Times New Roman" w:cs="Calibri"/>
                <w:b/>
                <w:color w:val="FFFFFF"/>
                <w:sz w:val="24"/>
                <w:szCs w:val="24"/>
              </w:rPr>
            </w:pPr>
            <w:r w:rsidRPr="0060765B">
              <w:rPr>
                <w:rFonts w:eastAsia="Times New Roman" w:cs="Calibri"/>
                <w:b/>
                <w:color w:val="FFFFFF"/>
                <w:sz w:val="24"/>
                <w:szCs w:val="24"/>
              </w:rPr>
              <w:t>Existing Rate Structure</w:t>
            </w:r>
          </w:p>
        </w:tc>
        <w:tc>
          <w:tcPr>
            <w:tcW w:w="1760" w:type="dxa"/>
            <w:tcBorders>
              <w:top w:val="single" w:color="auto" w:sz="4" w:space="0"/>
              <w:left w:val="nil"/>
              <w:bottom w:val="single" w:color="auto" w:sz="4" w:space="0"/>
              <w:right w:val="single" w:color="auto" w:sz="4" w:space="0"/>
            </w:tcBorders>
            <w:shd w:val="clear" w:color="000000" w:fill="4472C4"/>
            <w:vAlign w:val="center"/>
            <w:hideMark/>
          </w:tcPr>
          <w:p w:rsidRPr="0060765B" w:rsidR="007805F9" w:rsidP="007805F9" w:rsidRDefault="000824FC" w14:paraId="591C7E01" w14:textId="21F43FE2">
            <w:pPr>
              <w:spacing w:line="240" w:lineRule="auto"/>
              <w:ind w:firstLine="0"/>
              <w:jc w:val="center"/>
              <w:rPr>
                <w:rFonts w:eastAsia="Times New Roman" w:cs="Calibri"/>
                <w:b/>
                <w:color w:val="FFFFFF"/>
                <w:sz w:val="24"/>
                <w:szCs w:val="24"/>
              </w:rPr>
            </w:pPr>
            <w:r>
              <w:rPr>
                <w:rFonts w:eastAsia="Times New Roman" w:cs="Calibri"/>
                <w:b/>
                <w:color w:val="FFFFFF"/>
                <w:sz w:val="24"/>
                <w:szCs w:val="24"/>
              </w:rPr>
              <w:t xml:space="preserve">Estimated </w:t>
            </w:r>
            <w:r w:rsidR="003C77E5">
              <w:rPr>
                <w:rFonts w:eastAsia="Times New Roman" w:cs="Calibri"/>
                <w:b/>
                <w:color w:val="FFFFFF"/>
                <w:sz w:val="24"/>
                <w:szCs w:val="24"/>
              </w:rPr>
              <w:t xml:space="preserve">Rate </w:t>
            </w:r>
            <w:r w:rsidR="0097066A">
              <w:rPr>
                <w:rFonts w:eastAsia="Times New Roman" w:cs="Calibri"/>
                <w:b/>
                <w:color w:val="FFFFFF"/>
                <w:sz w:val="24"/>
                <w:szCs w:val="24"/>
              </w:rPr>
              <w:t>After Fixed Charge</w:t>
            </w:r>
          </w:p>
        </w:tc>
        <w:tc>
          <w:tcPr>
            <w:tcW w:w="1760" w:type="dxa"/>
            <w:tcBorders>
              <w:top w:val="single" w:color="auto" w:sz="4" w:space="0"/>
              <w:left w:val="nil"/>
              <w:bottom w:val="single" w:color="auto" w:sz="4" w:space="0"/>
              <w:right w:val="single" w:color="auto" w:sz="4" w:space="0"/>
            </w:tcBorders>
            <w:shd w:val="clear" w:color="000000" w:fill="4472C4"/>
            <w:vAlign w:val="center"/>
            <w:hideMark/>
          </w:tcPr>
          <w:p w:rsidR="002601F1" w:rsidP="007805F9" w:rsidRDefault="002601F1" w14:paraId="7BC0A1D0" w14:textId="7EC79CB3">
            <w:pPr>
              <w:spacing w:line="240" w:lineRule="auto"/>
              <w:ind w:firstLine="0"/>
              <w:jc w:val="center"/>
              <w:rPr>
                <w:rFonts w:eastAsia="Times New Roman" w:cs="Calibri"/>
                <w:b/>
                <w:color w:val="FFFFFF"/>
                <w:sz w:val="24"/>
                <w:szCs w:val="24"/>
              </w:rPr>
            </w:pPr>
            <w:r>
              <w:rPr>
                <w:rFonts w:eastAsia="Times New Roman" w:cs="Calibri"/>
                <w:b/>
                <w:color w:val="FFFFFF"/>
                <w:sz w:val="24"/>
                <w:szCs w:val="24"/>
              </w:rPr>
              <w:t>Estimated</w:t>
            </w:r>
          </w:p>
          <w:p w:rsidRPr="0060765B" w:rsidR="007805F9" w:rsidP="007805F9" w:rsidRDefault="007805F9" w14:paraId="351ADE7B" w14:textId="6A4532F4">
            <w:pPr>
              <w:spacing w:line="240" w:lineRule="auto"/>
              <w:ind w:firstLine="0"/>
              <w:jc w:val="center"/>
              <w:rPr>
                <w:rFonts w:eastAsia="Times New Roman" w:cs="Calibri"/>
                <w:b/>
                <w:color w:val="FFFFFF"/>
                <w:sz w:val="24"/>
                <w:szCs w:val="24"/>
              </w:rPr>
            </w:pPr>
            <w:r w:rsidRPr="0060765B">
              <w:rPr>
                <w:rFonts w:eastAsia="Times New Roman" w:cs="Calibri"/>
                <w:b/>
                <w:color w:val="FFFFFF"/>
                <w:sz w:val="24"/>
                <w:szCs w:val="24"/>
              </w:rPr>
              <w:t>Rate Reduction</w:t>
            </w:r>
          </w:p>
        </w:tc>
      </w:tr>
      <w:tr w:rsidRPr="00735291" w:rsidR="007805F9" w:rsidTr="007805F9" w14:paraId="7C04B03E" w14:textId="77777777">
        <w:trPr>
          <w:trHeight w:val="345"/>
        </w:trPr>
        <w:tc>
          <w:tcPr>
            <w:tcW w:w="1780" w:type="dxa"/>
            <w:vMerge w:val="restart"/>
            <w:tcBorders>
              <w:top w:val="nil"/>
              <w:left w:val="single" w:color="auto" w:sz="4" w:space="0"/>
              <w:bottom w:val="single" w:color="auto" w:sz="4" w:space="0"/>
              <w:right w:val="single" w:color="auto" w:sz="4" w:space="0"/>
            </w:tcBorders>
            <w:shd w:val="clear" w:color="000000" w:fill="4472C4"/>
            <w:vAlign w:val="center"/>
            <w:hideMark/>
          </w:tcPr>
          <w:p w:rsidRPr="0060765B" w:rsidR="007805F9" w:rsidP="007805F9" w:rsidRDefault="007805F9" w14:paraId="64634F0E" w14:textId="4AC6114C">
            <w:pPr>
              <w:spacing w:line="240" w:lineRule="auto"/>
              <w:ind w:firstLine="0"/>
              <w:jc w:val="center"/>
              <w:rPr>
                <w:rFonts w:eastAsia="Times New Roman" w:cs="Calibri"/>
                <w:b/>
                <w:color w:val="FFFFFF"/>
                <w:sz w:val="24"/>
                <w:szCs w:val="24"/>
              </w:rPr>
            </w:pPr>
            <w:r w:rsidRPr="0060765B">
              <w:rPr>
                <w:rFonts w:eastAsia="Times New Roman" w:cs="Calibri"/>
                <w:b/>
                <w:color w:val="FFFFFF"/>
                <w:sz w:val="24"/>
                <w:szCs w:val="24"/>
              </w:rPr>
              <w:t>Non-CARE</w:t>
            </w:r>
            <w:r w:rsidR="00C77A0A">
              <w:rPr>
                <w:rFonts w:eastAsia="Times New Roman" w:cs="Calibri"/>
                <w:b/>
                <w:color w:val="FFFFFF"/>
                <w:sz w:val="24"/>
                <w:szCs w:val="24"/>
              </w:rPr>
              <w:t>/FERA</w:t>
            </w:r>
            <w:r w:rsidRPr="0060765B">
              <w:rPr>
                <w:rFonts w:eastAsia="Times New Roman" w:cs="Calibri"/>
                <w:b/>
                <w:color w:val="FFFFFF"/>
                <w:sz w:val="24"/>
                <w:szCs w:val="24"/>
              </w:rPr>
              <w:t xml:space="preserve"> Energy Charges ($/kWh)</w:t>
            </w:r>
          </w:p>
        </w:tc>
        <w:tc>
          <w:tcPr>
            <w:tcW w:w="2460" w:type="dxa"/>
            <w:tcBorders>
              <w:top w:val="nil"/>
              <w:left w:val="nil"/>
              <w:bottom w:val="single" w:color="auto" w:sz="4" w:space="0"/>
              <w:right w:val="single" w:color="auto" w:sz="4" w:space="0"/>
            </w:tcBorders>
            <w:shd w:val="clear" w:color="auto" w:fill="auto"/>
            <w:noWrap/>
            <w:vAlign w:val="bottom"/>
            <w:hideMark/>
          </w:tcPr>
          <w:p w:rsidRPr="0060765B" w:rsidR="007805F9" w:rsidP="007805F9" w:rsidRDefault="007805F9" w14:paraId="50DCC911" w14:textId="77777777">
            <w:pPr>
              <w:spacing w:line="240" w:lineRule="auto"/>
              <w:ind w:firstLine="0"/>
              <w:rPr>
                <w:rFonts w:eastAsia="Times New Roman" w:cs="Calibri"/>
                <w:color w:val="000000"/>
                <w:sz w:val="24"/>
                <w:szCs w:val="24"/>
              </w:rPr>
            </w:pPr>
            <w:r w:rsidRPr="0060765B">
              <w:rPr>
                <w:rFonts w:eastAsia="Times New Roman" w:cs="Calibri"/>
                <w:color w:val="000000"/>
                <w:sz w:val="24"/>
                <w:szCs w:val="24"/>
              </w:rPr>
              <w:t>Summer - Peak</w:t>
            </w:r>
          </w:p>
        </w:tc>
        <w:tc>
          <w:tcPr>
            <w:tcW w:w="1760" w:type="dxa"/>
            <w:tcBorders>
              <w:top w:val="nil"/>
              <w:left w:val="nil"/>
              <w:bottom w:val="single" w:color="auto" w:sz="4" w:space="0"/>
              <w:right w:val="single" w:color="auto" w:sz="4" w:space="0"/>
            </w:tcBorders>
            <w:shd w:val="clear" w:color="auto" w:fill="auto"/>
            <w:noWrap/>
            <w:vAlign w:val="bottom"/>
            <w:hideMark/>
          </w:tcPr>
          <w:p w:rsidRPr="0060765B" w:rsidR="007805F9" w:rsidP="007805F9" w:rsidRDefault="007805F9" w14:paraId="411A6A1E" w14:textId="77777777">
            <w:pPr>
              <w:spacing w:line="240" w:lineRule="auto"/>
              <w:ind w:firstLine="0"/>
              <w:rPr>
                <w:rFonts w:eastAsia="Times New Roman" w:cs="Calibri"/>
                <w:color w:val="000000"/>
                <w:sz w:val="24"/>
                <w:szCs w:val="24"/>
              </w:rPr>
            </w:pPr>
            <w:r w:rsidRPr="0060765B">
              <w:rPr>
                <w:rFonts w:eastAsia="Times New Roman" w:cs="Calibri"/>
                <w:color w:val="000000"/>
                <w:sz w:val="24"/>
                <w:szCs w:val="24"/>
              </w:rPr>
              <w:t xml:space="preserve"> $             0.484 </w:t>
            </w:r>
          </w:p>
        </w:tc>
        <w:tc>
          <w:tcPr>
            <w:tcW w:w="1760" w:type="dxa"/>
            <w:tcBorders>
              <w:top w:val="nil"/>
              <w:left w:val="nil"/>
              <w:bottom w:val="single" w:color="auto" w:sz="4" w:space="0"/>
              <w:right w:val="single" w:color="auto" w:sz="4" w:space="0"/>
            </w:tcBorders>
            <w:shd w:val="clear" w:color="auto" w:fill="auto"/>
            <w:noWrap/>
            <w:vAlign w:val="bottom"/>
            <w:hideMark/>
          </w:tcPr>
          <w:p w:rsidRPr="0060765B" w:rsidR="007805F9" w:rsidP="007805F9" w:rsidRDefault="007805F9" w14:paraId="2D65CBAE" w14:textId="77777777">
            <w:pPr>
              <w:spacing w:line="240" w:lineRule="auto"/>
              <w:ind w:firstLine="0"/>
              <w:rPr>
                <w:rFonts w:eastAsia="Times New Roman" w:cs="Calibri"/>
                <w:color w:val="000000"/>
                <w:sz w:val="24"/>
                <w:szCs w:val="24"/>
              </w:rPr>
            </w:pPr>
            <w:r w:rsidRPr="0060765B">
              <w:rPr>
                <w:rFonts w:eastAsia="Times New Roman" w:cs="Calibri"/>
                <w:color w:val="000000"/>
                <w:sz w:val="24"/>
                <w:szCs w:val="24"/>
              </w:rPr>
              <w:t xml:space="preserve"> $             0.437 </w:t>
            </w:r>
          </w:p>
        </w:tc>
        <w:tc>
          <w:tcPr>
            <w:tcW w:w="1760" w:type="dxa"/>
            <w:tcBorders>
              <w:top w:val="nil"/>
              <w:left w:val="nil"/>
              <w:bottom w:val="single" w:color="auto" w:sz="4" w:space="0"/>
              <w:right w:val="single" w:color="auto" w:sz="4" w:space="0"/>
            </w:tcBorders>
            <w:shd w:val="clear" w:color="auto" w:fill="auto"/>
            <w:noWrap/>
            <w:vAlign w:val="bottom"/>
            <w:hideMark/>
          </w:tcPr>
          <w:p w:rsidRPr="0060765B" w:rsidR="007805F9" w:rsidP="007805F9" w:rsidRDefault="007805F9" w14:paraId="35439054" w14:textId="77777777">
            <w:pPr>
              <w:spacing w:line="240" w:lineRule="auto"/>
              <w:ind w:firstLine="0"/>
              <w:rPr>
                <w:rFonts w:eastAsia="Times New Roman" w:cs="Calibri"/>
                <w:color w:val="000000"/>
                <w:sz w:val="24"/>
                <w:szCs w:val="24"/>
              </w:rPr>
            </w:pPr>
            <w:r w:rsidRPr="0060765B">
              <w:rPr>
                <w:rFonts w:eastAsia="Times New Roman" w:cs="Calibri"/>
                <w:color w:val="000000"/>
                <w:sz w:val="24"/>
                <w:szCs w:val="24"/>
              </w:rPr>
              <w:t xml:space="preserve"> $             0.047 </w:t>
            </w:r>
          </w:p>
        </w:tc>
      </w:tr>
      <w:tr w:rsidRPr="00735291" w:rsidR="007805F9" w:rsidTr="007805F9" w14:paraId="400E4E4C"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9515A7" w:rsidR="007805F9" w:rsidP="007805F9" w:rsidRDefault="007805F9" w14:paraId="5AEA3089"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6554D4E7"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Summer - Part-Peak</w:t>
            </w:r>
          </w:p>
        </w:tc>
        <w:tc>
          <w:tcPr>
            <w:tcW w:w="17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027899A8"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     </w:t>
            </w:r>
          </w:p>
        </w:tc>
        <w:tc>
          <w:tcPr>
            <w:tcW w:w="17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67AB7F8C"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     </w:t>
            </w:r>
          </w:p>
        </w:tc>
        <w:tc>
          <w:tcPr>
            <w:tcW w:w="17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3948FC92"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     </w:t>
            </w:r>
          </w:p>
        </w:tc>
      </w:tr>
      <w:tr w:rsidRPr="00735291" w:rsidR="007805F9" w:rsidTr="007805F9" w14:paraId="3EBFD340" w14:textId="77777777">
        <w:trPr>
          <w:trHeight w:val="360"/>
        </w:trPr>
        <w:tc>
          <w:tcPr>
            <w:tcW w:w="1780" w:type="dxa"/>
            <w:vMerge/>
            <w:tcBorders>
              <w:top w:val="nil"/>
              <w:left w:val="single" w:color="auto" w:sz="4" w:space="0"/>
              <w:bottom w:val="single" w:color="auto" w:sz="4" w:space="0"/>
              <w:right w:val="single" w:color="auto" w:sz="4" w:space="0"/>
            </w:tcBorders>
            <w:vAlign w:val="center"/>
            <w:hideMark/>
          </w:tcPr>
          <w:p w:rsidRPr="009515A7" w:rsidR="007805F9" w:rsidP="007805F9" w:rsidRDefault="007805F9" w14:paraId="7FDE8A9A"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8" w:space="0"/>
              <w:right w:val="single" w:color="auto" w:sz="4" w:space="0"/>
            </w:tcBorders>
            <w:shd w:val="clear" w:color="auto" w:fill="auto"/>
            <w:noWrap/>
            <w:vAlign w:val="bottom"/>
            <w:hideMark/>
          </w:tcPr>
          <w:p w:rsidRPr="009515A7" w:rsidR="007805F9" w:rsidP="007805F9" w:rsidRDefault="007805F9" w14:paraId="177843B6"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Summer - Off-Peak</w:t>
            </w:r>
          </w:p>
        </w:tc>
        <w:tc>
          <w:tcPr>
            <w:tcW w:w="1760" w:type="dxa"/>
            <w:tcBorders>
              <w:top w:val="nil"/>
              <w:left w:val="nil"/>
              <w:bottom w:val="single" w:color="auto" w:sz="8" w:space="0"/>
              <w:right w:val="single" w:color="auto" w:sz="4" w:space="0"/>
            </w:tcBorders>
            <w:shd w:val="clear" w:color="auto" w:fill="auto"/>
            <w:noWrap/>
            <w:vAlign w:val="bottom"/>
            <w:hideMark/>
          </w:tcPr>
          <w:p w:rsidRPr="009515A7" w:rsidR="007805F9" w:rsidP="007805F9" w:rsidRDefault="007805F9" w14:paraId="7BCA6A11"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0.421 </w:t>
            </w:r>
          </w:p>
        </w:tc>
        <w:tc>
          <w:tcPr>
            <w:tcW w:w="1760" w:type="dxa"/>
            <w:tcBorders>
              <w:top w:val="nil"/>
              <w:left w:val="nil"/>
              <w:bottom w:val="single" w:color="auto" w:sz="8" w:space="0"/>
              <w:right w:val="single" w:color="auto" w:sz="4" w:space="0"/>
            </w:tcBorders>
            <w:shd w:val="clear" w:color="auto" w:fill="auto"/>
            <w:noWrap/>
            <w:vAlign w:val="bottom"/>
            <w:hideMark/>
          </w:tcPr>
          <w:p w:rsidRPr="009515A7" w:rsidR="007805F9" w:rsidP="007805F9" w:rsidRDefault="007805F9" w14:paraId="1F53FCEC"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0.373 </w:t>
            </w:r>
          </w:p>
        </w:tc>
        <w:tc>
          <w:tcPr>
            <w:tcW w:w="1760" w:type="dxa"/>
            <w:tcBorders>
              <w:top w:val="nil"/>
              <w:left w:val="nil"/>
              <w:bottom w:val="single" w:color="auto" w:sz="8" w:space="0"/>
              <w:right w:val="single" w:color="auto" w:sz="4" w:space="0"/>
            </w:tcBorders>
            <w:shd w:val="clear" w:color="auto" w:fill="auto"/>
            <w:noWrap/>
            <w:vAlign w:val="bottom"/>
            <w:hideMark/>
          </w:tcPr>
          <w:p w:rsidRPr="009515A7" w:rsidR="007805F9" w:rsidP="007805F9" w:rsidRDefault="007805F9" w14:paraId="741AAF31"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0.047 </w:t>
            </w:r>
          </w:p>
        </w:tc>
      </w:tr>
      <w:tr w:rsidRPr="00735291" w:rsidR="007805F9" w:rsidTr="007805F9" w14:paraId="47216031"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9515A7" w:rsidR="007805F9" w:rsidP="007805F9" w:rsidRDefault="007805F9" w14:paraId="6018202E"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18976E10"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Winter - Peak</w:t>
            </w:r>
          </w:p>
        </w:tc>
        <w:tc>
          <w:tcPr>
            <w:tcW w:w="17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04661E21"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0.387 </w:t>
            </w:r>
          </w:p>
        </w:tc>
        <w:tc>
          <w:tcPr>
            <w:tcW w:w="17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5C9E81F2"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0.340 </w:t>
            </w:r>
          </w:p>
        </w:tc>
        <w:tc>
          <w:tcPr>
            <w:tcW w:w="17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47EC1654"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0.047 </w:t>
            </w:r>
          </w:p>
        </w:tc>
      </w:tr>
      <w:tr w:rsidRPr="00735291" w:rsidR="007805F9" w:rsidTr="007805F9" w14:paraId="42B5E1F1"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9515A7" w:rsidR="007805F9" w:rsidP="007805F9" w:rsidRDefault="007805F9" w14:paraId="6674232C"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auto" w:fill="auto"/>
            <w:noWrap/>
            <w:vAlign w:val="bottom"/>
            <w:hideMark/>
          </w:tcPr>
          <w:p w:rsidRPr="009515A7" w:rsidR="007805F9" w:rsidP="007805F9" w:rsidRDefault="007805F9" w14:paraId="107633FE"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Winter - Part-Peak</w:t>
            </w:r>
          </w:p>
        </w:tc>
        <w:tc>
          <w:tcPr>
            <w:tcW w:w="1760" w:type="dxa"/>
            <w:tcBorders>
              <w:top w:val="nil"/>
              <w:left w:val="nil"/>
              <w:bottom w:val="single" w:color="auto" w:sz="4" w:space="0"/>
              <w:right w:val="single" w:color="auto" w:sz="4" w:space="0"/>
            </w:tcBorders>
            <w:shd w:val="clear" w:color="auto" w:fill="auto"/>
            <w:noWrap/>
            <w:vAlign w:val="bottom"/>
            <w:hideMark/>
          </w:tcPr>
          <w:p w:rsidRPr="009515A7" w:rsidR="007805F9" w:rsidP="007805F9" w:rsidRDefault="007805F9" w14:paraId="21B5450F"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     </w:t>
            </w:r>
          </w:p>
        </w:tc>
        <w:tc>
          <w:tcPr>
            <w:tcW w:w="1760" w:type="dxa"/>
            <w:tcBorders>
              <w:top w:val="nil"/>
              <w:left w:val="nil"/>
              <w:bottom w:val="single" w:color="auto" w:sz="4" w:space="0"/>
              <w:right w:val="single" w:color="auto" w:sz="4" w:space="0"/>
            </w:tcBorders>
            <w:shd w:val="clear" w:color="auto" w:fill="auto"/>
            <w:noWrap/>
            <w:vAlign w:val="bottom"/>
            <w:hideMark/>
          </w:tcPr>
          <w:p w:rsidRPr="009515A7" w:rsidR="007805F9" w:rsidP="007805F9" w:rsidRDefault="007805F9" w14:paraId="42270340"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     </w:t>
            </w:r>
          </w:p>
        </w:tc>
        <w:tc>
          <w:tcPr>
            <w:tcW w:w="1760" w:type="dxa"/>
            <w:tcBorders>
              <w:top w:val="nil"/>
              <w:left w:val="nil"/>
              <w:bottom w:val="single" w:color="auto" w:sz="4" w:space="0"/>
              <w:right w:val="single" w:color="auto" w:sz="4" w:space="0"/>
            </w:tcBorders>
            <w:shd w:val="clear" w:color="auto" w:fill="auto"/>
            <w:noWrap/>
            <w:vAlign w:val="bottom"/>
            <w:hideMark/>
          </w:tcPr>
          <w:p w:rsidRPr="009515A7" w:rsidR="007805F9" w:rsidP="007805F9" w:rsidRDefault="007805F9" w14:paraId="6DB48DEE"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     </w:t>
            </w:r>
          </w:p>
        </w:tc>
      </w:tr>
      <w:tr w:rsidRPr="00735291" w:rsidR="007805F9" w:rsidTr="007805F9" w14:paraId="2905204C"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9515A7" w:rsidR="007805F9" w:rsidP="007805F9" w:rsidRDefault="007805F9" w14:paraId="56A9A567"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453B4BDD"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Winter - Off-Peak</w:t>
            </w:r>
          </w:p>
        </w:tc>
        <w:tc>
          <w:tcPr>
            <w:tcW w:w="17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0EDA4943"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0.370 </w:t>
            </w:r>
          </w:p>
        </w:tc>
        <w:tc>
          <w:tcPr>
            <w:tcW w:w="17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673938FF"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0.322 </w:t>
            </w:r>
          </w:p>
        </w:tc>
        <w:tc>
          <w:tcPr>
            <w:tcW w:w="1760" w:type="dxa"/>
            <w:tcBorders>
              <w:top w:val="nil"/>
              <w:left w:val="nil"/>
              <w:bottom w:val="single" w:color="auto" w:sz="4" w:space="0"/>
              <w:right w:val="single" w:color="auto" w:sz="4" w:space="0"/>
            </w:tcBorders>
            <w:shd w:val="clear" w:color="000000" w:fill="D9E1F2"/>
            <w:noWrap/>
            <w:vAlign w:val="bottom"/>
            <w:hideMark/>
          </w:tcPr>
          <w:p w:rsidRPr="009515A7" w:rsidR="007805F9" w:rsidP="007805F9" w:rsidRDefault="007805F9" w14:paraId="194C8E8B" w14:textId="77777777">
            <w:pPr>
              <w:spacing w:line="240" w:lineRule="auto"/>
              <w:ind w:firstLine="0"/>
              <w:rPr>
                <w:rFonts w:eastAsia="Times New Roman" w:cs="Calibri"/>
                <w:color w:val="000000"/>
                <w:sz w:val="24"/>
                <w:szCs w:val="24"/>
              </w:rPr>
            </w:pPr>
            <w:r w:rsidRPr="009515A7">
              <w:rPr>
                <w:rFonts w:eastAsia="Times New Roman" w:cs="Calibri"/>
                <w:color w:val="000000"/>
                <w:sz w:val="24"/>
                <w:szCs w:val="24"/>
              </w:rPr>
              <w:t xml:space="preserve"> $             0.047 </w:t>
            </w:r>
          </w:p>
        </w:tc>
      </w:tr>
    </w:tbl>
    <w:p w:rsidR="00A85E27" w:rsidP="00141D86" w:rsidRDefault="00A85E27" w14:paraId="526D11E2" w14:textId="77777777">
      <w:pPr>
        <w:ind w:firstLine="0"/>
        <w:rPr>
          <w:sz w:val="24"/>
          <w:szCs w:val="24"/>
        </w:rPr>
      </w:pPr>
    </w:p>
    <w:p w:rsidRPr="0097066A" w:rsidR="000A20E8" w:rsidP="00141D86" w:rsidRDefault="000A20E8" w14:paraId="3CD6C0D0" w14:textId="00C872EA">
      <w:pPr>
        <w:ind w:firstLine="0"/>
        <w:rPr>
          <w:b/>
          <w:bCs/>
          <w:szCs w:val="26"/>
        </w:rPr>
      </w:pPr>
      <w:r w:rsidRPr="0097066A">
        <w:rPr>
          <w:b/>
          <w:bCs/>
          <w:szCs w:val="26"/>
        </w:rPr>
        <w:t>Table A-2: Estimated Impact of Adopted Fixed Charges on SCE’s Rates</w:t>
      </w:r>
    </w:p>
    <w:tbl>
      <w:tblPr>
        <w:tblW w:w="9520" w:type="dxa"/>
        <w:tblLook w:val="04A0" w:firstRow="1" w:lastRow="0" w:firstColumn="1" w:lastColumn="0" w:noHBand="0" w:noVBand="1"/>
      </w:tblPr>
      <w:tblGrid>
        <w:gridCol w:w="1780"/>
        <w:gridCol w:w="2460"/>
        <w:gridCol w:w="1760"/>
        <w:gridCol w:w="1760"/>
        <w:gridCol w:w="1760"/>
      </w:tblGrid>
      <w:tr w:rsidRPr="00735291" w:rsidR="00A23EB6" w:rsidTr="00A23EB6" w14:paraId="5EC12BEF" w14:textId="77777777">
        <w:trPr>
          <w:trHeight w:val="1035"/>
        </w:trPr>
        <w:tc>
          <w:tcPr>
            <w:tcW w:w="4240" w:type="dxa"/>
            <w:gridSpan w:val="2"/>
            <w:tcBorders>
              <w:top w:val="single" w:color="auto" w:sz="4" w:space="0"/>
              <w:left w:val="single" w:color="auto" w:sz="4" w:space="0"/>
              <w:bottom w:val="single" w:color="000000" w:sz="4" w:space="0"/>
              <w:right w:val="single" w:color="auto" w:sz="4" w:space="0"/>
            </w:tcBorders>
            <w:shd w:val="clear" w:color="000000" w:fill="4472C4"/>
            <w:noWrap/>
            <w:vAlign w:val="center"/>
            <w:hideMark/>
          </w:tcPr>
          <w:p w:rsidRPr="009515A7" w:rsidR="00A23EB6" w:rsidP="00A23EB6" w:rsidRDefault="00A23EB6" w14:paraId="4BAFB9DD" w14:textId="77777777">
            <w:pPr>
              <w:spacing w:line="240" w:lineRule="auto"/>
              <w:ind w:firstLine="0"/>
              <w:jc w:val="center"/>
              <w:rPr>
                <w:rFonts w:eastAsia="Times New Roman" w:cs="Calibri"/>
                <w:b/>
                <w:color w:val="FFFFFF"/>
                <w:sz w:val="24"/>
                <w:szCs w:val="24"/>
              </w:rPr>
            </w:pPr>
            <w:r w:rsidRPr="009515A7">
              <w:rPr>
                <w:rFonts w:eastAsia="Times New Roman" w:cs="Calibri"/>
                <w:b/>
                <w:color w:val="FFFFFF"/>
                <w:sz w:val="24"/>
                <w:szCs w:val="24"/>
              </w:rPr>
              <w:t>SCE</w:t>
            </w:r>
          </w:p>
        </w:tc>
        <w:tc>
          <w:tcPr>
            <w:tcW w:w="1760" w:type="dxa"/>
            <w:tcBorders>
              <w:top w:val="single" w:color="auto" w:sz="4" w:space="0"/>
              <w:left w:val="nil"/>
              <w:bottom w:val="single" w:color="auto" w:sz="4" w:space="0"/>
              <w:right w:val="single" w:color="auto" w:sz="4" w:space="0"/>
            </w:tcBorders>
            <w:shd w:val="clear" w:color="000000" w:fill="4472C4"/>
            <w:vAlign w:val="center"/>
            <w:hideMark/>
          </w:tcPr>
          <w:p w:rsidRPr="009515A7" w:rsidR="00A23EB6" w:rsidP="00A23EB6" w:rsidRDefault="00A23EB6" w14:paraId="2F7A3E5C" w14:textId="77777777">
            <w:pPr>
              <w:spacing w:line="240" w:lineRule="auto"/>
              <w:ind w:firstLine="0"/>
              <w:jc w:val="center"/>
              <w:rPr>
                <w:rFonts w:eastAsia="Times New Roman" w:cs="Calibri"/>
                <w:b/>
                <w:color w:val="FFFFFF"/>
                <w:sz w:val="24"/>
                <w:szCs w:val="24"/>
              </w:rPr>
            </w:pPr>
            <w:r w:rsidRPr="009515A7">
              <w:rPr>
                <w:rFonts w:eastAsia="Times New Roman" w:cs="Calibri"/>
                <w:b/>
                <w:color w:val="FFFFFF"/>
                <w:sz w:val="24"/>
                <w:szCs w:val="24"/>
              </w:rPr>
              <w:t>Existing Rate Structure</w:t>
            </w:r>
          </w:p>
        </w:tc>
        <w:tc>
          <w:tcPr>
            <w:tcW w:w="1760" w:type="dxa"/>
            <w:tcBorders>
              <w:top w:val="single" w:color="auto" w:sz="4" w:space="0"/>
              <w:left w:val="nil"/>
              <w:bottom w:val="single" w:color="auto" w:sz="4" w:space="0"/>
              <w:right w:val="single" w:color="auto" w:sz="4" w:space="0"/>
            </w:tcBorders>
            <w:shd w:val="clear" w:color="000000" w:fill="4472C4"/>
            <w:vAlign w:val="center"/>
            <w:hideMark/>
          </w:tcPr>
          <w:p w:rsidRPr="009515A7" w:rsidR="00A23EB6" w:rsidP="00A23EB6" w:rsidRDefault="000824FC" w14:paraId="7FB7188C" w14:textId="61E7AC61">
            <w:pPr>
              <w:spacing w:line="240" w:lineRule="auto"/>
              <w:ind w:firstLine="0"/>
              <w:jc w:val="center"/>
              <w:rPr>
                <w:rFonts w:eastAsia="Times New Roman" w:cs="Calibri"/>
                <w:b/>
                <w:color w:val="FFFFFF"/>
                <w:sz w:val="24"/>
                <w:szCs w:val="24"/>
              </w:rPr>
            </w:pPr>
            <w:r>
              <w:rPr>
                <w:rFonts w:eastAsia="Times New Roman" w:cs="Calibri"/>
                <w:b/>
                <w:color w:val="FFFFFF"/>
                <w:sz w:val="24"/>
                <w:szCs w:val="24"/>
              </w:rPr>
              <w:t xml:space="preserve">Estimated </w:t>
            </w:r>
            <w:r w:rsidR="002601F1">
              <w:rPr>
                <w:rFonts w:eastAsia="Times New Roman" w:cs="Calibri"/>
                <w:b/>
                <w:color w:val="FFFFFF"/>
                <w:sz w:val="24"/>
                <w:szCs w:val="24"/>
              </w:rPr>
              <w:t>Rate</w:t>
            </w:r>
            <w:r w:rsidR="0097066A">
              <w:rPr>
                <w:rFonts w:eastAsia="Times New Roman" w:cs="Calibri"/>
                <w:b/>
                <w:color w:val="FFFFFF"/>
                <w:sz w:val="24"/>
                <w:szCs w:val="24"/>
              </w:rPr>
              <w:t xml:space="preserve"> </w:t>
            </w:r>
            <w:r w:rsidRPr="0097066A" w:rsidR="0097066A">
              <w:rPr>
                <w:rFonts w:eastAsia="Times New Roman" w:cs="Calibri"/>
                <w:b/>
                <w:color w:val="FFFFFF"/>
                <w:sz w:val="24"/>
                <w:szCs w:val="24"/>
              </w:rPr>
              <w:t>After Fixed Charge</w:t>
            </w:r>
          </w:p>
        </w:tc>
        <w:tc>
          <w:tcPr>
            <w:tcW w:w="1760" w:type="dxa"/>
            <w:tcBorders>
              <w:top w:val="single" w:color="auto" w:sz="4" w:space="0"/>
              <w:left w:val="nil"/>
              <w:bottom w:val="single" w:color="auto" w:sz="4" w:space="0"/>
              <w:right w:val="single" w:color="auto" w:sz="4" w:space="0"/>
            </w:tcBorders>
            <w:shd w:val="clear" w:color="000000" w:fill="4472C4"/>
            <w:vAlign w:val="center"/>
            <w:hideMark/>
          </w:tcPr>
          <w:p w:rsidR="002601F1" w:rsidP="00A23EB6" w:rsidRDefault="002601F1" w14:paraId="7E681713" w14:textId="04DADA46">
            <w:pPr>
              <w:spacing w:line="240" w:lineRule="auto"/>
              <w:ind w:firstLine="0"/>
              <w:jc w:val="center"/>
              <w:rPr>
                <w:rFonts w:eastAsia="Times New Roman" w:cs="Calibri"/>
                <w:b/>
                <w:color w:val="FFFFFF"/>
                <w:sz w:val="24"/>
                <w:szCs w:val="24"/>
              </w:rPr>
            </w:pPr>
            <w:r>
              <w:rPr>
                <w:rFonts w:eastAsia="Times New Roman" w:cs="Calibri"/>
                <w:b/>
                <w:color w:val="FFFFFF"/>
                <w:sz w:val="24"/>
                <w:szCs w:val="24"/>
              </w:rPr>
              <w:t>Estimated</w:t>
            </w:r>
          </w:p>
          <w:p w:rsidRPr="009515A7" w:rsidR="00A23EB6" w:rsidP="00A23EB6" w:rsidRDefault="00A23EB6" w14:paraId="2E35BDDA" w14:textId="3CBECA6A">
            <w:pPr>
              <w:spacing w:line="240" w:lineRule="auto"/>
              <w:ind w:firstLine="0"/>
              <w:jc w:val="center"/>
              <w:rPr>
                <w:rFonts w:eastAsia="Times New Roman" w:cs="Calibri"/>
                <w:b/>
                <w:color w:val="FFFFFF"/>
                <w:sz w:val="24"/>
                <w:szCs w:val="24"/>
              </w:rPr>
            </w:pPr>
            <w:r w:rsidRPr="009515A7">
              <w:rPr>
                <w:rFonts w:eastAsia="Times New Roman" w:cs="Calibri"/>
                <w:b/>
                <w:color w:val="FFFFFF"/>
                <w:sz w:val="24"/>
                <w:szCs w:val="24"/>
              </w:rPr>
              <w:t>Rate Reduction</w:t>
            </w:r>
          </w:p>
        </w:tc>
      </w:tr>
      <w:tr w:rsidRPr="00735291" w:rsidR="00A23EB6" w:rsidTr="00A23EB6" w14:paraId="13F36085" w14:textId="77777777">
        <w:trPr>
          <w:trHeight w:val="300"/>
        </w:trPr>
        <w:tc>
          <w:tcPr>
            <w:tcW w:w="1780" w:type="dxa"/>
            <w:vMerge w:val="restart"/>
            <w:tcBorders>
              <w:top w:val="nil"/>
              <w:left w:val="single" w:color="auto" w:sz="4" w:space="0"/>
              <w:bottom w:val="single" w:color="auto" w:sz="4" w:space="0"/>
              <w:right w:val="single" w:color="auto" w:sz="4" w:space="0"/>
            </w:tcBorders>
            <w:shd w:val="clear" w:color="000000" w:fill="4472C4"/>
            <w:vAlign w:val="center"/>
            <w:hideMark/>
          </w:tcPr>
          <w:p w:rsidRPr="000A64F6" w:rsidR="00A23EB6" w:rsidP="00A23EB6" w:rsidRDefault="00A23EB6" w14:paraId="07D3A9AA" w14:textId="2F426B93">
            <w:pPr>
              <w:spacing w:line="240" w:lineRule="auto"/>
              <w:ind w:firstLine="0"/>
              <w:jc w:val="center"/>
              <w:rPr>
                <w:rFonts w:eastAsia="Times New Roman" w:cs="Calibri"/>
                <w:b/>
                <w:color w:val="FFFFFF"/>
                <w:sz w:val="24"/>
                <w:szCs w:val="24"/>
              </w:rPr>
            </w:pPr>
            <w:r w:rsidRPr="000A64F6">
              <w:rPr>
                <w:rFonts w:eastAsia="Times New Roman" w:cs="Calibri"/>
                <w:b/>
                <w:color w:val="FFFFFF"/>
                <w:sz w:val="24"/>
                <w:szCs w:val="24"/>
              </w:rPr>
              <w:t>Non-CARE</w:t>
            </w:r>
            <w:r w:rsidR="0097066A">
              <w:rPr>
                <w:rFonts w:eastAsia="Times New Roman" w:cs="Calibri"/>
                <w:b/>
                <w:color w:val="FFFFFF"/>
                <w:sz w:val="24"/>
                <w:szCs w:val="24"/>
              </w:rPr>
              <w:t>/FERA</w:t>
            </w:r>
            <w:r w:rsidRPr="000A64F6">
              <w:rPr>
                <w:rFonts w:eastAsia="Times New Roman" w:cs="Calibri"/>
                <w:b/>
                <w:color w:val="FFFFFF"/>
                <w:sz w:val="24"/>
                <w:szCs w:val="24"/>
              </w:rPr>
              <w:t xml:space="preserve"> Energy Charges ($/kWh)</w:t>
            </w:r>
          </w:p>
        </w:tc>
        <w:tc>
          <w:tcPr>
            <w:tcW w:w="2460" w:type="dxa"/>
            <w:tcBorders>
              <w:top w:val="nil"/>
              <w:left w:val="nil"/>
              <w:bottom w:val="single" w:color="auto" w:sz="4" w:space="0"/>
              <w:right w:val="single" w:color="auto" w:sz="4" w:space="0"/>
            </w:tcBorders>
            <w:shd w:val="clear" w:color="auto" w:fill="auto"/>
            <w:noWrap/>
            <w:vAlign w:val="bottom"/>
            <w:hideMark/>
          </w:tcPr>
          <w:p w:rsidRPr="000A64F6" w:rsidR="00A23EB6" w:rsidP="00A23EB6" w:rsidRDefault="00A23EB6" w14:paraId="5E209F32"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Summer - Peak</w:t>
            </w:r>
          </w:p>
        </w:tc>
        <w:tc>
          <w:tcPr>
            <w:tcW w:w="1760" w:type="dxa"/>
            <w:tcBorders>
              <w:top w:val="nil"/>
              <w:left w:val="nil"/>
              <w:bottom w:val="single" w:color="auto" w:sz="4" w:space="0"/>
              <w:right w:val="single" w:color="auto" w:sz="4" w:space="0"/>
            </w:tcBorders>
            <w:shd w:val="clear" w:color="auto" w:fill="auto"/>
            <w:noWrap/>
            <w:vAlign w:val="bottom"/>
            <w:hideMark/>
          </w:tcPr>
          <w:p w:rsidRPr="000A64F6" w:rsidR="00A23EB6" w:rsidP="00A23EB6" w:rsidRDefault="00A23EB6" w14:paraId="24882319"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0.568 </w:t>
            </w:r>
          </w:p>
        </w:tc>
        <w:tc>
          <w:tcPr>
            <w:tcW w:w="1760" w:type="dxa"/>
            <w:tcBorders>
              <w:top w:val="nil"/>
              <w:left w:val="nil"/>
              <w:bottom w:val="single" w:color="auto" w:sz="4" w:space="0"/>
              <w:right w:val="single" w:color="auto" w:sz="4" w:space="0"/>
            </w:tcBorders>
            <w:shd w:val="clear" w:color="auto" w:fill="auto"/>
            <w:noWrap/>
            <w:vAlign w:val="bottom"/>
            <w:hideMark/>
          </w:tcPr>
          <w:p w:rsidRPr="000A64F6" w:rsidR="00A23EB6" w:rsidP="00A23EB6" w:rsidRDefault="00A23EB6" w14:paraId="15B73912"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0.522 </w:t>
            </w:r>
          </w:p>
        </w:tc>
        <w:tc>
          <w:tcPr>
            <w:tcW w:w="1760" w:type="dxa"/>
            <w:tcBorders>
              <w:top w:val="nil"/>
              <w:left w:val="nil"/>
              <w:bottom w:val="single" w:color="auto" w:sz="4" w:space="0"/>
              <w:right w:val="single" w:color="auto" w:sz="4" w:space="0"/>
            </w:tcBorders>
            <w:shd w:val="clear" w:color="auto" w:fill="auto"/>
            <w:noWrap/>
            <w:vAlign w:val="bottom"/>
            <w:hideMark/>
          </w:tcPr>
          <w:p w:rsidRPr="000A64F6" w:rsidR="00A23EB6" w:rsidP="00A23EB6" w:rsidRDefault="00A23EB6" w14:paraId="311529DA"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0.046 </w:t>
            </w:r>
          </w:p>
        </w:tc>
      </w:tr>
      <w:tr w:rsidRPr="00735291" w:rsidR="00A23EB6" w:rsidTr="00A23EB6" w14:paraId="1EB9FFEB"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0A64F6" w:rsidR="00A23EB6" w:rsidP="00A23EB6" w:rsidRDefault="00A23EB6" w14:paraId="7ACA9D5D"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4A03EAD3"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Summer - Part-Peak</w:t>
            </w:r>
          </w:p>
        </w:tc>
        <w:tc>
          <w:tcPr>
            <w:tcW w:w="17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13548C2D"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0.460 </w:t>
            </w:r>
          </w:p>
        </w:tc>
        <w:tc>
          <w:tcPr>
            <w:tcW w:w="17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2D9266ED"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0.414 </w:t>
            </w:r>
          </w:p>
        </w:tc>
        <w:tc>
          <w:tcPr>
            <w:tcW w:w="17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64835E00"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0.046 </w:t>
            </w:r>
          </w:p>
        </w:tc>
      </w:tr>
      <w:tr w:rsidRPr="00735291" w:rsidR="00A23EB6" w:rsidTr="00A23EB6" w14:paraId="05A37466" w14:textId="77777777">
        <w:trPr>
          <w:trHeight w:val="360"/>
        </w:trPr>
        <w:tc>
          <w:tcPr>
            <w:tcW w:w="1780" w:type="dxa"/>
            <w:vMerge/>
            <w:tcBorders>
              <w:top w:val="nil"/>
              <w:left w:val="single" w:color="auto" w:sz="4" w:space="0"/>
              <w:bottom w:val="single" w:color="auto" w:sz="4" w:space="0"/>
              <w:right w:val="single" w:color="auto" w:sz="4" w:space="0"/>
            </w:tcBorders>
            <w:vAlign w:val="center"/>
            <w:hideMark/>
          </w:tcPr>
          <w:p w:rsidRPr="000A64F6" w:rsidR="00A23EB6" w:rsidP="00A23EB6" w:rsidRDefault="00A23EB6" w14:paraId="609B8CA5"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8" w:space="0"/>
              <w:right w:val="single" w:color="auto" w:sz="4" w:space="0"/>
            </w:tcBorders>
            <w:shd w:val="clear" w:color="auto" w:fill="auto"/>
            <w:noWrap/>
            <w:vAlign w:val="bottom"/>
            <w:hideMark/>
          </w:tcPr>
          <w:p w:rsidRPr="000A64F6" w:rsidR="00A23EB6" w:rsidP="00A23EB6" w:rsidRDefault="00A23EB6" w14:paraId="4A6F9193"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Summer - Off-Peak</w:t>
            </w:r>
          </w:p>
        </w:tc>
        <w:tc>
          <w:tcPr>
            <w:tcW w:w="1760" w:type="dxa"/>
            <w:tcBorders>
              <w:top w:val="nil"/>
              <w:left w:val="nil"/>
              <w:bottom w:val="single" w:color="auto" w:sz="8" w:space="0"/>
              <w:right w:val="single" w:color="auto" w:sz="4" w:space="0"/>
            </w:tcBorders>
            <w:shd w:val="clear" w:color="auto" w:fill="auto"/>
            <w:noWrap/>
            <w:vAlign w:val="bottom"/>
            <w:hideMark/>
          </w:tcPr>
          <w:p w:rsidRPr="000A64F6" w:rsidR="00A23EB6" w:rsidP="00A23EB6" w:rsidRDefault="00A23EB6" w14:paraId="35308301"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0.353 </w:t>
            </w:r>
          </w:p>
        </w:tc>
        <w:tc>
          <w:tcPr>
            <w:tcW w:w="1760" w:type="dxa"/>
            <w:tcBorders>
              <w:top w:val="nil"/>
              <w:left w:val="nil"/>
              <w:bottom w:val="single" w:color="auto" w:sz="8" w:space="0"/>
              <w:right w:val="single" w:color="auto" w:sz="4" w:space="0"/>
            </w:tcBorders>
            <w:shd w:val="clear" w:color="auto" w:fill="auto"/>
            <w:noWrap/>
            <w:vAlign w:val="bottom"/>
            <w:hideMark/>
          </w:tcPr>
          <w:p w:rsidRPr="000A64F6" w:rsidR="00A23EB6" w:rsidP="00A23EB6" w:rsidRDefault="00A23EB6" w14:paraId="211E8599"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0.307 </w:t>
            </w:r>
          </w:p>
        </w:tc>
        <w:tc>
          <w:tcPr>
            <w:tcW w:w="1760" w:type="dxa"/>
            <w:tcBorders>
              <w:top w:val="nil"/>
              <w:left w:val="nil"/>
              <w:bottom w:val="single" w:color="auto" w:sz="8" w:space="0"/>
              <w:right w:val="single" w:color="auto" w:sz="4" w:space="0"/>
            </w:tcBorders>
            <w:shd w:val="clear" w:color="auto" w:fill="auto"/>
            <w:noWrap/>
            <w:vAlign w:val="bottom"/>
            <w:hideMark/>
          </w:tcPr>
          <w:p w:rsidRPr="000A64F6" w:rsidR="00A23EB6" w:rsidP="00A23EB6" w:rsidRDefault="00A23EB6" w14:paraId="2AF7F5F5"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0.046 </w:t>
            </w:r>
          </w:p>
        </w:tc>
      </w:tr>
      <w:tr w:rsidRPr="00735291" w:rsidR="00A23EB6" w:rsidTr="00A23EB6" w14:paraId="11A8D51B"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0A64F6" w:rsidR="00A23EB6" w:rsidP="00A23EB6" w:rsidRDefault="00A23EB6" w14:paraId="6AB52FF7"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43FDF870"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Winter - Peak</w:t>
            </w:r>
          </w:p>
        </w:tc>
        <w:tc>
          <w:tcPr>
            <w:tcW w:w="17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0130B523"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0.500 </w:t>
            </w:r>
          </w:p>
        </w:tc>
        <w:tc>
          <w:tcPr>
            <w:tcW w:w="17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44A1A807"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0.454 </w:t>
            </w:r>
          </w:p>
        </w:tc>
        <w:tc>
          <w:tcPr>
            <w:tcW w:w="17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08B7E3BF"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0.046 </w:t>
            </w:r>
          </w:p>
        </w:tc>
      </w:tr>
      <w:tr w:rsidRPr="00735291" w:rsidR="00A23EB6" w:rsidTr="00A23EB6" w14:paraId="234BE600"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0A64F6" w:rsidR="00A23EB6" w:rsidP="00A23EB6" w:rsidRDefault="00A23EB6" w14:paraId="15042190"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auto" w:fill="auto"/>
            <w:noWrap/>
            <w:vAlign w:val="bottom"/>
            <w:hideMark/>
          </w:tcPr>
          <w:p w:rsidRPr="000A64F6" w:rsidR="00A23EB6" w:rsidP="00A23EB6" w:rsidRDefault="00A23EB6" w14:paraId="5A883FFE"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Winter - Part-Peak</w:t>
            </w:r>
          </w:p>
        </w:tc>
        <w:tc>
          <w:tcPr>
            <w:tcW w:w="1760" w:type="dxa"/>
            <w:tcBorders>
              <w:top w:val="nil"/>
              <w:left w:val="nil"/>
              <w:bottom w:val="single" w:color="auto" w:sz="4" w:space="0"/>
              <w:right w:val="single" w:color="auto" w:sz="4" w:space="0"/>
            </w:tcBorders>
            <w:shd w:val="clear" w:color="auto" w:fill="auto"/>
            <w:noWrap/>
            <w:vAlign w:val="bottom"/>
            <w:hideMark/>
          </w:tcPr>
          <w:p w:rsidRPr="000A64F6" w:rsidR="00A23EB6" w:rsidP="00A23EB6" w:rsidRDefault="00A23EB6" w14:paraId="380BD355"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0.378 </w:t>
            </w:r>
          </w:p>
        </w:tc>
        <w:tc>
          <w:tcPr>
            <w:tcW w:w="1760" w:type="dxa"/>
            <w:tcBorders>
              <w:top w:val="nil"/>
              <w:left w:val="nil"/>
              <w:bottom w:val="single" w:color="auto" w:sz="4" w:space="0"/>
              <w:right w:val="single" w:color="auto" w:sz="4" w:space="0"/>
            </w:tcBorders>
            <w:shd w:val="clear" w:color="auto" w:fill="auto"/>
            <w:noWrap/>
            <w:vAlign w:val="bottom"/>
            <w:hideMark/>
          </w:tcPr>
          <w:p w:rsidRPr="000A64F6" w:rsidR="00A23EB6" w:rsidP="00A23EB6" w:rsidRDefault="00A23EB6" w14:paraId="38B73879"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0.332 </w:t>
            </w:r>
          </w:p>
        </w:tc>
        <w:tc>
          <w:tcPr>
            <w:tcW w:w="1760" w:type="dxa"/>
            <w:tcBorders>
              <w:top w:val="nil"/>
              <w:left w:val="nil"/>
              <w:bottom w:val="single" w:color="auto" w:sz="4" w:space="0"/>
              <w:right w:val="single" w:color="auto" w:sz="4" w:space="0"/>
            </w:tcBorders>
            <w:shd w:val="clear" w:color="auto" w:fill="auto"/>
            <w:noWrap/>
            <w:vAlign w:val="bottom"/>
            <w:hideMark/>
          </w:tcPr>
          <w:p w:rsidRPr="000A64F6" w:rsidR="00A23EB6" w:rsidP="00A23EB6" w:rsidRDefault="00A23EB6" w14:paraId="67FE5691"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0.046 </w:t>
            </w:r>
          </w:p>
        </w:tc>
      </w:tr>
      <w:tr w:rsidRPr="00735291" w:rsidR="00A23EB6" w:rsidTr="00A23EB6" w14:paraId="48ECFF4B"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0A64F6" w:rsidR="00A23EB6" w:rsidP="00A23EB6" w:rsidRDefault="00A23EB6" w14:paraId="31C34200"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2AC7D617"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Winter - Off-Peak</w:t>
            </w:r>
          </w:p>
        </w:tc>
        <w:tc>
          <w:tcPr>
            <w:tcW w:w="17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4F6CECE6"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0.342 </w:t>
            </w:r>
          </w:p>
        </w:tc>
        <w:tc>
          <w:tcPr>
            <w:tcW w:w="17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20C90468"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0.297 </w:t>
            </w:r>
          </w:p>
        </w:tc>
        <w:tc>
          <w:tcPr>
            <w:tcW w:w="1760" w:type="dxa"/>
            <w:tcBorders>
              <w:top w:val="nil"/>
              <w:left w:val="nil"/>
              <w:bottom w:val="single" w:color="auto" w:sz="4" w:space="0"/>
              <w:right w:val="single" w:color="auto" w:sz="4" w:space="0"/>
            </w:tcBorders>
            <w:shd w:val="clear" w:color="000000" w:fill="D9E1F2"/>
            <w:noWrap/>
            <w:vAlign w:val="bottom"/>
            <w:hideMark/>
          </w:tcPr>
          <w:p w:rsidRPr="000A64F6" w:rsidR="00A23EB6" w:rsidP="00A23EB6" w:rsidRDefault="00A23EB6" w14:paraId="5ABABCE2" w14:textId="77777777">
            <w:pPr>
              <w:spacing w:line="240" w:lineRule="auto"/>
              <w:ind w:firstLine="0"/>
              <w:rPr>
                <w:rFonts w:eastAsia="Times New Roman" w:cs="Calibri"/>
                <w:color w:val="000000"/>
                <w:sz w:val="24"/>
                <w:szCs w:val="24"/>
              </w:rPr>
            </w:pPr>
            <w:r w:rsidRPr="000A64F6">
              <w:rPr>
                <w:rFonts w:eastAsia="Times New Roman" w:cs="Calibri"/>
                <w:color w:val="000000"/>
                <w:sz w:val="24"/>
                <w:szCs w:val="24"/>
              </w:rPr>
              <w:t xml:space="preserve"> $             0.046 </w:t>
            </w:r>
          </w:p>
        </w:tc>
      </w:tr>
    </w:tbl>
    <w:p w:rsidR="007805F9" w:rsidP="00141D86" w:rsidRDefault="007805F9" w14:paraId="5BA86742" w14:textId="77777777">
      <w:pPr>
        <w:ind w:firstLine="0"/>
        <w:rPr>
          <w:sz w:val="24"/>
          <w:szCs w:val="24"/>
        </w:rPr>
      </w:pPr>
    </w:p>
    <w:p w:rsidRPr="0097066A" w:rsidR="000A20E8" w:rsidP="00141D86" w:rsidRDefault="000A20E8" w14:paraId="43AA4A94" w14:textId="3DEBD707">
      <w:pPr>
        <w:ind w:firstLine="0"/>
        <w:rPr>
          <w:b/>
          <w:bCs/>
          <w:szCs w:val="26"/>
        </w:rPr>
      </w:pPr>
      <w:r w:rsidRPr="0097066A">
        <w:rPr>
          <w:b/>
          <w:bCs/>
          <w:szCs w:val="26"/>
        </w:rPr>
        <w:t>Table A-3: Estimated Impact of Adopted Fixed Charges on SDG&amp;E’s Rates</w:t>
      </w:r>
    </w:p>
    <w:tbl>
      <w:tblPr>
        <w:tblW w:w="9520" w:type="dxa"/>
        <w:tblLook w:val="04A0" w:firstRow="1" w:lastRow="0" w:firstColumn="1" w:lastColumn="0" w:noHBand="0" w:noVBand="1"/>
      </w:tblPr>
      <w:tblGrid>
        <w:gridCol w:w="1780"/>
        <w:gridCol w:w="2460"/>
        <w:gridCol w:w="1760"/>
        <w:gridCol w:w="1760"/>
        <w:gridCol w:w="1760"/>
      </w:tblGrid>
      <w:tr w:rsidRPr="00735291" w:rsidR="00BA3E51" w:rsidTr="00BA3E51" w14:paraId="0F8A3913" w14:textId="77777777">
        <w:trPr>
          <w:trHeight w:val="1035"/>
        </w:trPr>
        <w:tc>
          <w:tcPr>
            <w:tcW w:w="4240" w:type="dxa"/>
            <w:gridSpan w:val="2"/>
            <w:tcBorders>
              <w:top w:val="single" w:color="auto" w:sz="4" w:space="0"/>
              <w:left w:val="single" w:color="auto" w:sz="4" w:space="0"/>
              <w:bottom w:val="single" w:color="000000" w:sz="4" w:space="0"/>
              <w:right w:val="single" w:color="auto" w:sz="4" w:space="0"/>
            </w:tcBorders>
            <w:shd w:val="clear" w:color="000000" w:fill="4472C4"/>
            <w:noWrap/>
            <w:vAlign w:val="center"/>
            <w:hideMark/>
          </w:tcPr>
          <w:p w:rsidRPr="009A4704" w:rsidR="00BA3E51" w:rsidP="00BA3E51" w:rsidRDefault="00BA3E51" w14:paraId="5C3B62E7" w14:textId="77777777">
            <w:pPr>
              <w:spacing w:line="240" w:lineRule="auto"/>
              <w:ind w:firstLine="0"/>
              <w:jc w:val="center"/>
              <w:rPr>
                <w:rFonts w:eastAsia="Times New Roman" w:cs="Calibri"/>
                <w:b/>
                <w:color w:val="FFFFFF"/>
                <w:sz w:val="24"/>
                <w:szCs w:val="24"/>
              </w:rPr>
            </w:pPr>
            <w:r w:rsidRPr="009A4704">
              <w:rPr>
                <w:rFonts w:eastAsia="Times New Roman" w:cs="Calibri"/>
                <w:b/>
                <w:color w:val="FFFFFF"/>
                <w:sz w:val="24"/>
                <w:szCs w:val="24"/>
              </w:rPr>
              <w:t>SDG&amp;E</w:t>
            </w:r>
          </w:p>
        </w:tc>
        <w:tc>
          <w:tcPr>
            <w:tcW w:w="1760" w:type="dxa"/>
            <w:tcBorders>
              <w:top w:val="single" w:color="auto" w:sz="4" w:space="0"/>
              <w:left w:val="nil"/>
              <w:bottom w:val="single" w:color="auto" w:sz="4" w:space="0"/>
              <w:right w:val="single" w:color="auto" w:sz="4" w:space="0"/>
            </w:tcBorders>
            <w:shd w:val="clear" w:color="000000" w:fill="4472C4"/>
            <w:vAlign w:val="center"/>
            <w:hideMark/>
          </w:tcPr>
          <w:p w:rsidRPr="009A4704" w:rsidR="00BA3E51" w:rsidP="00BA3E51" w:rsidRDefault="00BA3E51" w14:paraId="6D4E2B28" w14:textId="77777777">
            <w:pPr>
              <w:spacing w:line="240" w:lineRule="auto"/>
              <w:ind w:firstLine="0"/>
              <w:jc w:val="center"/>
              <w:rPr>
                <w:rFonts w:eastAsia="Times New Roman" w:cs="Calibri"/>
                <w:b/>
                <w:color w:val="FFFFFF"/>
                <w:sz w:val="24"/>
                <w:szCs w:val="24"/>
              </w:rPr>
            </w:pPr>
            <w:r w:rsidRPr="009A4704">
              <w:rPr>
                <w:rFonts w:eastAsia="Times New Roman" w:cs="Calibri"/>
                <w:b/>
                <w:color w:val="FFFFFF"/>
                <w:sz w:val="24"/>
                <w:szCs w:val="24"/>
              </w:rPr>
              <w:t>Existing Rate Structure</w:t>
            </w:r>
          </w:p>
        </w:tc>
        <w:tc>
          <w:tcPr>
            <w:tcW w:w="1760" w:type="dxa"/>
            <w:tcBorders>
              <w:top w:val="single" w:color="auto" w:sz="4" w:space="0"/>
              <w:left w:val="nil"/>
              <w:bottom w:val="single" w:color="auto" w:sz="4" w:space="0"/>
              <w:right w:val="single" w:color="auto" w:sz="4" w:space="0"/>
            </w:tcBorders>
            <w:shd w:val="clear" w:color="000000" w:fill="4472C4"/>
            <w:vAlign w:val="center"/>
            <w:hideMark/>
          </w:tcPr>
          <w:p w:rsidRPr="009A4704" w:rsidR="00BA3E51" w:rsidP="00BA3E51" w:rsidRDefault="000824FC" w14:paraId="6ADA854E" w14:textId="09B4717B">
            <w:pPr>
              <w:spacing w:line="240" w:lineRule="auto"/>
              <w:ind w:firstLine="0"/>
              <w:jc w:val="center"/>
              <w:rPr>
                <w:rFonts w:eastAsia="Times New Roman" w:cs="Calibri"/>
                <w:b/>
                <w:color w:val="FFFFFF"/>
                <w:sz w:val="24"/>
                <w:szCs w:val="24"/>
              </w:rPr>
            </w:pPr>
            <w:r>
              <w:rPr>
                <w:rFonts w:eastAsia="Times New Roman" w:cs="Calibri"/>
                <w:b/>
                <w:color w:val="FFFFFF"/>
                <w:sz w:val="24"/>
                <w:szCs w:val="24"/>
              </w:rPr>
              <w:t xml:space="preserve">Estimated </w:t>
            </w:r>
            <w:r w:rsidR="0097066A">
              <w:rPr>
                <w:rFonts w:eastAsia="Times New Roman" w:cs="Calibri"/>
                <w:b/>
                <w:color w:val="FFFFFF"/>
                <w:sz w:val="24"/>
                <w:szCs w:val="24"/>
              </w:rPr>
              <w:t xml:space="preserve">Rate After </w:t>
            </w:r>
            <w:r w:rsidR="00997683">
              <w:rPr>
                <w:rFonts w:eastAsia="Times New Roman" w:cs="Calibri"/>
                <w:b/>
                <w:color w:val="FFFFFF"/>
                <w:sz w:val="24"/>
                <w:szCs w:val="24"/>
              </w:rPr>
              <w:t>Fixed Charge</w:t>
            </w:r>
          </w:p>
        </w:tc>
        <w:tc>
          <w:tcPr>
            <w:tcW w:w="1760" w:type="dxa"/>
            <w:tcBorders>
              <w:top w:val="single" w:color="auto" w:sz="4" w:space="0"/>
              <w:left w:val="nil"/>
              <w:bottom w:val="single" w:color="auto" w:sz="4" w:space="0"/>
              <w:right w:val="single" w:color="auto" w:sz="4" w:space="0"/>
            </w:tcBorders>
            <w:shd w:val="clear" w:color="000000" w:fill="4472C4"/>
            <w:vAlign w:val="center"/>
            <w:hideMark/>
          </w:tcPr>
          <w:p w:rsidRPr="009A4704" w:rsidR="00BA3E51" w:rsidP="00BA3E51" w:rsidRDefault="0097066A" w14:paraId="5C38F134" w14:textId="7C558C1E">
            <w:pPr>
              <w:spacing w:line="240" w:lineRule="auto"/>
              <w:ind w:firstLine="0"/>
              <w:jc w:val="center"/>
              <w:rPr>
                <w:rFonts w:eastAsia="Times New Roman" w:cs="Calibri"/>
                <w:b/>
                <w:color w:val="FFFFFF"/>
                <w:sz w:val="24"/>
                <w:szCs w:val="24"/>
              </w:rPr>
            </w:pPr>
            <w:r>
              <w:rPr>
                <w:rFonts w:eastAsia="Times New Roman" w:cs="Calibri"/>
                <w:b/>
                <w:color w:val="FFFFFF"/>
                <w:sz w:val="24"/>
                <w:szCs w:val="24"/>
              </w:rPr>
              <w:t xml:space="preserve">Estimated </w:t>
            </w:r>
            <w:r w:rsidRPr="009A4704" w:rsidR="00BA3E51">
              <w:rPr>
                <w:rFonts w:eastAsia="Times New Roman" w:cs="Calibri"/>
                <w:b/>
                <w:color w:val="FFFFFF"/>
                <w:sz w:val="24"/>
                <w:szCs w:val="24"/>
              </w:rPr>
              <w:t>Rate Reduction</w:t>
            </w:r>
          </w:p>
        </w:tc>
      </w:tr>
      <w:tr w:rsidRPr="00735291" w:rsidR="00BA3E51" w:rsidTr="00BA3E51" w14:paraId="08DB50E8" w14:textId="77777777">
        <w:trPr>
          <w:trHeight w:val="300"/>
        </w:trPr>
        <w:tc>
          <w:tcPr>
            <w:tcW w:w="1780" w:type="dxa"/>
            <w:vMerge w:val="restart"/>
            <w:tcBorders>
              <w:top w:val="nil"/>
              <w:left w:val="single" w:color="auto" w:sz="4" w:space="0"/>
              <w:bottom w:val="single" w:color="auto" w:sz="4" w:space="0"/>
              <w:right w:val="single" w:color="auto" w:sz="4" w:space="0"/>
            </w:tcBorders>
            <w:shd w:val="clear" w:color="000000" w:fill="4472C4"/>
            <w:vAlign w:val="center"/>
            <w:hideMark/>
          </w:tcPr>
          <w:p w:rsidRPr="009A4704" w:rsidR="00BA3E51" w:rsidP="00BA3E51" w:rsidRDefault="00BA3E51" w14:paraId="7AB88B7C" w14:textId="15ED4492">
            <w:pPr>
              <w:spacing w:line="240" w:lineRule="auto"/>
              <w:ind w:firstLine="0"/>
              <w:jc w:val="center"/>
              <w:rPr>
                <w:rFonts w:eastAsia="Times New Roman" w:cs="Calibri"/>
                <w:b/>
                <w:color w:val="FFFFFF"/>
                <w:sz w:val="24"/>
                <w:szCs w:val="24"/>
              </w:rPr>
            </w:pPr>
            <w:r w:rsidRPr="009A4704">
              <w:rPr>
                <w:rFonts w:eastAsia="Times New Roman" w:cs="Calibri"/>
                <w:b/>
                <w:color w:val="FFFFFF"/>
                <w:sz w:val="24"/>
                <w:szCs w:val="24"/>
              </w:rPr>
              <w:t>Non-CARE</w:t>
            </w:r>
            <w:r w:rsidR="0097066A">
              <w:rPr>
                <w:rFonts w:eastAsia="Times New Roman" w:cs="Calibri"/>
                <w:b/>
                <w:color w:val="FFFFFF"/>
                <w:sz w:val="24"/>
                <w:szCs w:val="24"/>
              </w:rPr>
              <w:t>/FERA</w:t>
            </w:r>
            <w:r w:rsidRPr="009A4704">
              <w:rPr>
                <w:rFonts w:eastAsia="Times New Roman" w:cs="Calibri"/>
                <w:b/>
                <w:color w:val="FFFFFF"/>
                <w:sz w:val="24"/>
                <w:szCs w:val="24"/>
              </w:rPr>
              <w:t xml:space="preserve"> Energy Charges ($/kWh)</w:t>
            </w:r>
          </w:p>
        </w:tc>
        <w:tc>
          <w:tcPr>
            <w:tcW w:w="2460" w:type="dxa"/>
            <w:tcBorders>
              <w:top w:val="nil"/>
              <w:left w:val="nil"/>
              <w:bottom w:val="single" w:color="auto" w:sz="4" w:space="0"/>
              <w:right w:val="single" w:color="auto" w:sz="4" w:space="0"/>
            </w:tcBorders>
            <w:shd w:val="clear" w:color="auto" w:fill="auto"/>
            <w:noWrap/>
            <w:vAlign w:val="bottom"/>
            <w:hideMark/>
          </w:tcPr>
          <w:p w:rsidRPr="009A4704" w:rsidR="00BA3E51" w:rsidP="00BA3E51" w:rsidRDefault="00BA3E51" w14:paraId="14CC07AA"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Summer - Peak</w:t>
            </w:r>
          </w:p>
        </w:tc>
        <w:tc>
          <w:tcPr>
            <w:tcW w:w="1760" w:type="dxa"/>
            <w:tcBorders>
              <w:top w:val="nil"/>
              <w:left w:val="nil"/>
              <w:bottom w:val="single" w:color="auto" w:sz="4" w:space="0"/>
              <w:right w:val="single" w:color="auto" w:sz="4" w:space="0"/>
            </w:tcBorders>
            <w:shd w:val="clear" w:color="auto" w:fill="auto"/>
            <w:noWrap/>
            <w:vAlign w:val="bottom"/>
            <w:hideMark/>
          </w:tcPr>
          <w:p w:rsidRPr="009A4704" w:rsidR="00BA3E51" w:rsidP="00BA3E51" w:rsidRDefault="00BA3E51" w14:paraId="724EC2B9"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0.851 </w:t>
            </w:r>
          </w:p>
        </w:tc>
        <w:tc>
          <w:tcPr>
            <w:tcW w:w="1760" w:type="dxa"/>
            <w:tcBorders>
              <w:top w:val="nil"/>
              <w:left w:val="nil"/>
              <w:bottom w:val="single" w:color="auto" w:sz="4" w:space="0"/>
              <w:right w:val="single" w:color="auto" w:sz="4" w:space="0"/>
            </w:tcBorders>
            <w:shd w:val="clear" w:color="auto" w:fill="auto"/>
            <w:noWrap/>
            <w:vAlign w:val="bottom"/>
            <w:hideMark/>
          </w:tcPr>
          <w:p w:rsidRPr="009A4704" w:rsidR="00BA3E51" w:rsidP="00BA3E51" w:rsidRDefault="00BA3E51" w14:paraId="5291155D"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0.783 </w:t>
            </w:r>
          </w:p>
        </w:tc>
        <w:tc>
          <w:tcPr>
            <w:tcW w:w="1760" w:type="dxa"/>
            <w:tcBorders>
              <w:top w:val="nil"/>
              <w:left w:val="nil"/>
              <w:bottom w:val="single" w:color="auto" w:sz="4" w:space="0"/>
              <w:right w:val="single" w:color="auto" w:sz="4" w:space="0"/>
            </w:tcBorders>
            <w:shd w:val="clear" w:color="auto" w:fill="auto"/>
            <w:noWrap/>
            <w:vAlign w:val="bottom"/>
            <w:hideMark/>
          </w:tcPr>
          <w:p w:rsidRPr="009A4704" w:rsidR="00BA3E51" w:rsidP="00BA3E51" w:rsidRDefault="00BA3E51" w14:paraId="22ED68D4"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0.068 </w:t>
            </w:r>
          </w:p>
        </w:tc>
      </w:tr>
      <w:tr w:rsidRPr="00735291" w:rsidR="00BA3E51" w:rsidTr="00BA3E51" w14:paraId="61D91660"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9A4704" w:rsidR="00BA3E51" w:rsidP="00BA3E51" w:rsidRDefault="00BA3E51" w14:paraId="60BB771F"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12D5CBDD"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Summer - Part-Peak</w:t>
            </w:r>
          </w:p>
        </w:tc>
        <w:tc>
          <w:tcPr>
            <w:tcW w:w="17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2EFA8A78"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0.537 </w:t>
            </w:r>
          </w:p>
        </w:tc>
        <w:tc>
          <w:tcPr>
            <w:tcW w:w="17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5C9EE560"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0.470 </w:t>
            </w:r>
          </w:p>
        </w:tc>
        <w:tc>
          <w:tcPr>
            <w:tcW w:w="17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56D26E2A"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0.068 </w:t>
            </w:r>
          </w:p>
        </w:tc>
      </w:tr>
      <w:tr w:rsidRPr="00735291" w:rsidR="00BA3E51" w:rsidTr="00BA3E51" w14:paraId="55ECB3F5" w14:textId="77777777">
        <w:trPr>
          <w:trHeight w:val="360"/>
        </w:trPr>
        <w:tc>
          <w:tcPr>
            <w:tcW w:w="1780" w:type="dxa"/>
            <w:vMerge/>
            <w:tcBorders>
              <w:top w:val="nil"/>
              <w:left w:val="single" w:color="auto" w:sz="4" w:space="0"/>
              <w:bottom w:val="single" w:color="auto" w:sz="4" w:space="0"/>
              <w:right w:val="single" w:color="auto" w:sz="4" w:space="0"/>
            </w:tcBorders>
            <w:vAlign w:val="center"/>
            <w:hideMark/>
          </w:tcPr>
          <w:p w:rsidRPr="009A4704" w:rsidR="00BA3E51" w:rsidP="00BA3E51" w:rsidRDefault="00BA3E51" w14:paraId="603C47E6"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8" w:space="0"/>
              <w:right w:val="single" w:color="auto" w:sz="4" w:space="0"/>
            </w:tcBorders>
            <w:shd w:val="clear" w:color="auto" w:fill="auto"/>
            <w:noWrap/>
            <w:vAlign w:val="bottom"/>
            <w:hideMark/>
          </w:tcPr>
          <w:p w:rsidRPr="009A4704" w:rsidR="00BA3E51" w:rsidP="00BA3E51" w:rsidRDefault="00BA3E51" w14:paraId="039F3965"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Summer - Off-Peak</w:t>
            </w:r>
          </w:p>
        </w:tc>
        <w:tc>
          <w:tcPr>
            <w:tcW w:w="1760" w:type="dxa"/>
            <w:tcBorders>
              <w:top w:val="nil"/>
              <w:left w:val="nil"/>
              <w:bottom w:val="single" w:color="auto" w:sz="8" w:space="0"/>
              <w:right w:val="single" w:color="auto" w:sz="4" w:space="0"/>
            </w:tcBorders>
            <w:shd w:val="clear" w:color="auto" w:fill="auto"/>
            <w:noWrap/>
            <w:vAlign w:val="bottom"/>
            <w:hideMark/>
          </w:tcPr>
          <w:p w:rsidRPr="009A4704" w:rsidR="00BA3E51" w:rsidP="00BA3E51" w:rsidRDefault="00BA3E51" w14:paraId="0E698E51"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0.373 </w:t>
            </w:r>
          </w:p>
        </w:tc>
        <w:tc>
          <w:tcPr>
            <w:tcW w:w="1760" w:type="dxa"/>
            <w:tcBorders>
              <w:top w:val="nil"/>
              <w:left w:val="nil"/>
              <w:bottom w:val="single" w:color="auto" w:sz="8" w:space="0"/>
              <w:right w:val="single" w:color="auto" w:sz="4" w:space="0"/>
            </w:tcBorders>
            <w:shd w:val="clear" w:color="auto" w:fill="auto"/>
            <w:noWrap/>
            <w:vAlign w:val="bottom"/>
            <w:hideMark/>
          </w:tcPr>
          <w:p w:rsidRPr="009A4704" w:rsidR="00BA3E51" w:rsidP="00BA3E51" w:rsidRDefault="00BA3E51" w14:paraId="02857CDE"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0.305 </w:t>
            </w:r>
          </w:p>
        </w:tc>
        <w:tc>
          <w:tcPr>
            <w:tcW w:w="1760" w:type="dxa"/>
            <w:tcBorders>
              <w:top w:val="nil"/>
              <w:left w:val="nil"/>
              <w:bottom w:val="single" w:color="auto" w:sz="8" w:space="0"/>
              <w:right w:val="single" w:color="auto" w:sz="4" w:space="0"/>
            </w:tcBorders>
            <w:shd w:val="clear" w:color="auto" w:fill="auto"/>
            <w:noWrap/>
            <w:vAlign w:val="bottom"/>
            <w:hideMark/>
          </w:tcPr>
          <w:p w:rsidRPr="009A4704" w:rsidR="00BA3E51" w:rsidP="00BA3E51" w:rsidRDefault="00BA3E51" w14:paraId="5613F00B"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0.068 </w:t>
            </w:r>
          </w:p>
        </w:tc>
      </w:tr>
      <w:tr w:rsidRPr="00735291" w:rsidR="00BA3E51" w:rsidTr="00BA3E51" w14:paraId="085FE91F"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9A4704" w:rsidR="00BA3E51" w:rsidP="00BA3E51" w:rsidRDefault="00BA3E51" w14:paraId="74C0A64D"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1DB8D22F"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Winter - Peak</w:t>
            </w:r>
          </w:p>
        </w:tc>
        <w:tc>
          <w:tcPr>
            <w:tcW w:w="17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56641270"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0.654 </w:t>
            </w:r>
          </w:p>
        </w:tc>
        <w:tc>
          <w:tcPr>
            <w:tcW w:w="17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582449D3"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0.586 </w:t>
            </w:r>
          </w:p>
        </w:tc>
        <w:tc>
          <w:tcPr>
            <w:tcW w:w="17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0330F627"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0.068 </w:t>
            </w:r>
          </w:p>
        </w:tc>
      </w:tr>
      <w:tr w:rsidRPr="00735291" w:rsidR="00BA3E51" w:rsidTr="00BA3E51" w14:paraId="0D003591"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9A4704" w:rsidR="00BA3E51" w:rsidP="00BA3E51" w:rsidRDefault="00BA3E51" w14:paraId="627F1185"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auto" w:fill="auto"/>
            <w:noWrap/>
            <w:vAlign w:val="bottom"/>
            <w:hideMark/>
          </w:tcPr>
          <w:p w:rsidRPr="009A4704" w:rsidR="00BA3E51" w:rsidP="00BA3E51" w:rsidRDefault="00BA3E51" w14:paraId="3FD0022F"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Winter - Part-Peak</w:t>
            </w:r>
          </w:p>
        </w:tc>
        <w:tc>
          <w:tcPr>
            <w:tcW w:w="1760" w:type="dxa"/>
            <w:tcBorders>
              <w:top w:val="nil"/>
              <w:left w:val="nil"/>
              <w:bottom w:val="single" w:color="auto" w:sz="4" w:space="0"/>
              <w:right w:val="single" w:color="auto" w:sz="4" w:space="0"/>
            </w:tcBorders>
            <w:shd w:val="clear" w:color="auto" w:fill="auto"/>
            <w:noWrap/>
            <w:vAlign w:val="bottom"/>
            <w:hideMark/>
          </w:tcPr>
          <w:p w:rsidRPr="009A4704" w:rsidR="00BA3E51" w:rsidP="00BA3E51" w:rsidRDefault="00BA3E51" w14:paraId="29F09EB1"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0.570 </w:t>
            </w:r>
          </w:p>
        </w:tc>
        <w:tc>
          <w:tcPr>
            <w:tcW w:w="1760" w:type="dxa"/>
            <w:tcBorders>
              <w:top w:val="nil"/>
              <w:left w:val="nil"/>
              <w:bottom w:val="single" w:color="auto" w:sz="4" w:space="0"/>
              <w:right w:val="single" w:color="auto" w:sz="4" w:space="0"/>
            </w:tcBorders>
            <w:shd w:val="clear" w:color="auto" w:fill="auto"/>
            <w:noWrap/>
            <w:vAlign w:val="bottom"/>
            <w:hideMark/>
          </w:tcPr>
          <w:p w:rsidRPr="009A4704" w:rsidR="00BA3E51" w:rsidP="00BA3E51" w:rsidRDefault="00BA3E51" w14:paraId="0F04A912"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0.502 </w:t>
            </w:r>
          </w:p>
        </w:tc>
        <w:tc>
          <w:tcPr>
            <w:tcW w:w="1760" w:type="dxa"/>
            <w:tcBorders>
              <w:top w:val="nil"/>
              <w:left w:val="nil"/>
              <w:bottom w:val="single" w:color="auto" w:sz="4" w:space="0"/>
              <w:right w:val="single" w:color="auto" w:sz="4" w:space="0"/>
            </w:tcBorders>
            <w:shd w:val="clear" w:color="auto" w:fill="auto"/>
            <w:noWrap/>
            <w:vAlign w:val="bottom"/>
            <w:hideMark/>
          </w:tcPr>
          <w:p w:rsidRPr="009A4704" w:rsidR="00BA3E51" w:rsidP="00BA3E51" w:rsidRDefault="00BA3E51" w14:paraId="40D6D6EE"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0.068 </w:t>
            </w:r>
          </w:p>
        </w:tc>
      </w:tr>
      <w:tr w:rsidRPr="00735291" w:rsidR="00BA3E51" w:rsidTr="00BA3E51" w14:paraId="157E4B4B" w14:textId="77777777">
        <w:trPr>
          <w:trHeight w:val="345"/>
        </w:trPr>
        <w:tc>
          <w:tcPr>
            <w:tcW w:w="1780" w:type="dxa"/>
            <w:vMerge/>
            <w:tcBorders>
              <w:top w:val="nil"/>
              <w:left w:val="single" w:color="auto" w:sz="4" w:space="0"/>
              <w:bottom w:val="single" w:color="auto" w:sz="4" w:space="0"/>
              <w:right w:val="single" w:color="auto" w:sz="4" w:space="0"/>
            </w:tcBorders>
            <w:vAlign w:val="center"/>
            <w:hideMark/>
          </w:tcPr>
          <w:p w:rsidRPr="009A4704" w:rsidR="00BA3E51" w:rsidP="00BA3E51" w:rsidRDefault="00BA3E51" w14:paraId="5C13ABA1" w14:textId="77777777">
            <w:pPr>
              <w:spacing w:line="240" w:lineRule="auto"/>
              <w:ind w:firstLine="0"/>
              <w:rPr>
                <w:rFonts w:eastAsia="Times New Roman" w:cs="Calibri"/>
                <w:b/>
                <w:color w:val="FFFFFF"/>
                <w:sz w:val="24"/>
                <w:szCs w:val="24"/>
              </w:rPr>
            </w:pPr>
          </w:p>
        </w:tc>
        <w:tc>
          <w:tcPr>
            <w:tcW w:w="24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79AC22EA"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Winter - Off-Peak</w:t>
            </w:r>
          </w:p>
        </w:tc>
        <w:tc>
          <w:tcPr>
            <w:tcW w:w="17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5BC46CA2"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0.545 </w:t>
            </w:r>
          </w:p>
        </w:tc>
        <w:tc>
          <w:tcPr>
            <w:tcW w:w="17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198865FC"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0.477 </w:t>
            </w:r>
          </w:p>
        </w:tc>
        <w:tc>
          <w:tcPr>
            <w:tcW w:w="1760" w:type="dxa"/>
            <w:tcBorders>
              <w:top w:val="nil"/>
              <w:left w:val="nil"/>
              <w:bottom w:val="single" w:color="auto" w:sz="4" w:space="0"/>
              <w:right w:val="single" w:color="auto" w:sz="4" w:space="0"/>
            </w:tcBorders>
            <w:shd w:val="clear" w:color="000000" w:fill="D9E1F2"/>
            <w:noWrap/>
            <w:vAlign w:val="bottom"/>
            <w:hideMark/>
          </w:tcPr>
          <w:p w:rsidRPr="009A4704" w:rsidR="00BA3E51" w:rsidP="00BA3E51" w:rsidRDefault="00BA3E51" w14:paraId="20BD33F0" w14:textId="77777777">
            <w:pPr>
              <w:spacing w:line="240" w:lineRule="auto"/>
              <w:ind w:firstLine="0"/>
              <w:rPr>
                <w:rFonts w:eastAsia="Times New Roman" w:cs="Calibri"/>
                <w:color w:val="000000"/>
                <w:sz w:val="24"/>
                <w:szCs w:val="24"/>
              </w:rPr>
            </w:pPr>
            <w:r w:rsidRPr="009A4704">
              <w:rPr>
                <w:rFonts w:eastAsia="Times New Roman" w:cs="Calibri"/>
                <w:color w:val="000000"/>
                <w:sz w:val="24"/>
                <w:szCs w:val="24"/>
              </w:rPr>
              <w:t xml:space="preserve"> $             0.068 </w:t>
            </w:r>
          </w:p>
        </w:tc>
      </w:tr>
    </w:tbl>
    <w:p w:rsidR="00A23EB6" w:rsidP="00141D86" w:rsidRDefault="00A23EB6" w14:paraId="3F5E760B" w14:textId="77777777">
      <w:pPr>
        <w:ind w:firstLine="0"/>
      </w:pPr>
    </w:p>
    <w:p w:rsidR="00947E42" w:rsidP="00141D86" w:rsidRDefault="00947E42" w14:paraId="1048823D" w14:textId="77777777">
      <w:pPr>
        <w:ind w:firstLine="0"/>
        <w:rPr>
          <w:b/>
          <w:bCs/>
        </w:rPr>
        <w:sectPr w:rsidR="00947E42" w:rsidSect="0012402D">
          <w:footnotePr>
            <w:numRestart w:val="eachSect"/>
          </w:footnotePr>
          <w:pgSz w:w="12240" w:h="15840"/>
          <w:pgMar w:top="1728" w:right="1440" w:bottom="1440" w:left="1440" w:header="720" w:footer="720" w:gutter="0"/>
          <w:pgNumType w:start="1"/>
          <w:cols w:space="720"/>
          <w:docGrid w:linePitch="360"/>
        </w:sectPr>
      </w:pPr>
    </w:p>
    <w:p w:rsidRPr="001B024E" w:rsidR="001E2AB7" w:rsidP="00141D86" w:rsidRDefault="001E2AB7" w14:paraId="3CAB8238" w14:textId="0CF71577">
      <w:pPr>
        <w:ind w:firstLine="0"/>
        <w:rPr>
          <w:b/>
          <w:bCs/>
        </w:rPr>
      </w:pPr>
      <w:r w:rsidRPr="001E2AB7">
        <w:rPr>
          <w:b/>
          <w:bCs/>
        </w:rPr>
        <w:t>Table A-</w:t>
      </w:r>
      <w:r w:rsidR="00094339">
        <w:rPr>
          <w:b/>
          <w:bCs/>
        </w:rPr>
        <w:t>4:</w:t>
      </w:r>
      <w:r w:rsidRPr="001E2AB7">
        <w:rPr>
          <w:b/>
          <w:bCs/>
        </w:rPr>
        <w:t xml:space="preserve"> Estimated Impact of Adopted Fixed Charges </w:t>
      </w:r>
      <w:r>
        <w:rPr>
          <w:b/>
          <w:bCs/>
        </w:rPr>
        <w:t>on</w:t>
      </w:r>
      <w:r w:rsidR="0026751F">
        <w:rPr>
          <w:b/>
          <w:bCs/>
        </w:rPr>
        <w:t xml:space="preserve"> Average Monthly Bills of PG&amp;E Customers</w:t>
      </w:r>
      <w:r w:rsidR="00724ECD">
        <w:rPr>
          <w:b/>
          <w:bCs/>
        </w:rPr>
        <w:t xml:space="preserve"> </w:t>
      </w:r>
      <w:r w:rsidR="00180FC1">
        <w:rPr>
          <w:b/>
          <w:bCs/>
        </w:rPr>
        <w:t>With Average Usage</w:t>
      </w:r>
    </w:p>
    <w:p w:rsidR="00947E42" w:rsidP="00753D49" w:rsidRDefault="00947E42" w14:paraId="48B91AB4" w14:textId="77777777">
      <w:pPr>
        <w:spacing w:line="240" w:lineRule="auto"/>
        <w:ind w:firstLine="0"/>
        <w:jc w:val="center"/>
        <w:rPr>
          <w:rFonts w:eastAsia="Times New Roman" w:cs="Times New Roman"/>
          <w:b/>
          <w:bCs/>
          <w:color w:val="000000"/>
          <w:sz w:val="24"/>
          <w:szCs w:val="24"/>
        </w:rPr>
        <w:sectPr w:rsidR="00947E42" w:rsidSect="0012402D">
          <w:footnotePr>
            <w:numRestart w:val="eachSect"/>
          </w:footnotePr>
          <w:type w:val="continuous"/>
          <w:pgSz w:w="12240" w:h="15840"/>
          <w:pgMar w:top="1728" w:right="1440" w:bottom="1440" w:left="1440" w:header="720" w:footer="720" w:gutter="0"/>
          <w:pgNumType w:start="1"/>
          <w:cols w:space="720"/>
          <w:docGrid w:linePitch="360"/>
        </w:sectPr>
      </w:pPr>
    </w:p>
    <w:tbl>
      <w:tblPr>
        <w:tblW w:w="9350" w:type="dxa"/>
        <w:tblLook w:val="04A0" w:firstRow="1" w:lastRow="0" w:firstColumn="1" w:lastColumn="0" w:noHBand="0" w:noVBand="1"/>
      </w:tblPr>
      <w:tblGrid>
        <w:gridCol w:w="2494"/>
        <w:gridCol w:w="1530"/>
        <w:gridCol w:w="1530"/>
        <w:gridCol w:w="3796"/>
      </w:tblGrid>
      <w:tr w:rsidRPr="00753D49" w:rsidR="00753D49" w:rsidTr="004D1D2D" w14:paraId="605D0C95" w14:textId="77777777">
        <w:trPr>
          <w:trHeight w:val="315"/>
        </w:trPr>
        <w:tc>
          <w:tcPr>
            <w:tcW w:w="249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D1D3D" w:rsidR="00753D49" w:rsidP="00753D49" w:rsidRDefault="00753D49" w14:paraId="3B490CEB" w14:textId="77777777">
            <w:pPr>
              <w:spacing w:line="240" w:lineRule="auto"/>
              <w:ind w:firstLine="0"/>
              <w:jc w:val="center"/>
              <w:rPr>
                <w:rFonts w:eastAsia="Times New Roman" w:cs="Times New Roman"/>
                <w:b/>
                <w:bCs/>
                <w:color w:val="000000"/>
                <w:sz w:val="24"/>
                <w:szCs w:val="24"/>
              </w:rPr>
            </w:pPr>
            <w:r w:rsidRPr="00AD1D3D">
              <w:rPr>
                <w:rFonts w:eastAsia="Times New Roman" w:cs="Times New Roman"/>
                <w:b/>
                <w:bCs/>
                <w:color w:val="000000"/>
                <w:sz w:val="24"/>
                <w:szCs w:val="24"/>
              </w:rPr>
              <w:t>Climate Zone</w:t>
            </w: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AD1D3D" w:rsidR="00753D49" w:rsidP="00753D49" w:rsidRDefault="00753D49" w14:paraId="7C816CE8" w14:textId="77777777">
            <w:pPr>
              <w:spacing w:line="240" w:lineRule="auto"/>
              <w:ind w:firstLine="0"/>
              <w:jc w:val="center"/>
              <w:rPr>
                <w:rFonts w:eastAsia="Times New Roman" w:cs="Times New Roman"/>
                <w:b/>
                <w:bCs/>
                <w:color w:val="000000"/>
                <w:sz w:val="24"/>
                <w:szCs w:val="24"/>
              </w:rPr>
            </w:pPr>
            <w:r w:rsidRPr="00AD1D3D">
              <w:rPr>
                <w:rFonts w:eastAsia="Times New Roman" w:cs="Times New Roman"/>
                <w:b/>
                <w:bCs/>
                <w:color w:val="000000"/>
                <w:sz w:val="24"/>
                <w:szCs w:val="24"/>
              </w:rPr>
              <w:t>CARE</w:t>
            </w: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AD1D3D" w:rsidR="00753D49" w:rsidP="00753D49" w:rsidRDefault="00753D49" w14:paraId="0C3C02CF" w14:textId="77777777">
            <w:pPr>
              <w:spacing w:line="240" w:lineRule="auto"/>
              <w:ind w:firstLine="0"/>
              <w:jc w:val="center"/>
              <w:rPr>
                <w:rFonts w:eastAsia="Times New Roman" w:cs="Times New Roman"/>
                <w:b/>
                <w:bCs/>
                <w:color w:val="000000"/>
                <w:sz w:val="24"/>
                <w:szCs w:val="24"/>
              </w:rPr>
            </w:pPr>
            <w:r w:rsidRPr="00AD1D3D">
              <w:rPr>
                <w:rFonts w:eastAsia="Times New Roman" w:cs="Times New Roman"/>
                <w:b/>
                <w:bCs/>
                <w:color w:val="000000"/>
                <w:sz w:val="24"/>
                <w:szCs w:val="24"/>
              </w:rPr>
              <w:t>FERA*</w:t>
            </w:r>
          </w:p>
        </w:tc>
        <w:tc>
          <w:tcPr>
            <w:tcW w:w="3796" w:type="dxa"/>
            <w:tcBorders>
              <w:top w:val="single" w:color="auto" w:sz="4" w:space="0"/>
              <w:left w:val="nil"/>
              <w:bottom w:val="single" w:color="auto" w:sz="4" w:space="0"/>
              <w:right w:val="single" w:color="auto" w:sz="4" w:space="0"/>
            </w:tcBorders>
            <w:shd w:val="clear" w:color="auto" w:fill="auto"/>
            <w:noWrap/>
            <w:vAlign w:val="bottom"/>
            <w:hideMark/>
          </w:tcPr>
          <w:p w:rsidRPr="00AD1D3D" w:rsidR="00753D49" w:rsidP="00753D49" w:rsidRDefault="00753D49" w14:paraId="754482DB" w14:textId="77777777">
            <w:pPr>
              <w:spacing w:line="240" w:lineRule="auto"/>
              <w:ind w:firstLine="0"/>
              <w:jc w:val="center"/>
              <w:rPr>
                <w:rFonts w:eastAsia="Times New Roman" w:cs="Times New Roman"/>
                <w:b/>
                <w:bCs/>
                <w:color w:val="000000"/>
                <w:sz w:val="24"/>
                <w:szCs w:val="24"/>
              </w:rPr>
            </w:pPr>
            <w:r w:rsidRPr="00AD1D3D">
              <w:rPr>
                <w:rFonts w:eastAsia="Times New Roman" w:cs="Times New Roman"/>
                <w:b/>
                <w:bCs/>
                <w:color w:val="000000"/>
                <w:sz w:val="24"/>
                <w:szCs w:val="24"/>
              </w:rPr>
              <w:t>Non-CARE/FERA**</w:t>
            </w:r>
          </w:p>
        </w:tc>
      </w:tr>
      <w:tr w:rsidRPr="00753D49" w:rsidR="00753D49" w:rsidTr="00753D49" w14:paraId="6FE08606" w14:textId="77777777">
        <w:trPr>
          <w:trHeight w:val="315"/>
        </w:trPr>
        <w:tc>
          <w:tcPr>
            <w:tcW w:w="2494" w:type="dxa"/>
            <w:tcBorders>
              <w:top w:val="nil"/>
              <w:left w:val="single" w:color="auto" w:sz="4" w:space="0"/>
              <w:bottom w:val="single" w:color="auto" w:sz="4" w:space="0"/>
              <w:right w:val="single" w:color="auto" w:sz="4" w:space="0"/>
            </w:tcBorders>
            <w:shd w:val="clear" w:color="auto" w:fill="auto"/>
            <w:noWrap/>
            <w:vAlign w:val="bottom"/>
            <w:hideMark/>
          </w:tcPr>
          <w:p w:rsidRPr="00753D49" w:rsidR="00753D49" w:rsidP="00753D49" w:rsidRDefault="00753D49" w14:paraId="6CB8A83D" w14:textId="77777777">
            <w:pPr>
              <w:spacing w:line="240" w:lineRule="auto"/>
              <w:ind w:firstLine="0"/>
              <w:jc w:val="center"/>
              <w:rPr>
                <w:rFonts w:eastAsia="Times New Roman" w:cs="Times New Roman"/>
                <w:color w:val="000000"/>
                <w:sz w:val="24"/>
                <w:szCs w:val="24"/>
              </w:rPr>
            </w:pPr>
            <w:r w:rsidRPr="00753D49">
              <w:rPr>
                <w:rFonts w:eastAsia="Times New Roman" w:cs="Times New Roman"/>
                <w:color w:val="000000"/>
                <w:sz w:val="24"/>
                <w:szCs w:val="24"/>
              </w:rPr>
              <w:t>P</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031B0C86"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(8.53)</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3FBC1492"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$(18.09)</w:t>
            </w:r>
          </w:p>
        </w:tc>
        <w:tc>
          <w:tcPr>
            <w:tcW w:w="3796"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2D6DFF1B"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(4.21)</w:t>
            </w:r>
          </w:p>
        </w:tc>
      </w:tr>
      <w:tr w:rsidRPr="00753D49" w:rsidR="00753D49" w:rsidTr="00753D49" w14:paraId="78B98929" w14:textId="77777777">
        <w:trPr>
          <w:trHeight w:val="315"/>
        </w:trPr>
        <w:tc>
          <w:tcPr>
            <w:tcW w:w="2494" w:type="dxa"/>
            <w:tcBorders>
              <w:top w:val="nil"/>
              <w:left w:val="single" w:color="auto" w:sz="4" w:space="0"/>
              <w:bottom w:val="single" w:color="auto" w:sz="4" w:space="0"/>
              <w:right w:val="single" w:color="auto" w:sz="4" w:space="0"/>
            </w:tcBorders>
            <w:shd w:val="clear" w:color="auto" w:fill="auto"/>
            <w:noWrap/>
            <w:vAlign w:val="bottom"/>
            <w:hideMark/>
          </w:tcPr>
          <w:p w:rsidRPr="00753D49" w:rsidR="00753D49" w:rsidP="00753D49" w:rsidRDefault="00753D49" w14:paraId="13827E82" w14:textId="77777777">
            <w:pPr>
              <w:spacing w:line="240" w:lineRule="auto"/>
              <w:ind w:firstLine="0"/>
              <w:jc w:val="center"/>
              <w:rPr>
                <w:rFonts w:eastAsia="Times New Roman" w:cs="Times New Roman"/>
                <w:color w:val="000000"/>
                <w:sz w:val="24"/>
                <w:szCs w:val="24"/>
              </w:rPr>
            </w:pPr>
            <w:r w:rsidRPr="00753D49">
              <w:rPr>
                <w:rFonts w:eastAsia="Times New Roman" w:cs="Times New Roman"/>
                <w:color w:val="000000"/>
                <w:sz w:val="24"/>
                <w:szCs w:val="24"/>
              </w:rPr>
              <w:t>Q</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103BEB1D"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(6.24)</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65B77F9D"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$(13.61)</w:t>
            </w:r>
          </w:p>
        </w:tc>
        <w:tc>
          <w:tcPr>
            <w:tcW w:w="3796"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4BA7A032"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(2.24)</w:t>
            </w:r>
          </w:p>
        </w:tc>
      </w:tr>
      <w:tr w:rsidRPr="00753D49" w:rsidR="00753D49" w:rsidTr="00753D49" w14:paraId="6F5CC012" w14:textId="77777777">
        <w:trPr>
          <w:trHeight w:val="315"/>
        </w:trPr>
        <w:tc>
          <w:tcPr>
            <w:tcW w:w="2494" w:type="dxa"/>
            <w:tcBorders>
              <w:top w:val="nil"/>
              <w:left w:val="single" w:color="auto" w:sz="4" w:space="0"/>
              <w:bottom w:val="single" w:color="auto" w:sz="4" w:space="0"/>
              <w:right w:val="single" w:color="auto" w:sz="4" w:space="0"/>
            </w:tcBorders>
            <w:shd w:val="clear" w:color="auto" w:fill="auto"/>
            <w:noWrap/>
            <w:vAlign w:val="bottom"/>
            <w:hideMark/>
          </w:tcPr>
          <w:p w:rsidRPr="00753D49" w:rsidR="00753D49" w:rsidP="00753D49" w:rsidRDefault="00753D49" w14:paraId="00CFD26C" w14:textId="77777777">
            <w:pPr>
              <w:spacing w:line="240" w:lineRule="auto"/>
              <w:ind w:firstLine="0"/>
              <w:jc w:val="center"/>
              <w:rPr>
                <w:rFonts w:eastAsia="Times New Roman" w:cs="Times New Roman"/>
                <w:color w:val="000000"/>
                <w:sz w:val="24"/>
                <w:szCs w:val="24"/>
              </w:rPr>
            </w:pPr>
            <w:r w:rsidRPr="00753D49">
              <w:rPr>
                <w:rFonts w:eastAsia="Times New Roman" w:cs="Times New Roman"/>
                <w:color w:val="000000"/>
                <w:sz w:val="24"/>
                <w:szCs w:val="24"/>
              </w:rPr>
              <w:t>R</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3FC83BB2"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(6.76)</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7FA6F9EC"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$(14.28)</w:t>
            </w:r>
          </w:p>
        </w:tc>
        <w:tc>
          <w:tcPr>
            <w:tcW w:w="3796"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43CECB5E"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(3.45)</w:t>
            </w:r>
          </w:p>
        </w:tc>
      </w:tr>
      <w:tr w:rsidRPr="00753D49" w:rsidR="00753D49" w:rsidTr="00753D49" w14:paraId="354DF861" w14:textId="77777777">
        <w:trPr>
          <w:trHeight w:val="315"/>
        </w:trPr>
        <w:tc>
          <w:tcPr>
            <w:tcW w:w="2494" w:type="dxa"/>
            <w:tcBorders>
              <w:top w:val="nil"/>
              <w:left w:val="single" w:color="auto" w:sz="4" w:space="0"/>
              <w:bottom w:val="single" w:color="auto" w:sz="4" w:space="0"/>
              <w:right w:val="single" w:color="auto" w:sz="4" w:space="0"/>
            </w:tcBorders>
            <w:shd w:val="clear" w:color="auto" w:fill="auto"/>
            <w:noWrap/>
            <w:vAlign w:val="bottom"/>
            <w:hideMark/>
          </w:tcPr>
          <w:p w:rsidRPr="00753D49" w:rsidR="00753D49" w:rsidP="00753D49" w:rsidRDefault="00753D49" w14:paraId="54415418" w14:textId="77777777">
            <w:pPr>
              <w:spacing w:line="240" w:lineRule="auto"/>
              <w:ind w:firstLine="0"/>
              <w:jc w:val="center"/>
              <w:rPr>
                <w:rFonts w:eastAsia="Times New Roman" w:cs="Times New Roman"/>
                <w:color w:val="000000"/>
                <w:sz w:val="24"/>
                <w:szCs w:val="24"/>
              </w:rPr>
            </w:pPr>
            <w:r w:rsidRPr="00753D49">
              <w:rPr>
                <w:rFonts w:eastAsia="Times New Roman" w:cs="Times New Roman"/>
                <w:color w:val="000000"/>
                <w:sz w:val="24"/>
                <w:szCs w:val="24"/>
              </w:rPr>
              <w:t>S</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694409BD"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(5.74)</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72367C83"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$(12.63)</w:t>
            </w:r>
          </w:p>
        </w:tc>
        <w:tc>
          <w:tcPr>
            <w:tcW w:w="3796"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2F539A2A"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(1.47)</w:t>
            </w:r>
          </w:p>
        </w:tc>
      </w:tr>
      <w:tr w:rsidRPr="00753D49" w:rsidR="00753D49" w:rsidTr="00753D49" w14:paraId="27DA4B40" w14:textId="77777777">
        <w:trPr>
          <w:trHeight w:val="315"/>
        </w:trPr>
        <w:tc>
          <w:tcPr>
            <w:tcW w:w="2494" w:type="dxa"/>
            <w:tcBorders>
              <w:top w:val="nil"/>
              <w:left w:val="single" w:color="auto" w:sz="4" w:space="0"/>
              <w:bottom w:val="single" w:color="auto" w:sz="4" w:space="0"/>
              <w:right w:val="single" w:color="auto" w:sz="4" w:space="0"/>
            </w:tcBorders>
            <w:shd w:val="clear" w:color="auto" w:fill="auto"/>
            <w:noWrap/>
            <w:vAlign w:val="bottom"/>
            <w:hideMark/>
          </w:tcPr>
          <w:p w:rsidRPr="00753D49" w:rsidR="00753D49" w:rsidP="00753D49" w:rsidRDefault="00753D49" w14:paraId="0B3E60C8" w14:textId="77777777">
            <w:pPr>
              <w:spacing w:line="240" w:lineRule="auto"/>
              <w:ind w:firstLine="0"/>
              <w:jc w:val="center"/>
              <w:rPr>
                <w:rFonts w:eastAsia="Times New Roman" w:cs="Times New Roman"/>
                <w:color w:val="000000"/>
                <w:sz w:val="24"/>
                <w:szCs w:val="24"/>
              </w:rPr>
            </w:pPr>
            <w:r w:rsidRPr="00753D49">
              <w:rPr>
                <w:rFonts w:eastAsia="Times New Roman" w:cs="Times New Roman"/>
                <w:color w:val="000000"/>
                <w:sz w:val="24"/>
                <w:szCs w:val="24"/>
              </w:rPr>
              <w:t>T</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73138D54"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(0.60)</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5021C3F4"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(2.90)</w:t>
            </w:r>
          </w:p>
        </w:tc>
        <w:tc>
          <w:tcPr>
            <w:tcW w:w="3796"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3A674BF8"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9.11 </w:t>
            </w:r>
          </w:p>
        </w:tc>
      </w:tr>
      <w:tr w:rsidRPr="00753D49" w:rsidR="00753D49" w:rsidTr="00753D49" w14:paraId="1D5C7309" w14:textId="77777777">
        <w:trPr>
          <w:trHeight w:val="315"/>
        </w:trPr>
        <w:tc>
          <w:tcPr>
            <w:tcW w:w="2494" w:type="dxa"/>
            <w:tcBorders>
              <w:top w:val="nil"/>
              <w:left w:val="single" w:color="auto" w:sz="4" w:space="0"/>
              <w:bottom w:val="single" w:color="auto" w:sz="4" w:space="0"/>
              <w:right w:val="single" w:color="auto" w:sz="4" w:space="0"/>
            </w:tcBorders>
            <w:shd w:val="clear" w:color="auto" w:fill="auto"/>
            <w:noWrap/>
            <w:vAlign w:val="bottom"/>
            <w:hideMark/>
          </w:tcPr>
          <w:p w:rsidRPr="00753D49" w:rsidR="00753D49" w:rsidP="00753D49" w:rsidRDefault="00753D49" w14:paraId="7C85AE23" w14:textId="77777777">
            <w:pPr>
              <w:spacing w:line="240" w:lineRule="auto"/>
              <w:ind w:firstLine="0"/>
              <w:jc w:val="center"/>
              <w:rPr>
                <w:rFonts w:eastAsia="Times New Roman" w:cs="Times New Roman"/>
                <w:color w:val="000000"/>
                <w:sz w:val="24"/>
                <w:szCs w:val="24"/>
              </w:rPr>
            </w:pPr>
            <w:r w:rsidRPr="00753D49">
              <w:rPr>
                <w:rFonts w:eastAsia="Times New Roman" w:cs="Times New Roman"/>
                <w:color w:val="000000"/>
                <w:sz w:val="24"/>
                <w:szCs w:val="24"/>
              </w:rPr>
              <w:t>V</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2F767764"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(2.62)</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6ECF08C6"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(6.75)</w:t>
            </w:r>
          </w:p>
        </w:tc>
        <w:tc>
          <w:tcPr>
            <w:tcW w:w="3796"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17907EC8"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1.64 </w:t>
            </w:r>
          </w:p>
        </w:tc>
      </w:tr>
      <w:tr w:rsidRPr="00753D49" w:rsidR="00753D49" w:rsidTr="00753D49" w14:paraId="77F0233F" w14:textId="77777777">
        <w:trPr>
          <w:trHeight w:val="315"/>
        </w:trPr>
        <w:tc>
          <w:tcPr>
            <w:tcW w:w="2494" w:type="dxa"/>
            <w:tcBorders>
              <w:top w:val="nil"/>
              <w:left w:val="single" w:color="auto" w:sz="4" w:space="0"/>
              <w:bottom w:val="single" w:color="auto" w:sz="4" w:space="0"/>
              <w:right w:val="single" w:color="auto" w:sz="4" w:space="0"/>
            </w:tcBorders>
            <w:shd w:val="clear" w:color="auto" w:fill="auto"/>
            <w:noWrap/>
            <w:vAlign w:val="bottom"/>
            <w:hideMark/>
          </w:tcPr>
          <w:p w:rsidRPr="00753D49" w:rsidR="00753D49" w:rsidP="00753D49" w:rsidRDefault="00753D49" w14:paraId="7EB5D278" w14:textId="77777777">
            <w:pPr>
              <w:spacing w:line="240" w:lineRule="auto"/>
              <w:ind w:firstLine="0"/>
              <w:jc w:val="center"/>
              <w:rPr>
                <w:rFonts w:eastAsia="Times New Roman" w:cs="Times New Roman"/>
                <w:color w:val="000000"/>
                <w:sz w:val="24"/>
                <w:szCs w:val="24"/>
              </w:rPr>
            </w:pPr>
            <w:r w:rsidRPr="00753D49">
              <w:rPr>
                <w:rFonts w:eastAsia="Times New Roman" w:cs="Times New Roman"/>
                <w:color w:val="000000"/>
                <w:sz w:val="24"/>
                <w:szCs w:val="24"/>
              </w:rPr>
              <w:t>W</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20583A42"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(6.34)</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73BFC8C5"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$(13.48)</w:t>
            </w:r>
          </w:p>
        </w:tc>
        <w:tc>
          <w:tcPr>
            <w:tcW w:w="3796"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1F8622C2"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(1.47)</w:t>
            </w:r>
          </w:p>
        </w:tc>
      </w:tr>
      <w:tr w:rsidRPr="00753D49" w:rsidR="00753D49" w:rsidTr="00753D49" w14:paraId="6224DA2F" w14:textId="77777777">
        <w:trPr>
          <w:trHeight w:val="315"/>
        </w:trPr>
        <w:tc>
          <w:tcPr>
            <w:tcW w:w="2494" w:type="dxa"/>
            <w:tcBorders>
              <w:top w:val="nil"/>
              <w:left w:val="single" w:color="auto" w:sz="4" w:space="0"/>
              <w:bottom w:val="single" w:color="auto" w:sz="4" w:space="0"/>
              <w:right w:val="single" w:color="auto" w:sz="4" w:space="0"/>
            </w:tcBorders>
            <w:shd w:val="clear" w:color="auto" w:fill="auto"/>
            <w:noWrap/>
            <w:vAlign w:val="bottom"/>
            <w:hideMark/>
          </w:tcPr>
          <w:p w:rsidRPr="00753D49" w:rsidR="00753D49" w:rsidP="00753D49" w:rsidRDefault="00753D49" w14:paraId="52851F9F" w14:textId="77777777">
            <w:pPr>
              <w:spacing w:line="240" w:lineRule="auto"/>
              <w:ind w:firstLine="0"/>
              <w:jc w:val="center"/>
              <w:rPr>
                <w:rFonts w:eastAsia="Times New Roman" w:cs="Times New Roman"/>
                <w:color w:val="000000"/>
                <w:sz w:val="24"/>
                <w:szCs w:val="24"/>
              </w:rPr>
            </w:pPr>
            <w:r w:rsidRPr="00753D49">
              <w:rPr>
                <w:rFonts w:eastAsia="Times New Roman" w:cs="Times New Roman"/>
                <w:color w:val="000000"/>
                <w:sz w:val="24"/>
                <w:szCs w:val="24"/>
              </w:rPr>
              <w:t>X</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581AFACA"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(2.61)</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1E140408"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(6.70)</w:t>
            </w:r>
          </w:p>
        </w:tc>
        <w:tc>
          <w:tcPr>
            <w:tcW w:w="3796"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00EB68EC"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3.40 </w:t>
            </w:r>
          </w:p>
        </w:tc>
      </w:tr>
      <w:tr w:rsidRPr="00753D49" w:rsidR="00753D49" w:rsidTr="00753D49" w14:paraId="477E08CE" w14:textId="77777777">
        <w:trPr>
          <w:trHeight w:val="315"/>
        </w:trPr>
        <w:tc>
          <w:tcPr>
            <w:tcW w:w="2494" w:type="dxa"/>
            <w:tcBorders>
              <w:top w:val="nil"/>
              <w:left w:val="single" w:color="auto" w:sz="4" w:space="0"/>
              <w:bottom w:val="single" w:color="auto" w:sz="4" w:space="0"/>
              <w:right w:val="single" w:color="auto" w:sz="4" w:space="0"/>
            </w:tcBorders>
            <w:shd w:val="clear" w:color="auto" w:fill="auto"/>
            <w:noWrap/>
            <w:vAlign w:val="bottom"/>
            <w:hideMark/>
          </w:tcPr>
          <w:p w:rsidRPr="00753D49" w:rsidR="00753D49" w:rsidP="00753D49" w:rsidRDefault="00753D49" w14:paraId="3AD31C9C" w14:textId="77777777">
            <w:pPr>
              <w:spacing w:line="240" w:lineRule="auto"/>
              <w:ind w:firstLine="0"/>
              <w:jc w:val="center"/>
              <w:rPr>
                <w:rFonts w:eastAsia="Times New Roman" w:cs="Times New Roman"/>
                <w:color w:val="000000"/>
                <w:sz w:val="24"/>
                <w:szCs w:val="24"/>
              </w:rPr>
            </w:pPr>
            <w:r w:rsidRPr="00753D49">
              <w:rPr>
                <w:rFonts w:eastAsia="Times New Roman" w:cs="Times New Roman"/>
                <w:color w:val="000000"/>
                <w:sz w:val="24"/>
                <w:szCs w:val="24"/>
              </w:rPr>
              <w:t>Y</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4FFD6250"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(7.06)</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46B18881"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$(15.43)</w:t>
            </w:r>
          </w:p>
        </w:tc>
        <w:tc>
          <w:tcPr>
            <w:tcW w:w="3796"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23CE96DB"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2.49 </w:t>
            </w:r>
          </w:p>
        </w:tc>
      </w:tr>
      <w:tr w:rsidRPr="00753D49" w:rsidR="00753D49" w:rsidTr="00753D49" w14:paraId="371F8022" w14:textId="77777777">
        <w:trPr>
          <w:trHeight w:val="315"/>
        </w:trPr>
        <w:tc>
          <w:tcPr>
            <w:tcW w:w="2494" w:type="dxa"/>
            <w:tcBorders>
              <w:top w:val="nil"/>
              <w:left w:val="single" w:color="auto" w:sz="4" w:space="0"/>
              <w:bottom w:val="single" w:color="auto" w:sz="4" w:space="0"/>
              <w:right w:val="single" w:color="auto" w:sz="4" w:space="0"/>
            </w:tcBorders>
            <w:shd w:val="clear" w:color="auto" w:fill="auto"/>
            <w:noWrap/>
            <w:vAlign w:val="bottom"/>
            <w:hideMark/>
          </w:tcPr>
          <w:p w:rsidRPr="00753D49" w:rsidR="00753D49" w:rsidP="00753D49" w:rsidRDefault="00753D49" w14:paraId="492497FC" w14:textId="77777777">
            <w:pPr>
              <w:spacing w:line="240" w:lineRule="auto"/>
              <w:ind w:firstLine="0"/>
              <w:jc w:val="center"/>
              <w:rPr>
                <w:rFonts w:eastAsia="Times New Roman" w:cs="Times New Roman"/>
                <w:color w:val="000000"/>
                <w:sz w:val="24"/>
                <w:szCs w:val="24"/>
              </w:rPr>
            </w:pPr>
            <w:r w:rsidRPr="00753D49">
              <w:rPr>
                <w:rFonts w:eastAsia="Times New Roman" w:cs="Times New Roman"/>
                <w:color w:val="000000"/>
                <w:sz w:val="24"/>
                <w:szCs w:val="24"/>
              </w:rPr>
              <w:t>Z</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1BE76D86"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(4.09)</w:t>
            </w:r>
          </w:p>
        </w:tc>
        <w:tc>
          <w:tcPr>
            <w:tcW w:w="1530"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18617264"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(9.96)</w:t>
            </w:r>
          </w:p>
        </w:tc>
        <w:tc>
          <w:tcPr>
            <w:tcW w:w="3796" w:type="dxa"/>
            <w:tcBorders>
              <w:top w:val="nil"/>
              <w:left w:val="nil"/>
              <w:bottom w:val="single" w:color="auto" w:sz="4" w:space="0"/>
              <w:right w:val="single" w:color="auto" w:sz="4" w:space="0"/>
            </w:tcBorders>
            <w:shd w:val="clear" w:color="auto" w:fill="auto"/>
            <w:noWrap/>
            <w:vAlign w:val="bottom"/>
            <w:hideMark/>
          </w:tcPr>
          <w:p w:rsidRPr="00753D49" w:rsidR="00753D49" w:rsidP="00753D49" w:rsidRDefault="00753D49" w14:paraId="6D6E2F75" w14:textId="77777777">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                        11.50 </w:t>
            </w:r>
          </w:p>
        </w:tc>
      </w:tr>
      <w:tr w:rsidRPr="00753D49" w:rsidR="00753D49" w:rsidTr="00753D49" w14:paraId="23701719" w14:textId="77777777">
        <w:trPr>
          <w:trHeight w:val="315"/>
        </w:trPr>
        <w:tc>
          <w:tcPr>
            <w:tcW w:w="9350" w:type="dxa"/>
            <w:gridSpan w:val="4"/>
            <w:tcBorders>
              <w:top w:val="nil"/>
              <w:left w:val="nil"/>
              <w:bottom w:val="nil"/>
              <w:right w:val="nil"/>
            </w:tcBorders>
            <w:shd w:val="clear" w:color="auto" w:fill="auto"/>
            <w:noWrap/>
            <w:vAlign w:val="bottom"/>
            <w:hideMark/>
          </w:tcPr>
          <w:p w:rsidRPr="00753D49" w:rsidR="00753D49" w:rsidP="00753D49" w:rsidRDefault="00753D49" w14:paraId="4E837018" w14:textId="7D741D81">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FERA customers were modeled in the Public Tool as all non-CARE customers in the two lowest income</w:t>
            </w:r>
            <w:r w:rsidR="001F5E8C">
              <w:rPr>
                <w:rFonts w:eastAsia="Times New Roman" w:cs="Times New Roman"/>
                <w:color w:val="000000"/>
                <w:sz w:val="24"/>
                <w:szCs w:val="24"/>
              </w:rPr>
              <w:t xml:space="preserve"> quantiles.</w:t>
            </w:r>
          </w:p>
        </w:tc>
      </w:tr>
      <w:tr w:rsidRPr="00753D49" w:rsidR="00753D49" w:rsidTr="00753D49" w14:paraId="1DFEF8E2" w14:textId="77777777">
        <w:trPr>
          <w:trHeight w:val="315"/>
        </w:trPr>
        <w:tc>
          <w:tcPr>
            <w:tcW w:w="9350" w:type="dxa"/>
            <w:gridSpan w:val="4"/>
            <w:tcBorders>
              <w:top w:val="nil"/>
              <w:left w:val="nil"/>
              <w:bottom w:val="nil"/>
              <w:right w:val="nil"/>
            </w:tcBorders>
            <w:shd w:val="clear" w:color="auto" w:fill="auto"/>
            <w:noWrap/>
            <w:vAlign w:val="bottom"/>
            <w:hideMark/>
          </w:tcPr>
          <w:p w:rsidRPr="00753D49" w:rsidR="00753D49" w:rsidP="00753D49" w:rsidRDefault="00753D49" w14:paraId="1E32CD69" w14:textId="59229DB6">
            <w:pPr>
              <w:spacing w:line="240" w:lineRule="auto"/>
              <w:ind w:firstLine="0"/>
              <w:rPr>
                <w:rFonts w:eastAsia="Times New Roman" w:cs="Times New Roman"/>
                <w:color w:val="000000"/>
                <w:sz w:val="24"/>
                <w:szCs w:val="24"/>
              </w:rPr>
            </w:pPr>
            <w:r w:rsidRPr="00753D49">
              <w:rPr>
                <w:rFonts w:eastAsia="Times New Roman" w:cs="Times New Roman"/>
                <w:color w:val="000000"/>
                <w:sz w:val="24"/>
                <w:szCs w:val="24"/>
              </w:rPr>
              <w:t xml:space="preserve">** Non-CARE/FERA customers were modeled in the Public Tool as all non-CARE customers except those in the two lowest income </w:t>
            </w:r>
            <w:r w:rsidR="001F5E8C">
              <w:rPr>
                <w:rFonts w:eastAsia="Times New Roman" w:cs="Times New Roman"/>
                <w:color w:val="000000"/>
                <w:sz w:val="24"/>
                <w:szCs w:val="24"/>
              </w:rPr>
              <w:t>quantiles.</w:t>
            </w:r>
          </w:p>
        </w:tc>
      </w:tr>
    </w:tbl>
    <w:p w:rsidR="003A7588" w:rsidP="00141D86" w:rsidRDefault="003A7588" w14:paraId="669AC9E1" w14:textId="77777777">
      <w:pPr>
        <w:ind w:firstLine="0"/>
      </w:pPr>
    </w:p>
    <w:p w:rsidRPr="001B024E" w:rsidR="00E703E8" w:rsidP="00141D86" w:rsidRDefault="00E703E8" w14:paraId="46CE2456" w14:textId="2E59EDBF">
      <w:pPr>
        <w:ind w:firstLine="0"/>
        <w:rPr>
          <w:b/>
          <w:bCs/>
        </w:rPr>
      </w:pPr>
      <w:r w:rsidRPr="00E703E8">
        <w:rPr>
          <w:b/>
          <w:bCs/>
        </w:rPr>
        <w:t>Table A-</w:t>
      </w:r>
      <w:r>
        <w:rPr>
          <w:b/>
          <w:bCs/>
        </w:rPr>
        <w:t>5</w:t>
      </w:r>
      <w:r w:rsidRPr="00E703E8">
        <w:rPr>
          <w:b/>
          <w:bCs/>
        </w:rPr>
        <w:t xml:space="preserve">: Estimated Impact of Adopted Fixed Charges on Average Monthly Bills of </w:t>
      </w:r>
      <w:r>
        <w:rPr>
          <w:b/>
          <w:bCs/>
        </w:rPr>
        <w:t>SCE</w:t>
      </w:r>
      <w:r w:rsidRPr="00E703E8">
        <w:rPr>
          <w:b/>
          <w:bCs/>
        </w:rPr>
        <w:t xml:space="preserve"> Customers</w:t>
      </w:r>
      <w:r w:rsidR="00A208E1">
        <w:rPr>
          <w:b/>
          <w:bCs/>
        </w:rPr>
        <w:t xml:space="preserve"> </w:t>
      </w:r>
      <w:r w:rsidRPr="00A208E1" w:rsidR="00A208E1">
        <w:rPr>
          <w:b/>
          <w:bCs/>
        </w:rPr>
        <w:t>With Average Usage</w:t>
      </w:r>
      <w:r w:rsidR="002A4A1D">
        <w:rPr>
          <w:b/>
          <w:bCs/>
        </w:rPr>
        <w:t xml:space="preserve"> </w:t>
      </w:r>
      <w:r w:rsidRPr="002A4A1D" w:rsidR="002A4A1D">
        <w:rPr>
          <w:b/>
          <w:bCs/>
        </w:rPr>
        <w:t>With Average Usage</w:t>
      </w:r>
    </w:p>
    <w:tbl>
      <w:tblPr>
        <w:tblW w:w="9350" w:type="dxa"/>
        <w:tblLook w:val="04A0" w:firstRow="1" w:lastRow="0" w:firstColumn="1" w:lastColumn="0" w:noHBand="0" w:noVBand="1"/>
      </w:tblPr>
      <w:tblGrid>
        <w:gridCol w:w="2553"/>
        <w:gridCol w:w="1517"/>
        <w:gridCol w:w="1517"/>
        <w:gridCol w:w="3763"/>
      </w:tblGrid>
      <w:tr w:rsidRPr="008D3122" w:rsidR="008D3122" w:rsidTr="004D1D2D" w14:paraId="62A5D8FA" w14:textId="77777777">
        <w:trPr>
          <w:trHeight w:val="330"/>
        </w:trPr>
        <w:tc>
          <w:tcPr>
            <w:tcW w:w="255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D3122" w:rsidR="008D3122" w:rsidP="008D3122" w:rsidRDefault="008D3122" w14:paraId="0F167396" w14:textId="77777777">
            <w:pPr>
              <w:spacing w:line="240" w:lineRule="auto"/>
              <w:ind w:firstLine="0"/>
              <w:jc w:val="center"/>
              <w:rPr>
                <w:rFonts w:eastAsia="Times New Roman" w:cs="Times New Roman"/>
                <w:b/>
                <w:bCs/>
                <w:color w:val="000000"/>
                <w:sz w:val="24"/>
                <w:szCs w:val="24"/>
              </w:rPr>
            </w:pPr>
            <w:r w:rsidRPr="008D3122">
              <w:rPr>
                <w:rFonts w:eastAsia="Times New Roman" w:cs="Times New Roman"/>
                <w:b/>
                <w:bCs/>
                <w:color w:val="000000"/>
                <w:sz w:val="24"/>
                <w:szCs w:val="24"/>
              </w:rPr>
              <w:t>Climate Zone</w:t>
            </w:r>
          </w:p>
        </w:tc>
        <w:tc>
          <w:tcPr>
            <w:tcW w:w="1517" w:type="dxa"/>
            <w:tcBorders>
              <w:top w:val="single" w:color="auto" w:sz="4" w:space="0"/>
              <w:left w:val="nil"/>
              <w:bottom w:val="single" w:color="auto" w:sz="4" w:space="0"/>
              <w:right w:val="single" w:color="auto" w:sz="4" w:space="0"/>
            </w:tcBorders>
            <w:shd w:val="clear" w:color="auto" w:fill="auto"/>
            <w:noWrap/>
            <w:vAlign w:val="bottom"/>
            <w:hideMark/>
          </w:tcPr>
          <w:p w:rsidRPr="008D3122" w:rsidR="008D3122" w:rsidP="008D3122" w:rsidRDefault="008D3122" w14:paraId="6B5CF6B0" w14:textId="77777777">
            <w:pPr>
              <w:spacing w:line="240" w:lineRule="auto"/>
              <w:ind w:firstLine="0"/>
              <w:jc w:val="center"/>
              <w:rPr>
                <w:rFonts w:eastAsia="Times New Roman" w:cs="Times New Roman"/>
                <w:b/>
                <w:bCs/>
                <w:color w:val="000000"/>
                <w:sz w:val="24"/>
                <w:szCs w:val="24"/>
              </w:rPr>
            </w:pPr>
            <w:r w:rsidRPr="008D3122">
              <w:rPr>
                <w:rFonts w:eastAsia="Times New Roman" w:cs="Times New Roman"/>
                <w:b/>
                <w:bCs/>
                <w:color w:val="000000"/>
                <w:sz w:val="24"/>
                <w:szCs w:val="24"/>
              </w:rPr>
              <w:t>CARE</w:t>
            </w:r>
          </w:p>
        </w:tc>
        <w:tc>
          <w:tcPr>
            <w:tcW w:w="1517" w:type="dxa"/>
            <w:tcBorders>
              <w:top w:val="single" w:color="auto" w:sz="4" w:space="0"/>
              <w:left w:val="nil"/>
              <w:bottom w:val="single" w:color="auto" w:sz="4" w:space="0"/>
              <w:right w:val="single" w:color="auto" w:sz="4" w:space="0"/>
            </w:tcBorders>
            <w:shd w:val="clear" w:color="auto" w:fill="auto"/>
            <w:noWrap/>
            <w:vAlign w:val="bottom"/>
            <w:hideMark/>
          </w:tcPr>
          <w:p w:rsidRPr="008D3122" w:rsidR="008D3122" w:rsidP="008D3122" w:rsidRDefault="008D3122" w14:paraId="6870BCCA" w14:textId="77777777">
            <w:pPr>
              <w:spacing w:line="240" w:lineRule="auto"/>
              <w:ind w:firstLine="0"/>
              <w:jc w:val="center"/>
              <w:rPr>
                <w:rFonts w:eastAsia="Times New Roman" w:cs="Times New Roman"/>
                <w:b/>
                <w:bCs/>
                <w:color w:val="000000"/>
                <w:sz w:val="24"/>
                <w:szCs w:val="24"/>
              </w:rPr>
            </w:pPr>
            <w:r w:rsidRPr="008D3122">
              <w:rPr>
                <w:rFonts w:eastAsia="Times New Roman" w:cs="Times New Roman"/>
                <w:b/>
                <w:bCs/>
                <w:color w:val="000000"/>
                <w:sz w:val="24"/>
                <w:szCs w:val="24"/>
              </w:rPr>
              <w:t>FERA*</w:t>
            </w:r>
          </w:p>
        </w:tc>
        <w:tc>
          <w:tcPr>
            <w:tcW w:w="3763" w:type="dxa"/>
            <w:tcBorders>
              <w:top w:val="single" w:color="auto" w:sz="4" w:space="0"/>
              <w:left w:val="nil"/>
              <w:bottom w:val="single" w:color="auto" w:sz="4" w:space="0"/>
              <w:right w:val="single" w:color="auto" w:sz="4" w:space="0"/>
            </w:tcBorders>
            <w:shd w:val="clear" w:color="auto" w:fill="auto"/>
            <w:noWrap/>
            <w:vAlign w:val="bottom"/>
            <w:hideMark/>
          </w:tcPr>
          <w:p w:rsidRPr="008D3122" w:rsidR="008D3122" w:rsidP="008D3122" w:rsidRDefault="008D3122" w14:paraId="48077F27" w14:textId="77777777">
            <w:pPr>
              <w:spacing w:line="240" w:lineRule="auto"/>
              <w:ind w:firstLine="0"/>
              <w:jc w:val="center"/>
              <w:rPr>
                <w:rFonts w:eastAsia="Times New Roman" w:cs="Times New Roman"/>
                <w:b/>
                <w:bCs/>
                <w:color w:val="000000"/>
                <w:sz w:val="24"/>
                <w:szCs w:val="24"/>
              </w:rPr>
            </w:pPr>
            <w:r w:rsidRPr="008D3122">
              <w:rPr>
                <w:rFonts w:eastAsia="Times New Roman" w:cs="Times New Roman"/>
                <w:b/>
                <w:bCs/>
                <w:color w:val="000000"/>
                <w:sz w:val="24"/>
                <w:szCs w:val="24"/>
              </w:rPr>
              <w:t>Non-CARE/FERA**</w:t>
            </w:r>
          </w:p>
        </w:tc>
      </w:tr>
      <w:tr w:rsidRPr="008D3122" w:rsidR="008D3122" w:rsidTr="008D3122" w14:paraId="3FD779E6"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8D3122" w:rsidR="008D3122" w:rsidP="008D3122" w:rsidRDefault="008D3122" w14:paraId="0F81D88C" w14:textId="77777777">
            <w:pPr>
              <w:spacing w:line="240" w:lineRule="auto"/>
              <w:ind w:firstLine="0"/>
              <w:jc w:val="center"/>
              <w:rPr>
                <w:rFonts w:eastAsia="Times New Roman" w:cs="Times New Roman"/>
                <w:color w:val="000000"/>
                <w:sz w:val="24"/>
                <w:szCs w:val="24"/>
              </w:rPr>
            </w:pPr>
            <w:r w:rsidRPr="008D3122">
              <w:rPr>
                <w:rFonts w:eastAsia="Times New Roman" w:cs="Times New Roman"/>
                <w:color w:val="000000"/>
                <w:sz w:val="24"/>
                <w:szCs w:val="24"/>
              </w:rPr>
              <w:t>5</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035D31A7" w14:textId="1BD78184">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N/A</w:t>
            </w:r>
            <w:r w:rsidRPr="002A4A1D" w:rsidR="002A4A1D">
              <w:rPr>
                <w:rFonts w:eastAsia="Times New Roman" w:cs="Times New Roman"/>
                <w:b/>
                <w:bCs/>
                <w:color w:val="000000"/>
                <w:sz w:val="24"/>
                <w:szCs w:val="24"/>
              </w:rPr>
              <w:t>***</w:t>
            </w:r>
            <w:r w:rsidRPr="008D3122">
              <w:rPr>
                <w:rFonts w:eastAsia="Times New Roman" w:cs="Times New Roman"/>
                <w:color w:val="000000"/>
                <w:sz w:val="24"/>
                <w:szCs w:val="24"/>
              </w:rPr>
              <w:t xml:space="preserve"> </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29468F63" w14:textId="61BFC843">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N/A</w:t>
            </w:r>
            <w:r w:rsidRPr="008D3122" w:rsidR="002A4A1D">
              <w:rPr>
                <w:rFonts w:eastAsia="Times New Roman" w:cs="Times New Roman"/>
                <w:b/>
                <w:bCs/>
                <w:color w:val="000000"/>
                <w:sz w:val="24"/>
                <w:szCs w:val="24"/>
              </w:rPr>
              <w:t>***</w:t>
            </w:r>
            <w:r w:rsidRPr="008D3122">
              <w:rPr>
                <w:rFonts w:eastAsia="Times New Roman" w:cs="Times New Roman"/>
                <w:color w:val="000000"/>
                <w:sz w:val="24"/>
                <w:szCs w:val="24"/>
              </w:rPr>
              <w:t xml:space="preserve"> </w:t>
            </w:r>
          </w:p>
        </w:tc>
        <w:tc>
          <w:tcPr>
            <w:tcW w:w="3763"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12F799E4"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0.82 </w:t>
            </w:r>
          </w:p>
        </w:tc>
      </w:tr>
      <w:tr w:rsidRPr="008D3122" w:rsidR="008D3122" w:rsidTr="008D3122" w14:paraId="40A9FBFC"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8D3122" w:rsidR="008D3122" w:rsidP="008D3122" w:rsidRDefault="008D3122" w14:paraId="486C3DA0" w14:textId="77777777">
            <w:pPr>
              <w:spacing w:line="240" w:lineRule="auto"/>
              <w:ind w:firstLine="0"/>
              <w:jc w:val="center"/>
              <w:rPr>
                <w:rFonts w:eastAsia="Times New Roman" w:cs="Times New Roman"/>
                <w:color w:val="000000"/>
                <w:sz w:val="24"/>
                <w:szCs w:val="24"/>
              </w:rPr>
            </w:pPr>
            <w:r w:rsidRPr="008D3122">
              <w:rPr>
                <w:rFonts w:eastAsia="Times New Roman" w:cs="Times New Roman"/>
                <w:color w:val="000000"/>
                <w:sz w:val="24"/>
                <w:szCs w:val="24"/>
              </w:rPr>
              <w:t>6</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7B85117E"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(1.62)</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3AFCFDF8"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(2.40)</w:t>
            </w:r>
          </w:p>
        </w:tc>
        <w:tc>
          <w:tcPr>
            <w:tcW w:w="3763"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16A7DBDA"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6.41 </w:t>
            </w:r>
          </w:p>
        </w:tc>
      </w:tr>
      <w:tr w:rsidRPr="008D3122" w:rsidR="008D3122" w:rsidTr="008D3122" w14:paraId="406B385F"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8D3122" w:rsidR="008D3122" w:rsidP="008D3122" w:rsidRDefault="008D3122" w14:paraId="5434B874" w14:textId="77777777">
            <w:pPr>
              <w:spacing w:line="240" w:lineRule="auto"/>
              <w:ind w:firstLine="0"/>
              <w:jc w:val="center"/>
              <w:rPr>
                <w:rFonts w:eastAsia="Times New Roman" w:cs="Times New Roman"/>
                <w:color w:val="000000"/>
                <w:sz w:val="24"/>
                <w:szCs w:val="24"/>
              </w:rPr>
            </w:pPr>
            <w:r w:rsidRPr="008D3122">
              <w:rPr>
                <w:rFonts w:eastAsia="Times New Roman" w:cs="Times New Roman"/>
                <w:color w:val="000000"/>
                <w:sz w:val="24"/>
                <w:szCs w:val="24"/>
              </w:rPr>
              <w:t>8</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0595260B"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(2.66)</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45E116B0"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(4.02)</w:t>
            </w:r>
          </w:p>
        </w:tc>
        <w:tc>
          <w:tcPr>
            <w:tcW w:w="3763"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67303B99"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5.13 </w:t>
            </w:r>
          </w:p>
        </w:tc>
      </w:tr>
      <w:tr w:rsidRPr="008D3122" w:rsidR="008D3122" w:rsidTr="008D3122" w14:paraId="6EA8BC51"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8D3122" w:rsidR="008D3122" w:rsidP="008D3122" w:rsidRDefault="008D3122" w14:paraId="6C5E5B8B" w14:textId="77777777">
            <w:pPr>
              <w:spacing w:line="240" w:lineRule="auto"/>
              <w:ind w:firstLine="0"/>
              <w:jc w:val="center"/>
              <w:rPr>
                <w:rFonts w:eastAsia="Times New Roman" w:cs="Times New Roman"/>
                <w:color w:val="000000"/>
                <w:sz w:val="24"/>
                <w:szCs w:val="24"/>
              </w:rPr>
            </w:pPr>
            <w:r w:rsidRPr="008D3122">
              <w:rPr>
                <w:rFonts w:eastAsia="Times New Roman" w:cs="Times New Roman"/>
                <w:color w:val="000000"/>
                <w:sz w:val="24"/>
                <w:szCs w:val="24"/>
              </w:rPr>
              <w:t>9</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7AEAC4D3"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(4.39)</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1B8DD10F"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(6.80)</w:t>
            </w:r>
          </w:p>
        </w:tc>
        <w:tc>
          <w:tcPr>
            <w:tcW w:w="3763"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2A99F069"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0.43 </w:t>
            </w:r>
          </w:p>
        </w:tc>
      </w:tr>
      <w:tr w:rsidRPr="008D3122" w:rsidR="008D3122" w:rsidTr="008D3122" w14:paraId="560CE893"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8D3122" w:rsidR="008D3122" w:rsidP="008D3122" w:rsidRDefault="008D3122" w14:paraId="5A4D56E7" w14:textId="77777777">
            <w:pPr>
              <w:spacing w:line="240" w:lineRule="auto"/>
              <w:ind w:firstLine="0"/>
              <w:jc w:val="center"/>
              <w:rPr>
                <w:rFonts w:eastAsia="Times New Roman" w:cs="Times New Roman"/>
                <w:color w:val="000000"/>
                <w:sz w:val="24"/>
                <w:szCs w:val="24"/>
              </w:rPr>
            </w:pPr>
            <w:r w:rsidRPr="008D3122">
              <w:rPr>
                <w:rFonts w:eastAsia="Times New Roman" w:cs="Times New Roman"/>
                <w:color w:val="000000"/>
                <w:sz w:val="24"/>
                <w:szCs w:val="24"/>
              </w:rPr>
              <w:t>10</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640BAFE9"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(7.08)</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2F686F3D"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$(10.86)</w:t>
            </w:r>
          </w:p>
        </w:tc>
        <w:tc>
          <w:tcPr>
            <w:tcW w:w="3763"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548038B9"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(0.28)</w:t>
            </w:r>
          </w:p>
        </w:tc>
      </w:tr>
      <w:tr w:rsidRPr="008D3122" w:rsidR="008D3122" w:rsidTr="008D3122" w14:paraId="7CE7BF59"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8D3122" w:rsidR="008D3122" w:rsidP="008D3122" w:rsidRDefault="008D3122" w14:paraId="4843214C" w14:textId="77777777">
            <w:pPr>
              <w:spacing w:line="240" w:lineRule="auto"/>
              <w:ind w:firstLine="0"/>
              <w:jc w:val="center"/>
              <w:rPr>
                <w:rFonts w:eastAsia="Times New Roman" w:cs="Times New Roman"/>
                <w:color w:val="000000"/>
                <w:sz w:val="24"/>
                <w:szCs w:val="24"/>
              </w:rPr>
            </w:pPr>
            <w:r w:rsidRPr="008D3122">
              <w:rPr>
                <w:rFonts w:eastAsia="Times New Roman" w:cs="Times New Roman"/>
                <w:color w:val="000000"/>
                <w:sz w:val="24"/>
                <w:szCs w:val="24"/>
              </w:rPr>
              <w:t>13</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52614EE7"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(8.19)</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7A1CDC24"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$(12.25)</w:t>
            </w:r>
          </w:p>
        </w:tc>
        <w:tc>
          <w:tcPr>
            <w:tcW w:w="3763"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40364451"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(2.96)</w:t>
            </w:r>
          </w:p>
        </w:tc>
      </w:tr>
      <w:tr w:rsidRPr="008D3122" w:rsidR="008D3122" w:rsidTr="008D3122" w14:paraId="17F2C3C7"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8D3122" w:rsidR="008D3122" w:rsidP="008D3122" w:rsidRDefault="008D3122" w14:paraId="61A4B70F" w14:textId="77777777">
            <w:pPr>
              <w:spacing w:line="240" w:lineRule="auto"/>
              <w:ind w:firstLine="0"/>
              <w:jc w:val="center"/>
              <w:rPr>
                <w:rFonts w:eastAsia="Times New Roman" w:cs="Times New Roman"/>
                <w:color w:val="000000"/>
                <w:sz w:val="24"/>
                <w:szCs w:val="24"/>
              </w:rPr>
            </w:pPr>
            <w:r w:rsidRPr="008D3122">
              <w:rPr>
                <w:rFonts w:eastAsia="Times New Roman" w:cs="Times New Roman"/>
                <w:color w:val="000000"/>
                <w:sz w:val="24"/>
                <w:szCs w:val="24"/>
              </w:rPr>
              <w:t>14</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070FB2DD"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(8.36)</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004D77CB"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$(12.73)</w:t>
            </w:r>
          </w:p>
        </w:tc>
        <w:tc>
          <w:tcPr>
            <w:tcW w:w="3763"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36F9605E"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(2.12)</w:t>
            </w:r>
          </w:p>
        </w:tc>
      </w:tr>
      <w:tr w:rsidRPr="008D3122" w:rsidR="008D3122" w:rsidTr="008D3122" w14:paraId="545F3B53"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8D3122" w:rsidR="008D3122" w:rsidP="008D3122" w:rsidRDefault="008D3122" w14:paraId="574D720C" w14:textId="77777777">
            <w:pPr>
              <w:spacing w:line="240" w:lineRule="auto"/>
              <w:ind w:firstLine="0"/>
              <w:jc w:val="center"/>
              <w:rPr>
                <w:rFonts w:eastAsia="Times New Roman" w:cs="Times New Roman"/>
                <w:color w:val="000000"/>
                <w:sz w:val="24"/>
                <w:szCs w:val="24"/>
              </w:rPr>
            </w:pPr>
            <w:r w:rsidRPr="008D3122">
              <w:rPr>
                <w:rFonts w:eastAsia="Times New Roman" w:cs="Times New Roman"/>
                <w:color w:val="000000"/>
                <w:sz w:val="24"/>
                <w:szCs w:val="24"/>
              </w:rPr>
              <w:t>15</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511D1E82"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(9.77)</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65284D7F"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$(14.94)</w:t>
            </w:r>
          </w:p>
        </w:tc>
        <w:tc>
          <w:tcPr>
            <w:tcW w:w="3763"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5631ED08"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(6.72)</w:t>
            </w:r>
          </w:p>
        </w:tc>
      </w:tr>
      <w:tr w:rsidRPr="008D3122" w:rsidR="008D3122" w:rsidTr="008D3122" w14:paraId="73076FE2"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8D3122" w:rsidR="008D3122" w:rsidP="008D3122" w:rsidRDefault="008D3122" w14:paraId="6473BCD0" w14:textId="77777777">
            <w:pPr>
              <w:spacing w:line="240" w:lineRule="auto"/>
              <w:ind w:firstLine="0"/>
              <w:jc w:val="center"/>
              <w:rPr>
                <w:rFonts w:eastAsia="Times New Roman" w:cs="Times New Roman"/>
                <w:color w:val="000000"/>
                <w:sz w:val="24"/>
                <w:szCs w:val="24"/>
              </w:rPr>
            </w:pPr>
            <w:r w:rsidRPr="008D3122">
              <w:rPr>
                <w:rFonts w:eastAsia="Times New Roman" w:cs="Times New Roman"/>
                <w:color w:val="000000"/>
                <w:sz w:val="24"/>
                <w:szCs w:val="24"/>
              </w:rPr>
              <w:t>16</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471F5359"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(5.88)</w:t>
            </w:r>
          </w:p>
        </w:tc>
        <w:tc>
          <w:tcPr>
            <w:tcW w:w="1517"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17CD6ABB"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(9.25)</w:t>
            </w:r>
          </w:p>
        </w:tc>
        <w:tc>
          <w:tcPr>
            <w:tcW w:w="3763" w:type="dxa"/>
            <w:tcBorders>
              <w:top w:val="nil"/>
              <w:left w:val="nil"/>
              <w:bottom w:val="single" w:color="auto" w:sz="4" w:space="0"/>
              <w:right w:val="single" w:color="auto" w:sz="4" w:space="0"/>
            </w:tcBorders>
            <w:shd w:val="clear" w:color="auto" w:fill="auto"/>
            <w:noWrap/>
            <w:vAlign w:val="bottom"/>
            <w:hideMark/>
          </w:tcPr>
          <w:p w:rsidRPr="008D3122" w:rsidR="008D3122" w:rsidP="008D3122" w:rsidRDefault="008D3122" w14:paraId="3E8442E7" w14:textId="77777777">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                          4.15 </w:t>
            </w:r>
          </w:p>
        </w:tc>
      </w:tr>
      <w:tr w:rsidRPr="008D3122" w:rsidR="008D3122" w:rsidTr="008D3122" w14:paraId="0A86C102" w14:textId="77777777">
        <w:trPr>
          <w:trHeight w:val="315"/>
        </w:trPr>
        <w:tc>
          <w:tcPr>
            <w:tcW w:w="9350" w:type="dxa"/>
            <w:gridSpan w:val="4"/>
            <w:tcBorders>
              <w:top w:val="nil"/>
              <w:left w:val="nil"/>
              <w:bottom w:val="nil"/>
              <w:right w:val="nil"/>
            </w:tcBorders>
            <w:shd w:val="clear" w:color="auto" w:fill="auto"/>
            <w:noWrap/>
            <w:vAlign w:val="bottom"/>
            <w:hideMark/>
          </w:tcPr>
          <w:p w:rsidRPr="008D3122" w:rsidR="008D3122" w:rsidP="008D3122" w:rsidRDefault="008D3122" w14:paraId="7F5C1461" w14:textId="422BA39A">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FERA customers were modeled in the Public Tool as all non-CARE customers in the two lowest income</w:t>
            </w:r>
            <w:r w:rsidR="001F5E8C">
              <w:rPr>
                <w:rFonts w:eastAsia="Times New Roman" w:cs="Times New Roman"/>
                <w:color w:val="000000"/>
                <w:sz w:val="24"/>
                <w:szCs w:val="24"/>
              </w:rPr>
              <w:t xml:space="preserve"> quantiles.</w:t>
            </w:r>
          </w:p>
        </w:tc>
      </w:tr>
      <w:tr w:rsidRPr="008D3122" w:rsidR="008D3122" w:rsidTr="008D3122" w14:paraId="1A017D9F" w14:textId="77777777">
        <w:trPr>
          <w:trHeight w:val="315"/>
        </w:trPr>
        <w:tc>
          <w:tcPr>
            <w:tcW w:w="9350" w:type="dxa"/>
            <w:gridSpan w:val="4"/>
            <w:tcBorders>
              <w:top w:val="nil"/>
              <w:left w:val="nil"/>
              <w:bottom w:val="nil"/>
              <w:right w:val="nil"/>
            </w:tcBorders>
            <w:shd w:val="clear" w:color="auto" w:fill="auto"/>
            <w:noWrap/>
            <w:vAlign w:val="bottom"/>
            <w:hideMark/>
          </w:tcPr>
          <w:p w:rsidRPr="008D3122" w:rsidR="008D3122" w:rsidP="008D3122" w:rsidRDefault="008D3122" w14:paraId="6EA70F43" w14:textId="6B587BD4">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xml:space="preserve">** Non-CARE/FERA customers were modeled in the Public Tool as all non-CARE customers except those in the two lowest income </w:t>
            </w:r>
            <w:r w:rsidR="001F5E8C">
              <w:rPr>
                <w:rFonts w:eastAsia="Times New Roman" w:cs="Times New Roman"/>
                <w:color w:val="000000"/>
                <w:sz w:val="24"/>
                <w:szCs w:val="24"/>
              </w:rPr>
              <w:t>quantiles.</w:t>
            </w:r>
          </w:p>
        </w:tc>
      </w:tr>
      <w:tr w:rsidRPr="008D3122" w:rsidR="008D3122" w:rsidTr="008D3122" w14:paraId="2AAB27E7" w14:textId="77777777">
        <w:trPr>
          <w:trHeight w:val="315"/>
        </w:trPr>
        <w:tc>
          <w:tcPr>
            <w:tcW w:w="9350" w:type="dxa"/>
            <w:gridSpan w:val="4"/>
            <w:tcBorders>
              <w:top w:val="nil"/>
              <w:left w:val="nil"/>
              <w:bottom w:val="nil"/>
              <w:right w:val="nil"/>
            </w:tcBorders>
            <w:shd w:val="clear" w:color="auto" w:fill="auto"/>
            <w:noWrap/>
            <w:vAlign w:val="bottom"/>
            <w:hideMark/>
          </w:tcPr>
          <w:p w:rsidRPr="008D3122" w:rsidR="008D3122" w:rsidP="008D3122" w:rsidRDefault="008D3122" w14:paraId="463CEF0A" w14:textId="38CF0A5B">
            <w:pPr>
              <w:spacing w:line="240" w:lineRule="auto"/>
              <w:ind w:firstLine="0"/>
              <w:rPr>
                <w:rFonts w:eastAsia="Times New Roman" w:cs="Times New Roman"/>
                <w:color w:val="000000"/>
                <w:sz w:val="24"/>
                <w:szCs w:val="24"/>
              </w:rPr>
            </w:pPr>
            <w:r w:rsidRPr="008D3122">
              <w:rPr>
                <w:rFonts w:eastAsia="Times New Roman" w:cs="Times New Roman"/>
                <w:color w:val="000000"/>
                <w:sz w:val="24"/>
                <w:szCs w:val="24"/>
              </w:rPr>
              <w:t>*** N/A indicates an insufficient number of customers in a given segment to report bill impacts</w:t>
            </w:r>
            <w:r w:rsidR="001F5E8C">
              <w:rPr>
                <w:rFonts w:eastAsia="Times New Roman" w:cs="Times New Roman"/>
                <w:color w:val="000000"/>
                <w:sz w:val="24"/>
                <w:szCs w:val="24"/>
              </w:rPr>
              <w:t>.</w:t>
            </w:r>
          </w:p>
        </w:tc>
      </w:tr>
    </w:tbl>
    <w:p w:rsidR="0003625D" w:rsidP="00141D86" w:rsidRDefault="0003625D" w14:paraId="6BC98B29" w14:textId="77777777">
      <w:pPr>
        <w:ind w:firstLine="0"/>
      </w:pPr>
    </w:p>
    <w:p w:rsidRPr="001B024E" w:rsidR="00E703E8" w:rsidP="00141D86" w:rsidRDefault="00E703E8" w14:paraId="04D6E2F5" w14:textId="016C45FE">
      <w:pPr>
        <w:ind w:firstLine="0"/>
        <w:rPr>
          <w:b/>
          <w:bCs/>
        </w:rPr>
      </w:pPr>
      <w:r w:rsidRPr="00E703E8">
        <w:rPr>
          <w:b/>
          <w:bCs/>
        </w:rPr>
        <w:t>Table A-</w:t>
      </w:r>
      <w:r>
        <w:rPr>
          <w:b/>
          <w:bCs/>
        </w:rPr>
        <w:t>6</w:t>
      </w:r>
      <w:r w:rsidRPr="00E703E8">
        <w:rPr>
          <w:b/>
          <w:bCs/>
        </w:rPr>
        <w:t>: Estimated Impact of Adopted Fixed Charges on Average Monthly Bills of</w:t>
      </w:r>
      <w:r w:rsidR="002A4A1D">
        <w:rPr>
          <w:b/>
          <w:bCs/>
        </w:rPr>
        <w:t xml:space="preserve"> SDG&amp;E</w:t>
      </w:r>
      <w:r w:rsidRPr="00E703E8">
        <w:rPr>
          <w:b/>
          <w:bCs/>
        </w:rPr>
        <w:t xml:space="preserve"> Customers</w:t>
      </w:r>
      <w:r w:rsidR="002A4A1D">
        <w:rPr>
          <w:b/>
          <w:bCs/>
        </w:rPr>
        <w:t xml:space="preserve"> </w:t>
      </w:r>
      <w:r w:rsidRPr="002A4A1D" w:rsidR="002A4A1D">
        <w:rPr>
          <w:b/>
          <w:bCs/>
        </w:rPr>
        <w:t>With Average Usage</w:t>
      </w:r>
    </w:p>
    <w:tbl>
      <w:tblPr>
        <w:tblW w:w="9350" w:type="dxa"/>
        <w:tblLook w:val="04A0" w:firstRow="1" w:lastRow="0" w:firstColumn="1" w:lastColumn="0" w:noHBand="0" w:noVBand="1"/>
      </w:tblPr>
      <w:tblGrid>
        <w:gridCol w:w="2553"/>
        <w:gridCol w:w="1517"/>
        <w:gridCol w:w="1517"/>
        <w:gridCol w:w="3763"/>
      </w:tblGrid>
      <w:tr w:rsidRPr="00A377EF" w:rsidR="00A377EF" w:rsidTr="004D1D2D" w14:paraId="19BD7CD6" w14:textId="77777777">
        <w:trPr>
          <w:trHeight w:val="330"/>
        </w:trPr>
        <w:tc>
          <w:tcPr>
            <w:tcW w:w="255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377EF" w:rsidR="00A377EF" w:rsidP="00A377EF" w:rsidRDefault="00A377EF" w14:paraId="7536768D" w14:textId="77777777">
            <w:pPr>
              <w:spacing w:line="240" w:lineRule="auto"/>
              <w:ind w:firstLine="0"/>
              <w:jc w:val="center"/>
              <w:rPr>
                <w:rFonts w:eastAsia="Times New Roman" w:cs="Times New Roman"/>
                <w:b/>
                <w:bCs/>
                <w:color w:val="000000"/>
                <w:sz w:val="24"/>
                <w:szCs w:val="24"/>
              </w:rPr>
            </w:pPr>
            <w:r w:rsidRPr="00A377EF">
              <w:rPr>
                <w:rFonts w:eastAsia="Times New Roman" w:cs="Times New Roman"/>
                <w:b/>
                <w:bCs/>
                <w:color w:val="000000"/>
                <w:sz w:val="24"/>
                <w:szCs w:val="24"/>
              </w:rPr>
              <w:t>Climate Zone</w:t>
            </w:r>
          </w:p>
        </w:tc>
        <w:tc>
          <w:tcPr>
            <w:tcW w:w="1517" w:type="dxa"/>
            <w:tcBorders>
              <w:top w:val="single" w:color="auto" w:sz="4" w:space="0"/>
              <w:left w:val="nil"/>
              <w:bottom w:val="single" w:color="auto" w:sz="4" w:space="0"/>
              <w:right w:val="single" w:color="auto" w:sz="4" w:space="0"/>
            </w:tcBorders>
            <w:shd w:val="clear" w:color="auto" w:fill="auto"/>
            <w:noWrap/>
            <w:vAlign w:val="bottom"/>
            <w:hideMark/>
          </w:tcPr>
          <w:p w:rsidRPr="00A377EF" w:rsidR="00A377EF" w:rsidP="00A377EF" w:rsidRDefault="00A377EF" w14:paraId="456EFA54" w14:textId="77777777">
            <w:pPr>
              <w:spacing w:line="240" w:lineRule="auto"/>
              <w:ind w:firstLine="0"/>
              <w:jc w:val="center"/>
              <w:rPr>
                <w:rFonts w:eastAsia="Times New Roman" w:cs="Times New Roman"/>
                <w:b/>
                <w:bCs/>
                <w:color w:val="000000"/>
                <w:sz w:val="24"/>
                <w:szCs w:val="24"/>
              </w:rPr>
            </w:pPr>
            <w:r w:rsidRPr="00A377EF">
              <w:rPr>
                <w:rFonts w:eastAsia="Times New Roman" w:cs="Times New Roman"/>
                <w:b/>
                <w:bCs/>
                <w:color w:val="000000"/>
                <w:sz w:val="24"/>
                <w:szCs w:val="24"/>
              </w:rPr>
              <w:t>CARE</w:t>
            </w:r>
          </w:p>
        </w:tc>
        <w:tc>
          <w:tcPr>
            <w:tcW w:w="1517" w:type="dxa"/>
            <w:tcBorders>
              <w:top w:val="single" w:color="auto" w:sz="4" w:space="0"/>
              <w:left w:val="nil"/>
              <w:bottom w:val="single" w:color="auto" w:sz="4" w:space="0"/>
              <w:right w:val="single" w:color="auto" w:sz="4" w:space="0"/>
            </w:tcBorders>
            <w:shd w:val="clear" w:color="auto" w:fill="auto"/>
            <w:noWrap/>
            <w:vAlign w:val="bottom"/>
            <w:hideMark/>
          </w:tcPr>
          <w:p w:rsidRPr="00A377EF" w:rsidR="00A377EF" w:rsidP="00A377EF" w:rsidRDefault="00A377EF" w14:paraId="4D865323" w14:textId="77777777">
            <w:pPr>
              <w:spacing w:line="240" w:lineRule="auto"/>
              <w:ind w:firstLine="0"/>
              <w:jc w:val="center"/>
              <w:rPr>
                <w:rFonts w:eastAsia="Times New Roman" w:cs="Times New Roman"/>
                <w:b/>
                <w:bCs/>
                <w:color w:val="000000"/>
                <w:sz w:val="24"/>
                <w:szCs w:val="24"/>
              </w:rPr>
            </w:pPr>
            <w:r w:rsidRPr="00A377EF">
              <w:rPr>
                <w:rFonts w:eastAsia="Times New Roman" w:cs="Times New Roman"/>
                <w:b/>
                <w:bCs/>
                <w:color w:val="000000"/>
                <w:sz w:val="24"/>
                <w:szCs w:val="24"/>
              </w:rPr>
              <w:t>FERA*</w:t>
            </w:r>
          </w:p>
        </w:tc>
        <w:tc>
          <w:tcPr>
            <w:tcW w:w="3763" w:type="dxa"/>
            <w:tcBorders>
              <w:top w:val="single" w:color="auto" w:sz="4" w:space="0"/>
              <w:left w:val="nil"/>
              <w:bottom w:val="single" w:color="auto" w:sz="4" w:space="0"/>
              <w:right w:val="single" w:color="auto" w:sz="4" w:space="0"/>
            </w:tcBorders>
            <w:shd w:val="clear" w:color="auto" w:fill="auto"/>
            <w:noWrap/>
            <w:vAlign w:val="bottom"/>
            <w:hideMark/>
          </w:tcPr>
          <w:p w:rsidRPr="00A377EF" w:rsidR="00A377EF" w:rsidP="00A377EF" w:rsidRDefault="00A377EF" w14:paraId="353051C3" w14:textId="77777777">
            <w:pPr>
              <w:spacing w:line="240" w:lineRule="auto"/>
              <w:ind w:firstLine="0"/>
              <w:jc w:val="center"/>
              <w:rPr>
                <w:rFonts w:eastAsia="Times New Roman" w:cs="Times New Roman"/>
                <w:b/>
                <w:bCs/>
                <w:color w:val="000000"/>
                <w:sz w:val="24"/>
                <w:szCs w:val="24"/>
              </w:rPr>
            </w:pPr>
            <w:r w:rsidRPr="00A377EF">
              <w:rPr>
                <w:rFonts w:eastAsia="Times New Roman" w:cs="Times New Roman"/>
                <w:b/>
                <w:bCs/>
                <w:color w:val="000000"/>
                <w:sz w:val="24"/>
                <w:szCs w:val="24"/>
              </w:rPr>
              <w:t>Non-CARE/FERA**</w:t>
            </w:r>
          </w:p>
        </w:tc>
      </w:tr>
      <w:tr w:rsidRPr="00A377EF" w:rsidR="00A377EF" w:rsidTr="00A377EF" w14:paraId="12A502A6"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A377EF" w:rsidR="00A377EF" w:rsidP="00A377EF" w:rsidRDefault="00A377EF" w14:paraId="156ACCCD" w14:textId="77777777">
            <w:pPr>
              <w:spacing w:line="240" w:lineRule="auto"/>
              <w:ind w:firstLine="0"/>
              <w:jc w:val="center"/>
              <w:rPr>
                <w:rFonts w:eastAsia="Times New Roman" w:cs="Times New Roman"/>
                <w:color w:val="000000"/>
                <w:sz w:val="24"/>
                <w:szCs w:val="24"/>
              </w:rPr>
            </w:pPr>
            <w:r w:rsidRPr="00A377EF">
              <w:rPr>
                <w:rFonts w:eastAsia="Times New Roman" w:cs="Times New Roman"/>
                <w:color w:val="000000"/>
                <w:sz w:val="24"/>
                <w:szCs w:val="24"/>
              </w:rPr>
              <w:t>Inland</w:t>
            </w:r>
          </w:p>
        </w:tc>
        <w:tc>
          <w:tcPr>
            <w:tcW w:w="1517"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3D3F8AA5"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  (6.63)</w:t>
            </w:r>
          </w:p>
        </w:tc>
        <w:tc>
          <w:tcPr>
            <w:tcW w:w="1517"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49B6C24B"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$(10.31)</w:t>
            </w:r>
          </w:p>
        </w:tc>
        <w:tc>
          <w:tcPr>
            <w:tcW w:w="3763"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034895BC"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                          0.74 </w:t>
            </w:r>
          </w:p>
        </w:tc>
      </w:tr>
      <w:tr w:rsidRPr="00A377EF" w:rsidR="00A377EF" w:rsidTr="00A377EF" w14:paraId="1FC3D6B0"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A377EF" w:rsidR="00A377EF" w:rsidP="00A377EF" w:rsidRDefault="00A377EF" w14:paraId="5F635A5E" w14:textId="77777777">
            <w:pPr>
              <w:spacing w:line="240" w:lineRule="auto"/>
              <w:ind w:firstLine="0"/>
              <w:jc w:val="center"/>
              <w:rPr>
                <w:rFonts w:eastAsia="Times New Roman" w:cs="Times New Roman"/>
                <w:color w:val="000000"/>
                <w:sz w:val="24"/>
                <w:szCs w:val="24"/>
              </w:rPr>
            </w:pPr>
            <w:r w:rsidRPr="00A377EF">
              <w:rPr>
                <w:rFonts w:eastAsia="Times New Roman" w:cs="Times New Roman"/>
                <w:color w:val="000000"/>
                <w:sz w:val="24"/>
                <w:szCs w:val="24"/>
              </w:rPr>
              <w:t>Coastal</w:t>
            </w:r>
          </w:p>
        </w:tc>
        <w:tc>
          <w:tcPr>
            <w:tcW w:w="1517"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018EC49C"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  (3.78)</w:t>
            </w:r>
          </w:p>
        </w:tc>
        <w:tc>
          <w:tcPr>
            <w:tcW w:w="1517"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5D193CD5"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  (5.94)</w:t>
            </w:r>
          </w:p>
        </w:tc>
        <w:tc>
          <w:tcPr>
            <w:tcW w:w="3763"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2C3F9F02"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                          2.39 </w:t>
            </w:r>
          </w:p>
        </w:tc>
      </w:tr>
      <w:tr w:rsidRPr="00A377EF" w:rsidR="00A377EF" w:rsidTr="00A377EF" w14:paraId="7225CFD1"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A377EF" w:rsidR="00A377EF" w:rsidP="00A377EF" w:rsidRDefault="00A377EF" w14:paraId="370FD1F0" w14:textId="77777777">
            <w:pPr>
              <w:spacing w:line="240" w:lineRule="auto"/>
              <w:ind w:firstLine="0"/>
              <w:jc w:val="center"/>
              <w:rPr>
                <w:rFonts w:eastAsia="Times New Roman" w:cs="Times New Roman"/>
                <w:color w:val="000000"/>
                <w:sz w:val="24"/>
                <w:szCs w:val="24"/>
              </w:rPr>
            </w:pPr>
            <w:r w:rsidRPr="00A377EF">
              <w:rPr>
                <w:rFonts w:eastAsia="Times New Roman" w:cs="Times New Roman"/>
                <w:color w:val="000000"/>
                <w:sz w:val="24"/>
                <w:szCs w:val="24"/>
              </w:rPr>
              <w:t>Desert</w:t>
            </w:r>
          </w:p>
        </w:tc>
        <w:tc>
          <w:tcPr>
            <w:tcW w:w="1517"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74F5C045"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$(17.97)</w:t>
            </w:r>
          </w:p>
        </w:tc>
        <w:tc>
          <w:tcPr>
            <w:tcW w:w="1517"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12DE2057"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$(27.50)</w:t>
            </w:r>
          </w:p>
        </w:tc>
        <w:tc>
          <w:tcPr>
            <w:tcW w:w="3763"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6E8B5416"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                          0.33 </w:t>
            </w:r>
          </w:p>
        </w:tc>
      </w:tr>
      <w:tr w:rsidRPr="00A377EF" w:rsidR="00A377EF" w:rsidTr="00A377EF" w14:paraId="29CD1BB4" w14:textId="77777777">
        <w:trPr>
          <w:trHeight w:val="315"/>
        </w:trPr>
        <w:tc>
          <w:tcPr>
            <w:tcW w:w="2553" w:type="dxa"/>
            <w:tcBorders>
              <w:top w:val="nil"/>
              <w:left w:val="single" w:color="auto" w:sz="4" w:space="0"/>
              <w:bottom w:val="single" w:color="auto" w:sz="4" w:space="0"/>
              <w:right w:val="single" w:color="auto" w:sz="4" w:space="0"/>
            </w:tcBorders>
            <w:shd w:val="clear" w:color="auto" w:fill="auto"/>
            <w:noWrap/>
            <w:vAlign w:val="bottom"/>
            <w:hideMark/>
          </w:tcPr>
          <w:p w:rsidRPr="00A377EF" w:rsidR="00A377EF" w:rsidP="00A377EF" w:rsidRDefault="00A377EF" w14:paraId="2FA280A2" w14:textId="77777777">
            <w:pPr>
              <w:spacing w:line="240" w:lineRule="auto"/>
              <w:ind w:firstLine="0"/>
              <w:jc w:val="center"/>
              <w:rPr>
                <w:rFonts w:eastAsia="Times New Roman" w:cs="Times New Roman"/>
                <w:color w:val="000000"/>
                <w:sz w:val="24"/>
                <w:szCs w:val="24"/>
              </w:rPr>
            </w:pPr>
            <w:r w:rsidRPr="00A377EF">
              <w:rPr>
                <w:rFonts w:eastAsia="Times New Roman" w:cs="Times New Roman"/>
                <w:color w:val="000000"/>
                <w:sz w:val="24"/>
                <w:szCs w:val="24"/>
              </w:rPr>
              <w:t>Mountain</w:t>
            </w:r>
          </w:p>
        </w:tc>
        <w:tc>
          <w:tcPr>
            <w:tcW w:w="1517"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082D9C80"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$(19.79)</w:t>
            </w:r>
          </w:p>
        </w:tc>
        <w:tc>
          <w:tcPr>
            <w:tcW w:w="1517"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58D97F37"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$(30.89)</w:t>
            </w:r>
          </w:p>
        </w:tc>
        <w:tc>
          <w:tcPr>
            <w:tcW w:w="3763" w:type="dxa"/>
            <w:tcBorders>
              <w:top w:val="nil"/>
              <w:left w:val="nil"/>
              <w:bottom w:val="single" w:color="auto" w:sz="4" w:space="0"/>
              <w:right w:val="single" w:color="auto" w:sz="4" w:space="0"/>
            </w:tcBorders>
            <w:shd w:val="clear" w:color="auto" w:fill="auto"/>
            <w:noWrap/>
            <w:vAlign w:val="bottom"/>
            <w:hideMark/>
          </w:tcPr>
          <w:p w:rsidRPr="00A377EF" w:rsidR="00A377EF" w:rsidP="00A377EF" w:rsidRDefault="00A377EF" w14:paraId="2AF23AF9" w14:textId="7777777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                        (6.79)</w:t>
            </w:r>
          </w:p>
        </w:tc>
      </w:tr>
      <w:tr w:rsidRPr="00A377EF" w:rsidR="00A377EF" w:rsidTr="00A377EF" w14:paraId="448B121B" w14:textId="77777777">
        <w:trPr>
          <w:trHeight w:val="315"/>
        </w:trPr>
        <w:tc>
          <w:tcPr>
            <w:tcW w:w="9350" w:type="dxa"/>
            <w:gridSpan w:val="4"/>
            <w:tcBorders>
              <w:top w:val="nil"/>
              <w:left w:val="nil"/>
              <w:bottom w:val="nil"/>
              <w:right w:val="nil"/>
            </w:tcBorders>
            <w:shd w:val="clear" w:color="auto" w:fill="auto"/>
            <w:noWrap/>
            <w:vAlign w:val="bottom"/>
            <w:hideMark/>
          </w:tcPr>
          <w:p w:rsidRPr="00A377EF" w:rsidR="00A377EF" w:rsidP="00A377EF" w:rsidRDefault="00A377EF" w14:paraId="3CAC998A" w14:textId="071C4927">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FERA customers were modeled in the Public Tool as all non-CARE customers in the two lowest income </w:t>
            </w:r>
            <w:r w:rsidR="001F5E8C">
              <w:rPr>
                <w:rFonts w:eastAsia="Times New Roman" w:cs="Times New Roman"/>
                <w:color w:val="000000"/>
                <w:sz w:val="24"/>
                <w:szCs w:val="24"/>
              </w:rPr>
              <w:t>quantiles.</w:t>
            </w:r>
          </w:p>
        </w:tc>
      </w:tr>
      <w:tr w:rsidRPr="00A377EF" w:rsidR="00A377EF" w:rsidTr="00A377EF" w14:paraId="6057273B" w14:textId="77777777">
        <w:trPr>
          <w:trHeight w:val="315"/>
        </w:trPr>
        <w:tc>
          <w:tcPr>
            <w:tcW w:w="9350" w:type="dxa"/>
            <w:gridSpan w:val="4"/>
            <w:tcBorders>
              <w:top w:val="nil"/>
              <w:left w:val="nil"/>
              <w:bottom w:val="nil"/>
              <w:right w:val="nil"/>
            </w:tcBorders>
            <w:shd w:val="clear" w:color="auto" w:fill="auto"/>
            <w:noWrap/>
            <w:vAlign w:val="bottom"/>
            <w:hideMark/>
          </w:tcPr>
          <w:p w:rsidRPr="00A377EF" w:rsidR="00A377EF" w:rsidP="00A377EF" w:rsidRDefault="00A377EF" w14:paraId="264280E2" w14:textId="641066C6">
            <w:pPr>
              <w:spacing w:line="240" w:lineRule="auto"/>
              <w:ind w:firstLine="0"/>
              <w:rPr>
                <w:rFonts w:eastAsia="Times New Roman" w:cs="Times New Roman"/>
                <w:color w:val="000000"/>
                <w:sz w:val="24"/>
                <w:szCs w:val="24"/>
              </w:rPr>
            </w:pPr>
            <w:r w:rsidRPr="00A377EF">
              <w:rPr>
                <w:rFonts w:eastAsia="Times New Roman" w:cs="Times New Roman"/>
                <w:color w:val="000000"/>
                <w:sz w:val="24"/>
                <w:szCs w:val="24"/>
              </w:rPr>
              <w:t xml:space="preserve">** Non-CARE/FERA customers were modeled in the Public Tool as all non-CARE customers except those in the two lowest income </w:t>
            </w:r>
            <w:r w:rsidR="001F5E8C">
              <w:rPr>
                <w:rFonts w:eastAsia="Times New Roman" w:cs="Times New Roman"/>
                <w:color w:val="000000"/>
                <w:sz w:val="24"/>
                <w:szCs w:val="24"/>
              </w:rPr>
              <w:t>quantiles.</w:t>
            </w:r>
          </w:p>
        </w:tc>
      </w:tr>
      <w:tr w:rsidRPr="00A377EF" w:rsidR="004D1D2D" w:rsidTr="00A377EF" w14:paraId="1689D0C4" w14:textId="77777777">
        <w:trPr>
          <w:trHeight w:val="315"/>
        </w:trPr>
        <w:tc>
          <w:tcPr>
            <w:tcW w:w="9350" w:type="dxa"/>
            <w:gridSpan w:val="4"/>
            <w:tcBorders>
              <w:top w:val="nil"/>
              <w:left w:val="nil"/>
              <w:bottom w:val="nil"/>
              <w:right w:val="nil"/>
            </w:tcBorders>
            <w:shd w:val="clear" w:color="auto" w:fill="auto"/>
            <w:noWrap/>
            <w:vAlign w:val="bottom"/>
          </w:tcPr>
          <w:p w:rsidRPr="00A377EF" w:rsidR="004D1D2D" w:rsidP="00A377EF" w:rsidRDefault="004D1D2D" w14:paraId="4E3D08DC" w14:textId="77777777">
            <w:pPr>
              <w:spacing w:line="240" w:lineRule="auto"/>
              <w:ind w:firstLine="0"/>
              <w:rPr>
                <w:rFonts w:eastAsia="Times New Roman" w:cs="Times New Roman"/>
                <w:color w:val="000000"/>
                <w:sz w:val="24"/>
                <w:szCs w:val="24"/>
              </w:rPr>
            </w:pPr>
          </w:p>
        </w:tc>
      </w:tr>
    </w:tbl>
    <w:p w:rsidR="00386FD1" w:rsidP="004D1D2D" w:rsidRDefault="00386FD1" w14:paraId="123866A4" w14:textId="77777777">
      <w:pPr>
        <w:ind w:firstLine="0"/>
        <w:jc w:val="center"/>
        <w:rPr>
          <w:b/>
        </w:rPr>
      </w:pPr>
    </w:p>
    <w:p w:rsidR="00386FD1" w:rsidP="00386FD1" w:rsidRDefault="00386FD1" w14:paraId="0E7AA33D" w14:textId="77777777">
      <w:pPr>
        <w:spacing w:after="160" w:line="259" w:lineRule="auto"/>
        <w:ind w:firstLine="0"/>
        <w:jc w:val="center"/>
        <w:rPr>
          <w:b/>
        </w:rPr>
      </w:pPr>
    </w:p>
    <w:p w:rsidRPr="00D66B95" w:rsidR="00191E55" w:rsidP="00386FD1" w:rsidRDefault="00191E55" w14:paraId="3FEC9D31" w14:textId="41159D66">
      <w:pPr>
        <w:spacing w:after="160" w:line="259" w:lineRule="auto"/>
        <w:ind w:firstLine="0"/>
        <w:jc w:val="center"/>
        <w:rPr>
          <w:b/>
          <w:sz w:val="28"/>
          <w:szCs w:val="28"/>
        </w:rPr>
        <w:sectPr w:rsidRPr="00D66B95" w:rsidR="00191E55" w:rsidSect="0012402D">
          <w:type w:val="continuous"/>
          <w:pgSz w:w="12240" w:h="15840"/>
          <w:pgMar w:top="1728" w:right="1440" w:bottom="1440" w:left="1440" w:header="720" w:footer="720" w:gutter="0"/>
          <w:pgNumType w:start="1"/>
          <w:cols w:space="720"/>
          <w:docGrid w:linePitch="360"/>
        </w:sectPr>
      </w:pPr>
      <w:r w:rsidRPr="00D66B95">
        <w:rPr>
          <w:b/>
          <w:sz w:val="28"/>
          <w:szCs w:val="28"/>
        </w:rPr>
        <w:t>End of Attachment A</w:t>
      </w:r>
    </w:p>
    <w:p w:rsidRPr="007D681E" w:rsidR="00754B2A" w:rsidP="00754B2A" w:rsidRDefault="00754B2A" w14:paraId="383B7E07" w14:textId="77777777">
      <w:pPr>
        <w:ind w:firstLine="0"/>
        <w:jc w:val="center"/>
        <w:rPr>
          <w:b/>
        </w:rPr>
      </w:pPr>
      <w:r w:rsidRPr="007D681E">
        <w:rPr>
          <w:b/>
        </w:rPr>
        <w:t xml:space="preserve">Attachment </w:t>
      </w:r>
      <w:r>
        <w:rPr>
          <w:b/>
        </w:rPr>
        <w:t>B</w:t>
      </w:r>
    </w:p>
    <w:p w:rsidRPr="00754B2A" w:rsidR="00754B2A" w:rsidP="00754B2A" w:rsidRDefault="00754B2A" w14:paraId="13A081EF" w14:textId="51136ACB">
      <w:pPr>
        <w:ind w:firstLine="0"/>
        <w:jc w:val="center"/>
        <w:rPr>
          <w:b/>
        </w:rPr>
      </w:pPr>
      <w:r w:rsidRPr="007D681E">
        <w:rPr>
          <w:b/>
        </w:rPr>
        <w:t xml:space="preserve">Estimated </w:t>
      </w:r>
      <w:r>
        <w:rPr>
          <w:b/>
        </w:rPr>
        <w:t xml:space="preserve">Change in Electrification </w:t>
      </w:r>
      <w:r w:rsidRPr="007D681E">
        <w:rPr>
          <w:b/>
        </w:rPr>
        <w:t>Bill Impacts for</w:t>
      </w:r>
      <w:r>
        <w:rPr>
          <w:b/>
        </w:rPr>
        <w:t xml:space="preserve"> </w:t>
      </w:r>
      <w:r>
        <w:rPr>
          <w:b/>
        </w:rPr>
        <w:br/>
        <w:t>Customers of</w:t>
      </w:r>
      <w:r w:rsidRPr="007D681E">
        <w:rPr>
          <w:b/>
        </w:rPr>
        <w:t xml:space="preserve"> Large Utilities</w:t>
      </w:r>
      <w:r>
        <w:rPr>
          <w:b/>
        </w:rPr>
        <w:br/>
      </w:r>
    </w:p>
    <w:p w:rsidR="00754B2A" w:rsidP="00754B2A" w:rsidRDefault="00754B2A" w14:paraId="0FA55BC2" w14:textId="77777777">
      <w:r>
        <w:t xml:space="preserve">This attachment presents the expected impact that income-graduated fixed charges will have on the cost-effectiveness of home and vehicle electrification. Specifically, this attachment presents how the bill impacts associated with home and vehicle electrification (under the existing default time-of-use (TOU) rate structure) will change with the implementation of income-graduated fixed charges. These results illustrate how the implementation of income-graduated fixed charges will lower the barrier to electrification for all customers on default rates across the state. </w:t>
      </w:r>
    </w:p>
    <w:p w:rsidR="00754B2A" w:rsidP="00754B2A" w:rsidRDefault="00754B2A" w14:paraId="55BDE237" w14:textId="77777777">
      <w:r>
        <w:t>These results were produced using the Public Tool’s electrification analysis functionality, which estimates the change in monthly electricity, natural gas, and gasoline costs for typical residential customers</w:t>
      </w:r>
      <w:r>
        <w:rPr>
          <w:rStyle w:val="FootnoteReference"/>
        </w:rPr>
        <w:footnoteReference w:id="256"/>
      </w:r>
      <w:r>
        <w:t xml:space="preserve"> who electrify their end uses in each of the Large Utilities’ service territories based on their rate schedule, whether they are enrolled in a bill discount program,</w:t>
      </w:r>
      <w:r>
        <w:rPr>
          <w:rStyle w:val="FootnoteReference"/>
        </w:rPr>
        <w:footnoteReference w:id="257"/>
      </w:r>
      <w:r>
        <w:t xml:space="preserve"> and whether they live in an inland or coastal climate zone</w:t>
      </w:r>
      <w:r w:rsidDel="008F03AA">
        <w:t>.</w:t>
      </w:r>
      <w:r>
        <w:rPr>
          <w:rStyle w:val="FootnoteReference"/>
        </w:rPr>
        <w:footnoteReference w:id="258"/>
      </w:r>
      <w:r>
        <w:t xml:space="preserve"> This analysis was done for a typical non-CARE/FERA customer on a default time-of-use rate who does not receive a medical baseline allowance, with separate results for an inland and coastal climate zone for each utility. The counterfactual bills under the existing rate structure that were calculated for this analysis include the AB 205-mandated change to the CARE effective discount (in order to isolate the impact of the adopted fixed charge).</w:t>
      </w:r>
    </w:p>
    <w:p w:rsidR="00754B2A" w:rsidP="00754B2A" w:rsidRDefault="00754B2A" w14:paraId="709C2F6B" w14:textId="77777777">
      <w:pPr>
        <w:ind w:firstLine="0"/>
      </w:pPr>
      <w:r>
        <w:tab/>
        <w:t>The results presented in these tables show the change in bill impacts for</w:t>
      </w:r>
      <w:r w:rsidDel="0013446D">
        <w:t xml:space="preserve"> customers who </w:t>
      </w:r>
      <w:r>
        <w:t>fully electrify their home appliances</w:t>
      </w:r>
      <w:r w:rsidDel="00A23228">
        <w:t xml:space="preserve"> </w:t>
      </w:r>
      <w:r>
        <w:t>(electrification of space and water heating, kitchen range, oven, and clothes dryer), and separately for customers who electrify their vehicles</w:t>
      </w:r>
      <w:r w:rsidDel="00D03693">
        <w:t xml:space="preserve"> </w:t>
      </w:r>
      <w:r>
        <w:t>and use a managed charging schedule.</w:t>
      </w:r>
      <w:r>
        <w:rPr>
          <w:rStyle w:val="FootnoteReference"/>
        </w:rPr>
        <w:footnoteReference w:id="259"/>
      </w:r>
      <w:r>
        <w:t xml:space="preserve"> These two sets of results can be combined to show the change in energy bill impact for customers who electrify their homes and vehicles.</w:t>
      </w:r>
    </w:p>
    <w:p w:rsidR="00754B2A" w:rsidP="00754B2A" w:rsidRDefault="00754B2A" w14:paraId="32D41B1A" w14:textId="4F692149">
      <w:pPr>
        <w:ind w:firstLine="0"/>
      </w:pPr>
      <w:r>
        <w:tab/>
        <w:t>In this analysis, the bill impact associated with a given electrification scenario is first calculated under the existing default TOU rate structure (energy bill post-electrification minus energy bill pre-electrification, with both bills calculated based on the existing TOU rate; this is illustrated as step A in the example below). The bill impact associated with the same electrification scenario is then calculated under the new rate structure that features a fixed charge (energy bill post-electrification minus energy bill pre-electrification, this time under the new rate that includes a fixed charge; this is illustrated as step B in the example below). The difference between these two sets of bill impacts (B minus A) shows how the barrier to electrification has been lowered as a result of the fixed charge since all representative customers will experience lower electrification bill impacts compared to what they would experience under the current rate structure</w:t>
      </w:r>
      <w:r w:rsidR="008715C2">
        <w:t xml:space="preserve"> (</w:t>
      </w:r>
      <w:r>
        <w:t>which is presented in Tables B-1 through B-6 for typical residential customers in each climate zone type for each of the Large Utilities</w:t>
      </w:r>
      <w:r w:rsidR="008715C2">
        <w:t>)</w:t>
      </w:r>
      <w:r>
        <w:t>.</w:t>
      </w:r>
    </w:p>
    <w:p w:rsidR="00754B2A" w:rsidP="00754B2A" w:rsidRDefault="00754B2A" w14:paraId="0E207869" w14:textId="77777777">
      <w:r>
        <w:t>To illustrate this process, consider a typical residential customer in a PG&amp;E inland climate zone who is planning on replacing their gasoline-powered vehicle with an electric vehicle and using a managed charging schedule. The Public Tool estimates that, under the existing default TOU rate structure, this customer’s overall energy bill (electricity, natural gas, and gasoline) would increase by $10.86 per month. Under the new default TOU rate structure that features an income-graduated fixed charge, this customer’s energy bill would instead decrease by $6.66 per month when they switch to an electric vehicle. The total change in bill impact is a reduction of $17.52 per month.</w:t>
      </w:r>
    </w:p>
    <w:tbl>
      <w:tblPr>
        <w:tblStyle w:val="TableGrid"/>
        <w:tblW w:w="7560" w:type="dxa"/>
        <w:jc w:val="center"/>
        <w:tblLook w:val="04A0" w:firstRow="1" w:lastRow="0" w:firstColumn="1" w:lastColumn="0" w:noHBand="0" w:noVBand="1"/>
      </w:tblPr>
      <w:tblGrid>
        <w:gridCol w:w="2327"/>
        <w:gridCol w:w="2443"/>
        <w:gridCol w:w="2790"/>
      </w:tblGrid>
      <w:tr w:rsidRPr="003E6169" w:rsidR="00754B2A" w:rsidTr="00720F80" w14:paraId="78522F8C" w14:textId="77777777">
        <w:trPr>
          <w:trHeight w:val="990"/>
          <w:jc w:val="center"/>
        </w:trPr>
        <w:tc>
          <w:tcPr>
            <w:tcW w:w="2327" w:type="dxa"/>
            <w:vAlign w:val="bottom"/>
            <w:hideMark/>
          </w:tcPr>
          <w:p w:rsidRPr="003E6169" w:rsidR="00754B2A" w:rsidP="00720F80" w:rsidRDefault="00754B2A" w14:paraId="0EB7FDF5" w14:textId="77777777">
            <w:pPr>
              <w:spacing w:line="240" w:lineRule="auto"/>
              <w:ind w:firstLine="0"/>
              <w:jc w:val="center"/>
              <w:rPr>
                <w:rFonts w:eastAsia="Times New Roman" w:cs="Times New Roman"/>
                <w:b/>
                <w:bCs/>
                <w:color w:val="000000"/>
                <w:sz w:val="24"/>
                <w:szCs w:val="24"/>
              </w:rPr>
            </w:pPr>
            <w:r>
              <w:rPr>
                <w:rFonts w:eastAsia="Times New Roman" w:cs="Times New Roman"/>
                <w:b/>
                <w:bCs/>
                <w:color w:val="000000"/>
                <w:sz w:val="24"/>
                <w:szCs w:val="24"/>
              </w:rPr>
              <w:t xml:space="preserve">Bill Impact Under </w:t>
            </w:r>
            <w:r w:rsidRPr="003E6169">
              <w:rPr>
                <w:rFonts w:eastAsia="Times New Roman" w:cs="Times New Roman"/>
                <w:b/>
                <w:bCs/>
                <w:color w:val="000000"/>
                <w:sz w:val="24"/>
                <w:szCs w:val="24"/>
              </w:rPr>
              <w:t>Existing TOU Rate</w:t>
            </w:r>
            <w:r w:rsidRPr="003E6169">
              <w:rPr>
                <w:rFonts w:eastAsia="Times New Roman" w:cs="Times New Roman"/>
                <w:b/>
                <w:bCs/>
                <w:color w:val="000000"/>
                <w:sz w:val="24"/>
                <w:szCs w:val="24"/>
              </w:rPr>
              <w:br/>
              <w:t>(A)</w:t>
            </w:r>
          </w:p>
        </w:tc>
        <w:tc>
          <w:tcPr>
            <w:tcW w:w="2443" w:type="dxa"/>
            <w:vAlign w:val="bottom"/>
            <w:hideMark/>
          </w:tcPr>
          <w:p w:rsidRPr="003E6169" w:rsidR="00754B2A" w:rsidP="00720F80" w:rsidRDefault="00754B2A" w14:paraId="4396611E" w14:textId="0400679C">
            <w:pPr>
              <w:spacing w:line="240" w:lineRule="auto"/>
              <w:ind w:firstLine="0"/>
              <w:jc w:val="center"/>
              <w:rPr>
                <w:rFonts w:eastAsia="Times New Roman" w:cs="Times New Roman"/>
                <w:b/>
                <w:bCs/>
                <w:color w:val="000000"/>
                <w:sz w:val="24"/>
                <w:szCs w:val="24"/>
              </w:rPr>
            </w:pPr>
            <w:r>
              <w:rPr>
                <w:rFonts w:eastAsia="Times New Roman" w:cs="Times New Roman"/>
                <w:b/>
                <w:bCs/>
                <w:color w:val="000000"/>
                <w:sz w:val="24"/>
                <w:szCs w:val="24"/>
              </w:rPr>
              <w:t xml:space="preserve">Bill Impact </w:t>
            </w:r>
            <w:r w:rsidR="00116C3F">
              <w:rPr>
                <w:rFonts w:eastAsia="Times New Roman" w:cs="Times New Roman"/>
                <w:b/>
                <w:bCs/>
                <w:color w:val="000000"/>
                <w:sz w:val="24"/>
                <w:szCs w:val="24"/>
              </w:rPr>
              <w:t>w</w:t>
            </w:r>
            <w:r w:rsidRPr="003E6169">
              <w:rPr>
                <w:rFonts w:eastAsia="Times New Roman" w:cs="Times New Roman"/>
                <w:b/>
                <w:bCs/>
                <w:color w:val="000000"/>
                <w:sz w:val="24"/>
                <w:szCs w:val="24"/>
              </w:rPr>
              <w:t>ith Fixed Charge</w:t>
            </w:r>
            <w:r w:rsidRPr="003E6169">
              <w:rPr>
                <w:rFonts w:eastAsia="Times New Roman" w:cs="Times New Roman"/>
                <w:b/>
                <w:bCs/>
                <w:color w:val="000000"/>
                <w:sz w:val="24"/>
                <w:szCs w:val="24"/>
              </w:rPr>
              <w:br/>
              <w:t>(B)</w:t>
            </w:r>
          </w:p>
        </w:tc>
        <w:tc>
          <w:tcPr>
            <w:tcW w:w="2790" w:type="dxa"/>
            <w:vAlign w:val="bottom"/>
            <w:hideMark/>
          </w:tcPr>
          <w:p w:rsidRPr="003E6169" w:rsidR="00754B2A" w:rsidP="00720F80" w:rsidRDefault="00754B2A" w14:paraId="7B188FD1" w14:textId="77777777">
            <w:pPr>
              <w:spacing w:line="240" w:lineRule="auto"/>
              <w:ind w:firstLine="0"/>
              <w:jc w:val="center"/>
              <w:rPr>
                <w:rFonts w:eastAsia="Times New Roman" w:cs="Times New Roman"/>
                <w:b/>
                <w:bCs/>
                <w:color w:val="000000"/>
                <w:sz w:val="24"/>
                <w:szCs w:val="24"/>
              </w:rPr>
            </w:pPr>
            <w:r w:rsidRPr="003E6169">
              <w:rPr>
                <w:rFonts w:eastAsia="Times New Roman" w:cs="Times New Roman"/>
                <w:b/>
                <w:bCs/>
                <w:color w:val="000000"/>
                <w:sz w:val="24"/>
                <w:szCs w:val="24"/>
              </w:rPr>
              <w:t>Change in Bill Impact</w:t>
            </w:r>
            <w:r w:rsidRPr="003E6169">
              <w:rPr>
                <w:rFonts w:eastAsia="Times New Roman" w:cs="Times New Roman"/>
                <w:b/>
                <w:bCs/>
                <w:color w:val="000000"/>
                <w:sz w:val="24"/>
                <w:szCs w:val="24"/>
              </w:rPr>
              <w:br/>
              <w:t>(B) - (A)</w:t>
            </w:r>
          </w:p>
        </w:tc>
      </w:tr>
      <w:tr w:rsidRPr="003E6169" w:rsidR="00754B2A" w:rsidTr="00720F80" w14:paraId="3E8F7576" w14:textId="77777777">
        <w:trPr>
          <w:trHeight w:val="315"/>
          <w:jc w:val="center"/>
        </w:trPr>
        <w:tc>
          <w:tcPr>
            <w:tcW w:w="2327" w:type="dxa"/>
            <w:noWrap/>
            <w:vAlign w:val="bottom"/>
            <w:hideMark/>
          </w:tcPr>
          <w:p w:rsidRPr="003E6169" w:rsidR="00754B2A" w:rsidP="00720F80" w:rsidRDefault="00754B2A" w14:paraId="03F6F9FC" w14:textId="77777777">
            <w:pPr>
              <w:spacing w:line="240" w:lineRule="auto"/>
              <w:ind w:firstLine="0"/>
              <w:rPr>
                <w:rFonts w:eastAsia="Times New Roman" w:cs="Times New Roman"/>
                <w:color w:val="000000"/>
                <w:sz w:val="24"/>
                <w:szCs w:val="24"/>
              </w:rPr>
            </w:pPr>
            <w:r w:rsidRPr="003E6169">
              <w:rPr>
                <w:rFonts w:eastAsia="Times New Roman" w:cs="Times New Roman"/>
                <w:color w:val="000000"/>
                <w:sz w:val="24"/>
                <w:szCs w:val="24"/>
              </w:rPr>
              <w:t xml:space="preserve"> $           10.86 </w:t>
            </w:r>
          </w:p>
        </w:tc>
        <w:tc>
          <w:tcPr>
            <w:tcW w:w="2443" w:type="dxa"/>
            <w:noWrap/>
            <w:vAlign w:val="bottom"/>
            <w:hideMark/>
          </w:tcPr>
          <w:p w:rsidRPr="003E6169" w:rsidR="00754B2A" w:rsidP="00720F80" w:rsidRDefault="00754B2A" w14:paraId="34E0F038" w14:textId="77777777">
            <w:pPr>
              <w:spacing w:line="240" w:lineRule="auto"/>
              <w:ind w:firstLine="0"/>
              <w:rPr>
                <w:rFonts w:eastAsia="Times New Roman" w:cs="Times New Roman"/>
                <w:color w:val="000000"/>
                <w:sz w:val="24"/>
                <w:szCs w:val="24"/>
              </w:rPr>
            </w:pPr>
            <w:r w:rsidRPr="003E6169">
              <w:rPr>
                <w:rFonts w:eastAsia="Times New Roman" w:cs="Times New Roman"/>
                <w:color w:val="000000"/>
                <w:sz w:val="24"/>
                <w:szCs w:val="24"/>
              </w:rPr>
              <w:t xml:space="preserve"> $            (6.66)</w:t>
            </w:r>
          </w:p>
        </w:tc>
        <w:tc>
          <w:tcPr>
            <w:tcW w:w="2790" w:type="dxa"/>
            <w:noWrap/>
            <w:vAlign w:val="bottom"/>
            <w:hideMark/>
          </w:tcPr>
          <w:p w:rsidRPr="003E6169" w:rsidR="00754B2A" w:rsidP="00720F80" w:rsidRDefault="00754B2A" w14:paraId="346C6C9C" w14:textId="77777777">
            <w:pPr>
              <w:spacing w:line="240" w:lineRule="auto"/>
              <w:ind w:firstLine="0"/>
              <w:rPr>
                <w:rFonts w:eastAsia="Times New Roman" w:cs="Times New Roman"/>
                <w:color w:val="000000"/>
                <w:sz w:val="24"/>
                <w:szCs w:val="24"/>
              </w:rPr>
            </w:pPr>
            <w:r w:rsidRPr="003E6169">
              <w:rPr>
                <w:rFonts w:eastAsia="Times New Roman" w:cs="Times New Roman"/>
                <w:color w:val="000000"/>
                <w:sz w:val="24"/>
                <w:szCs w:val="24"/>
              </w:rPr>
              <w:t xml:space="preserve"> $          (17.52)</w:t>
            </w:r>
          </w:p>
        </w:tc>
      </w:tr>
    </w:tbl>
    <w:p w:rsidR="00754B2A" w:rsidP="00754B2A" w:rsidRDefault="00754B2A" w14:paraId="6274C39E" w14:textId="77777777">
      <w:pPr>
        <w:ind w:firstLine="0"/>
      </w:pPr>
    </w:p>
    <w:p w:rsidR="00754B2A" w:rsidP="00754B2A" w:rsidRDefault="00754B2A" w14:paraId="51DA8642" w14:textId="77777777">
      <w:pPr>
        <w:spacing w:line="276" w:lineRule="auto"/>
        <w:ind w:firstLine="0"/>
        <w:contextualSpacing/>
      </w:pPr>
      <w:r>
        <w:rPr>
          <w:b/>
          <w:bCs/>
        </w:rPr>
        <w:t xml:space="preserve">Table B-1: Change in </w:t>
      </w:r>
      <w:r w:rsidRPr="00172118">
        <w:rPr>
          <w:b/>
          <w:bCs/>
        </w:rPr>
        <w:t>Impact</w:t>
      </w:r>
      <w:r>
        <w:rPr>
          <w:b/>
          <w:bCs/>
        </w:rPr>
        <w:t xml:space="preserve"> of Electrification</w:t>
      </w:r>
      <w:r w:rsidRPr="00172118">
        <w:rPr>
          <w:b/>
          <w:bCs/>
        </w:rPr>
        <w:t xml:space="preserve"> on Monthly Energy Bill (Electricity, Natural Gas, and Gasoline) </w:t>
      </w:r>
      <w:r>
        <w:rPr>
          <w:b/>
          <w:bCs/>
        </w:rPr>
        <w:t>Due to</w:t>
      </w:r>
      <w:r w:rsidRPr="00172118">
        <w:rPr>
          <w:b/>
          <w:bCs/>
        </w:rPr>
        <w:t xml:space="preserve"> Adopted Fixed Charge</w:t>
      </w:r>
      <w:r>
        <w:rPr>
          <w:b/>
          <w:bCs/>
        </w:rPr>
        <w:t xml:space="preserve"> for PG&amp;E Customers in an Inland Climate Zone</w:t>
      </w:r>
    </w:p>
    <w:tbl>
      <w:tblPr>
        <w:tblW w:w="6925" w:type="dxa"/>
        <w:jc w:val="center"/>
        <w:tblLook w:val="04A0" w:firstRow="1" w:lastRow="0" w:firstColumn="1" w:lastColumn="0" w:noHBand="0" w:noVBand="1"/>
      </w:tblPr>
      <w:tblGrid>
        <w:gridCol w:w="4135"/>
        <w:gridCol w:w="2790"/>
      </w:tblGrid>
      <w:tr w:rsidRPr="005F75B6" w:rsidR="00754B2A" w:rsidTr="00754B2A" w14:paraId="7DA73797" w14:textId="77777777">
        <w:trPr>
          <w:trHeight w:val="404"/>
          <w:jc w:val="center"/>
        </w:trPr>
        <w:tc>
          <w:tcPr>
            <w:tcW w:w="413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F75B6" w:rsidR="00754B2A" w:rsidP="00720F80" w:rsidRDefault="00754B2A" w14:paraId="475D8152" w14:textId="77777777">
            <w:pPr>
              <w:spacing w:line="276" w:lineRule="auto"/>
              <w:ind w:firstLine="0"/>
              <w:contextualSpacing/>
              <w:rPr>
                <w:rFonts w:eastAsia="Times New Roman" w:cs="Times New Roman"/>
                <w:b/>
                <w:bCs/>
                <w:color w:val="000000"/>
                <w:sz w:val="24"/>
                <w:szCs w:val="24"/>
              </w:rPr>
            </w:pPr>
            <w:r w:rsidRPr="005F75B6">
              <w:rPr>
                <w:rFonts w:eastAsia="Times New Roman" w:cs="Times New Roman"/>
                <w:b/>
                <w:bCs/>
                <w:color w:val="000000"/>
                <w:sz w:val="24"/>
                <w:szCs w:val="24"/>
              </w:rPr>
              <w:t> </w:t>
            </w:r>
          </w:p>
        </w:tc>
        <w:tc>
          <w:tcPr>
            <w:tcW w:w="2790" w:type="dxa"/>
            <w:tcBorders>
              <w:top w:val="single" w:color="auto" w:sz="4" w:space="0"/>
              <w:left w:val="nil"/>
              <w:bottom w:val="single" w:color="auto" w:sz="4" w:space="0"/>
              <w:right w:val="single" w:color="auto" w:sz="4" w:space="0"/>
            </w:tcBorders>
            <w:shd w:val="clear" w:color="auto" w:fill="auto"/>
            <w:vAlign w:val="bottom"/>
            <w:hideMark/>
          </w:tcPr>
          <w:p w:rsidRPr="005F75B6" w:rsidR="00754B2A" w:rsidP="00720F80" w:rsidRDefault="00754B2A" w14:paraId="6936FD7B" w14:textId="77777777">
            <w:pPr>
              <w:spacing w:line="276" w:lineRule="auto"/>
              <w:ind w:firstLine="0"/>
              <w:contextualSpacing/>
              <w:jc w:val="center"/>
              <w:rPr>
                <w:rFonts w:eastAsia="Times New Roman" w:cs="Times New Roman"/>
                <w:b/>
                <w:bCs/>
                <w:color w:val="000000"/>
                <w:sz w:val="24"/>
                <w:szCs w:val="24"/>
              </w:rPr>
            </w:pPr>
            <w:r w:rsidRPr="005F75B6">
              <w:rPr>
                <w:rFonts w:eastAsia="Times New Roman" w:cs="Times New Roman"/>
                <w:b/>
                <w:bCs/>
                <w:color w:val="000000"/>
                <w:sz w:val="24"/>
                <w:szCs w:val="24"/>
              </w:rPr>
              <w:t>Change in Bill Impact</w:t>
            </w:r>
          </w:p>
        </w:tc>
      </w:tr>
      <w:tr w:rsidRPr="005F75B6" w:rsidR="00754B2A" w:rsidTr="00754B2A" w14:paraId="0DBC2384"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5F75B6" w:rsidR="00754B2A" w:rsidP="00720F80" w:rsidRDefault="00754B2A" w14:paraId="130C88E1" w14:textId="77777777">
            <w:pPr>
              <w:spacing w:line="276" w:lineRule="auto"/>
              <w:ind w:firstLine="0"/>
              <w:contextualSpacing/>
              <w:rPr>
                <w:rFonts w:eastAsia="Times New Roman" w:cs="Times New Roman"/>
                <w:color w:val="000000"/>
                <w:sz w:val="24"/>
                <w:szCs w:val="24"/>
              </w:rPr>
            </w:pPr>
            <w:r w:rsidRPr="005F75B6">
              <w:rPr>
                <w:rFonts w:eastAsia="Times New Roman" w:cs="Times New Roman"/>
                <w:color w:val="000000"/>
                <w:sz w:val="24"/>
                <w:szCs w:val="24"/>
              </w:rPr>
              <w:t>Full Home Electrification</w:t>
            </w:r>
          </w:p>
        </w:tc>
        <w:tc>
          <w:tcPr>
            <w:tcW w:w="2790" w:type="dxa"/>
            <w:tcBorders>
              <w:top w:val="nil"/>
              <w:left w:val="nil"/>
              <w:bottom w:val="single" w:color="auto" w:sz="4" w:space="0"/>
              <w:right w:val="single" w:color="auto" w:sz="4" w:space="0"/>
            </w:tcBorders>
            <w:shd w:val="clear" w:color="auto" w:fill="auto"/>
            <w:noWrap/>
            <w:vAlign w:val="bottom"/>
            <w:hideMark/>
          </w:tcPr>
          <w:p w:rsidRPr="005F75B6" w:rsidR="00754B2A" w:rsidP="00720F80" w:rsidRDefault="00754B2A" w14:paraId="62EBDE4D" w14:textId="77777777">
            <w:pPr>
              <w:spacing w:line="276" w:lineRule="auto"/>
              <w:ind w:firstLine="0"/>
              <w:contextualSpacing/>
              <w:jc w:val="right"/>
              <w:rPr>
                <w:rFonts w:eastAsia="Times New Roman" w:cs="Times New Roman"/>
                <w:color w:val="000000"/>
                <w:sz w:val="24"/>
                <w:szCs w:val="24"/>
              </w:rPr>
            </w:pPr>
            <w:r w:rsidRPr="005F75B6">
              <w:rPr>
                <w:rFonts w:eastAsia="Times New Roman" w:cs="Times New Roman"/>
                <w:color w:val="000000"/>
                <w:sz w:val="24"/>
                <w:szCs w:val="24"/>
              </w:rPr>
              <w:t xml:space="preserve"> $          (12.05)</w:t>
            </w:r>
          </w:p>
        </w:tc>
      </w:tr>
      <w:tr w:rsidRPr="005F75B6" w:rsidR="00754B2A" w:rsidTr="00754B2A" w14:paraId="44336236"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5F75B6" w:rsidR="00754B2A" w:rsidP="00720F80" w:rsidRDefault="00754B2A" w14:paraId="05AB35E1" w14:textId="77777777">
            <w:pPr>
              <w:spacing w:line="276" w:lineRule="auto"/>
              <w:ind w:firstLine="0"/>
              <w:contextualSpacing/>
              <w:rPr>
                <w:rFonts w:eastAsia="Times New Roman" w:cs="Times New Roman"/>
                <w:color w:val="000000"/>
                <w:sz w:val="24"/>
                <w:szCs w:val="24"/>
              </w:rPr>
            </w:pPr>
            <w:r w:rsidRPr="005F75B6">
              <w:rPr>
                <w:rFonts w:eastAsia="Times New Roman" w:cs="Times New Roman"/>
                <w:color w:val="000000"/>
                <w:sz w:val="24"/>
                <w:szCs w:val="24"/>
              </w:rPr>
              <w:t>Vehicle Electrification</w:t>
            </w:r>
          </w:p>
        </w:tc>
        <w:tc>
          <w:tcPr>
            <w:tcW w:w="2790" w:type="dxa"/>
            <w:tcBorders>
              <w:top w:val="nil"/>
              <w:left w:val="nil"/>
              <w:bottom w:val="single" w:color="auto" w:sz="4" w:space="0"/>
              <w:right w:val="single" w:color="auto" w:sz="4" w:space="0"/>
            </w:tcBorders>
            <w:shd w:val="clear" w:color="auto" w:fill="auto"/>
            <w:noWrap/>
            <w:vAlign w:val="bottom"/>
            <w:hideMark/>
          </w:tcPr>
          <w:p w:rsidRPr="005F75B6" w:rsidR="00754B2A" w:rsidP="00720F80" w:rsidRDefault="00754B2A" w14:paraId="143EB1B0" w14:textId="77777777">
            <w:pPr>
              <w:spacing w:line="276" w:lineRule="auto"/>
              <w:ind w:firstLine="0"/>
              <w:contextualSpacing/>
              <w:jc w:val="right"/>
              <w:rPr>
                <w:rFonts w:eastAsia="Times New Roman" w:cs="Times New Roman"/>
                <w:color w:val="000000"/>
                <w:sz w:val="24"/>
                <w:szCs w:val="24"/>
              </w:rPr>
            </w:pPr>
            <w:r w:rsidRPr="005F75B6">
              <w:rPr>
                <w:rFonts w:eastAsia="Times New Roman" w:cs="Times New Roman"/>
                <w:color w:val="000000"/>
                <w:sz w:val="24"/>
                <w:szCs w:val="24"/>
              </w:rPr>
              <w:t xml:space="preserve"> $          (17.52)</w:t>
            </w:r>
          </w:p>
        </w:tc>
      </w:tr>
      <w:tr w:rsidRPr="005F75B6" w:rsidR="00754B2A" w:rsidTr="00754B2A" w14:paraId="0D06728B" w14:textId="77777777">
        <w:trPr>
          <w:trHeight w:val="330"/>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5F75B6" w:rsidR="00754B2A" w:rsidP="00720F80" w:rsidRDefault="00754B2A" w14:paraId="024B9114" w14:textId="77777777">
            <w:pPr>
              <w:spacing w:line="276" w:lineRule="auto"/>
              <w:ind w:firstLine="0"/>
              <w:contextualSpacing/>
              <w:rPr>
                <w:rFonts w:eastAsia="Times New Roman" w:cs="Times New Roman"/>
                <w:b/>
                <w:bCs/>
                <w:color w:val="000000"/>
                <w:sz w:val="24"/>
                <w:szCs w:val="24"/>
              </w:rPr>
            </w:pPr>
            <w:r w:rsidRPr="005F75B6">
              <w:rPr>
                <w:rFonts w:eastAsia="Times New Roman" w:cs="Times New Roman"/>
                <w:b/>
                <w:bCs/>
                <w:color w:val="000000"/>
                <w:sz w:val="24"/>
                <w:szCs w:val="24"/>
              </w:rPr>
              <w:t>Home + Vehicle Electrification</w:t>
            </w:r>
          </w:p>
        </w:tc>
        <w:tc>
          <w:tcPr>
            <w:tcW w:w="2790" w:type="dxa"/>
            <w:tcBorders>
              <w:top w:val="nil"/>
              <w:left w:val="nil"/>
              <w:bottom w:val="single" w:color="auto" w:sz="4" w:space="0"/>
              <w:right w:val="single" w:color="auto" w:sz="4" w:space="0"/>
            </w:tcBorders>
            <w:shd w:val="clear" w:color="auto" w:fill="auto"/>
            <w:noWrap/>
            <w:vAlign w:val="bottom"/>
            <w:hideMark/>
          </w:tcPr>
          <w:p w:rsidRPr="005F75B6" w:rsidR="00754B2A" w:rsidP="00720F80" w:rsidRDefault="00754B2A" w14:paraId="28096F7A" w14:textId="77777777">
            <w:pPr>
              <w:spacing w:line="276" w:lineRule="auto"/>
              <w:ind w:firstLine="0"/>
              <w:contextualSpacing/>
              <w:jc w:val="right"/>
              <w:rPr>
                <w:rFonts w:eastAsia="Times New Roman" w:cs="Times New Roman"/>
                <w:b/>
                <w:bCs/>
                <w:color w:val="000000"/>
                <w:sz w:val="24"/>
                <w:szCs w:val="24"/>
              </w:rPr>
            </w:pPr>
            <w:r w:rsidRPr="005F75B6">
              <w:rPr>
                <w:rFonts w:eastAsia="Times New Roman" w:cs="Times New Roman"/>
                <w:b/>
                <w:bCs/>
                <w:color w:val="000000"/>
                <w:sz w:val="24"/>
                <w:szCs w:val="24"/>
              </w:rPr>
              <w:t xml:space="preserve"> $          (29.56)</w:t>
            </w:r>
          </w:p>
        </w:tc>
      </w:tr>
    </w:tbl>
    <w:p w:rsidR="00754B2A" w:rsidP="00754B2A" w:rsidRDefault="00754B2A" w14:paraId="4B64F318" w14:textId="77777777">
      <w:pPr>
        <w:spacing w:line="276" w:lineRule="auto"/>
        <w:ind w:firstLine="0"/>
        <w:contextualSpacing/>
      </w:pPr>
    </w:p>
    <w:p w:rsidR="00754B2A" w:rsidP="00754B2A" w:rsidRDefault="00754B2A" w14:paraId="7F22B38E" w14:textId="77777777">
      <w:pPr>
        <w:spacing w:line="276" w:lineRule="auto"/>
        <w:ind w:firstLine="0"/>
        <w:contextualSpacing/>
      </w:pPr>
    </w:p>
    <w:p w:rsidR="00754B2A" w:rsidP="00754B2A" w:rsidRDefault="00754B2A" w14:paraId="7ACECD30" w14:textId="77777777">
      <w:pPr>
        <w:spacing w:line="276" w:lineRule="auto"/>
        <w:ind w:firstLine="0"/>
        <w:contextualSpacing/>
      </w:pPr>
      <w:r>
        <w:rPr>
          <w:b/>
          <w:bCs/>
        </w:rPr>
        <w:t>Table B-2: Change in</w:t>
      </w:r>
      <w:r w:rsidRPr="00172118">
        <w:rPr>
          <w:b/>
          <w:bCs/>
        </w:rPr>
        <w:t xml:space="preserve"> Impact </w:t>
      </w:r>
      <w:r>
        <w:rPr>
          <w:b/>
          <w:bCs/>
        </w:rPr>
        <w:t xml:space="preserve">of Electrification </w:t>
      </w:r>
      <w:r w:rsidRPr="00172118">
        <w:rPr>
          <w:b/>
          <w:bCs/>
        </w:rPr>
        <w:t xml:space="preserve">on Monthly Energy Bill (Electricity, Natural Gas, and Gasoline) </w:t>
      </w:r>
      <w:r>
        <w:rPr>
          <w:b/>
          <w:bCs/>
        </w:rPr>
        <w:t>Due to</w:t>
      </w:r>
      <w:r w:rsidRPr="00172118">
        <w:rPr>
          <w:b/>
          <w:bCs/>
        </w:rPr>
        <w:t xml:space="preserve"> Adopted Fixed Charge for</w:t>
      </w:r>
      <w:r>
        <w:rPr>
          <w:b/>
          <w:bCs/>
        </w:rPr>
        <w:t xml:space="preserve"> PG&amp;E Customers in a Coastal Climate Zone</w:t>
      </w:r>
    </w:p>
    <w:tbl>
      <w:tblPr>
        <w:tblW w:w="6925" w:type="dxa"/>
        <w:jc w:val="center"/>
        <w:tblLook w:val="04A0" w:firstRow="1" w:lastRow="0" w:firstColumn="1" w:lastColumn="0" w:noHBand="0" w:noVBand="1"/>
      </w:tblPr>
      <w:tblGrid>
        <w:gridCol w:w="4135"/>
        <w:gridCol w:w="2790"/>
      </w:tblGrid>
      <w:tr w:rsidRPr="00A80DE0" w:rsidR="00754B2A" w:rsidTr="008715C2" w14:paraId="4225A885" w14:textId="77777777">
        <w:trPr>
          <w:trHeight w:val="404"/>
          <w:jc w:val="center"/>
        </w:trPr>
        <w:tc>
          <w:tcPr>
            <w:tcW w:w="413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80DE0" w:rsidR="00754B2A" w:rsidP="00720F80" w:rsidRDefault="00754B2A" w14:paraId="6AA292BC" w14:textId="77777777">
            <w:pPr>
              <w:spacing w:line="276" w:lineRule="auto"/>
              <w:ind w:firstLine="0"/>
              <w:contextualSpacing/>
              <w:rPr>
                <w:rFonts w:eastAsia="Times New Roman" w:cs="Times New Roman"/>
                <w:b/>
                <w:bCs/>
                <w:color w:val="000000"/>
                <w:sz w:val="24"/>
                <w:szCs w:val="24"/>
              </w:rPr>
            </w:pPr>
            <w:r w:rsidRPr="00A80DE0">
              <w:rPr>
                <w:rFonts w:eastAsia="Times New Roman" w:cs="Times New Roman"/>
                <w:b/>
                <w:bCs/>
                <w:color w:val="000000"/>
                <w:sz w:val="24"/>
                <w:szCs w:val="24"/>
              </w:rPr>
              <w:t> </w:t>
            </w:r>
          </w:p>
        </w:tc>
        <w:tc>
          <w:tcPr>
            <w:tcW w:w="2790" w:type="dxa"/>
            <w:tcBorders>
              <w:top w:val="single" w:color="auto" w:sz="4" w:space="0"/>
              <w:left w:val="nil"/>
              <w:bottom w:val="single" w:color="auto" w:sz="4" w:space="0"/>
              <w:right w:val="single" w:color="auto" w:sz="4" w:space="0"/>
            </w:tcBorders>
            <w:shd w:val="clear" w:color="auto" w:fill="auto"/>
            <w:vAlign w:val="bottom"/>
            <w:hideMark/>
          </w:tcPr>
          <w:p w:rsidRPr="00A80DE0" w:rsidR="00754B2A" w:rsidP="00720F80" w:rsidRDefault="00754B2A" w14:paraId="79E43080" w14:textId="77777777">
            <w:pPr>
              <w:spacing w:line="276" w:lineRule="auto"/>
              <w:ind w:firstLine="0"/>
              <w:contextualSpacing/>
              <w:jc w:val="center"/>
              <w:rPr>
                <w:rFonts w:eastAsia="Times New Roman" w:cs="Times New Roman"/>
                <w:b/>
                <w:bCs/>
                <w:color w:val="000000"/>
                <w:sz w:val="24"/>
                <w:szCs w:val="24"/>
              </w:rPr>
            </w:pPr>
            <w:r w:rsidRPr="00A80DE0">
              <w:rPr>
                <w:rFonts w:eastAsia="Times New Roman" w:cs="Times New Roman"/>
                <w:b/>
                <w:bCs/>
                <w:color w:val="000000"/>
                <w:sz w:val="24"/>
                <w:szCs w:val="24"/>
              </w:rPr>
              <w:t>Change in Bill Impact</w:t>
            </w:r>
          </w:p>
        </w:tc>
      </w:tr>
      <w:tr w:rsidRPr="00A80DE0" w:rsidR="00754B2A" w:rsidTr="008715C2" w14:paraId="4FDBD375"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A80DE0" w:rsidR="00754B2A" w:rsidP="00720F80" w:rsidRDefault="00754B2A" w14:paraId="39BEC045" w14:textId="77777777">
            <w:pPr>
              <w:spacing w:line="276" w:lineRule="auto"/>
              <w:ind w:firstLine="0"/>
              <w:contextualSpacing/>
              <w:rPr>
                <w:rFonts w:eastAsia="Times New Roman" w:cs="Times New Roman"/>
                <w:color w:val="000000"/>
                <w:sz w:val="24"/>
                <w:szCs w:val="24"/>
              </w:rPr>
            </w:pPr>
            <w:r w:rsidRPr="00A80DE0">
              <w:rPr>
                <w:rFonts w:eastAsia="Times New Roman" w:cs="Times New Roman"/>
                <w:color w:val="000000"/>
                <w:sz w:val="24"/>
                <w:szCs w:val="24"/>
              </w:rPr>
              <w:t>Full Home Electrification</w:t>
            </w:r>
          </w:p>
        </w:tc>
        <w:tc>
          <w:tcPr>
            <w:tcW w:w="2790" w:type="dxa"/>
            <w:tcBorders>
              <w:top w:val="nil"/>
              <w:left w:val="nil"/>
              <w:bottom w:val="single" w:color="auto" w:sz="4" w:space="0"/>
              <w:right w:val="single" w:color="auto" w:sz="4" w:space="0"/>
            </w:tcBorders>
            <w:shd w:val="clear" w:color="auto" w:fill="auto"/>
            <w:noWrap/>
            <w:vAlign w:val="bottom"/>
            <w:hideMark/>
          </w:tcPr>
          <w:p w:rsidRPr="00A80DE0" w:rsidR="00754B2A" w:rsidP="00720F80" w:rsidRDefault="00754B2A" w14:paraId="65E2FB9E" w14:textId="77777777">
            <w:pPr>
              <w:spacing w:line="276" w:lineRule="auto"/>
              <w:ind w:firstLine="0"/>
              <w:contextualSpacing/>
              <w:jc w:val="right"/>
              <w:rPr>
                <w:rFonts w:eastAsia="Times New Roman" w:cs="Times New Roman"/>
                <w:color w:val="000000"/>
                <w:sz w:val="24"/>
                <w:szCs w:val="24"/>
              </w:rPr>
            </w:pPr>
            <w:r w:rsidRPr="00A80DE0">
              <w:rPr>
                <w:rFonts w:eastAsia="Times New Roman" w:cs="Times New Roman"/>
                <w:color w:val="000000"/>
                <w:sz w:val="24"/>
                <w:szCs w:val="24"/>
              </w:rPr>
              <w:t xml:space="preserve"> $          (14.19)</w:t>
            </w:r>
          </w:p>
        </w:tc>
      </w:tr>
      <w:tr w:rsidRPr="00A80DE0" w:rsidR="00754B2A" w:rsidTr="008715C2" w14:paraId="2260A1DF"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A80DE0" w:rsidR="00754B2A" w:rsidP="00720F80" w:rsidRDefault="00754B2A" w14:paraId="3F4C2165" w14:textId="77777777">
            <w:pPr>
              <w:spacing w:line="276" w:lineRule="auto"/>
              <w:ind w:firstLine="0"/>
              <w:contextualSpacing/>
              <w:rPr>
                <w:rFonts w:eastAsia="Times New Roman" w:cs="Times New Roman"/>
                <w:color w:val="000000"/>
                <w:sz w:val="24"/>
                <w:szCs w:val="24"/>
              </w:rPr>
            </w:pPr>
            <w:r w:rsidRPr="00A80DE0">
              <w:rPr>
                <w:rFonts w:eastAsia="Times New Roman" w:cs="Times New Roman"/>
                <w:color w:val="000000"/>
                <w:sz w:val="24"/>
                <w:szCs w:val="24"/>
              </w:rPr>
              <w:t>Vehicle Electrification</w:t>
            </w:r>
          </w:p>
        </w:tc>
        <w:tc>
          <w:tcPr>
            <w:tcW w:w="2790" w:type="dxa"/>
            <w:tcBorders>
              <w:top w:val="nil"/>
              <w:left w:val="nil"/>
              <w:bottom w:val="single" w:color="auto" w:sz="4" w:space="0"/>
              <w:right w:val="single" w:color="auto" w:sz="4" w:space="0"/>
            </w:tcBorders>
            <w:shd w:val="clear" w:color="auto" w:fill="auto"/>
            <w:noWrap/>
            <w:vAlign w:val="bottom"/>
            <w:hideMark/>
          </w:tcPr>
          <w:p w:rsidRPr="00A80DE0" w:rsidR="00754B2A" w:rsidP="00720F80" w:rsidRDefault="00754B2A" w14:paraId="66A9FD20" w14:textId="77777777">
            <w:pPr>
              <w:spacing w:line="276" w:lineRule="auto"/>
              <w:ind w:firstLine="0"/>
              <w:contextualSpacing/>
              <w:jc w:val="right"/>
              <w:rPr>
                <w:rFonts w:eastAsia="Times New Roman" w:cs="Times New Roman"/>
                <w:color w:val="000000"/>
                <w:sz w:val="24"/>
                <w:szCs w:val="24"/>
              </w:rPr>
            </w:pPr>
            <w:r w:rsidRPr="00A80DE0">
              <w:rPr>
                <w:rFonts w:eastAsia="Times New Roman" w:cs="Times New Roman"/>
                <w:color w:val="000000"/>
                <w:sz w:val="24"/>
                <w:szCs w:val="24"/>
              </w:rPr>
              <w:t xml:space="preserve"> $          (17.43)</w:t>
            </w:r>
          </w:p>
        </w:tc>
      </w:tr>
      <w:tr w:rsidRPr="00A80DE0" w:rsidR="00754B2A" w:rsidTr="008715C2" w14:paraId="47A72071" w14:textId="77777777">
        <w:trPr>
          <w:trHeight w:val="330"/>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A80DE0" w:rsidR="00754B2A" w:rsidP="00720F80" w:rsidRDefault="00754B2A" w14:paraId="702EBB67" w14:textId="77777777">
            <w:pPr>
              <w:spacing w:line="276" w:lineRule="auto"/>
              <w:ind w:firstLine="0"/>
              <w:contextualSpacing/>
              <w:rPr>
                <w:rFonts w:eastAsia="Times New Roman" w:cs="Times New Roman"/>
                <w:b/>
                <w:bCs/>
                <w:color w:val="000000"/>
                <w:sz w:val="24"/>
                <w:szCs w:val="24"/>
              </w:rPr>
            </w:pPr>
            <w:r w:rsidRPr="00A80DE0">
              <w:rPr>
                <w:rFonts w:eastAsia="Times New Roman" w:cs="Times New Roman"/>
                <w:b/>
                <w:bCs/>
                <w:color w:val="000000"/>
                <w:sz w:val="24"/>
                <w:szCs w:val="24"/>
              </w:rPr>
              <w:t>Home + Vehicle Electrification</w:t>
            </w:r>
          </w:p>
        </w:tc>
        <w:tc>
          <w:tcPr>
            <w:tcW w:w="2790" w:type="dxa"/>
            <w:tcBorders>
              <w:top w:val="nil"/>
              <w:left w:val="nil"/>
              <w:bottom w:val="single" w:color="auto" w:sz="4" w:space="0"/>
              <w:right w:val="single" w:color="auto" w:sz="4" w:space="0"/>
            </w:tcBorders>
            <w:shd w:val="clear" w:color="auto" w:fill="auto"/>
            <w:noWrap/>
            <w:vAlign w:val="bottom"/>
            <w:hideMark/>
          </w:tcPr>
          <w:p w:rsidRPr="00A80DE0" w:rsidR="00754B2A" w:rsidP="00720F80" w:rsidRDefault="00754B2A" w14:paraId="4BD864FD" w14:textId="77777777">
            <w:pPr>
              <w:spacing w:line="276" w:lineRule="auto"/>
              <w:ind w:firstLine="0"/>
              <w:contextualSpacing/>
              <w:jc w:val="right"/>
              <w:rPr>
                <w:rFonts w:eastAsia="Times New Roman" w:cs="Times New Roman"/>
                <w:b/>
                <w:bCs/>
                <w:color w:val="000000"/>
                <w:sz w:val="24"/>
                <w:szCs w:val="24"/>
              </w:rPr>
            </w:pPr>
            <w:r w:rsidRPr="00A80DE0">
              <w:rPr>
                <w:rFonts w:eastAsia="Times New Roman" w:cs="Times New Roman"/>
                <w:b/>
                <w:bCs/>
                <w:color w:val="000000"/>
                <w:sz w:val="24"/>
                <w:szCs w:val="24"/>
              </w:rPr>
              <w:t xml:space="preserve"> $          (31.62)</w:t>
            </w:r>
          </w:p>
        </w:tc>
      </w:tr>
    </w:tbl>
    <w:p w:rsidR="00754B2A" w:rsidP="00754B2A" w:rsidRDefault="00754B2A" w14:paraId="7194636B" w14:textId="77777777">
      <w:pPr>
        <w:spacing w:line="276" w:lineRule="auto"/>
        <w:ind w:firstLine="0"/>
        <w:contextualSpacing/>
      </w:pPr>
    </w:p>
    <w:p w:rsidR="00754B2A" w:rsidP="00754B2A" w:rsidRDefault="00754B2A" w14:paraId="64B6EDF0" w14:textId="77777777">
      <w:pPr>
        <w:spacing w:line="276" w:lineRule="auto"/>
        <w:ind w:firstLine="0"/>
        <w:contextualSpacing/>
        <w:rPr>
          <w:b/>
          <w:bCs/>
        </w:rPr>
      </w:pPr>
      <w:r>
        <w:rPr>
          <w:b/>
          <w:bCs/>
        </w:rPr>
        <w:t>Table B-3: Change in</w:t>
      </w:r>
      <w:r w:rsidRPr="00E051BF">
        <w:rPr>
          <w:b/>
          <w:bCs/>
        </w:rPr>
        <w:t xml:space="preserve"> Impact </w:t>
      </w:r>
      <w:r>
        <w:rPr>
          <w:b/>
          <w:bCs/>
        </w:rPr>
        <w:t xml:space="preserve">of Electrification </w:t>
      </w:r>
      <w:r w:rsidRPr="00E051BF">
        <w:rPr>
          <w:b/>
          <w:bCs/>
        </w:rPr>
        <w:t xml:space="preserve">on Monthly Energy Bill (Electricity, Natural Gas, and Gasoline) </w:t>
      </w:r>
      <w:r>
        <w:rPr>
          <w:b/>
          <w:bCs/>
        </w:rPr>
        <w:t>Due to</w:t>
      </w:r>
      <w:r w:rsidRPr="00E051BF">
        <w:rPr>
          <w:b/>
          <w:bCs/>
        </w:rPr>
        <w:t xml:space="preserve"> Adopted Fixed Charge for</w:t>
      </w:r>
      <w:r>
        <w:rPr>
          <w:b/>
          <w:bCs/>
        </w:rPr>
        <w:t xml:space="preserve"> SCE Customers in an Inland Climate Zone</w:t>
      </w:r>
    </w:p>
    <w:tbl>
      <w:tblPr>
        <w:tblW w:w="7015" w:type="dxa"/>
        <w:jc w:val="center"/>
        <w:tblLook w:val="04A0" w:firstRow="1" w:lastRow="0" w:firstColumn="1" w:lastColumn="0" w:noHBand="0" w:noVBand="1"/>
      </w:tblPr>
      <w:tblGrid>
        <w:gridCol w:w="4135"/>
        <w:gridCol w:w="2880"/>
      </w:tblGrid>
      <w:tr w:rsidRPr="005523E7" w:rsidR="00754B2A" w:rsidTr="008715C2" w14:paraId="099AACCC" w14:textId="77777777">
        <w:trPr>
          <w:trHeight w:val="341"/>
          <w:jc w:val="center"/>
        </w:trPr>
        <w:tc>
          <w:tcPr>
            <w:tcW w:w="413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523E7" w:rsidR="00754B2A" w:rsidP="00720F80" w:rsidRDefault="00754B2A" w14:paraId="58D309F2" w14:textId="77777777">
            <w:pPr>
              <w:spacing w:line="276" w:lineRule="auto"/>
              <w:ind w:firstLine="0"/>
              <w:contextualSpacing/>
              <w:rPr>
                <w:rFonts w:eastAsia="Times New Roman" w:cs="Times New Roman"/>
                <w:b/>
                <w:bCs/>
                <w:color w:val="000000"/>
                <w:sz w:val="24"/>
                <w:szCs w:val="24"/>
              </w:rPr>
            </w:pPr>
            <w:r w:rsidRPr="005523E7">
              <w:rPr>
                <w:rFonts w:eastAsia="Times New Roman" w:cs="Times New Roman"/>
                <w:b/>
                <w:bCs/>
                <w:color w:val="000000"/>
                <w:sz w:val="24"/>
                <w:szCs w:val="24"/>
              </w:rPr>
              <w:t> </w:t>
            </w:r>
          </w:p>
        </w:tc>
        <w:tc>
          <w:tcPr>
            <w:tcW w:w="2880" w:type="dxa"/>
            <w:tcBorders>
              <w:top w:val="single" w:color="auto" w:sz="4" w:space="0"/>
              <w:left w:val="nil"/>
              <w:bottom w:val="single" w:color="auto" w:sz="4" w:space="0"/>
              <w:right w:val="single" w:color="auto" w:sz="4" w:space="0"/>
            </w:tcBorders>
            <w:shd w:val="clear" w:color="auto" w:fill="auto"/>
            <w:vAlign w:val="bottom"/>
            <w:hideMark/>
          </w:tcPr>
          <w:p w:rsidRPr="005523E7" w:rsidR="00754B2A" w:rsidP="00720F80" w:rsidRDefault="00754B2A" w14:paraId="33316920" w14:textId="77777777">
            <w:pPr>
              <w:spacing w:line="276" w:lineRule="auto"/>
              <w:ind w:firstLine="0"/>
              <w:contextualSpacing/>
              <w:jc w:val="center"/>
              <w:rPr>
                <w:rFonts w:eastAsia="Times New Roman" w:cs="Times New Roman"/>
                <w:b/>
                <w:bCs/>
                <w:color w:val="000000"/>
                <w:sz w:val="24"/>
                <w:szCs w:val="24"/>
              </w:rPr>
            </w:pPr>
            <w:r w:rsidRPr="005523E7">
              <w:rPr>
                <w:rFonts w:eastAsia="Times New Roman" w:cs="Times New Roman"/>
                <w:b/>
                <w:bCs/>
                <w:color w:val="000000"/>
                <w:sz w:val="24"/>
                <w:szCs w:val="24"/>
              </w:rPr>
              <w:t>Change in Bill Impact</w:t>
            </w:r>
          </w:p>
        </w:tc>
      </w:tr>
      <w:tr w:rsidRPr="005523E7" w:rsidR="00754B2A" w:rsidTr="008715C2" w14:paraId="4E6917A1"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5523E7" w:rsidR="00754B2A" w:rsidP="00720F80" w:rsidRDefault="00754B2A" w14:paraId="0DE3BC1E" w14:textId="77777777">
            <w:pPr>
              <w:spacing w:line="276" w:lineRule="auto"/>
              <w:ind w:firstLine="0"/>
              <w:contextualSpacing/>
              <w:rPr>
                <w:rFonts w:eastAsia="Times New Roman" w:cs="Times New Roman"/>
                <w:color w:val="000000"/>
                <w:sz w:val="24"/>
                <w:szCs w:val="24"/>
              </w:rPr>
            </w:pPr>
            <w:r w:rsidRPr="005523E7">
              <w:rPr>
                <w:rFonts w:eastAsia="Times New Roman" w:cs="Times New Roman"/>
                <w:color w:val="000000"/>
                <w:sz w:val="24"/>
                <w:szCs w:val="24"/>
              </w:rPr>
              <w:t>Full Home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5523E7" w:rsidR="00754B2A" w:rsidP="00720F80" w:rsidRDefault="00754B2A" w14:paraId="74B4929A" w14:textId="77777777">
            <w:pPr>
              <w:spacing w:line="276" w:lineRule="auto"/>
              <w:ind w:firstLine="0"/>
              <w:contextualSpacing/>
              <w:jc w:val="right"/>
              <w:rPr>
                <w:rFonts w:eastAsia="Times New Roman" w:cs="Times New Roman"/>
                <w:color w:val="000000"/>
                <w:sz w:val="24"/>
                <w:szCs w:val="24"/>
              </w:rPr>
            </w:pPr>
            <w:r w:rsidRPr="005523E7">
              <w:rPr>
                <w:rFonts w:eastAsia="Times New Roman" w:cs="Times New Roman"/>
                <w:color w:val="000000"/>
                <w:sz w:val="24"/>
                <w:szCs w:val="24"/>
              </w:rPr>
              <w:t xml:space="preserve"> $          (11.24)</w:t>
            </w:r>
          </w:p>
        </w:tc>
      </w:tr>
      <w:tr w:rsidRPr="005523E7" w:rsidR="00754B2A" w:rsidTr="008715C2" w14:paraId="002B40B5"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5523E7" w:rsidR="00754B2A" w:rsidP="00720F80" w:rsidRDefault="00754B2A" w14:paraId="30BC54BB" w14:textId="77777777">
            <w:pPr>
              <w:spacing w:line="276" w:lineRule="auto"/>
              <w:ind w:firstLine="0"/>
              <w:contextualSpacing/>
              <w:rPr>
                <w:rFonts w:eastAsia="Times New Roman" w:cs="Times New Roman"/>
                <w:color w:val="000000"/>
                <w:sz w:val="24"/>
                <w:szCs w:val="24"/>
              </w:rPr>
            </w:pPr>
            <w:r w:rsidRPr="005523E7">
              <w:rPr>
                <w:rFonts w:eastAsia="Times New Roman" w:cs="Times New Roman"/>
                <w:color w:val="000000"/>
                <w:sz w:val="24"/>
                <w:szCs w:val="24"/>
              </w:rPr>
              <w:t>Vehicle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5523E7" w:rsidR="00754B2A" w:rsidP="00720F80" w:rsidRDefault="00754B2A" w14:paraId="440B4A39" w14:textId="77777777">
            <w:pPr>
              <w:spacing w:line="276" w:lineRule="auto"/>
              <w:ind w:firstLine="0"/>
              <w:contextualSpacing/>
              <w:jc w:val="right"/>
              <w:rPr>
                <w:rFonts w:eastAsia="Times New Roman" w:cs="Times New Roman"/>
                <w:color w:val="000000"/>
                <w:sz w:val="24"/>
                <w:szCs w:val="24"/>
              </w:rPr>
            </w:pPr>
            <w:r w:rsidRPr="005523E7">
              <w:rPr>
                <w:rFonts w:eastAsia="Times New Roman" w:cs="Times New Roman"/>
                <w:color w:val="000000"/>
                <w:sz w:val="24"/>
                <w:szCs w:val="24"/>
              </w:rPr>
              <w:t xml:space="preserve"> $          (16.93)</w:t>
            </w:r>
          </w:p>
        </w:tc>
      </w:tr>
      <w:tr w:rsidRPr="005523E7" w:rsidR="00754B2A" w:rsidTr="008715C2" w14:paraId="5A469AE3" w14:textId="77777777">
        <w:trPr>
          <w:trHeight w:val="330"/>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5523E7" w:rsidR="00754B2A" w:rsidP="00720F80" w:rsidRDefault="00754B2A" w14:paraId="165E049F" w14:textId="77777777">
            <w:pPr>
              <w:spacing w:line="276" w:lineRule="auto"/>
              <w:ind w:firstLine="0"/>
              <w:contextualSpacing/>
              <w:rPr>
                <w:rFonts w:eastAsia="Times New Roman" w:cs="Times New Roman"/>
                <w:b/>
                <w:bCs/>
                <w:color w:val="000000"/>
                <w:sz w:val="24"/>
                <w:szCs w:val="24"/>
              </w:rPr>
            </w:pPr>
            <w:r w:rsidRPr="005523E7">
              <w:rPr>
                <w:rFonts w:eastAsia="Times New Roman" w:cs="Times New Roman"/>
                <w:b/>
                <w:bCs/>
                <w:color w:val="000000"/>
                <w:sz w:val="24"/>
                <w:szCs w:val="24"/>
              </w:rPr>
              <w:t>Home + Vehicle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5523E7" w:rsidR="00754B2A" w:rsidP="00720F80" w:rsidRDefault="00754B2A" w14:paraId="2FE40954" w14:textId="77777777">
            <w:pPr>
              <w:spacing w:line="276" w:lineRule="auto"/>
              <w:ind w:firstLine="0"/>
              <w:contextualSpacing/>
              <w:jc w:val="right"/>
              <w:rPr>
                <w:rFonts w:eastAsia="Times New Roman" w:cs="Times New Roman"/>
                <w:b/>
                <w:bCs/>
                <w:color w:val="000000"/>
                <w:sz w:val="24"/>
                <w:szCs w:val="24"/>
              </w:rPr>
            </w:pPr>
            <w:r w:rsidRPr="005523E7">
              <w:rPr>
                <w:rFonts w:eastAsia="Times New Roman" w:cs="Times New Roman"/>
                <w:b/>
                <w:bCs/>
                <w:color w:val="000000"/>
                <w:sz w:val="24"/>
                <w:szCs w:val="24"/>
              </w:rPr>
              <w:t xml:space="preserve"> $          (28.17)</w:t>
            </w:r>
          </w:p>
        </w:tc>
      </w:tr>
    </w:tbl>
    <w:p w:rsidR="00754B2A" w:rsidP="00754B2A" w:rsidRDefault="00754B2A" w14:paraId="61B0CB6F" w14:textId="77777777">
      <w:pPr>
        <w:spacing w:line="276" w:lineRule="auto"/>
        <w:ind w:firstLine="0"/>
        <w:contextualSpacing/>
      </w:pPr>
    </w:p>
    <w:p w:rsidR="00754B2A" w:rsidP="00754B2A" w:rsidRDefault="00754B2A" w14:paraId="56793A6A" w14:textId="77777777">
      <w:pPr>
        <w:spacing w:line="276" w:lineRule="auto"/>
        <w:ind w:firstLine="0"/>
        <w:contextualSpacing/>
        <w:rPr>
          <w:b/>
          <w:bCs/>
        </w:rPr>
      </w:pPr>
      <w:r>
        <w:rPr>
          <w:b/>
          <w:bCs/>
        </w:rPr>
        <w:t>Table B-4: Change in</w:t>
      </w:r>
      <w:r w:rsidRPr="00E051BF">
        <w:rPr>
          <w:b/>
          <w:bCs/>
        </w:rPr>
        <w:t xml:space="preserve"> Impact </w:t>
      </w:r>
      <w:r>
        <w:rPr>
          <w:b/>
          <w:bCs/>
        </w:rPr>
        <w:t xml:space="preserve">of Electrification </w:t>
      </w:r>
      <w:r w:rsidRPr="00E051BF">
        <w:rPr>
          <w:b/>
          <w:bCs/>
        </w:rPr>
        <w:t xml:space="preserve">on Monthly Energy Bill (Electricity, Natural Gas, and Gasoline) </w:t>
      </w:r>
      <w:r>
        <w:rPr>
          <w:b/>
          <w:bCs/>
        </w:rPr>
        <w:t xml:space="preserve">Due to </w:t>
      </w:r>
      <w:r w:rsidRPr="00E051BF">
        <w:rPr>
          <w:b/>
          <w:bCs/>
        </w:rPr>
        <w:t>Adopted Fixed Charge for</w:t>
      </w:r>
      <w:r>
        <w:rPr>
          <w:b/>
          <w:bCs/>
        </w:rPr>
        <w:t xml:space="preserve"> SCE Customers in a Coastal Climate Zone</w:t>
      </w:r>
    </w:p>
    <w:tbl>
      <w:tblPr>
        <w:tblW w:w="7015" w:type="dxa"/>
        <w:jc w:val="center"/>
        <w:tblLook w:val="04A0" w:firstRow="1" w:lastRow="0" w:firstColumn="1" w:lastColumn="0" w:noHBand="0" w:noVBand="1"/>
      </w:tblPr>
      <w:tblGrid>
        <w:gridCol w:w="4135"/>
        <w:gridCol w:w="2880"/>
      </w:tblGrid>
      <w:tr w:rsidRPr="004918F2" w:rsidR="00754B2A" w:rsidTr="008715C2" w14:paraId="57671164" w14:textId="77777777">
        <w:trPr>
          <w:trHeight w:val="359"/>
          <w:jc w:val="center"/>
        </w:trPr>
        <w:tc>
          <w:tcPr>
            <w:tcW w:w="413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918F2" w:rsidR="00754B2A" w:rsidP="00720F80" w:rsidRDefault="00754B2A" w14:paraId="03C2CD3A" w14:textId="77777777">
            <w:pPr>
              <w:spacing w:line="276" w:lineRule="auto"/>
              <w:ind w:firstLine="0"/>
              <w:contextualSpacing/>
              <w:rPr>
                <w:rFonts w:eastAsia="Times New Roman" w:cs="Times New Roman"/>
                <w:b/>
                <w:bCs/>
                <w:color w:val="000000"/>
                <w:sz w:val="24"/>
                <w:szCs w:val="24"/>
              </w:rPr>
            </w:pPr>
            <w:r w:rsidRPr="004918F2">
              <w:rPr>
                <w:rFonts w:eastAsia="Times New Roman" w:cs="Times New Roman"/>
                <w:b/>
                <w:bCs/>
                <w:color w:val="000000"/>
                <w:sz w:val="24"/>
                <w:szCs w:val="24"/>
              </w:rPr>
              <w:t> </w:t>
            </w:r>
          </w:p>
        </w:tc>
        <w:tc>
          <w:tcPr>
            <w:tcW w:w="2880" w:type="dxa"/>
            <w:tcBorders>
              <w:top w:val="single" w:color="auto" w:sz="4" w:space="0"/>
              <w:left w:val="nil"/>
              <w:bottom w:val="single" w:color="auto" w:sz="4" w:space="0"/>
              <w:right w:val="single" w:color="auto" w:sz="4" w:space="0"/>
            </w:tcBorders>
            <w:shd w:val="clear" w:color="auto" w:fill="auto"/>
            <w:vAlign w:val="bottom"/>
            <w:hideMark/>
          </w:tcPr>
          <w:p w:rsidRPr="004918F2" w:rsidR="00754B2A" w:rsidP="00720F80" w:rsidRDefault="00754B2A" w14:paraId="6347DFF1" w14:textId="77777777">
            <w:pPr>
              <w:spacing w:line="276" w:lineRule="auto"/>
              <w:ind w:firstLine="0"/>
              <w:contextualSpacing/>
              <w:jc w:val="center"/>
              <w:rPr>
                <w:rFonts w:eastAsia="Times New Roman" w:cs="Times New Roman"/>
                <w:b/>
                <w:bCs/>
                <w:color w:val="000000"/>
                <w:sz w:val="24"/>
                <w:szCs w:val="24"/>
              </w:rPr>
            </w:pPr>
            <w:r w:rsidRPr="004918F2">
              <w:rPr>
                <w:rFonts w:eastAsia="Times New Roman" w:cs="Times New Roman"/>
                <w:b/>
                <w:bCs/>
                <w:color w:val="000000"/>
                <w:sz w:val="24"/>
                <w:szCs w:val="24"/>
              </w:rPr>
              <w:t>Change in Bill Impact</w:t>
            </w:r>
          </w:p>
        </w:tc>
      </w:tr>
      <w:tr w:rsidRPr="004918F2" w:rsidR="00754B2A" w:rsidTr="008715C2" w14:paraId="03BE6DCE"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4918F2" w:rsidR="00754B2A" w:rsidP="00720F80" w:rsidRDefault="00754B2A" w14:paraId="2813184C" w14:textId="77777777">
            <w:pPr>
              <w:spacing w:line="276" w:lineRule="auto"/>
              <w:ind w:firstLine="0"/>
              <w:contextualSpacing/>
              <w:rPr>
                <w:rFonts w:eastAsia="Times New Roman" w:cs="Times New Roman"/>
                <w:color w:val="000000"/>
                <w:sz w:val="24"/>
                <w:szCs w:val="24"/>
              </w:rPr>
            </w:pPr>
            <w:r w:rsidRPr="004918F2">
              <w:rPr>
                <w:rFonts w:eastAsia="Times New Roman" w:cs="Times New Roman"/>
                <w:color w:val="000000"/>
                <w:sz w:val="24"/>
                <w:szCs w:val="24"/>
              </w:rPr>
              <w:t>Full Home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4918F2" w:rsidR="00754B2A" w:rsidP="00720F80" w:rsidRDefault="00754B2A" w14:paraId="7F97F5D2" w14:textId="77777777">
            <w:pPr>
              <w:spacing w:line="276" w:lineRule="auto"/>
              <w:ind w:firstLine="0"/>
              <w:contextualSpacing/>
              <w:jc w:val="right"/>
              <w:rPr>
                <w:rFonts w:eastAsia="Times New Roman" w:cs="Times New Roman"/>
                <w:color w:val="000000"/>
                <w:sz w:val="24"/>
                <w:szCs w:val="24"/>
              </w:rPr>
            </w:pPr>
            <w:r w:rsidRPr="004918F2">
              <w:rPr>
                <w:rFonts w:eastAsia="Times New Roman" w:cs="Times New Roman"/>
                <w:color w:val="000000"/>
                <w:sz w:val="24"/>
                <w:szCs w:val="24"/>
              </w:rPr>
              <w:t xml:space="preserve"> $          (12.17)</w:t>
            </w:r>
          </w:p>
        </w:tc>
      </w:tr>
      <w:tr w:rsidRPr="004918F2" w:rsidR="00754B2A" w:rsidTr="008715C2" w14:paraId="2E6F9552"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4918F2" w:rsidR="00754B2A" w:rsidP="00720F80" w:rsidRDefault="00754B2A" w14:paraId="3B873CB2" w14:textId="77777777">
            <w:pPr>
              <w:spacing w:line="276" w:lineRule="auto"/>
              <w:ind w:firstLine="0"/>
              <w:contextualSpacing/>
              <w:rPr>
                <w:rFonts w:eastAsia="Times New Roman" w:cs="Times New Roman"/>
                <w:color w:val="000000"/>
                <w:sz w:val="24"/>
                <w:szCs w:val="24"/>
              </w:rPr>
            </w:pPr>
            <w:r w:rsidRPr="004918F2">
              <w:rPr>
                <w:rFonts w:eastAsia="Times New Roman" w:cs="Times New Roman"/>
                <w:color w:val="000000"/>
                <w:sz w:val="24"/>
                <w:szCs w:val="24"/>
              </w:rPr>
              <w:t>Vehicle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4918F2" w:rsidR="00754B2A" w:rsidP="00720F80" w:rsidRDefault="00754B2A" w14:paraId="4E304FBB" w14:textId="77777777">
            <w:pPr>
              <w:spacing w:line="276" w:lineRule="auto"/>
              <w:ind w:firstLine="0"/>
              <w:contextualSpacing/>
              <w:jc w:val="right"/>
              <w:rPr>
                <w:rFonts w:eastAsia="Times New Roman" w:cs="Times New Roman"/>
                <w:color w:val="000000"/>
                <w:sz w:val="24"/>
                <w:szCs w:val="24"/>
              </w:rPr>
            </w:pPr>
            <w:r w:rsidRPr="004918F2">
              <w:rPr>
                <w:rFonts w:eastAsia="Times New Roman" w:cs="Times New Roman"/>
                <w:color w:val="000000"/>
                <w:sz w:val="24"/>
                <w:szCs w:val="24"/>
              </w:rPr>
              <w:t xml:space="preserve"> $          (16.87)</w:t>
            </w:r>
          </w:p>
        </w:tc>
      </w:tr>
      <w:tr w:rsidRPr="004918F2" w:rsidR="00754B2A" w:rsidTr="008715C2" w14:paraId="1A5A705D" w14:textId="77777777">
        <w:trPr>
          <w:trHeight w:val="330"/>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4918F2" w:rsidR="00754B2A" w:rsidP="00720F80" w:rsidRDefault="00754B2A" w14:paraId="09C04335" w14:textId="77777777">
            <w:pPr>
              <w:spacing w:line="276" w:lineRule="auto"/>
              <w:ind w:firstLine="0"/>
              <w:contextualSpacing/>
              <w:rPr>
                <w:rFonts w:eastAsia="Times New Roman" w:cs="Times New Roman"/>
                <w:b/>
                <w:bCs/>
                <w:color w:val="000000"/>
                <w:sz w:val="24"/>
                <w:szCs w:val="24"/>
              </w:rPr>
            </w:pPr>
            <w:r w:rsidRPr="004918F2">
              <w:rPr>
                <w:rFonts w:eastAsia="Times New Roman" w:cs="Times New Roman"/>
                <w:b/>
                <w:bCs/>
                <w:color w:val="000000"/>
                <w:sz w:val="24"/>
                <w:szCs w:val="24"/>
              </w:rPr>
              <w:t>Home + Vehicle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4918F2" w:rsidR="00754B2A" w:rsidP="00720F80" w:rsidRDefault="00754B2A" w14:paraId="2FDF089E" w14:textId="77777777">
            <w:pPr>
              <w:spacing w:line="276" w:lineRule="auto"/>
              <w:ind w:firstLine="0"/>
              <w:contextualSpacing/>
              <w:jc w:val="right"/>
              <w:rPr>
                <w:rFonts w:eastAsia="Times New Roman" w:cs="Times New Roman"/>
                <w:b/>
                <w:bCs/>
                <w:color w:val="000000"/>
                <w:sz w:val="24"/>
                <w:szCs w:val="24"/>
              </w:rPr>
            </w:pPr>
            <w:r w:rsidRPr="004918F2">
              <w:rPr>
                <w:rFonts w:eastAsia="Times New Roman" w:cs="Times New Roman"/>
                <w:b/>
                <w:bCs/>
                <w:color w:val="000000"/>
                <w:sz w:val="24"/>
                <w:szCs w:val="24"/>
              </w:rPr>
              <w:t xml:space="preserve"> $          (29.04)</w:t>
            </w:r>
          </w:p>
        </w:tc>
      </w:tr>
    </w:tbl>
    <w:p w:rsidR="00754B2A" w:rsidP="00754B2A" w:rsidRDefault="00754B2A" w14:paraId="1A9566E5" w14:textId="77777777">
      <w:pPr>
        <w:spacing w:line="276" w:lineRule="auto"/>
        <w:ind w:firstLine="0"/>
        <w:contextualSpacing/>
      </w:pPr>
    </w:p>
    <w:p w:rsidR="00754B2A" w:rsidP="00754B2A" w:rsidRDefault="00754B2A" w14:paraId="70992120" w14:textId="77777777">
      <w:pPr>
        <w:spacing w:line="276" w:lineRule="auto"/>
        <w:ind w:firstLine="0"/>
        <w:contextualSpacing/>
        <w:rPr>
          <w:b/>
          <w:bCs/>
        </w:rPr>
      </w:pPr>
      <w:r>
        <w:rPr>
          <w:b/>
          <w:bCs/>
        </w:rPr>
        <w:t>Table B-5: Change in</w:t>
      </w:r>
      <w:r w:rsidRPr="00E051BF">
        <w:rPr>
          <w:b/>
          <w:bCs/>
        </w:rPr>
        <w:t xml:space="preserve"> Impact </w:t>
      </w:r>
      <w:r>
        <w:rPr>
          <w:b/>
          <w:bCs/>
        </w:rPr>
        <w:t xml:space="preserve">of Electrification </w:t>
      </w:r>
      <w:r w:rsidRPr="00E051BF">
        <w:rPr>
          <w:b/>
          <w:bCs/>
        </w:rPr>
        <w:t xml:space="preserve">on Monthly Energy Bill (Electricity, Natural Gas, and Gasoline) </w:t>
      </w:r>
      <w:r>
        <w:rPr>
          <w:b/>
          <w:bCs/>
        </w:rPr>
        <w:t xml:space="preserve">Due to </w:t>
      </w:r>
      <w:r w:rsidRPr="00E051BF">
        <w:rPr>
          <w:b/>
          <w:bCs/>
        </w:rPr>
        <w:t>Adopted Fixed Charge for</w:t>
      </w:r>
      <w:r>
        <w:rPr>
          <w:b/>
          <w:bCs/>
        </w:rPr>
        <w:t xml:space="preserve"> SDG&amp;E Customers in an Inland Climate Zone</w:t>
      </w:r>
    </w:p>
    <w:tbl>
      <w:tblPr>
        <w:tblW w:w="7015" w:type="dxa"/>
        <w:jc w:val="center"/>
        <w:tblLook w:val="04A0" w:firstRow="1" w:lastRow="0" w:firstColumn="1" w:lastColumn="0" w:noHBand="0" w:noVBand="1"/>
      </w:tblPr>
      <w:tblGrid>
        <w:gridCol w:w="4135"/>
        <w:gridCol w:w="2880"/>
      </w:tblGrid>
      <w:tr w:rsidRPr="00FD6919" w:rsidR="00754B2A" w:rsidTr="008715C2" w14:paraId="033C87F3" w14:textId="77777777">
        <w:trPr>
          <w:trHeight w:val="350"/>
          <w:jc w:val="center"/>
        </w:trPr>
        <w:tc>
          <w:tcPr>
            <w:tcW w:w="413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D6919" w:rsidR="00754B2A" w:rsidP="00720F80" w:rsidRDefault="00754B2A" w14:paraId="3D98C2D5" w14:textId="77777777">
            <w:pPr>
              <w:spacing w:line="276" w:lineRule="auto"/>
              <w:ind w:firstLine="0"/>
              <w:contextualSpacing/>
              <w:rPr>
                <w:rFonts w:eastAsia="Times New Roman" w:cs="Times New Roman"/>
                <w:b/>
                <w:bCs/>
                <w:color w:val="000000"/>
                <w:sz w:val="24"/>
                <w:szCs w:val="24"/>
              </w:rPr>
            </w:pPr>
            <w:r w:rsidRPr="00FD6919">
              <w:rPr>
                <w:rFonts w:eastAsia="Times New Roman" w:cs="Times New Roman"/>
                <w:b/>
                <w:bCs/>
                <w:color w:val="000000"/>
                <w:sz w:val="24"/>
                <w:szCs w:val="24"/>
              </w:rPr>
              <w:t> </w:t>
            </w:r>
          </w:p>
        </w:tc>
        <w:tc>
          <w:tcPr>
            <w:tcW w:w="2880" w:type="dxa"/>
            <w:tcBorders>
              <w:top w:val="single" w:color="auto" w:sz="4" w:space="0"/>
              <w:left w:val="nil"/>
              <w:bottom w:val="single" w:color="auto" w:sz="4" w:space="0"/>
              <w:right w:val="single" w:color="auto" w:sz="4" w:space="0"/>
            </w:tcBorders>
            <w:shd w:val="clear" w:color="auto" w:fill="auto"/>
            <w:vAlign w:val="bottom"/>
            <w:hideMark/>
          </w:tcPr>
          <w:p w:rsidRPr="00FD6919" w:rsidR="00754B2A" w:rsidP="00720F80" w:rsidRDefault="00754B2A" w14:paraId="2877491C" w14:textId="77777777">
            <w:pPr>
              <w:spacing w:line="276" w:lineRule="auto"/>
              <w:ind w:firstLine="0"/>
              <w:contextualSpacing/>
              <w:jc w:val="center"/>
              <w:rPr>
                <w:rFonts w:eastAsia="Times New Roman" w:cs="Times New Roman"/>
                <w:b/>
                <w:bCs/>
                <w:color w:val="000000"/>
                <w:sz w:val="24"/>
                <w:szCs w:val="24"/>
              </w:rPr>
            </w:pPr>
            <w:r w:rsidRPr="00FD6919">
              <w:rPr>
                <w:rFonts w:eastAsia="Times New Roman" w:cs="Times New Roman"/>
                <w:b/>
                <w:bCs/>
                <w:color w:val="000000"/>
                <w:sz w:val="24"/>
                <w:szCs w:val="24"/>
              </w:rPr>
              <w:t>Change in Bill Impact</w:t>
            </w:r>
          </w:p>
        </w:tc>
      </w:tr>
      <w:tr w:rsidRPr="00FD6919" w:rsidR="00754B2A" w:rsidTr="008715C2" w14:paraId="520D9720"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FD6919" w:rsidR="00754B2A" w:rsidP="00720F80" w:rsidRDefault="00754B2A" w14:paraId="44382169" w14:textId="77777777">
            <w:pPr>
              <w:spacing w:line="276" w:lineRule="auto"/>
              <w:ind w:firstLine="0"/>
              <w:contextualSpacing/>
              <w:rPr>
                <w:rFonts w:eastAsia="Times New Roman" w:cs="Times New Roman"/>
                <w:color w:val="000000"/>
                <w:sz w:val="24"/>
                <w:szCs w:val="24"/>
              </w:rPr>
            </w:pPr>
            <w:r w:rsidRPr="00FD6919">
              <w:rPr>
                <w:rFonts w:eastAsia="Times New Roman" w:cs="Times New Roman"/>
                <w:color w:val="000000"/>
                <w:sz w:val="24"/>
                <w:szCs w:val="24"/>
              </w:rPr>
              <w:t>Full Home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FD6919" w:rsidR="00754B2A" w:rsidP="00720F80" w:rsidRDefault="00754B2A" w14:paraId="38669276" w14:textId="77777777">
            <w:pPr>
              <w:spacing w:line="276" w:lineRule="auto"/>
              <w:ind w:firstLine="0"/>
              <w:contextualSpacing/>
              <w:jc w:val="right"/>
              <w:rPr>
                <w:rFonts w:eastAsia="Times New Roman" w:cs="Times New Roman"/>
                <w:color w:val="000000"/>
                <w:sz w:val="24"/>
                <w:szCs w:val="24"/>
              </w:rPr>
            </w:pPr>
            <w:r w:rsidRPr="00FD6919">
              <w:rPr>
                <w:rFonts w:eastAsia="Times New Roman" w:cs="Times New Roman"/>
                <w:color w:val="000000"/>
                <w:sz w:val="24"/>
                <w:szCs w:val="24"/>
              </w:rPr>
              <w:t xml:space="preserve"> $          (14.74)</w:t>
            </w:r>
          </w:p>
        </w:tc>
      </w:tr>
      <w:tr w:rsidRPr="00FD6919" w:rsidR="00754B2A" w:rsidTr="008715C2" w14:paraId="34D3FD19"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FD6919" w:rsidR="00754B2A" w:rsidP="00720F80" w:rsidRDefault="00754B2A" w14:paraId="6E6B93CB" w14:textId="77777777">
            <w:pPr>
              <w:spacing w:line="276" w:lineRule="auto"/>
              <w:ind w:firstLine="0"/>
              <w:contextualSpacing/>
              <w:rPr>
                <w:rFonts w:eastAsia="Times New Roman" w:cs="Times New Roman"/>
                <w:color w:val="000000"/>
                <w:sz w:val="24"/>
                <w:szCs w:val="24"/>
              </w:rPr>
            </w:pPr>
            <w:r w:rsidRPr="00FD6919">
              <w:rPr>
                <w:rFonts w:eastAsia="Times New Roman" w:cs="Times New Roman"/>
                <w:color w:val="000000"/>
                <w:sz w:val="24"/>
                <w:szCs w:val="24"/>
              </w:rPr>
              <w:t>Vehicle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FD6919" w:rsidR="00754B2A" w:rsidP="00720F80" w:rsidRDefault="00754B2A" w14:paraId="3011C58A" w14:textId="77777777">
            <w:pPr>
              <w:spacing w:line="276" w:lineRule="auto"/>
              <w:ind w:firstLine="0"/>
              <w:contextualSpacing/>
              <w:jc w:val="right"/>
              <w:rPr>
                <w:rFonts w:eastAsia="Times New Roman" w:cs="Times New Roman"/>
                <w:color w:val="000000"/>
                <w:sz w:val="24"/>
                <w:szCs w:val="24"/>
              </w:rPr>
            </w:pPr>
            <w:r w:rsidRPr="00FD6919">
              <w:rPr>
                <w:rFonts w:eastAsia="Times New Roman" w:cs="Times New Roman"/>
                <w:color w:val="000000"/>
                <w:sz w:val="24"/>
                <w:szCs w:val="24"/>
              </w:rPr>
              <w:t xml:space="preserve"> $          (25.11)</w:t>
            </w:r>
          </w:p>
        </w:tc>
      </w:tr>
      <w:tr w:rsidRPr="00FD6919" w:rsidR="00754B2A" w:rsidTr="008715C2" w14:paraId="082AB50A" w14:textId="77777777">
        <w:trPr>
          <w:trHeight w:val="330"/>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FD6919" w:rsidR="00754B2A" w:rsidP="00720F80" w:rsidRDefault="00754B2A" w14:paraId="43A18A3D" w14:textId="77777777">
            <w:pPr>
              <w:spacing w:line="276" w:lineRule="auto"/>
              <w:ind w:firstLine="0"/>
              <w:contextualSpacing/>
              <w:rPr>
                <w:rFonts w:eastAsia="Times New Roman" w:cs="Times New Roman"/>
                <w:b/>
                <w:bCs/>
                <w:color w:val="000000"/>
                <w:sz w:val="24"/>
                <w:szCs w:val="24"/>
              </w:rPr>
            </w:pPr>
            <w:r w:rsidRPr="00FD6919">
              <w:rPr>
                <w:rFonts w:eastAsia="Times New Roman" w:cs="Times New Roman"/>
                <w:b/>
                <w:bCs/>
                <w:color w:val="000000"/>
                <w:sz w:val="24"/>
                <w:szCs w:val="24"/>
              </w:rPr>
              <w:t>Home + Vehicle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FD6919" w:rsidR="00754B2A" w:rsidP="00720F80" w:rsidRDefault="00754B2A" w14:paraId="27411E0E" w14:textId="77777777">
            <w:pPr>
              <w:spacing w:line="276" w:lineRule="auto"/>
              <w:ind w:firstLine="0"/>
              <w:contextualSpacing/>
              <w:jc w:val="right"/>
              <w:rPr>
                <w:rFonts w:eastAsia="Times New Roman" w:cs="Times New Roman"/>
                <w:b/>
                <w:bCs/>
                <w:color w:val="000000"/>
                <w:sz w:val="24"/>
                <w:szCs w:val="24"/>
              </w:rPr>
            </w:pPr>
            <w:r w:rsidRPr="00FD6919">
              <w:rPr>
                <w:rFonts w:eastAsia="Times New Roman" w:cs="Times New Roman"/>
                <w:b/>
                <w:bCs/>
                <w:color w:val="000000"/>
                <w:sz w:val="24"/>
                <w:szCs w:val="24"/>
              </w:rPr>
              <w:t xml:space="preserve"> $          (39.85)</w:t>
            </w:r>
          </w:p>
        </w:tc>
      </w:tr>
    </w:tbl>
    <w:p w:rsidR="00754B2A" w:rsidP="00754B2A" w:rsidRDefault="00754B2A" w14:paraId="696FEBB7" w14:textId="77777777">
      <w:pPr>
        <w:spacing w:line="276" w:lineRule="auto"/>
        <w:ind w:firstLine="0"/>
        <w:contextualSpacing/>
      </w:pPr>
    </w:p>
    <w:p w:rsidR="00754B2A" w:rsidP="00754B2A" w:rsidRDefault="00754B2A" w14:paraId="05B2B655" w14:textId="77777777">
      <w:pPr>
        <w:spacing w:line="276" w:lineRule="auto"/>
        <w:ind w:firstLine="0"/>
        <w:contextualSpacing/>
        <w:rPr>
          <w:b/>
          <w:bCs/>
        </w:rPr>
      </w:pPr>
      <w:r>
        <w:rPr>
          <w:b/>
          <w:bCs/>
        </w:rPr>
        <w:t>Table B-6: Change in</w:t>
      </w:r>
      <w:r w:rsidRPr="00E051BF">
        <w:rPr>
          <w:b/>
          <w:bCs/>
        </w:rPr>
        <w:t xml:space="preserve"> Impact </w:t>
      </w:r>
      <w:r>
        <w:rPr>
          <w:b/>
          <w:bCs/>
        </w:rPr>
        <w:t xml:space="preserve">of Electrification </w:t>
      </w:r>
      <w:r w:rsidRPr="00E051BF">
        <w:rPr>
          <w:b/>
          <w:bCs/>
        </w:rPr>
        <w:t xml:space="preserve">on Monthly Energy Bill (Electricity, Natural Gas, and Gasoline) </w:t>
      </w:r>
      <w:r>
        <w:rPr>
          <w:b/>
          <w:bCs/>
        </w:rPr>
        <w:t xml:space="preserve">Due to </w:t>
      </w:r>
      <w:r w:rsidRPr="00E051BF">
        <w:rPr>
          <w:b/>
          <w:bCs/>
        </w:rPr>
        <w:t>Adopted Fixed Charge for</w:t>
      </w:r>
      <w:r>
        <w:rPr>
          <w:b/>
          <w:bCs/>
        </w:rPr>
        <w:t xml:space="preserve"> SDG&amp;E Customers in a Coastal Climate Zone</w:t>
      </w:r>
    </w:p>
    <w:tbl>
      <w:tblPr>
        <w:tblW w:w="7015" w:type="dxa"/>
        <w:jc w:val="center"/>
        <w:tblLook w:val="04A0" w:firstRow="1" w:lastRow="0" w:firstColumn="1" w:lastColumn="0" w:noHBand="0" w:noVBand="1"/>
      </w:tblPr>
      <w:tblGrid>
        <w:gridCol w:w="4135"/>
        <w:gridCol w:w="2880"/>
      </w:tblGrid>
      <w:tr w:rsidRPr="00236848" w:rsidR="00754B2A" w:rsidTr="008715C2" w14:paraId="0B13A43C" w14:textId="77777777">
        <w:trPr>
          <w:trHeight w:val="359"/>
          <w:jc w:val="center"/>
        </w:trPr>
        <w:tc>
          <w:tcPr>
            <w:tcW w:w="413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36848" w:rsidR="00754B2A" w:rsidP="00720F80" w:rsidRDefault="00754B2A" w14:paraId="34098F1B" w14:textId="77777777">
            <w:pPr>
              <w:spacing w:line="276" w:lineRule="auto"/>
              <w:ind w:firstLine="0"/>
              <w:contextualSpacing/>
              <w:rPr>
                <w:rFonts w:eastAsia="Times New Roman" w:cs="Times New Roman"/>
                <w:b/>
                <w:bCs/>
                <w:color w:val="000000"/>
                <w:sz w:val="24"/>
                <w:szCs w:val="24"/>
              </w:rPr>
            </w:pPr>
            <w:r w:rsidRPr="00236848">
              <w:rPr>
                <w:rFonts w:eastAsia="Times New Roman" w:cs="Times New Roman"/>
                <w:b/>
                <w:bCs/>
                <w:color w:val="000000"/>
                <w:sz w:val="24"/>
                <w:szCs w:val="24"/>
              </w:rPr>
              <w:t> </w:t>
            </w:r>
          </w:p>
        </w:tc>
        <w:tc>
          <w:tcPr>
            <w:tcW w:w="2880" w:type="dxa"/>
            <w:tcBorders>
              <w:top w:val="single" w:color="auto" w:sz="4" w:space="0"/>
              <w:left w:val="nil"/>
              <w:bottom w:val="single" w:color="auto" w:sz="4" w:space="0"/>
              <w:right w:val="single" w:color="auto" w:sz="4" w:space="0"/>
            </w:tcBorders>
            <w:shd w:val="clear" w:color="auto" w:fill="auto"/>
            <w:vAlign w:val="bottom"/>
            <w:hideMark/>
          </w:tcPr>
          <w:p w:rsidRPr="00236848" w:rsidR="00754B2A" w:rsidP="00720F80" w:rsidRDefault="00754B2A" w14:paraId="6DC3C96F" w14:textId="77777777">
            <w:pPr>
              <w:spacing w:line="276" w:lineRule="auto"/>
              <w:ind w:firstLine="0"/>
              <w:contextualSpacing/>
              <w:jc w:val="center"/>
              <w:rPr>
                <w:rFonts w:eastAsia="Times New Roman" w:cs="Times New Roman"/>
                <w:b/>
                <w:bCs/>
                <w:color w:val="000000"/>
                <w:sz w:val="24"/>
                <w:szCs w:val="24"/>
              </w:rPr>
            </w:pPr>
            <w:r w:rsidRPr="00236848">
              <w:rPr>
                <w:rFonts w:eastAsia="Times New Roman" w:cs="Times New Roman"/>
                <w:b/>
                <w:bCs/>
                <w:color w:val="000000"/>
                <w:sz w:val="24"/>
                <w:szCs w:val="24"/>
              </w:rPr>
              <w:t>Change in Bill Impact</w:t>
            </w:r>
          </w:p>
        </w:tc>
      </w:tr>
      <w:tr w:rsidRPr="00236848" w:rsidR="00754B2A" w:rsidTr="008715C2" w14:paraId="2DDE9A35"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236848" w:rsidR="00754B2A" w:rsidP="00720F80" w:rsidRDefault="00754B2A" w14:paraId="0B903D7C" w14:textId="77777777">
            <w:pPr>
              <w:spacing w:line="276" w:lineRule="auto"/>
              <w:ind w:firstLine="0"/>
              <w:contextualSpacing/>
              <w:rPr>
                <w:rFonts w:eastAsia="Times New Roman" w:cs="Times New Roman"/>
                <w:color w:val="000000"/>
                <w:sz w:val="24"/>
                <w:szCs w:val="24"/>
              </w:rPr>
            </w:pPr>
            <w:r w:rsidRPr="00236848">
              <w:rPr>
                <w:rFonts w:eastAsia="Times New Roman" w:cs="Times New Roman"/>
                <w:color w:val="000000"/>
                <w:sz w:val="24"/>
                <w:szCs w:val="24"/>
              </w:rPr>
              <w:t>Full Home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236848" w:rsidR="00754B2A" w:rsidP="00720F80" w:rsidRDefault="00754B2A" w14:paraId="37936D8D" w14:textId="77777777">
            <w:pPr>
              <w:spacing w:line="276" w:lineRule="auto"/>
              <w:ind w:firstLine="0"/>
              <w:contextualSpacing/>
              <w:jc w:val="right"/>
              <w:rPr>
                <w:rFonts w:eastAsia="Times New Roman" w:cs="Times New Roman"/>
                <w:color w:val="000000"/>
                <w:sz w:val="24"/>
                <w:szCs w:val="24"/>
              </w:rPr>
            </w:pPr>
            <w:r w:rsidRPr="00236848">
              <w:rPr>
                <w:rFonts w:eastAsia="Times New Roman" w:cs="Times New Roman"/>
                <w:color w:val="000000"/>
                <w:sz w:val="24"/>
                <w:szCs w:val="24"/>
              </w:rPr>
              <w:t xml:space="preserve"> $          (18.57)</w:t>
            </w:r>
          </w:p>
        </w:tc>
      </w:tr>
      <w:tr w:rsidRPr="00236848" w:rsidR="00754B2A" w:rsidTr="008715C2" w14:paraId="76D45089" w14:textId="77777777">
        <w:trPr>
          <w:trHeight w:val="315"/>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236848" w:rsidR="00754B2A" w:rsidP="00720F80" w:rsidRDefault="00754B2A" w14:paraId="4FCEB0E1" w14:textId="77777777">
            <w:pPr>
              <w:spacing w:line="276" w:lineRule="auto"/>
              <w:ind w:firstLine="0"/>
              <w:contextualSpacing/>
              <w:rPr>
                <w:rFonts w:eastAsia="Times New Roman" w:cs="Times New Roman"/>
                <w:color w:val="000000"/>
                <w:sz w:val="24"/>
                <w:szCs w:val="24"/>
              </w:rPr>
            </w:pPr>
            <w:r w:rsidRPr="00236848">
              <w:rPr>
                <w:rFonts w:eastAsia="Times New Roman" w:cs="Times New Roman"/>
                <w:color w:val="000000"/>
                <w:sz w:val="24"/>
                <w:szCs w:val="24"/>
              </w:rPr>
              <w:t>Vehicle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236848" w:rsidR="00754B2A" w:rsidP="00720F80" w:rsidRDefault="00754B2A" w14:paraId="47648878" w14:textId="77777777">
            <w:pPr>
              <w:spacing w:line="276" w:lineRule="auto"/>
              <w:ind w:firstLine="0"/>
              <w:contextualSpacing/>
              <w:jc w:val="right"/>
              <w:rPr>
                <w:rFonts w:eastAsia="Times New Roman" w:cs="Times New Roman"/>
                <w:color w:val="000000"/>
                <w:sz w:val="24"/>
                <w:szCs w:val="24"/>
              </w:rPr>
            </w:pPr>
            <w:r w:rsidRPr="00236848">
              <w:rPr>
                <w:rFonts w:eastAsia="Times New Roman" w:cs="Times New Roman"/>
                <w:color w:val="000000"/>
                <w:sz w:val="24"/>
                <w:szCs w:val="24"/>
              </w:rPr>
              <w:t xml:space="preserve"> $          (25.11)</w:t>
            </w:r>
          </w:p>
        </w:tc>
      </w:tr>
      <w:tr w:rsidRPr="00236848" w:rsidR="00754B2A" w:rsidTr="008715C2" w14:paraId="17D4EA59" w14:textId="77777777">
        <w:trPr>
          <w:trHeight w:val="330"/>
          <w:jc w:val="center"/>
        </w:trPr>
        <w:tc>
          <w:tcPr>
            <w:tcW w:w="4135" w:type="dxa"/>
            <w:tcBorders>
              <w:top w:val="nil"/>
              <w:left w:val="single" w:color="auto" w:sz="4" w:space="0"/>
              <w:bottom w:val="single" w:color="auto" w:sz="4" w:space="0"/>
              <w:right w:val="single" w:color="auto" w:sz="4" w:space="0"/>
            </w:tcBorders>
            <w:shd w:val="clear" w:color="auto" w:fill="auto"/>
            <w:noWrap/>
            <w:vAlign w:val="bottom"/>
            <w:hideMark/>
          </w:tcPr>
          <w:p w:rsidRPr="00236848" w:rsidR="00754B2A" w:rsidP="00720F80" w:rsidRDefault="00754B2A" w14:paraId="4A229C05" w14:textId="77777777">
            <w:pPr>
              <w:spacing w:line="276" w:lineRule="auto"/>
              <w:ind w:firstLine="0"/>
              <w:contextualSpacing/>
              <w:rPr>
                <w:rFonts w:eastAsia="Times New Roman" w:cs="Times New Roman"/>
                <w:b/>
                <w:bCs/>
                <w:color w:val="000000"/>
                <w:sz w:val="24"/>
                <w:szCs w:val="24"/>
              </w:rPr>
            </w:pPr>
            <w:r w:rsidRPr="00236848">
              <w:rPr>
                <w:rFonts w:eastAsia="Times New Roman" w:cs="Times New Roman"/>
                <w:b/>
                <w:bCs/>
                <w:color w:val="000000"/>
                <w:sz w:val="24"/>
                <w:szCs w:val="24"/>
              </w:rPr>
              <w:t>Home + Vehicle Electrification</w:t>
            </w:r>
          </w:p>
        </w:tc>
        <w:tc>
          <w:tcPr>
            <w:tcW w:w="2880" w:type="dxa"/>
            <w:tcBorders>
              <w:top w:val="nil"/>
              <w:left w:val="nil"/>
              <w:bottom w:val="single" w:color="auto" w:sz="4" w:space="0"/>
              <w:right w:val="single" w:color="auto" w:sz="4" w:space="0"/>
            </w:tcBorders>
            <w:shd w:val="clear" w:color="auto" w:fill="auto"/>
            <w:noWrap/>
            <w:vAlign w:val="bottom"/>
            <w:hideMark/>
          </w:tcPr>
          <w:p w:rsidRPr="00236848" w:rsidR="00754B2A" w:rsidP="00720F80" w:rsidRDefault="00754B2A" w14:paraId="2CC83639" w14:textId="77777777">
            <w:pPr>
              <w:spacing w:line="276" w:lineRule="auto"/>
              <w:ind w:firstLine="0"/>
              <w:contextualSpacing/>
              <w:jc w:val="right"/>
              <w:rPr>
                <w:rFonts w:eastAsia="Times New Roman" w:cs="Times New Roman"/>
                <w:b/>
                <w:bCs/>
                <w:color w:val="000000"/>
                <w:sz w:val="24"/>
                <w:szCs w:val="24"/>
              </w:rPr>
            </w:pPr>
            <w:r w:rsidRPr="00236848">
              <w:rPr>
                <w:rFonts w:eastAsia="Times New Roman" w:cs="Times New Roman"/>
                <w:b/>
                <w:bCs/>
                <w:color w:val="000000"/>
                <w:sz w:val="24"/>
                <w:szCs w:val="24"/>
              </w:rPr>
              <w:t xml:space="preserve"> $          (43.68)</w:t>
            </w:r>
          </w:p>
        </w:tc>
      </w:tr>
    </w:tbl>
    <w:p w:rsidR="008715C2" w:rsidP="008715C2" w:rsidRDefault="008715C2" w14:paraId="0E13F834" w14:textId="5F559141">
      <w:pPr>
        <w:spacing w:line="276" w:lineRule="auto"/>
        <w:ind w:firstLine="0"/>
        <w:jc w:val="center"/>
        <w:rPr>
          <w:b/>
          <w:bCs/>
          <w:sz w:val="28"/>
          <w:szCs w:val="28"/>
        </w:rPr>
      </w:pPr>
      <w:r w:rsidRPr="008715C2">
        <w:rPr>
          <w:b/>
          <w:bCs/>
          <w:sz w:val="28"/>
          <w:szCs w:val="28"/>
        </w:rPr>
        <w:t>End of Attachment B</w:t>
      </w:r>
    </w:p>
    <w:p w:rsidR="009C774D" w:rsidP="008715C2" w:rsidRDefault="009C774D" w14:paraId="2563CE8E" w14:textId="77777777">
      <w:pPr>
        <w:spacing w:line="276" w:lineRule="auto"/>
        <w:ind w:firstLine="0"/>
        <w:jc w:val="center"/>
        <w:rPr>
          <w:b/>
          <w:bCs/>
          <w:sz w:val="28"/>
          <w:szCs w:val="28"/>
        </w:rPr>
        <w:sectPr w:rsidR="009C774D" w:rsidSect="0012402D">
          <w:footnotePr>
            <w:numRestart w:val="eachSect"/>
          </w:footnotePr>
          <w:pgSz w:w="12240" w:h="15840"/>
          <w:pgMar w:top="1728" w:right="1440" w:bottom="1440" w:left="1440" w:header="720" w:footer="720" w:gutter="0"/>
          <w:pgNumType w:start="1"/>
          <w:cols w:space="720"/>
          <w:docGrid w:linePitch="360"/>
        </w:sectPr>
      </w:pPr>
    </w:p>
    <w:p w:rsidRPr="008715C2" w:rsidR="009C774D" w:rsidP="008715C2" w:rsidRDefault="009C774D" w14:paraId="720BFBB8" w14:textId="77777777">
      <w:pPr>
        <w:spacing w:line="276" w:lineRule="auto"/>
        <w:ind w:firstLine="0"/>
        <w:jc w:val="center"/>
        <w:rPr>
          <w:b/>
          <w:bCs/>
          <w:sz w:val="28"/>
          <w:szCs w:val="28"/>
        </w:rPr>
      </w:pPr>
    </w:p>
    <w:p w:rsidRPr="008715C2" w:rsidR="008715C2" w:rsidP="009C774D" w:rsidRDefault="009C774D" w14:paraId="70514C72" w14:textId="2A6D7E41">
      <w:pPr>
        <w:spacing w:line="276" w:lineRule="auto"/>
        <w:ind w:firstLine="0"/>
        <w:jc w:val="center"/>
        <w:rPr>
          <w:sz w:val="28"/>
          <w:szCs w:val="28"/>
        </w:rPr>
      </w:pPr>
      <w:r>
        <w:rPr>
          <w:sz w:val="28"/>
          <w:szCs w:val="28"/>
        </w:rPr>
        <w:t>Attachment C</w:t>
      </w:r>
    </w:p>
    <w:sectPr w:rsidRPr="008715C2" w:rsidR="008715C2" w:rsidSect="0012402D">
      <w:footnotePr>
        <w:numRestart w:val="eachSect"/>
      </w:footnotePr>
      <w:pgSz w:w="12240" w:h="15840"/>
      <w:pgMar w:top="1728" w:right="1440" w:bottom="1440" w:left="1440" w:header="720" w:footer="720" w:gutter="0"/>
      <w:pgNumType w:start="1"/>
      <w:cols w:space="720"/>
      <w:docGrid w:linePitch="360"/>
    </w:sectPr>
    <w:p>
      <w:r>
        <w:t xml:space="preserve"/>
      </w:r>
    </w:p>
    <w:p>
      <w:r>
        <w:t xml:space="preserve">Attachment 1: </w:t>
      </w:r>
    </w:p>
    <w:p>
      <w:hyperlink w:history="true" r:id="R3166ae1686004d3f">
        <w:r w:rsidRPr="00CB1292">
          <w:rPr>
            <w:rStyle w:val="Hyperlink"/>
            <w:color w:val="2E74B5" w:themeColor="accent1" w:themeShade="BF"/>
            <w:u w:val="single"/>
          </w:rPr>
          <w:t>Attachment C.pdf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51540" w14:textId="77777777" w:rsidR="00A52606" w:rsidRDefault="00A52606" w:rsidP="0098138E">
      <w:pPr>
        <w:spacing w:line="240" w:lineRule="auto"/>
      </w:pPr>
      <w:r>
        <w:separator/>
      </w:r>
    </w:p>
  </w:endnote>
  <w:endnote w:type="continuationSeparator" w:id="0">
    <w:p w14:paraId="71A5F354" w14:textId="77777777" w:rsidR="00A52606" w:rsidRDefault="00A52606" w:rsidP="0098138E">
      <w:pPr>
        <w:spacing w:line="240" w:lineRule="auto"/>
      </w:pPr>
      <w:r>
        <w:continuationSeparator/>
      </w:r>
    </w:p>
  </w:endnote>
  <w:endnote w:type="continuationNotice" w:id="1">
    <w:p w14:paraId="48ECB5BC" w14:textId="77777777" w:rsidR="00A52606" w:rsidRDefault="00A526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62424536"/>
  <w:p w14:paraId="1D760167" w14:textId="60960022" w:rsidR="008801B6" w:rsidRDefault="00D941D8" w:rsidP="007E0FEE">
    <w:pPr>
      <w:tabs>
        <w:tab w:val="center" w:pos="4680"/>
      </w:tabs>
      <w:ind w:firstLine="0"/>
      <w:rPr>
        <w:noProof/>
      </w:rPr>
    </w:pPr>
    <w:sdt>
      <w:sdtPr>
        <w:id w:val="706692951"/>
        <w:docPartObj>
          <w:docPartGallery w:val="Page Numbers (Bottom of Page)"/>
          <w:docPartUnique/>
        </w:docPartObj>
      </w:sdtPr>
      <w:sdtEndPr>
        <w:rPr>
          <w:noProof/>
        </w:rPr>
      </w:sdtEndPr>
      <w:sdtContent>
        <w:bookmarkEnd w:id="0"/>
        <w:r w:rsidRPr="00D941D8">
          <w:rPr>
            <w:rFonts w:cs="Arial"/>
            <w:sz w:val="16"/>
            <w:szCs w:val="16"/>
          </w:rPr>
          <w:t>531686019</w:t>
        </w:r>
        <w:r w:rsidR="008801B6">
          <w:rPr>
            <w:rFonts w:ascii="Arial" w:hAnsi="Arial" w:cs="Arial"/>
            <w:sz w:val="16"/>
            <w:szCs w:val="16"/>
          </w:rPr>
          <w:tab/>
        </w:r>
        <w:r w:rsidR="008801B6">
          <w:t xml:space="preserve">- </w:t>
        </w:r>
        <w:r w:rsidR="008801B6">
          <w:fldChar w:fldCharType="begin"/>
        </w:r>
        <w:r w:rsidR="008801B6">
          <w:instrText xml:space="preserve"> PAGE   \* MERGEFORMAT </w:instrText>
        </w:r>
        <w:r w:rsidR="008801B6">
          <w:fldChar w:fldCharType="separate"/>
        </w:r>
        <w:r w:rsidR="008801B6">
          <w:rPr>
            <w:noProof/>
          </w:rPr>
          <w:t>2</w:t>
        </w:r>
        <w:r w:rsidR="008801B6">
          <w:rPr>
            <w:noProof/>
          </w:rPr>
          <w:fldChar w:fldCharType="end"/>
        </w:r>
      </w:sdtContent>
    </w:sdt>
    <w:r w:rsidR="008801B6">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5ABF"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BA853"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B855F" w14:textId="77777777" w:rsidR="00A52606" w:rsidRDefault="00A52606" w:rsidP="00DF58E7">
      <w:pPr>
        <w:spacing w:line="240" w:lineRule="auto"/>
        <w:ind w:firstLine="0"/>
      </w:pPr>
      <w:r>
        <w:separator/>
      </w:r>
    </w:p>
  </w:footnote>
  <w:footnote w:type="continuationSeparator" w:id="0">
    <w:p w14:paraId="35388CD3" w14:textId="77777777" w:rsidR="00A52606" w:rsidRDefault="00A52606" w:rsidP="00DF58E7">
      <w:pPr>
        <w:spacing w:line="240" w:lineRule="auto"/>
        <w:ind w:firstLine="0"/>
      </w:pPr>
      <w:r>
        <w:continuationSeparator/>
      </w:r>
    </w:p>
  </w:footnote>
  <w:footnote w:type="continuationNotice" w:id="1">
    <w:p w14:paraId="0E5DF408" w14:textId="77777777" w:rsidR="00A52606" w:rsidRPr="00DF58E7" w:rsidRDefault="00A52606" w:rsidP="00DF58E7">
      <w:pPr>
        <w:spacing w:line="240" w:lineRule="auto"/>
        <w:ind w:firstLine="0"/>
        <w:jc w:val="right"/>
        <w:rPr>
          <w:i/>
          <w:sz w:val="22"/>
        </w:rPr>
      </w:pPr>
      <w:r w:rsidRPr="00DF58E7">
        <w:rPr>
          <w:i/>
          <w:sz w:val="22"/>
        </w:rPr>
        <w:t>Footnote continued on next page.</w:t>
      </w:r>
    </w:p>
  </w:footnote>
  <w:footnote w:id="2">
    <w:p w14:paraId="176AFD66" w14:textId="75FF6FA6" w:rsidR="006E7957" w:rsidRDefault="006E7957">
      <w:pPr>
        <w:pStyle w:val="FootnoteText"/>
      </w:pPr>
      <w:r>
        <w:rPr>
          <w:rStyle w:val="FootnoteReference"/>
        </w:rPr>
        <w:footnoteRef/>
      </w:r>
      <w:r>
        <w:t xml:space="preserve"> The Clean Coalition received permission to late file an opening brief on January 24, 2023.</w:t>
      </w:r>
    </w:p>
  </w:footnote>
  <w:footnote w:id="3">
    <w:p w14:paraId="46CE3A69" w14:textId="42C8690E" w:rsidR="00F11B82" w:rsidRDefault="00F11B82">
      <w:pPr>
        <w:pStyle w:val="FootnoteText"/>
      </w:pPr>
      <w:r>
        <w:rPr>
          <w:rStyle w:val="FootnoteReference"/>
        </w:rPr>
        <w:footnoteRef/>
      </w:r>
      <w:r>
        <w:t xml:space="preserve"> </w:t>
      </w:r>
      <w:r w:rsidRPr="00F11B82">
        <w:t>All references in this decision to “opening statutory briefs” or “reply statutory briefs” shall refer to these respective briefs filed in January and February 2023.</w:t>
      </w:r>
    </w:p>
  </w:footnote>
  <w:footnote w:id="4">
    <w:p w14:paraId="20B693C3" w14:textId="383D978D" w:rsidR="00A5734A" w:rsidRDefault="00A5734A">
      <w:pPr>
        <w:pStyle w:val="FootnoteText"/>
      </w:pPr>
      <w:r>
        <w:rPr>
          <w:rStyle w:val="FootnoteReference"/>
        </w:rPr>
        <w:footnoteRef/>
      </w:r>
      <w:r>
        <w:t xml:space="preserve"> </w:t>
      </w:r>
      <w:r w:rsidRPr="00A5734A">
        <w:t>All references in this decision to “opening briefs” or “reply briefs” shall refer to these respective briefs filed in October and November 2023.</w:t>
      </w:r>
    </w:p>
  </w:footnote>
  <w:footnote w:id="5">
    <w:p w14:paraId="3C89D8CC" w14:textId="0B8E1A9C" w:rsidR="0052633A" w:rsidRDefault="0052633A">
      <w:pPr>
        <w:pStyle w:val="FootnoteText"/>
      </w:pPr>
      <w:r>
        <w:rPr>
          <w:rStyle w:val="FootnoteReference"/>
        </w:rPr>
        <w:footnoteRef/>
      </w:r>
      <w:r>
        <w:t xml:space="preserve"> </w:t>
      </w:r>
      <w:r w:rsidR="00256190">
        <w:t>SEIA</w:t>
      </w:r>
      <w:r w:rsidR="00B043C4">
        <w:t>’s</w:t>
      </w:r>
      <w:r w:rsidR="00256190">
        <w:t xml:space="preserve"> </w:t>
      </w:r>
      <w:r w:rsidR="0094743B">
        <w:t>opening statutory brief</w:t>
      </w:r>
      <w:r w:rsidR="00B043C4">
        <w:t>.</w:t>
      </w:r>
    </w:p>
  </w:footnote>
  <w:footnote w:id="6">
    <w:p w14:paraId="74C5B1FC" w14:textId="46D83555" w:rsidR="0052633A" w:rsidRDefault="0052633A">
      <w:pPr>
        <w:pStyle w:val="FootnoteText"/>
      </w:pPr>
      <w:r>
        <w:rPr>
          <w:rStyle w:val="FootnoteReference"/>
        </w:rPr>
        <w:footnoteRef/>
      </w:r>
      <w:r>
        <w:t xml:space="preserve"> </w:t>
      </w:r>
      <w:r w:rsidR="00F64D1C" w:rsidRPr="00F64D1C">
        <w:t>D.15-07-001</w:t>
      </w:r>
      <w:r w:rsidR="00F64D1C">
        <w:t xml:space="preserve"> at 221-222.</w:t>
      </w:r>
    </w:p>
  </w:footnote>
  <w:footnote w:id="7">
    <w:p w14:paraId="64C4CDC1" w14:textId="2CE44A69" w:rsidR="00D5537E" w:rsidRDefault="00D5537E">
      <w:pPr>
        <w:pStyle w:val="FootnoteText"/>
      </w:pPr>
      <w:r>
        <w:rPr>
          <w:rStyle w:val="FootnoteReference"/>
        </w:rPr>
        <w:footnoteRef/>
      </w:r>
      <w:r>
        <w:t xml:space="preserve"> TURN/NRDC</w:t>
      </w:r>
      <w:r w:rsidR="00BB3899">
        <w:t>’s</w:t>
      </w:r>
      <w:r>
        <w:t xml:space="preserve"> opening statutory brief</w:t>
      </w:r>
      <w:r w:rsidR="00BB3899">
        <w:t>.</w:t>
      </w:r>
    </w:p>
  </w:footnote>
  <w:footnote w:id="8">
    <w:p w14:paraId="68C25A4D" w14:textId="4792A303" w:rsidR="002C0E3A" w:rsidRDefault="002C0E3A">
      <w:pPr>
        <w:pStyle w:val="FootnoteText"/>
      </w:pPr>
      <w:r>
        <w:rPr>
          <w:rStyle w:val="FootnoteReference"/>
        </w:rPr>
        <w:footnoteRef/>
      </w:r>
      <w:r>
        <w:t xml:space="preserve"> TURN/NRDC’s reply statutory brief</w:t>
      </w:r>
      <w:r w:rsidR="00BB3899">
        <w:t>.</w:t>
      </w:r>
    </w:p>
  </w:footnote>
  <w:footnote w:id="9">
    <w:p w14:paraId="2732A9C5" w14:textId="2FEDCDE8" w:rsidR="004C4757" w:rsidRDefault="004C4757">
      <w:pPr>
        <w:pStyle w:val="FootnoteText"/>
      </w:pPr>
      <w:r>
        <w:rPr>
          <w:rStyle w:val="FootnoteReference"/>
        </w:rPr>
        <w:footnoteRef/>
      </w:r>
      <w:r>
        <w:t xml:space="preserve"> </w:t>
      </w:r>
      <w:r w:rsidR="00421F41">
        <w:t xml:space="preserve">The </w:t>
      </w:r>
      <w:r w:rsidR="00772771">
        <w:t xml:space="preserve">Large Utilities’ </w:t>
      </w:r>
      <w:r w:rsidR="00C525DD">
        <w:t xml:space="preserve">and TURN/NRDC’s </w:t>
      </w:r>
      <w:r w:rsidR="00772771">
        <w:t xml:space="preserve">opening </w:t>
      </w:r>
      <w:r w:rsidR="0023536A">
        <w:t xml:space="preserve">statutory </w:t>
      </w:r>
      <w:r w:rsidR="00772771">
        <w:t>brief</w:t>
      </w:r>
      <w:r w:rsidR="00C525DD">
        <w:t>s</w:t>
      </w:r>
      <w:r w:rsidR="00772771">
        <w:t>.</w:t>
      </w:r>
    </w:p>
  </w:footnote>
  <w:footnote w:id="10">
    <w:p w14:paraId="76647951" w14:textId="72D2A9E6" w:rsidR="004C4757" w:rsidRDefault="004C4757">
      <w:pPr>
        <w:pStyle w:val="FootnoteText"/>
      </w:pPr>
      <w:r>
        <w:rPr>
          <w:rStyle w:val="FootnoteReference"/>
        </w:rPr>
        <w:footnoteRef/>
      </w:r>
      <w:r>
        <w:t xml:space="preserve"> </w:t>
      </w:r>
      <w:r w:rsidR="00AE0EF2">
        <w:t>SEIA’s opening statutory brief</w:t>
      </w:r>
      <w:r w:rsidR="00F456A0">
        <w:t>.</w:t>
      </w:r>
    </w:p>
  </w:footnote>
  <w:footnote w:id="11">
    <w:p w14:paraId="2B60A0EE" w14:textId="4FD7D475" w:rsidR="00D86EA0" w:rsidRDefault="00D86EA0" w:rsidP="00D86EA0">
      <w:pPr>
        <w:pStyle w:val="FootnoteText"/>
      </w:pPr>
      <w:r>
        <w:rPr>
          <w:rStyle w:val="FootnoteReference"/>
        </w:rPr>
        <w:footnoteRef/>
      </w:r>
      <w:r>
        <w:t xml:space="preserve"> </w:t>
      </w:r>
      <w:r w:rsidR="00987B0A" w:rsidRPr="00987B0A">
        <w:t>Sierra Club/CEJA</w:t>
      </w:r>
      <w:r w:rsidR="00987B0A">
        <w:t>’s</w:t>
      </w:r>
      <w:r w:rsidR="00987B0A" w:rsidRPr="00987B0A">
        <w:t>, CforAT</w:t>
      </w:r>
      <w:r w:rsidR="00987B0A">
        <w:t>’s</w:t>
      </w:r>
      <w:r w:rsidR="00987B0A" w:rsidRPr="00987B0A">
        <w:t>, Cal Advocates</w:t>
      </w:r>
      <w:r w:rsidR="00987B0A">
        <w:t>’</w:t>
      </w:r>
      <w:r w:rsidR="00987B0A" w:rsidRPr="00987B0A">
        <w:t>, and the Large Utilities</w:t>
      </w:r>
      <w:r w:rsidR="00987B0A">
        <w:t>’</w:t>
      </w:r>
      <w:r w:rsidR="00987B0A" w:rsidRPr="00987B0A">
        <w:t xml:space="preserve"> </w:t>
      </w:r>
      <w:r w:rsidR="00987B0A">
        <w:t>o</w:t>
      </w:r>
      <w:r>
        <w:t>pening statutory briefs.</w:t>
      </w:r>
    </w:p>
  </w:footnote>
  <w:footnote w:id="12">
    <w:p w14:paraId="7970A073" w14:textId="77777777" w:rsidR="00481B56" w:rsidRDefault="00481B56" w:rsidP="00481B56">
      <w:pPr>
        <w:pStyle w:val="FootnoteText"/>
      </w:pPr>
      <w:r>
        <w:rPr>
          <w:rStyle w:val="FootnoteReference"/>
        </w:rPr>
        <w:footnoteRef/>
      </w:r>
      <w:r>
        <w:t xml:space="preserve"> General Order 153 defines a</w:t>
      </w:r>
      <w:r w:rsidRPr="003546B8">
        <w:t xml:space="preserve"> “residenc</w:t>
      </w:r>
      <w:r>
        <w:t>e”</w:t>
      </w:r>
      <w:r w:rsidRPr="003546B8">
        <w:t xml:space="preserve"> as “[t]hat portion of an individual house, building, flat, or apartment (a dwelling unit) occupied entirely by a single Household as that term is defined by these rules. A room or portion of a dwelling unit occupied exclusively by a Household not sharing equally as a member of the domestic establishment may be considered a separate residence for the application of California LifeLine.”</w:t>
      </w:r>
    </w:p>
  </w:footnote>
  <w:footnote w:id="13">
    <w:p w14:paraId="0C6DCE7F" w14:textId="1880C69C" w:rsidR="00AF0914" w:rsidRDefault="00AF0914">
      <w:pPr>
        <w:pStyle w:val="FootnoteText"/>
      </w:pPr>
      <w:r>
        <w:rPr>
          <w:rStyle w:val="FootnoteReference"/>
        </w:rPr>
        <w:footnoteRef/>
      </w:r>
      <w:r>
        <w:t xml:space="preserve"> CforAT’s opening statutory brief</w:t>
      </w:r>
      <w:r w:rsidR="00D86EA0">
        <w:t>.</w:t>
      </w:r>
    </w:p>
  </w:footnote>
  <w:footnote w:id="14">
    <w:p w14:paraId="4A150ABF" w14:textId="65D805CA" w:rsidR="003546B8" w:rsidRDefault="003546B8">
      <w:pPr>
        <w:pStyle w:val="FootnoteText"/>
      </w:pPr>
      <w:r>
        <w:rPr>
          <w:rStyle w:val="FootnoteReference"/>
        </w:rPr>
        <w:footnoteRef/>
      </w:r>
      <w:r>
        <w:t xml:space="preserve"> </w:t>
      </w:r>
      <w:r w:rsidR="00C043DA" w:rsidRPr="00C043DA">
        <w:t>The Large Utilities’ and TURN/NRDC’s opening statutory briefs.</w:t>
      </w:r>
    </w:p>
  </w:footnote>
  <w:footnote w:id="15">
    <w:p w14:paraId="71D0B6E8" w14:textId="495801B3" w:rsidR="00542229" w:rsidRDefault="00542229">
      <w:pPr>
        <w:pStyle w:val="FootnoteText"/>
      </w:pPr>
      <w:r>
        <w:rPr>
          <w:rStyle w:val="FootnoteReference"/>
        </w:rPr>
        <w:footnoteRef/>
      </w:r>
      <w:r>
        <w:t xml:space="preserve"> </w:t>
      </w:r>
      <w:r w:rsidR="00854ABE">
        <w:t>The Large Utilities’</w:t>
      </w:r>
      <w:r w:rsidR="00E75B36">
        <w:t xml:space="preserve">, CforAT’s, </w:t>
      </w:r>
      <w:r w:rsidR="00A63529">
        <w:t xml:space="preserve">Clean Coalition’s, </w:t>
      </w:r>
      <w:r w:rsidR="006B4588">
        <w:t xml:space="preserve">CUE’s, </w:t>
      </w:r>
      <w:r w:rsidR="00E75B36">
        <w:t xml:space="preserve">SEIA’s, and Cal Advocates’ </w:t>
      </w:r>
      <w:r w:rsidR="00E75B36" w:rsidRPr="00E75B36">
        <w:t>opening statutory brief</w:t>
      </w:r>
      <w:r w:rsidR="00E75B36">
        <w:t>s</w:t>
      </w:r>
      <w:r w:rsidR="00E75B36" w:rsidRPr="00E75B36">
        <w:t>.</w:t>
      </w:r>
    </w:p>
  </w:footnote>
  <w:footnote w:id="16">
    <w:p w14:paraId="5B3FF5C0" w14:textId="5A6C89C2" w:rsidR="00A60D1E" w:rsidRDefault="00A60D1E">
      <w:pPr>
        <w:pStyle w:val="FootnoteText"/>
      </w:pPr>
      <w:r>
        <w:rPr>
          <w:rStyle w:val="FootnoteReference"/>
        </w:rPr>
        <w:footnoteRef/>
      </w:r>
      <w:r>
        <w:t xml:space="preserve"> TURN/NRDC’s opening statutory brief</w:t>
      </w:r>
      <w:r w:rsidR="007142A5">
        <w:t>.</w:t>
      </w:r>
    </w:p>
  </w:footnote>
  <w:footnote w:id="17">
    <w:p w14:paraId="31087F83" w14:textId="483E304D" w:rsidR="00EA3FEE" w:rsidRDefault="00EA3FEE">
      <w:pPr>
        <w:pStyle w:val="FootnoteText"/>
      </w:pPr>
      <w:r>
        <w:rPr>
          <w:rStyle w:val="FootnoteReference"/>
        </w:rPr>
        <w:footnoteRef/>
      </w:r>
      <w:r>
        <w:t xml:space="preserve"> Cal Advocates’ </w:t>
      </w:r>
      <w:r w:rsidRPr="00EA3FEE">
        <w:t>opening statutory brief.</w:t>
      </w:r>
    </w:p>
  </w:footnote>
  <w:footnote w:id="18">
    <w:p w14:paraId="557F7999" w14:textId="40212B9E" w:rsidR="008D5FEB" w:rsidRDefault="008D5FEB">
      <w:pPr>
        <w:pStyle w:val="FootnoteText"/>
      </w:pPr>
      <w:r>
        <w:rPr>
          <w:rStyle w:val="FootnoteReference"/>
        </w:rPr>
        <w:footnoteRef/>
      </w:r>
      <w:r>
        <w:t xml:space="preserve"> Sierra Club/CEJA’s </w:t>
      </w:r>
      <w:r w:rsidRPr="008D5FEB">
        <w:t>opening statutory brief.</w:t>
      </w:r>
    </w:p>
  </w:footnote>
  <w:footnote w:id="19">
    <w:p w14:paraId="066172BF" w14:textId="536592D6" w:rsidR="008030E5" w:rsidRDefault="008030E5">
      <w:pPr>
        <w:pStyle w:val="FootnoteText"/>
      </w:pPr>
      <w:r>
        <w:rPr>
          <w:rStyle w:val="FootnoteReference"/>
        </w:rPr>
        <w:footnoteRef/>
      </w:r>
      <w:r>
        <w:t xml:space="preserve"> </w:t>
      </w:r>
      <w:r w:rsidR="00854ABE" w:rsidRPr="00854ABE">
        <w:t>The Large Utilities’ opening statutory brief</w:t>
      </w:r>
      <w:r w:rsidR="00854ABE">
        <w:t>.</w:t>
      </w:r>
    </w:p>
  </w:footnote>
  <w:footnote w:id="20">
    <w:p w14:paraId="267FB145" w14:textId="0AE23B70" w:rsidR="007E1352" w:rsidRDefault="007E1352">
      <w:pPr>
        <w:pStyle w:val="FootnoteText"/>
      </w:pPr>
      <w:r>
        <w:rPr>
          <w:rStyle w:val="FootnoteReference"/>
        </w:rPr>
        <w:footnoteRef/>
      </w:r>
      <w:r>
        <w:t xml:space="preserve"> </w:t>
      </w:r>
      <w:r w:rsidR="00D97468">
        <w:t>CforAT’s</w:t>
      </w:r>
      <w:r w:rsidR="00D97468" w:rsidRPr="00D97468">
        <w:t xml:space="preserve"> and TURN/NRDC’s opening statutory briefs</w:t>
      </w:r>
      <w:r w:rsidR="00D97468">
        <w:t>.</w:t>
      </w:r>
    </w:p>
  </w:footnote>
  <w:footnote w:id="21">
    <w:p w14:paraId="3EDBFD9F" w14:textId="6E6B596C" w:rsidR="0034244F" w:rsidRDefault="0034244F">
      <w:pPr>
        <w:pStyle w:val="FootnoteText"/>
      </w:pPr>
      <w:r>
        <w:rPr>
          <w:rStyle w:val="FootnoteReference"/>
        </w:rPr>
        <w:footnoteRef/>
      </w:r>
      <w:r>
        <w:t xml:space="preserve"> </w:t>
      </w:r>
      <w:r w:rsidR="003678B6">
        <w:t>Sierra Club</w:t>
      </w:r>
      <w:r w:rsidR="00A847A4">
        <w:t>/CEJA’s opening statutory brief.</w:t>
      </w:r>
    </w:p>
  </w:footnote>
  <w:footnote w:id="22">
    <w:p w14:paraId="20073F2F" w14:textId="7401E5B4" w:rsidR="00A35C6F" w:rsidRDefault="00A35C6F">
      <w:pPr>
        <w:pStyle w:val="FootnoteText"/>
      </w:pPr>
      <w:r>
        <w:rPr>
          <w:rStyle w:val="FootnoteReference"/>
        </w:rPr>
        <w:footnoteRef/>
      </w:r>
      <w:r>
        <w:t xml:space="preserve"> </w:t>
      </w:r>
      <w:r w:rsidR="00A614F2">
        <w:t>The Large Utilities’ reply</w:t>
      </w:r>
      <w:r w:rsidR="00A614F2" w:rsidRPr="00A614F2">
        <w:t xml:space="preserve"> statutory brief.</w:t>
      </w:r>
    </w:p>
  </w:footnote>
  <w:footnote w:id="23">
    <w:p w14:paraId="28D51EED" w14:textId="215F5C39" w:rsidR="002A19B1" w:rsidRDefault="002A19B1">
      <w:pPr>
        <w:pStyle w:val="FootnoteText"/>
      </w:pPr>
      <w:r>
        <w:rPr>
          <w:rStyle w:val="FootnoteReference"/>
        </w:rPr>
        <w:footnoteRef/>
      </w:r>
      <w:r>
        <w:t xml:space="preserve"> </w:t>
      </w:r>
      <w:r w:rsidR="00A614F2">
        <w:t xml:space="preserve">The </w:t>
      </w:r>
      <w:r w:rsidR="00E50F7E">
        <w:t>Large Utilities</w:t>
      </w:r>
      <w:r w:rsidR="0041579B">
        <w:t>’</w:t>
      </w:r>
      <w:r w:rsidR="00E50F7E">
        <w:t xml:space="preserve"> opening statutory brief</w:t>
      </w:r>
      <w:r w:rsidR="00A614F2">
        <w:t>.</w:t>
      </w:r>
    </w:p>
  </w:footnote>
  <w:footnote w:id="24">
    <w:p w14:paraId="60F33B48" w14:textId="44543204" w:rsidR="00E45242" w:rsidRDefault="00E45242">
      <w:pPr>
        <w:pStyle w:val="FootnoteText"/>
      </w:pPr>
      <w:r>
        <w:rPr>
          <w:rStyle w:val="FootnoteReference"/>
        </w:rPr>
        <w:footnoteRef/>
      </w:r>
      <w:r>
        <w:t xml:space="preserve"> </w:t>
      </w:r>
      <w:r w:rsidR="00C15502">
        <w:t xml:space="preserve">CforAT’s </w:t>
      </w:r>
      <w:r w:rsidR="0078746F">
        <w:t>statutory reply brief</w:t>
      </w:r>
      <w:r w:rsidR="00C15502">
        <w:t>.</w:t>
      </w:r>
    </w:p>
  </w:footnote>
  <w:footnote w:id="25">
    <w:p w14:paraId="0C340698" w14:textId="17DC693A" w:rsidR="00D21151" w:rsidRDefault="00D21151" w:rsidP="00D21151">
      <w:pPr>
        <w:pStyle w:val="FootnoteText"/>
      </w:pPr>
      <w:r>
        <w:rPr>
          <w:rStyle w:val="FootnoteReference"/>
        </w:rPr>
        <w:footnoteRef/>
      </w:r>
      <w:r>
        <w:t xml:space="preserve"> </w:t>
      </w:r>
      <w:r w:rsidR="0099083D">
        <w:t>CforAT’s opening statutory brief.</w:t>
      </w:r>
    </w:p>
  </w:footnote>
  <w:footnote w:id="26">
    <w:p w14:paraId="0258AF20" w14:textId="5F438ED9" w:rsidR="00EB3A27" w:rsidRDefault="00EB3A27">
      <w:pPr>
        <w:pStyle w:val="FootnoteText"/>
      </w:pPr>
      <w:r>
        <w:rPr>
          <w:rStyle w:val="FootnoteReference"/>
        </w:rPr>
        <w:footnoteRef/>
      </w:r>
      <w:r>
        <w:t xml:space="preserve"> </w:t>
      </w:r>
      <w:r w:rsidRPr="00EB3A27">
        <w:t>The Commission historically used “baseline” amounts of electricity to determine how much electricity California households should receive at the lowest rate in a given climate zone. Baseline allowances of electricity are generally set around 60% of the average household usage in a given climate zone. Baseline amounts are higher in summer in areas with warmer weather and larger air conditioning loads and higher in winter in areas with all-electric home heating loads.</w:t>
      </w:r>
      <w:r w:rsidR="00D21EA7">
        <w:t xml:space="preserve"> </w:t>
      </w:r>
      <w:r w:rsidR="00C468C7">
        <w:t>A “</w:t>
      </w:r>
      <w:r w:rsidRPr="00EB3A27">
        <w:t xml:space="preserve">baseline territory” </w:t>
      </w:r>
      <w:r w:rsidR="00C468C7">
        <w:t>is the</w:t>
      </w:r>
      <w:r w:rsidRPr="00EB3A27">
        <w:t xml:space="preserve"> geographic area within a given utility’s service territory that receives a baseline allowance of electricity.</w:t>
      </w:r>
    </w:p>
  </w:footnote>
  <w:footnote w:id="27">
    <w:p w14:paraId="0B3698E2" w14:textId="78D20A8B" w:rsidR="00EB3A27" w:rsidRDefault="00EB3A27">
      <w:pPr>
        <w:pStyle w:val="FootnoteText"/>
      </w:pPr>
      <w:r>
        <w:rPr>
          <w:rStyle w:val="FootnoteReference"/>
        </w:rPr>
        <w:footnoteRef/>
      </w:r>
      <w:r>
        <w:t xml:space="preserve"> </w:t>
      </w:r>
      <w:r w:rsidR="00724E3F">
        <w:t xml:space="preserve">The Large Utilities’ </w:t>
      </w:r>
      <w:r w:rsidR="00E3429C">
        <w:t>reply statutory brief.</w:t>
      </w:r>
    </w:p>
  </w:footnote>
  <w:footnote w:id="28">
    <w:p w14:paraId="665EF839" w14:textId="53C7BD39" w:rsidR="001C1986" w:rsidRDefault="001C1986">
      <w:pPr>
        <w:pStyle w:val="FootnoteText"/>
      </w:pPr>
      <w:r>
        <w:rPr>
          <w:rStyle w:val="FootnoteReference"/>
        </w:rPr>
        <w:footnoteRef/>
      </w:r>
      <w:r>
        <w:t xml:space="preserve"> </w:t>
      </w:r>
      <w:r w:rsidR="00E3429C">
        <w:t xml:space="preserve">TURN/NRDC’s </w:t>
      </w:r>
      <w:r w:rsidR="00AC1CC4">
        <w:t>opening statutory brief.</w:t>
      </w:r>
    </w:p>
  </w:footnote>
  <w:footnote w:id="29">
    <w:p w14:paraId="00D31BAB" w14:textId="6AC71584" w:rsidR="00361BC3" w:rsidRDefault="00361BC3" w:rsidP="00361BC3">
      <w:pPr>
        <w:pStyle w:val="FootnoteText"/>
      </w:pPr>
      <w:r>
        <w:rPr>
          <w:rStyle w:val="FootnoteReference"/>
        </w:rPr>
        <w:footnoteRef/>
      </w:r>
      <w:r>
        <w:t xml:space="preserve"> CforAT’s opening statutory brief</w:t>
      </w:r>
      <w:r w:rsidR="00482F24">
        <w:t xml:space="preserve"> </w:t>
      </w:r>
      <w:r w:rsidR="00F03267">
        <w:t>and CforAT’s opening brief</w:t>
      </w:r>
      <w:r>
        <w:t>.</w:t>
      </w:r>
    </w:p>
  </w:footnote>
  <w:footnote w:id="30">
    <w:p w14:paraId="5FF1A59B" w14:textId="48D3AB13" w:rsidR="008F0711" w:rsidRDefault="008F0711">
      <w:pPr>
        <w:pStyle w:val="FootnoteText"/>
      </w:pPr>
      <w:r>
        <w:rPr>
          <w:rStyle w:val="FootnoteReference"/>
        </w:rPr>
        <w:footnoteRef/>
      </w:r>
      <w:r>
        <w:t xml:space="preserve"> </w:t>
      </w:r>
      <w:r w:rsidRPr="008F0711">
        <w:t>Marginal Customer Access Costs are the marginal costs of the equipment required to provide a customer with access to the electric grid, plus revenue cycle services such as billing and customer care.</w:t>
      </w:r>
    </w:p>
  </w:footnote>
  <w:footnote w:id="31">
    <w:p w14:paraId="7F072C0D" w14:textId="2E847BE4" w:rsidR="00D64CE8" w:rsidRDefault="00D64CE8">
      <w:pPr>
        <w:pStyle w:val="FootnoteText"/>
      </w:pPr>
      <w:r>
        <w:rPr>
          <w:rStyle w:val="FootnoteReference"/>
        </w:rPr>
        <w:footnoteRef/>
      </w:r>
      <w:r>
        <w:t xml:space="preserve"> </w:t>
      </w:r>
      <w:r w:rsidR="001144CC">
        <w:t xml:space="preserve">SEIA’s opening statutory brief and </w:t>
      </w:r>
      <w:r w:rsidR="003E5E55">
        <w:t>Exhibit SEIA-01</w:t>
      </w:r>
      <w:r w:rsidR="00DC4054">
        <w:t>.</w:t>
      </w:r>
    </w:p>
  </w:footnote>
  <w:footnote w:id="32">
    <w:p w14:paraId="26F8DF79" w14:textId="2245E812" w:rsidR="004F0586" w:rsidRDefault="004F0586">
      <w:pPr>
        <w:pStyle w:val="FootnoteText"/>
      </w:pPr>
      <w:r>
        <w:rPr>
          <w:rStyle w:val="FootnoteReference"/>
        </w:rPr>
        <w:footnoteRef/>
      </w:r>
      <w:r>
        <w:t xml:space="preserve"> Exhibit CLC-01</w:t>
      </w:r>
      <w:r w:rsidR="00402FC7">
        <w:t xml:space="preserve"> and </w:t>
      </w:r>
      <w:r w:rsidR="00230764">
        <w:t>the California Solar and Storage Association’s opening comments on the Implementation Pathway Ruling</w:t>
      </w:r>
      <w:r w:rsidR="002A218E">
        <w:t xml:space="preserve"> defined in Section 4 below</w:t>
      </w:r>
      <w:r w:rsidR="00230764">
        <w:t>.</w:t>
      </w:r>
    </w:p>
  </w:footnote>
  <w:footnote w:id="33">
    <w:p w14:paraId="2EBC6C1E" w14:textId="1E795FF6" w:rsidR="0034449E" w:rsidRDefault="0034449E" w:rsidP="0034449E">
      <w:pPr>
        <w:pStyle w:val="FootnoteText"/>
      </w:pPr>
      <w:r>
        <w:rPr>
          <w:rStyle w:val="FootnoteReference"/>
        </w:rPr>
        <w:footnoteRef/>
      </w:r>
      <w:r>
        <w:t xml:space="preserve"> TURN/NRDC</w:t>
      </w:r>
      <w:r w:rsidR="009F1F80">
        <w:t>’s</w:t>
      </w:r>
      <w:r>
        <w:t xml:space="preserve"> opening </w:t>
      </w:r>
      <w:r w:rsidR="0084054E">
        <w:t>brief.</w:t>
      </w:r>
    </w:p>
  </w:footnote>
  <w:footnote w:id="34">
    <w:p w14:paraId="234E5EA5" w14:textId="48C4A038" w:rsidR="00AA0A4B" w:rsidRDefault="00AA0A4B">
      <w:pPr>
        <w:pStyle w:val="FootnoteText"/>
      </w:pPr>
      <w:r>
        <w:rPr>
          <w:rStyle w:val="FootnoteReference"/>
        </w:rPr>
        <w:footnoteRef/>
      </w:r>
      <w:r>
        <w:t xml:space="preserve"> </w:t>
      </w:r>
      <w:r w:rsidRPr="00AA0A4B">
        <w:t>Cal Advocates</w:t>
      </w:r>
      <w:r w:rsidR="005A677D">
        <w:t>’</w:t>
      </w:r>
      <w:r w:rsidR="005F72FD">
        <w:t xml:space="preserve">, </w:t>
      </w:r>
      <w:r w:rsidRPr="00AA0A4B">
        <w:t>Sierra Club</w:t>
      </w:r>
      <w:r w:rsidR="005A677D">
        <w:t>’s</w:t>
      </w:r>
      <w:r w:rsidR="005F72FD">
        <w:t xml:space="preserve">, </w:t>
      </w:r>
      <w:r w:rsidR="006711B8">
        <w:t xml:space="preserve">and the </w:t>
      </w:r>
      <w:r w:rsidR="005F72FD">
        <w:t>Large Utilities</w:t>
      </w:r>
      <w:r w:rsidR="006711B8">
        <w:t>’ opening briefs.</w:t>
      </w:r>
      <w:r w:rsidR="00E677E5">
        <w:t xml:space="preserve"> </w:t>
      </w:r>
    </w:p>
  </w:footnote>
  <w:footnote w:id="35">
    <w:p w14:paraId="308C5A57" w14:textId="52018631" w:rsidR="00050A43" w:rsidRDefault="00050A43">
      <w:pPr>
        <w:pStyle w:val="FootnoteText"/>
      </w:pPr>
      <w:r>
        <w:rPr>
          <w:rStyle w:val="FootnoteReference"/>
        </w:rPr>
        <w:footnoteRef/>
      </w:r>
      <w:r>
        <w:t xml:space="preserve"> </w:t>
      </w:r>
      <w:r w:rsidR="00331DBB">
        <w:t>Section 14 of AB 205.</w:t>
      </w:r>
    </w:p>
  </w:footnote>
  <w:footnote w:id="36">
    <w:p w14:paraId="353E837A" w14:textId="5B5A71AD" w:rsidR="00131855" w:rsidRDefault="00131855">
      <w:pPr>
        <w:pStyle w:val="FootnoteText"/>
      </w:pPr>
      <w:r>
        <w:rPr>
          <w:rStyle w:val="FootnoteReference"/>
        </w:rPr>
        <w:footnoteRef/>
      </w:r>
      <w:r>
        <w:t xml:space="preserve"> </w:t>
      </w:r>
      <w:r w:rsidR="002A218E">
        <w:t xml:space="preserve">Exhibit </w:t>
      </w:r>
      <w:r w:rsidR="001845A5" w:rsidRPr="001845A5">
        <w:t>Cal Advocates-01-E</w:t>
      </w:r>
      <w:r w:rsidR="001D4532">
        <w:t>.</w:t>
      </w:r>
    </w:p>
  </w:footnote>
  <w:footnote w:id="37">
    <w:p w14:paraId="7C92912B" w14:textId="48A1EE09" w:rsidR="00604EBE" w:rsidRDefault="00604EBE">
      <w:pPr>
        <w:pStyle w:val="FootnoteText"/>
      </w:pPr>
      <w:r>
        <w:rPr>
          <w:rStyle w:val="FootnoteReference"/>
        </w:rPr>
        <w:footnoteRef/>
      </w:r>
      <w:r>
        <w:t xml:space="preserve"> TURN/NRDC’s opening statutory brief.</w:t>
      </w:r>
    </w:p>
  </w:footnote>
  <w:footnote w:id="38">
    <w:p w14:paraId="16F4B9BF" w14:textId="1E80F10B" w:rsidR="009906C5" w:rsidRDefault="009906C5" w:rsidP="009906C5">
      <w:pPr>
        <w:pStyle w:val="FootnoteText"/>
      </w:pPr>
      <w:r>
        <w:rPr>
          <w:rStyle w:val="FootnoteReference"/>
        </w:rPr>
        <w:footnoteRef/>
      </w:r>
      <w:r>
        <w:t xml:space="preserve"> Cal Advocates’ opening statutory brief.</w:t>
      </w:r>
    </w:p>
  </w:footnote>
  <w:footnote w:id="39">
    <w:p w14:paraId="67E68629" w14:textId="7210BB7B" w:rsidR="00A1554B" w:rsidRDefault="00A1554B">
      <w:pPr>
        <w:pStyle w:val="FootnoteText"/>
      </w:pPr>
      <w:r>
        <w:rPr>
          <w:rStyle w:val="FootnoteReference"/>
        </w:rPr>
        <w:footnoteRef/>
      </w:r>
      <w:r>
        <w:t xml:space="preserve"> Cal Advocates’ </w:t>
      </w:r>
      <w:r w:rsidR="009906C5">
        <w:t>opening statutory brief.</w:t>
      </w:r>
    </w:p>
  </w:footnote>
  <w:footnote w:id="40">
    <w:p w14:paraId="7358B05E" w14:textId="6E28DECF" w:rsidR="000F0F3A" w:rsidRDefault="000F0F3A">
      <w:pPr>
        <w:pStyle w:val="FootnoteText"/>
      </w:pPr>
      <w:r>
        <w:rPr>
          <w:rStyle w:val="FootnoteReference"/>
        </w:rPr>
        <w:footnoteRef/>
      </w:r>
      <w:r>
        <w:t xml:space="preserve"> </w:t>
      </w:r>
      <w:r w:rsidR="00F5114C">
        <w:t xml:space="preserve">Sierra Club/CEJA’s and the Large Utilities’ </w:t>
      </w:r>
      <w:r w:rsidR="00C16516">
        <w:t>opening statutory briefs</w:t>
      </w:r>
      <w:r w:rsidR="00F5114C">
        <w:t>.</w:t>
      </w:r>
    </w:p>
  </w:footnote>
  <w:footnote w:id="41">
    <w:p w14:paraId="32729752" w14:textId="77777777" w:rsidR="001D4C3D" w:rsidRDefault="001D4C3D" w:rsidP="001D4C3D">
      <w:pPr>
        <w:pStyle w:val="FootnoteText"/>
      </w:pPr>
      <w:r>
        <w:rPr>
          <w:rStyle w:val="FootnoteReference"/>
        </w:rPr>
        <w:footnoteRef/>
      </w:r>
      <w:r>
        <w:t xml:space="preserve"> TURN/NRDC’s opening brief.</w:t>
      </w:r>
    </w:p>
  </w:footnote>
  <w:footnote w:id="42">
    <w:p w14:paraId="4E51E60A" w14:textId="350CC4BF" w:rsidR="00F13934" w:rsidRDefault="00F13934">
      <w:pPr>
        <w:pStyle w:val="FootnoteText"/>
      </w:pPr>
      <w:r>
        <w:rPr>
          <w:rStyle w:val="FootnoteReference"/>
        </w:rPr>
        <w:footnoteRef/>
      </w:r>
      <w:r>
        <w:t xml:space="preserve"> Large Utilities</w:t>
      </w:r>
      <w:r w:rsidR="000555E4">
        <w:t>’</w:t>
      </w:r>
      <w:r>
        <w:t xml:space="preserve"> reply brief.</w:t>
      </w:r>
    </w:p>
  </w:footnote>
  <w:footnote w:id="43">
    <w:p w14:paraId="435846EC" w14:textId="6BDC259F" w:rsidR="003F055A" w:rsidRDefault="003F055A" w:rsidP="003F055A">
      <w:pPr>
        <w:pStyle w:val="FootnoteText"/>
      </w:pPr>
      <w:r>
        <w:rPr>
          <w:rStyle w:val="FootnoteReference"/>
        </w:rPr>
        <w:footnoteRef/>
      </w:r>
      <w:r>
        <w:t xml:space="preserve"> </w:t>
      </w:r>
      <w:r w:rsidR="001174C4">
        <w:t xml:space="preserve">In its opening brief, </w:t>
      </w:r>
      <w:r>
        <w:t>TURN/NRDC</w:t>
      </w:r>
      <w:r w:rsidR="001174C4">
        <w:t xml:space="preserve"> acknowledged that it previously proposed a different method for compliance with </w:t>
      </w:r>
      <w:r w:rsidR="001174C4" w:rsidRPr="005D6415">
        <w:t>Section 739.1(</w:t>
      </w:r>
      <w:r w:rsidR="001174C4" w:rsidRPr="001174C4">
        <w:t>c</w:t>
      </w:r>
      <w:r w:rsidR="001174C4" w:rsidRPr="005D6415">
        <w:t>)(1)</w:t>
      </w:r>
      <w:r w:rsidR="001174C4">
        <w:t>.</w:t>
      </w:r>
    </w:p>
  </w:footnote>
  <w:footnote w:id="44">
    <w:p w14:paraId="130BA65A" w14:textId="2AE3114B" w:rsidR="009D79E0" w:rsidRDefault="009D79E0" w:rsidP="009D79E0">
      <w:pPr>
        <w:pStyle w:val="FootnoteText"/>
      </w:pPr>
      <w:r>
        <w:rPr>
          <w:rStyle w:val="FootnoteReference"/>
        </w:rPr>
        <w:footnoteRef/>
      </w:r>
      <w:r>
        <w:t xml:space="preserve"> TURN/NRDC’s opening brief.</w:t>
      </w:r>
    </w:p>
  </w:footnote>
  <w:footnote w:id="45">
    <w:p w14:paraId="5D967699" w14:textId="7A45B398" w:rsidR="00F171F4" w:rsidRDefault="00F171F4" w:rsidP="00F171F4">
      <w:pPr>
        <w:pStyle w:val="FootnoteText"/>
      </w:pPr>
      <w:r>
        <w:rPr>
          <w:rStyle w:val="FootnoteReference"/>
        </w:rPr>
        <w:footnoteRef/>
      </w:r>
      <w:r>
        <w:t xml:space="preserve"> </w:t>
      </w:r>
      <w:r w:rsidRPr="00A115B7">
        <w:t>CARE</w:t>
      </w:r>
      <w:r>
        <w:t xml:space="preserve"> customers are exempt from paying</w:t>
      </w:r>
      <w:r w:rsidRPr="00A115B7">
        <w:t xml:space="preserve"> the CARE charge, Wildfire Fund charge, the Self Generation Incentive Program charge,</w:t>
      </w:r>
      <w:r w:rsidR="00503312">
        <w:t xml:space="preserve"> the Recovery Bond charge/credit,</w:t>
      </w:r>
      <w:r w:rsidRPr="00A115B7">
        <w:t xml:space="preserve"> and the Wildfire Hardening Charge.</w:t>
      </w:r>
    </w:p>
  </w:footnote>
  <w:footnote w:id="46">
    <w:p w14:paraId="744E1CB7" w14:textId="77777777" w:rsidR="008F2267" w:rsidRDefault="008F2267" w:rsidP="008F2267">
      <w:pPr>
        <w:pStyle w:val="FootnoteText"/>
      </w:pPr>
      <w:r>
        <w:rPr>
          <w:rStyle w:val="FootnoteReference"/>
        </w:rPr>
        <w:footnoteRef/>
      </w:r>
      <w:r>
        <w:t xml:space="preserve"> Large Utilities’ reply brief.</w:t>
      </w:r>
    </w:p>
  </w:footnote>
  <w:footnote w:id="47">
    <w:p w14:paraId="1515A3EA" w14:textId="77777777" w:rsidR="0060799A" w:rsidRDefault="0060799A" w:rsidP="0060799A">
      <w:pPr>
        <w:pStyle w:val="FootnoteText"/>
      </w:pPr>
      <w:r>
        <w:rPr>
          <w:rStyle w:val="FootnoteReference"/>
        </w:rPr>
        <w:footnoteRef/>
      </w:r>
      <w:r>
        <w:t xml:space="preserve"> Large Utilities’ reply brief.</w:t>
      </w:r>
    </w:p>
  </w:footnote>
  <w:footnote w:id="48">
    <w:p w14:paraId="169EC670" w14:textId="77777777" w:rsidR="00425A91" w:rsidRDefault="00425A91" w:rsidP="00425A91">
      <w:pPr>
        <w:pStyle w:val="FootnoteText"/>
      </w:pPr>
      <w:r>
        <w:rPr>
          <w:rStyle w:val="FootnoteReference"/>
        </w:rPr>
        <w:footnoteRef/>
      </w:r>
      <w:r>
        <w:t xml:space="preserve"> TURN/NRDC’s opening brief.</w:t>
      </w:r>
    </w:p>
  </w:footnote>
  <w:footnote w:id="49">
    <w:p w14:paraId="75D8C5B4" w14:textId="012CE83B" w:rsidR="00F84045" w:rsidRDefault="00F84045">
      <w:pPr>
        <w:pStyle w:val="FootnoteText"/>
      </w:pPr>
      <w:r>
        <w:rPr>
          <w:rStyle w:val="FootnoteReference"/>
        </w:rPr>
        <w:footnoteRef/>
      </w:r>
      <w:r>
        <w:t xml:space="preserve"> </w:t>
      </w:r>
      <w:r w:rsidR="00164BC5" w:rsidRPr="00164BC5">
        <w:t>Electric Rate Design Principle 10, adopted in D.23-04-040</w:t>
      </w:r>
      <w:r w:rsidR="00164BC5">
        <w:t>.</w:t>
      </w:r>
    </w:p>
  </w:footnote>
  <w:footnote w:id="50">
    <w:p w14:paraId="198D9C03" w14:textId="77777777" w:rsidR="002960F0" w:rsidRDefault="002960F0" w:rsidP="002960F0">
      <w:pPr>
        <w:pStyle w:val="FootnoteText"/>
      </w:pPr>
      <w:r>
        <w:rPr>
          <w:rStyle w:val="FootnoteReference"/>
        </w:rPr>
        <w:footnoteRef/>
      </w:r>
      <w:r>
        <w:t xml:space="preserve"> Exhibit Joint Stip 01.</w:t>
      </w:r>
    </w:p>
  </w:footnote>
  <w:footnote w:id="51">
    <w:p w14:paraId="6857B248" w14:textId="649EB166" w:rsidR="000F172B" w:rsidRDefault="000F172B" w:rsidP="000F172B">
      <w:pPr>
        <w:pStyle w:val="FootnoteText"/>
      </w:pPr>
      <w:r>
        <w:rPr>
          <w:rStyle w:val="FootnoteReference"/>
        </w:rPr>
        <w:footnoteRef/>
      </w:r>
      <w:r>
        <w:t xml:space="preserve"> Exhibit Joint Stip 01.</w:t>
      </w:r>
      <w:r w:rsidR="000D7157">
        <w:t xml:space="preserve"> </w:t>
      </w:r>
      <w:r w:rsidR="000D7157" w:rsidRPr="002812BB">
        <w:rPr>
          <w:i/>
          <w:iCs/>
        </w:rPr>
        <w:t xml:space="preserve">See </w:t>
      </w:r>
      <w:r w:rsidR="000D7157">
        <w:t>also Section 4.2 below.</w:t>
      </w:r>
    </w:p>
  </w:footnote>
  <w:footnote w:id="52">
    <w:p w14:paraId="53E7B45A" w14:textId="6F95C0AD" w:rsidR="00D07D60" w:rsidRDefault="00D07D60">
      <w:pPr>
        <w:pStyle w:val="FootnoteText"/>
      </w:pPr>
      <w:r>
        <w:rPr>
          <w:rStyle w:val="FootnoteReference"/>
        </w:rPr>
        <w:footnoteRef/>
      </w:r>
      <w:r>
        <w:t xml:space="preserve"> </w:t>
      </w:r>
      <w:r w:rsidR="000B7C18">
        <w:t>UCAN’s,</w:t>
      </w:r>
      <w:r>
        <w:t xml:space="preserve"> </w:t>
      </w:r>
      <w:r w:rsidRPr="00D07D60">
        <w:t>SEIA</w:t>
      </w:r>
      <w:r>
        <w:t>’s</w:t>
      </w:r>
      <w:r w:rsidRPr="00D07D60">
        <w:t>, Advanced Energy United</w:t>
      </w:r>
      <w:r>
        <w:t>’s</w:t>
      </w:r>
      <w:r w:rsidRPr="00D07D60">
        <w:t>, and the California Solar and Storage Association</w:t>
      </w:r>
      <w:r>
        <w:t>’s opening comments on the Implementation Pathway Ruling.</w:t>
      </w:r>
    </w:p>
  </w:footnote>
  <w:footnote w:id="53">
    <w:p w14:paraId="0CEEBCD9" w14:textId="25368C9E" w:rsidR="00341A03" w:rsidRDefault="00341A03">
      <w:pPr>
        <w:pStyle w:val="FootnoteText"/>
      </w:pPr>
      <w:r>
        <w:rPr>
          <w:rStyle w:val="FootnoteReference"/>
        </w:rPr>
        <w:footnoteRef/>
      </w:r>
      <w:r>
        <w:t xml:space="preserve"> CEJA and Sierra Club’s opening briefs.</w:t>
      </w:r>
    </w:p>
  </w:footnote>
  <w:footnote w:id="54">
    <w:p w14:paraId="50469CBE" w14:textId="1EA981FB" w:rsidR="00EB0F2F" w:rsidRDefault="00EB0F2F">
      <w:pPr>
        <w:pStyle w:val="FootnoteText"/>
      </w:pPr>
      <w:r>
        <w:rPr>
          <w:rStyle w:val="FootnoteReference"/>
        </w:rPr>
        <w:footnoteRef/>
      </w:r>
      <w:r>
        <w:t xml:space="preserve"> </w:t>
      </w:r>
      <w:r w:rsidR="00C74A31">
        <w:t xml:space="preserve">TURN/NRDC’s </w:t>
      </w:r>
      <w:r w:rsidR="00341A03">
        <w:t xml:space="preserve">reply </w:t>
      </w:r>
      <w:r w:rsidR="004B1AA1">
        <w:t>brief.</w:t>
      </w:r>
    </w:p>
  </w:footnote>
  <w:footnote w:id="55">
    <w:p w14:paraId="04EF196C" w14:textId="0C481567" w:rsidR="00C916C8" w:rsidRDefault="00C916C8">
      <w:pPr>
        <w:pStyle w:val="FootnoteText"/>
      </w:pPr>
      <w:r>
        <w:rPr>
          <w:rStyle w:val="FootnoteReference"/>
        </w:rPr>
        <w:footnoteRef/>
      </w:r>
      <w:r>
        <w:t xml:space="preserve"> Cal Advocates’ reply brief</w:t>
      </w:r>
      <w:r w:rsidR="004B1AA1">
        <w:t>.</w:t>
      </w:r>
    </w:p>
  </w:footnote>
  <w:footnote w:id="56">
    <w:p w14:paraId="41D1B9D8" w14:textId="05A1CD9C" w:rsidR="00EB0F2F" w:rsidRDefault="00EB0F2F">
      <w:pPr>
        <w:pStyle w:val="FootnoteText"/>
      </w:pPr>
      <w:r>
        <w:rPr>
          <w:rStyle w:val="FootnoteReference"/>
        </w:rPr>
        <w:footnoteRef/>
      </w:r>
      <w:r>
        <w:t xml:space="preserve"> </w:t>
      </w:r>
      <w:r w:rsidR="00320BCE">
        <w:t>SEIA’s opening brief.</w:t>
      </w:r>
    </w:p>
  </w:footnote>
  <w:footnote w:id="57">
    <w:p w14:paraId="71544981" w14:textId="5793EF83" w:rsidR="00320BCE" w:rsidRDefault="00320BCE">
      <w:pPr>
        <w:pStyle w:val="FootnoteText"/>
      </w:pPr>
      <w:r>
        <w:rPr>
          <w:rStyle w:val="FootnoteReference"/>
        </w:rPr>
        <w:footnoteRef/>
      </w:r>
      <w:r>
        <w:t xml:space="preserve"> </w:t>
      </w:r>
      <w:r w:rsidR="00BB1BB1">
        <w:t>CEDMC’s and Clean Coalition’s reply briefs.</w:t>
      </w:r>
    </w:p>
  </w:footnote>
  <w:footnote w:id="58">
    <w:p w14:paraId="0758A8A4" w14:textId="5525DB23" w:rsidR="00C56F88" w:rsidRDefault="00C56F88">
      <w:pPr>
        <w:pStyle w:val="FootnoteText"/>
      </w:pPr>
      <w:r>
        <w:rPr>
          <w:rStyle w:val="FootnoteReference"/>
        </w:rPr>
        <w:footnoteRef/>
      </w:r>
      <w:r>
        <w:t xml:space="preserve"> TURN</w:t>
      </w:r>
      <w:r w:rsidR="004B1AA1">
        <w:t>/NRDC</w:t>
      </w:r>
      <w:r>
        <w:t>’s reply brief</w:t>
      </w:r>
      <w:r w:rsidR="00493239">
        <w:t>.</w:t>
      </w:r>
    </w:p>
  </w:footnote>
  <w:footnote w:id="59">
    <w:p w14:paraId="1E4D7C43" w14:textId="13A7764B" w:rsidR="004B1AA1" w:rsidRDefault="004B1AA1">
      <w:pPr>
        <w:pStyle w:val="FootnoteText"/>
      </w:pPr>
      <w:r>
        <w:rPr>
          <w:rStyle w:val="FootnoteReference"/>
        </w:rPr>
        <w:footnoteRef/>
      </w:r>
      <w:r>
        <w:t xml:space="preserve"> </w:t>
      </w:r>
      <w:r w:rsidR="00FF74FD">
        <w:t>SEIA’s opening brief.</w:t>
      </w:r>
    </w:p>
  </w:footnote>
  <w:footnote w:id="60">
    <w:p w14:paraId="45887524" w14:textId="7CEF243E" w:rsidR="003530C4" w:rsidRDefault="003530C4">
      <w:pPr>
        <w:pStyle w:val="FootnoteText"/>
      </w:pPr>
      <w:r>
        <w:rPr>
          <w:rStyle w:val="FootnoteReference"/>
        </w:rPr>
        <w:footnoteRef/>
      </w:r>
      <w:r>
        <w:t xml:space="preserve"> SEIA’s opening brief.</w:t>
      </w:r>
    </w:p>
  </w:footnote>
  <w:footnote w:id="61">
    <w:p w14:paraId="41D9FFCC" w14:textId="3DB15FA2" w:rsidR="003530C4" w:rsidRDefault="003530C4">
      <w:pPr>
        <w:pStyle w:val="FootnoteText"/>
      </w:pPr>
      <w:r>
        <w:rPr>
          <w:rStyle w:val="FootnoteReference"/>
        </w:rPr>
        <w:footnoteRef/>
      </w:r>
      <w:r>
        <w:t xml:space="preserve"> TURN/NRDC’s reply brief.</w:t>
      </w:r>
    </w:p>
  </w:footnote>
  <w:footnote w:id="62">
    <w:p w14:paraId="043EE15D" w14:textId="4EBEDBEC" w:rsidR="147626FE" w:rsidRDefault="147626FE" w:rsidP="00FF7B59">
      <w:pPr>
        <w:pStyle w:val="FootnoteText"/>
      </w:pPr>
      <w:r w:rsidRPr="147626FE">
        <w:rPr>
          <w:rStyle w:val="FootnoteReference"/>
        </w:rPr>
        <w:footnoteRef/>
      </w:r>
      <w:r w:rsidR="0B26A56E">
        <w:t xml:space="preserve"> Rule 1.3(g) provides </w:t>
      </w:r>
      <w:r w:rsidR="003E617E">
        <w:t>that “ratesetting” proceedings are</w:t>
      </w:r>
      <w:r w:rsidR="0B26A56E" w:rsidRPr="0B26A56E">
        <w:t xml:space="preserve"> proceedings in which the Commission sets or investigates rates for a specifically named utility (or utilities), or establishes a mechanism that in turn sets the rates for a specifically named utility (or utilities). </w:t>
      </w:r>
    </w:p>
  </w:footnote>
  <w:footnote w:id="63">
    <w:p w14:paraId="1DA43B6C" w14:textId="6B6F516B" w:rsidR="0B26A56E" w:rsidRDefault="0B26A56E" w:rsidP="00FF7B59">
      <w:pPr>
        <w:pStyle w:val="FootnoteText"/>
      </w:pPr>
      <w:r w:rsidRPr="0B26A56E">
        <w:rPr>
          <w:rStyle w:val="FootnoteReference"/>
        </w:rPr>
        <w:footnoteRef/>
      </w:r>
      <w:r>
        <w:t xml:space="preserve"> Party Alexis Wodtke has argued that this proceeding should be dismissed due to lack of notice required by Section 454(a). </w:t>
      </w:r>
      <w:r w:rsidR="00E82CDA">
        <w:t>This</w:t>
      </w:r>
      <w:r>
        <w:t xml:space="preserve"> </w:t>
      </w:r>
      <w:r w:rsidR="00A16D7D">
        <w:t>is incorrect because</w:t>
      </w:r>
      <w:r>
        <w:t xml:space="preserve"> Section 454(a)</w:t>
      </w:r>
      <w:r w:rsidR="00A16D7D">
        <w:t xml:space="preserve"> provides</w:t>
      </w:r>
      <w:r>
        <w:t xml:space="preserve"> that the notice requirement is only triggered when a utility ”files an application to change” rates.</w:t>
      </w:r>
      <w:r w:rsidR="00182A03">
        <w:t xml:space="preserve"> </w:t>
      </w:r>
      <w:r w:rsidR="008D41B8" w:rsidRPr="008D41B8">
        <w:t>In a ruling issued on August 2, 2023, the assigned ALJ found that the Commission provided sufficient public notice of this proceeding and that the utilities’ fixed charge proposals were not applications to change rates subject to Section 454(a). We agree that the utilities’ fixed charge proposals in this proceeding were proposals in a rulemaking to comply with a statutory requirement rather than utility applications to change rates. Accordingly, the notice requirements of Section 454(a) do not apply to the utilities’ fixed charge proposals in this proceeding. Nor do the notice requirements of Section 454(a) apply to the advice letter filings required by this decision. Section 454(a) specifically provides ”[t]his notice requirement does not apply to any rate change proposed by a corporation pursuant to an advice letter submitted to the commission in accordance with commission procedures for this means of submission.”</w:t>
      </w:r>
    </w:p>
  </w:footnote>
  <w:footnote w:id="64">
    <w:p w14:paraId="19E0EC79" w14:textId="3F09C077" w:rsidR="00EB0F2F" w:rsidRDefault="00EB0F2F">
      <w:pPr>
        <w:pStyle w:val="FootnoteText"/>
      </w:pPr>
      <w:r>
        <w:rPr>
          <w:rStyle w:val="FootnoteReference"/>
        </w:rPr>
        <w:footnoteRef/>
      </w:r>
      <w:r>
        <w:t xml:space="preserve"> </w:t>
      </w:r>
      <w:r w:rsidR="003530C4">
        <w:t>UCAN’s opening brief.</w:t>
      </w:r>
    </w:p>
  </w:footnote>
  <w:footnote w:id="65">
    <w:p w14:paraId="59E9CD0D" w14:textId="6ED73F2E" w:rsidR="007863B6" w:rsidRDefault="007863B6">
      <w:pPr>
        <w:pStyle w:val="FootnoteText"/>
      </w:pPr>
      <w:r>
        <w:rPr>
          <w:rStyle w:val="FootnoteReference"/>
        </w:rPr>
        <w:footnoteRef/>
      </w:r>
      <w:r>
        <w:t xml:space="preserve"> CforAT’s opening brief.</w:t>
      </w:r>
    </w:p>
  </w:footnote>
  <w:footnote w:id="66">
    <w:p w14:paraId="391F5142" w14:textId="7EDE0E28" w:rsidR="008B7CA2" w:rsidRDefault="008B7CA2">
      <w:pPr>
        <w:pStyle w:val="FootnoteText"/>
      </w:pPr>
      <w:r>
        <w:rPr>
          <w:rStyle w:val="FootnoteReference"/>
        </w:rPr>
        <w:footnoteRef/>
      </w:r>
      <w:r>
        <w:t xml:space="preserve"> </w:t>
      </w:r>
      <w:r w:rsidR="00A876F2">
        <w:t xml:space="preserve">Exhibit </w:t>
      </w:r>
      <w:r w:rsidR="00E05F08">
        <w:t>Joint IOUs-01-E2.</w:t>
      </w:r>
    </w:p>
  </w:footnote>
  <w:footnote w:id="67">
    <w:p w14:paraId="7C601674" w14:textId="19AF8F75" w:rsidR="006C3825" w:rsidRDefault="006C3825">
      <w:pPr>
        <w:pStyle w:val="FootnoteText"/>
      </w:pPr>
      <w:r>
        <w:rPr>
          <w:rStyle w:val="FootnoteReference"/>
        </w:rPr>
        <w:footnoteRef/>
      </w:r>
      <w:r>
        <w:t xml:space="preserve"> </w:t>
      </w:r>
      <w:r w:rsidR="00F43192">
        <w:t xml:space="preserve">Exhibit </w:t>
      </w:r>
      <w:r w:rsidR="00D14DFA">
        <w:t>SEIA</w:t>
      </w:r>
      <w:r w:rsidR="00662182">
        <w:t>-02 and</w:t>
      </w:r>
      <w:r w:rsidR="008819FF">
        <w:t xml:space="preserve"> </w:t>
      </w:r>
      <w:r w:rsidR="00F43192">
        <w:t xml:space="preserve">Exhibit </w:t>
      </w:r>
      <w:r w:rsidR="008819FF">
        <w:t>CEJA</w:t>
      </w:r>
      <w:r w:rsidR="00F43192">
        <w:t>-01.</w:t>
      </w:r>
    </w:p>
  </w:footnote>
  <w:footnote w:id="68">
    <w:p w14:paraId="76A3C679" w14:textId="366D64CA" w:rsidR="008A0C5D" w:rsidRDefault="008A0C5D" w:rsidP="008A0C5D">
      <w:pPr>
        <w:pStyle w:val="FootnoteText"/>
      </w:pPr>
      <w:r>
        <w:rPr>
          <w:rStyle w:val="FootnoteReference"/>
        </w:rPr>
        <w:footnoteRef/>
      </w:r>
      <w:r>
        <w:t xml:space="preserve"> </w:t>
      </w:r>
      <w:r w:rsidR="007F5083">
        <w:t>Exhibit SEIA-02.</w:t>
      </w:r>
    </w:p>
  </w:footnote>
  <w:footnote w:id="69">
    <w:p w14:paraId="49C699A9" w14:textId="706A32E2" w:rsidR="00CE7B83" w:rsidRDefault="00CE7B83">
      <w:pPr>
        <w:pStyle w:val="FootnoteText"/>
      </w:pPr>
      <w:r>
        <w:rPr>
          <w:rStyle w:val="FootnoteReference"/>
        </w:rPr>
        <w:footnoteRef/>
      </w:r>
      <w:r>
        <w:t xml:space="preserve"> </w:t>
      </w:r>
      <w:r w:rsidR="006C7019">
        <w:t>Exhibit CASMU-1.</w:t>
      </w:r>
    </w:p>
  </w:footnote>
  <w:footnote w:id="70">
    <w:p w14:paraId="6FF09984" w14:textId="31B82A4A" w:rsidR="003F578E" w:rsidRDefault="003F578E">
      <w:pPr>
        <w:pStyle w:val="FootnoteText"/>
      </w:pPr>
      <w:r>
        <w:rPr>
          <w:rStyle w:val="FootnoteReference"/>
        </w:rPr>
        <w:footnoteRef/>
      </w:r>
      <w:r>
        <w:t xml:space="preserve"> </w:t>
      </w:r>
      <w:r w:rsidR="005D7F61">
        <w:t xml:space="preserve">Exhibit NRDC-TURN-01 and Exhibit </w:t>
      </w:r>
      <w:r w:rsidR="00F94DC6">
        <w:t>Cal Advocates-02</w:t>
      </w:r>
      <w:r w:rsidR="00416DE7">
        <w:t>.</w:t>
      </w:r>
    </w:p>
  </w:footnote>
  <w:footnote w:id="71">
    <w:p w14:paraId="70255265" w14:textId="31712EA8" w:rsidR="002A00DB" w:rsidRDefault="002A00DB" w:rsidP="002A00DB">
      <w:pPr>
        <w:pStyle w:val="FootnoteText"/>
      </w:pPr>
      <w:r>
        <w:rPr>
          <w:rStyle w:val="FootnoteReference"/>
        </w:rPr>
        <w:footnoteRef/>
      </w:r>
      <w:r>
        <w:t xml:space="preserve"> </w:t>
      </w:r>
      <w:r w:rsidR="00C029C8">
        <w:t xml:space="preserve">Exhibit </w:t>
      </w:r>
      <w:r w:rsidRPr="00442102">
        <w:t>CEJA</w:t>
      </w:r>
      <w:r w:rsidR="00C029C8">
        <w:t>-01</w:t>
      </w:r>
      <w:r>
        <w:t xml:space="preserve">, </w:t>
      </w:r>
      <w:r w:rsidR="00CB5F97">
        <w:t xml:space="preserve">Exhibit </w:t>
      </w:r>
      <w:r>
        <w:t>SEIA</w:t>
      </w:r>
      <w:r w:rsidR="00CB5F97">
        <w:t>-02</w:t>
      </w:r>
      <w:r>
        <w:t>,</w:t>
      </w:r>
      <w:r w:rsidRPr="00442102">
        <w:t xml:space="preserve"> </w:t>
      </w:r>
      <w:r w:rsidR="00214363">
        <w:t xml:space="preserve">and </w:t>
      </w:r>
      <w:r w:rsidR="00416DE7">
        <w:t>Exhibit Joint IOUs-03-E1.</w:t>
      </w:r>
    </w:p>
  </w:footnote>
  <w:footnote w:id="72">
    <w:p w14:paraId="03DD57D9" w14:textId="29F074A3" w:rsidR="00311F1E" w:rsidRDefault="00311F1E">
      <w:pPr>
        <w:pStyle w:val="FootnoteText"/>
      </w:pPr>
      <w:r>
        <w:rPr>
          <w:rStyle w:val="FootnoteReference"/>
        </w:rPr>
        <w:footnoteRef/>
      </w:r>
      <w:r>
        <w:t xml:space="preserve"> </w:t>
      </w:r>
      <w:r w:rsidR="0036293D" w:rsidRPr="0036293D">
        <w:t>Exhibit Joint IOUs-03-E1.</w:t>
      </w:r>
    </w:p>
  </w:footnote>
  <w:footnote w:id="73">
    <w:p w14:paraId="6C150B6A" w14:textId="74835FE5" w:rsidR="000B3855" w:rsidRDefault="000B3855" w:rsidP="000B3855">
      <w:pPr>
        <w:pStyle w:val="FootnoteText"/>
      </w:pPr>
      <w:r>
        <w:rPr>
          <w:rStyle w:val="FootnoteReference"/>
        </w:rPr>
        <w:footnoteRef/>
      </w:r>
      <w:r>
        <w:t xml:space="preserve"> </w:t>
      </w:r>
      <w:r w:rsidR="003A19B0">
        <w:t>Exhibit UCAN-01.</w:t>
      </w:r>
    </w:p>
  </w:footnote>
  <w:footnote w:id="74">
    <w:p w14:paraId="1D6BC11C" w14:textId="162E94D8" w:rsidR="009B44D2" w:rsidRDefault="009B44D2">
      <w:pPr>
        <w:pStyle w:val="FootnoteText"/>
      </w:pPr>
      <w:r>
        <w:rPr>
          <w:rStyle w:val="FootnoteReference"/>
        </w:rPr>
        <w:footnoteRef/>
      </w:r>
      <w:r>
        <w:t xml:space="preserve"> </w:t>
      </w:r>
      <w:r w:rsidR="00D90A91">
        <w:t>Exhibit CEJA-01.</w:t>
      </w:r>
    </w:p>
  </w:footnote>
  <w:footnote w:id="75">
    <w:p w14:paraId="048E805F" w14:textId="77777777" w:rsidR="002571BE" w:rsidRDefault="002571BE" w:rsidP="002571BE">
      <w:pPr>
        <w:pStyle w:val="FootnoteText"/>
      </w:pPr>
      <w:r>
        <w:rPr>
          <w:rStyle w:val="FootnoteReference"/>
        </w:rPr>
        <w:footnoteRef/>
      </w:r>
      <w:r>
        <w:t xml:space="preserve"> Exhibit Cal Advocates-04, citing</w:t>
      </w:r>
      <w:r w:rsidRPr="00904777">
        <w:t xml:space="preserve"> </w:t>
      </w:r>
      <w:r>
        <w:t xml:space="preserve">Berry, </w:t>
      </w:r>
      <w:r w:rsidRPr="008F4620">
        <w:rPr>
          <w:i/>
          <w:iCs/>
        </w:rPr>
        <w:t>An Evaluation of Property Tax Regressivity in Los Angeles County, California</w:t>
      </w:r>
      <w:r>
        <w:t xml:space="preserve"> (2022), The University of Chicago, Center for Municipal Finance, available at </w:t>
      </w:r>
      <w:hyperlink r:id="rId1" w:history="1">
        <w:r w:rsidRPr="00F345F3">
          <w:rPr>
            <w:rStyle w:val="Hyperlink"/>
          </w:rPr>
          <w:t>www.propertytaxproject.uchicago.edu</w:t>
        </w:r>
      </w:hyperlink>
      <w:r>
        <w:t xml:space="preserve"> (as of February 29, 2024).</w:t>
      </w:r>
    </w:p>
  </w:footnote>
  <w:footnote w:id="76">
    <w:p w14:paraId="7EAC64B3" w14:textId="2F9FEBDB" w:rsidR="001638C0" w:rsidRDefault="001638C0" w:rsidP="00904777">
      <w:pPr>
        <w:pStyle w:val="FootnoteText"/>
      </w:pPr>
      <w:r>
        <w:rPr>
          <w:rStyle w:val="FootnoteReference"/>
        </w:rPr>
        <w:footnoteRef/>
      </w:r>
      <w:r>
        <w:t xml:space="preserve"> </w:t>
      </w:r>
      <w:r w:rsidR="00D90A91">
        <w:t xml:space="preserve">Exhibit </w:t>
      </w:r>
      <w:r>
        <w:t>Cal Advocates</w:t>
      </w:r>
      <w:r w:rsidR="00D90A91">
        <w:t>-0</w:t>
      </w:r>
      <w:r w:rsidR="00526895">
        <w:t>4</w:t>
      </w:r>
      <w:r w:rsidR="002571BE">
        <w:t>.</w:t>
      </w:r>
    </w:p>
  </w:footnote>
  <w:footnote w:id="77">
    <w:p w14:paraId="09FD9FDA" w14:textId="1453A6CD" w:rsidR="005407C2" w:rsidRDefault="005407C2" w:rsidP="005407C2">
      <w:pPr>
        <w:pStyle w:val="FootnoteText"/>
      </w:pPr>
      <w:r>
        <w:rPr>
          <w:rStyle w:val="FootnoteReference"/>
        </w:rPr>
        <w:footnoteRef/>
      </w:r>
      <w:r>
        <w:t xml:space="preserve"> </w:t>
      </w:r>
      <w:r w:rsidR="00E03A2C">
        <w:t xml:space="preserve">Exhibit </w:t>
      </w:r>
      <w:r w:rsidR="004661A0" w:rsidRPr="004661A0">
        <w:t>Joint IOUs-03-E1</w:t>
      </w:r>
      <w:r w:rsidR="004661A0">
        <w:t>.</w:t>
      </w:r>
    </w:p>
  </w:footnote>
  <w:footnote w:id="78">
    <w:p w14:paraId="7387D204" w14:textId="77318C73" w:rsidR="005262FC" w:rsidRDefault="005262FC">
      <w:pPr>
        <w:pStyle w:val="FootnoteText"/>
      </w:pPr>
      <w:r>
        <w:rPr>
          <w:rStyle w:val="FootnoteReference"/>
        </w:rPr>
        <w:footnoteRef/>
      </w:r>
      <w:r>
        <w:t xml:space="preserve"> </w:t>
      </w:r>
      <w:r w:rsidR="00F974D9">
        <w:t xml:space="preserve">Exhibit </w:t>
      </w:r>
      <w:r w:rsidR="00176071">
        <w:t xml:space="preserve">SEIA-01 and </w:t>
      </w:r>
      <w:r w:rsidR="003A4744">
        <w:t>Exhibit CASMU-1.</w:t>
      </w:r>
    </w:p>
  </w:footnote>
  <w:footnote w:id="79">
    <w:p w14:paraId="727A1F8B" w14:textId="4857C330" w:rsidR="007246C3" w:rsidRDefault="007246C3">
      <w:pPr>
        <w:pStyle w:val="FootnoteText"/>
      </w:pPr>
      <w:r>
        <w:rPr>
          <w:rStyle w:val="FootnoteReference"/>
        </w:rPr>
        <w:footnoteRef/>
      </w:r>
      <w:r>
        <w:t xml:space="preserve"> </w:t>
      </w:r>
      <w:r w:rsidR="000E0149">
        <w:t>Exhibit UCAN-01.</w:t>
      </w:r>
    </w:p>
  </w:footnote>
  <w:footnote w:id="80">
    <w:p w14:paraId="44D23E05" w14:textId="0B6A8AD6" w:rsidR="00554289" w:rsidRDefault="00554289">
      <w:pPr>
        <w:pStyle w:val="FootnoteText"/>
      </w:pPr>
      <w:r>
        <w:rPr>
          <w:rStyle w:val="FootnoteReference"/>
        </w:rPr>
        <w:footnoteRef/>
      </w:r>
      <w:r>
        <w:t xml:space="preserve"> </w:t>
      </w:r>
      <w:r w:rsidR="00F259FF">
        <w:t>Exhibit C</w:t>
      </w:r>
      <w:r w:rsidR="00214363">
        <w:t>for</w:t>
      </w:r>
      <w:r w:rsidR="00F259FF">
        <w:t>AT-01.</w:t>
      </w:r>
    </w:p>
  </w:footnote>
  <w:footnote w:id="81">
    <w:p w14:paraId="544CBA19" w14:textId="54448CED" w:rsidR="008E280B" w:rsidRDefault="008E280B">
      <w:pPr>
        <w:pStyle w:val="FootnoteText"/>
      </w:pPr>
      <w:r>
        <w:rPr>
          <w:rStyle w:val="FootnoteReference"/>
        </w:rPr>
        <w:footnoteRef/>
      </w:r>
      <w:r>
        <w:t xml:space="preserve"> Opening briefs of </w:t>
      </w:r>
      <w:r w:rsidRPr="008E280B">
        <w:t xml:space="preserve">Cal Advocates, the Clean Coalition, UCAN, the Large Utilities, and the </w:t>
      </w:r>
      <w:r w:rsidR="00CE230B">
        <w:t>Small Utilities</w:t>
      </w:r>
      <w:r w:rsidR="009B3293">
        <w:t>.</w:t>
      </w:r>
    </w:p>
  </w:footnote>
  <w:footnote w:id="82">
    <w:p w14:paraId="4E090F80" w14:textId="3A6F5D55" w:rsidR="00D20CDF" w:rsidRDefault="00D20CDF">
      <w:pPr>
        <w:pStyle w:val="FootnoteText"/>
      </w:pPr>
      <w:r>
        <w:rPr>
          <w:rStyle w:val="FootnoteReference"/>
        </w:rPr>
        <w:footnoteRef/>
      </w:r>
      <w:r>
        <w:t xml:space="preserve"> </w:t>
      </w:r>
      <w:r w:rsidR="007B7026">
        <w:t>Cal Advocates’ o</w:t>
      </w:r>
      <w:r>
        <w:t>pening brief</w:t>
      </w:r>
      <w:r w:rsidR="007B7026">
        <w:t>.</w:t>
      </w:r>
    </w:p>
  </w:footnote>
  <w:footnote w:id="83">
    <w:p w14:paraId="56C68538" w14:textId="1CBF0252" w:rsidR="32F9F1C9" w:rsidRDefault="32F9F1C9" w:rsidP="00FF7B59">
      <w:pPr>
        <w:pStyle w:val="FootnoteText"/>
      </w:pPr>
      <w:r w:rsidRPr="32F9F1C9">
        <w:rPr>
          <w:rStyle w:val="FootnoteReference"/>
        </w:rPr>
        <w:footnoteRef/>
      </w:r>
      <w:r w:rsidR="44F597A8">
        <w:t xml:space="preserve"> </w:t>
      </w:r>
      <w:r w:rsidR="000B2659">
        <w:t xml:space="preserve">In opening comments on the proposed decision, </w:t>
      </w:r>
      <w:r w:rsidR="44F597A8">
        <w:t>Alexis Wodtke makes argu</w:t>
      </w:r>
      <w:r w:rsidR="00F57785">
        <w:t>ments</w:t>
      </w:r>
      <w:r w:rsidR="44F597A8">
        <w:t xml:space="preserve"> that obtaining income data will be too difficult, will infringe upon customers’ privacy, will be too costly</w:t>
      </w:r>
      <w:r w:rsidR="00AE569A">
        <w:t>,</w:t>
      </w:r>
      <w:r w:rsidR="44F597A8">
        <w:t xml:space="preserve"> and will not be cost effective. As this </w:t>
      </w:r>
      <w:r w:rsidR="00AE569A">
        <w:t>d</w:t>
      </w:r>
      <w:r w:rsidR="44F597A8">
        <w:t>ecision does not approve any new income verification processes</w:t>
      </w:r>
      <w:r w:rsidR="00AE569A">
        <w:t>,</w:t>
      </w:r>
      <w:r w:rsidR="44F597A8">
        <w:t xml:space="preserve"> such arguments are not ripe.  </w:t>
      </w:r>
    </w:p>
  </w:footnote>
  <w:footnote w:id="84">
    <w:p w14:paraId="201B4AA8" w14:textId="77777777" w:rsidR="001652A5" w:rsidRDefault="001652A5" w:rsidP="001652A5">
      <w:pPr>
        <w:pStyle w:val="FootnoteText"/>
      </w:pPr>
      <w:r>
        <w:rPr>
          <w:rStyle w:val="FootnoteReference"/>
        </w:rPr>
        <w:footnoteRef/>
      </w:r>
      <w:r>
        <w:t xml:space="preserve"> </w:t>
      </w:r>
      <w:r w:rsidRPr="00D140A2">
        <w:t>CforAT</w:t>
      </w:r>
      <w:r>
        <w:t>’s</w:t>
      </w:r>
      <w:r w:rsidRPr="00D140A2">
        <w:t>, Cal Advocates</w:t>
      </w:r>
      <w:r>
        <w:t>’</w:t>
      </w:r>
      <w:r w:rsidRPr="00D140A2">
        <w:t>, TURN/NRDC</w:t>
      </w:r>
      <w:r>
        <w:t>’s</w:t>
      </w:r>
      <w:r w:rsidRPr="00D140A2">
        <w:t>, and the Large Utilities</w:t>
      </w:r>
      <w:r>
        <w:t>’</w:t>
      </w:r>
      <w:r w:rsidRPr="00D140A2">
        <w:t xml:space="preserve"> </w:t>
      </w:r>
      <w:r>
        <w:t>opening briefs.</w:t>
      </w:r>
    </w:p>
  </w:footnote>
  <w:footnote w:id="85">
    <w:p w14:paraId="68382C5A" w14:textId="7D8423BD" w:rsidR="004E06B6" w:rsidRDefault="004E06B6">
      <w:pPr>
        <w:pStyle w:val="FootnoteText"/>
      </w:pPr>
      <w:r>
        <w:rPr>
          <w:rStyle w:val="FootnoteReference"/>
        </w:rPr>
        <w:footnoteRef/>
      </w:r>
      <w:r>
        <w:t xml:space="preserve"> SEIA’s opening brief.</w:t>
      </w:r>
    </w:p>
  </w:footnote>
  <w:footnote w:id="86">
    <w:p w14:paraId="2301D4D1" w14:textId="0C9B1DAE" w:rsidR="00900300" w:rsidRDefault="00900300">
      <w:pPr>
        <w:pStyle w:val="FootnoteText"/>
      </w:pPr>
      <w:r>
        <w:rPr>
          <w:rStyle w:val="FootnoteReference"/>
        </w:rPr>
        <w:footnoteRef/>
      </w:r>
      <w:r>
        <w:t xml:space="preserve"> </w:t>
      </w:r>
      <w:r w:rsidR="00F45C80">
        <w:t>Sierra Club’s opening brief and CforAT’s reply brief.</w:t>
      </w:r>
    </w:p>
  </w:footnote>
  <w:footnote w:id="87">
    <w:p w14:paraId="403BE352" w14:textId="3973D9A0" w:rsidR="00D7233E" w:rsidRDefault="00D7233E">
      <w:pPr>
        <w:pStyle w:val="FootnoteText"/>
      </w:pPr>
      <w:r>
        <w:rPr>
          <w:rStyle w:val="FootnoteReference"/>
        </w:rPr>
        <w:footnoteRef/>
      </w:r>
      <w:r>
        <w:t xml:space="preserve"> Although this decision refers to moderate-income customers, it does not define this term</w:t>
      </w:r>
      <w:r w:rsidR="002C663C">
        <w:t>.</w:t>
      </w:r>
    </w:p>
  </w:footnote>
  <w:footnote w:id="88">
    <w:p w14:paraId="3F5C987B" w14:textId="7A77ED82" w:rsidR="00983A14" w:rsidRDefault="00983A14">
      <w:pPr>
        <w:pStyle w:val="FootnoteText"/>
      </w:pPr>
      <w:r>
        <w:rPr>
          <w:rStyle w:val="FootnoteReference"/>
        </w:rPr>
        <w:footnoteRef/>
      </w:r>
      <w:r>
        <w:t xml:space="preserve"> CforAT’s and the Large Utilities’ opening briefs.</w:t>
      </w:r>
    </w:p>
  </w:footnote>
  <w:footnote w:id="89">
    <w:p w14:paraId="03043B45" w14:textId="3E32D8AC" w:rsidR="00C744F4" w:rsidRDefault="00C744F4">
      <w:pPr>
        <w:pStyle w:val="FootnoteText"/>
      </w:pPr>
      <w:r>
        <w:rPr>
          <w:rStyle w:val="FootnoteReference"/>
        </w:rPr>
        <w:footnoteRef/>
      </w:r>
      <w:r>
        <w:t xml:space="preserve"> </w:t>
      </w:r>
      <w:r w:rsidR="000D2EF7">
        <w:t>Cal Advocates’ reply brief.</w:t>
      </w:r>
    </w:p>
  </w:footnote>
  <w:footnote w:id="90">
    <w:p w14:paraId="1BE5CA5D" w14:textId="46553356" w:rsidR="006D0465" w:rsidRDefault="006D0465" w:rsidP="006D0465">
      <w:pPr>
        <w:pStyle w:val="FootnoteText"/>
      </w:pPr>
      <w:r>
        <w:rPr>
          <w:rStyle w:val="FootnoteReference"/>
        </w:rPr>
        <w:footnoteRef/>
      </w:r>
      <w:r>
        <w:t xml:space="preserve"> Sierra Club’s opening brief.</w:t>
      </w:r>
    </w:p>
  </w:footnote>
  <w:footnote w:id="91">
    <w:p w14:paraId="76F275B6" w14:textId="77B4522E" w:rsidR="002C663C" w:rsidRDefault="002C663C">
      <w:pPr>
        <w:pStyle w:val="FootnoteText"/>
      </w:pPr>
      <w:r>
        <w:rPr>
          <w:rStyle w:val="FootnoteReference"/>
        </w:rPr>
        <w:footnoteRef/>
      </w:r>
      <w:r>
        <w:t xml:space="preserve"> This decision anticipates that the Commission will issue a decision on the </w:t>
      </w:r>
      <w:r w:rsidR="00890B94">
        <w:t>Process</w:t>
      </w:r>
      <w:r>
        <w:t xml:space="preserve"> Working Group Proposal. </w:t>
      </w:r>
      <w:r w:rsidR="00E476CE">
        <w:t>I</w:t>
      </w:r>
      <w:r w:rsidR="0030450D">
        <w:t>ntervenor compensation</w:t>
      </w:r>
      <w:r w:rsidR="00E476CE">
        <w:t xml:space="preserve"> is available</w:t>
      </w:r>
      <w:r w:rsidR="0030450D">
        <w:t xml:space="preserve"> </w:t>
      </w:r>
      <w:r w:rsidR="00652C94">
        <w:t>to</w:t>
      </w:r>
      <w:r w:rsidR="0030450D">
        <w:t xml:space="preserve"> eligible parties </w:t>
      </w:r>
      <w:r w:rsidR="00E476CE">
        <w:t>for contributions to a Commission decision.</w:t>
      </w:r>
    </w:p>
  </w:footnote>
  <w:footnote w:id="92">
    <w:p w14:paraId="699D42E4" w14:textId="70E39635" w:rsidR="000101D1" w:rsidRDefault="000101D1" w:rsidP="000101D1">
      <w:pPr>
        <w:pStyle w:val="FootnoteText"/>
      </w:pPr>
      <w:r>
        <w:rPr>
          <w:rStyle w:val="FootnoteReference"/>
        </w:rPr>
        <w:footnoteRef/>
      </w:r>
      <w:r>
        <w:t xml:space="preserve"> </w:t>
      </w:r>
      <w:r w:rsidR="005E5AC9">
        <w:t xml:space="preserve">The </w:t>
      </w:r>
      <w:r>
        <w:t>Large Utilities’ opening comments on the Implementation Pathway Ruling</w:t>
      </w:r>
      <w:r w:rsidR="004E34C9">
        <w:t xml:space="preserve">, </w:t>
      </w:r>
      <w:r>
        <w:t>Cal Advocates</w:t>
      </w:r>
      <w:r w:rsidR="00AA1324">
        <w:t>’</w:t>
      </w:r>
      <w:r>
        <w:t xml:space="preserve"> </w:t>
      </w:r>
      <w:r w:rsidR="004E34C9">
        <w:t xml:space="preserve">opening brief, </w:t>
      </w:r>
      <w:r>
        <w:t>and TURN/NRDC</w:t>
      </w:r>
      <w:r w:rsidR="00AA1324">
        <w:t>’s opening brief</w:t>
      </w:r>
      <w:r>
        <w:t>.</w:t>
      </w:r>
    </w:p>
  </w:footnote>
  <w:footnote w:id="93">
    <w:p w14:paraId="511C1B97" w14:textId="43524D24" w:rsidR="000101D1" w:rsidRDefault="000101D1" w:rsidP="000101D1">
      <w:pPr>
        <w:pStyle w:val="FootnoteText"/>
      </w:pPr>
      <w:r>
        <w:rPr>
          <w:rStyle w:val="FootnoteReference"/>
        </w:rPr>
        <w:footnoteRef/>
      </w:r>
      <w:r>
        <w:t xml:space="preserve"> </w:t>
      </w:r>
      <w:r w:rsidR="00B635AB">
        <w:t>Sierra Club</w:t>
      </w:r>
      <w:r w:rsidR="008A3235">
        <w:t>’s and CEJA’s opening briefs.</w:t>
      </w:r>
    </w:p>
  </w:footnote>
  <w:footnote w:id="94">
    <w:p w14:paraId="04A6DCF7" w14:textId="111EE8CF" w:rsidR="008C24FA" w:rsidRDefault="008C24FA" w:rsidP="008C24FA">
      <w:pPr>
        <w:pStyle w:val="FootnoteText"/>
      </w:pPr>
      <w:r>
        <w:rPr>
          <w:rStyle w:val="FootnoteReference"/>
        </w:rPr>
        <w:footnoteRef/>
      </w:r>
      <w:r>
        <w:t xml:space="preserve"> </w:t>
      </w:r>
      <w:r w:rsidR="00D50B1B" w:rsidRPr="00D50B1B">
        <w:t>CEJA’s and Sierra Club’s opening briefs.</w:t>
      </w:r>
    </w:p>
  </w:footnote>
  <w:footnote w:id="95">
    <w:p w14:paraId="1077B1AC" w14:textId="38931665" w:rsidR="008C24FA" w:rsidRDefault="008C24FA" w:rsidP="008C24FA">
      <w:pPr>
        <w:pStyle w:val="FootnoteText"/>
      </w:pPr>
      <w:r>
        <w:rPr>
          <w:rStyle w:val="FootnoteReference"/>
        </w:rPr>
        <w:footnoteRef/>
      </w:r>
      <w:r>
        <w:t xml:space="preserve"> </w:t>
      </w:r>
      <w:r w:rsidR="00C045EC">
        <w:t>CforAT’s reply brief.</w:t>
      </w:r>
    </w:p>
  </w:footnote>
  <w:footnote w:id="96">
    <w:p w14:paraId="6DA924FA" w14:textId="13CAED08" w:rsidR="008A28FB" w:rsidRDefault="008A28FB">
      <w:pPr>
        <w:pStyle w:val="FootnoteText"/>
      </w:pPr>
      <w:r>
        <w:rPr>
          <w:rStyle w:val="FootnoteReference"/>
        </w:rPr>
        <w:footnoteRef/>
      </w:r>
      <w:r>
        <w:t xml:space="preserve"> Cal Advocates’ reply brief.</w:t>
      </w:r>
    </w:p>
  </w:footnote>
  <w:footnote w:id="97">
    <w:p w14:paraId="19B8AD0C" w14:textId="52F56F23" w:rsidR="000F4A37" w:rsidRDefault="000F4A37">
      <w:pPr>
        <w:pStyle w:val="FootnoteText"/>
      </w:pPr>
      <w:r>
        <w:rPr>
          <w:rStyle w:val="FootnoteReference"/>
        </w:rPr>
        <w:footnoteRef/>
      </w:r>
      <w:r>
        <w:t xml:space="preserve"> The Large Utilities’ reply brief.</w:t>
      </w:r>
    </w:p>
  </w:footnote>
  <w:footnote w:id="98">
    <w:p w14:paraId="547D5B47" w14:textId="5EDDB05C" w:rsidR="0026790B" w:rsidRDefault="0026790B" w:rsidP="0026790B">
      <w:pPr>
        <w:pStyle w:val="FootnoteText"/>
      </w:pPr>
      <w:r>
        <w:rPr>
          <w:rStyle w:val="FootnoteReference"/>
        </w:rPr>
        <w:footnoteRef/>
      </w:r>
      <w:r>
        <w:t xml:space="preserve"> </w:t>
      </w:r>
      <w:r w:rsidR="00C1241D">
        <w:t>PGE’s, SCE’s, and SDG&amp;E’s Monthly Disconnections Report</w:t>
      </w:r>
      <w:r w:rsidR="005D483F">
        <w:t xml:space="preserve">s </w:t>
      </w:r>
      <w:r w:rsidR="00C1241D">
        <w:t xml:space="preserve">filed in </w:t>
      </w:r>
      <w:r>
        <w:t>R.18-07-005</w:t>
      </w:r>
      <w:r w:rsidR="009F7C52">
        <w:t xml:space="preserve"> in December 2023</w:t>
      </w:r>
      <w:r w:rsidR="00C1241D">
        <w:t>.</w:t>
      </w:r>
    </w:p>
  </w:footnote>
  <w:footnote w:id="99">
    <w:p w14:paraId="746BE9F6" w14:textId="6DA20B79" w:rsidR="00381F13" w:rsidRDefault="00381F13">
      <w:pPr>
        <w:pStyle w:val="FootnoteText"/>
      </w:pPr>
      <w:r>
        <w:rPr>
          <w:rStyle w:val="FootnoteReference"/>
        </w:rPr>
        <w:footnoteRef/>
      </w:r>
      <w:r>
        <w:t xml:space="preserve"> Cal Advocates’ opening brief.</w:t>
      </w:r>
    </w:p>
  </w:footnote>
  <w:footnote w:id="100">
    <w:p w14:paraId="17ED0B2F" w14:textId="06C31297" w:rsidR="00C01515" w:rsidRDefault="00C01515">
      <w:pPr>
        <w:pStyle w:val="FootnoteText"/>
      </w:pPr>
      <w:r>
        <w:rPr>
          <w:rStyle w:val="FootnoteReference"/>
        </w:rPr>
        <w:footnoteRef/>
      </w:r>
      <w:r>
        <w:t xml:space="preserve"> CforAT opening brief</w:t>
      </w:r>
      <w:r w:rsidR="00A2131E">
        <w:t>.</w:t>
      </w:r>
    </w:p>
  </w:footnote>
  <w:footnote w:id="101">
    <w:p w14:paraId="3E146CAF" w14:textId="686011A9" w:rsidR="006374BB" w:rsidRDefault="006374BB">
      <w:pPr>
        <w:pStyle w:val="FootnoteText"/>
      </w:pPr>
      <w:r>
        <w:rPr>
          <w:rStyle w:val="FootnoteReference"/>
        </w:rPr>
        <w:footnoteRef/>
      </w:r>
      <w:r>
        <w:t xml:space="preserve"> TURN/NRDC reply brief</w:t>
      </w:r>
      <w:r w:rsidR="00A2131E">
        <w:t>.</w:t>
      </w:r>
    </w:p>
  </w:footnote>
  <w:footnote w:id="102">
    <w:p w14:paraId="0883F5F4" w14:textId="7B534CC1" w:rsidR="00553D5A" w:rsidRDefault="00553D5A">
      <w:pPr>
        <w:pStyle w:val="FootnoteText"/>
      </w:pPr>
      <w:r>
        <w:rPr>
          <w:rStyle w:val="FootnoteReference"/>
        </w:rPr>
        <w:footnoteRef/>
      </w:r>
      <w:r>
        <w:t xml:space="preserve"> SEIA</w:t>
      </w:r>
      <w:r w:rsidR="00010BDC">
        <w:t>’s</w:t>
      </w:r>
      <w:r>
        <w:t xml:space="preserve"> opening brief</w:t>
      </w:r>
      <w:r w:rsidR="00010BDC">
        <w:t xml:space="preserve"> and</w:t>
      </w:r>
      <w:r>
        <w:t xml:space="preserve"> TURN/NRDC</w:t>
      </w:r>
      <w:r w:rsidR="00010BDC">
        <w:t>’s</w:t>
      </w:r>
      <w:r>
        <w:t xml:space="preserve"> reply brief</w:t>
      </w:r>
      <w:r w:rsidR="00010BDC">
        <w:t>.</w:t>
      </w:r>
    </w:p>
  </w:footnote>
  <w:footnote w:id="103">
    <w:p w14:paraId="0F20B726" w14:textId="2555B0DB" w:rsidR="00886B3F" w:rsidRDefault="00886B3F">
      <w:pPr>
        <w:pStyle w:val="FootnoteText"/>
      </w:pPr>
      <w:r>
        <w:rPr>
          <w:rStyle w:val="FootnoteReference"/>
        </w:rPr>
        <w:footnoteRef/>
      </w:r>
      <w:r>
        <w:t xml:space="preserve"> </w:t>
      </w:r>
      <w:r w:rsidR="00FF2131">
        <w:t>D.21-</w:t>
      </w:r>
      <w:r w:rsidR="005677FD">
        <w:t>06-015</w:t>
      </w:r>
      <w:r w:rsidR="00FF2131">
        <w:t xml:space="preserve"> at Conclusions of Law </w:t>
      </w:r>
      <w:r w:rsidR="00803528">
        <w:t>49.</w:t>
      </w:r>
    </w:p>
  </w:footnote>
  <w:footnote w:id="104">
    <w:p w14:paraId="7A52033F" w14:textId="77777777" w:rsidR="00AF2AF7" w:rsidRDefault="00AF2AF7" w:rsidP="00AF2AF7">
      <w:pPr>
        <w:pStyle w:val="FootnoteText"/>
      </w:pPr>
      <w:r>
        <w:rPr>
          <w:rStyle w:val="FootnoteReference"/>
        </w:rPr>
        <w:footnoteRef/>
      </w:r>
      <w:r>
        <w:t xml:space="preserve"> The California Housing Partnership was created by the Legislature in 1988 as a </w:t>
      </w:r>
      <w:r w:rsidRPr="00F01A7C">
        <w:t>nonprofit organization</w:t>
      </w:r>
      <w:r>
        <w:t xml:space="preserve"> to </w:t>
      </w:r>
      <w:r w:rsidRPr="00D625CC">
        <w:t>create and preserve affordable and sustainable homes for Californians with low incomes by providing expert financial and policy solutions to nonprofit and public partners</w:t>
      </w:r>
      <w:r>
        <w:t>. The California Housing Partnership maintains a database of all affordable rental housing units in California that receive state or federal subsidies, available at https://www.chpc.net.</w:t>
      </w:r>
    </w:p>
  </w:footnote>
  <w:footnote w:id="105">
    <w:p w14:paraId="4024C813" w14:textId="77777777" w:rsidR="00A706A3" w:rsidRDefault="00A706A3" w:rsidP="00A706A3">
      <w:pPr>
        <w:pStyle w:val="FootnoteText"/>
      </w:pPr>
      <w:r>
        <w:rPr>
          <w:rStyle w:val="FootnoteReference"/>
        </w:rPr>
        <w:footnoteRef/>
      </w:r>
      <w:r>
        <w:t xml:space="preserve"> TURN/NRDC’s opening and reply briefs.</w:t>
      </w:r>
    </w:p>
  </w:footnote>
  <w:footnote w:id="106">
    <w:p w14:paraId="1F753A48" w14:textId="77777777" w:rsidR="00A706A3" w:rsidRDefault="00A706A3" w:rsidP="00A706A3">
      <w:pPr>
        <w:pStyle w:val="FootnoteText"/>
      </w:pPr>
      <w:r>
        <w:rPr>
          <w:rStyle w:val="FootnoteReference"/>
        </w:rPr>
        <w:footnoteRef/>
      </w:r>
      <w:r>
        <w:t xml:space="preserve"> </w:t>
      </w:r>
      <w:r w:rsidRPr="0008492E">
        <w:rPr>
          <w:i/>
          <w:iCs/>
        </w:rPr>
        <w:t>See</w:t>
      </w:r>
      <w:r>
        <w:t xml:space="preserve"> the Department of Housing and Community Development’s state and federal income limits for housing assistance programs, available at </w:t>
      </w:r>
      <w:r w:rsidRPr="00474AFE">
        <w:t>https://www.hcd.ca.gov/grants-and-funding/income-limits</w:t>
      </w:r>
      <w:r>
        <w:t>.</w:t>
      </w:r>
    </w:p>
  </w:footnote>
  <w:footnote w:id="107">
    <w:p w14:paraId="1D6B8A97" w14:textId="16AECF49" w:rsidR="005D0E33" w:rsidRDefault="005D0E33">
      <w:pPr>
        <w:pStyle w:val="FootnoteText"/>
      </w:pPr>
      <w:r>
        <w:rPr>
          <w:rStyle w:val="FootnoteReference"/>
        </w:rPr>
        <w:footnoteRef/>
      </w:r>
      <w:r>
        <w:t xml:space="preserve"> </w:t>
      </w:r>
      <w:r w:rsidR="008B39E0">
        <w:t>The Large Utilities’ reply brief.</w:t>
      </w:r>
    </w:p>
  </w:footnote>
  <w:footnote w:id="108">
    <w:p w14:paraId="66981E9F" w14:textId="14428BE7" w:rsidR="008B0B86" w:rsidRDefault="008B0B86">
      <w:pPr>
        <w:pStyle w:val="FootnoteText"/>
      </w:pPr>
      <w:r>
        <w:rPr>
          <w:rStyle w:val="FootnoteReference"/>
        </w:rPr>
        <w:footnoteRef/>
      </w:r>
      <w:r>
        <w:t xml:space="preserve"> </w:t>
      </w:r>
      <w:r w:rsidR="00077268">
        <w:t xml:space="preserve">The Large Utilities’ </w:t>
      </w:r>
      <w:r w:rsidR="00F83E3E">
        <w:t xml:space="preserve">opening comments on the </w:t>
      </w:r>
      <w:r w:rsidR="00BA4DD0">
        <w:t>Implementation Pathway Ruling.</w:t>
      </w:r>
    </w:p>
  </w:footnote>
  <w:footnote w:id="109">
    <w:p w14:paraId="473BB357" w14:textId="3851D10A" w:rsidR="00CE396F" w:rsidRDefault="00CE396F">
      <w:pPr>
        <w:pStyle w:val="FootnoteText"/>
      </w:pPr>
      <w:r>
        <w:rPr>
          <w:rStyle w:val="FootnoteReference"/>
        </w:rPr>
        <w:footnoteRef/>
      </w:r>
      <w:r>
        <w:t xml:space="preserve"> </w:t>
      </w:r>
      <w:r w:rsidR="00722C59">
        <w:t>Cal Advocates’ opening brief.</w:t>
      </w:r>
    </w:p>
  </w:footnote>
  <w:footnote w:id="110">
    <w:p w14:paraId="16091101" w14:textId="15490991" w:rsidR="008B0B86" w:rsidRDefault="008B0B86">
      <w:pPr>
        <w:pStyle w:val="FootnoteText"/>
      </w:pPr>
      <w:r>
        <w:rPr>
          <w:rStyle w:val="FootnoteReference"/>
        </w:rPr>
        <w:footnoteRef/>
      </w:r>
      <w:r>
        <w:t xml:space="preserve"> </w:t>
      </w:r>
      <w:r w:rsidR="00077268">
        <w:t xml:space="preserve">CforAT’s opening brief and </w:t>
      </w:r>
      <w:r w:rsidR="00606209">
        <w:t>Sierra Club/CEJA’s reply comments on the Implementation Pathway Ruling.</w:t>
      </w:r>
    </w:p>
  </w:footnote>
  <w:footnote w:id="111">
    <w:p w14:paraId="6247E489" w14:textId="17D4EDC4" w:rsidR="00F97589" w:rsidRDefault="00F97589">
      <w:pPr>
        <w:pStyle w:val="FootnoteText"/>
      </w:pPr>
      <w:r>
        <w:rPr>
          <w:rStyle w:val="FootnoteReference"/>
        </w:rPr>
        <w:footnoteRef/>
      </w:r>
      <w:r>
        <w:t xml:space="preserve"> </w:t>
      </w:r>
      <w:r w:rsidRPr="00F97589">
        <w:t xml:space="preserve">We </w:t>
      </w:r>
      <w:r w:rsidR="002B1A6F">
        <w:t>also note that th</w:t>
      </w:r>
      <w:r w:rsidR="00462667">
        <w:t>ere</w:t>
      </w:r>
      <w:r w:rsidR="002B1A6F">
        <w:t xml:space="preserve"> is precedent for </w:t>
      </w:r>
      <w:r w:rsidR="009F53EF">
        <w:t>using</w:t>
      </w:r>
      <w:r w:rsidRPr="00F97589">
        <w:t xml:space="preserve"> California Housing Partnership’s database</w:t>
      </w:r>
      <w:r w:rsidR="00462667">
        <w:t xml:space="preserve"> of deed-restricted affordable rental homes</w:t>
      </w:r>
      <w:r w:rsidR="002B1A6F">
        <w:t xml:space="preserve"> </w:t>
      </w:r>
      <w:r w:rsidR="005C3B6D">
        <w:t xml:space="preserve">for </w:t>
      </w:r>
      <w:r w:rsidR="006C1EC0">
        <w:t>outreach purposes</w:t>
      </w:r>
      <w:r w:rsidR="0048208A">
        <w:t>;</w:t>
      </w:r>
      <w:r w:rsidRPr="00F97589">
        <w:t xml:space="preserve"> Solar on Multifamily Affordable Housing</w:t>
      </w:r>
      <w:r w:rsidR="005C3B6D">
        <w:t>,</w:t>
      </w:r>
      <w:r w:rsidR="00AF18BD">
        <w:t xml:space="preserve"> authorized by </w:t>
      </w:r>
      <w:r w:rsidR="00D24B60">
        <w:t>Pub. Util.</w:t>
      </w:r>
      <w:r w:rsidR="00A3226B" w:rsidRPr="00A3226B">
        <w:t xml:space="preserve"> Code 2870 and D.17-12-022, has used the California Housing Partnership’s database of deed-restricted affordable rental homes for outreach to homes that may qualify for incentives.</w:t>
      </w:r>
    </w:p>
  </w:footnote>
  <w:footnote w:id="112">
    <w:p w14:paraId="686C44BB" w14:textId="229E714B" w:rsidR="00417CFD" w:rsidRDefault="00417CFD" w:rsidP="00417CFD">
      <w:pPr>
        <w:pStyle w:val="FootnoteText"/>
      </w:pPr>
      <w:r>
        <w:rPr>
          <w:rStyle w:val="FootnoteReference"/>
        </w:rPr>
        <w:footnoteRef/>
      </w:r>
      <w:r>
        <w:t xml:space="preserve"> </w:t>
      </w:r>
      <w:r w:rsidR="007635FA">
        <w:t xml:space="preserve">As noted in the background section of this decision, </w:t>
      </w:r>
      <w:r>
        <w:t>D.</w:t>
      </w:r>
      <w:r w:rsidRPr="0043508A">
        <w:t>23-04-008</w:t>
      </w:r>
      <w:r>
        <w:t xml:space="preserve"> authorized the Commission’s staff to approve cost recovery by the Large Utilities for consulting services provided to the Commission’s staff for developing a Public Tool for use by the public to design income-graduated fixed charge proposals.</w:t>
      </w:r>
      <w:r w:rsidRPr="00A31A54">
        <w:rPr>
          <w:sz w:val="26"/>
          <w:szCs w:val="22"/>
        </w:rPr>
        <w:t xml:space="preserve"> </w:t>
      </w:r>
    </w:p>
  </w:footnote>
  <w:footnote w:id="113">
    <w:p w14:paraId="5AE59F35" w14:textId="3B8006A3" w:rsidR="00E77782" w:rsidRDefault="00E77782" w:rsidP="00E77782">
      <w:pPr>
        <w:pStyle w:val="FootnoteText"/>
      </w:pPr>
      <w:r>
        <w:rPr>
          <w:rStyle w:val="FootnoteReference"/>
        </w:rPr>
        <w:footnoteRef/>
      </w:r>
      <w:r>
        <w:t xml:space="preserve"> </w:t>
      </w:r>
      <w:r w:rsidR="00847FD0" w:rsidRPr="002812BB">
        <w:rPr>
          <w:i/>
          <w:iCs/>
        </w:rPr>
        <w:t>See</w:t>
      </w:r>
      <w:r w:rsidR="00847FD0">
        <w:t xml:space="preserve"> the </w:t>
      </w:r>
      <w:r w:rsidR="00327E3C">
        <w:t>Staff Guidance Memo</w:t>
      </w:r>
      <w:r w:rsidR="008C170C">
        <w:t xml:space="preserve">. </w:t>
      </w:r>
      <w:r w:rsidR="00847FD0">
        <w:t xml:space="preserve">The Public </w:t>
      </w:r>
      <w:r w:rsidR="00C65913">
        <w:t>Tool incorporated data from</w:t>
      </w:r>
      <w:r w:rsidR="00DD4A7C">
        <w:t xml:space="preserve">: </w:t>
      </w:r>
      <w:r w:rsidR="00DD4A7C" w:rsidRPr="00DD4A7C">
        <w:t>Borenstein, Fowlie, and Sallee</w:t>
      </w:r>
      <w:r w:rsidR="00847FD0">
        <w:t>,</w:t>
      </w:r>
      <w:r w:rsidR="00DD4A7C" w:rsidRPr="00DD4A7C">
        <w:t xml:space="preserve"> </w:t>
      </w:r>
      <w:r w:rsidR="00DD4A7C" w:rsidRPr="00394613">
        <w:rPr>
          <w:i/>
          <w:iCs/>
        </w:rPr>
        <w:t>Paying for Electricity in California: How Residential Rate Design Impacts Equity and Electrification</w:t>
      </w:r>
      <w:r w:rsidR="00847FD0">
        <w:rPr>
          <w:i/>
          <w:iCs/>
        </w:rPr>
        <w:t xml:space="preserve"> </w:t>
      </w:r>
      <w:r w:rsidR="00847FD0">
        <w:t xml:space="preserve">(September 2022), </w:t>
      </w:r>
      <w:r w:rsidR="00DD4A7C" w:rsidRPr="00DD4A7C">
        <w:t>Next 10 and the Energy Institute</w:t>
      </w:r>
      <w:r w:rsidR="00847FD0">
        <w:t>, a</w:t>
      </w:r>
      <w:r w:rsidR="00DD4A7C" w:rsidRPr="00DD4A7C">
        <w:t xml:space="preserve">vailable at: </w:t>
      </w:r>
      <w:hyperlink r:id="rId2" w:history="1">
        <w:r w:rsidR="00DD4A7C" w:rsidRPr="00264780">
          <w:rPr>
            <w:rStyle w:val="Hyperlink"/>
          </w:rPr>
          <w:t>https://www.next10.org/publications/electricity-rates-2</w:t>
        </w:r>
      </w:hyperlink>
      <w:r w:rsidR="00847FD0">
        <w:t>.</w:t>
      </w:r>
    </w:p>
  </w:footnote>
  <w:footnote w:id="114">
    <w:p w14:paraId="296AC7E9" w14:textId="189C6097" w:rsidR="00CA18CA" w:rsidRDefault="00CA18CA">
      <w:pPr>
        <w:pStyle w:val="FootnoteText"/>
      </w:pPr>
      <w:r>
        <w:rPr>
          <w:rStyle w:val="FootnoteReference"/>
        </w:rPr>
        <w:footnoteRef/>
      </w:r>
      <w:r>
        <w:t xml:space="preserve"> </w:t>
      </w:r>
      <w:r w:rsidR="00F1293A">
        <w:t xml:space="preserve">Table 3 includes the parties’ proposed average fixed charges for the initial version of the income-graduated fixed charges. </w:t>
      </w:r>
      <w:r w:rsidR="005068D1" w:rsidRPr="002812BB">
        <w:rPr>
          <w:i/>
          <w:iCs/>
        </w:rPr>
        <w:t xml:space="preserve">See </w:t>
      </w:r>
      <w:r w:rsidR="005068D1">
        <w:t>t</w:t>
      </w:r>
      <w:r w:rsidR="00BF0EE5">
        <w:t xml:space="preserve">he opening briefs of </w:t>
      </w:r>
      <w:r w:rsidR="007678A8">
        <w:t xml:space="preserve">the </w:t>
      </w:r>
      <w:r w:rsidR="00BF0EE5">
        <w:t xml:space="preserve">Cal Advocates, the Large Utilities, </w:t>
      </w:r>
      <w:r w:rsidR="00AA6177">
        <w:t xml:space="preserve">Sierra Club, and </w:t>
      </w:r>
      <w:r w:rsidR="00BF0EE5">
        <w:t>TURN/NRDC</w:t>
      </w:r>
      <w:r w:rsidR="00034100">
        <w:t>, Exhibit CLC-02,</w:t>
      </w:r>
      <w:r w:rsidR="00A3479F">
        <w:t xml:space="preserve"> and</w:t>
      </w:r>
      <w:r w:rsidR="008F4510">
        <w:t xml:space="preserve"> </w:t>
      </w:r>
      <w:r w:rsidR="00DA5540">
        <w:t>Exhibit SEIA-02.</w:t>
      </w:r>
      <w:r w:rsidR="00034100">
        <w:t xml:space="preserve"> </w:t>
      </w:r>
      <w:r w:rsidR="00034100" w:rsidRPr="00034100">
        <w:t xml:space="preserve">Because SEIA and </w:t>
      </w:r>
      <w:r w:rsidR="00034100">
        <w:t xml:space="preserve">the </w:t>
      </w:r>
      <w:r w:rsidR="00034100" w:rsidRPr="00034100">
        <w:t>Clean Coalition propose to recover the same set of fixed costs through the fixed charge, the average fixed charge proposed by Clean Coalition is the same as what was proposed by SEIA.</w:t>
      </w:r>
    </w:p>
  </w:footnote>
  <w:footnote w:id="115">
    <w:p w14:paraId="16202204" w14:textId="772BDD9A" w:rsidR="00433D34" w:rsidRDefault="00433D34" w:rsidP="00433D34">
      <w:pPr>
        <w:pStyle w:val="FootnoteText"/>
      </w:pPr>
      <w:r>
        <w:rPr>
          <w:rStyle w:val="FootnoteReference"/>
        </w:rPr>
        <w:footnoteRef/>
      </w:r>
      <w:r>
        <w:t xml:space="preserve"> Clean Coalition’s opening brief. </w:t>
      </w:r>
    </w:p>
  </w:footnote>
  <w:footnote w:id="116">
    <w:p w14:paraId="682280FF" w14:textId="36F6CF4B" w:rsidR="00BD6C54" w:rsidRDefault="00BD6C54">
      <w:pPr>
        <w:pStyle w:val="FootnoteText"/>
      </w:pPr>
      <w:r>
        <w:rPr>
          <w:rStyle w:val="FootnoteReference"/>
        </w:rPr>
        <w:footnoteRef/>
      </w:r>
      <w:r>
        <w:t xml:space="preserve"> Cal Advocates</w:t>
      </w:r>
      <w:r w:rsidR="00BA775A">
        <w:t>’</w:t>
      </w:r>
      <w:r>
        <w:t xml:space="preserve"> reply comments on Implementation Pathway Ruling</w:t>
      </w:r>
      <w:r w:rsidR="00BA775A">
        <w:t>.</w:t>
      </w:r>
    </w:p>
  </w:footnote>
  <w:footnote w:id="117">
    <w:p w14:paraId="56BED7E8" w14:textId="7499507A" w:rsidR="00C256F7" w:rsidRDefault="00C256F7">
      <w:pPr>
        <w:pStyle w:val="FootnoteText"/>
      </w:pPr>
      <w:r>
        <w:rPr>
          <w:rStyle w:val="FootnoteReference"/>
        </w:rPr>
        <w:footnoteRef/>
      </w:r>
      <w:r>
        <w:t xml:space="preserve"> </w:t>
      </w:r>
      <w:r w:rsidR="00111CF1">
        <w:t xml:space="preserve">Exhibit </w:t>
      </w:r>
      <w:r>
        <w:t>TURN/NRDC</w:t>
      </w:r>
      <w:r w:rsidR="00111CF1">
        <w:t>-0</w:t>
      </w:r>
      <w:r>
        <w:t>1 and TURN/NRDC opening brief.</w:t>
      </w:r>
    </w:p>
  </w:footnote>
  <w:footnote w:id="118">
    <w:p w14:paraId="2CB1BB14" w14:textId="7006D46D" w:rsidR="00DE5126" w:rsidRDefault="00DE5126">
      <w:pPr>
        <w:pStyle w:val="FootnoteText"/>
      </w:pPr>
      <w:r>
        <w:rPr>
          <w:rStyle w:val="FootnoteReference"/>
        </w:rPr>
        <w:footnoteRef/>
      </w:r>
      <w:r>
        <w:t xml:space="preserve"> </w:t>
      </w:r>
      <w:r w:rsidR="00F1529B">
        <w:t>Cal Advocates’ opening brief.</w:t>
      </w:r>
    </w:p>
  </w:footnote>
  <w:footnote w:id="119">
    <w:p w14:paraId="65A3B4F7" w14:textId="53E10928" w:rsidR="00747CD1" w:rsidRDefault="00747CD1">
      <w:pPr>
        <w:pStyle w:val="FootnoteText"/>
      </w:pPr>
      <w:r>
        <w:rPr>
          <w:rStyle w:val="FootnoteReference"/>
        </w:rPr>
        <w:footnoteRef/>
      </w:r>
      <w:r>
        <w:t xml:space="preserve"> Large Utilities’ reply brief.</w:t>
      </w:r>
    </w:p>
  </w:footnote>
  <w:footnote w:id="120">
    <w:p w14:paraId="74267808" w14:textId="60ADEFC1" w:rsidR="00CF2C2C" w:rsidRDefault="00CF2C2C">
      <w:pPr>
        <w:pStyle w:val="FootnoteText"/>
      </w:pPr>
      <w:r>
        <w:rPr>
          <w:rStyle w:val="FootnoteReference"/>
        </w:rPr>
        <w:footnoteRef/>
      </w:r>
      <w:r>
        <w:t xml:space="preserve"> Large Utilities’ reply brief.</w:t>
      </w:r>
    </w:p>
  </w:footnote>
  <w:footnote w:id="121">
    <w:p w14:paraId="5F87B0F0" w14:textId="77777777" w:rsidR="001A0419" w:rsidRDefault="001A0419" w:rsidP="001A0419">
      <w:pPr>
        <w:pStyle w:val="FootnoteText"/>
      </w:pPr>
      <w:r>
        <w:rPr>
          <w:rStyle w:val="FootnoteReference"/>
        </w:rPr>
        <w:footnoteRef/>
      </w:r>
      <w:r>
        <w:t xml:space="preserve"> SEIA’s opening brief.</w:t>
      </w:r>
    </w:p>
  </w:footnote>
  <w:footnote w:id="122">
    <w:p w14:paraId="303FCEDF" w14:textId="77777777" w:rsidR="001A0419" w:rsidRDefault="001A0419" w:rsidP="001A0419">
      <w:pPr>
        <w:pStyle w:val="FootnoteText"/>
      </w:pPr>
      <w:r>
        <w:rPr>
          <w:rStyle w:val="FootnoteReference"/>
        </w:rPr>
        <w:footnoteRef/>
      </w:r>
      <w:r>
        <w:t xml:space="preserve"> SEIA’s reply brief.</w:t>
      </w:r>
    </w:p>
  </w:footnote>
  <w:footnote w:id="123">
    <w:p w14:paraId="350097BB" w14:textId="693664DF" w:rsidR="00DA43BE" w:rsidRDefault="00DA43BE">
      <w:pPr>
        <w:pStyle w:val="FootnoteText"/>
      </w:pPr>
      <w:r>
        <w:rPr>
          <w:rStyle w:val="FootnoteReference"/>
        </w:rPr>
        <w:footnoteRef/>
      </w:r>
      <w:r>
        <w:t xml:space="preserve"> </w:t>
      </w:r>
      <w:r w:rsidR="00BE1FAA">
        <w:t xml:space="preserve">Sacramento Municipal Utility District’s </w:t>
      </w:r>
      <w:r w:rsidR="00FA3E8D">
        <w:t>Residential Service Rate Schedule R</w:t>
      </w:r>
      <w:r w:rsidR="00BE1FAA">
        <w:t>, available at</w:t>
      </w:r>
      <w:r w:rsidR="00FA3E8D">
        <w:t xml:space="preserve"> </w:t>
      </w:r>
      <w:hyperlink r:id="rId3" w:history="1">
        <w:r w:rsidR="00FA3E8D" w:rsidRPr="00264780">
          <w:rPr>
            <w:rStyle w:val="Hyperlink"/>
          </w:rPr>
          <w:t>https://www.smud.org/-/media/Documents/Rate-Information/Rates/1-R.ashx</w:t>
        </w:r>
      </w:hyperlink>
      <w:r w:rsidR="00FA3E8D">
        <w:t xml:space="preserve">; </w:t>
      </w:r>
      <w:r w:rsidR="00BC4752" w:rsidRPr="00BC4752">
        <w:t xml:space="preserve">Sacramento Municipal Utility District’s </w:t>
      </w:r>
      <w:r w:rsidR="00D7141F">
        <w:t>Energy Assistance Program Rate Schedule EAPR</w:t>
      </w:r>
      <w:r w:rsidR="00BC4752">
        <w:t>, available at</w:t>
      </w:r>
      <w:r w:rsidR="00D7141F">
        <w:t xml:space="preserve"> </w:t>
      </w:r>
      <w:hyperlink r:id="rId4" w:history="1">
        <w:r w:rsidR="00D7141F" w:rsidRPr="00264780">
          <w:rPr>
            <w:rStyle w:val="Hyperlink"/>
          </w:rPr>
          <w:t>https://www.smud.org/-/media/Documents/Rate-Information/Rates/01_EAPR.ashx</w:t>
        </w:r>
      </w:hyperlink>
      <w:r w:rsidR="00BC4752">
        <w:rPr>
          <w:rStyle w:val="Hyperlink"/>
        </w:rPr>
        <w:t>.</w:t>
      </w:r>
      <w:r w:rsidR="00D7141F">
        <w:t xml:space="preserve"> </w:t>
      </w:r>
    </w:p>
  </w:footnote>
  <w:footnote w:id="124">
    <w:p w14:paraId="425384DB" w14:textId="30E5A547" w:rsidR="00A10717" w:rsidRDefault="00A10717">
      <w:pPr>
        <w:pStyle w:val="FootnoteText"/>
      </w:pPr>
      <w:r>
        <w:rPr>
          <w:rStyle w:val="FootnoteReference"/>
        </w:rPr>
        <w:footnoteRef/>
      </w:r>
      <w:r>
        <w:t xml:space="preserve"> </w:t>
      </w:r>
      <w:r w:rsidR="003F7239" w:rsidRPr="002812BB">
        <w:rPr>
          <w:i/>
          <w:iCs/>
        </w:rPr>
        <w:t>See</w:t>
      </w:r>
      <w:r w:rsidR="003F7239">
        <w:t xml:space="preserve"> the </w:t>
      </w:r>
      <w:r w:rsidR="00A82B3A">
        <w:t xml:space="preserve">opening briefs of </w:t>
      </w:r>
      <w:r w:rsidR="004D6FF2">
        <w:t xml:space="preserve">Cal Advocates, </w:t>
      </w:r>
      <w:r w:rsidR="004D6FF2" w:rsidRPr="004D6FF2">
        <w:t>Clean Coalition</w:t>
      </w:r>
      <w:r w:rsidR="004D6FF2">
        <w:t>, Large Utilities, SEIA,</w:t>
      </w:r>
      <w:r w:rsidR="00246F47">
        <w:t xml:space="preserve"> Sierra Club, </w:t>
      </w:r>
      <w:r w:rsidR="003F7239">
        <w:t xml:space="preserve">and </w:t>
      </w:r>
      <w:r w:rsidR="00246F47">
        <w:t>TURN/NRDC</w:t>
      </w:r>
      <w:r w:rsidR="004D6FF2" w:rsidRPr="004D6FF2">
        <w:t xml:space="preserve"> </w:t>
      </w:r>
      <w:r w:rsidR="00A82B3A">
        <w:t xml:space="preserve">and </w:t>
      </w:r>
      <w:r w:rsidR="003F7239">
        <w:t xml:space="preserve">Exhibit </w:t>
      </w:r>
      <w:r w:rsidR="00A82B3A">
        <w:t>Joint IOU</w:t>
      </w:r>
      <w:r w:rsidR="008E51CB">
        <w:t>s</w:t>
      </w:r>
      <w:r w:rsidR="003F7239">
        <w:t>-04.</w:t>
      </w:r>
    </w:p>
  </w:footnote>
  <w:footnote w:id="125">
    <w:p w14:paraId="05289071" w14:textId="30032A39" w:rsidR="00C77D47" w:rsidRDefault="00C77D47">
      <w:pPr>
        <w:pStyle w:val="FootnoteText"/>
      </w:pPr>
      <w:r>
        <w:rPr>
          <w:rStyle w:val="FootnoteReference"/>
        </w:rPr>
        <w:footnoteRef/>
      </w:r>
      <w:r>
        <w:t xml:space="preserve"> </w:t>
      </w:r>
      <w:r w:rsidR="002E2E8D">
        <w:t xml:space="preserve">Exhibit Joint IOUs-04, </w:t>
      </w:r>
      <w:r w:rsidR="006B7693">
        <w:t xml:space="preserve">Exhibit SC-01E, </w:t>
      </w:r>
      <w:r w:rsidR="00A37213">
        <w:t xml:space="preserve">and </w:t>
      </w:r>
      <w:r w:rsidR="00C26655">
        <w:t>Exhibit NRDC</w:t>
      </w:r>
      <w:r w:rsidR="00632BA7">
        <w:t>-</w:t>
      </w:r>
      <w:r w:rsidR="00C26655">
        <w:t>TURN-01</w:t>
      </w:r>
      <w:r w:rsidR="00A37213">
        <w:t>.</w:t>
      </w:r>
    </w:p>
  </w:footnote>
  <w:footnote w:id="126">
    <w:p w14:paraId="77163273" w14:textId="6CCA3114" w:rsidR="00407E14" w:rsidRDefault="00407E14">
      <w:pPr>
        <w:pStyle w:val="FootnoteText"/>
      </w:pPr>
      <w:r>
        <w:rPr>
          <w:rStyle w:val="FootnoteReference"/>
        </w:rPr>
        <w:footnoteRef/>
      </w:r>
      <w:r>
        <w:t xml:space="preserve"> </w:t>
      </w:r>
      <w:r w:rsidR="007C22BF">
        <w:t xml:space="preserve">Cal Advocates’ and </w:t>
      </w:r>
      <w:r w:rsidR="00EE0E39">
        <w:t>SEIA</w:t>
      </w:r>
      <w:r w:rsidR="007C22BF">
        <w:t>’s</w:t>
      </w:r>
      <w:r w:rsidR="00EE0E39">
        <w:t xml:space="preserve"> opening statutory brief</w:t>
      </w:r>
      <w:r w:rsidR="00B24208">
        <w:t>s</w:t>
      </w:r>
      <w:r w:rsidR="007C22BF">
        <w:t xml:space="preserve"> and TURN/NRDC’s reply brief.</w:t>
      </w:r>
    </w:p>
  </w:footnote>
  <w:footnote w:id="127">
    <w:p w14:paraId="4096E14B" w14:textId="087E999D" w:rsidR="00C62D6C" w:rsidRDefault="00C62D6C">
      <w:pPr>
        <w:pStyle w:val="FootnoteText"/>
      </w:pPr>
      <w:r>
        <w:rPr>
          <w:rStyle w:val="FootnoteReference"/>
        </w:rPr>
        <w:footnoteRef/>
      </w:r>
      <w:r>
        <w:t xml:space="preserve"> </w:t>
      </w:r>
      <w:r w:rsidRPr="00C62D6C">
        <w:t>TURN/NRDC</w:t>
      </w:r>
      <w:r>
        <w:t>’s</w:t>
      </w:r>
      <w:r w:rsidRPr="00C62D6C">
        <w:t>, Cal Advocates</w:t>
      </w:r>
      <w:r>
        <w:t>’s</w:t>
      </w:r>
      <w:r w:rsidRPr="00C62D6C">
        <w:t>, the Large Utilities</w:t>
      </w:r>
      <w:r>
        <w:t>’</w:t>
      </w:r>
      <w:r w:rsidRPr="00C62D6C">
        <w:t>, and Sierra Club</w:t>
      </w:r>
      <w:r w:rsidR="00BA2873">
        <w:t xml:space="preserve">’s </w:t>
      </w:r>
      <w:r w:rsidR="00E92778">
        <w:t>opening briefs.</w:t>
      </w:r>
    </w:p>
  </w:footnote>
  <w:footnote w:id="128">
    <w:p w14:paraId="564EEE82" w14:textId="68CD6B0B" w:rsidR="002A4220" w:rsidRDefault="002A4220">
      <w:pPr>
        <w:pStyle w:val="FootnoteText"/>
      </w:pPr>
      <w:r>
        <w:rPr>
          <w:rStyle w:val="FootnoteReference"/>
        </w:rPr>
        <w:footnoteRef/>
      </w:r>
      <w:r>
        <w:t xml:space="preserve"> CARE customers are exempt from paying</w:t>
      </w:r>
      <w:r w:rsidR="00E96B55">
        <w:t xml:space="preserve"> for the costs of CARE and the </w:t>
      </w:r>
      <w:r>
        <w:t>Self-Generation Incentive Program.</w:t>
      </w:r>
      <w:r w:rsidR="0082382A">
        <w:t xml:space="preserve"> </w:t>
      </w:r>
      <w:r w:rsidR="00E96B55">
        <w:t>All other</w:t>
      </w:r>
      <w:r w:rsidR="0082382A">
        <w:t xml:space="preserve"> Public Purpose Program </w:t>
      </w:r>
      <w:r w:rsidR="00E96B55">
        <w:t>costs are included in the</w:t>
      </w:r>
      <w:r w:rsidR="0082382A">
        <w:t xml:space="preserve"> non-CARE exempt charge.</w:t>
      </w:r>
      <w:r w:rsidR="00940355">
        <w:t xml:space="preserve"> </w:t>
      </w:r>
      <w:r w:rsidR="00940355" w:rsidRPr="00940355">
        <w:t xml:space="preserve">No party asserted that there are any legal restrictions on the recovery of CARE-exempt charges through a fixed charge.  </w:t>
      </w:r>
    </w:p>
  </w:footnote>
  <w:footnote w:id="129">
    <w:p w14:paraId="5D263CFC" w14:textId="1C053550" w:rsidR="005604F4" w:rsidRDefault="005604F4" w:rsidP="005604F4">
      <w:pPr>
        <w:pStyle w:val="FootnoteText"/>
      </w:pPr>
      <w:r>
        <w:rPr>
          <w:rStyle w:val="FootnoteReference"/>
        </w:rPr>
        <w:footnoteRef/>
      </w:r>
      <w:r>
        <w:t xml:space="preserve"> TURN/NRDC opening brief October 6, 2023.</w:t>
      </w:r>
      <w:r w:rsidR="002475D5">
        <w:t xml:space="preserve"> </w:t>
      </w:r>
      <w:r w:rsidR="001F0E3F">
        <w:t xml:space="preserve">SEIA’s opening statutory brief </w:t>
      </w:r>
      <w:r w:rsidR="0034577E">
        <w:t>agreed that AB 205 removed the requirement to recover certain Public Purpose Program charges on a volumetric basis</w:t>
      </w:r>
      <w:r w:rsidR="009B3F9A">
        <w:t>.</w:t>
      </w:r>
    </w:p>
  </w:footnote>
  <w:footnote w:id="130">
    <w:p w14:paraId="56304994" w14:textId="523CECBF" w:rsidR="00232626" w:rsidRDefault="00232626">
      <w:pPr>
        <w:pStyle w:val="FootnoteText"/>
      </w:pPr>
      <w:r>
        <w:rPr>
          <w:rStyle w:val="FootnoteReference"/>
        </w:rPr>
        <w:footnoteRef/>
      </w:r>
      <w:r>
        <w:t xml:space="preserve"> </w:t>
      </w:r>
      <w:r w:rsidR="0091136B">
        <w:t>SEIA’s opening statutory brief.</w:t>
      </w:r>
    </w:p>
  </w:footnote>
  <w:footnote w:id="131">
    <w:p w14:paraId="6252D8A5" w14:textId="0ED028C1" w:rsidR="001B2826" w:rsidRDefault="001B2826">
      <w:pPr>
        <w:pStyle w:val="FootnoteText"/>
      </w:pPr>
      <w:r>
        <w:rPr>
          <w:rStyle w:val="FootnoteReference"/>
        </w:rPr>
        <w:footnoteRef/>
      </w:r>
      <w:r>
        <w:t xml:space="preserve"> </w:t>
      </w:r>
      <w:r w:rsidR="00E44C48">
        <w:t>CalCCA</w:t>
      </w:r>
      <w:r w:rsidR="00D636F7">
        <w:t>’s</w:t>
      </w:r>
      <w:r w:rsidR="00E44C48">
        <w:t xml:space="preserve"> </w:t>
      </w:r>
      <w:r w:rsidR="00DD2FEB">
        <w:t>reply</w:t>
      </w:r>
      <w:r w:rsidR="00E44C48">
        <w:t xml:space="preserve"> brief</w:t>
      </w:r>
      <w:r w:rsidR="00D636F7">
        <w:t>.</w:t>
      </w:r>
    </w:p>
  </w:footnote>
  <w:footnote w:id="132">
    <w:p w14:paraId="1EC49D03" w14:textId="0E7B0BC3" w:rsidR="001B2826" w:rsidRDefault="001B2826">
      <w:pPr>
        <w:pStyle w:val="FootnoteText"/>
      </w:pPr>
      <w:r>
        <w:rPr>
          <w:rStyle w:val="FootnoteReference"/>
        </w:rPr>
        <w:footnoteRef/>
      </w:r>
      <w:r>
        <w:t xml:space="preserve"> Sierra Club</w:t>
      </w:r>
      <w:r w:rsidR="00D636F7">
        <w:t>’s</w:t>
      </w:r>
      <w:r>
        <w:t xml:space="preserve"> opening brief</w:t>
      </w:r>
      <w:r w:rsidR="00D636F7">
        <w:t>.</w:t>
      </w:r>
    </w:p>
  </w:footnote>
  <w:footnote w:id="133">
    <w:p w14:paraId="16F95A79" w14:textId="4EE0542D" w:rsidR="0003609F" w:rsidRDefault="0003609F">
      <w:pPr>
        <w:pStyle w:val="FootnoteText"/>
      </w:pPr>
      <w:r>
        <w:rPr>
          <w:rStyle w:val="FootnoteReference"/>
        </w:rPr>
        <w:footnoteRef/>
      </w:r>
      <w:r>
        <w:t xml:space="preserve"> </w:t>
      </w:r>
      <w:r w:rsidR="00D636F7">
        <w:t>Exhibit Joint IOUs-01-</w:t>
      </w:r>
      <w:r w:rsidR="00AD053C">
        <w:t>E2</w:t>
      </w:r>
      <w:r w:rsidR="0000607A">
        <w:t xml:space="preserve"> and </w:t>
      </w:r>
      <w:r w:rsidR="00AD053C">
        <w:t>Exhibit NRDC-TURN-01.</w:t>
      </w:r>
    </w:p>
  </w:footnote>
  <w:footnote w:id="134">
    <w:p w14:paraId="4F12B153" w14:textId="5530F262" w:rsidR="005E6A7A" w:rsidRDefault="005E6A7A">
      <w:pPr>
        <w:pStyle w:val="FootnoteText"/>
      </w:pPr>
      <w:r>
        <w:rPr>
          <w:rStyle w:val="FootnoteReference"/>
        </w:rPr>
        <w:footnoteRef/>
      </w:r>
      <w:r>
        <w:t xml:space="preserve"> </w:t>
      </w:r>
      <w:r w:rsidR="003C3027" w:rsidRPr="003C3027">
        <w:t>TURN/NRDC</w:t>
      </w:r>
      <w:r w:rsidR="00374932">
        <w:t>’s</w:t>
      </w:r>
      <w:r w:rsidR="003C3027" w:rsidRPr="003C3027">
        <w:t>, Cal Advocates</w:t>
      </w:r>
      <w:r w:rsidR="00374932">
        <w:t>’</w:t>
      </w:r>
      <w:r w:rsidR="003C3027" w:rsidRPr="003C3027">
        <w:t>, and Sierra Club</w:t>
      </w:r>
      <w:r w:rsidR="00374932">
        <w:t>’ opening briefs.</w:t>
      </w:r>
    </w:p>
  </w:footnote>
  <w:footnote w:id="135">
    <w:p w14:paraId="0518CE5B" w14:textId="2DA845EC" w:rsidR="002B5B85" w:rsidRDefault="002B5B85">
      <w:pPr>
        <w:pStyle w:val="FootnoteText"/>
      </w:pPr>
      <w:r>
        <w:rPr>
          <w:rStyle w:val="FootnoteReference"/>
        </w:rPr>
        <w:footnoteRef/>
      </w:r>
      <w:r>
        <w:t xml:space="preserve"> </w:t>
      </w:r>
      <w:r w:rsidR="004C2A44">
        <w:t xml:space="preserve">The Large Utilities’ and </w:t>
      </w:r>
      <w:r>
        <w:t>SEIA’s opening statutory brief</w:t>
      </w:r>
      <w:r w:rsidR="004C2A44">
        <w:t>s</w:t>
      </w:r>
      <w:r w:rsidR="00910617">
        <w:t xml:space="preserve">. </w:t>
      </w:r>
      <w:r w:rsidR="00973575" w:rsidRPr="00973575">
        <w:t>The Large Utilities</w:t>
      </w:r>
      <w:r w:rsidR="005D7BDD">
        <w:t>’ opening statutory</w:t>
      </w:r>
      <w:r w:rsidR="00973575" w:rsidRPr="00973575">
        <w:t xml:space="preserve"> </w:t>
      </w:r>
      <w:r w:rsidR="003B5A11">
        <w:t xml:space="preserve">brief </w:t>
      </w:r>
      <w:r w:rsidR="00973575" w:rsidRPr="00973575">
        <w:t>cited D.19-10-056.</w:t>
      </w:r>
    </w:p>
  </w:footnote>
  <w:footnote w:id="136">
    <w:p w14:paraId="7B2BD35A" w14:textId="5EE76DD1" w:rsidR="00CF7F52" w:rsidRDefault="00CF7F52">
      <w:pPr>
        <w:pStyle w:val="FootnoteText"/>
      </w:pPr>
      <w:r>
        <w:rPr>
          <w:rStyle w:val="FootnoteReference"/>
        </w:rPr>
        <w:footnoteRef/>
      </w:r>
      <w:r>
        <w:t xml:space="preserve"> </w:t>
      </w:r>
      <w:r w:rsidR="002B6BEA">
        <w:t xml:space="preserve">The </w:t>
      </w:r>
      <w:r w:rsidR="00662B50">
        <w:t>Large Utilities’ opening comments on the Implementation Pathway Ruling.</w:t>
      </w:r>
    </w:p>
  </w:footnote>
  <w:footnote w:id="137">
    <w:p w14:paraId="3F6A1FE5" w14:textId="356464CC" w:rsidR="00F775B2" w:rsidRDefault="00F775B2">
      <w:pPr>
        <w:pStyle w:val="FootnoteText"/>
      </w:pPr>
      <w:r>
        <w:rPr>
          <w:rStyle w:val="FootnoteReference"/>
        </w:rPr>
        <w:footnoteRef/>
      </w:r>
      <w:r>
        <w:t xml:space="preserve"> Sierra Club</w:t>
      </w:r>
      <w:r w:rsidR="002B6BEA">
        <w:t>’s</w:t>
      </w:r>
      <w:r>
        <w:t xml:space="preserve"> opening brief</w:t>
      </w:r>
      <w:r w:rsidR="002B6BEA">
        <w:t>.</w:t>
      </w:r>
    </w:p>
  </w:footnote>
  <w:footnote w:id="138">
    <w:p w14:paraId="2D43A20F" w14:textId="368751E4" w:rsidR="00F775B2" w:rsidRDefault="00F775B2">
      <w:pPr>
        <w:pStyle w:val="FootnoteText"/>
      </w:pPr>
      <w:r>
        <w:rPr>
          <w:rStyle w:val="FootnoteReference"/>
        </w:rPr>
        <w:footnoteRef/>
      </w:r>
      <w:r>
        <w:t xml:space="preserve"> </w:t>
      </w:r>
      <w:r w:rsidRPr="00F775B2">
        <w:t>Large Utilities’ opening comments on the Implementation Pathway Ruling.</w:t>
      </w:r>
    </w:p>
  </w:footnote>
  <w:footnote w:id="139">
    <w:p w14:paraId="282483C6" w14:textId="0935AFD2" w:rsidR="00BF4BD1" w:rsidRDefault="00BF4BD1">
      <w:pPr>
        <w:pStyle w:val="FootnoteText"/>
      </w:pPr>
      <w:r>
        <w:rPr>
          <w:rStyle w:val="FootnoteReference"/>
        </w:rPr>
        <w:footnoteRef/>
      </w:r>
      <w:r>
        <w:t xml:space="preserve"> </w:t>
      </w:r>
      <w:r w:rsidR="00BF7671">
        <w:t xml:space="preserve">Sierra Club’s opening </w:t>
      </w:r>
      <w:r w:rsidR="00BB17FD">
        <w:t>brief.</w:t>
      </w:r>
    </w:p>
  </w:footnote>
  <w:footnote w:id="140">
    <w:p w14:paraId="76D19894" w14:textId="3374168F" w:rsidR="00142E76" w:rsidRDefault="00142E76">
      <w:pPr>
        <w:pStyle w:val="FootnoteText"/>
      </w:pPr>
      <w:r>
        <w:rPr>
          <w:rStyle w:val="FootnoteReference"/>
        </w:rPr>
        <w:footnoteRef/>
      </w:r>
      <w:r>
        <w:t xml:space="preserve"> Cal Advocates’ opening statutory brief.</w:t>
      </w:r>
    </w:p>
  </w:footnote>
  <w:footnote w:id="141">
    <w:p w14:paraId="08069844" w14:textId="598A5916" w:rsidR="00142E76" w:rsidRDefault="00142E76">
      <w:pPr>
        <w:pStyle w:val="FootnoteText"/>
      </w:pPr>
      <w:r>
        <w:rPr>
          <w:rStyle w:val="FootnoteReference"/>
        </w:rPr>
        <w:footnoteRef/>
      </w:r>
      <w:r>
        <w:t xml:space="preserve"> TURN/NRDC’s reply statutory brief.</w:t>
      </w:r>
    </w:p>
  </w:footnote>
  <w:footnote w:id="142">
    <w:p w14:paraId="2D4E5BB8" w14:textId="2F43013C" w:rsidR="00AF31ED" w:rsidRDefault="00AF31ED" w:rsidP="00AF31ED">
      <w:pPr>
        <w:pStyle w:val="FootnoteText"/>
      </w:pPr>
      <w:r>
        <w:rPr>
          <w:rStyle w:val="FootnoteReference"/>
        </w:rPr>
        <w:footnoteRef/>
      </w:r>
      <w:r>
        <w:t xml:space="preserve"> </w:t>
      </w:r>
      <w:r w:rsidR="00591522">
        <w:t>Exhibit Joint IOUs-04</w:t>
      </w:r>
      <w:r>
        <w:t xml:space="preserve"> and </w:t>
      </w:r>
      <w:r w:rsidR="00591522">
        <w:t xml:space="preserve">the Large Utilities’ </w:t>
      </w:r>
      <w:r>
        <w:t>opening brief</w:t>
      </w:r>
      <w:r w:rsidR="00591522">
        <w:t>.</w:t>
      </w:r>
    </w:p>
  </w:footnote>
  <w:footnote w:id="143">
    <w:p w14:paraId="45192FB5" w14:textId="5981DFD5" w:rsidR="00601A75" w:rsidRDefault="00601A75">
      <w:pPr>
        <w:pStyle w:val="FootnoteText"/>
      </w:pPr>
      <w:r>
        <w:rPr>
          <w:rStyle w:val="FootnoteReference"/>
        </w:rPr>
        <w:footnoteRef/>
      </w:r>
      <w:r>
        <w:t xml:space="preserve"> </w:t>
      </w:r>
      <w:r w:rsidR="00215261" w:rsidRPr="00215261">
        <w:t>Exhibit Joint IOUs-04 and the Large Utilities’ opening brief.</w:t>
      </w:r>
    </w:p>
  </w:footnote>
  <w:footnote w:id="144">
    <w:p w14:paraId="0C9B5D7E" w14:textId="13486C69" w:rsidR="00215261" w:rsidRDefault="00215261">
      <w:pPr>
        <w:pStyle w:val="FootnoteText"/>
      </w:pPr>
      <w:r>
        <w:rPr>
          <w:rStyle w:val="FootnoteReference"/>
        </w:rPr>
        <w:footnoteRef/>
      </w:r>
      <w:r>
        <w:t xml:space="preserve"> </w:t>
      </w:r>
      <w:r w:rsidRPr="00215261">
        <w:t>TURN/NRDC</w:t>
      </w:r>
      <w:r>
        <w:t>’s</w:t>
      </w:r>
      <w:r w:rsidRPr="00215261">
        <w:t>, Sierra Club</w:t>
      </w:r>
      <w:r>
        <w:t>’s</w:t>
      </w:r>
      <w:r w:rsidRPr="00215261">
        <w:t>, Cal Advocates</w:t>
      </w:r>
      <w:r>
        <w:t>’</w:t>
      </w:r>
      <w:r w:rsidRPr="00215261">
        <w:t>, and the Large Utilities</w:t>
      </w:r>
      <w:r>
        <w:t>’ opening briefs.</w:t>
      </w:r>
    </w:p>
  </w:footnote>
  <w:footnote w:id="145">
    <w:p w14:paraId="6764B81F" w14:textId="4E9FAEF5" w:rsidR="00D06BB5" w:rsidRDefault="00D06BB5">
      <w:pPr>
        <w:pStyle w:val="FootnoteText"/>
      </w:pPr>
      <w:r>
        <w:rPr>
          <w:rStyle w:val="FootnoteReference"/>
        </w:rPr>
        <w:footnoteRef/>
      </w:r>
      <w:r>
        <w:t xml:space="preserve"> </w:t>
      </w:r>
      <w:r w:rsidR="00215261" w:rsidRPr="00215261">
        <w:t>Exhibit Joint IOUs-04</w:t>
      </w:r>
      <w:r w:rsidR="00215261">
        <w:t>.</w:t>
      </w:r>
    </w:p>
  </w:footnote>
  <w:footnote w:id="146">
    <w:p w14:paraId="1E1BB8B0" w14:textId="2915216B" w:rsidR="002808B4" w:rsidRDefault="002808B4" w:rsidP="002808B4">
      <w:pPr>
        <w:pStyle w:val="FootnoteText"/>
      </w:pPr>
      <w:r>
        <w:rPr>
          <w:rStyle w:val="FootnoteReference"/>
        </w:rPr>
        <w:footnoteRef/>
      </w:r>
      <w:r>
        <w:t xml:space="preserve"> </w:t>
      </w:r>
      <w:r w:rsidR="00A25257">
        <w:t>Exhibit SC-01E.</w:t>
      </w:r>
    </w:p>
  </w:footnote>
  <w:footnote w:id="147">
    <w:p w14:paraId="5F89CEBD" w14:textId="409337AB" w:rsidR="00F0200D" w:rsidRDefault="00F0200D">
      <w:pPr>
        <w:pStyle w:val="FootnoteText"/>
      </w:pPr>
      <w:r>
        <w:rPr>
          <w:rStyle w:val="FootnoteReference"/>
        </w:rPr>
        <w:footnoteRef/>
      </w:r>
      <w:r>
        <w:t xml:space="preserve"> The delivery revenue requirement </w:t>
      </w:r>
      <w:r w:rsidR="0050354F">
        <w:t>includes all utility costs other than generation</w:t>
      </w:r>
      <w:r w:rsidR="00267522">
        <w:t>-related</w:t>
      </w:r>
      <w:r w:rsidR="0050354F">
        <w:t xml:space="preserve"> costs.</w:t>
      </w:r>
    </w:p>
  </w:footnote>
  <w:footnote w:id="148">
    <w:p w14:paraId="6EFB4E4B" w14:textId="4E7485C9" w:rsidR="0000732C" w:rsidRDefault="0000732C">
      <w:pPr>
        <w:pStyle w:val="FootnoteText"/>
      </w:pPr>
      <w:r>
        <w:rPr>
          <w:rStyle w:val="FootnoteReference"/>
        </w:rPr>
        <w:footnoteRef/>
      </w:r>
      <w:r>
        <w:t xml:space="preserve"> CARE customers are exempt from paying this cost.</w:t>
      </w:r>
    </w:p>
  </w:footnote>
  <w:footnote w:id="149">
    <w:p w14:paraId="4A8E0BC1" w14:textId="5623A93D" w:rsidR="0000732C" w:rsidRDefault="0000732C" w:rsidP="002B636D">
      <w:pPr>
        <w:pStyle w:val="FootnoteText"/>
      </w:pPr>
      <w:r>
        <w:rPr>
          <w:rStyle w:val="FootnoteReference"/>
        </w:rPr>
        <w:footnoteRef/>
      </w:r>
      <w:r>
        <w:t xml:space="preserve"> </w:t>
      </w:r>
      <w:r w:rsidRPr="0000732C">
        <w:t xml:space="preserve">This revenue requirement value is </w:t>
      </w:r>
      <w:r w:rsidR="009D1B82">
        <w:t>estimated</w:t>
      </w:r>
      <w:r w:rsidRPr="0000732C">
        <w:t xml:space="preserve"> </w:t>
      </w:r>
      <w:r w:rsidR="00CD6FC8">
        <w:t xml:space="preserve">(not the actual 2023 revenue requirement). This revenue requirement reflects this decision’s revision of the </w:t>
      </w:r>
      <w:r w:rsidR="000E5AAA">
        <w:t>CARE average effective discount methodology. CARE customers are exempt from paying this cost.</w:t>
      </w:r>
    </w:p>
  </w:footnote>
  <w:footnote w:id="150">
    <w:p w14:paraId="2EF6F662" w14:textId="5C213E21" w:rsidR="0055078F" w:rsidRDefault="0055078F" w:rsidP="0055078F">
      <w:pPr>
        <w:pStyle w:val="FootnoteText"/>
      </w:pPr>
      <w:r>
        <w:rPr>
          <w:rStyle w:val="FootnoteReference"/>
        </w:rPr>
        <w:footnoteRef/>
      </w:r>
      <w:r>
        <w:t xml:space="preserve"> </w:t>
      </w:r>
      <w:r w:rsidRPr="0000732C">
        <w:t xml:space="preserve">This revenue requirement value is </w:t>
      </w:r>
      <w:r>
        <w:t>estimated</w:t>
      </w:r>
      <w:r w:rsidR="00A52189">
        <w:t xml:space="preserve"> and reflects this decision’s revision of the CARE average effective discount methodology.</w:t>
      </w:r>
      <w:r w:rsidRPr="0000732C">
        <w:t xml:space="preserve"> </w:t>
      </w:r>
    </w:p>
  </w:footnote>
  <w:footnote w:id="151">
    <w:p w14:paraId="5D522046" w14:textId="78B9FEB8" w:rsidR="00F649FA" w:rsidRDefault="00F649FA" w:rsidP="002B636D">
      <w:pPr>
        <w:pStyle w:val="FootnoteText"/>
      </w:pPr>
      <w:r>
        <w:rPr>
          <w:rStyle w:val="FootnoteReference"/>
        </w:rPr>
        <w:footnoteRef/>
      </w:r>
      <w:r>
        <w:t xml:space="preserve"> </w:t>
      </w:r>
      <w:r w:rsidRPr="0000732C">
        <w:t xml:space="preserve">This revenue requirement value is </w:t>
      </w:r>
      <w:r>
        <w:t>estimated</w:t>
      </w:r>
      <w:r w:rsidRPr="0000732C">
        <w:t xml:space="preserve"> </w:t>
      </w:r>
      <w:r w:rsidR="00A52189" w:rsidRPr="00A52189">
        <w:t>and reflects this decision’s revision of the CARE average effective discount methodology.</w:t>
      </w:r>
    </w:p>
  </w:footnote>
  <w:footnote w:id="152">
    <w:p w14:paraId="27FDF6EE" w14:textId="26BAD6AB" w:rsidR="00A125F2" w:rsidRDefault="00A125F2">
      <w:pPr>
        <w:pStyle w:val="FootnoteText"/>
      </w:pPr>
      <w:r>
        <w:rPr>
          <w:rStyle w:val="FootnoteReference"/>
        </w:rPr>
        <w:footnoteRef/>
      </w:r>
      <w:r>
        <w:t xml:space="preserve"> TURN/NRDC’s opening brief.</w:t>
      </w:r>
    </w:p>
  </w:footnote>
  <w:footnote w:id="153">
    <w:p w14:paraId="492B5185" w14:textId="795633F3" w:rsidR="000E5245" w:rsidRDefault="000E5245" w:rsidP="000E5245">
      <w:pPr>
        <w:pStyle w:val="FootnoteText"/>
      </w:pPr>
      <w:r>
        <w:rPr>
          <w:rStyle w:val="FootnoteReference"/>
        </w:rPr>
        <w:footnoteRef/>
      </w:r>
      <w:r>
        <w:t xml:space="preserve"> CEJA</w:t>
      </w:r>
      <w:r w:rsidR="008E237E">
        <w:t>’s</w:t>
      </w:r>
      <w:r>
        <w:t>, Sierra Club</w:t>
      </w:r>
      <w:r w:rsidR="008E237E">
        <w:t>’s</w:t>
      </w:r>
      <w:r>
        <w:t>, CforAT</w:t>
      </w:r>
      <w:r w:rsidR="008E237E">
        <w:t>’s</w:t>
      </w:r>
      <w:r>
        <w:t>, and Clean Coalition</w:t>
      </w:r>
      <w:r w:rsidR="008E237E">
        <w:t>’s</w:t>
      </w:r>
      <w:r>
        <w:t xml:space="preserve"> opening briefs.</w:t>
      </w:r>
    </w:p>
  </w:footnote>
  <w:footnote w:id="154">
    <w:p w14:paraId="3136B4C2" w14:textId="25FE0AA9" w:rsidR="00C55EAA" w:rsidRDefault="00C55EAA">
      <w:pPr>
        <w:pStyle w:val="FootnoteText"/>
      </w:pPr>
      <w:r>
        <w:rPr>
          <w:rStyle w:val="FootnoteReference"/>
        </w:rPr>
        <w:footnoteRef/>
      </w:r>
      <w:r>
        <w:t xml:space="preserve"> </w:t>
      </w:r>
      <w:r w:rsidRPr="00C55EAA">
        <w:t>Cal Advocates</w:t>
      </w:r>
      <w:r>
        <w:t xml:space="preserve">’, </w:t>
      </w:r>
      <w:r w:rsidRPr="00C55EAA">
        <w:t>SEIA</w:t>
      </w:r>
      <w:r>
        <w:t xml:space="preserve">’s, and </w:t>
      </w:r>
      <w:r w:rsidRPr="00C55EAA">
        <w:t>TURN/NRDC</w:t>
      </w:r>
      <w:r>
        <w:t>’s opening briefs.</w:t>
      </w:r>
    </w:p>
  </w:footnote>
  <w:footnote w:id="155">
    <w:p w14:paraId="5606545D" w14:textId="77777777" w:rsidR="0071164B" w:rsidRDefault="0071164B" w:rsidP="0071164B">
      <w:pPr>
        <w:pStyle w:val="FootnoteText"/>
      </w:pPr>
      <w:r>
        <w:rPr>
          <w:rStyle w:val="FootnoteReference"/>
        </w:rPr>
        <w:footnoteRef/>
      </w:r>
      <w:r>
        <w:t xml:space="preserve"> Large Utilities’ opening comments on the Implementation Pathway Ruling.</w:t>
      </w:r>
    </w:p>
  </w:footnote>
  <w:footnote w:id="156">
    <w:p w14:paraId="56A05ED0" w14:textId="59CED784" w:rsidR="000A0DF0" w:rsidRDefault="000A0DF0" w:rsidP="000A0DF0">
      <w:pPr>
        <w:pStyle w:val="FootnoteText"/>
      </w:pPr>
      <w:r>
        <w:rPr>
          <w:rStyle w:val="FootnoteReference"/>
        </w:rPr>
        <w:footnoteRef/>
      </w:r>
      <w:r>
        <w:t xml:space="preserve"> </w:t>
      </w:r>
      <w:r w:rsidRPr="00CD537C">
        <w:t>Cal Advocates</w:t>
      </w:r>
      <w:r w:rsidR="00345B93">
        <w:t>’</w:t>
      </w:r>
      <w:r w:rsidRPr="00CD537C">
        <w:t>, UCAN</w:t>
      </w:r>
      <w:r w:rsidR="00345B93">
        <w:t>’s</w:t>
      </w:r>
      <w:r w:rsidRPr="00CD537C">
        <w:t>, and TURN/NRDC</w:t>
      </w:r>
      <w:r w:rsidR="00345B93">
        <w:t>’s</w:t>
      </w:r>
      <w:r>
        <w:t xml:space="preserve"> opening briefs</w:t>
      </w:r>
      <w:r w:rsidR="00345B93">
        <w:t>.</w:t>
      </w:r>
    </w:p>
  </w:footnote>
  <w:footnote w:id="157">
    <w:p w14:paraId="61624566" w14:textId="0EABE807" w:rsidR="000A0DF0" w:rsidRDefault="000A0DF0" w:rsidP="000A0DF0">
      <w:pPr>
        <w:pStyle w:val="FootnoteText"/>
      </w:pPr>
      <w:r>
        <w:rPr>
          <w:rStyle w:val="FootnoteReference"/>
        </w:rPr>
        <w:footnoteRef/>
      </w:r>
      <w:r>
        <w:t xml:space="preserve"> </w:t>
      </w:r>
      <w:r w:rsidRPr="00A74313">
        <w:t>CforAT</w:t>
      </w:r>
      <w:r w:rsidR="00485C17">
        <w:t>’s</w:t>
      </w:r>
      <w:r w:rsidRPr="00A74313">
        <w:t>, Sierra Club</w:t>
      </w:r>
      <w:r w:rsidR="00485C17">
        <w:t>’s</w:t>
      </w:r>
      <w:r w:rsidRPr="00A74313">
        <w:t>, and CEJA</w:t>
      </w:r>
      <w:r w:rsidR="00485C17">
        <w:t>’s</w:t>
      </w:r>
      <w:r>
        <w:t xml:space="preserve"> </w:t>
      </w:r>
      <w:r w:rsidRPr="00B9029C">
        <w:t>opening briefs</w:t>
      </w:r>
      <w:r w:rsidR="00485C17">
        <w:t>.</w:t>
      </w:r>
    </w:p>
  </w:footnote>
  <w:footnote w:id="158">
    <w:p w14:paraId="1EF92E67" w14:textId="77777777" w:rsidR="005940BE" w:rsidRDefault="005940BE" w:rsidP="005940BE">
      <w:pPr>
        <w:pStyle w:val="FootnoteText"/>
      </w:pPr>
      <w:r>
        <w:rPr>
          <w:rStyle w:val="FootnoteReference"/>
        </w:rPr>
        <w:footnoteRef/>
      </w:r>
      <w:r>
        <w:t xml:space="preserve"> Based on analysis of the income-graduated fixed charge adopted in this decision using the Public Tool, it is estimated that the Tier 3 fixed charge for PG&amp;E’s default time-of-use rate may be less than $24.15 based on 100% recovery of the authorized fixed cost categories and the billing determinants included in the Tool. However, this may not be the case when the income-graduated fixed charge is implemented using more updated billing determinants and revenue requirement amounts.</w:t>
      </w:r>
    </w:p>
  </w:footnote>
  <w:footnote w:id="159">
    <w:p w14:paraId="5C2A9CB7" w14:textId="5524A779" w:rsidR="00034100" w:rsidRDefault="00034100" w:rsidP="00034100">
      <w:pPr>
        <w:pStyle w:val="FootnoteText"/>
      </w:pPr>
      <w:r>
        <w:rPr>
          <w:rStyle w:val="FootnoteReference"/>
        </w:rPr>
        <w:footnoteRef/>
      </w:r>
      <w:r>
        <w:t xml:space="preserve"> Non-coincident peak demand refers to the highest total power (typically in kilowatts) that a customer is drawing from the electric grid during a single interval in a given billing period (typically a 15-minute period over the course of a month), regardless of whether that period coincides with system peak hours.</w:t>
      </w:r>
    </w:p>
  </w:footnote>
  <w:footnote w:id="160">
    <w:p w14:paraId="32E09D0C" w14:textId="77777777" w:rsidR="00034100" w:rsidRDefault="00034100" w:rsidP="00034100">
      <w:pPr>
        <w:pStyle w:val="FootnoteText"/>
      </w:pPr>
      <w:r>
        <w:rPr>
          <w:rStyle w:val="FootnoteReference"/>
        </w:rPr>
        <w:footnoteRef/>
      </w:r>
      <w:r>
        <w:t xml:space="preserve"> Panel size refers to the amperage that a customer’s electric panel is rated to handle when drawing electricity from the grid. A larger amperage rating means that a customer is able to draw a larger current from the grid, and thus serve more load.</w:t>
      </w:r>
    </w:p>
  </w:footnote>
  <w:footnote w:id="161">
    <w:p w14:paraId="2FDC95F2" w14:textId="130014D1" w:rsidR="00392A8A" w:rsidRDefault="00392A8A" w:rsidP="00392A8A">
      <w:pPr>
        <w:pStyle w:val="FootnoteText"/>
      </w:pPr>
      <w:r>
        <w:rPr>
          <w:rStyle w:val="FootnoteReference"/>
        </w:rPr>
        <w:footnoteRef/>
      </w:r>
      <w:r>
        <w:t xml:space="preserve"> </w:t>
      </w:r>
      <w:r w:rsidRPr="00312FA4">
        <w:t>TURN/NRDC</w:t>
      </w:r>
      <w:r>
        <w:t>’s</w:t>
      </w:r>
      <w:r w:rsidRPr="00312FA4">
        <w:t xml:space="preserve"> and </w:t>
      </w:r>
      <w:r>
        <w:t>PacifiCorp’s</w:t>
      </w:r>
      <w:r w:rsidRPr="00312FA4">
        <w:t xml:space="preserve"> </w:t>
      </w:r>
      <w:r w:rsidR="0073310E">
        <w:t>opening comments</w:t>
      </w:r>
      <w:r w:rsidRPr="00312FA4">
        <w:t xml:space="preserve"> on the Implementation Pathway Ruling</w:t>
      </w:r>
      <w:r w:rsidR="00FD4F44">
        <w:t>.</w:t>
      </w:r>
    </w:p>
  </w:footnote>
  <w:footnote w:id="162">
    <w:p w14:paraId="5C8D208F" w14:textId="6695A193" w:rsidR="00600B0A" w:rsidRDefault="00600B0A" w:rsidP="00600B0A">
      <w:pPr>
        <w:pStyle w:val="FootnoteText"/>
      </w:pPr>
      <w:r>
        <w:rPr>
          <w:rStyle w:val="FootnoteReference"/>
        </w:rPr>
        <w:footnoteRef/>
      </w:r>
      <w:r>
        <w:t xml:space="preserve"> </w:t>
      </w:r>
      <w:r w:rsidRPr="001C1C03">
        <w:t xml:space="preserve">The Large Utilities’ </w:t>
      </w:r>
      <w:r w:rsidR="00FD4F44">
        <w:t>and PacifiCorp’s opening comments</w:t>
      </w:r>
      <w:r w:rsidRPr="001C1C03">
        <w:t xml:space="preserve"> on the Implementation Pathway Ruling</w:t>
      </w:r>
      <w:r w:rsidR="00FD4F44">
        <w:t>.</w:t>
      </w:r>
    </w:p>
  </w:footnote>
  <w:footnote w:id="163">
    <w:p w14:paraId="4BD6B6DE" w14:textId="77777777" w:rsidR="00AC2668" w:rsidRDefault="00AC2668" w:rsidP="00AC2668">
      <w:pPr>
        <w:pStyle w:val="FootnoteText"/>
      </w:pPr>
      <w:r>
        <w:rPr>
          <w:rStyle w:val="FootnoteReference"/>
        </w:rPr>
        <w:footnoteRef/>
      </w:r>
      <w:r>
        <w:t xml:space="preserve"> A service drop is the connection between a distribution line and a customer’s residence.</w:t>
      </w:r>
    </w:p>
  </w:footnote>
  <w:footnote w:id="164">
    <w:p w14:paraId="3C714426" w14:textId="6B2FC9B5" w:rsidR="00392A8A" w:rsidRDefault="00392A8A" w:rsidP="00392A8A">
      <w:pPr>
        <w:pStyle w:val="FootnoteText"/>
      </w:pPr>
      <w:r>
        <w:rPr>
          <w:rStyle w:val="FootnoteReference"/>
        </w:rPr>
        <w:footnoteRef/>
      </w:r>
      <w:r>
        <w:t xml:space="preserve"> </w:t>
      </w:r>
      <w:r w:rsidRPr="008C5F39">
        <w:t>TURN/NRDC</w:t>
      </w:r>
      <w:r>
        <w:t>’s and Sierra Club/CEJA’s</w:t>
      </w:r>
      <w:r w:rsidRPr="008C5F39">
        <w:t xml:space="preserve"> </w:t>
      </w:r>
      <w:r w:rsidR="00FD4F44">
        <w:t>opening comments</w:t>
      </w:r>
      <w:r w:rsidRPr="008C5F39">
        <w:t xml:space="preserve"> on</w:t>
      </w:r>
      <w:r>
        <w:t xml:space="preserve"> the</w:t>
      </w:r>
      <w:r w:rsidRPr="008C5F39">
        <w:t xml:space="preserve"> </w:t>
      </w:r>
      <w:r>
        <w:t>Implementation Pathway Ruling</w:t>
      </w:r>
      <w:r w:rsidR="00FD4F44">
        <w:t>.</w:t>
      </w:r>
    </w:p>
  </w:footnote>
  <w:footnote w:id="165">
    <w:p w14:paraId="60503A79" w14:textId="18D23EAE" w:rsidR="00392A8A" w:rsidRDefault="00392A8A" w:rsidP="00392A8A">
      <w:pPr>
        <w:pStyle w:val="FootnoteText"/>
      </w:pPr>
      <w:r>
        <w:rPr>
          <w:rStyle w:val="FootnoteReference"/>
        </w:rPr>
        <w:footnoteRef/>
      </w:r>
      <w:r>
        <w:t xml:space="preserve"> The Large Utilities’ </w:t>
      </w:r>
      <w:r w:rsidR="00FD4F44">
        <w:t>opening comments</w:t>
      </w:r>
      <w:r>
        <w:t xml:space="preserve"> </w:t>
      </w:r>
      <w:r w:rsidRPr="00E81212">
        <w:t>on</w:t>
      </w:r>
      <w:r>
        <w:t xml:space="preserve"> the</w:t>
      </w:r>
      <w:r w:rsidRPr="00E81212">
        <w:t xml:space="preserve"> Implementation Pathway Ruling</w:t>
      </w:r>
      <w:r w:rsidR="00FD4F44">
        <w:t>.</w:t>
      </w:r>
    </w:p>
  </w:footnote>
  <w:footnote w:id="166">
    <w:p w14:paraId="00E0178A" w14:textId="1F302949" w:rsidR="00392A8A" w:rsidRDefault="00392A8A" w:rsidP="00392A8A">
      <w:pPr>
        <w:pStyle w:val="FootnoteText"/>
      </w:pPr>
      <w:r>
        <w:rPr>
          <w:rStyle w:val="FootnoteReference"/>
        </w:rPr>
        <w:footnoteRef/>
      </w:r>
      <w:r>
        <w:t xml:space="preserve"> SEIA’s </w:t>
      </w:r>
      <w:r w:rsidR="00FD4F44">
        <w:t>opening comments</w:t>
      </w:r>
      <w:r w:rsidRPr="008D3DBE">
        <w:t xml:space="preserve"> on the Implementation Pathway Ruling</w:t>
      </w:r>
      <w:r>
        <w:t>.</w:t>
      </w:r>
    </w:p>
  </w:footnote>
  <w:footnote w:id="167">
    <w:p w14:paraId="2FF3CBF8" w14:textId="4254ADEA" w:rsidR="00392A8A" w:rsidRDefault="00392A8A" w:rsidP="00392A8A">
      <w:pPr>
        <w:pStyle w:val="FootnoteText"/>
      </w:pPr>
      <w:r>
        <w:rPr>
          <w:rStyle w:val="FootnoteReference"/>
        </w:rPr>
        <w:footnoteRef/>
      </w:r>
      <w:r>
        <w:t xml:space="preserve"> Cal Advocates’ </w:t>
      </w:r>
      <w:r w:rsidR="00FD4F44">
        <w:t>opening comments</w:t>
      </w:r>
      <w:r w:rsidRPr="001C1C03">
        <w:t xml:space="preserve"> on the Implementation Pathway Ruling.</w:t>
      </w:r>
    </w:p>
  </w:footnote>
  <w:footnote w:id="168">
    <w:p w14:paraId="0ABABD36" w14:textId="7E3D3EA5" w:rsidR="00995826" w:rsidRDefault="00995826">
      <w:pPr>
        <w:pStyle w:val="FootnoteText"/>
      </w:pPr>
      <w:r>
        <w:rPr>
          <w:rStyle w:val="FootnoteReference"/>
        </w:rPr>
        <w:footnoteRef/>
      </w:r>
      <w:r>
        <w:t xml:space="preserve"> Conclusion</w:t>
      </w:r>
      <w:r w:rsidR="000923AE">
        <w:t>s</w:t>
      </w:r>
      <w:r>
        <w:t xml:space="preserve"> of Law </w:t>
      </w:r>
      <w:r w:rsidR="00F21D8E">
        <w:t xml:space="preserve">19 of </w:t>
      </w:r>
      <w:r w:rsidR="00F21D8E" w:rsidRPr="00F21D8E">
        <w:t>D.15-07-001</w:t>
      </w:r>
      <w:r w:rsidR="00F21D8E">
        <w:t>.</w:t>
      </w:r>
    </w:p>
  </w:footnote>
  <w:footnote w:id="169">
    <w:p w14:paraId="57E78F09" w14:textId="337DF16A" w:rsidR="00F21D8E" w:rsidRDefault="00F21D8E">
      <w:pPr>
        <w:pStyle w:val="FootnoteText"/>
      </w:pPr>
      <w:r>
        <w:rPr>
          <w:rStyle w:val="FootnoteReference"/>
        </w:rPr>
        <w:footnoteRef/>
      </w:r>
      <w:r>
        <w:t xml:space="preserve"> </w:t>
      </w:r>
      <w:r w:rsidR="00CC2176">
        <w:t>Finding</w:t>
      </w:r>
      <w:r w:rsidR="00485E08">
        <w:t>s</w:t>
      </w:r>
      <w:r w:rsidR="00BE15E3">
        <w:t xml:space="preserve"> </w:t>
      </w:r>
      <w:r w:rsidR="00CC2176">
        <w:t xml:space="preserve">of Fact 177 of </w:t>
      </w:r>
      <w:r w:rsidR="00CC2176" w:rsidRPr="00CC2176">
        <w:t>D.15-07-001.</w:t>
      </w:r>
    </w:p>
  </w:footnote>
  <w:footnote w:id="170">
    <w:p w14:paraId="0B44BDFA" w14:textId="54554040" w:rsidR="00E95D47" w:rsidRDefault="00E95D47">
      <w:pPr>
        <w:pStyle w:val="FootnoteText"/>
      </w:pPr>
      <w:r>
        <w:rPr>
          <w:rStyle w:val="FootnoteReference"/>
        </w:rPr>
        <w:footnoteRef/>
      </w:r>
      <w:r>
        <w:t xml:space="preserve"> </w:t>
      </w:r>
      <w:r w:rsidR="00B12431" w:rsidRPr="00B12431">
        <w:t>Conclusion</w:t>
      </w:r>
      <w:r w:rsidR="00485E08">
        <w:t>s</w:t>
      </w:r>
      <w:r w:rsidR="00B12431" w:rsidRPr="00B12431">
        <w:t xml:space="preserve"> of Law </w:t>
      </w:r>
      <w:r w:rsidR="00BE15E3">
        <w:t xml:space="preserve">24 </w:t>
      </w:r>
      <w:r w:rsidR="00B12431" w:rsidRPr="00B12431">
        <w:t>of D.15-07-001.</w:t>
      </w:r>
    </w:p>
  </w:footnote>
  <w:footnote w:id="171">
    <w:p w14:paraId="05C17F2B" w14:textId="6F0D76AE" w:rsidR="0017093A" w:rsidRDefault="0017093A">
      <w:pPr>
        <w:pStyle w:val="FootnoteText"/>
      </w:pPr>
      <w:r>
        <w:rPr>
          <w:rStyle w:val="FootnoteReference"/>
        </w:rPr>
        <w:footnoteRef/>
      </w:r>
      <w:r>
        <w:t xml:space="preserve"> </w:t>
      </w:r>
      <w:r w:rsidR="00485E08">
        <w:t>The Large Utilities’ opening comments on the Implementation Pathway Ruling.</w:t>
      </w:r>
    </w:p>
  </w:footnote>
  <w:footnote w:id="172">
    <w:p w14:paraId="7F827304" w14:textId="5B44D236" w:rsidR="00C433C6" w:rsidRDefault="00C433C6">
      <w:pPr>
        <w:pStyle w:val="FootnoteText"/>
      </w:pPr>
      <w:r>
        <w:rPr>
          <w:rStyle w:val="FootnoteReference"/>
        </w:rPr>
        <w:footnoteRef/>
      </w:r>
      <w:r>
        <w:t xml:space="preserve"> </w:t>
      </w:r>
      <w:r w:rsidR="00485E08" w:rsidRPr="00485E08">
        <w:t>SEIA</w:t>
      </w:r>
      <w:r w:rsidR="00485E08">
        <w:t>’s</w:t>
      </w:r>
      <w:r w:rsidR="00485E08" w:rsidRPr="00485E08">
        <w:t>, TURN/NRDC</w:t>
      </w:r>
      <w:r w:rsidR="00485E08">
        <w:t>’s</w:t>
      </w:r>
      <w:r w:rsidR="00485E08" w:rsidRPr="00485E08">
        <w:t>, and Cal Advocates</w:t>
      </w:r>
      <w:r w:rsidR="00485E08">
        <w:t xml:space="preserve">’ </w:t>
      </w:r>
      <w:r w:rsidR="00485E08" w:rsidRPr="00485E08">
        <w:t>opening comments on the Implementation Pathway Ruling.</w:t>
      </w:r>
    </w:p>
  </w:footnote>
  <w:footnote w:id="173">
    <w:p w14:paraId="36A12C7D" w14:textId="54DE99D1" w:rsidR="00B47700" w:rsidRDefault="00B47700">
      <w:pPr>
        <w:pStyle w:val="FootnoteText"/>
      </w:pPr>
      <w:r>
        <w:rPr>
          <w:rStyle w:val="FootnoteReference"/>
        </w:rPr>
        <w:footnoteRef/>
      </w:r>
      <w:r>
        <w:t xml:space="preserve"> UCAN’s </w:t>
      </w:r>
      <w:r w:rsidR="00485E08">
        <w:t>opening comments</w:t>
      </w:r>
      <w:r>
        <w:t xml:space="preserve"> on the Implementation Pathway Ruling.</w:t>
      </w:r>
    </w:p>
  </w:footnote>
  <w:footnote w:id="174">
    <w:p w14:paraId="7D9AE497" w14:textId="4F24F095" w:rsidR="0085656B" w:rsidRDefault="0085656B">
      <w:pPr>
        <w:pStyle w:val="FootnoteText"/>
      </w:pPr>
      <w:r>
        <w:rPr>
          <w:rStyle w:val="FootnoteReference"/>
        </w:rPr>
        <w:footnoteRef/>
      </w:r>
      <w:r>
        <w:t xml:space="preserve"> </w:t>
      </w:r>
      <w:r w:rsidR="00814AD4">
        <w:t xml:space="preserve">The </w:t>
      </w:r>
      <w:r w:rsidR="00D61E42">
        <w:t xml:space="preserve">Large Utilities’ opening brief and Cal Advocates’ </w:t>
      </w:r>
      <w:r w:rsidR="00CE74FB">
        <w:t>opening comments on the Implementation Pathway Ruling.</w:t>
      </w:r>
    </w:p>
  </w:footnote>
  <w:footnote w:id="175">
    <w:p w14:paraId="66BCD28D" w14:textId="34C45838" w:rsidR="00B00C7A" w:rsidRDefault="00B00C7A">
      <w:pPr>
        <w:pStyle w:val="FootnoteText"/>
      </w:pPr>
      <w:r>
        <w:rPr>
          <w:rStyle w:val="FootnoteReference"/>
        </w:rPr>
        <w:footnoteRef/>
      </w:r>
      <w:r>
        <w:t xml:space="preserve"> </w:t>
      </w:r>
      <w:r w:rsidR="00814AD4">
        <w:t xml:space="preserve">The </w:t>
      </w:r>
      <w:r>
        <w:t>Large Utilities’ opening brief.</w:t>
      </w:r>
    </w:p>
  </w:footnote>
  <w:footnote w:id="176">
    <w:p w14:paraId="06EE7ABF" w14:textId="6CB1F6F7" w:rsidR="0005428F" w:rsidRDefault="0005428F">
      <w:pPr>
        <w:pStyle w:val="FootnoteText"/>
      </w:pPr>
      <w:r>
        <w:rPr>
          <w:rStyle w:val="FootnoteReference"/>
        </w:rPr>
        <w:footnoteRef/>
      </w:r>
      <w:r>
        <w:t xml:space="preserve"> SEIA’s and the Clean Coalition’s opening briefs and CalSSA’s opening comments on the Implementation Pathway Ruling.</w:t>
      </w:r>
    </w:p>
  </w:footnote>
  <w:footnote w:id="177">
    <w:p w14:paraId="5402A729" w14:textId="61D13F5C" w:rsidR="00066789" w:rsidRDefault="00066789">
      <w:pPr>
        <w:pStyle w:val="FootnoteText"/>
      </w:pPr>
      <w:r>
        <w:rPr>
          <w:rStyle w:val="FootnoteReference"/>
        </w:rPr>
        <w:footnoteRef/>
      </w:r>
      <w:r>
        <w:t xml:space="preserve"> TURN/NRDC’s opening brief.</w:t>
      </w:r>
    </w:p>
  </w:footnote>
  <w:footnote w:id="178">
    <w:p w14:paraId="37EE2A9B" w14:textId="77777777" w:rsidR="00577EA3" w:rsidRDefault="00577EA3" w:rsidP="00577EA3">
      <w:pPr>
        <w:pStyle w:val="FootnoteText"/>
      </w:pPr>
      <w:r>
        <w:rPr>
          <w:rStyle w:val="FootnoteReference"/>
        </w:rPr>
        <w:footnoteRef/>
      </w:r>
      <w:r>
        <w:t xml:space="preserve"> SEIA’s and the Clean Coalition’s opening briefs and CalSSA’s opening comments on the Implementation Pathway Ruling.</w:t>
      </w:r>
    </w:p>
  </w:footnote>
  <w:footnote w:id="179">
    <w:p w14:paraId="7B4E7C7D" w14:textId="29251E83" w:rsidR="00034100" w:rsidRDefault="00034100">
      <w:pPr>
        <w:pStyle w:val="FootnoteText"/>
      </w:pPr>
      <w:r>
        <w:rPr>
          <w:rStyle w:val="FootnoteReference"/>
        </w:rPr>
        <w:footnoteRef/>
      </w:r>
      <w:r>
        <w:t xml:space="preserve"> </w:t>
      </w:r>
      <w:r w:rsidRPr="00034100">
        <w:t>Optional rate refers to a rate that a customer would not be enrolled in unless they specifically select it.</w:t>
      </w:r>
    </w:p>
  </w:footnote>
  <w:footnote w:id="180">
    <w:p w14:paraId="6BCDA9D6" w14:textId="0BA172E6" w:rsidR="0070392B" w:rsidRDefault="00C82C86">
      <w:pPr>
        <w:pStyle w:val="FootnoteText"/>
      </w:pPr>
      <w:r>
        <w:rPr>
          <w:rStyle w:val="FootnoteReference"/>
        </w:rPr>
        <w:footnoteRef/>
      </w:r>
      <w:r>
        <w:t xml:space="preserve"> </w:t>
      </w:r>
      <w:r w:rsidR="00A95816" w:rsidRPr="00A95816">
        <w:t>TURN/NRDC</w:t>
      </w:r>
      <w:r w:rsidR="00A95816">
        <w:t>’s</w:t>
      </w:r>
      <w:r w:rsidR="00A95816" w:rsidRPr="00A95816">
        <w:t>, Sierra Club</w:t>
      </w:r>
      <w:r w:rsidR="00A95816">
        <w:t>’s</w:t>
      </w:r>
      <w:r w:rsidR="00A95816" w:rsidRPr="00A95816">
        <w:t>, CEJA</w:t>
      </w:r>
      <w:r w:rsidR="00A95816">
        <w:t>’s</w:t>
      </w:r>
      <w:r w:rsidR="00A95816" w:rsidRPr="00A95816">
        <w:t>, CforAT</w:t>
      </w:r>
      <w:r w:rsidR="00A95816">
        <w:t>’s</w:t>
      </w:r>
      <w:r w:rsidR="00A95816" w:rsidRPr="00A95816">
        <w:t>, the Large Utilities</w:t>
      </w:r>
      <w:r w:rsidR="00A95816">
        <w:t>’</w:t>
      </w:r>
      <w:r w:rsidR="00A95816" w:rsidRPr="00A95816">
        <w:t>,</w:t>
      </w:r>
      <w:r w:rsidR="005532DB">
        <w:t xml:space="preserve"> the Small Utilities’,</w:t>
      </w:r>
      <w:r w:rsidR="00A95816" w:rsidRPr="00A95816">
        <w:t xml:space="preserve"> and Cal Advocates</w:t>
      </w:r>
      <w:r w:rsidR="00A95816">
        <w:t>’ opening briefs.</w:t>
      </w:r>
      <w:r w:rsidR="0070392B">
        <w:t xml:space="preserve"> </w:t>
      </w:r>
      <w:r w:rsidR="0070392B" w:rsidRPr="002812BB">
        <w:rPr>
          <w:i/>
          <w:iCs/>
        </w:rPr>
        <w:t>See</w:t>
      </w:r>
      <w:r w:rsidR="0070392B">
        <w:t xml:space="preserve"> also TURN/NRDC’s and Sierra Club/CEJA’s opening statutory briefs and CforAT’s and Cal Advocates’ reply statutory briefs.</w:t>
      </w:r>
    </w:p>
  </w:footnote>
  <w:footnote w:id="181">
    <w:p w14:paraId="50E863B1" w14:textId="1DD30C0D" w:rsidR="00F82E60" w:rsidRDefault="00F82E60" w:rsidP="00F82E60">
      <w:pPr>
        <w:pStyle w:val="FootnoteText"/>
      </w:pPr>
      <w:r>
        <w:rPr>
          <w:rStyle w:val="FootnoteReference"/>
        </w:rPr>
        <w:footnoteRef/>
      </w:r>
      <w:r>
        <w:t xml:space="preserve"> Electrification rates are optional rates that benefit customers with certain end-use technologies such as electric vehicles, battery storage, electric space heating, and electric water heating. These rates </w:t>
      </w:r>
      <w:r w:rsidR="003D4813">
        <w:t xml:space="preserve">currently </w:t>
      </w:r>
      <w:r>
        <w:t>feature a fixed charge to offset a portion of volumetric rates, as well as more differentiated time-of-use periods. PG&amp;E’s E-ELEC, SCE’s TOU-D-PRIME, and SDG&amp;E’s TOU-ELEC are electrification rates.</w:t>
      </w:r>
    </w:p>
  </w:footnote>
  <w:footnote w:id="182">
    <w:p w14:paraId="07EBF2A9" w14:textId="30869007" w:rsidR="00487CDB" w:rsidRDefault="00487CDB">
      <w:pPr>
        <w:pStyle w:val="FootnoteText"/>
      </w:pPr>
      <w:r>
        <w:rPr>
          <w:rStyle w:val="FootnoteReference"/>
        </w:rPr>
        <w:footnoteRef/>
      </w:r>
      <w:r>
        <w:t xml:space="preserve"> </w:t>
      </w:r>
      <w:r w:rsidRPr="00BA388A">
        <w:t>SEIA</w:t>
      </w:r>
      <w:r w:rsidR="008C0798">
        <w:t>’s</w:t>
      </w:r>
      <w:r w:rsidRPr="00BA388A">
        <w:t xml:space="preserve"> </w:t>
      </w:r>
      <w:r w:rsidR="008C0798">
        <w:t>opening statutory brief.</w:t>
      </w:r>
    </w:p>
  </w:footnote>
  <w:footnote w:id="183">
    <w:p w14:paraId="0A309D47" w14:textId="15DF8925" w:rsidR="00E40AA6" w:rsidRDefault="00E40AA6">
      <w:pPr>
        <w:pStyle w:val="FootnoteText"/>
      </w:pPr>
      <w:r>
        <w:rPr>
          <w:rStyle w:val="FootnoteReference"/>
        </w:rPr>
        <w:footnoteRef/>
      </w:r>
      <w:r>
        <w:t xml:space="preserve"> Section 3.3 above determines that all fixed charges are subject to </w:t>
      </w:r>
      <w:r w:rsidR="00C11B1F">
        <w:t xml:space="preserve">the income graduation requirements of </w:t>
      </w:r>
      <w:r w:rsidR="00B5418B">
        <w:t xml:space="preserve">Pub. Util. Code </w:t>
      </w:r>
      <w:r w:rsidR="00C11B1F">
        <w:t>Section 739.9.</w:t>
      </w:r>
    </w:p>
  </w:footnote>
  <w:footnote w:id="184">
    <w:p w14:paraId="143930A6" w14:textId="43805ACF" w:rsidR="004B29A8" w:rsidRDefault="004B29A8">
      <w:pPr>
        <w:pStyle w:val="FootnoteText"/>
      </w:pPr>
      <w:r>
        <w:rPr>
          <w:rStyle w:val="FootnoteReference"/>
        </w:rPr>
        <w:footnoteRef/>
      </w:r>
      <w:r>
        <w:t xml:space="preserve"> </w:t>
      </w:r>
      <w:r w:rsidR="00E87B2E">
        <w:t>D.21-11-015 ad</w:t>
      </w:r>
      <w:r w:rsidR="00C36F1D">
        <w:t>opt</w:t>
      </w:r>
      <w:r w:rsidR="00E87B2E">
        <w:t xml:space="preserve">ed a $15 fixed charge for </w:t>
      </w:r>
      <w:r w:rsidR="008F04A9">
        <w:t>PG&amp;E’s E-ELEC rate</w:t>
      </w:r>
      <w:r w:rsidR="00E87B2E">
        <w:t>.</w:t>
      </w:r>
      <w:r w:rsidR="00C36F1D">
        <w:t xml:space="preserve"> D.18-11-027 </w:t>
      </w:r>
      <w:r w:rsidR="00E87B2E">
        <w:t>adopted a $12</w:t>
      </w:r>
      <w:r w:rsidR="00BD5E4D">
        <w:t xml:space="preserve"> fixed charge for</w:t>
      </w:r>
      <w:r w:rsidR="00CE7E40">
        <w:t xml:space="preserve"> SCE’s TOU-D-PRIME rate</w:t>
      </w:r>
      <w:r w:rsidR="00C36F1D">
        <w:t>,</w:t>
      </w:r>
      <w:r w:rsidR="001B096A">
        <w:t xml:space="preserve"> </w:t>
      </w:r>
      <w:r w:rsidR="00C36F1D">
        <w:t xml:space="preserve">which has increased to </w:t>
      </w:r>
      <w:r w:rsidR="002225BB">
        <w:t>approximately $15</w:t>
      </w:r>
      <w:r w:rsidR="00C36F1D">
        <w:t xml:space="preserve">. </w:t>
      </w:r>
      <w:r w:rsidR="00352C4A" w:rsidRPr="00352C4A">
        <w:t>D.22-11-022</w:t>
      </w:r>
      <w:r w:rsidR="00352C4A">
        <w:t xml:space="preserve"> adopted a $16 fixed charge for </w:t>
      </w:r>
      <w:r w:rsidR="00CE7E40">
        <w:t>SDG&amp;E’s TOU-ELEC rate</w:t>
      </w:r>
      <w:r w:rsidR="00404216">
        <w:t>.</w:t>
      </w:r>
    </w:p>
  </w:footnote>
  <w:footnote w:id="185">
    <w:p w14:paraId="25AA913C" w14:textId="26109920" w:rsidR="0023368D" w:rsidRDefault="0023368D">
      <w:pPr>
        <w:pStyle w:val="FootnoteText"/>
      </w:pPr>
      <w:r>
        <w:rPr>
          <w:rStyle w:val="FootnoteReference"/>
        </w:rPr>
        <w:footnoteRef/>
      </w:r>
      <w:r>
        <w:t xml:space="preserve"> </w:t>
      </w:r>
      <w:r w:rsidRPr="0023368D">
        <w:t>The Western Manufactured Housing Communities Association</w:t>
      </w:r>
      <w:r>
        <w:t>’s opening comments on the Implementation Pathway Ruling.</w:t>
      </w:r>
    </w:p>
  </w:footnote>
  <w:footnote w:id="186">
    <w:p w14:paraId="05D21CA4" w14:textId="42100E2D" w:rsidR="00AC1267" w:rsidRDefault="00AC1267">
      <w:pPr>
        <w:pStyle w:val="FootnoteText"/>
      </w:pPr>
      <w:r>
        <w:rPr>
          <w:rStyle w:val="FootnoteReference"/>
        </w:rPr>
        <w:footnoteRef/>
      </w:r>
      <w:r>
        <w:t xml:space="preserve"> </w:t>
      </w:r>
      <w:r w:rsidR="00842874">
        <w:t xml:space="preserve">One exception is SDG&amp;E’s Schedule DM rate, which allows qualifying non-profit group living facilities to take service with a CARE discount. </w:t>
      </w:r>
      <w:r w:rsidR="00842874" w:rsidRPr="00842874">
        <w:t xml:space="preserve">However, </w:t>
      </w:r>
      <w:r w:rsidR="000173E6">
        <w:t>o</w:t>
      </w:r>
      <w:r w:rsidR="004715C5">
        <w:t xml:space="preserve">ther </w:t>
      </w:r>
      <w:r w:rsidR="005B7D3B">
        <w:t xml:space="preserve">customers </w:t>
      </w:r>
      <w:r w:rsidR="00835A59">
        <w:t xml:space="preserve">on this master-metered rate are not eligible to participate in CARE. </w:t>
      </w:r>
      <w:r w:rsidR="00842874" w:rsidRPr="002812BB">
        <w:rPr>
          <w:i/>
          <w:iCs/>
        </w:rPr>
        <w:t>See</w:t>
      </w:r>
      <w:r w:rsidR="00842874">
        <w:t xml:space="preserve"> </w:t>
      </w:r>
      <w:r w:rsidR="002D4712">
        <w:t>SDG&amp;E</w:t>
      </w:r>
      <w:r w:rsidR="004A3B4E">
        <w:t>’s</w:t>
      </w:r>
      <w:r w:rsidR="002D4712">
        <w:t xml:space="preserve"> </w:t>
      </w:r>
      <w:r w:rsidR="009E5E35">
        <w:t>Schedule DM</w:t>
      </w:r>
      <w:r w:rsidR="00870FF5">
        <w:t>, available</w:t>
      </w:r>
      <w:r w:rsidR="00DD73F9">
        <w:t xml:space="preserve"> at</w:t>
      </w:r>
      <w:r w:rsidR="00560019">
        <w:t xml:space="preserve"> </w:t>
      </w:r>
      <w:r w:rsidR="00560019" w:rsidRPr="00560019">
        <w:t>https://tariff.sdge.com/tm2/pdf/tariffs/ELEC_ELEC-SCHEDS_DM.pdf</w:t>
      </w:r>
      <w:r w:rsidR="00493239">
        <w:t>.</w:t>
      </w:r>
    </w:p>
  </w:footnote>
  <w:footnote w:id="187">
    <w:p w14:paraId="74DD61B7" w14:textId="0565998D" w:rsidR="009F3233" w:rsidRDefault="009F3233" w:rsidP="009F3233">
      <w:pPr>
        <w:pStyle w:val="FootnoteText"/>
      </w:pPr>
      <w:r>
        <w:rPr>
          <w:rStyle w:val="FootnoteReference"/>
        </w:rPr>
        <w:footnoteRef/>
      </w:r>
      <w:r>
        <w:t xml:space="preserve"> </w:t>
      </w:r>
      <w:r w:rsidR="00303045">
        <w:t xml:space="preserve">The </w:t>
      </w:r>
      <w:r>
        <w:t>Large Utilities’ opening brief.</w:t>
      </w:r>
    </w:p>
  </w:footnote>
  <w:footnote w:id="188">
    <w:p w14:paraId="1C9BD175" w14:textId="32E76520" w:rsidR="009F3233" w:rsidRDefault="009F3233">
      <w:pPr>
        <w:pStyle w:val="FootnoteText"/>
      </w:pPr>
      <w:r>
        <w:rPr>
          <w:rStyle w:val="FootnoteReference"/>
        </w:rPr>
        <w:footnoteRef/>
      </w:r>
      <w:r>
        <w:t xml:space="preserve"> </w:t>
      </w:r>
      <w:r w:rsidR="00303045">
        <w:t xml:space="preserve">The </w:t>
      </w:r>
      <w:r>
        <w:t>Large Utilities’ opening brief.</w:t>
      </w:r>
    </w:p>
  </w:footnote>
  <w:footnote w:id="189">
    <w:p w14:paraId="042C7D47" w14:textId="0CBEE52F" w:rsidR="003F116D" w:rsidRDefault="003F116D">
      <w:pPr>
        <w:pStyle w:val="FootnoteText"/>
      </w:pPr>
      <w:r>
        <w:rPr>
          <w:rStyle w:val="FootnoteReference"/>
        </w:rPr>
        <w:footnoteRef/>
      </w:r>
      <w:r>
        <w:t xml:space="preserve"> </w:t>
      </w:r>
      <w:r w:rsidR="00303045" w:rsidRPr="00303045">
        <w:t>The Large Utilities’ opening brief.</w:t>
      </w:r>
    </w:p>
  </w:footnote>
  <w:footnote w:id="190">
    <w:p w14:paraId="1E0EBC9D" w14:textId="4C1D960F" w:rsidR="00F326CA" w:rsidRDefault="00F326CA">
      <w:pPr>
        <w:pStyle w:val="FootnoteText"/>
      </w:pPr>
      <w:r>
        <w:rPr>
          <w:rStyle w:val="FootnoteReference"/>
        </w:rPr>
        <w:footnoteRef/>
      </w:r>
      <w:r>
        <w:t xml:space="preserve"> </w:t>
      </w:r>
      <w:r w:rsidR="00CE3214">
        <w:t>Exhibit Joint IOUs-01-E</w:t>
      </w:r>
      <w:r w:rsidR="007846AC">
        <w:t>.</w:t>
      </w:r>
    </w:p>
  </w:footnote>
  <w:footnote w:id="191">
    <w:p w14:paraId="15045A19" w14:textId="23275018" w:rsidR="00CE3214" w:rsidRDefault="00CE3214">
      <w:pPr>
        <w:pStyle w:val="FootnoteText"/>
      </w:pPr>
      <w:r>
        <w:rPr>
          <w:rStyle w:val="FootnoteReference"/>
        </w:rPr>
        <w:footnoteRef/>
      </w:r>
      <w:r>
        <w:t xml:space="preserve"> </w:t>
      </w:r>
      <w:r w:rsidRPr="00CE3214">
        <w:t>Exhibit Joint IOUs-01-E</w:t>
      </w:r>
      <w:r w:rsidR="007846AC">
        <w:t>.</w:t>
      </w:r>
    </w:p>
  </w:footnote>
  <w:footnote w:id="192">
    <w:p w14:paraId="21FB404B" w14:textId="6BEC8C4E" w:rsidR="00014664" w:rsidRDefault="00014664">
      <w:pPr>
        <w:pStyle w:val="FootnoteText"/>
      </w:pPr>
      <w:r>
        <w:rPr>
          <w:rStyle w:val="FootnoteReference"/>
        </w:rPr>
        <w:footnoteRef/>
      </w:r>
      <w:r>
        <w:t xml:space="preserve"> </w:t>
      </w:r>
      <w:r w:rsidRPr="00014664">
        <w:t>Exhibit Joint IOUs-01-E</w:t>
      </w:r>
      <w:r w:rsidR="007846AC">
        <w:t>.</w:t>
      </w:r>
    </w:p>
  </w:footnote>
  <w:footnote w:id="193">
    <w:p w14:paraId="437BC6CA" w14:textId="241331C8" w:rsidR="00D715DB" w:rsidRDefault="00D715DB" w:rsidP="00D715DB">
      <w:pPr>
        <w:pStyle w:val="FootnoteText"/>
      </w:pPr>
      <w:r>
        <w:rPr>
          <w:rStyle w:val="FootnoteReference"/>
        </w:rPr>
        <w:footnoteRef/>
      </w:r>
      <w:r>
        <w:t xml:space="preserve"> </w:t>
      </w:r>
      <w:r w:rsidRPr="00014664">
        <w:t>Exhibit Joint IOUs-01-E</w:t>
      </w:r>
      <w:r w:rsidR="007846AC">
        <w:t>.</w:t>
      </w:r>
    </w:p>
    <w:p w14:paraId="6636A3A3" w14:textId="77777777" w:rsidR="0021482C" w:rsidRDefault="0021482C" w:rsidP="00D715DB">
      <w:pPr>
        <w:pStyle w:val="FootnoteText"/>
      </w:pPr>
    </w:p>
  </w:footnote>
  <w:footnote w:id="194">
    <w:p w14:paraId="32C75562" w14:textId="30FEA3D7" w:rsidR="0010136D" w:rsidRDefault="0010136D">
      <w:pPr>
        <w:pStyle w:val="FootnoteText"/>
      </w:pPr>
      <w:r>
        <w:rPr>
          <w:rStyle w:val="FootnoteReference"/>
        </w:rPr>
        <w:footnoteRef/>
      </w:r>
      <w:r>
        <w:t xml:space="preserve"> </w:t>
      </w:r>
      <w:r w:rsidR="007846AC" w:rsidRPr="007846AC">
        <w:t>Exhibit Joint IOUs-01-E</w:t>
      </w:r>
      <w:r w:rsidR="007846AC">
        <w:t>.</w:t>
      </w:r>
    </w:p>
  </w:footnote>
  <w:footnote w:id="195">
    <w:p w14:paraId="4EC463CC" w14:textId="2130357C" w:rsidR="008755E4" w:rsidRDefault="008755E4" w:rsidP="008755E4">
      <w:pPr>
        <w:pStyle w:val="FootnoteText"/>
      </w:pPr>
      <w:r>
        <w:rPr>
          <w:rStyle w:val="FootnoteReference"/>
        </w:rPr>
        <w:footnoteRef/>
      </w:r>
      <w:r>
        <w:t xml:space="preserve"> </w:t>
      </w:r>
      <w:r w:rsidRPr="0010136D">
        <w:t>Exhibit Joint IOUs-01-E</w:t>
      </w:r>
      <w:r w:rsidR="007846AC">
        <w:t>.</w:t>
      </w:r>
    </w:p>
  </w:footnote>
  <w:footnote w:id="196">
    <w:p w14:paraId="5E95BC72" w14:textId="31072113" w:rsidR="008755E4" w:rsidRDefault="008755E4" w:rsidP="008755E4">
      <w:pPr>
        <w:pStyle w:val="FootnoteText"/>
      </w:pPr>
      <w:r>
        <w:rPr>
          <w:rStyle w:val="FootnoteReference"/>
        </w:rPr>
        <w:footnoteRef/>
      </w:r>
      <w:r>
        <w:t xml:space="preserve"> </w:t>
      </w:r>
      <w:r w:rsidRPr="0010136D">
        <w:t>Exhibit Joint IOUs-01-E</w:t>
      </w:r>
      <w:r w:rsidR="007846AC">
        <w:t>.</w:t>
      </w:r>
    </w:p>
  </w:footnote>
  <w:footnote w:id="197">
    <w:p w14:paraId="70A59266" w14:textId="1FA3BAE7" w:rsidR="008B6C62" w:rsidRDefault="008B6C62">
      <w:pPr>
        <w:pStyle w:val="FootnoteText"/>
      </w:pPr>
      <w:r>
        <w:rPr>
          <w:rStyle w:val="FootnoteReference"/>
        </w:rPr>
        <w:footnoteRef/>
      </w:r>
      <w:r>
        <w:t xml:space="preserve"> TURN/NRDC’s opening brief.</w:t>
      </w:r>
    </w:p>
  </w:footnote>
  <w:footnote w:id="198">
    <w:p w14:paraId="442305DE" w14:textId="48E0B23A" w:rsidR="00DF5BA5" w:rsidRDefault="00DF5BA5" w:rsidP="00DF5BA5">
      <w:pPr>
        <w:pStyle w:val="FootnoteText"/>
      </w:pPr>
      <w:r>
        <w:rPr>
          <w:rStyle w:val="FootnoteReference"/>
        </w:rPr>
        <w:footnoteRef/>
      </w:r>
      <w:r>
        <w:t xml:space="preserve"> </w:t>
      </w:r>
      <w:r w:rsidR="00FD3098" w:rsidRPr="00FD3098">
        <w:t>Exhibit Joint IOUs-01-E</w:t>
      </w:r>
      <w:r w:rsidR="009C670C">
        <w:t>.</w:t>
      </w:r>
    </w:p>
  </w:footnote>
  <w:footnote w:id="199">
    <w:p w14:paraId="0EA4E560" w14:textId="79BC3912" w:rsidR="00DF5BA5" w:rsidRDefault="00DF5BA5" w:rsidP="00DF5BA5">
      <w:pPr>
        <w:pStyle w:val="FootnoteText"/>
      </w:pPr>
      <w:r>
        <w:rPr>
          <w:rStyle w:val="FootnoteReference"/>
        </w:rPr>
        <w:footnoteRef/>
      </w:r>
      <w:r>
        <w:t xml:space="preserve"> </w:t>
      </w:r>
      <w:r w:rsidR="00FD3098" w:rsidRPr="00FD3098">
        <w:t>Exhibit Joint IOUs-01-E</w:t>
      </w:r>
      <w:r w:rsidR="009C670C">
        <w:t>.</w:t>
      </w:r>
    </w:p>
  </w:footnote>
  <w:footnote w:id="200">
    <w:p w14:paraId="5649BC8A" w14:textId="77777777" w:rsidR="00515FB2" w:rsidRDefault="00515FB2">
      <w:pPr>
        <w:pStyle w:val="FootnoteText"/>
      </w:pPr>
      <w:r>
        <w:rPr>
          <w:rStyle w:val="FootnoteReference"/>
        </w:rPr>
        <w:footnoteRef/>
      </w:r>
      <w:r>
        <w:t xml:space="preserve"> Sierra Club’s and UCAN’s opening briefs.</w:t>
      </w:r>
    </w:p>
  </w:footnote>
  <w:footnote w:id="201">
    <w:p w14:paraId="6EA5440F" w14:textId="09A43322" w:rsidR="00D83CC9" w:rsidRDefault="00D83CC9">
      <w:pPr>
        <w:pStyle w:val="FootnoteText"/>
      </w:pPr>
      <w:r>
        <w:rPr>
          <w:rStyle w:val="FootnoteReference"/>
        </w:rPr>
        <w:footnoteRef/>
      </w:r>
      <w:r>
        <w:t xml:space="preserve"> Cal Advocates’ and TURN/NRDC’s opening briefs.</w:t>
      </w:r>
    </w:p>
  </w:footnote>
  <w:footnote w:id="202">
    <w:p w14:paraId="531A6637" w14:textId="77777777" w:rsidR="00C971DB" w:rsidRDefault="00C971DB" w:rsidP="00C971DB">
      <w:pPr>
        <w:pStyle w:val="FootnoteText"/>
      </w:pPr>
      <w:r>
        <w:rPr>
          <w:rStyle w:val="FootnoteReference"/>
        </w:rPr>
        <w:footnoteRef/>
      </w:r>
      <w:r>
        <w:t xml:space="preserve"> CalCCA’s opening brief.</w:t>
      </w:r>
    </w:p>
  </w:footnote>
  <w:footnote w:id="203">
    <w:p w14:paraId="31DB6CB6" w14:textId="5778650D" w:rsidR="00476670" w:rsidRDefault="00476670">
      <w:pPr>
        <w:pStyle w:val="FootnoteText"/>
      </w:pPr>
      <w:r>
        <w:rPr>
          <w:rStyle w:val="FootnoteReference"/>
        </w:rPr>
        <w:footnoteRef/>
      </w:r>
      <w:r>
        <w:t xml:space="preserve"> The </w:t>
      </w:r>
      <w:r w:rsidR="003035A6">
        <w:t>budget justifications</w:t>
      </w:r>
      <w:r>
        <w:t xml:space="preserve"> should include an explanation of why</w:t>
      </w:r>
      <w:r w:rsidR="003035A6">
        <w:t xml:space="preserve"> each line-item</w:t>
      </w:r>
      <w:r>
        <w:t xml:space="preserve"> is incremental to </w:t>
      </w:r>
      <w:r w:rsidR="003035A6">
        <w:t xml:space="preserve">previously authorized </w:t>
      </w:r>
      <w:r w:rsidR="00480A2C">
        <w:t>ME&amp;O</w:t>
      </w:r>
      <w:r w:rsidR="005A60C4">
        <w:t xml:space="preserve"> </w:t>
      </w:r>
      <w:r w:rsidR="007F35AF">
        <w:t>funding, such as funding for CARE and FERA ME&amp;O.</w:t>
      </w:r>
      <w:r w:rsidR="00A10130">
        <w:t xml:space="preserve"> </w:t>
      </w:r>
    </w:p>
  </w:footnote>
  <w:footnote w:id="204">
    <w:p w14:paraId="686E9B82" w14:textId="4A9C2E3F" w:rsidR="00BF7959" w:rsidRDefault="00BF7959" w:rsidP="00BF7959">
      <w:pPr>
        <w:pStyle w:val="FootnoteText"/>
      </w:pPr>
      <w:r>
        <w:rPr>
          <w:rStyle w:val="FootnoteReference"/>
        </w:rPr>
        <w:footnoteRef/>
      </w:r>
      <w:r>
        <w:t xml:space="preserve"> </w:t>
      </w:r>
      <w:r w:rsidR="00945740">
        <w:t xml:space="preserve">Exhibit Cal Advocates-01-E and the </w:t>
      </w:r>
      <w:r>
        <w:t>Large Utilities’ opening brief.</w:t>
      </w:r>
    </w:p>
  </w:footnote>
  <w:footnote w:id="205">
    <w:p w14:paraId="113DEDF9" w14:textId="382C5F1D" w:rsidR="006A4EAB" w:rsidRDefault="006A4EAB">
      <w:pPr>
        <w:pStyle w:val="FootnoteText"/>
      </w:pPr>
      <w:r>
        <w:rPr>
          <w:rStyle w:val="FootnoteReference"/>
        </w:rPr>
        <w:footnoteRef/>
      </w:r>
      <w:r>
        <w:t xml:space="preserve"> TURN/NRDC’s opening brief.</w:t>
      </w:r>
    </w:p>
  </w:footnote>
  <w:footnote w:id="206">
    <w:p w14:paraId="774A3E1A" w14:textId="16D19AC7" w:rsidR="004A56F1" w:rsidRDefault="004A56F1">
      <w:pPr>
        <w:pStyle w:val="FootnoteText"/>
      </w:pPr>
      <w:r>
        <w:rPr>
          <w:rStyle w:val="FootnoteReference"/>
        </w:rPr>
        <w:footnoteRef/>
      </w:r>
      <w:r>
        <w:t xml:space="preserve"> </w:t>
      </w:r>
      <w:r w:rsidR="005758E4">
        <w:t>SEIA’s reply brief.</w:t>
      </w:r>
    </w:p>
  </w:footnote>
  <w:footnote w:id="207">
    <w:p w14:paraId="3AFF39CA" w14:textId="7B15CC32" w:rsidR="000D0E18" w:rsidRDefault="000D0E18">
      <w:pPr>
        <w:pStyle w:val="FootnoteText"/>
      </w:pPr>
      <w:r>
        <w:rPr>
          <w:rStyle w:val="FootnoteReference"/>
        </w:rPr>
        <w:footnoteRef/>
      </w:r>
      <w:r>
        <w:t xml:space="preserve"> </w:t>
      </w:r>
      <w:r w:rsidR="00CF1476" w:rsidRPr="00CF1476">
        <w:t>CforAT</w:t>
      </w:r>
      <w:r w:rsidR="00CF1476">
        <w:t>’s</w:t>
      </w:r>
      <w:r w:rsidR="00CF1476" w:rsidRPr="00CF1476">
        <w:t>, Cal Advocates</w:t>
      </w:r>
      <w:r w:rsidR="00CF1476">
        <w:t>’s</w:t>
      </w:r>
      <w:r w:rsidR="00CF1476" w:rsidRPr="00CF1476">
        <w:t>, UCAN</w:t>
      </w:r>
      <w:r w:rsidR="00CF1476">
        <w:t>’s</w:t>
      </w:r>
      <w:r w:rsidR="00CF1476" w:rsidRPr="00CF1476">
        <w:t>, and the Large Utilities</w:t>
      </w:r>
      <w:r w:rsidR="00CF1476">
        <w:t>’</w:t>
      </w:r>
      <w:r w:rsidR="00CF1476" w:rsidRPr="00CF1476">
        <w:t xml:space="preserve"> </w:t>
      </w:r>
      <w:r>
        <w:t>opening briefs.</w:t>
      </w:r>
    </w:p>
  </w:footnote>
  <w:footnote w:id="208">
    <w:p w14:paraId="47A8AD32" w14:textId="4C42E9AE" w:rsidR="0035288F" w:rsidRDefault="0035288F">
      <w:pPr>
        <w:pStyle w:val="FootnoteText"/>
      </w:pPr>
      <w:r>
        <w:rPr>
          <w:rStyle w:val="FootnoteReference"/>
        </w:rPr>
        <w:footnoteRef/>
      </w:r>
      <w:r>
        <w:t xml:space="preserve"> </w:t>
      </w:r>
      <w:r w:rsidR="003B0686">
        <w:t>We anticipate</w:t>
      </w:r>
      <w:r w:rsidR="0099288B" w:rsidRPr="0099288B">
        <w:t xml:space="preserve"> that the Commission will issue a decision </w:t>
      </w:r>
      <w:r w:rsidR="000C5D85">
        <w:t xml:space="preserve">that addresses the recommendations by the Implementation Working Group about how lessons learned should influence the </w:t>
      </w:r>
      <w:r w:rsidR="003B0686">
        <w:t>design of future fixed charges or alternative rate mechanisms</w:t>
      </w:r>
      <w:r w:rsidR="0099288B" w:rsidRPr="0099288B">
        <w:t>. Intervenor compensation is available to eligible parties for contributions to a Commission decision.</w:t>
      </w:r>
    </w:p>
  </w:footnote>
  <w:footnote w:id="209">
    <w:p w14:paraId="3F0B1615" w14:textId="010B6958" w:rsidR="00AE0233" w:rsidRDefault="00AE0233">
      <w:pPr>
        <w:pStyle w:val="FootnoteText"/>
      </w:pPr>
      <w:r>
        <w:rPr>
          <w:rStyle w:val="FootnoteReference"/>
        </w:rPr>
        <w:footnoteRef/>
      </w:r>
      <w:r>
        <w:t xml:space="preserve"> </w:t>
      </w:r>
      <w:r w:rsidR="002C5468">
        <w:t>The Large Utilities</w:t>
      </w:r>
      <w:r w:rsidR="00F87C88">
        <w:t>’</w:t>
      </w:r>
      <w:r w:rsidR="002C5468">
        <w:t xml:space="preserve"> opening brief and Exhibit</w:t>
      </w:r>
      <w:r w:rsidR="0013126E">
        <w:t xml:space="preserve"> Joint IOUs-0</w:t>
      </w:r>
      <w:r w:rsidR="002C5468">
        <w:t>1</w:t>
      </w:r>
      <w:r w:rsidR="0013126E">
        <w:t>.</w:t>
      </w:r>
    </w:p>
  </w:footnote>
  <w:footnote w:id="210">
    <w:p w14:paraId="02970C91" w14:textId="7E24A04D" w:rsidR="00AE472F" w:rsidRDefault="00AE472F">
      <w:pPr>
        <w:pStyle w:val="FootnoteText"/>
      </w:pPr>
      <w:r>
        <w:rPr>
          <w:rStyle w:val="FootnoteReference"/>
        </w:rPr>
        <w:footnoteRef/>
      </w:r>
      <w:r>
        <w:t xml:space="preserve"> </w:t>
      </w:r>
      <w:r w:rsidR="00F87C88">
        <w:t>Cal Advocates’ opening brief.</w:t>
      </w:r>
    </w:p>
  </w:footnote>
  <w:footnote w:id="211">
    <w:p w14:paraId="4872FF30" w14:textId="4CD03BBA" w:rsidR="007731A8" w:rsidRDefault="007731A8">
      <w:pPr>
        <w:pStyle w:val="FootnoteText"/>
      </w:pPr>
      <w:r>
        <w:rPr>
          <w:rStyle w:val="FootnoteReference"/>
        </w:rPr>
        <w:footnoteRef/>
      </w:r>
      <w:r>
        <w:t xml:space="preserve"> UCAN’s opening brief.</w:t>
      </w:r>
    </w:p>
  </w:footnote>
  <w:footnote w:id="212">
    <w:p w14:paraId="42977734" w14:textId="0AF472F2" w:rsidR="00084692" w:rsidRDefault="00084692">
      <w:pPr>
        <w:pStyle w:val="FootnoteText"/>
      </w:pPr>
      <w:r>
        <w:rPr>
          <w:rStyle w:val="FootnoteReference"/>
        </w:rPr>
        <w:footnoteRef/>
      </w:r>
      <w:r>
        <w:t xml:space="preserve"> TURN/NRDC’s opening brief.</w:t>
      </w:r>
    </w:p>
  </w:footnote>
  <w:footnote w:id="213">
    <w:p w14:paraId="68E0CDCE" w14:textId="5DFB2846" w:rsidR="00AF70AE" w:rsidRDefault="00AF70AE">
      <w:pPr>
        <w:pStyle w:val="FootnoteText"/>
      </w:pPr>
      <w:r>
        <w:rPr>
          <w:rStyle w:val="FootnoteReference"/>
        </w:rPr>
        <w:footnoteRef/>
      </w:r>
      <w:r>
        <w:t xml:space="preserve"> </w:t>
      </w:r>
      <w:r w:rsidR="0067183A">
        <w:t xml:space="preserve">The </w:t>
      </w:r>
      <w:r>
        <w:t>Large Utilities’ opening comments on the Budget and Timing</w:t>
      </w:r>
      <w:r w:rsidR="001F7FA3">
        <w:t xml:space="preserve"> Ruling.</w:t>
      </w:r>
    </w:p>
  </w:footnote>
  <w:footnote w:id="214">
    <w:p w14:paraId="72028949" w14:textId="56F78146" w:rsidR="00995794" w:rsidRDefault="00995794">
      <w:pPr>
        <w:pStyle w:val="FootnoteText"/>
      </w:pPr>
      <w:r>
        <w:rPr>
          <w:rStyle w:val="FootnoteReference"/>
        </w:rPr>
        <w:footnoteRef/>
      </w:r>
      <w:r>
        <w:t xml:space="preserve"> Cal Advocates’ reply comments on the Budget and Timing Ruling.</w:t>
      </w:r>
    </w:p>
  </w:footnote>
  <w:footnote w:id="215">
    <w:p w14:paraId="41BED197" w14:textId="58AE5812" w:rsidR="00BB6135" w:rsidRDefault="00BB6135">
      <w:pPr>
        <w:pStyle w:val="FootnoteText"/>
      </w:pPr>
      <w:r>
        <w:rPr>
          <w:rStyle w:val="FootnoteReference"/>
        </w:rPr>
        <w:footnoteRef/>
      </w:r>
      <w:r>
        <w:t xml:space="preserve"> </w:t>
      </w:r>
      <w:r w:rsidR="00C976DE">
        <w:t xml:space="preserve">TURN/NRDC’s opening comments on the </w:t>
      </w:r>
      <w:r w:rsidR="00C976DE" w:rsidRPr="00C976DE">
        <w:t>Budget and Timing Ruling.</w:t>
      </w:r>
    </w:p>
  </w:footnote>
  <w:footnote w:id="216">
    <w:p w14:paraId="1512743F" w14:textId="702750AA" w:rsidR="00921DB6" w:rsidRDefault="00921DB6">
      <w:pPr>
        <w:pStyle w:val="FootnoteText"/>
      </w:pPr>
      <w:r>
        <w:rPr>
          <w:rStyle w:val="FootnoteReference"/>
        </w:rPr>
        <w:footnoteRef/>
      </w:r>
      <w:r>
        <w:t xml:space="preserve"> </w:t>
      </w:r>
      <w:r w:rsidRPr="00921DB6">
        <w:t>Advanced Energy United</w:t>
      </w:r>
      <w:r>
        <w:t>’s</w:t>
      </w:r>
      <w:r w:rsidRPr="00921DB6">
        <w:t xml:space="preserve">, </w:t>
      </w:r>
      <w:r w:rsidRPr="0087210C">
        <w:t>California Energy Storage Alliance</w:t>
      </w:r>
      <w:r>
        <w:t>’s, and UCAN’s opening comments on the Budget and Timing Ruling</w:t>
      </w:r>
      <w:r w:rsidR="00995794">
        <w:t>.</w:t>
      </w:r>
    </w:p>
  </w:footnote>
  <w:footnote w:id="217">
    <w:p w14:paraId="5FE24DFB" w14:textId="67F5A007" w:rsidR="00DF406C" w:rsidRDefault="00DF406C">
      <w:pPr>
        <w:pStyle w:val="FootnoteText"/>
      </w:pPr>
      <w:r>
        <w:rPr>
          <w:rStyle w:val="FootnoteReference"/>
        </w:rPr>
        <w:footnoteRef/>
      </w:r>
      <w:r>
        <w:t xml:space="preserve"> </w:t>
      </w:r>
      <w:r w:rsidR="00264D0B" w:rsidRPr="00264D0B">
        <w:t xml:space="preserve">TURN/NRDC’s </w:t>
      </w:r>
      <w:r w:rsidR="00264D0B">
        <w:t>reply</w:t>
      </w:r>
      <w:r w:rsidR="00264D0B" w:rsidRPr="00264D0B">
        <w:t xml:space="preserve"> comments on the Budget and Timing Ruling.</w:t>
      </w:r>
    </w:p>
  </w:footnote>
  <w:footnote w:id="218">
    <w:p w14:paraId="7193081B" w14:textId="521FEE11" w:rsidR="00081C40" w:rsidRDefault="00081C40">
      <w:pPr>
        <w:pStyle w:val="FootnoteText"/>
      </w:pPr>
      <w:r>
        <w:rPr>
          <w:rStyle w:val="FootnoteReference"/>
        </w:rPr>
        <w:footnoteRef/>
      </w:r>
      <w:r>
        <w:t xml:space="preserve"> </w:t>
      </w:r>
      <w:r w:rsidR="002F51C3">
        <w:t xml:space="preserve">The </w:t>
      </w:r>
      <w:r>
        <w:t xml:space="preserve">Large Utilities’ </w:t>
      </w:r>
      <w:r w:rsidR="00AD10B0">
        <w:t>opening comments on the Budget and Timing Ruling.</w:t>
      </w:r>
    </w:p>
  </w:footnote>
  <w:footnote w:id="219">
    <w:p w14:paraId="361FC1DC" w14:textId="49BB83CE" w:rsidR="00760D2A" w:rsidRDefault="00760D2A">
      <w:pPr>
        <w:pStyle w:val="FootnoteText"/>
      </w:pPr>
      <w:r>
        <w:rPr>
          <w:rStyle w:val="FootnoteReference"/>
        </w:rPr>
        <w:footnoteRef/>
      </w:r>
      <w:r>
        <w:t xml:space="preserve"> Cal Advocates’ reply comments </w:t>
      </w:r>
      <w:r w:rsidRPr="00760D2A">
        <w:t>on the Budget and Timing Ruling.</w:t>
      </w:r>
    </w:p>
  </w:footnote>
  <w:footnote w:id="220">
    <w:p w14:paraId="5DA239F6" w14:textId="4CE6D425" w:rsidR="00532761" w:rsidRDefault="00532761">
      <w:pPr>
        <w:pStyle w:val="FootnoteText"/>
      </w:pPr>
      <w:r>
        <w:rPr>
          <w:rStyle w:val="FootnoteReference"/>
        </w:rPr>
        <w:footnoteRef/>
      </w:r>
      <w:r>
        <w:t xml:space="preserve"> 350 Bay Area’s opening comments on the Budget and Timing Ruling.</w:t>
      </w:r>
    </w:p>
  </w:footnote>
  <w:footnote w:id="221">
    <w:p w14:paraId="2C29745C" w14:textId="7BC33291" w:rsidR="00AD6ACF" w:rsidRDefault="00AD6ACF">
      <w:pPr>
        <w:pStyle w:val="FootnoteText"/>
      </w:pPr>
      <w:r>
        <w:rPr>
          <w:rStyle w:val="FootnoteReference"/>
        </w:rPr>
        <w:footnoteRef/>
      </w:r>
      <w:r>
        <w:t xml:space="preserve"> </w:t>
      </w:r>
      <w:r w:rsidR="00346580">
        <w:t>Cal Advocates’ opening brief.</w:t>
      </w:r>
    </w:p>
  </w:footnote>
  <w:footnote w:id="222">
    <w:p w14:paraId="79568C5B" w14:textId="2247F806" w:rsidR="00346580" w:rsidRDefault="00346580">
      <w:pPr>
        <w:pStyle w:val="FootnoteText"/>
      </w:pPr>
      <w:r>
        <w:rPr>
          <w:rStyle w:val="FootnoteReference"/>
        </w:rPr>
        <w:footnoteRef/>
      </w:r>
      <w:r>
        <w:t xml:space="preserve"> TURN/NRDC’s opening brief.</w:t>
      </w:r>
    </w:p>
  </w:footnote>
  <w:footnote w:id="223">
    <w:p w14:paraId="7E17BEC9" w14:textId="4EF812F6" w:rsidR="00165846" w:rsidRDefault="00165846">
      <w:pPr>
        <w:pStyle w:val="FootnoteText"/>
      </w:pPr>
      <w:r>
        <w:rPr>
          <w:rStyle w:val="FootnoteReference"/>
        </w:rPr>
        <w:footnoteRef/>
      </w:r>
      <w:r>
        <w:t xml:space="preserve"> </w:t>
      </w:r>
      <w:r w:rsidR="00C3264B">
        <w:t xml:space="preserve">The </w:t>
      </w:r>
      <w:r>
        <w:t>Large Utilities’ reply brief</w:t>
      </w:r>
      <w:r w:rsidR="00C3264B">
        <w:t>.</w:t>
      </w:r>
    </w:p>
  </w:footnote>
  <w:footnote w:id="224">
    <w:p w14:paraId="02150193" w14:textId="0FDBF886" w:rsidR="003A218C" w:rsidRDefault="003A218C">
      <w:pPr>
        <w:pStyle w:val="FootnoteText"/>
      </w:pPr>
      <w:r>
        <w:rPr>
          <w:rStyle w:val="FootnoteReference"/>
        </w:rPr>
        <w:footnoteRef/>
      </w:r>
      <w:r>
        <w:t xml:space="preserve"> The Large Utilities provided updated budget estimates in their opening comments on the Budget and Timing Ruling. Generally, the </w:t>
      </w:r>
      <w:r w:rsidR="0041363E">
        <w:t>Large Utilities provided estimate</w:t>
      </w:r>
      <w:r w:rsidR="008A581D">
        <w:t>d costs</w:t>
      </w:r>
      <w:r w:rsidR="0041363E">
        <w:t xml:space="preserve"> for </w:t>
      </w:r>
      <w:r w:rsidR="00CA05F1">
        <w:t xml:space="preserve">large categories (such as </w:t>
      </w:r>
      <w:r w:rsidR="003A7131">
        <w:t>income verification)</w:t>
      </w:r>
      <w:r w:rsidR="008A581D">
        <w:t xml:space="preserve"> </w:t>
      </w:r>
      <w:r w:rsidR="003E5879">
        <w:t>without specific budget breakdowns by sub-tasks</w:t>
      </w:r>
      <w:r w:rsidR="00CE30AD">
        <w:t xml:space="preserve"> or</w:t>
      </w:r>
      <w:r w:rsidR="00871F25">
        <w:t xml:space="preserve"> </w:t>
      </w:r>
      <w:r w:rsidR="0094395F">
        <w:t xml:space="preserve">estimated staff hours or </w:t>
      </w:r>
      <w:r w:rsidR="00127AA2">
        <w:t xml:space="preserve">contractor hours for each </w:t>
      </w:r>
      <w:r w:rsidR="00392F7C">
        <w:t xml:space="preserve">budget category. </w:t>
      </w:r>
    </w:p>
  </w:footnote>
  <w:footnote w:id="225">
    <w:p w14:paraId="1CDE166F" w14:textId="396207E8" w:rsidR="00F55303" w:rsidRDefault="00F55303" w:rsidP="00F55303">
      <w:pPr>
        <w:pStyle w:val="FootnoteText"/>
      </w:pPr>
      <w:r>
        <w:rPr>
          <w:rStyle w:val="FootnoteReference"/>
        </w:rPr>
        <w:footnoteRef/>
      </w:r>
      <w:r>
        <w:t xml:space="preserve"> </w:t>
      </w:r>
      <w:r w:rsidR="00C3264B">
        <w:t xml:space="preserve">The </w:t>
      </w:r>
      <w:r>
        <w:t>Large Utilities’ opening comments on the Budget and Timing Ruling.</w:t>
      </w:r>
    </w:p>
  </w:footnote>
  <w:footnote w:id="226">
    <w:p w14:paraId="2E8BF49A" w14:textId="76881DAC" w:rsidR="00D07C82" w:rsidRDefault="00D07C82">
      <w:pPr>
        <w:pStyle w:val="FootnoteText"/>
      </w:pPr>
      <w:r>
        <w:rPr>
          <w:rStyle w:val="FootnoteReference"/>
        </w:rPr>
        <w:footnoteRef/>
      </w:r>
      <w:r>
        <w:t xml:space="preserve"> </w:t>
      </w:r>
      <w:r w:rsidR="00C7214F">
        <w:t xml:space="preserve">The </w:t>
      </w:r>
      <w:r>
        <w:t>Large Utilities’ opening comments on the Budget and Timing Ruling.</w:t>
      </w:r>
    </w:p>
  </w:footnote>
  <w:footnote w:id="227">
    <w:p w14:paraId="51F7D40C" w14:textId="765EAA72" w:rsidR="00E53991" w:rsidRDefault="00E53991">
      <w:pPr>
        <w:pStyle w:val="FootnoteText"/>
      </w:pPr>
      <w:r>
        <w:rPr>
          <w:rStyle w:val="FootnoteReference"/>
        </w:rPr>
        <w:footnoteRef/>
      </w:r>
      <w:r>
        <w:t xml:space="preserve"> </w:t>
      </w:r>
      <w:r w:rsidR="0041725E">
        <w:t>Several parties filed reply comments on the Budget and Timing Ruling, but no party commented on whether to approve the Large Utilities’ proposed implementation costs. SEI</w:t>
      </w:r>
      <w:r w:rsidR="00AC402D">
        <w:t>A’s reply comments expressed skepticism about PG&amp;E’s proposed estimated additional costs of expediting implementation of the first income-graduated fixed charges but did not oppose the cost estimate.</w:t>
      </w:r>
    </w:p>
  </w:footnote>
  <w:footnote w:id="228">
    <w:p w14:paraId="092D2B27" w14:textId="77777777" w:rsidR="003D157E" w:rsidRDefault="003D157E" w:rsidP="003D157E">
      <w:pPr>
        <w:pStyle w:val="FootnoteText"/>
      </w:pPr>
      <w:r>
        <w:rPr>
          <w:rStyle w:val="FootnoteReference"/>
        </w:rPr>
        <w:footnoteRef/>
      </w:r>
      <w:r>
        <w:t xml:space="preserve"> D.21-06-015 at Conclusions of Law 49.</w:t>
      </w:r>
    </w:p>
  </w:footnote>
  <w:footnote w:id="229">
    <w:p w14:paraId="7F183810" w14:textId="3D17016F" w:rsidR="009478EE" w:rsidRDefault="009478EE" w:rsidP="009478EE">
      <w:pPr>
        <w:pStyle w:val="FootnoteText"/>
      </w:pPr>
      <w:r>
        <w:rPr>
          <w:rStyle w:val="FootnoteReference"/>
        </w:rPr>
        <w:footnoteRef/>
      </w:r>
      <w:r>
        <w:t xml:space="preserve"> </w:t>
      </w:r>
      <w:r w:rsidR="00C7214F">
        <w:t xml:space="preserve">The </w:t>
      </w:r>
      <w:r>
        <w:t>Large Utilities’ opening comments on the Budget and Timing Ruling.</w:t>
      </w:r>
    </w:p>
  </w:footnote>
  <w:footnote w:id="230">
    <w:p w14:paraId="32DA9509" w14:textId="6901F7E0" w:rsidR="004A6761" w:rsidRDefault="004A6761" w:rsidP="004A6761">
      <w:pPr>
        <w:pStyle w:val="FootnoteText"/>
      </w:pPr>
      <w:r>
        <w:rPr>
          <w:rStyle w:val="FootnoteReference"/>
        </w:rPr>
        <w:footnoteRef/>
      </w:r>
      <w:r>
        <w:t xml:space="preserve"> </w:t>
      </w:r>
      <w:r w:rsidR="00C7214F">
        <w:t xml:space="preserve">The </w:t>
      </w:r>
      <w:r>
        <w:t>Large Utilities’ opening comments on the Budget and Timing Ruling.</w:t>
      </w:r>
    </w:p>
  </w:footnote>
  <w:footnote w:id="231">
    <w:p w14:paraId="34021EA2" w14:textId="0264EA91" w:rsidR="00F55303" w:rsidRDefault="00F55303" w:rsidP="00F55303">
      <w:pPr>
        <w:pStyle w:val="FootnoteText"/>
      </w:pPr>
      <w:r>
        <w:rPr>
          <w:rStyle w:val="FootnoteReference"/>
        </w:rPr>
        <w:footnoteRef/>
      </w:r>
      <w:r>
        <w:t xml:space="preserve"> </w:t>
      </w:r>
      <w:r w:rsidR="00B53613">
        <w:t xml:space="preserve">The </w:t>
      </w:r>
      <w:r>
        <w:t>Large Utilities’ opening comments on the Budget and Timing Ruling.</w:t>
      </w:r>
    </w:p>
  </w:footnote>
  <w:footnote w:id="232">
    <w:p w14:paraId="44D86924" w14:textId="7016535A" w:rsidR="00F55303" w:rsidRDefault="00F55303" w:rsidP="00F55303">
      <w:pPr>
        <w:pStyle w:val="FootnoteText"/>
      </w:pPr>
      <w:r>
        <w:rPr>
          <w:rStyle w:val="FootnoteReference"/>
        </w:rPr>
        <w:footnoteRef/>
      </w:r>
      <w:r>
        <w:t xml:space="preserve"> </w:t>
      </w:r>
      <w:r w:rsidR="00B53613">
        <w:t xml:space="preserve">The </w:t>
      </w:r>
      <w:r>
        <w:t>Large Utilities’ opening comments on the Budget and Timing Ruling.</w:t>
      </w:r>
    </w:p>
  </w:footnote>
  <w:footnote w:id="233">
    <w:p w14:paraId="5545354B" w14:textId="6DF97E0D" w:rsidR="00EE10DF" w:rsidRDefault="00EE10DF">
      <w:pPr>
        <w:pStyle w:val="FootnoteText"/>
      </w:pPr>
      <w:r>
        <w:rPr>
          <w:rStyle w:val="FootnoteReference"/>
        </w:rPr>
        <w:footnoteRef/>
      </w:r>
      <w:r>
        <w:t xml:space="preserve"> </w:t>
      </w:r>
      <w:r w:rsidRPr="00EE10DF">
        <w:t>The Large Utilities’ opening comments on the Budget and Timing Ruling.</w:t>
      </w:r>
    </w:p>
  </w:footnote>
  <w:footnote w:id="234">
    <w:p w14:paraId="3B0087AE" w14:textId="6FA94995" w:rsidR="00D25232" w:rsidRDefault="00D25232" w:rsidP="00D25232">
      <w:pPr>
        <w:pStyle w:val="FootnoteText"/>
      </w:pPr>
      <w:r>
        <w:rPr>
          <w:rStyle w:val="FootnoteReference"/>
        </w:rPr>
        <w:footnoteRef/>
      </w:r>
      <w:r>
        <w:t xml:space="preserve"> </w:t>
      </w:r>
      <w:r w:rsidR="00B53613">
        <w:t xml:space="preserve">The </w:t>
      </w:r>
      <w:r>
        <w:t>Large Utilities’ opening comments on the Budget and Timing Ruling.</w:t>
      </w:r>
    </w:p>
  </w:footnote>
  <w:footnote w:id="235">
    <w:p w14:paraId="1699CD81" w14:textId="7FD973B8" w:rsidR="00FA33DD" w:rsidRDefault="00FA33DD" w:rsidP="00FA33DD">
      <w:pPr>
        <w:pStyle w:val="FootnoteText"/>
      </w:pPr>
      <w:r>
        <w:rPr>
          <w:rStyle w:val="FootnoteReference"/>
        </w:rPr>
        <w:footnoteRef/>
      </w:r>
      <w:r>
        <w:t xml:space="preserve"> In </w:t>
      </w:r>
      <w:r w:rsidR="009A6D72">
        <w:t>Exhibit Cal Advocates-03</w:t>
      </w:r>
      <w:r>
        <w:t xml:space="preserve">, Cal Advocates </w:t>
      </w:r>
      <w:r w:rsidR="00E701E2">
        <w:t xml:space="preserve">contested </w:t>
      </w:r>
      <w:r w:rsidR="00D415C7">
        <w:t>recovery</w:t>
      </w:r>
      <w:r>
        <w:t xml:space="preserve"> of Liberty’s </w:t>
      </w:r>
      <w:r w:rsidR="00D97A93">
        <w:t xml:space="preserve">generation </w:t>
      </w:r>
      <w:r>
        <w:t xml:space="preserve">base revenues </w:t>
      </w:r>
      <w:r w:rsidR="00D415C7">
        <w:t>through a</w:t>
      </w:r>
      <w:r>
        <w:t xml:space="preserve"> fixed </w:t>
      </w:r>
      <w:r w:rsidR="00D415C7">
        <w:t>charge</w:t>
      </w:r>
      <w:r>
        <w:t>.</w:t>
      </w:r>
    </w:p>
  </w:footnote>
  <w:footnote w:id="236">
    <w:p w14:paraId="502E7F6C" w14:textId="6BBCC29C" w:rsidR="007E38FD" w:rsidRDefault="007E38FD">
      <w:pPr>
        <w:pStyle w:val="FootnoteText"/>
      </w:pPr>
      <w:r>
        <w:rPr>
          <w:rStyle w:val="FootnoteReference"/>
        </w:rPr>
        <w:footnoteRef/>
      </w:r>
      <w:r>
        <w:t xml:space="preserve"> </w:t>
      </w:r>
      <w:r w:rsidR="006C77DD" w:rsidRPr="002812BB">
        <w:rPr>
          <w:i/>
          <w:iCs/>
        </w:rPr>
        <w:t>See</w:t>
      </w:r>
      <w:r w:rsidR="006C77DD">
        <w:t xml:space="preserve"> also CforAT’s</w:t>
      </w:r>
      <w:r w:rsidR="007C44FC">
        <w:t xml:space="preserve"> </w:t>
      </w:r>
      <w:r w:rsidR="009335CC">
        <w:t>r</w:t>
      </w:r>
      <w:r w:rsidR="00AC6A55">
        <w:t xml:space="preserve">esponse to </w:t>
      </w:r>
      <w:r w:rsidR="009335CC">
        <w:t xml:space="preserve">the </w:t>
      </w:r>
      <w:r w:rsidR="0037531D">
        <w:t>Settlement Motion.</w:t>
      </w:r>
    </w:p>
  </w:footnote>
  <w:footnote w:id="237">
    <w:p w14:paraId="5D4417C0" w14:textId="394A71FD" w:rsidR="00A56D6F" w:rsidRDefault="00A56D6F">
      <w:pPr>
        <w:pStyle w:val="FootnoteText"/>
      </w:pPr>
      <w:r>
        <w:rPr>
          <w:rStyle w:val="FootnoteReference"/>
        </w:rPr>
        <w:footnoteRef/>
      </w:r>
      <w:r>
        <w:t xml:space="preserve"> Sierra Club/CEJA’s </w:t>
      </w:r>
      <w:r w:rsidR="00531A76">
        <w:t>response to the Settlement Agreement.</w:t>
      </w:r>
    </w:p>
  </w:footnote>
  <w:footnote w:id="238">
    <w:p w14:paraId="1295FD24" w14:textId="2C720766" w:rsidR="0047209C" w:rsidRDefault="0047209C">
      <w:pPr>
        <w:pStyle w:val="FootnoteText"/>
      </w:pPr>
      <w:r>
        <w:rPr>
          <w:rStyle w:val="FootnoteReference"/>
        </w:rPr>
        <w:footnoteRef/>
      </w:r>
      <w:r>
        <w:t xml:space="preserve"> TURN/NRDC’s </w:t>
      </w:r>
      <w:r w:rsidRPr="0047209C">
        <w:t>response to the Settlement Agreement.</w:t>
      </w:r>
    </w:p>
  </w:footnote>
  <w:footnote w:id="239">
    <w:p w14:paraId="6321B83D" w14:textId="69D45A7A" w:rsidR="004D7EB9" w:rsidRDefault="004D7EB9">
      <w:pPr>
        <w:pStyle w:val="FootnoteText"/>
      </w:pPr>
      <w:r>
        <w:rPr>
          <w:rStyle w:val="FootnoteReference"/>
        </w:rPr>
        <w:footnoteRef/>
      </w:r>
      <w:r>
        <w:t xml:space="preserve"> Sierra Club/CEJA’s </w:t>
      </w:r>
      <w:r w:rsidR="00677752">
        <w:t>and CforAT’s</w:t>
      </w:r>
      <w:r>
        <w:t xml:space="preserve"> response</w:t>
      </w:r>
      <w:r w:rsidR="00677752">
        <w:t>s</w:t>
      </w:r>
      <w:r>
        <w:t xml:space="preserve"> to the Settlement Motion. </w:t>
      </w:r>
    </w:p>
  </w:footnote>
  <w:footnote w:id="240">
    <w:p w14:paraId="5B983B74" w14:textId="705267D4" w:rsidR="00C71B24" w:rsidRDefault="00C71B24">
      <w:pPr>
        <w:pStyle w:val="FootnoteText"/>
      </w:pPr>
      <w:r>
        <w:rPr>
          <w:rStyle w:val="FootnoteReference"/>
        </w:rPr>
        <w:footnoteRef/>
      </w:r>
      <w:r>
        <w:t xml:space="preserve"> </w:t>
      </w:r>
      <w:r w:rsidRPr="00C71B24">
        <w:t>TURN/NRDC’s response to the Settlement Motion.</w:t>
      </w:r>
    </w:p>
  </w:footnote>
  <w:footnote w:id="241">
    <w:p w14:paraId="3BA271C6" w14:textId="121C5C1C" w:rsidR="001E74B8" w:rsidRDefault="001E74B8" w:rsidP="004306BC">
      <w:pPr>
        <w:pStyle w:val="FootnoteText"/>
      </w:pPr>
      <w:r>
        <w:rPr>
          <w:rStyle w:val="FootnoteReference"/>
        </w:rPr>
        <w:footnoteRef/>
      </w:r>
      <w:r>
        <w:t xml:space="preserve"> </w:t>
      </w:r>
      <w:r w:rsidR="004E61CC">
        <w:t xml:space="preserve">Exhibit </w:t>
      </w:r>
      <w:r>
        <w:t>BVES</w:t>
      </w:r>
      <w:r w:rsidR="004E61CC">
        <w:t>-1</w:t>
      </w:r>
      <w:r>
        <w:t xml:space="preserve"> and the </w:t>
      </w:r>
      <w:r w:rsidR="00CE230B">
        <w:t>Small Utilities</w:t>
      </w:r>
      <w:r>
        <w:t xml:space="preserve">’ opening brief proposed to recover </w:t>
      </w:r>
      <w:r w:rsidR="004306BC">
        <w:t>a</w:t>
      </w:r>
      <w:r w:rsidR="004306BC" w:rsidRPr="004306BC">
        <w:t>ll distribution costs allocated t</w:t>
      </w:r>
      <w:r w:rsidR="004306BC">
        <w:t>o</w:t>
      </w:r>
      <w:r w:rsidR="004306BC" w:rsidRPr="004306BC">
        <w:t xml:space="preserve"> residential customers</w:t>
      </w:r>
      <w:r w:rsidR="004306BC">
        <w:t xml:space="preserve"> through a General Rate Case decision.</w:t>
      </w:r>
    </w:p>
  </w:footnote>
  <w:footnote w:id="242">
    <w:p w14:paraId="0C078575" w14:textId="5BD65D67" w:rsidR="00FC4892" w:rsidRDefault="00FC4892">
      <w:pPr>
        <w:pStyle w:val="FootnoteText"/>
      </w:pPr>
      <w:r>
        <w:rPr>
          <w:rStyle w:val="FootnoteReference"/>
        </w:rPr>
        <w:footnoteRef/>
      </w:r>
      <w:r>
        <w:t xml:space="preserve"> SEIA’s response to the Settlement Motion.</w:t>
      </w:r>
    </w:p>
  </w:footnote>
  <w:footnote w:id="243">
    <w:p w14:paraId="702EA8D6" w14:textId="7CC43600" w:rsidR="00E3779E" w:rsidRDefault="00E3779E">
      <w:pPr>
        <w:pStyle w:val="FootnoteText"/>
      </w:pPr>
      <w:r>
        <w:rPr>
          <w:rStyle w:val="FootnoteReference"/>
        </w:rPr>
        <w:footnoteRef/>
      </w:r>
      <w:r>
        <w:t xml:space="preserve"> </w:t>
      </w:r>
      <w:r w:rsidR="004E61CC">
        <w:t>Exhibit BVES-</w:t>
      </w:r>
      <w:r w:rsidR="009920FF">
        <w:t>1,</w:t>
      </w:r>
      <w:r w:rsidR="004E61CC">
        <w:t xml:space="preserve"> </w:t>
      </w:r>
      <w:r w:rsidR="00ED6DA1">
        <w:t xml:space="preserve">Exhibit </w:t>
      </w:r>
      <w:r w:rsidR="004E61CC">
        <w:t>PAC</w:t>
      </w:r>
      <w:r w:rsidR="009920FF">
        <w:t>-01</w:t>
      </w:r>
      <w:r>
        <w:t xml:space="preserve">, and the </w:t>
      </w:r>
      <w:r w:rsidR="00CE230B">
        <w:t>Small Utilities</w:t>
      </w:r>
      <w:r>
        <w:t>’ opening brief.</w:t>
      </w:r>
    </w:p>
  </w:footnote>
  <w:footnote w:id="244">
    <w:p w14:paraId="5EBFB281" w14:textId="5454C5AF" w:rsidR="00302466" w:rsidRDefault="00302466">
      <w:pPr>
        <w:pStyle w:val="FootnoteText"/>
      </w:pPr>
      <w:r>
        <w:rPr>
          <w:rStyle w:val="FootnoteReference"/>
        </w:rPr>
        <w:footnoteRef/>
      </w:r>
      <w:r>
        <w:t xml:space="preserve"> </w:t>
      </w:r>
      <w:r w:rsidR="001843E9">
        <w:t xml:space="preserve">Exhibit </w:t>
      </w:r>
      <w:r>
        <w:t>Liberty</w:t>
      </w:r>
      <w:r w:rsidR="001843E9">
        <w:t>-01</w:t>
      </w:r>
      <w:r>
        <w:t xml:space="preserve"> and the </w:t>
      </w:r>
      <w:r w:rsidR="00CE230B">
        <w:t>Small Utilities</w:t>
      </w:r>
      <w:r>
        <w:t>’ opening brief.</w:t>
      </w:r>
    </w:p>
  </w:footnote>
  <w:footnote w:id="245">
    <w:p w14:paraId="50EE263F" w14:textId="0F8FE09C" w:rsidR="00EE0E3E" w:rsidRDefault="00EE0E3E">
      <w:pPr>
        <w:pStyle w:val="FootnoteText"/>
      </w:pPr>
      <w:r>
        <w:rPr>
          <w:rStyle w:val="FootnoteReference"/>
        </w:rPr>
        <w:footnoteRef/>
      </w:r>
      <w:r>
        <w:t xml:space="preserve"> </w:t>
      </w:r>
      <w:r w:rsidRPr="00EE0E3E">
        <w:t>Exhibit Cal Advocates</w:t>
      </w:r>
      <w:r w:rsidR="001843E9">
        <w:t>-03.</w:t>
      </w:r>
    </w:p>
  </w:footnote>
  <w:footnote w:id="246">
    <w:p w14:paraId="1BED4F99" w14:textId="77777777" w:rsidR="00C76EB0" w:rsidRDefault="00C76EB0" w:rsidP="00C76EB0">
      <w:pPr>
        <w:pStyle w:val="FootnoteText"/>
      </w:pPr>
      <w:r>
        <w:rPr>
          <w:rStyle w:val="FootnoteReference"/>
        </w:rPr>
        <w:footnoteRef/>
      </w:r>
      <w:r>
        <w:t xml:space="preserve"> SEIA’s response to the Settlement Motion.</w:t>
      </w:r>
    </w:p>
  </w:footnote>
  <w:footnote w:id="247">
    <w:p w14:paraId="5DF0E375" w14:textId="272BFB5F" w:rsidR="00D950A7" w:rsidRDefault="00D950A7">
      <w:pPr>
        <w:pStyle w:val="FootnoteText"/>
      </w:pPr>
      <w:r>
        <w:rPr>
          <w:rStyle w:val="FootnoteReference"/>
        </w:rPr>
        <w:footnoteRef/>
      </w:r>
      <w:r>
        <w:t xml:space="preserve"> Sierra Club/CEJA’s </w:t>
      </w:r>
      <w:r w:rsidR="009F3288">
        <w:t>r</w:t>
      </w:r>
      <w:r>
        <w:t>esponse to the Settlement Motion.</w:t>
      </w:r>
    </w:p>
  </w:footnote>
  <w:footnote w:id="248">
    <w:p w14:paraId="565DA6BD" w14:textId="61596531" w:rsidR="00A47099" w:rsidRDefault="00A47099">
      <w:pPr>
        <w:pStyle w:val="FootnoteText"/>
      </w:pPr>
      <w:r>
        <w:rPr>
          <w:rStyle w:val="FootnoteReference"/>
        </w:rPr>
        <w:footnoteRef/>
      </w:r>
      <w:r>
        <w:t xml:space="preserve"> The Small Utilities’ reply to responses to the Settlement Motion.</w:t>
      </w:r>
    </w:p>
  </w:footnote>
  <w:footnote w:id="249">
    <w:p w14:paraId="41B05360" w14:textId="115881B6" w:rsidR="00702839" w:rsidRDefault="00702839">
      <w:pPr>
        <w:pStyle w:val="FootnoteText"/>
      </w:pPr>
      <w:r>
        <w:rPr>
          <w:rStyle w:val="FootnoteReference"/>
        </w:rPr>
        <w:footnoteRef/>
      </w:r>
      <w:r>
        <w:t xml:space="preserve"> TURN/NRDC’s </w:t>
      </w:r>
      <w:r w:rsidR="00ED61D1">
        <w:t>response to the</w:t>
      </w:r>
      <w:r>
        <w:t xml:space="preserve"> Settlement </w:t>
      </w:r>
      <w:r w:rsidR="00ED61D1">
        <w:t>Motion</w:t>
      </w:r>
      <w:r>
        <w:t>.</w:t>
      </w:r>
    </w:p>
  </w:footnote>
  <w:footnote w:id="250">
    <w:p w14:paraId="61A382A2" w14:textId="1A559A9B" w:rsidR="003206B2" w:rsidRDefault="003206B2" w:rsidP="00104E8B">
      <w:pPr>
        <w:pStyle w:val="FootnoteText"/>
      </w:pPr>
      <w:r>
        <w:rPr>
          <w:rStyle w:val="FootnoteReference"/>
        </w:rPr>
        <w:footnoteRef/>
      </w:r>
      <w:r>
        <w:t xml:space="preserve"> </w:t>
      </w:r>
      <w:r w:rsidR="00501B89" w:rsidRPr="00501B89">
        <w:t xml:space="preserve">The Settlement Motion noted that the Commission </w:t>
      </w:r>
      <w:r w:rsidR="00BB14CE">
        <w:t>did not require the</w:t>
      </w:r>
      <w:r w:rsidR="00501B89" w:rsidRPr="00501B89">
        <w:t xml:space="preserve"> </w:t>
      </w:r>
      <w:r w:rsidR="00CE230B">
        <w:t>Small Utilities</w:t>
      </w:r>
      <w:r w:rsidR="00501B89" w:rsidRPr="00501B89">
        <w:t xml:space="preserve"> to transition their customers to </w:t>
      </w:r>
      <w:r w:rsidR="006F2D92">
        <w:t>time-of-use</w:t>
      </w:r>
      <w:r w:rsidR="006F2D92" w:rsidRPr="00501B89">
        <w:t xml:space="preserve"> </w:t>
      </w:r>
      <w:r w:rsidR="00501B89" w:rsidRPr="00501B89">
        <w:t>rates</w:t>
      </w:r>
      <w:r w:rsidR="006F2D92">
        <w:t xml:space="preserve"> in </w:t>
      </w:r>
      <w:r w:rsidR="006F2D92" w:rsidRPr="006F2D92">
        <w:t>D.17-01-006</w:t>
      </w:r>
      <w:r w:rsidR="00501B89">
        <w:t xml:space="preserve">. </w:t>
      </w:r>
    </w:p>
  </w:footnote>
  <w:footnote w:id="251">
    <w:p w14:paraId="06E4D633" w14:textId="294A5B8F" w:rsidR="00793608" w:rsidRDefault="00793608">
      <w:pPr>
        <w:pStyle w:val="FootnoteText"/>
      </w:pPr>
      <w:r>
        <w:rPr>
          <w:rStyle w:val="FootnoteReference"/>
        </w:rPr>
        <w:footnoteRef/>
      </w:r>
      <w:r>
        <w:t xml:space="preserve"> </w:t>
      </w:r>
      <w:r w:rsidR="00BB14CE">
        <w:t>Exhibit BVES-1, Exhibit PAC-01, and Exhibit Liberty-</w:t>
      </w:r>
      <w:r w:rsidR="00FF51CA">
        <w:t>0</w:t>
      </w:r>
      <w:r w:rsidR="00BB14CE">
        <w:t>1.</w:t>
      </w:r>
    </w:p>
  </w:footnote>
  <w:footnote w:id="252">
    <w:p w14:paraId="216CCEA0" w14:textId="3741AF5C" w:rsidR="006A4DE2" w:rsidRDefault="006A4DE2">
      <w:pPr>
        <w:pStyle w:val="FootnoteText"/>
      </w:pPr>
      <w:r>
        <w:rPr>
          <w:rStyle w:val="FootnoteReference"/>
        </w:rPr>
        <w:footnoteRef/>
      </w:r>
      <w:r>
        <w:t xml:space="preserve"> </w:t>
      </w:r>
      <w:r w:rsidR="00255C79">
        <w:t xml:space="preserve">The </w:t>
      </w:r>
      <w:r w:rsidR="00CE230B">
        <w:t>Small Utilities</w:t>
      </w:r>
      <w:r>
        <w:t>’ opening brief.</w:t>
      </w:r>
    </w:p>
  </w:footnote>
  <w:footnote w:id="253">
    <w:p w14:paraId="0946727C" w14:textId="75EF1333" w:rsidR="006C21D6" w:rsidRDefault="006C21D6" w:rsidP="006C21D6">
      <w:pPr>
        <w:pStyle w:val="FootnoteText"/>
      </w:pPr>
      <w:r>
        <w:rPr>
          <w:rStyle w:val="FootnoteReference"/>
        </w:rPr>
        <w:footnoteRef/>
      </w:r>
      <w:r>
        <w:t xml:space="preserve"> Bear Valley’s </w:t>
      </w:r>
      <w:r w:rsidR="00F03CB2">
        <w:t>opening</w:t>
      </w:r>
      <w:r>
        <w:t xml:space="preserve"> comments on the Implementation Pathway Ruling, Exhibit BVES-1</w:t>
      </w:r>
      <w:r w:rsidR="001B6585">
        <w:t xml:space="preserve">, </w:t>
      </w:r>
      <w:r>
        <w:t>Liberty</w:t>
      </w:r>
      <w:r w:rsidR="001B6585">
        <w:t xml:space="preserve">’s </w:t>
      </w:r>
      <w:r w:rsidR="008A54C9">
        <w:t xml:space="preserve">opening comments on the Implementation Pathway Ruling, </w:t>
      </w:r>
      <w:r w:rsidR="00F03CB2">
        <w:t xml:space="preserve">Exhibit </w:t>
      </w:r>
      <w:r>
        <w:t xml:space="preserve">Liberty-01, </w:t>
      </w:r>
      <w:r w:rsidR="006A3EDA">
        <w:t xml:space="preserve">PacifiCorp’s opening comments on the Implementation Pathway Ruling, and </w:t>
      </w:r>
      <w:r>
        <w:t>Exhibit PAC-01.</w:t>
      </w:r>
    </w:p>
  </w:footnote>
  <w:footnote w:id="254">
    <w:p w14:paraId="703E8414" w14:textId="1C5E9D73" w:rsidR="00B242D5" w:rsidRDefault="00B242D5">
      <w:pPr>
        <w:pStyle w:val="FootnoteText"/>
      </w:pPr>
      <w:r>
        <w:rPr>
          <w:rStyle w:val="FootnoteReference"/>
        </w:rPr>
        <w:footnoteRef/>
      </w:r>
      <w:r>
        <w:t xml:space="preserve"> As an example of </w:t>
      </w:r>
      <w:r w:rsidR="00F95876">
        <w:t xml:space="preserve">how a weighted average is calculated, </w:t>
      </w:r>
      <w:r w:rsidR="007B2586">
        <w:t>consider</w:t>
      </w:r>
      <w:r w:rsidR="00EA7214">
        <w:t xml:space="preserve"> a </w:t>
      </w:r>
      <w:r w:rsidR="007B2586">
        <w:t>simpl</w:t>
      </w:r>
      <w:r w:rsidR="004C4DB0">
        <w:t xml:space="preserve">e example </w:t>
      </w:r>
      <w:r w:rsidR="00AB06B1">
        <w:t>w</w:t>
      </w:r>
      <w:r w:rsidR="00D21A94">
        <w:t xml:space="preserve">ith two income </w:t>
      </w:r>
      <w:r w:rsidR="0089061C">
        <w:t>groups</w:t>
      </w:r>
      <w:r w:rsidR="00EC728F">
        <w:t>: the first income group</w:t>
      </w:r>
      <w:r w:rsidR="002372B9">
        <w:t xml:space="preserve">’s bill impact based on average usage is </w:t>
      </w:r>
      <w:r w:rsidR="005761F0">
        <w:t>$</w:t>
      </w:r>
      <w:r w:rsidR="00EE6BD4">
        <w:t>4</w:t>
      </w:r>
      <w:r w:rsidR="00FF0455">
        <w:t xml:space="preserve"> while the second income group’s bill impact based on average usage is $</w:t>
      </w:r>
      <w:r w:rsidR="00CC7C34">
        <w:t xml:space="preserve">1. If the first income group </w:t>
      </w:r>
      <w:r w:rsidR="009630AC">
        <w:t xml:space="preserve">consists of twice as many customers as the second income group, the weighted average bill impact </w:t>
      </w:r>
      <w:r w:rsidR="00045D74">
        <w:t xml:space="preserve">would be </w:t>
      </w:r>
      <w:r w:rsidR="00BF5C84">
        <w:t>$3 whereas the simple average of the two groups’ bill impacts is $2.50.</w:t>
      </w:r>
      <w:r w:rsidR="00D62034">
        <w:t xml:space="preserve"> The $4 </w:t>
      </w:r>
      <w:r w:rsidR="004B7795">
        <w:t xml:space="preserve">bill impact </w:t>
      </w:r>
      <w:r w:rsidR="0029365A">
        <w:t>for the first income group</w:t>
      </w:r>
      <w:r w:rsidR="004B7795">
        <w:t xml:space="preserve"> </w:t>
      </w:r>
      <w:r w:rsidR="001F10FF">
        <w:t xml:space="preserve">is given twice as much weight because that group consists of </w:t>
      </w:r>
      <w:r w:rsidR="009A0F68">
        <w:t>twice as many customers.</w:t>
      </w:r>
    </w:p>
  </w:footnote>
  <w:footnote w:id="255">
    <w:p w14:paraId="38E95005" w14:textId="30D8FE89" w:rsidR="00CC6013" w:rsidRDefault="00CC6013">
      <w:pPr>
        <w:pStyle w:val="FootnoteText"/>
      </w:pPr>
      <w:r>
        <w:rPr>
          <w:rStyle w:val="FootnoteReference"/>
        </w:rPr>
        <w:footnoteRef/>
      </w:r>
      <w:r>
        <w:t xml:space="preserve"> Although SCE’s </w:t>
      </w:r>
      <w:r w:rsidR="00D80224">
        <w:t xml:space="preserve">current </w:t>
      </w:r>
      <w:r w:rsidR="007F419A">
        <w:t xml:space="preserve">default </w:t>
      </w:r>
      <w:r>
        <w:t xml:space="preserve">residential rates feature a very small fixed charge </w:t>
      </w:r>
      <w:r w:rsidR="00DD1E4B">
        <w:t>(about $1/month)</w:t>
      </w:r>
      <w:r w:rsidR="00D80224">
        <w:t>, th</w:t>
      </w:r>
      <w:r w:rsidR="000F02FA">
        <w:t xml:space="preserve">is rate component was excluded from the Public Tool’s analysis </w:t>
      </w:r>
      <w:r w:rsidR="00DF249C">
        <w:t xml:space="preserve">as a simplifying assumption. </w:t>
      </w:r>
      <w:r w:rsidR="00B30380">
        <w:t>Given how small the fixed charge is, it would not materially impact the analysis.</w:t>
      </w:r>
    </w:p>
  </w:footnote>
  <w:footnote w:id="256">
    <w:p w14:paraId="65AE3180" w14:textId="77777777" w:rsidR="00754B2A" w:rsidRDefault="00754B2A" w:rsidP="00754B2A">
      <w:pPr>
        <w:pStyle w:val="FootnoteText"/>
      </w:pPr>
      <w:r>
        <w:rPr>
          <w:rStyle w:val="FootnoteReference"/>
        </w:rPr>
        <w:footnoteRef/>
      </w:r>
      <w:r>
        <w:t xml:space="preserve"> Whereas the rest of the Public Tool used average customer usage levels, the electrification analysis was based on typical customer load profiles based on National Renewable Energy Laboratory modeled loads.</w:t>
      </w:r>
    </w:p>
  </w:footnote>
  <w:footnote w:id="257">
    <w:p w14:paraId="66ADE273" w14:textId="77777777" w:rsidR="00754B2A" w:rsidRDefault="00754B2A" w:rsidP="00754B2A">
      <w:pPr>
        <w:pStyle w:val="FootnoteText"/>
      </w:pPr>
      <w:r>
        <w:rPr>
          <w:rStyle w:val="FootnoteReference"/>
        </w:rPr>
        <w:footnoteRef/>
      </w:r>
      <w:r>
        <w:t xml:space="preserve"> </w:t>
      </w:r>
      <w:r w:rsidRPr="008C0522">
        <w:t>The Public Tool also allows for analysis based on a customers’ specific income bracket, which was included to allow parties to model proposals that differentiate fixed charges based on income level in addition to enrollment in a discount program.</w:t>
      </w:r>
    </w:p>
  </w:footnote>
  <w:footnote w:id="258">
    <w:p w14:paraId="37D545A5" w14:textId="77777777" w:rsidR="00754B2A" w:rsidRDefault="00754B2A" w:rsidP="00754B2A">
      <w:pPr>
        <w:pStyle w:val="FootnoteText"/>
      </w:pPr>
      <w:r>
        <w:rPr>
          <w:rStyle w:val="FootnoteReference"/>
        </w:rPr>
        <w:footnoteRef/>
      </w:r>
      <w:r>
        <w:t xml:space="preserve"> For the purposes of the electrification analysis, inland climate zone results are based on bills for typical customers in PG&amp;E X, SCE 9, and SDG&amp;E Inland climate zones. Coastal climate zone results are based on bills for typical customers in PG&amp;E T, SCE 6, and SDG&amp;E Coastal climate zones.</w:t>
      </w:r>
    </w:p>
  </w:footnote>
  <w:footnote w:id="259">
    <w:p w14:paraId="0BDDAC0D" w14:textId="77777777" w:rsidR="00754B2A" w:rsidRDefault="00754B2A" w:rsidP="00754B2A">
      <w:pPr>
        <w:pStyle w:val="FootnoteText"/>
      </w:pPr>
      <w:r>
        <w:rPr>
          <w:rStyle w:val="FootnoteReference"/>
        </w:rPr>
        <w:footnoteRef/>
      </w:r>
      <w:r>
        <w:t xml:space="preserve"> Managed charging assumes customer shift their charging to off-peak periods as much as possible without modifications to planned trips.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D12C" w14:textId="2EDDEB07" w:rsidR="008801B6" w:rsidRPr="00F92385" w:rsidRDefault="008801B6" w:rsidP="00F92385">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1D73" w14:textId="41D3F0DA" w:rsidR="00E23CBB" w:rsidRDefault="00D712D6" w:rsidP="00EE4315">
    <w:pPr>
      <w:pStyle w:val="Header"/>
      <w:tabs>
        <w:tab w:val="clear" w:pos="4680"/>
      </w:tabs>
      <w:ind w:firstLine="0"/>
      <w:rPr>
        <w:b/>
      </w:rPr>
    </w:pPr>
    <w:r>
      <w:t>R.22-07-005  ALJ/SW9/sgu</w:t>
    </w:r>
    <w:r w:rsidR="00E23CBB">
      <w:tab/>
    </w:r>
  </w:p>
  <w:p w14:paraId="758AB2D6" w14:textId="77777777" w:rsidR="00D712D6" w:rsidRDefault="00D712D6" w:rsidP="00B3087D">
    <w:pPr>
      <w:pStyle w:val="Header"/>
      <w:tabs>
        <w:tab w:val="clear" w:pos="4680"/>
      </w:tabs>
      <w:ind w:firstLine="0"/>
      <w:rPr>
        <w:i/>
        <w:color w:val="FF0000"/>
      </w:rPr>
    </w:pPr>
  </w:p>
  <w:p w14:paraId="2934FB5A" w14:textId="77777777" w:rsidR="00D712D6" w:rsidRPr="00B3087D" w:rsidRDefault="00D712D6" w:rsidP="00B3087D">
    <w:pPr>
      <w:pStyle w:val="Header"/>
      <w:tabs>
        <w:tab w:val="clear" w:pos="4680"/>
      </w:tabs>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AFE92" w14:textId="7ACBB242" w:rsidR="00FE2351" w:rsidRDefault="00D712D6" w:rsidP="00EE4315">
    <w:pPr>
      <w:pStyle w:val="Header"/>
      <w:tabs>
        <w:tab w:val="clear" w:pos="4680"/>
      </w:tabs>
      <w:ind w:firstLine="0"/>
      <w:rPr>
        <w:b/>
      </w:rPr>
    </w:pPr>
    <w:r>
      <w:t>R.22-07-005  ALJ/SW9/sgu</w:t>
    </w:r>
    <w:r w:rsidR="00FE2351">
      <w:tab/>
    </w:r>
  </w:p>
  <w:p w14:paraId="6D3C7165" w14:textId="77777777" w:rsidR="00D712D6" w:rsidRDefault="00D712D6" w:rsidP="00B3087D">
    <w:pPr>
      <w:pStyle w:val="Header"/>
      <w:tabs>
        <w:tab w:val="clear" w:pos="4680"/>
      </w:tabs>
      <w:ind w:firstLine="0"/>
      <w:rPr>
        <w:i/>
        <w:color w:val="FF0000"/>
      </w:rPr>
    </w:pPr>
  </w:p>
  <w:p w14:paraId="523E8DFE" w14:textId="77777777" w:rsidR="00D712D6" w:rsidRPr="00B3087D" w:rsidRDefault="00D712D6"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8CCB6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FoF"/>
      <w:lvlText w:val="%1."/>
      <w:lvlJc w:val="right"/>
      <w:pPr>
        <w:ind w:left="-54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3" w15:restartNumberingAfterBreak="0">
    <w:nsid w:val="3CEA1614"/>
    <w:multiLevelType w:val="hybridMultilevel"/>
    <w:tmpl w:val="4DAA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C54C4"/>
    <w:multiLevelType w:val="hybridMultilevel"/>
    <w:tmpl w:val="34F4024E"/>
    <w:lvl w:ilvl="0" w:tplc="6E4E0B7E">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042D7"/>
    <w:multiLevelType w:val="multilevel"/>
    <w:tmpl w:val="18F4A5AC"/>
    <w:numStyleLink w:val="FoFCoLOP"/>
  </w:abstractNum>
  <w:abstractNum w:abstractNumId="6" w15:restartNumberingAfterBreak="0">
    <w:nsid w:val="5CC8316A"/>
    <w:multiLevelType w:val="hybridMultilevel"/>
    <w:tmpl w:val="C8061E98"/>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7" w15:restartNumberingAfterBreak="0">
    <w:nsid w:val="61A25780"/>
    <w:multiLevelType w:val="multilevel"/>
    <w:tmpl w:val="3C526EDE"/>
    <w:numStyleLink w:val="Headings"/>
  </w:abstractNum>
  <w:num w:numId="1" w16cid:durableId="1354526949">
    <w:abstractNumId w:val="7"/>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2880"/>
          </w:tabs>
          <w:ind w:left="2880" w:hanging="1440"/>
        </w:pPr>
        <w:rPr>
          <w:rFonts w:ascii="Arial" w:hAnsi="Arial" w:hint="default"/>
          <w:b/>
          <w:i w:val="0"/>
          <w:sz w:val="26"/>
        </w:rPr>
      </w:lvl>
    </w:lvlOverride>
    <w:lvlOverride w:ilvl="5">
      <w:lvl w:ilvl="5">
        <w:start w:val="1"/>
        <w:numFmt w:val="decimal"/>
        <w:lvlText w:val="%1.%2.%3.%4.%5.%6."/>
        <w:lvlJc w:val="left"/>
        <w:pPr>
          <w:tabs>
            <w:tab w:val="num" w:pos="3528"/>
          </w:tabs>
          <w:ind w:left="3528" w:hanging="1728"/>
        </w:pPr>
        <w:rPr>
          <w:rFonts w:ascii="Arial" w:hAnsi="Arial" w:hint="default"/>
          <w:b/>
          <w:i w:val="0"/>
          <w:sz w:val="26"/>
        </w:rPr>
      </w:lvl>
    </w:lvlOverride>
    <w:lvlOverride w:ilvl="6">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2" w16cid:durableId="140774137">
    <w:abstractNumId w:val="1"/>
  </w:num>
  <w:num w:numId="3" w16cid:durableId="973756952">
    <w:abstractNumId w:val="2"/>
  </w:num>
  <w:num w:numId="4" w16cid:durableId="816924040">
    <w:abstractNumId w:val="0"/>
  </w:num>
  <w:num w:numId="5" w16cid:durableId="1115828900">
    <w:abstractNumId w:val="7"/>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2880"/>
          </w:tabs>
          <w:ind w:left="2880" w:hanging="1440"/>
        </w:pPr>
        <w:rPr>
          <w:rFonts w:ascii="Arial" w:hAnsi="Arial" w:hint="default"/>
          <w:b/>
          <w:i w:val="0"/>
          <w:sz w:val="26"/>
        </w:rPr>
      </w:lvl>
    </w:lvlOverride>
    <w:lvlOverride w:ilvl="5">
      <w:lvl w:ilvl="5">
        <w:start w:val="1"/>
        <w:numFmt w:val="decimal"/>
        <w:lvlText w:val="%1.%2.%3.%4.%5.%6."/>
        <w:lvlJc w:val="left"/>
        <w:pPr>
          <w:tabs>
            <w:tab w:val="num" w:pos="3528"/>
          </w:tabs>
          <w:ind w:left="3528" w:hanging="1728"/>
        </w:pPr>
        <w:rPr>
          <w:rFonts w:ascii="Arial" w:hAnsi="Arial" w:hint="default"/>
          <w:b/>
          <w:i w:val="0"/>
          <w:sz w:val="26"/>
        </w:rPr>
      </w:lvl>
    </w:lvlOverride>
    <w:lvlOverride w:ilvl="6">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6" w16cid:durableId="100418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3355231">
    <w:abstractNumId w:val="5"/>
    <w:lvlOverride w:ilvl="0">
      <w:lvl w:ilvl="0">
        <w:start w:val="1"/>
        <w:numFmt w:val="decimal"/>
        <w:pStyle w:val="FoF"/>
        <w:lvlText w:val="%1."/>
        <w:lvlJc w:val="right"/>
        <w:pPr>
          <w:ind w:left="-540" w:firstLine="540"/>
        </w:pPr>
        <w:rPr>
          <w:rFonts w:hint="default"/>
          <w:b w:val="0"/>
          <w:bCs w:val="0"/>
        </w:rPr>
      </w:lvl>
    </w:lvlOverride>
  </w:num>
  <w:num w:numId="8" w16cid:durableId="541139989">
    <w:abstractNumId w:val="7"/>
    <w:lvlOverride w:ilvl="0">
      <w:startOverride w:val="1"/>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lowerLetter"/>
        <w:pStyle w:val="ListAlpha"/>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9" w16cid:durableId="1760252861">
    <w:abstractNumId w:val="7"/>
    <w:lvlOverride w:ilvl="0">
      <w:startOverride w:val="1"/>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lowerLetter"/>
        <w:pStyle w:val="ListAlpha"/>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10" w16cid:durableId="1538007230">
    <w:abstractNumId w:val="7"/>
    <w:lvlOverride w:ilvl="0">
      <w:startOverride w:val="1"/>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lowerLetter"/>
        <w:pStyle w:val="ListAlpha"/>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11" w16cid:durableId="1382707051">
    <w:abstractNumId w:val="3"/>
  </w:num>
  <w:num w:numId="12" w16cid:durableId="780029525">
    <w:abstractNumId w:val="6"/>
  </w:num>
  <w:num w:numId="13" w16cid:durableId="1876576575">
    <w:abstractNumId w:val="4"/>
  </w:num>
  <w:num w:numId="14" w16cid:durableId="320425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9208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9962911">
    <w:abstractNumId w:val="7"/>
    <w:lvlOverride w:ilvl="0">
      <w:startOverride w:val="1"/>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lowerLetter"/>
        <w:pStyle w:val="ListAlpha"/>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17" w16cid:durableId="1281961903">
    <w:abstractNumId w:val="7"/>
    <w:lvlOverride w:ilvl="0">
      <w:startOverride w:val="1"/>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lowerLetter"/>
        <w:pStyle w:val="ListAlpha"/>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18" w16cid:durableId="1356273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55850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9230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5542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358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9939821">
    <w:abstractNumId w:val="5"/>
    <w:lvlOverride w:ilvl="0">
      <w:lvl w:ilvl="0">
        <w:start w:val="1"/>
        <w:numFmt w:val="decimal"/>
        <w:pStyle w:val="FoF"/>
        <w:lvlText w:val="%1."/>
        <w:lvlJc w:val="right"/>
        <w:pPr>
          <w:ind w:left="0" w:firstLine="540"/>
        </w:pPr>
        <w:rPr>
          <w:rFonts w:hint="default"/>
          <w:b w:val="0"/>
          <w:bCs w:val="0"/>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24" w16cid:durableId="76027690">
    <w:abstractNumId w:val="5"/>
    <w:lvlOverride w:ilvl="0">
      <w:startOverride w:val="1"/>
      <w:lvl w:ilvl="0">
        <w:start w:val="1"/>
        <w:numFmt w:val="decimal"/>
        <w:pStyle w:val="FoF"/>
        <w:lvlText w:val="%1."/>
        <w:lvlJc w:val="right"/>
        <w:pPr>
          <w:ind w:left="0" w:firstLine="540"/>
        </w:pPr>
        <w:rPr>
          <w:rFonts w:hint="default"/>
        </w:r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25" w16cid:durableId="454060521">
    <w:abstractNumId w:val="7"/>
    <w:lvlOverride w:ilvl="0">
      <w:startOverride w:val="1"/>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lowerLetter"/>
        <w:pStyle w:val="ListAlpha"/>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26" w16cid:durableId="805044310">
    <w:abstractNumId w:val="7"/>
    <w:lvlOverride w:ilvl="0">
      <w:startOverride w:val="1"/>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lowerLetter"/>
        <w:pStyle w:val="ListAlpha"/>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27" w16cid:durableId="1026561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B8"/>
    <w:rsid w:val="0000016F"/>
    <w:rsid w:val="0000019F"/>
    <w:rsid w:val="0000020D"/>
    <w:rsid w:val="00000216"/>
    <w:rsid w:val="00000545"/>
    <w:rsid w:val="00000546"/>
    <w:rsid w:val="00000900"/>
    <w:rsid w:val="00000924"/>
    <w:rsid w:val="000009BE"/>
    <w:rsid w:val="00000C11"/>
    <w:rsid w:val="00000C2C"/>
    <w:rsid w:val="00000F6A"/>
    <w:rsid w:val="00000FC5"/>
    <w:rsid w:val="000011F7"/>
    <w:rsid w:val="000012B7"/>
    <w:rsid w:val="00001388"/>
    <w:rsid w:val="000013E6"/>
    <w:rsid w:val="00001507"/>
    <w:rsid w:val="00001875"/>
    <w:rsid w:val="00001F7A"/>
    <w:rsid w:val="00001FE6"/>
    <w:rsid w:val="00002087"/>
    <w:rsid w:val="00002387"/>
    <w:rsid w:val="0000247A"/>
    <w:rsid w:val="000024C0"/>
    <w:rsid w:val="000025B4"/>
    <w:rsid w:val="000025E8"/>
    <w:rsid w:val="00002644"/>
    <w:rsid w:val="00002724"/>
    <w:rsid w:val="00002A58"/>
    <w:rsid w:val="00002B71"/>
    <w:rsid w:val="0000325D"/>
    <w:rsid w:val="000034B9"/>
    <w:rsid w:val="000035DF"/>
    <w:rsid w:val="0000399D"/>
    <w:rsid w:val="00003D53"/>
    <w:rsid w:val="00003E0A"/>
    <w:rsid w:val="00003F37"/>
    <w:rsid w:val="00004223"/>
    <w:rsid w:val="00004239"/>
    <w:rsid w:val="000042CA"/>
    <w:rsid w:val="000042EE"/>
    <w:rsid w:val="0000459C"/>
    <w:rsid w:val="00004706"/>
    <w:rsid w:val="000047E5"/>
    <w:rsid w:val="00004831"/>
    <w:rsid w:val="000048CA"/>
    <w:rsid w:val="000048CB"/>
    <w:rsid w:val="00004910"/>
    <w:rsid w:val="0000493B"/>
    <w:rsid w:val="00004B99"/>
    <w:rsid w:val="00004E89"/>
    <w:rsid w:val="00005046"/>
    <w:rsid w:val="00005393"/>
    <w:rsid w:val="000053E8"/>
    <w:rsid w:val="000054BE"/>
    <w:rsid w:val="0000551C"/>
    <w:rsid w:val="000055C8"/>
    <w:rsid w:val="0000561B"/>
    <w:rsid w:val="000056C3"/>
    <w:rsid w:val="00005AE2"/>
    <w:rsid w:val="00005B45"/>
    <w:rsid w:val="00005C8E"/>
    <w:rsid w:val="00005D37"/>
    <w:rsid w:val="00005E96"/>
    <w:rsid w:val="00006043"/>
    <w:rsid w:val="0000607A"/>
    <w:rsid w:val="00006183"/>
    <w:rsid w:val="000063D3"/>
    <w:rsid w:val="00006625"/>
    <w:rsid w:val="0000664C"/>
    <w:rsid w:val="000066FD"/>
    <w:rsid w:val="0000692B"/>
    <w:rsid w:val="000069FB"/>
    <w:rsid w:val="00006E92"/>
    <w:rsid w:val="00006FE1"/>
    <w:rsid w:val="000070B3"/>
    <w:rsid w:val="0000732C"/>
    <w:rsid w:val="00007385"/>
    <w:rsid w:val="000073AE"/>
    <w:rsid w:val="000075A8"/>
    <w:rsid w:val="00007821"/>
    <w:rsid w:val="00007926"/>
    <w:rsid w:val="000079EB"/>
    <w:rsid w:val="00007A48"/>
    <w:rsid w:val="00007EE6"/>
    <w:rsid w:val="00010084"/>
    <w:rsid w:val="00010193"/>
    <w:rsid w:val="000101D1"/>
    <w:rsid w:val="00010225"/>
    <w:rsid w:val="000103B1"/>
    <w:rsid w:val="00010679"/>
    <w:rsid w:val="0001077E"/>
    <w:rsid w:val="00010844"/>
    <w:rsid w:val="00010A9B"/>
    <w:rsid w:val="00010B52"/>
    <w:rsid w:val="00010B6A"/>
    <w:rsid w:val="00010BDC"/>
    <w:rsid w:val="00010DCD"/>
    <w:rsid w:val="00010E9C"/>
    <w:rsid w:val="00010ED9"/>
    <w:rsid w:val="00011058"/>
    <w:rsid w:val="00011384"/>
    <w:rsid w:val="00011A4D"/>
    <w:rsid w:val="00011B18"/>
    <w:rsid w:val="00011D0B"/>
    <w:rsid w:val="00011E6F"/>
    <w:rsid w:val="0001224B"/>
    <w:rsid w:val="0001231E"/>
    <w:rsid w:val="00012475"/>
    <w:rsid w:val="000125C1"/>
    <w:rsid w:val="000125EA"/>
    <w:rsid w:val="000126B0"/>
    <w:rsid w:val="000127FD"/>
    <w:rsid w:val="00012A2A"/>
    <w:rsid w:val="00012A7E"/>
    <w:rsid w:val="00012B3D"/>
    <w:rsid w:val="00012B4D"/>
    <w:rsid w:val="00012BDE"/>
    <w:rsid w:val="00012CAD"/>
    <w:rsid w:val="000130B3"/>
    <w:rsid w:val="00013132"/>
    <w:rsid w:val="000132BD"/>
    <w:rsid w:val="000136F2"/>
    <w:rsid w:val="00013858"/>
    <w:rsid w:val="00013C78"/>
    <w:rsid w:val="00013DBE"/>
    <w:rsid w:val="00013EDC"/>
    <w:rsid w:val="00014102"/>
    <w:rsid w:val="00014354"/>
    <w:rsid w:val="0001439E"/>
    <w:rsid w:val="00014664"/>
    <w:rsid w:val="00014791"/>
    <w:rsid w:val="0001479E"/>
    <w:rsid w:val="00014832"/>
    <w:rsid w:val="00014B20"/>
    <w:rsid w:val="00014C50"/>
    <w:rsid w:val="00014FAA"/>
    <w:rsid w:val="0001514A"/>
    <w:rsid w:val="0001515D"/>
    <w:rsid w:val="0001528C"/>
    <w:rsid w:val="000155E5"/>
    <w:rsid w:val="0001564F"/>
    <w:rsid w:val="00015711"/>
    <w:rsid w:val="000157F1"/>
    <w:rsid w:val="000158D5"/>
    <w:rsid w:val="0001590C"/>
    <w:rsid w:val="00015993"/>
    <w:rsid w:val="00015A92"/>
    <w:rsid w:val="00015D19"/>
    <w:rsid w:val="00015EA1"/>
    <w:rsid w:val="00016062"/>
    <w:rsid w:val="00016311"/>
    <w:rsid w:val="000164A5"/>
    <w:rsid w:val="000165AE"/>
    <w:rsid w:val="000165C5"/>
    <w:rsid w:val="0001671E"/>
    <w:rsid w:val="0001694B"/>
    <w:rsid w:val="000169BA"/>
    <w:rsid w:val="00016B32"/>
    <w:rsid w:val="00016C38"/>
    <w:rsid w:val="00016D50"/>
    <w:rsid w:val="0001702F"/>
    <w:rsid w:val="000172F9"/>
    <w:rsid w:val="000173E6"/>
    <w:rsid w:val="0001754C"/>
    <w:rsid w:val="0001759D"/>
    <w:rsid w:val="000175D3"/>
    <w:rsid w:val="00017608"/>
    <w:rsid w:val="000176EB"/>
    <w:rsid w:val="0001775D"/>
    <w:rsid w:val="0001787A"/>
    <w:rsid w:val="00017A55"/>
    <w:rsid w:val="00017BC1"/>
    <w:rsid w:val="00017BCC"/>
    <w:rsid w:val="00017C24"/>
    <w:rsid w:val="00017CD2"/>
    <w:rsid w:val="0002038C"/>
    <w:rsid w:val="00020527"/>
    <w:rsid w:val="0002088C"/>
    <w:rsid w:val="00020939"/>
    <w:rsid w:val="00020A3E"/>
    <w:rsid w:val="00020AD5"/>
    <w:rsid w:val="00020ADA"/>
    <w:rsid w:val="00020C9E"/>
    <w:rsid w:val="00020E6F"/>
    <w:rsid w:val="00020F57"/>
    <w:rsid w:val="0002108F"/>
    <w:rsid w:val="000210AE"/>
    <w:rsid w:val="00021304"/>
    <w:rsid w:val="00021313"/>
    <w:rsid w:val="00021336"/>
    <w:rsid w:val="0002144A"/>
    <w:rsid w:val="000214C1"/>
    <w:rsid w:val="0002154F"/>
    <w:rsid w:val="0002167E"/>
    <w:rsid w:val="00021974"/>
    <w:rsid w:val="00021C05"/>
    <w:rsid w:val="00022070"/>
    <w:rsid w:val="000220DD"/>
    <w:rsid w:val="000221F7"/>
    <w:rsid w:val="000223E2"/>
    <w:rsid w:val="00022600"/>
    <w:rsid w:val="00022730"/>
    <w:rsid w:val="00022947"/>
    <w:rsid w:val="00022B22"/>
    <w:rsid w:val="00022CF6"/>
    <w:rsid w:val="0002300E"/>
    <w:rsid w:val="00023115"/>
    <w:rsid w:val="00023269"/>
    <w:rsid w:val="000234A3"/>
    <w:rsid w:val="000234E1"/>
    <w:rsid w:val="000237F3"/>
    <w:rsid w:val="0002385A"/>
    <w:rsid w:val="000238EE"/>
    <w:rsid w:val="00023979"/>
    <w:rsid w:val="000239CB"/>
    <w:rsid w:val="00023A3B"/>
    <w:rsid w:val="00023A44"/>
    <w:rsid w:val="00023AE2"/>
    <w:rsid w:val="00023B70"/>
    <w:rsid w:val="00023CF0"/>
    <w:rsid w:val="00023FD1"/>
    <w:rsid w:val="000240D9"/>
    <w:rsid w:val="0002422C"/>
    <w:rsid w:val="00024246"/>
    <w:rsid w:val="00024310"/>
    <w:rsid w:val="000245DD"/>
    <w:rsid w:val="00024ACD"/>
    <w:rsid w:val="00024C1D"/>
    <w:rsid w:val="00024C3F"/>
    <w:rsid w:val="00024E71"/>
    <w:rsid w:val="00024F29"/>
    <w:rsid w:val="000250A7"/>
    <w:rsid w:val="0002512E"/>
    <w:rsid w:val="0002540C"/>
    <w:rsid w:val="00025514"/>
    <w:rsid w:val="00025919"/>
    <w:rsid w:val="000259B7"/>
    <w:rsid w:val="00025D65"/>
    <w:rsid w:val="00025DE6"/>
    <w:rsid w:val="00025DF9"/>
    <w:rsid w:val="00025E61"/>
    <w:rsid w:val="0002605C"/>
    <w:rsid w:val="0002610A"/>
    <w:rsid w:val="00026135"/>
    <w:rsid w:val="000262AE"/>
    <w:rsid w:val="00026637"/>
    <w:rsid w:val="00026694"/>
    <w:rsid w:val="00026767"/>
    <w:rsid w:val="000267C1"/>
    <w:rsid w:val="000269F8"/>
    <w:rsid w:val="00026CEF"/>
    <w:rsid w:val="00026DC1"/>
    <w:rsid w:val="0002702C"/>
    <w:rsid w:val="0002709C"/>
    <w:rsid w:val="0002710C"/>
    <w:rsid w:val="000271A1"/>
    <w:rsid w:val="00027278"/>
    <w:rsid w:val="000272EE"/>
    <w:rsid w:val="00027501"/>
    <w:rsid w:val="000275B2"/>
    <w:rsid w:val="00027638"/>
    <w:rsid w:val="00027C4A"/>
    <w:rsid w:val="00027E26"/>
    <w:rsid w:val="00030199"/>
    <w:rsid w:val="000302B4"/>
    <w:rsid w:val="0003046E"/>
    <w:rsid w:val="00030801"/>
    <w:rsid w:val="000308F9"/>
    <w:rsid w:val="00030CE7"/>
    <w:rsid w:val="00030DC1"/>
    <w:rsid w:val="00030E31"/>
    <w:rsid w:val="00030EDC"/>
    <w:rsid w:val="00030F50"/>
    <w:rsid w:val="000311C6"/>
    <w:rsid w:val="000311F2"/>
    <w:rsid w:val="000312F1"/>
    <w:rsid w:val="00031377"/>
    <w:rsid w:val="000313AC"/>
    <w:rsid w:val="000313FC"/>
    <w:rsid w:val="00031504"/>
    <w:rsid w:val="0003168B"/>
    <w:rsid w:val="00031698"/>
    <w:rsid w:val="00031B20"/>
    <w:rsid w:val="00031CC0"/>
    <w:rsid w:val="00031E5C"/>
    <w:rsid w:val="00031F6A"/>
    <w:rsid w:val="00031F8C"/>
    <w:rsid w:val="000320D3"/>
    <w:rsid w:val="000320E1"/>
    <w:rsid w:val="000321A3"/>
    <w:rsid w:val="000322F2"/>
    <w:rsid w:val="00032440"/>
    <w:rsid w:val="000324C2"/>
    <w:rsid w:val="000328E5"/>
    <w:rsid w:val="00032978"/>
    <w:rsid w:val="00032980"/>
    <w:rsid w:val="00032B4E"/>
    <w:rsid w:val="00032BAB"/>
    <w:rsid w:val="00033035"/>
    <w:rsid w:val="000331F5"/>
    <w:rsid w:val="00033783"/>
    <w:rsid w:val="00033AFF"/>
    <w:rsid w:val="00033BE2"/>
    <w:rsid w:val="00033C74"/>
    <w:rsid w:val="00033ECC"/>
    <w:rsid w:val="00033F3D"/>
    <w:rsid w:val="000340AA"/>
    <w:rsid w:val="00034100"/>
    <w:rsid w:val="000344B8"/>
    <w:rsid w:val="000344FB"/>
    <w:rsid w:val="00034BCB"/>
    <w:rsid w:val="00034FC2"/>
    <w:rsid w:val="000351FE"/>
    <w:rsid w:val="000353B0"/>
    <w:rsid w:val="0003549D"/>
    <w:rsid w:val="000355E3"/>
    <w:rsid w:val="000355ED"/>
    <w:rsid w:val="000357AD"/>
    <w:rsid w:val="000357B8"/>
    <w:rsid w:val="0003585D"/>
    <w:rsid w:val="00035868"/>
    <w:rsid w:val="0003593A"/>
    <w:rsid w:val="0003596F"/>
    <w:rsid w:val="00035A4F"/>
    <w:rsid w:val="00035D7B"/>
    <w:rsid w:val="00035E12"/>
    <w:rsid w:val="00035F78"/>
    <w:rsid w:val="0003609F"/>
    <w:rsid w:val="0003617F"/>
    <w:rsid w:val="0003625D"/>
    <w:rsid w:val="000363F5"/>
    <w:rsid w:val="0003650B"/>
    <w:rsid w:val="000368BD"/>
    <w:rsid w:val="00036B8C"/>
    <w:rsid w:val="00036E79"/>
    <w:rsid w:val="0003713E"/>
    <w:rsid w:val="000371FF"/>
    <w:rsid w:val="000374F7"/>
    <w:rsid w:val="000375F0"/>
    <w:rsid w:val="00037799"/>
    <w:rsid w:val="000377CB"/>
    <w:rsid w:val="00037817"/>
    <w:rsid w:val="00037855"/>
    <w:rsid w:val="00037866"/>
    <w:rsid w:val="00037DCA"/>
    <w:rsid w:val="0004014B"/>
    <w:rsid w:val="00040273"/>
    <w:rsid w:val="0004031D"/>
    <w:rsid w:val="0004052C"/>
    <w:rsid w:val="000405C9"/>
    <w:rsid w:val="00040686"/>
    <w:rsid w:val="0004069F"/>
    <w:rsid w:val="00040896"/>
    <w:rsid w:val="00040CA0"/>
    <w:rsid w:val="00040E1D"/>
    <w:rsid w:val="00040E55"/>
    <w:rsid w:val="00040E98"/>
    <w:rsid w:val="0004115A"/>
    <w:rsid w:val="00041224"/>
    <w:rsid w:val="0004155B"/>
    <w:rsid w:val="000415AB"/>
    <w:rsid w:val="000416EE"/>
    <w:rsid w:val="000417DC"/>
    <w:rsid w:val="00041922"/>
    <w:rsid w:val="00041C08"/>
    <w:rsid w:val="00041D6A"/>
    <w:rsid w:val="00041DD1"/>
    <w:rsid w:val="00041FC9"/>
    <w:rsid w:val="000420E0"/>
    <w:rsid w:val="000425D4"/>
    <w:rsid w:val="0004269C"/>
    <w:rsid w:val="00042754"/>
    <w:rsid w:val="00042B1A"/>
    <w:rsid w:val="00042C0B"/>
    <w:rsid w:val="00042C26"/>
    <w:rsid w:val="00042C29"/>
    <w:rsid w:val="00042CA2"/>
    <w:rsid w:val="00042CB6"/>
    <w:rsid w:val="00042D05"/>
    <w:rsid w:val="00042E21"/>
    <w:rsid w:val="00042F4E"/>
    <w:rsid w:val="000431F5"/>
    <w:rsid w:val="00043267"/>
    <w:rsid w:val="00043273"/>
    <w:rsid w:val="000432EE"/>
    <w:rsid w:val="000435DA"/>
    <w:rsid w:val="00043647"/>
    <w:rsid w:val="0004386E"/>
    <w:rsid w:val="00043B0D"/>
    <w:rsid w:val="00043CB0"/>
    <w:rsid w:val="00043DEE"/>
    <w:rsid w:val="000446A4"/>
    <w:rsid w:val="00044A0E"/>
    <w:rsid w:val="00044F1B"/>
    <w:rsid w:val="00045049"/>
    <w:rsid w:val="0004518C"/>
    <w:rsid w:val="00045240"/>
    <w:rsid w:val="000454C4"/>
    <w:rsid w:val="00045774"/>
    <w:rsid w:val="00045775"/>
    <w:rsid w:val="000457C9"/>
    <w:rsid w:val="00045812"/>
    <w:rsid w:val="00045A8B"/>
    <w:rsid w:val="00045D00"/>
    <w:rsid w:val="00045D74"/>
    <w:rsid w:val="00045DC6"/>
    <w:rsid w:val="00045DD3"/>
    <w:rsid w:val="00045EA5"/>
    <w:rsid w:val="000460DF"/>
    <w:rsid w:val="000462B3"/>
    <w:rsid w:val="000463D4"/>
    <w:rsid w:val="000466ED"/>
    <w:rsid w:val="000467A5"/>
    <w:rsid w:val="00046861"/>
    <w:rsid w:val="00046894"/>
    <w:rsid w:val="000468B4"/>
    <w:rsid w:val="00046A4D"/>
    <w:rsid w:val="00046D84"/>
    <w:rsid w:val="00046D9B"/>
    <w:rsid w:val="00046DE3"/>
    <w:rsid w:val="00046FA8"/>
    <w:rsid w:val="00047046"/>
    <w:rsid w:val="00047103"/>
    <w:rsid w:val="00047534"/>
    <w:rsid w:val="000476A5"/>
    <w:rsid w:val="000476AA"/>
    <w:rsid w:val="000476D7"/>
    <w:rsid w:val="00047C2E"/>
    <w:rsid w:val="00047D4B"/>
    <w:rsid w:val="00047DC5"/>
    <w:rsid w:val="000500F1"/>
    <w:rsid w:val="00050108"/>
    <w:rsid w:val="000506D3"/>
    <w:rsid w:val="0005077A"/>
    <w:rsid w:val="0005093E"/>
    <w:rsid w:val="00050A43"/>
    <w:rsid w:val="00050ACA"/>
    <w:rsid w:val="00050E59"/>
    <w:rsid w:val="00050ECC"/>
    <w:rsid w:val="00051160"/>
    <w:rsid w:val="000513BD"/>
    <w:rsid w:val="00051411"/>
    <w:rsid w:val="0005149D"/>
    <w:rsid w:val="00051762"/>
    <w:rsid w:val="00051C7C"/>
    <w:rsid w:val="00051CB9"/>
    <w:rsid w:val="00051DFD"/>
    <w:rsid w:val="000521EC"/>
    <w:rsid w:val="0005232E"/>
    <w:rsid w:val="00052384"/>
    <w:rsid w:val="00052392"/>
    <w:rsid w:val="00052490"/>
    <w:rsid w:val="0005255D"/>
    <w:rsid w:val="00052642"/>
    <w:rsid w:val="0005272E"/>
    <w:rsid w:val="0005290F"/>
    <w:rsid w:val="0005294E"/>
    <w:rsid w:val="000529E6"/>
    <w:rsid w:val="00052A7E"/>
    <w:rsid w:val="00052D28"/>
    <w:rsid w:val="00052E14"/>
    <w:rsid w:val="00052ED6"/>
    <w:rsid w:val="0005304A"/>
    <w:rsid w:val="000530A9"/>
    <w:rsid w:val="000530D8"/>
    <w:rsid w:val="0005356C"/>
    <w:rsid w:val="00053590"/>
    <w:rsid w:val="0005367F"/>
    <w:rsid w:val="000536A5"/>
    <w:rsid w:val="000536AA"/>
    <w:rsid w:val="00053769"/>
    <w:rsid w:val="000537FE"/>
    <w:rsid w:val="0005382B"/>
    <w:rsid w:val="00053A30"/>
    <w:rsid w:val="00053A8D"/>
    <w:rsid w:val="00053B0F"/>
    <w:rsid w:val="00053C52"/>
    <w:rsid w:val="00053D5A"/>
    <w:rsid w:val="00053DAF"/>
    <w:rsid w:val="00054254"/>
    <w:rsid w:val="0005428F"/>
    <w:rsid w:val="0005468F"/>
    <w:rsid w:val="0005472C"/>
    <w:rsid w:val="000547C8"/>
    <w:rsid w:val="000547EC"/>
    <w:rsid w:val="000548EE"/>
    <w:rsid w:val="00054C99"/>
    <w:rsid w:val="00054EAB"/>
    <w:rsid w:val="000551A2"/>
    <w:rsid w:val="0005527A"/>
    <w:rsid w:val="000552AB"/>
    <w:rsid w:val="000553D1"/>
    <w:rsid w:val="000555E4"/>
    <w:rsid w:val="00055688"/>
    <w:rsid w:val="000557B7"/>
    <w:rsid w:val="00055868"/>
    <w:rsid w:val="00055E08"/>
    <w:rsid w:val="00055EA5"/>
    <w:rsid w:val="00056118"/>
    <w:rsid w:val="00056206"/>
    <w:rsid w:val="0005625A"/>
    <w:rsid w:val="000562F9"/>
    <w:rsid w:val="00056501"/>
    <w:rsid w:val="0005684C"/>
    <w:rsid w:val="000568F7"/>
    <w:rsid w:val="0005692E"/>
    <w:rsid w:val="00056931"/>
    <w:rsid w:val="00056A45"/>
    <w:rsid w:val="00056E3E"/>
    <w:rsid w:val="00056F37"/>
    <w:rsid w:val="00056FFC"/>
    <w:rsid w:val="000570C0"/>
    <w:rsid w:val="00057179"/>
    <w:rsid w:val="00057463"/>
    <w:rsid w:val="000574EC"/>
    <w:rsid w:val="00057792"/>
    <w:rsid w:val="0005789D"/>
    <w:rsid w:val="00057C4D"/>
    <w:rsid w:val="00057CE2"/>
    <w:rsid w:val="00057D9A"/>
    <w:rsid w:val="000602CF"/>
    <w:rsid w:val="0006031E"/>
    <w:rsid w:val="00060570"/>
    <w:rsid w:val="00060599"/>
    <w:rsid w:val="000605A6"/>
    <w:rsid w:val="0006071D"/>
    <w:rsid w:val="000607B7"/>
    <w:rsid w:val="00060A2C"/>
    <w:rsid w:val="00060C53"/>
    <w:rsid w:val="00060C86"/>
    <w:rsid w:val="00060DEB"/>
    <w:rsid w:val="00060E08"/>
    <w:rsid w:val="000611DE"/>
    <w:rsid w:val="00061251"/>
    <w:rsid w:val="00061451"/>
    <w:rsid w:val="0006155E"/>
    <w:rsid w:val="00061595"/>
    <w:rsid w:val="000615CA"/>
    <w:rsid w:val="00061655"/>
    <w:rsid w:val="000616E2"/>
    <w:rsid w:val="00061791"/>
    <w:rsid w:val="000617FF"/>
    <w:rsid w:val="000618BC"/>
    <w:rsid w:val="00061C34"/>
    <w:rsid w:val="00061C87"/>
    <w:rsid w:val="00061D0B"/>
    <w:rsid w:val="00061D43"/>
    <w:rsid w:val="00061D67"/>
    <w:rsid w:val="00062300"/>
    <w:rsid w:val="0006269C"/>
    <w:rsid w:val="00062A9B"/>
    <w:rsid w:val="00062B4C"/>
    <w:rsid w:val="00062D5B"/>
    <w:rsid w:val="00062E09"/>
    <w:rsid w:val="00062E19"/>
    <w:rsid w:val="00063321"/>
    <w:rsid w:val="000634C7"/>
    <w:rsid w:val="00063688"/>
    <w:rsid w:val="00063A97"/>
    <w:rsid w:val="000640F7"/>
    <w:rsid w:val="0006411F"/>
    <w:rsid w:val="00064706"/>
    <w:rsid w:val="000648D4"/>
    <w:rsid w:val="0006495B"/>
    <w:rsid w:val="00064B93"/>
    <w:rsid w:val="00064C39"/>
    <w:rsid w:val="00064DA8"/>
    <w:rsid w:val="00064DEF"/>
    <w:rsid w:val="00064E9D"/>
    <w:rsid w:val="0006509E"/>
    <w:rsid w:val="000653FF"/>
    <w:rsid w:val="00065532"/>
    <w:rsid w:val="000655FE"/>
    <w:rsid w:val="0006568D"/>
    <w:rsid w:val="000656FE"/>
    <w:rsid w:val="00065871"/>
    <w:rsid w:val="00065967"/>
    <w:rsid w:val="000659DE"/>
    <w:rsid w:val="00065AF3"/>
    <w:rsid w:val="00065C29"/>
    <w:rsid w:val="00065FB8"/>
    <w:rsid w:val="00065FF8"/>
    <w:rsid w:val="00066075"/>
    <w:rsid w:val="00066136"/>
    <w:rsid w:val="00066187"/>
    <w:rsid w:val="000661AF"/>
    <w:rsid w:val="000661EC"/>
    <w:rsid w:val="000664FC"/>
    <w:rsid w:val="00066789"/>
    <w:rsid w:val="000667F3"/>
    <w:rsid w:val="00066809"/>
    <w:rsid w:val="00066859"/>
    <w:rsid w:val="000668C4"/>
    <w:rsid w:val="00066A3C"/>
    <w:rsid w:val="00066C00"/>
    <w:rsid w:val="00066F85"/>
    <w:rsid w:val="00067103"/>
    <w:rsid w:val="00067203"/>
    <w:rsid w:val="000673F2"/>
    <w:rsid w:val="000674C0"/>
    <w:rsid w:val="00067506"/>
    <w:rsid w:val="00067708"/>
    <w:rsid w:val="00067781"/>
    <w:rsid w:val="000678F5"/>
    <w:rsid w:val="00067BD3"/>
    <w:rsid w:val="00067BE1"/>
    <w:rsid w:val="00067BE8"/>
    <w:rsid w:val="00070165"/>
    <w:rsid w:val="000703E4"/>
    <w:rsid w:val="0007056E"/>
    <w:rsid w:val="00070686"/>
    <w:rsid w:val="00070693"/>
    <w:rsid w:val="00070796"/>
    <w:rsid w:val="000707B4"/>
    <w:rsid w:val="000708E2"/>
    <w:rsid w:val="0007115A"/>
    <w:rsid w:val="000711E3"/>
    <w:rsid w:val="000713A5"/>
    <w:rsid w:val="000713C5"/>
    <w:rsid w:val="0007153A"/>
    <w:rsid w:val="00071628"/>
    <w:rsid w:val="00071787"/>
    <w:rsid w:val="0007180F"/>
    <w:rsid w:val="0007181F"/>
    <w:rsid w:val="000718B5"/>
    <w:rsid w:val="00071977"/>
    <w:rsid w:val="00071AA2"/>
    <w:rsid w:val="00071B4B"/>
    <w:rsid w:val="00071BB2"/>
    <w:rsid w:val="00071D42"/>
    <w:rsid w:val="000721F0"/>
    <w:rsid w:val="00072358"/>
    <w:rsid w:val="00072446"/>
    <w:rsid w:val="000725EE"/>
    <w:rsid w:val="0007273F"/>
    <w:rsid w:val="00072997"/>
    <w:rsid w:val="000729C7"/>
    <w:rsid w:val="00072A49"/>
    <w:rsid w:val="00072DBD"/>
    <w:rsid w:val="000733F8"/>
    <w:rsid w:val="00073707"/>
    <w:rsid w:val="00073780"/>
    <w:rsid w:val="000738D4"/>
    <w:rsid w:val="000739F2"/>
    <w:rsid w:val="00073B66"/>
    <w:rsid w:val="00073D63"/>
    <w:rsid w:val="00073F93"/>
    <w:rsid w:val="00074085"/>
    <w:rsid w:val="0007429B"/>
    <w:rsid w:val="000742D9"/>
    <w:rsid w:val="0007434C"/>
    <w:rsid w:val="000743C7"/>
    <w:rsid w:val="0007468D"/>
    <w:rsid w:val="00074C28"/>
    <w:rsid w:val="00074F53"/>
    <w:rsid w:val="00074FF4"/>
    <w:rsid w:val="0007503B"/>
    <w:rsid w:val="000750D4"/>
    <w:rsid w:val="0007521E"/>
    <w:rsid w:val="000752A0"/>
    <w:rsid w:val="000752AA"/>
    <w:rsid w:val="000754B5"/>
    <w:rsid w:val="000754BD"/>
    <w:rsid w:val="000755DC"/>
    <w:rsid w:val="0007563D"/>
    <w:rsid w:val="000757F4"/>
    <w:rsid w:val="00075926"/>
    <w:rsid w:val="00075952"/>
    <w:rsid w:val="00075D32"/>
    <w:rsid w:val="00075D9C"/>
    <w:rsid w:val="00075E37"/>
    <w:rsid w:val="00075F27"/>
    <w:rsid w:val="00076099"/>
    <w:rsid w:val="000762C8"/>
    <w:rsid w:val="000762CB"/>
    <w:rsid w:val="00076727"/>
    <w:rsid w:val="00076A11"/>
    <w:rsid w:val="00076CAF"/>
    <w:rsid w:val="00076E9F"/>
    <w:rsid w:val="00076EC0"/>
    <w:rsid w:val="00076F98"/>
    <w:rsid w:val="0007706C"/>
    <w:rsid w:val="00077151"/>
    <w:rsid w:val="00077268"/>
    <w:rsid w:val="000774B5"/>
    <w:rsid w:val="000774B7"/>
    <w:rsid w:val="00077544"/>
    <w:rsid w:val="000776BF"/>
    <w:rsid w:val="000776CE"/>
    <w:rsid w:val="00077733"/>
    <w:rsid w:val="00077914"/>
    <w:rsid w:val="00077937"/>
    <w:rsid w:val="00077B56"/>
    <w:rsid w:val="00077BD8"/>
    <w:rsid w:val="00077C02"/>
    <w:rsid w:val="00077D75"/>
    <w:rsid w:val="00077E6A"/>
    <w:rsid w:val="0008010E"/>
    <w:rsid w:val="000801B9"/>
    <w:rsid w:val="00080673"/>
    <w:rsid w:val="00080957"/>
    <w:rsid w:val="00080CD5"/>
    <w:rsid w:val="00080DAD"/>
    <w:rsid w:val="000814C5"/>
    <w:rsid w:val="00081581"/>
    <w:rsid w:val="00081594"/>
    <w:rsid w:val="00081665"/>
    <w:rsid w:val="000816EB"/>
    <w:rsid w:val="0008197E"/>
    <w:rsid w:val="00081B0C"/>
    <w:rsid w:val="00081BC4"/>
    <w:rsid w:val="00081C40"/>
    <w:rsid w:val="00081DD3"/>
    <w:rsid w:val="00081F67"/>
    <w:rsid w:val="0008208D"/>
    <w:rsid w:val="00082145"/>
    <w:rsid w:val="000822BD"/>
    <w:rsid w:val="000822E7"/>
    <w:rsid w:val="000824FC"/>
    <w:rsid w:val="0008261F"/>
    <w:rsid w:val="0008293D"/>
    <w:rsid w:val="000829BC"/>
    <w:rsid w:val="00082B38"/>
    <w:rsid w:val="00082B66"/>
    <w:rsid w:val="00082C7A"/>
    <w:rsid w:val="00082D62"/>
    <w:rsid w:val="0008322B"/>
    <w:rsid w:val="0008333D"/>
    <w:rsid w:val="00083405"/>
    <w:rsid w:val="0008351B"/>
    <w:rsid w:val="00083546"/>
    <w:rsid w:val="0008356C"/>
    <w:rsid w:val="000835C0"/>
    <w:rsid w:val="0008366A"/>
    <w:rsid w:val="00083674"/>
    <w:rsid w:val="000836F8"/>
    <w:rsid w:val="0008397E"/>
    <w:rsid w:val="00083B41"/>
    <w:rsid w:val="00083B74"/>
    <w:rsid w:val="00083CCD"/>
    <w:rsid w:val="00083CFC"/>
    <w:rsid w:val="000840B6"/>
    <w:rsid w:val="00084113"/>
    <w:rsid w:val="0008413E"/>
    <w:rsid w:val="00084157"/>
    <w:rsid w:val="000842BC"/>
    <w:rsid w:val="000843C0"/>
    <w:rsid w:val="00084458"/>
    <w:rsid w:val="00084502"/>
    <w:rsid w:val="00084563"/>
    <w:rsid w:val="00084692"/>
    <w:rsid w:val="00084707"/>
    <w:rsid w:val="0008471D"/>
    <w:rsid w:val="00084899"/>
    <w:rsid w:val="0008492E"/>
    <w:rsid w:val="0008499B"/>
    <w:rsid w:val="00085013"/>
    <w:rsid w:val="00085075"/>
    <w:rsid w:val="000852C1"/>
    <w:rsid w:val="0008550F"/>
    <w:rsid w:val="000855BB"/>
    <w:rsid w:val="000855E4"/>
    <w:rsid w:val="00085697"/>
    <w:rsid w:val="000857CD"/>
    <w:rsid w:val="00085830"/>
    <w:rsid w:val="00085882"/>
    <w:rsid w:val="00085978"/>
    <w:rsid w:val="00085AA6"/>
    <w:rsid w:val="00085FFC"/>
    <w:rsid w:val="000860AA"/>
    <w:rsid w:val="00086608"/>
    <w:rsid w:val="00086631"/>
    <w:rsid w:val="0008668D"/>
    <w:rsid w:val="000869C7"/>
    <w:rsid w:val="000869ED"/>
    <w:rsid w:val="00086A4B"/>
    <w:rsid w:val="00086B38"/>
    <w:rsid w:val="00086B81"/>
    <w:rsid w:val="00086C2C"/>
    <w:rsid w:val="00086D4A"/>
    <w:rsid w:val="00086FFF"/>
    <w:rsid w:val="00087234"/>
    <w:rsid w:val="000874D5"/>
    <w:rsid w:val="000874FA"/>
    <w:rsid w:val="000875B0"/>
    <w:rsid w:val="000875F5"/>
    <w:rsid w:val="000877DA"/>
    <w:rsid w:val="00087952"/>
    <w:rsid w:val="00087C87"/>
    <w:rsid w:val="00087CD5"/>
    <w:rsid w:val="00087CE1"/>
    <w:rsid w:val="00087DC3"/>
    <w:rsid w:val="00087F4E"/>
    <w:rsid w:val="00087F96"/>
    <w:rsid w:val="00090481"/>
    <w:rsid w:val="0009049A"/>
    <w:rsid w:val="000904EB"/>
    <w:rsid w:val="00090602"/>
    <w:rsid w:val="000908AB"/>
    <w:rsid w:val="000908B8"/>
    <w:rsid w:val="00090979"/>
    <w:rsid w:val="00090AB2"/>
    <w:rsid w:val="00090AF7"/>
    <w:rsid w:val="00090B59"/>
    <w:rsid w:val="00090E98"/>
    <w:rsid w:val="00090F25"/>
    <w:rsid w:val="000911A6"/>
    <w:rsid w:val="00091218"/>
    <w:rsid w:val="000912F3"/>
    <w:rsid w:val="00091370"/>
    <w:rsid w:val="00091655"/>
    <w:rsid w:val="0009196D"/>
    <w:rsid w:val="00091A1A"/>
    <w:rsid w:val="00091A1F"/>
    <w:rsid w:val="00091BE7"/>
    <w:rsid w:val="00091D2D"/>
    <w:rsid w:val="00091DCB"/>
    <w:rsid w:val="00091DDD"/>
    <w:rsid w:val="00091E53"/>
    <w:rsid w:val="0009222C"/>
    <w:rsid w:val="000923AE"/>
    <w:rsid w:val="000923F9"/>
    <w:rsid w:val="00092565"/>
    <w:rsid w:val="00092785"/>
    <w:rsid w:val="000927A9"/>
    <w:rsid w:val="00092899"/>
    <w:rsid w:val="0009295A"/>
    <w:rsid w:val="00092CAC"/>
    <w:rsid w:val="00092E52"/>
    <w:rsid w:val="00092E90"/>
    <w:rsid w:val="00092EC6"/>
    <w:rsid w:val="00092FB5"/>
    <w:rsid w:val="00093085"/>
    <w:rsid w:val="000930B5"/>
    <w:rsid w:val="000930EF"/>
    <w:rsid w:val="000932F4"/>
    <w:rsid w:val="00093599"/>
    <w:rsid w:val="00093740"/>
    <w:rsid w:val="00093773"/>
    <w:rsid w:val="0009389E"/>
    <w:rsid w:val="00093B64"/>
    <w:rsid w:val="00093BD4"/>
    <w:rsid w:val="00093E32"/>
    <w:rsid w:val="00093F13"/>
    <w:rsid w:val="00093F29"/>
    <w:rsid w:val="00093F97"/>
    <w:rsid w:val="000941CA"/>
    <w:rsid w:val="00094339"/>
    <w:rsid w:val="0009439F"/>
    <w:rsid w:val="00094556"/>
    <w:rsid w:val="00094732"/>
    <w:rsid w:val="00094845"/>
    <w:rsid w:val="0009484E"/>
    <w:rsid w:val="00094A47"/>
    <w:rsid w:val="00094CA5"/>
    <w:rsid w:val="00094E09"/>
    <w:rsid w:val="0009500E"/>
    <w:rsid w:val="00095352"/>
    <w:rsid w:val="0009540F"/>
    <w:rsid w:val="00095B3C"/>
    <w:rsid w:val="00095B66"/>
    <w:rsid w:val="00095D03"/>
    <w:rsid w:val="00095D7B"/>
    <w:rsid w:val="00095E6B"/>
    <w:rsid w:val="00095EEC"/>
    <w:rsid w:val="00096239"/>
    <w:rsid w:val="000963C2"/>
    <w:rsid w:val="00096413"/>
    <w:rsid w:val="000964F1"/>
    <w:rsid w:val="00096551"/>
    <w:rsid w:val="0009660F"/>
    <w:rsid w:val="00096730"/>
    <w:rsid w:val="0009674E"/>
    <w:rsid w:val="000968DB"/>
    <w:rsid w:val="000968F2"/>
    <w:rsid w:val="000969BD"/>
    <w:rsid w:val="00096E2E"/>
    <w:rsid w:val="00096F76"/>
    <w:rsid w:val="00096FE5"/>
    <w:rsid w:val="0009708A"/>
    <w:rsid w:val="00097165"/>
    <w:rsid w:val="000973C8"/>
    <w:rsid w:val="000973FD"/>
    <w:rsid w:val="00097468"/>
    <w:rsid w:val="0009756D"/>
    <w:rsid w:val="000975C9"/>
    <w:rsid w:val="000977EC"/>
    <w:rsid w:val="00097842"/>
    <w:rsid w:val="00097B4F"/>
    <w:rsid w:val="00097C5C"/>
    <w:rsid w:val="00097E3E"/>
    <w:rsid w:val="00097EA3"/>
    <w:rsid w:val="00097F42"/>
    <w:rsid w:val="000A03CA"/>
    <w:rsid w:val="000A0504"/>
    <w:rsid w:val="000A087B"/>
    <w:rsid w:val="000A0A11"/>
    <w:rsid w:val="000A0C74"/>
    <w:rsid w:val="000A0D61"/>
    <w:rsid w:val="000A0DF0"/>
    <w:rsid w:val="000A0EDF"/>
    <w:rsid w:val="000A11F8"/>
    <w:rsid w:val="000A1299"/>
    <w:rsid w:val="000A12F5"/>
    <w:rsid w:val="000A13C5"/>
    <w:rsid w:val="000A1543"/>
    <w:rsid w:val="000A172B"/>
    <w:rsid w:val="000A1917"/>
    <w:rsid w:val="000A193C"/>
    <w:rsid w:val="000A1A30"/>
    <w:rsid w:val="000A1A5E"/>
    <w:rsid w:val="000A1B3F"/>
    <w:rsid w:val="000A1B61"/>
    <w:rsid w:val="000A1E94"/>
    <w:rsid w:val="000A1F64"/>
    <w:rsid w:val="000A20E8"/>
    <w:rsid w:val="000A2146"/>
    <w:rsid w:val="000A2147"/>
    <w:rsid w:val="000A22B9"/>
    <w:rsid w:val="000A23BA"/>
    <w:rsid w:val="000A2406"/>
    <w:rsid w:val="000A2410"/>
    <w:rsid w:val="000A2438"/>
    <w:rsid w:val="000A24A0"/>
    <w:rsid w:val="000A2824"/>
    <w:rsid w:val="000A28C7"/>
    <w:rsid w:val="000A29FC"/>
    <w:rsid w:val="000A2AA9"/>
    <w:rsid w:val="000A2AFF"/>
    <w:rsid w:val="000A2B05"/>
    <w:rsid w:val="000A2C10"/>
    <w:rsid w:val="000A2C4E"/>
    <w:rsid w:val="000A2F18"/>
    <w:rsid w:val="000A3071"/>
    <w:rsid w:val="000A3256"/>
    <w:rsid w:val="000A3409"/>
    <w:rsid w:val="000A34D0"/>
    <w:rsid w:val="000A37CD"/>
    <w:rsid w:val="000A38B8"/>
    <w:rsid w:val="000A38D4"/>
    <w:rsid w:val="000A39AE"/>
    <w:rsid w:val="000A3A50"/>
    <w:rsid w:val="000A3A94"/>
    <w:rsid w:val="000A3C34"/>
    <w:rsid w:val="000A3FCE"/>
    <w:rsid w:val="000A4036"/>
    <w:rsid w:val="000A411A"/>
    <w:rsid w:val="000A41D0"/>
    <w:rsid w:val="000A434C"/>
    <w:rsid w:val="000A43BB"/>
    <w:rsid w:val="000A441F"/>
    <w:rsid w:val="000A449F"/>
    <w:rsid w:val="000A4519"/>
    <w:rsid w:val="000A48DC"/>
    <w:rsid w:val="000A48F4"/>
    <w:rsid w:val="000A4A4F"/>
    <w:rsid w:val="000A4BED"/>
    <w:rsid w:val="000A4EDF"/>
    <w:rsid w:val="000A50C0"/>
    <w:rsid w:val="000A51C2"/>
    <w:rsid w:val="000A52EF"/>
    <w:rsid w:val="000A5350"/>
    <w:rsid w:val="000A56F2"/>
    <w:rsid w:val="000A581C"/>
    <w:rsid w:val="000A584D"/>
    <w:rsid w:val="000A59EE"/>
    <w:rsid w:val="000A5BB4"/>
    <w:rsid w:val="000A5CD6"/>
    <w:rsid w:val="000A5D47"/>
    <w:rsid w:val="000A5E9B"/>
    <w:rsid w:val="000A6493"/>
    <w:rsid w:val="000A64F6"/>
    <w:rsid w:val="000A677C"/>
    <w:rsid w:val="000A68A8"/>
    <w:rsid w:val="000A69D1"/>
    <w:rsid w:val="000A6A2B"/>
    <w:rsid w:val="000A6E05"/>
    <w:rsid w:val="000A7031"/>
    <w:rsid w:val="000A707B"/>
    <w:rsid w:val="000A7202"/>
    <w:rsid w:val="000A7232"/>
    <w:rsid w:val="000A7285"/>
    <w:rsid w:val="000A72E1"/>
    <w:rsid w:val="000A733E"/>
    <w:rsid w:val="000A75C2"/>
    <w:rsid w:val="000A7636"/>
    <w:rsid w:val="000A77AA"/>
    <w:rsid w:val="000A785B"/>
    <w:rsid w:val="000A7982"/>
    <w:rsid w:val="000A7AB1"/>
    <w:rsid w:val="000A7CF0"/>
    <w:rsid w:val="000B00D9"/>
    <w:rsid w:val="000B0613"/>
    <w:rsid w:val="000B072F"/>
    <w:rsid w:val="000B0947"/>
    <w:rsid w:val="000B0B76"/>
    <w:rsid w:val="000B0CD4"/>
    <w:rsid w:val="000B0FFE"/>
    <w:rsid w:val="000B105A"/>
    <w:rsid w:val="000B12FA"/>
    <w:rsid w:val="000B1404"/>
    <w:rsid w:val="000B14B3"/>
    <w:rsid w:val="000B14FC"/>
    <w:rsid w:val="000B1598"/>
    <w:rsid w:val="000B174E"/>
    <w:rsid w:val="000B1913"/>
    <w:rsid w:val="000B1B4D"/>
    <w:rsid w:val="000B1C98"/>
    <w:rsid w:val="000B1CDA"/>
    <w:rsid w:val="000B1D1D"/>
    <w:rsid w:val="000B23BB"/>
    <w:rsid w:val="000B2659"/>
    <w:rsid w:val="000B28E1"/>
    <w:rsid w:val="000B2C30"/>
    <w:rsid w:val="000B2F0F"/>
    <w:rsid w:val="000B3206"/>
    <w:rsid w:val="000B3581"/>
    <w:rsid w:val="000B35B1"/>
    <w:rsid w:val="000B368D"/>
    <w:rsid w:val="000B3855"/>
    <w:rsid w:val="000B38C6"/>
    <w:rsid w:val="000B3C7B"/>
    <w:rsid w:val="000B3D4F"/>
    <w:rsid w:val="000B3EC1"/>
    <w:rsid w:val="000B3F52"/>
    <w:rsid w:val="000B3F6B"/>
    <w:rsid w:val="000B40B2"/>
    <w:rsid w:val="000B421E"/>
    <w:rsid w:val="000B433F"/>
    <w:rsid w:val="000B43A1"/>
    <w:rsid w:val="000B4460"/>
    <w:rsid w:val="000B44FF"/>
    <w:rsid w:val="000B4608"/>
    <w:rsid w:val="000B4723"/>
    <w:rsid w:val="000B4733"/>
    <w:rsid w:val="000B47C0"/>
    <w:rsid w:val="000B4815"/>
    <w:rsid w:val="000B4A3F"/>
    <w:rsid w:val="000B4BC0"/>
    <w:rsid w:val="000B4D61"/>
    <w:rsid w:val="000B4D9F"/>
    <w:rsid w:val="000B4E0D"/>
    <w:rsid w:val="000B4E4D"/>
    <w:rsid w:val="000B4ED1"/>
    <w:rsid w:val="000B4F06"/>
    <w:rsid w:val="000B5072"/>
    <w:rsid w:val="000B50F8"/>
    <w:rsid w:val="000B549A"/>
    <w:rsid w:val="000B54B3"/>
    <w:rsid w:val="000B54B5"/>
    <w:rsid w:val="000B55E6"/>
    <w:rsid w:val="000B5636"/>
    <w:rsid w:val="000B567C"/>
    <w:rsid w:val="000B57A8"/>
    <w:rsid w:val="000B5CA0"/>
    <w:rsid w:val="000B5EAC"/>
    <w:rsid w:val="000B5F43"/>
    <w:rsid w:val="000B6150"/>
    <w:rsid w:val="000B61E2"/>
    <w:rsid w:val="000B6342"/>
    <w:rsid w:val="000B63C2"/>
    <w:rsid w:val="000B67AA"/>
    <w:rsid w:val="000B6B0C"/>
    <w:rsid w:val="000B6B5E"/>
    <w:rsid w:val="000B6C55"/>
    <w:rsid w:val="000B6CA7"/>
    <w:rsid w:val="000B6D01"/>
    <w:rsid w:val="000B6D78"/>
    <w:rsid w:val="000B6D8F"/>
    <w:rsid w:val="000B6F48"/>
    <w:rsid w:val="000B6F92"/>
    <w:rsid w:val="000B7382"/>
    <w:rsid w:val="000B748C"/>
    <w:rsid w:val="000B79BE"/>
    <w:rsid w:val="000B7A8E"/>
    <w:rsid w:val="000B7C18"/>
    <w:rsid w:val="000C0212"/>
    <w:rsid w:val="000C0237"/>
    <w:rsid w:val="000C0264"/>
    <w:rsid w:val="000C034C"/>
    <w:rsid w:val="000C05A1"/>
    <w:rsid w:val="000C05ED"/>
    <w:rsid w:val="000C08BF"/>
    <w:rsid w:val="000C09DD"/>
    <w:rsid w:val="000C0A00"/>
    <w:rsid w:val="000C0BD5"/>
    <w:rsid w:val="000C0D2F"/>
    <w:rsid w:val="000C0DE1"/>
    <w:rsid w:val="000C101B"/>
    <w:rsid w:val="000C10E9"/>
    <w:rsid w:val="000C113C"/>
    <w:rsid w:val="000C1562"/>
    <w:rsid w:val="000C160E"/>
    <w:rsid w:val="000C1652"/>
    <w:rsid w:val="000C1725"/>
    <w:rsid w:val="000C1771"/>
    <w:rsid w:val="000C1D0E"/>
    <w:rsid w:val="000C1E1E"/>
    <w:rsid w:val="000C278C"/>
    <w:rsid w:val="000C2817"/>
    <w:rsid w:val="000C2844"/>
    <w:rsid w:val="000C29B1"/>
    <w:rsid w:val="000C2A86"/>
    <w:rsid w:val="000C2AC0"/>
    <w:rsid w:val="000C2C0D"/>
    <w:rsid w:val="000C2D35"/>
    <w:rsid w:val="000C2F4C"/>
    <w:rsid w:val="000C3021"/>
    <w:rsid w:val="000C326B"/>
    <w:rsid w:val="000C3325"/>
    <w:rsid w:val="000C34CC"/>
    <w:rsid w:val="000C3717"/>
    <w:rsid w:val="000C374D"/>
    <w:rsid w:val="000C38AD"/>
    <w:rsid w:val="000C3A9F"/>
    <w:rsid w:val="000C3B9A"/>
    <w:rsid w:val="000C3C38"/>
    <w:rsid w:val="000C4005"/>
    <w:rsid w:val="000C420F"/>
    <w:rsid w:val="000C42B9"/>
    <w:rsid w:val="000C47E2"/>
    <w:rsid w:val="000C4873"/>
    <w:rsid w:val="000C495B"/>
    <w:rsid w:val="000C49DF"/>
    <w:rsid w:val="000C4A1D"/>
    <w:rsid w:val="000C4ED2"/>
    <w:rsid w:val="000C4F6B"/>
    <w:rsid w:val="000C4F8C"/>
    <w:rsid w:val="000C5066"/>
    <w:rsid w:val="000C5282"/>
    <w:rsid w:val="000C5566"/>
    <w:rsid w:val="000C5576"/>
    <w:rsid w:val="000C5632"/>
    <w:rsid w:val="000C5681"/>
    <w:rsid w:val="000C57F8"/>
    <w:rsid w:val="000C5988"/>
    <w:rsid w:val="000C59EC"/>
    <w:rsid w:val="000C5C0F"/>
    <w:rsid w:val="000C5C35"/>
    <w:rsid w:val="000C5D85"/>
    <w:rsid w:val="000C6186"/>
    <w:rsid w:val="000C621A"/>
    <w:rsid w:val="000C6266"/>
    <w:rsid w:val="000C638B"/>
    <w:rsid w:val="000C6570"/>
    <w:rsid w:val="000C66E0"/>
    <w:rsid w:val="000C6A13"/>
    <w:rsid w:val="000C6A9B"/>
    <w:rsid w:val="000C6ABC"/>
    <w:rsid w:val="000C6AD8"/>
    <w:rsid w:val="000C6C37"/>
    <w:rsid w:val="000C6EEF"/>
    <w:rsid w:val="000C70CB"/>
    <w:rsid w:val="000C71C7"/>
    <w:rsid w:val="000C7345"/>
    <w:rsid w:val="000C73F3"/>
    <w:rsid w:val="000C7667"/>
    <w:rsid w:val="000C7774"/>
    <w:rsid w:val="000C79BE"/>
    <w:rsid w:val="000C7EEF"/>
    <w:rsid w:val="000C7F0E"/>
    <w:rsid w:val="000D02A0"/>
    <w:rsid w:val="000D0495"/>
    <w:rsid w:val="000D053C"/>
    <w:rsid w:val="000D09B3"/>
    <w:rsid w:val="000D0B8A"/>
    <w:rsid w:val="000D0CBC"/>
    <w:rsid w:val="000D0CD5"/>
    <w:rsid w:val="000D0E18"/>
    <w:rsid w:val="000D0EDA"/>
    <w:rsid w:val="000D1213"/>
    <w:rsid w:val="000D14A0"/>
    <w:rsid w:val="000D1798"/>
    <w:rsid w:val="000D1916"/>
    <w:rsid w:val="000D1919"/>
    <w:rsid w:val="000D1A13"/>
    <w:rsid w:val="000D1A39"/>
    <w:rsid w:val="000D1B04"/>
    <w:rsid w:val="000D24C2"/>
    <w:rsid w:val="000D25A8"/>
    <w:rsid w:val="000D270F"/>
    <w:rsid w:val="000D2717"/>
    <w:rsid w:val="000D28F3"/>
    <w:rsid w:val="000D29DF"/>
    <w:rsid w:val="000D2BD4"/>
    <w:rsid w:val="000D2DB2"/>
    <w:rsid w:val="000D2E82"/>
    <w:rsid w:val="000D2EF7"/>
    <w:rsid w:val="000D304E"/>
    <w:rsid w:val="000D31DF"/>
    <w:rsid w:val="000D31FF"/>
    <w:rsid w:val="000D327E"/>
    <w:rsid w:val="000D32A0"/>
    <w:rsid w:val="000D3447"/>
    <w:rsid w:val="000D3549"/>
    <w:rsid w:val="000D3AF2"/>
    <w:rsid w:val="000D3B17"/>
    <w:rsid w:val="000D3D9E"/>
    <w:rsid w:val="000D3EB1"/>
    <w:rsid w:val="000D3F69"/>
    <w:rsid w:val="000D40EC"/>
    <w:rsid w:val="000D41F2"/>
    <w:rsid w:val="000D43ED"/>
    <w:rsid w:val="000D4466"/>
    <w:rsid w:val="000D44B1"/>
    <w:rsid w:val="000D467D"/>
    <w:rsid w:val="000D4717"/>
    <w:rsid w:val="000D48D1"/>
    <w:rsid w:val="000D4BD2"/>
    <w:rsid w:val="000D4C72"/>
    <w:rsid w:val="000D4D79"/>
    <w:rsid w:val="000D4E56"/>
    <w:rsid w:val="000D4E63"/>
    <w:rsid w:val="000D4E6E"/>
    <w:rsid w:val="000D505F"/>
    <w:rsid w:val="000D50F0"/>
    <w:rsid w:val="000D5292"/>
    <w:rsid w:val="000D5342"/>
    <w:rsid w:val="000D53A9"/>
    <w:rsid w:val="000D570D"/>
    <w:rsid w:val="000D575E"/>
    <w:rsid w:val="000D5A2C"/>
    <w:rsid w:val="000D5BA2"/>
    <w:rsid w:val="000D5BED"/>
    <w:rsid w:val="000D5BFF"/>
    <w:rsid w:val="000D5D1C"/>
    <w:rsid w:val="000D5DE2"/>
    <w:rsid w:val="000D5EFB"/>
    <w:rsid w:val="000D5FF1"/>
    <w:rsid w:val="000D61AD"/>
    <w:rsid w:val="000D663F"/>
    <w:rsid w:val="000D671A"/>
    <w:rsid w:val="000D67E8"/>
    <w:rsid w:val="000D6888"/>
    <w:rsid w:val="000D68C6"/>
    <w:rsid w:val="000D6917"/>
    <w:rsid w:val="000D6945"/>
    <w:rsid w:val="000D69BD"/>
    <w:rsid w:val="000D6AE6"/>
    <w:rsid w:val="000D6B58"/>
    <w:rsid w:val="000D6D8B"/>
    <w:rsid w:val="000D6E5C"/>
    <w:rsid w:val="000D6F7C"/>
    <w:rsid w:val="000D7157"/>
    <w:rsid w:val="000D719E"/>
    <w:rsid w:val="000D72A1"/>
    <w:rsid w:val="000D73ED"/>
    <w:rsid w:val="000D78A4"/>
    <w:rsid w:val="000D7A2B"/>
    <w:rsid w:val="000D7BED"/>
    <w:rsid w:val="000D7D94"/>
    <w:rsid w:val="000D7ED1"/>
    <w:rsid w:val="000E013E"/>
    <w:rsid w:val="000E0149"/>
    <w:rsid w:val="000E01E8"/>
    <w:rsid w:val="000E0236"/>
    <w:rsid w:val="000E026C"/>
    <w:rsid w:val="000E0472"/>
    <w:rsid w:val="000E06A4"/>
    <w:rsid w:val="000E074E"/>
    <w:rsid w:val="000E091E"/>
    <w:rsid w:val="000E0A37"/>
    <w:rsid w:val="000E0B0C"/>
    <w:rsid w:val="000E0B49"/>
    <w:rsid w:val="000E0BDB"/>
    <w:rsid w:val="000E0C1B"/>
    <w:rsid w:val="000E0F72"/>
    <w:rsid w:val="000E1044"/>
    <w:rsid w:val="000E1065"/>
    <w:rsid w:val="000E1087"/>
    <w:rsid w:val="000E10C2"/>
    <w:rsid w:val="000E10FC"/>
    <w:rsid w:val="000E123D"/>
    <w:rsid w:val="000E1491"/>
    <w:rsid w:val="000E1DA6"/>
    <w:rsid w:val="000E2630"/>
    <w:rsid w:val="000E270A"/>
    <w:rsid w:val="000E2784"/>
    <w:rsid w:val="000E286D"/>
    <w:rsid w:val="000E2900"/>
    <w:rsid w:val="000E29C7"/>
    <w:rsid w:val="000E29D3"/>
    <w:rsid w:val="000E2A3F"/>
    <w:rsid w:val="000E2BFB"/>
    <w:rsid w:val="000E2C1E"/>
    <w:rsid w:val="000E2D79"/>
    <w:rsid w:val="000E2E76"/>
    <w:rsid w:val="000E3052"/>
    <w:rsid w:val="000E3108"/>
    <w:rsid w:val="000E3602"/>
    <w:rsid w:val="000E37AF"/>
    <w:rsid w:val="000E399B"/>
    <w:rsid w:val="000E3A96"/>
    <w:rsid w:val="000E3B43"/>
    <w:rsid w:val="000E3B73"/>
    <w:rsid w:val="000E3D1B"/>
    <w:rsid w:val="000E3E3F"/>
    <w:rsid w:val="000E3E77"/>
    <w:rsid w:val="000E4111"/>
    <w:rsid w:val="000E4114"/>
    <w:rsid w:val="000E4118"/>
    <w:rsid w:val="000E4148"/>
    <w:rsid w:val="000E4150"/>
    <w:rsid w:val="000E42C6"/>
    <w:rsid w:val="000E43BD"/>
    <w:rsid w:val="000E45F9"/>
    <w:rsid w:val="000E4626"/>
    <w:rsid w:val="000E470B"/>
    <w:rsid w:val="000E486B"/>
    <w:rsid w:val="000E493C"/>
    <w:rsid w:val="000E497D"/>
    <w:rsid w:val="000E49E0"/>
    <w:rsid w:val="000E4B16"/>
    <w:rsid w:val="000E4C53"/>
    <w:rsid w:val="000E4FB0"/>
    <w:rsid w:val="000E5148"/>
    <w:rsid w:val="000E5245"/>
    <w:rsid w:val="000E52BD"/>
    <w:rsid w:val="000E53A4"/>
    <w:rsid w:val="000E5480"/>
    <w:rsid w:val="000E55F3"/>
    <w:rsid w:val="000E5961"/>
    <w:rsid w:val="000E5A1B"/>
    <w:rsid w:val="000E5A55"/>
    <w:rsid w:val="000E5AAA"/>
    <w:rsid w:val="000E5C48"/>
    <w:rsid w:val="000E6085"/>
    <w:rsid w:val="000E639D"/>
    <w:rsid w:val="000E6595"/>
    <w:rsid w:val="000E6724"/>
    <w:rsid w:val="000E6A13"/>
    <w:rsid w:val="000E6B73"/>
    <w:rsid w:val="000E6C76"/>
    <w:rsid w:val="000E6CD3"/>
    <w:rsid w:val="000E6D1B"/>
    <w:rsid w:val="000E6DE8"/>
    <w:rsid w:val="000E6E45"/>
    <w:rsid w:val="000E6E8F"/>
    <w:rsid w:val="000E6E96"/>
    <w:rsid w:val="000E6ED1"/>
    <w:rsid w:val="000E7016"/>
    <w:rsid w:val="000E7067"/>
    <w:rsid w:val="000E7074"/>
    <w:rsid w:val="000E71A8"/>
    <w:rsid w:val="000E7337"/>
    <w:rsid w:val="000E7438"/>
    <w:rsid w:val="000E7515"/>
    <w:rsid w:val="000E77A1"/>
    <w:rsid w:val="000E7848"/>
    <w:rsid w:val="000E7C5F"/>
    <w:rsid w:val="000E7DAC"/>
    <w:rsid w:val="000E7E7E"/>
    <w:rsid w:val="000F0058"/>
    <w:rsid w:val="000F007D"/>
    <w:rsid w:val="000F0129"/>
    <w:rsid w:val="000F0253"/>
    <w:rsid w:val="000F0276"/>
    <w:rsid w:val="000F02FA"/>
    <w:rsid w:val="000F0523"/>
    <w:rsid w:val="000F0621"/>
    <w:rsid w:val="000F064C"/>
    <w:rsid w:val="000F06E9"/>
    <w:rsid w:val="000F099D"/>
    <w:rsid w:val="000F0B22"/>
    <w:rsid w:val="000F0F3A"/>
    <w:rsid w:val="000F1093"/>
    <w:rsid w:val="000F114F"/>
    <w:rsid w:val="000F120F"/>
    <w:rsid w:val="000F13BC"/>
    <w:rsid w:val="000F1535"/>
    <w:rsid w:val="000F15B3"/>
    <w:rsid w:val="000F16F7"/>
    <w:rsid w:val="000F172B"/>
    <w:rsid w:val="000F186E"/>
    <w:rsid w:val="000F1A73"/>
    <w:rsid w:val="000F1A85"/>
    <w:rsid w:val="000F1CC2"/>
    <w:rsid w:val="000F1CC6"/>
    <w:rsid w:val="000F1E86"/>
    <w:rsid w:val="000F1EF5"/>
    <w:rsid w:val="000F2050"/>
    <w:rsid w:val="000F209F"/>
    <w:rsid w:val="000F2135"/>
    <w:rsid w:val="000F21B1"/>
    <w:rsid w:val="000F2240"/>
    <w:rsid w:val="000F23C0"/>
    <w:rsid w:val="000F23EC"/>
    <w:rsid w:val="000F255E"/>
    <w:rsid w:val="000F27C1"/>
    <w:rsid w:val="000F287D"/>
    <w:rsid w:val="000F28ED"/>
    <w:rsid w:val="000F2B4B"/>
    <w:rsid w:val="000F2E7B"/>
    <w:rsid w:val="000F2EDB"/>
    <w:rsid w:val="000F2F2C"/>
    <w:rsid w:val="000F2FA6"/>
    <w:rsid w:val="000F2FF5"/>
    <w:rsid w:val="000F3069"/>
    <w:rsid w:val="000F311A"/>
    <w:rsid w:val="000F3142"/>
    <w:rsid w:val="000F3235"/>
    <w:rsid w:val="000F32D5"/>
    <w:rsid w:val="000F3361"/>
    <w:rsid w:val="000F367F"/>
    <w:rsid w:val="000F38B4"/>
    <w:rsid w:val="000F38BC"/>
    <w:rsid w:val="000F3E52"/>
    <w:rsid w:val="000F3E96"/>
    <w:rsid w:val="000F3F16"/>
    <w:rsid w:val="000F4104"/>
    <w:rsid w:val="000F427B"/>
    <w:rsid w:val="000F4349"/>
    <w:rsid w:val="000F43E6"/>
    <w:rsid w:val="000F4490"/>
    <w:rsid w:val="000F4564"/>
    <w:rsid w:val="000F4793"/>
    <w:rsid w:val="000F48C6"/>
    <w:rsid w:val="000F49AA"/>
    <w:rsid w:val="000F49CE"/>
    <w:rsid w:val="000F4A37"/>
    <w:rsid w:val="000F4DBD"/>
    <w:rsid w:val="000F4E7D"/>
    <w:rsid w:val="000F4FCF"/>
    <w:rsid w:val="000F508D"/>
    <w:rsid w:val="000F53F2"/>
    <w:rsid w:val="000F5521"/>
    <w:rsid w:val="000F5696"/>
    <w:rsid w:val="000F56C5"/>
    <w:rsid w:val="000F5A2A"/>
    <w:rsid w:val="000F5B49"/>
    <w:rsid w:val="000F5DC7"/>
    <w:rsid w:val="000F5F36"/>
    <w:rsid w:val="000F60C8"/>
    <w:rsid w:val="000F61A8"/>
    <w:rsid w:val="000F63C5"/>
    <w:rsid w:val="000F646B"/>
    <w:rsid w:val="000F657D"/>
    <w:rsid w:val="000F665C"/>
    <w:rsid w:val="000F6692"/>
    <w:rsid w:val="000F67FA"/>
    <w:rsid w:val="000F6829"/>
    <w:rsid w:val="000F6858"/>
    <w:rsid w:val="000F6889"/>
    <w:rsid w:val="000F6AAA"/>
    <w:rsid w:val="000F6BD7"/>
    <w:rsid w:val="000F6C36"/>
    <w:rsid w:val="000F6CC5"/>
    <w:rsid w:val="000F6D1D"/>
    <w:rsid w:val="000F6D9F"/>
    <w:rsid w:val="000F6EC7"/>
    <w:rsid w:val="000F6F03"/>
    <w:rsid w:val="000F70F6"/>
    <w:rsid w:val="000F716E"/>
    <w:rsid w:val="000F71B7"/>
    <w:rsid w:val="000F731F"/>
    <w:rsid w:val="000F7384"/>
    <w:rsid w:val="00100171"/>
    <w:rsid w:val="00100245"/>
    <w:rsid w:val="0010024B"/>
    <w:rsid w:val="00100315"/>
    <w:rsid w:val="001004B0"/>
    <w:rsid w:val="001006B9"/>
    <w:rsid w:val="001007F4"/>
    <w:rsid w:val="001009A7"/>
    <w:rsid w:val="00100B3C"/>
    <w:rsid w:val="00100EF7"/>
    <w:rsid w:val="00101090"/>
    <w:rsid w:val="001010DE"/>
    <w:rsid w:val="00101157"/>
    <w:rsid w:val="00101309"/>
    <w:rsid w:val="0010136D"/>
    <w:rsid w:val="0010138A"/>
    <w:rsid w:val="00101B27"/>
    <w:rsid w:val="00102211"/>
    <w:rsid w:val="0010251A"/>
    <w:rsid w:val="0010251B"/>
    <w:rsid w:val="00102733"/>
    <w:rsid w:val="00102817"/>
    <w:rsid w:val="00102B35"/>
    <w:rsid w:val="00102B59"/>
    <w:rsid w:val="00102C16"/>
    <w:rsid w:val="00102C7A"/>
    <w:rsid w:val="00102CDC"/>
    <w:rsid w:val="00102DAE"/>
    <w:rsid w:val="00102E96"/>
    <w:rsid w:val="00102EC1"/>
    <w:rsid w:val="00103451"/>
    <w:rsid w:val="001034BA"/>
    <w:rsid w:val="00103545"/>
    <w:rsid w:val="00103731"/>
    <w:rsid w:val="00103876"/>
    <w:rsid w:val="00103A7B"/>
    <w:rsid w:val="00103D50"/>
    <w:rsid w:val="00103D80"/>
    <w:rsid w:val="00103E17"/>
    <w:rsid w:val="00103E73"/>
    <w:rsid w:val="00103F71"/>
    <w:rsid w:val="00103FD2"/>
    <w:rsid w:val="00104233"/>
    <w:rsid w:val="001042F0"/>
    <w:rsid w:val="001044B0"/>
    <w:rsid w:val="001044C7"/>
    <w:rsid w:val="001045BA"/>
    <w:rsid w:val="001047F8"/>
    <w:rsid w:val="001049B1"/>
    <w:rsid w:val="00104A47"/>
    <w:rsid w:val="00104AE3"/>
    <w:rsid w:val="00104DFC"/>
    <w:rsid w:val="00104E8B"/>
    <w:rsid w:val="001050CD"/>
    <w:rsid w:val="0010510E"/>
    <w:rsid w:val="0010550F"/>
    <w:rsid w:val="00105723"/>
    <w:rsid w:val="00105756"/>
    <w:rsid w:val="001059BC"/>
    <w:rsid w:val="00105A92"/>
    <w:rsid w:val="00105C00"/>
    <w:rsid w:val="00105CB0"/>
    <w:rsid w:val="00106512"/>
    <w:rsid w:val="001066DF"/>
    <w:rsid w:val="00106A45"/>
    <w:rsid w:val="00106A86"/>
    <w:rsid w:val="00106AD6"/>
    <w:rsid w:val="00106B82"/>
    <w:rsid w:val="00106D2B"/>
    <w:rsid w:val="00106D2C"/>
    <w:rsid w:val="00106D42"/>
    <w:rsid w:val="00106E19"/>
    <w:rsid w:val="00106F6D"/>
    <w:rsid w:val="001070D2"/>
    <w:rsid w:val="00107313"/>
    <w:rsid w:val="00107346"/>
    <w:rsid w:val="0010755E"/>
    <w:rsid w:val="001076E5"/>
    <w:rsid w:val="001076F6"/>
    <w:rsid w:val="00107931"/>
    <w:rsid w:val="00107966"/>
    <w:rsid w:val="00107983"/>
    <w:rsid w:val="00107EBD"/>
    <w:rsid w:val="00107F57"/>
    <w:rsid w:val="00107FDB"/>
    <w:rsid w:val="001104AF"/>
    <w:rsid w:val="00110733"/>
    <w:rsid w:val="0011081E"/>
    <w:rsid w:val="00110B38"/>
    <w:rsid w:val="00110C14"/>
    <w:rsid w:val="00110CD3"/>
    <w:rsid w:val="00110D6A"/>
    <w:rsid w:val="00111087"/>
    <w:rsid w:val="00111375"/>
    <w:rsid w:val="001116E4"/>
    <w:rsid w:val="001117A5"/>
    <w:rsid w:val="001118C7"/>
    <w:rsid w:val="00111929"/>
    <w:rsid w:val="00111965"/>
    <w:rsid w:val="00111B68"/>
    <w:rsid w:val="00111CF1"/>
    <w:rsid w:val="00111D27"/>
    <w:rsid w:val="00111D78"/>
    <w:rsid w:val="00111E30"/>
    <w:rsid w:val="00111E61"/>
    <w:rsid w:val="00112631"/>
    <w:rsid w:val="0011275F"/>
    <w:rsid w:val="00112B73"/>
    <w:rsid w:val="00112DE5"/>
    <w:rsid w:val="00112E6F"/>
    <w:rsid w:val="00113039"/>
    <w:rsid w:val="00113167"/>
    <w:rsid w:val="001132C0"/>
    <w:rsid w:val="001135EF"/>
    <w:rsid w:val="0011368E"/>
    <w:rsid w:val="00113733"/>
    <w:rsid w:val="00113794"/>
    <w:rsid w:val="00113836"/>
    <w:rsid w:val="001139E2"/>
    <w:rsid w:val="00113FDE"/>
    <w:rsid w:val="00114231"/>
    <w:rsid w:val="00114314"/>
    <w:rsid w:val="00114359"/>
    <w:rsid w:val="0011445A"/>
    <w:rsid w:val="001144CC"/>
    <w:rsid w:val="00114657"/>
    <w:rsid w:val="00114D40"/>
    <w:rsid w:val="00114F11"/>
    <w:rsid w:val="001150CC"/>
    <w:rsid w:val="00115102"/>
    <w:rsid w:val="001152C2"/>
    <w:rsid w:val="00115693"/>
    <w:rsid w:val="001158CE"/>
    <w:rsid w:val="00115972"/>
    <w:rsid w:val="00115A8B"/>
    <w:rsid w:val="00116242"/>
    <w:rsid w:val="001162C0"/>
    <w:rsid w:val="0011654C"/>
    <w:rsid w:val="001166C3"/>
    <w:rsid w:val="00116995"/>
    <w:rsid w:val="00116A16"/>
    <w:rsid w:val="00116AC5"/>
    <w:rsid w:val="00116C3F"/>
    <w:rsid w:val="001171F3"/>
    <w:rsid w:val="0011724D"/>
    <w:rsid w:val="00117259"/>
    <w:rsid w:val="00117304"/>
    <w:rsid w:val="001174C4"/>
    <w:rsid w:val="00117575"/>
    <w:rsid w:val="001177C3"/>
    <w:rsid w:val="0011786E"/>
    <w:rsid w:val="001178C1"/>
    <w:rsid w:val="0011798F"/>
    <w:rsid w:val="00117B98"/>
    <w:rsid w:val="00117C57"/>
    <w:rsid w:val="00117D8E"/>
    <w:rsid w:val="00117F3C"/>
    <w:rsid w:val="00117FC1"/>
    <w:rsid w:val="001200D8"/>
    <w:rsid w:val="00120278"/>
    <w:rsid w:val="001202BA"/>
    <w:rsid w:val="001202E8"/>
    <w:rsid w:val="001204EB"/>
    <w:rsid w:val="00120706"/>
    <w:rsid w:val="0012073F"/>
    <w:rsid w:val="00120842"/>
    <w:rsid w:val="00120FDE"/>
    <w:rsid w:val="00121039"/>
    <w:rsid w:val="0012105B"/>
    <w:rsid w:val="00121089"/>
    <w:rsid w:val="001210F2"/>
    <w:rsid w:val="00121432"/>
    <w:rsid w:val="0012143D"/>
    <w:rsid w:val="001214FF"/>
    <w:rsid w:val="00121565"/>
    <w:rsid w:val="0012167B"/>
    <w:rsid w:val="001216A6"/>
    <w:rsid w:val="00121719"/>
    <w:rsid w:val="00121940"/>
    <w:rsid w:val="00121956"/>
    <w:rsid w:val="001219B1"/>
    <w:rsid w:val="00121E99"/>
    <w:rsid w:val="00121FCB"/>
    <w:rsid w:val="00122133"/>
    <w:rsid w:val="00122319"/>
    <w:rsid w:val="001224B4"/>
    <w:rsid w:val="00122516"/>
    <w:rsid w:val="001226B3"/>
    <w:rsid w:val="00122753"/>
    <w:rsid w:val="001227B1"/>
    <w:rsid w:val="00122A48"/>
    <w:rsid w:val="00122A82"/>
    <w:rsid w:val="00122C1B"/>
    <w:rsid w:val="00122E6B"/>
    <w:rsid w:val="00122F80"/>
    <w:rsid w:val="00123124"/>
    <w:rsid w:val="00123526"/>
    <w:rsid w:val="00123BA1"/>
    <w:rsid w:val="00123BB6"/>
    <w:rsid w:val="00123C85"/>
    <w:rsid w:val="00123CF8"/>
    <w:rsid w:val="0012402D"/>
    <w:rsid w:val="00124163"/>
    <w:rsid w:val="001241CB"/>
    <w:rsid w:val="001249B3"/>
    <w:rsid w:val="00124AE5"/>
    <w:rsid w:val="00124B02"/>
    <w:rsid w:val="00124B11"/>
    <w:rsid w:val="00124B4E"/>
    <w:rsid w:val="00124B85"/>
    <w:rsid w:val="001251B5"/>
    <w:rsid w:val="001257AB"/>
    <w:rsid w:val="00125853"/>
    <w:rsid w:val="00125A79"/>
    <w:rsid w:val="00125AB8"/>
    <w:rsid w:val="00125BD8"/>
    <w:rsid w:val="00125CD2"/>
    <w:rsid w:val="00125E6F"/>
    <w:rsid w:val="00125F4C"/>
    <w:rsid w:val="001260CD"/>
    <w:rsid w:val="001260E5"/>
    <w:rsid w:val="001261B0"/>
    <w:rsid w:val="0012643C"/>
    <w:rsid w:val="00126962"/>
    <w:rsid w:val="00126B79"/>
    <w:rsid w:val="00126D6C"/>
    <w:rsid w:val="00127072"/>
    <w:rsid w:val="001270F9"/>
    <w:rsid w:val="00127340"/>
    <w:rsid w:val="001275B5"/>
    <w:rsid w:val="001279FA"/>
    <w:rsid w:val="00127A4E"/>
    <w:rsid w:val="00127A5B"/>
    <w:rsid w:val="00127AA2"/>
    <w:rsid w:val="00127F43"/>
    <w:rsid w:val="001301B9"/>
    <w:rsid w:val="001302F0"/>
    <w:rsid w:val="0013031E"/>
    <w:rsid w:val="001304DE"/>
    <w:rsid w:val="001306EE"/>
    <w:rsid w:val="00130770"/>
    <w:rsid w:val="0013081D"/>
    <w:rsid w:val="001308BC"/>
    <w:rsid w:val="001309CD"/>
    <w:rsid w:val="00130B44"/>
    <w:rsid w:val="001311CC"/>
    <w:rsid w:val="00131238"/>
    <w:rsid w:val="0013126E"/>
    <w:rsid w:val="0013136E"/>
    <w:rsid w:val="0013139A"/>
    <w:rsid w:val="001314C3"/>
    <w:rsid w:val="0013153D"/>
    <w:rsid w:val="001315C9"/>
    <w:rsid w:val="00131606"/>
    <w:rsid w:val="001316D5"/>
    <w:rsid w:val="001316DE"/>
    <w:rsid w:val="001316EC"/>
    <w:rsid w:val="00131792"/>
    <w:rsid w:val="00131855"/>
    <w:rsid w:val="00131956"/>
    <w:rsid w:val="00131A3A"/>
    <w:rsid w:val="00131F0A"/>
    <w:rsid w:val="00132024"/>
    <w:rsid w:val="001320D4"/>
    <w:rsid w:val="001322A0"/>
    <w:rsid w:val="001323EE"/>
    <w:rsid w:val="00132830"/>
    <w:rsid w:val="00132878"/>
    <w:rsid w:val="001328C3"/>
    <w:rsid w:val="00132A13"/>
    <w:rsid w:val="00132E2C"/>
    <w:rsid w:val="0013321A"/>
    <w:rsid w:val="0013351E"/>
    <w:rsid w:val="00133925"/>
    <w:rsid w:val="0013397E"/>
    <w:rsid w:val="00133C1B"/>
    <w:rsid w:val="00133E65"/>
    <w:rsid w:val="00133F6F"/>
    <w:rsid w:val="00134153"/>
    <w:rsid w:val="00134380"/>
    <w:rsid w:val="001343E3"/>
    <w:rsid w:val="0013453C"/>
    <w:rsid w:val="0013473D"/>
    <w:rsid w:val="00134859"/>
    <w:rsid w:val="0013498F"/>
    <w:rsid w:val="001349A6"/>
    <w:rsid w:val="001349D8"/>
    <w:rsid w:val="00134BFD"/>
    <w:rsid w:val="00134D34"/>
    <w:rsid w:val="00134DF3"/>
    <w:rsid w:val="00135069"/>
    <w:rsid w:val="001351A1"/>
    <w:rsid w:val="0013550D"/>
    <w:rsid w:val="00135919"/>
    <w:rsid w:val="001359F0"/>
    <w:rsid w:val="00135C7B"/>
    <w:rsid w:val="00135F4A"/>
    <w:rsid w:val="00135F80"/>
    <w:rsid w:val="00135FC8"/>
    <w:rsid w:val="0013603C"/>
    <w:rsid w:val="001360F8"/>
    <w:rsid w:val="0013612E"/>
    <w:rsid w:val="001362D7"/>
    <w:rsid w:val="001362FA"/>
    <w:rsid w:val="00136828"/>
    <w:rsid w:val="00136862"/>
    <w:rsid w:val="0013693B"/>
    <w:rsid w:val="00136A00"/>
    <w:rsid w:val="00136ADA"/>
    <w:rsid w:val="00136C83"/>
    <w:rsid w:val="00136D31"/>
    <w:rsid w:val="00136D38"/>
    <w:rsid w:val="00136DA5"/>
    <w:rsid w:val="00137B84"/>
    <w:rsid w:val="00137BFF"/>
    <w:rsid w:val="00137DF3"/>
    <w:rsid w:val="00137F48"/>
    <w:rsid w:val="0014012D"/>
    <w:rsid w:val="00140140"/>
    <w:rsid w:val="0014014D"/>
    <w:rsid w:val="00140183"/>
    <w:rsid w:val="0014031A"/>
    <w:rsid w:val="00140336"/>
    <w:rsid w:val="001405DF"/>
    <w:rsid w:val="001409C0"/>
    <w:rsid w:val="001409CA"/>
    <w:rsid w:val="00140A79"/>
    <w:rsid w:val="00140F01"/>
    <w:rsid w:val="00140FEE"/>
    <w:rsid w:val="0014113F"/>
    <w:rsid w:val="001411CF"/>
    <w:rsid w:val="001411DF"/>
    <w:rsid w:val="00141353"/>
    <w:rsid w:val="001413A1"/>
    <w:rsid w:val="001413CA"/>
    <w:rsid w:val="00141422"/>
    <w:rsid w:val="00141436"/>
    <w:rsid w:val="00141441"/>
    <w:rsid w:val="00141449"/>
    <w:rsid w:val="001414D2"/>
    <w:rsid w:val="001419B4"/>
    <w:rsid w:val="00141B11"/>
    <w:rsid w:val="00141B22"/>
    <w:rsid w:val="00141B25"/>
    <w:rsid w:val="00141B65"/>
    <w:rsid w:val="00141CDA"/>
    <w:rsid w:val="00141D86"/>
    <w:rsid w:val="00141FBF"/>
    <w:rsid w:val="00142158"/>
    <w:rsid w:val="001421A2"/>
    <w:rsid w:val="001423DC"/>
    <w:rsid w:val="001423EF"/>
    <w:rsid w:val="00142476"/>
    <w:rsid w:val="001424C8"/>
    <w:rsid w:val="00142652"/>
    <w:rsid w:val="00142741"/>
    <w:rsid w:val="00142788"/>
    <w:rsid w:val="001427F6"/>
    <w:rsid w:val="00142918"/>
    <w:rsid w:val="001429D4"/>
    <w:rsid w:val="00142A17"/>
    <w:rsid w:val="00142A69"/>
    <w:rsid w:val="00142D6E"/>
    <w:rsid w:val="00142E76"/>
    <w:rsid w:val="00142EFE"/>
    <w:rsid w:val="00142FAA"/>
    <w:rsid w:val="001431BA"/>
    <w:rsid w:val="0014321B"/>
    <w:rsid w:val="0014322F"/>
    <w:rsid w:val="001432F0"/>
    <w:rsid w:val="0014362F"/>
    <w:rsid w:val="00143813"/>
    <w:rsid w:val="00143A7F"/>
    <w:rsid w:val="00143B0A"/>
    <w:rsid w:val="00143B66"/>
    <w:rsid w:val="00143D14"/>
    <w:rsid w:val="00144038"/>
    <w:rsid w:val="001443AD"/>
    <w:rsid w:val="00144834"/>
    <w:rsid w:val="00144972"/>
    <w:rsid w:val="00144ADA"/>
    <w:rsid w:val="00144B88"/>
    <w:rsid w:val="00144B97"/>
    <w:rsid w:val="00144D2C"/>
    <w:rsid w:val="00144F7E"/>
    <w:rsid w:val="00145136"/>
    <w:rsid w:val="00145153"/>
    <w:rsid w:val="00145221"/>
    <w:rsid w:val="001453BA"/>
    <w:rsid w:val="00145758"/>
    <w:rsid w:val="00145772"/>
    <w:rsid w:val="00145836"/>
    <w:rsid w:val="00145DD6"/>
    <w:rsid w:val="00145E93"/>
    <w:rsid w:val="00145EB3"/>
    <w:rsid w:val="00145FCB"/>
    <w:rsid w:val="001462EF"/>
    <w:rsid w:val="001463CF"/>
    <w:rsid w:val="001464BB"/>
    <w:rsid w:val="001466F2"/>
    <w:rsid w:val="00146AA4"/>
    <w:rsid w:val="00146B6A"/>
    <w:rsid w:val="00146C1B"/>
    <w:rsid w:val="00146CDD"/>
    <w:rsid w:val="00146CF9"/>
    <w:rsid w:val="00146E00"/>
    <w:rsid w:val="00146FB7"/>
    <w:rsid w:val="0014705E"/>
    <w:rsid w:val="00147365"/>
    <w:rsid w:val="0014749C"/>
    <w:rsid w:val="00147AE2"/>
    <w:rsid w:val="00147B8A"/>
    <w:rsid w:val="00147CEF"/>
    <w:rsid w:val="00147D9C"/>
    <w:rsid w:val="00147E41"/>
    <w:rsid w:val="001500AF"/>
    <w:rsid w:val="001502AF"/>
    <w:rsid w:val="00150713"/>
    <w:rsid w:val="0015091C"/>
    <w:rsid w:val="0015096F"/>
    <w:rsid w:val="00150AB3"/>
    <w:rsid w:val="00150B26"/>
    <w:rsid w:val="00150DEF"/>
    <w:rsid w:val="00150E9F"/>
    <w:rsid w:val="001510AE"/>
    <w:rsid w:val="001510E7"/>
    <w:rsid w:val="00151207"/>
    <w:rsid w:val="00151317"/>
    <w:rsid w:val="001514D0"/>
    <w:rsid w:val="001516D4"/>
    <w:rsid w:val="00151B62"/>
    <w:rsid w:val="00151C44"/>
    <w:rsid w:val="00151C45"/>
    <w:rsid w:val="00151D81"/>
    <w:rsid w:val="00152069"/>
    <w:rsid w:val="001522BA"/>
    <w:rsid w:val="0015249E"/>
    <w:rsid w:val="001524D8"/>
    <w:rsid w:val="00152917"/>
    <w:rsid w:val="00152961"/>
    <w:rsid w:val="001529E7"/>
    <w:rsid w:val="00152A4E"/>
    <w:rsid w:val="00152AA6"/>
    <w:rsid w:val="00152AEF"/>
    <w:rsid w:val="00152B23"/>
    <w:rsid w:val="00153203"/>
    <w:rsid w:val="0015324C"/>
    <w:rsid w:val="0015326A"/>
    <w:rsid w:val="001532F9"/>
    <w:rsid w:val="001533DB"/>
    <w:rsid w:val="001535B0"/>
    <w:rsid w:val="00153642"/>
    <w:rsid w:val="00153869"/>
    <w:rsid w:val="0015397A"/>
    <w:rsid w:val="00153AA5"/>
    <w:rsid w:val="00153C41"/>
    <w:rsid w:val="00153CC6"/>
    <w:rsid w:val="00153D2C"/>
    <w:rsid w:val="00153D5A"/>
    <w:rsid w:val="00153F54"/>
    <w:rsid w:val="00154325"/>
    <w:rsid w:val="001543A6"/>
    <w:rsid w:val="001543AE"/>
    <w:rsid w:val="00154425"/>
    <w:rsid w:val="00154482"/>
    <w:rsid w:val="00154630"/>
    <w:rsid w:val="00154ABC"/>
    <w:rsid w:val="00154BEC"/>
    <w:rsid w:val="00154CD4"/>
    <w:rsid w:val="00154CFC"/>
    <w:rsid w:val="00154F2C"/>
    <w:rsid w:val="00154F68"/>
    <w:rsid w:val="0015525E"/>
    <w:rsid w:val="00155475"/>
    <w:rsid w:val="00155488"/>
    <w:rsid w:val="0015555F"/>
    <w:rsid w:val="001556A9"/>
    <w:rsid w:val="001556E3"/>
    <w:rsid w:val="00155866"/>
    <w:rsid w:val="00155958"/>
    <w:rsid w:val="00155A86"/>
    <w:rsid w:val="00155B1F"/>
    <w:rsid w:val="00155B54"/>
    <w:rsid w:val="00155BE1"/>
    <w:rsid w:val="00155BF1"/>
    <w:rsid w:val="00155C79"/>
    <w:rsid w:val="00155D69"/>
    <w:rsid w:val="00155DF3"/>
    <w:rsid w:val="00155F0F"/>
    <w:rsid w:val="00156247"/>
    <w:rsid w:val="001563A4"/>
    <w:rsid w:val="0015686E"/>
    <w:rsid w:val="00156B31"/>
    <w:rsid w:val="00156B78"/>
    <w:rsid w:val="00156B99"/>
    <w:rsid w:val="00156C90"/>
    <w:rsid w:val="00156D4D"/>
    <w:rsid w:val="00156F88"/>
    <w:rsid w:val="00156FF0"/>
    <w:rsid w:val="00157343"/>
    <w:rsid w:val="00157354"/>
    <w:rsid w:val="00157498"/>
    <w:rsid w:val="001575C8"/>
    <w:rsid w:val="00157649"/>
    <w:rsid w:val="001576E7"/>
    <w:rsid w:val="0015784B"/>
    <w:rsid w:val="00157C27"/>
    <w:rsid w:val="00157E9F"/>
    <w:rsid w:val="00157EF1"/>
    <w:rsid w:val="00157F80"/>
    <w:rsid w:val="0016001D"/>
    <w:rsid w:val="00160021"/>
    <w:rsid w:val="001601BB"/>
    <w:rsid w:val="0016032C"/>
    <w:rsid w:val="001603BF"/>
    <w:rsid w:val="00160619"/>
    <w:rsid w:val="00160679"/>
    <w:rsid w:val="001607D0"/>
    <w:rsid w:val="00160819"/>
    <w:rsid w:val="00160DB3"/>
    <w:rsid w:val="00160E87"/>
    <w:rsid w:val="00160EF9"/>
    <w:rsid w:val="00160F9D"/>
    <w:rsid w:val="00160FD4"/>
    <w:rsid w:val="00161026"/>
    <w:rsid w:val="0016113C"/>
    <w:rsid w:val="0016136C"/>
    <w:rsid w:val="00161526"/>
    <w:rsid w:val="0016174B"/>
    <w:rsid w:val="001618B3"/>
    <w:rsid w:val="00161A0D"/>
    <w:rsid w:val="00161DAF"/>
    <w:rsid w:val="00162020"/>
    <w:rsid w:val="00162072"/>
    <w:rsid w:val="00162135"/>
    <w:rsid w:val="00162140"/>
    <w:rsid w:val="0016239D"/>
    <w:rsid w:val="00162555"/>
    <w:rsid w:val="001626C5"/>
    <w:rsid w:val="001628FD"/>
    <w:rsid w:val="00162917"/>
    <w:rsid w:val="00162BFB"/>
    <w:rsid w:val="00162D2C"/>
    <w:rsid w:val="00162F6D"/>
    <w:rsid w:val="00162FA8"/>
    <w:rsid w:val="0016320E"/>
    <w:rsid w:val="00163378"/>
    <w:rsid w:val="001633D4"/>
    <w:rsid w:val="00163570"/>
    <w:rsid w:val="001636B3"/>
    <w:rsid w:val="001636ED"/>
    <w:rsid w:val="0016375B"/>
    <w:rsid w:val="001638C0"/>
    <w:rsid w:val="00163A01"/>
    <w:rsid w:val="00163A03"/>
    <w:rsid w:val="00163B50"/>
    <w:rsid w:val="00163C25"/>
    <w:rsid w:val="00163D40"/>
    <w:rsid w:val="00163D71"/>
    <w:rsid w:val="00163E30"/>
    <w:rsid w:val="00163F42"/>
    <w:rsid w:val="00164459"/>
    <w:rsid w:val="00164496"/>
    <w:rsid w:val="00164558"/>
    <w:rsid w:val="001646F0"/>
    <w:rsid w:val="00164788"/>
    <w:rsid w:val="00164BC5"/>
    <w:rsid w:val="00164E1A"/>
    <w:rsid w:val="00164FD6"/>
    <w:rsid w:val="0016511E"/>
    <w:rsid w:val="0016513D"/>
    <w:rsid w:val="001652A5"/>
    <w:rsid w:val="00165336"/>
    <w:rsid w:val="00165564"/>
    <w:rsid w:val="0016580A"/>
    <w:rsid w:val="00165846"/>
    <w:rsid w:val="0016598E"/>
    <w:rsid w:val="00165B72"/>
    <w:rsid w:val="00165BFE"/>
    <w:rsid w:val="00165D41"/>
    <w:rsid w:val="001661A8"/>
    <w:rsid w:val="00166237"/>
    <w:rsid w:val="00166258"/>
    <w:rsid w:val="00166339"/>
    <w:rsid w:val="001666B2"/>
    <w:rsid w:val="00166783"/>
    <w:rsid w:val="001667BE"/>
    <w:rsid w:val="001668CB"/>
    <w:rsid w:val="00166937"/>
    <w:rsid w:val="00166997"/>
    <w:rsid w:val="001669BB"/>
    <w:rsid w:val="001669FE"/>
    <w:rsid w:val="00166A05"/>
    <w:rsid w:val="00166A93"/>
    <w:rsid w:val="00166B43"/>
    <w:rsid w:val="00166E7D"/>
    <w:rsid w:val="00166FFC"/>
    <w:rsid w:val="001672AE"/>
    <w:rsid w:val="00167418"/>
    <w:rsid w:val="0016749F"/>
    <w:rsid w:val="001674EB"/>
    <w:rsid w:val="00167539"/>
    <w:rsid w:val="00167750"/>
    <w:rsid w:val="001677AC"/>
    <w:rsid w:val="00167AE5"/>
    <w:rsid w:val="00167DF3"/>
    <w:rsid w:val="00167EB7"/>
    <w:rsid w:val="00167ED0"/>
    <w:rsid w:val="00167F62"/>
    <w:rsid w:val="00170087"/>
    <w:rsid w:val="00170182"/>
    <w:rsid w:val="00170198"/>
    <w:rsid w:val="0017029E"/>
    <w:rsid w:val="00170376"/>
    <w:rsid w:val="001703A4"/>
    <w:rsid w:val="001703EA"/>
    <w:rsid w:val="001705EB"/>
    <w:rsid w:val="001706C9"/>
    <w:rsid w:val="0017093A"/>
    <w:rsid w:val="00170981"/>
    <w:rsid w:val="00170A3B"/>
    <w:rsid w:val="00170B11"/>
    <w:rsid w:val="00170F47"/>
    <w:rsid w:val="001714F7"/>
    <w:rsid w:val="0017153C"/>
    <w:rsid w:val="001715FA"/>
    <w:rsid w:val="0017170B"/>
    <w:rsid w:val="0017196E"/>
    <w:rsid w:val="00171C32"/>
    <w:rsid w:val="00171E94"/>
    <w:rsid w:val="00172002"/>
    <w:rsid w:val="0017220D"/>
    <w:rsid w:val="0017230C"/>
    <w:rsid w:val="0017238C"/>
    <w:rsid w:val="00172476"/>
    <w:rsid w:val="0017251F"/>
    <w:rsid w:val="0017262E"/>
    <w:rsid w:val="00172AEC"/>
    <w:rsid w:val="00172B90"/>
    <w:rsid w:val="00172DB9"/>
    <w:rsid w:val="0017310A"/>
    <w:rsid w:val="00173130"/>
    <w:rsid w:val="00173167"/>
    <w:rsid w:val="0017317A"/>
    <w:rsid w:val="001732E1"/>
    <w:rsid w:val="00173453"/>
    <w:rsid w:val="00173460"/>
    <w:rsid w:val="001735E1"/>
    <w:rsid w:val="00173641"/>
    <w:rsid w:val="00173AAA"/>
    <w:rsid w:val="00173B4E"/>
    <w:rsid w:val="00173BC2"/>
    <w:rsid w:val="00173CD0"/>
    <w:rsid w:val="00173ED8"/>
    <w:rsid w:val="00174032"/>
    <w:rsid w:val="001741F6"/>
    <w:rsid w:val="0017442B"/>
    <w:rsid w:val="001745BF"/>
    <w:rsid w:val="001745F4"/>
    <w:rsid w:val="00174772"/>
    <w:rsid w:val="0017480B"/>
    <w:rsid w:val="00174BD6"/>
    <w:rsid w:val="00174CB1"/>
    <w:rsid w:val="00174D35"/>
    <w:rsid w:val="00175020"/>
    <w:rsid w:val="001751FF"/>
    <w:rsid w:val="001754C5"/>
    <w:rsid w:val="00175667"/>
    <w:rsid w:val="00175948"/>
    <w:rsid w:val="0017595B"/>
    <w:rsid w:val="00175988"/>
    <w:rsid w:val="00175997"/>
    <w:rsid w:val="001759CD"/>
    <w:rsid w:val="00175A6B"/>
    <w:rsid w:val="00175C91"/>
    <w:rsid w:val="00175D0D"/>
    <w:rsid w:val="00175D67"/>
    <w:rsid w:val="00175D96"/>
    <w:rsid w:val="00175DDE"/>
    <w:rsid w:val="00175E96"/>
    <w:rsid w:val="00176071"/>
    <w:rsid w:val="00176254"/>
    <w:rsid w:val="001763D7"/>
    <w:rsid w:val="00176421"/>
    <w:rsid w:val="00176491"/>
    <w:rsid w:val="00176532"/>
    <w:rsid w:val="00176707"/>
    <w:rsid w:val="001769A2"/>
    <w:rsid w:val="00176A86"/>
    <w:rsid w:val="00176B47"/>
    <w:rsid w:val="00176C9F"/>
    <w:rsid w:val="00176E67"/>
    <w:rsid w:val="001771A0"/>
    <w:rsid w:val="001773B3"/>
    <w:rsid w:val="001778CF"/>
    <w:rsid w:val="00177938"/>
    <w:rsid w:val="00177CC7"/>
    <w:rsid w:val="00177D04"/>
    <w:rsid w:val="00177D2E"/>
    <w:rsid w:val="00177E9D"/>
    <w:rsid w:val="001801E3"/>
    <w:rsid w:val="001803BD"/>
    <w:rsid w:val="00180559"/>
    <w:rsid w:val="001807CA"/>
    <w:rsid w:val="0018083C"/>
    <w:rsid w:val="00180969"/>
    <w:rsid w:val="001809CA"/>
    <w:rsid w:val="00180BEA"/>
    <w:rsid w:val="00180FC1"/>
    <w:rsid w:val="00181213"/>
    <w:rsid w:val="00181753"/>
    <w:rsid w:val="00181814"/>
    <w:rsid w:val="001818B3"/>
    <w:rsid w:val="00181992"/>
    <w:rsid w:val="001819E1"/>
    <w:rsid w:val="00181D77"/>
    <w:rsid w:val="00182246"/>
    <w:rsid w:val="00182299"/>
    <w:rsid w:val="00182459"/>
    <w:rsid w:val="0018256C"/>
    <w:rsid w:val="001827BE"/>
    <w:rsid w:val="001828F7"/>
    <w:rsid w:val="00182A03"/>
    <w:rsid w:val="00182CD2"/>
    <w:rsid w:val="00182DE0"/>
    <w:rsid w:val="00182F2C"/>
    <w:rsid w:val="00183119"/>
    <w:rsid w:val="001831ED"/>
    <w:rsid w:val="00183375"/>
    <w:rsid w:val="00183835"/>
    <w:rsid w:val="00183998"/>
    <w:rsid w:val="00183CE5"/>
    <w:rsid w:val="00183D0E"/>
    <w:rsid w:val="00183EC9"/>
    <w:rsid w:val="001843E9"/>
    <w:rsid w:val="0018458C"/>
    <w:rsid w:val="001845A5"/>
    <w:rsid w:val="001846A5"/>
    <w:rsid w:val="0018479D"/>
    <w:rsid w:val="001848A2"/>
    <w:rsid w:val="00184A1A"/>
    <w:rsid w:val="00184A8F"/>
    <w:rsid w:val="00184CED"/>
    <w:rsid w:val="00184E23"/>
    <w:rsid w:val="0018501C"/>
    <w:rsid w:val="00185048"/>
    <w:rsid w:val="0018552B"/>
    <w:rsid w:val="001857DE"/>
    <w:rsid w:val="00185CB3"/>
    <w:rsid w:val="00185DBB"/>
    <w:rsid w:val="00185E12"/>
    <w:rsid w:val="00185F29"/>
    <w:rsid w:val="00185F9B"/>
    <w:rsid w:val="00186201"/>
    <w:rsid w:val="001864A5"/>
    <w:rsid w:val="001864E3"/>
    <w:rsid w:val="0018654D"/>
    <w:rsid w:val="001867CC"/>
    <w:rsid w:val="00186821"/>
    <w:rsid w:val="001868A4"/>
    <w:rsid w:val="00186A00"/>
    <w:rsid w:val="00186A19"/>
    <w:rsid w:val="00186A2C"/>
    <w:rsid w:val="00186B0F"/>
    <w:rsid w:val="00186B8B"/>
    <w:rsid w:val="00186C20"/>
    <w:rsid w:val="0018704A"/>
    <w:rsid w:val="001871C8"/>
    <w:rsid w:val="00187463"/>
    <w:rsid w:val="00187699"/>
    <w:rsid w:val="001876C0"/>
    <w:rsid w:val="001878C6"/>
    <w:rsid w:val="0018796F"/>
    <w:rsid w:val="001879BE"/>
    <w:rsid w:val="00187B6A"/>
    <w:rsid w:val="00187BEE"/>
    <w:rsid w:val="00187C14"/>
    <w:rsid w:val="00187FD3"/>
    <w:rsid w:val="00190497"/>
    <w:rsid w:val="00190542"/>
    <w:rsid w:val="001905BD"/>
    <w:rsid w:val="00190859"/>
    <w:rsid w:val="001909A1"/>
    <w:rsid w:val="00190A45"/>
    <w:rsid w:val="001919EE"/>
    <w:rsid w:val="00191CF1"/>
    <w:rsid w:val="00191D59"/>
    <w:rsid w:val="00191D96"/>
    <w:rsid w:val="00191E0A"/>
    <w:rsid w:val="00191E55"/>
    <w:rsid w:val="00192504"/>
    <w:rsid w:val="00192599"/>
    <w:rsid w:val="00192881"/>
    <w:rsid w:val="00192889"/>
    <w:rsid w:val="00192923"/>
    <w:rsid w:val="00192A33"/>
    <w:rsid w:val="00192AB5"/>
    <w:rsid w:val="00192C11"/>
    <w:rsid w:val="00192D1A"/>
    <w:rsid w:val="00192E80"/>
    <w:rsid w:val="00192F09"/>
    <w:rsid w:val="00192FF8"/>
    <w:rsid w:val="0019339D"/>
    <w:rsid w:val="001933B9"/>
    <w:rsid w:val="001933BE"/>
    <w:rsid w:val="001933D6"/>
    <w:rsid w:val="00193503"/>
    <w:rsid w:val="00193598"/>
    <w:rsid w:val="001935B9"/>
    <w:rsid w:val="001936D0"/>
    <w:rsid w:val="001936E1"/>
    <w:rsid w:val="00193AF1"/>
    <w:rsid w:val="00194054"/>
    <w:rsid w:val="001944FB"/>
    <w:rsid w:val="00194602"/>
    <w:rsid w:val="00194631"/>
    <w:rsid w:val="00194811"/>
    <w:rsid w:val="001948C8"/>
    <w:rsid w:val="00194958"/>
    <w:rsid w:val="001949AF"/>
    <w:rsid w:val="00194BF3"/>
    <w:rsid w:val="00195217"/>
    <w:rsid w:val="0019529C"/>
    <w:rsid w:val="00195480"/>
    <w:rsid w:val="001955B1"/>
    <w:rsid w:val="0019590F"/>
    <w:rsid w:val="001959D8"/>
    <w:rsid w:val="00195B2E"/>
    <w:rsid w:val="00195BA3"/>
    <w:rsid w:val="00195DFB"/>
    <w:rsid w:val="001960A1"/>
    <w:rsid w:val="001960FE"/>
    <w:rsid w:val="001961B6"/>
    <w:rsid w:val="00196313"/>
    <w:rsid w:val="00196347"/>
    <w:rsid w:val="00196356"/>
    <w:rsid w:val="001966C9"/>
    <w:rsid w:val="00196735"/>
    <w:rsid w:val="001969FC"/>
    <w:rsid w:val="00197097"/>
    <w:rsid w:val="00197514"/>
    <w:rsid w:val="0019790E"/>
    <w:rsid w:val="00197D69"/>
    <w:rsid w:val="001A0109"/>
    <w:rsid w:val="001A032D"/>
    <w:rsid w:val="001A0419"/>
    <w:rsid w:val="001A055F"/>
    <w:rsid w:val="001A06A1"/>
    <w:rsid w:val="001A081F"/>
    <w:rsid w:val="001A0A2A"/>
    <w:rsid w:val="001A0A50"/>
    <w:rsid w:val="001A0D44"/>
    <w:rsid w:val="001A1342"/>
    <w:rsid w:val="001A1442"/>
    <w:rsid w:val="001A14C0"/>
    <w:rsid w:val="001A1691"/>
    <w:rsid w:val="001A176C"/>
    <w:rsid w:val="001A19C0"/>
    <w:rsid w:val="001A1B69"/>
    <w:rsid w:val="001A23A5"/>
    <w:rsid w:val="001A23CD"/>
    <w:rsid w:val="001A2478"/>
    <w:rsid w:val="001A27B7"/>
    <w:rsid w:val="001A28D9"/>
    <w:rsid w:val="001A2AE7"/>
    <w:rsid w:val="001A2BA0"/>
    <w:rsid w:val="001A2CC4"/>
    <w:rsid w:val="001A2CCE"/>
    <w:rsid w:val="001A2CE7"/>
    <w:rsid w:val="001A32DE"/>
    <w:rsid w:val="001A3480"/>
    <w:rsid w:val="001A34E1"/>
    <w:rsid w:val="001A35D6"/>
    <w:rsid w:val="001A36D1"/>
    <w:rsid w:val="001A374C"/>
    <w:rsid w:val="001A378B"/>
    <w:rsid w:val="001A3859"/>
    <w:rsid w:val="001A3894"/>
    <w:rsid w:val="001A3B0A"/>
    <w:rsid w:val="001A4088"/>
    <w:rsid w:val="001A40EB"/>
    <w:rsid w:val="001A41F3"/>
    <w:rsid w:val="001A4229"/>
    <w:rsid w:val="001A43CC"/>
    <w:rsid w:val="001A4726"/>
    <w:rsid w:val="001A4905"/>
    <w:rsid w:val="001A495A"/>
    <w:rsid w:val="001A4CD7"/>
    <w:rsid w:val="001A5015"/>
    <w:rsid w:val="001A51E5"/>
    <w:rsid w:val="001A51EA"/>
    <w:rsid w:val="001A54CE"/>
    <w:rsid w:val="001A553E"/>
    <w:rsid w:val="001A5776"/>
    <w:rsid w:val="001A59FC"/>
    <w:rsid w:val="001A5AC6"/>
    <w:rsid w:val="001A5AD6"/>
    <w:rsid w:val="001A5CC3"/>
    <w:rsid w:val="001A5E56"/>
    <w:rsid w:val="001A64E8"/>
    <w:rsid w:val="001A6647"/>
    <w:rsid w:val="001A6683"/>
    <w:rsid w:val="001A6B23"/>
    <w:rsid w:val="001A6C2B"/>
    <w:rsid w:val="001A6F77"/>
    <w:rsid w:val="001A717C"/>
    <w:rsid w:val="001A7185"/>
    <w:rsid w:val="001A7186"/>
    <w:rsid w:val="001A734D"/>
    <w:rsid w:val="001A742D"/>
    <w:rsid w:val="001A765A"/>
    <w:rsid w:val="001A76A9"/>
    <w:rsid w:val="001A78F6"/>
    <w:rsid w:val="001A7907"/>
    <w:rsid w:val="001A7CDC"/>
    <w:rsid w:val="001A7EDA"/>
    <w:rsid w:val="001B0036"/>
    <w:rsid w:val="001B0113"/>
    <w:rsid w:val="001B0132"/>
    <w:rsid w:val="001B024E"/>
    <w:rsid w:val="001B0424"/>
    <w:rsid w:val="001B04D4"/>
    <w:rsid w:val="001B07C5"/>
    <w:rsid w:val="001B07FF"/>
    <w:rsid w:val="001B092D"/>
    <w:rsid w:val="001B096A"/>
    <w:rsid w:val="001B096D"/>
    <w:rsid w:val="001B0998"/>
    <w:rsid w:val="001B0A61"/>
    <w:rsid w:val="001B12BB"/>
    <w:rsid w:val="001B130B"/>
    <w:rsid w:val="001B13A3"/>
    <w:rsid w:val="001B1550"/>
    <w:rsid w:val="001B155C"/>
    <w:rsid w:val="001B162F"/>
    <w:rsid w:val="001B1641"/>
    <w:rsid w:val="001B1727"/>
    <w:rsid w:val="001B198A"/>
    <w:rsid w:val="001B19E2"/>
    <w:rsid w:val="001B1E7B"/>
    <w:rsid w:val="001B2048"/>
    <w:rsid w:val="001B2129"/>
    <w:rsid w:val="001B2276"/>
    <w:rsid w:val="001B24FD"/>
    <w:rsid w:val="001B26C7"/>
    <w:rsid w:val="001B2826"/>
    <w:rsid w:val="001B2892"/>
    <w:rsid w:val="001B29C1"/>
    <w:rsid w:val="001B2E95"/>
    <w:rsid w:val="001B2EC2"/>
    <w:rsid w:val="001B3174"/>
    <w:rsid w:val="001B32F1"/>
    <w:rsid w:val="001B3457"/>
    <w:rsid w:val="001B3808"/>
    <w:rsid w:val="001B3A30"/>
    <w:rsid w:val="001B3C3F"/>
    <w:rsid w:val="001B3CB0"/>
    <w:rsid w:val="001B3DAC"/>
    <w:rsid w:val="001B3E12"/>
    <w:rsid w:val="001B46B5"/>
    <w:rsid w:val="001B4764"/>
    <w:rsid w:val="001B47FD"/>
    <w:rsid w:val="001B4A3B"/>
    <w:rsid w:val="001B4A7C"/>
    <w:rsid w:val="001B4D31"/>
    <w:rsid w:val="001B4DAC"/>
    <w:rsid w:val="001B4DB3"/>
    <w:rsid w:val="001B527E"/>
    <w:rsid w:val="001B527F"/>
    <w:rsid w:val="001B539A"/>
    <w:rsid w:val="001B54FD"/>
    <w:rsid w:val="001B56BF"/>
    <w:rsid w:val="001B56C1"/>
    <w:rsid w:val="001B5CB5"/>
    <w:rsid w:val="001B5F13"/>
    <w:rsid w:val="001B5F7B"/>
    <w:rsid w:val="001B6585"/>
    <w:rsid w:val="001B658B"/>
    <w:rsid w:val="001B65C2"/>
    <w:rsid w:val="001B69AB"/>
    <w:rsid w:val="001B6AAA"/>
    <w:rsid w:val="001B6C4E"/>
    <w:rsid w:val="001B6ECE"/>
    <w:rsid w:val="001B7229"/>
    <w:rsid w:val="001B752D"/>
    <w:rsid w:val="001B7556"/>
    <w:rsid w:val="001B75CB"/>
    <w:rsid w:val="001B76F8"/>
    <w:rsid w:val="001B77AA"/>
    <w:rsid w:val="001B78CC"/>
    <w:rsid w:val="001B7B4E"/>
    <w:rsid w:val="001B7C46"/>
    <w:rsid w:val="001C017C"/>
    <w:rsid w:val="001C0332"/>
    <w:rsid w:val="001C0547"/>
    <w:rsid w:val="001C05A3"/>
    <w:rsid w:val="001C060D"/>
    <w:rsid w:val="001C072C"/>
    <w:rsid w:val="001C083F"/>
    <w:rsid w:val="001C0AD3"/>
    <w:rsid w:val="001C0B48"/>
    <w:rsid w:val="001C0E9E"/>
    <w:rsid w:val="001C12EE"/>
    <w:rsid w:val="001C12F1"/>
    <w:rsid w:val="001C1399"/>
    <w:rsid w:val="001C141B"/>
    <w:rsid w:val="001C1458"/>
    <w:rsid w:val="001C15AF"/>
    <w:rsid w:val="001C15B0"/>
    <w:rsid w:val="001C1986"/>
    <w:rsid w:val="001C1A69"/>
    <w:rsid w:val="001C1C03"/>
    <w:rsid w:val="001C1C8C"/>
    <w:rsid w:val="001C1DA9"/>
    <w:rsid w:val="001C1DD7"/>
    <w:rsid w:val="001C20CB"/>
    <w:rsid w:val="001C2111"/>
    <w:rsid w:val="001C2171"/>
    <w:rsid w:val="001C2327"/>
    <w:rsid w:val="001C23CD"/>
    <w:rsid w:val="001C23EF"/>
    <w:rsid w:val="001C240C"/>
    <w:rsid w:val="001C24A7"/>
    <w:rsid w:val="001C264E"/>
    <w:rsid w:val="001C2739"/>
    <w:rsid w:val="001C275A"/>
    <w:rsid w:val="001C2811"/>
    <w:rsid w:val="001C285D"/>
    <w:rsid w:val="001C28E7"/>
    <w:rsid w:val="001C29A5"/>
    <w:rsid w:val="001C2A1D"/>
    <w:rsid w:val="001C2B25"/>
    <w:rsid w:val="001C2DA1"/>
    <w:rsid w:val="001C2EBD"/>
    <w:rsid w:val="001C2FFE"/>
    <w:rsid w:val="001C30A5"/>
    <w:rsid w:val="001C316C"/>
    <w:rsid w:val="001C32D7"/>
    <w:rsid w:val="001C3357"/>
    <w:rsid w:val="001C359D"/>
    <w:rsid w:val="001C35F9"/>
    <w:rsid w:val="001C363F"/>
    <w:rsid w:val="001C38ED"/>
    <w:rsid w:val="001C3985"/>
    <w:rsid w:val="001C39CC"/>
    <w:rsid w:val="001C40C6"/>
    <w:rsid w:val="001C4152"/>
    <w:rsid w:val="001C4806"/>
    <w:rsid w:val="001C4809"/>
    <w:rsid w:val="001C4AA8"/>
    <w:rsid w:val="001C4C04"/>
    <w:rsid w:val="001C4D46"/>
    <w:rsid w:val="001C4E8A"/>
    <w:rsid w:val="001C516B"/>
    <w:rsid w:val="001C558C"/>
    <w:rsid w:val="001C56B5"/>
    <w:rsid w:val="001C56BA"/>
    <w:rsid w:val="001C57B2"/>
    <w:rsid w:val="001C586E"/>
    <w:rsid w:val="001C58ED"/>
    <w:rsid w:val="001C59AA"/>
    <w:rsid w:val="001C5BBA"/>
    <w:rsid w:val="001C5DF6"/>
    <w:rsid w:val="001C5E8E"/>
    <w:rsid w:val="001C6200"/>
    <w:rsid w:val="001C643C"/>
    <w:rsid w:val="001C69A9"/>
    <w:rsid w:val="001C6AD0"/>
    <w:rsid w:val="001C6B63"/>
    <w:rsid w:val="001C6BBB"/>
    <w:rsid w:val="001C6C1E"/>
    <w:rsid w:val="001C6CB6"/>
    <w:rsid w:val="001C7233"/>
    <w:rsid w:val="001C7256"/>
    <w:rsid w:val="001C7596"/>
    <w:rsid w:val="001C782E"/>
    <w:rsid w:val="001C7831"/>
    <w:rsid w:val="001C7886"/>
    <w:rsid w:val="001C78EB"/>
    <w:rsid w:val="001C795C"/>
    <w:rsid w:val="001C7A5F"/>
    <w:rsid w:val="001C7AD3"/>
    <w:rsid w:val="001C7AD9"/>
    <w:rsid w:val="001C7D4B"/>
    <w:rsid w:val="001C7E7A"/>
    <w:rsid w:val="001C7EC3"/>
    <w:rsid w:val="001C7EF2"/>
    <w:rsid w:val="001C7F42"/>
    <w:rsid w:val="001D003B"/>
    <w:rsid w:val="001D04E5"/>
    <w:rsid w:val="001D0627"/>
    <w:rsid w:val="001D0782"/>
    <w:rsid w:val="001D0870"/>
    <w:rsid w:val="001D08BE"/>
    <w:rsid w:val="001D0C2E"/>
    <w:rsid w:val="001D0C60"/>
    <w:rsid w:val="001D0E63"/>
    <w:rsid w:val="001D0ED8"/>
    <w:rsid w:val="001D0EE6"/>
    <w:rsid w:val="001D0F00"/>
    <w:rsid w:val="001D0FFE"/>
    <w:rsid w:val="001D116A"/>
    <w:rsid w:val="001D15A4"/>
    <w:rsid w:val="001D15E5"/>
    <w:rsid w:val="001D1735"/>
    <w:rsid w:val="001D1C2F"/>
    <w:rsid w:val="001D1CB1"/>
    <w:rsid w:val="001D1D68"/>
    <w:rsid w:val="001D2439"/>
    <w:rsid w:val="001D2593"/>
    <w:rsid w:val="001D25CA"/>
    <w:rsid w:val="001D26CA"/>
    <w:rsid w:val="001D275B"/>
    <w:rsid w:val="001D2787"/>
    <w:rsid w:val="001D288C"/>
    <w:rsid w:val="001D2946"/>
    <w:rsid w:val="001D2A5E"/>
    <w:rsid w:val="001D2BF4"/>
    <w:rsid w:val="001D2BFE"/>
    <w:rsid w:val="001D2C1C"/>
    <w:rsid w:val="001D2F1B"/>
    <w:rsid w:val="001D2FF9"/>
    <w:rsid w:val="001D300A"/>
    <w:rsid w:val="001D30E8"/>
    <w:rsid w:val="001D334F"/>
    <w:rsid w:val="001D33D4"/>
    <w:rsid w:val="001D3555"/>
    <w:rsid w:val="001D35A8"/>
    <w:rsid w:val="001D3791"/>
    <w:rsid w:val="001D3793"/>
    <w:rsid w:val="001D3A63"/>
    <w:rsid w:val="001D403B"/>
    <w:rsid w:val="001D4151"/>
    <w:rsid w:val="001D41B3"/>
    <w:rsid w:val="001D42CF"/>
    <w:rsid w:val="001D43D4"/>
    <w:rsid w:val="001D4495"/>
    <w:rsid w:val="001D4532"/>
    <w:rsid w:val="001D46C4"/>
    <w:rsid w:val="001D47C0"/>
    <w:rsid w:val="001D49C8"/>
    <w:rsid w:val="001D4C3D"/>
    <w:rsid w:val="001D4D2D"/>
    <w:rsid w:val="001D4DE9"/>
    <w:rsid w:val="001D4E67"/>
    <w:rsid w:val="001D4F9F"/>
    <w:rsid w:val="001D5022"/>
    <w:rsid w:val="001D51E4"/>
    <w:rsid w:val="001D521B"/>
    <w:rsid w:val="001D5473"/>
    <w:rsid w:val="001D549B"/>
    <w:rsid w:val="001D54FC"/>
    <w:rsid w:val="001D55FC"/>
    <w:rsid w:val="001D5657"/>
    <w:rsid w:val="001D587D"/>
    <w:rsid w:val="001D58E8"/>
    <w:rsid w:val="001D5900"/>
    <w:rsid w:val="001D594F"/>
    <w:rsid w:val="001D5A42"/>
    <w:rsid w:val="001D5A58"/>
    <w:rsid w:val="001D5ACF"/>
    <w:rsid w:val="001D5B45"/>
    <w:rsid w:val="001D5C88"/>
    <w:rsid w:val="001D5D14"/>
    <w:rsid w:val="001D5D18"/>
    <w:rsid w:val="001D5F46"/>
    <w:rsid w:val="001D6072"/>
    <w:rsid w:val="001D60CC"/>
    <w:rsid w:val="001D61AD"/>
    <w:rsid w:val="001D6325"/>
    <w:rsid w:val="001D64F8"/>
    <w:rsid w:val="001D651E"/>
    <w:rsid w:val="001D69BA"/>
    <w:rsid w:val="001D69D7"/>
    <w:rsid w:val="001D6A48"/>
    <w:rsid w:val="001D6AC9"/>
    <w:rsid w:val="001D6D39"/>
    <w:rsid w:val="001D6EA6"/>
    <w:rsid w:val="001D7109"/>
    <w:rsid w:val="001D7294"/>
    <w:rsid w:val="001D734A"/>
    <w:rsid w:val="001D74C0"/>
    <w:rsid w:val="001D767B"/>
    <w:rsid w:val="001D76AD"/>
    <w:rsid w:val="001D7746"/>
    <w:rsid w:val="001D7865"/>
    <w:rsid w:val="001D7889"/>
    <w:rsid w:val="001D7A78"/>
    <w:rsid w:val="001D7AA0"/>
    <w:rsid w:val="001D7C8B"/>
    <w:rsid w:val="001D7CD7"/>
    <w:rsid w:val="001D7F2C"/>
    <w:rsid w:val="001E03AE"/>
    <w:rsid w:val="001E03E5"/>
    <w:rsid w:val="001E0591"/>
    <w:rsid w:val="001E0899"/>
    <w:rsid w:val="001E0D1A"/>
    <w:rsid w:val="001E104C"/>
    <w:rsid w:val="001E10E2"/>
    <w:rsid w:val="001E115E"/>
    <w:rsid w:val="001E1189"/>
    <w:rsid w:val="001E129D"/>
    <w:rsid w:val="001E12C0"/>
    <w:rsid w:val="001E12E2"/>
    <w:rsid w:val="001E13C7"/>
    <w:rsid w:val="001E1572"/>
    <w:rsid w:val="001E1A76"/>
    <w:rsid w:val="001E1B03"/>
    <w:rsid w:val="001E1B3B"/>
    <w:rsid w:val="001E1C22"/>
    <w:rsid w:val="001E1CB8"/>
    <w:rsid w:val="001E21EC"/>
    <w:rsid w:val="001E2718"/>
    <w:rsid w:val="001E299F"/>
    <w:rsid w:val="001E29F1"/>
    <w:rsid w:val="001E2A62"/>
    <w:rsid w:val="001E2AB7"/>
    <w:rsid w:val="001E2DFC"/>
    <w:rsid w:val="001E2F38"/>
    <w:rsid w:val="001E2FEF"/>
    <w:rsid w:val="001E3010"/>
    <w:rsid w:val="001E314D"/>
    <w:rsid w:val="001E326F"/>
    <w:rsid w:val="001E33FD"/>
    <w:rsid w:val="001E3422"/>
    <w:rsid w:val="001E349C"/>
    <w:rsid w:val="001E368F"/>
    <w:rsid w:val="001E3D42"/>
    <w:rsid w:val="001E3E7A"/>
    <w:rsid w:val="001E3E97"/>
    <w:rsid w:val="001E408E"/>
    <w:rsid w:val="001E4164"/>
    <w:rsid w:val="001E41DB"/>
    <w:rsid w:val="001E4454"/>
    <w:rsid w:val="001E44C7"/>
    <w:rsid w:val="001E45D9"/>
    <w:rsid w:val="001E476D"/>
    <w:rsid w:val="001E495C"/>
    <w:rsid w:val="001E4E43"/>
    <w:rsid w:val="001E4FA3"/>
    <w:rsid w:val="001E5124"/>
    <w:rsid w:val="001E516B"/>
    <w:rsid w:val="001E519A"/>
    <w:rsid w:val="001E51BE"/>
    <w:rsid w:val="001E5481"/>
    <w:rsid w:val="001E56CA"/>
    <w:rsid w:val="001E57C2"/>
    <w:rsid w:val="001E58B9"/>
    <w:rsid w:val="001E58C2"/>
    <w:rsid w:val="001E5B6E"/>
    <w:rsid w:val="001E5C04"/>
    <w:rsid w:val="001E60A9"/>
    <w:rsid w:val="001E68C4"/>
    <w:rsid w:val="001E68E0"/>
    <w:rsid w:val="001E6941"/>
    <w:rsid w:val="001E6A10"/>
    <w:rsid w:val="001E6A29"/>
    <w:rsid w:val="001E6DB6"/>
    <w:rsid w:val="001E6E38"/>
    <w:rsid w:val="001E6F25"/>
    <w:rsid w:val="001E6F3B"/>
    <w:rsid w:val="001E7149"/>
    <w:rsid w:val="001E714F"/>
    <w:rsid w:val="001E73B9"/>
    <w:rsid w:val="001E73C6"/>
    <w:rsid w:val="001E7464"/>
    <w:rsid w:val="001E74B8"/>
    <w:rsid w:val="001E74DA"/>
    <w:rsid w:val="001E76ED"/>
    <w:rsid w:val="001E78D2"/>
    <w:rsid w:val="001E7B76"/>
    <w:rsid w:val="001E7E0A"/>
    <w:rsid w:val="001E7E8B"/>
    <w:rsid w:val="001F02A5"/>
    <w:rsid w:val="001F0303"/>
    <w:rsid w:val="001F0362"/>
    <w:rsid w:val="001F046C"/>
    <w:rsid w:val="001F0593"/>
    <w:rsid w:val="001F0A56"/>
    <w:rsid w:val="001F0A5D"/>
    <w:rsid w:val="001F0E3F"/>
    <w:rsid w:val="001F10EF"/>
    <w:rsid w:val="001F10FF"/>
    <w:rsid w:val="001F11A5"/>
    <w:rsid w:val="001F169D"/>
    <w:rsid w:val="001F184B"/>
    <w:rsid w:val="001F198C"/>
    <w:rsid w:val="001F1A9F"/>
    <w:rsid w:val="001F1AB6"/>
    <w:rsid w:val="001F1CEA"/>
    <w:rsid w:val="001F1EBD"/>
    <w:rsid w:val="001F1F67"/>
    <w:rsid w:val="001F20A2"/>
    <w:rsid w:val="001F212B"/>
    <w:rsid w:val="001F227E"/>
    <w:rsid w:val="001F228F"/>
    <w:rsid w:val="001F22E9"/>
    <w:rsid w:val="001F236B"/>
    <w:rsid w:val="001F23EF"/>
    <w:rsid w:val="001F25F7"/>
    <w:rsid w:val="001F2616"/>
    <w:rsid w:val="001F2685"/>
    <w:rsid w:val="001F2806"/>
    <w:rsid w:val="001F2819"/>
    <w:rsid w:val="001F2869"/>
    <w:rsid w:val="001F289C"/>
    <w:rsid w:val="001F2A2F"/>
    <w:rsid w:val="001F2B23"/>
    <w:rsid w:val="001F2BEB"/>
    <w:rsid w:val="001F2C55"/>
    <w:rsid w:val="001F2E01"/>
    <w:rsid w:val="001F348F"/>
    <w:rsid w:val="001F34D0"/>
    <w:rsid w:val="001F35A3"/>
    <w:rsid w:val="001F35A8"/>
    <w:rsid w:val="001F35FA"/>
    <w:rsid w:val="001F3842"/>
    <w:rsid w:val="001F3845"/>
    <w:rsid w:val="001F3857"/>
    <w:rsid w:val="001F3880"/>
    <w:rsid w:val="001F38CD"/>
    <w:rsid w:val="001F38FD"/>
    <w:rsid w:val="001F3A68"/>
    <w:rsid w:val="001F3B66"/>
    <w:rsid w:val="001F3E14"/>
    <w:rsid w:val="001F3EA1"/>
    <w:rsid w:val="001F3ED6"/>
    <w:rsid w:val="001F3F4E"/>
    <w:rsid w:val="001F3FC1"/>
    <w:rsid w:val="001F4060"/>
    <w:rsid w:val="001F429C"/>
    <w:rsid w:val="001F43B6"/>
    <w:rsid w:val="001F46DD"/>
    <w:rsid w:val="001F4B52"/>
    <w:rsid w:val="001F4D34"/>
    <w:rsid w:val="001F4D67"/>
    <w:rsid w:val="001F4EFC"/>
    <w:rsid w:val="001F5088"/>
    <w:rsid w:val="001F5091"/>
    <w:rsid w:val="001F52FD"/>
    <w:rsid w:val="001F54BA"/>
    <w:rsid w:val="001F5595"/>
    <w:rsid w:val="001F572D"/>
    <w:rsid w:val="001F5749"/>
    <w:rsid w:val="001F5786"/>
    <w:rsid w:val="001F5788"/>
    <w:rsid w:val="001F5806"/>
    <w:rsid w:val="001F5849"/>
    <w:rsid w:val="001F5975"/>
    <w:rsid w:val="001F5B27"/>
    <w:rsid w:val="001F5B3B"/>
    <w:rsid w:val="001F5B3E"/>
    <w:rsid w:val="001F5DDD"/>
    <w:rsid w:val="001F5E8C"/>
    <w:rsid w:val="001F62A3"/>
    <w:rsid w:val="001F6579"/>
    <w:rsid w:val="001F65E8"/>
    <w:rsid w:val="001F6995"/>
    <w:rsid w:val="001F6A17"/>
    <w:rsid w:val="001F6AA6"/>
    <w:rsid w:val="001F6E2B"/>
    <w:rsid w:val="001F6EE3"/>
    <w:rsid w:val="001F7060"/>
    <w:rsid w:val="001F70FB"/>
    <w:rsid w:val="001F73B2"/>
    <w:rsid w:val="001F7522"/>
    <w:rsid w:val="001F75AF"/>
    <w:rsid w:val="001F764E"/>
    <w:rsid w:val="001F7949"/>
    <w:rsid w:val="001F794E"/>
    <w:rsid w:val="001F79D3"/>
    <w:rsid w:val="001F79D7"/>
    <w:rsid w:val="001F79F2"/>
    <w:rsid w:val="001F7A95"/>
    <w:rsid w:val="001F7C4C"/>
    <w:rsid w:val="001F7E1F"/>
    <w:rsid w:val="001F7EDE"/>
    <w:rsid w:val="001F7FA3"/>
    <w:rsid w:val="0020006C"/>
    <w:rsid w:val="0020020E"/>
    <w:rsid w:val="00200334"/>
    <w:rsid w:val="00200444"/>
    <w:rsid w:val="0020064F"/>
    <w:rsid w:val="002008B8"/>
    <w:rsid w:val="0020094A"/>
    <w:rsid w:val="00200A50"/>
    <w:rsid w:val="00200D63"/>
    <w:rsid w:val="00200F77"/>
    <w:rsid w:val="0020110F"/>
    <w:rsid w:val="00201291"/>
    <w:rsid w:val="002012EF"/>
    <w:rsid w:val="00201369"/>
    <w:rsid w:val="002013AB"/>
    <w:rsid w:val="00201551"/>
    <w:rsid w:val="002015F2"/>
    <w:rsid w:val="002017B3"/>
    <w:rsid w:val="00201B6D"/>
    <w:rsid w:val="00201C71"/>
    <w:rsid w:val="00201D90"/>
    <w:rsid w:val="00201F1F"/>
    <w:rsid w:val="00201FF8"/>
    <w:rsid w:val="00202177"/>
    <w:rsid w:val="002021D4"/>
    <w:rsid w:val="002023D9"/>
    <w:rsid w:val="002027BE"/>
    <w:rsid w:val="00202844"/>
    <w:rsid w:val="00202965"/>
    <w:rsid w:val="00202D9E"/>
    <w:rsid w:val="00202E58"/>
    <w:rsid w:val="00202F75"/>
    <w:rsid w:val="002033D0"/>
    <w:rsid w:val="0020344A"/>
    <w:rsid w:val="00203652"/>
    <w:rsid w:val="00203801"/>
    <w:rsid w:val="00203990"/>
    <w:rsid w:val="00203B48"/>
    <w:rsid w:val="00203D14"/>
    <w:rsid w:val="00203FE6"/>
    <w:rsid w:val="0020401F"/>
    <w:rsid w:val="00204021"/>
    <w:rsid w:val="002040FB"/>
    <w:rsid w:val="002043EC"/>
    <w:rsid w:val="00204476"/>
    <w:rsid w:val="002049A2"/>
    <w:rsid w:val="00204A3C"/>
    <w:rsid w:val="00204B1D"/>
    <w:rsid w:val="00204BF1"/>
    <w:rsid w:val="00204C94"/>
    <w:rsid w:val="00204DBA"/>
    <w:rsid w:val="00204DDC"/>
    <w:rsid w:val="00204F7B"/>
    <w:rsid w:val="00204FF0"/>
    <w:rsid w:val="0020515B"/>
    <w:rsid w:val="0020521B"/>
    <w:rsid w:val="00205266"/>
    <w:rsid w:val="00205277"/>
    <w:rsid w:val="00205408"/>
    <w:rsid w:val="002054B2"/>
    <w:rsid w:val="00205605"/>
    <w:rsid w:val="002058FD"/>
    <w:rsid w:val="00205A22"/>
    <w:rsid w:val="00205A74"/>
    <w:rsid w:val="00205D9D"/>
    <w:rsid w:val="00205E4B"/>
    <w:rsid w:val="00206005"/>
    <w:rsid w:val="002060BA"/>
    <w:rsid w:val="002062A2"/>
    <w:rsid w:val="00206459"/>
    <w:rsid w:val="0020650E"/>
    <w:rsid w:val="00206955"/>
    <w:rsid w:val="00206AE7"/>
    <w:rsid w:val="00206C69"/>
    <w:rsid w:val="00206D43"/>
    <w:rsid w:val="00206E63"/>
    <w:rsid w:val="00206F40"/>
    <w:rsid w:val="00206F6E"/>
    <w:rsid w:val="00206F9D"/>
    <w:rsid w:val="00206FBF"/>
    <w:rsid w:val="00206FFD"/>
    <w:rsid w:val="002073D4"/>
    <w:rsid w:val="00207400"/>
    <w:rsid w:val="00207416"/>
    <w:rsid w:val="00207471"/>
    <w:rsid w:val="0020752A"/>
    <w:rsid w:val="00207550"/>
    <w:rsid w:val="00207661"/>
    <w:rsid w:val="002079F5"/>
    <w:rsid w:val="00207C7D"/>
    <w:rsid w:val="00207CBA"/>
    <w:rsid w:val="00210085"/>
    <w:rsid w:val="00210155"/>
    <w:rsid w:val="00210173"/>
    <w:rsid w:val="002106C9"/>
    <w:rsid w:val="00210710"/>
    <w:rsid w:val="00210E64"/>
    <w:rsid w:val="00210FD8"/>
    <w:rsid w:val="00211246"/>
    <w:rsid w:val="0021129E"/>
    <w:rsid w:val="00211521"/>
    <w:rsid w:val="002115D7"/>
    <w:rsid w:val="00211794"/>
    <w:rsid w:val="00211A5E"/>
    <w:rsid w:val="00211A8A"/>
    <w:rsid w:val="00211CB5"/>
    <w:rsid w:val="00211D95"/>
    <w:rsid w:val="00211F1A"/>
    <w:rsid w:val="00212253"/>
    <w:rsid w:val="002122DC"/>
    <w:rsid w:val="0021253D"/>
    <w:rsid w:val="00212872"/>
    <w:rsid w:val="00212A18"/>
    <w:rsid w:val="00212B6E"/>
    <w:rsid w:val="00212CFB"/>
    <w:rsid w:val="00212D21"/>
    <w:rsid w:val="00212D30"/>
    <w:rsid w:val="00212EFE"/>
    <w:rsid w:val="00212F1C"/>
    <w:rsid w:val="0021352B"/>
    <w:rsid w:val="00213576"/>
    <w:rsid w:val="002137C5"/>
    <w:rsid w:val="00213822"/>
    <w:rsid w:val="0021395E"/>
    <w:rsid w:val="00213ABC"/>
    <w:rsid w:val="00213BEF"/>
    <w:rsid w:val="00213C3D"/>
    <w:rsid w:val="00213CAA"/>
    <w:rsid w:val="00213D9E"/>
    <w:rsid w:val="00213E2E"/>
    <w:rsid w:val="00214250"/>
    <w:rsid w:val="00214363"/>
    <w:rsid w:val="0021441C"/>
    <w:rsid w:val="002144E3"/>
    <w:rsid w:val="0021482C"/>
    <w:rsid w:val="002148FD"/>
    <w:rsid w:val="00214C28"/>
    <w:rsid w:val="00214D22"/>
    <w:rsid w:val="00214E3D"/>
    <w:rsid w:val="00214F00"/>
    <w:rsid w:val="00214FE8"/>
    <w:rsid w:val="00215018"/>
    <w:rsid w:val="00215261"/>
    <w:rsid w:val="00215328"/>
    <w:rsid w:val="00215404"/>
    <w:rsid w:val="002154CC"/>
    <w:rsid w:val="002155BB"/>
    <w:rsid w:val="002158C3"/>
    <w:rsid w:val="002159F1"/>
    <w:rsid w:val="00215AF7"/>
    <w:rsid w:val="00215B0E"/>
    <w:rsid w:val="00215C30"/>
    <w:rsid w:val="00215D2A"/>
    <w:rsid w:val="00215DA2"/>
    <w:rsid w:val="00215F3A"/>
    <w:rsid w:val="002164C0"/>
    <w:rsid w:val="002165CD"/>
    <w:rsid w:val="002165ED"/>
    <w:rsid w:val="0021673E"/>
    <w:rsid w:val="002167E4"/>
    <w:rsid w:val="00216C9F"/>
    <w:rsid w:val="002171A3"/>
    <w:rsid w:val="00217365"/>
    <w:rsid w:val="002176E3"/>
    <w:rsid w:val="002179F0"/>
    <w:rsid w:val="00217A24"/>
    <w:rsid w:val="002203A7"/>
    <w:rsid w:val="00220842"/>
    <w:rsid w:val="002208FD"/>
    <w:rsid w:val="00220AA1"/>
    <w:rsid w:val="00220AFD"/>
    <w:rsid w:val="00220DC8"/>
    <w:rsid w:val="00221010"/>
    <w:rsid w:val="00221117"/>
    <w:rsid w:val="00221698"/>
    <w:rsid w:val="00221933"/>
    <w:rsid w:val="00221C40"/>
    <w:rsid w:val="00222334"/>
    <w:rsid w:val="0022235B"/>
    <w:rsid w:val="00222523"/>
    <w:rsid w:val="002225BB"/>
    <w:rsid w:val="00222784"/>
    <w:rsid w:val="002227FE"/>
    <w:rsid w:val="002229E1"/>
    <w:rsid w:val="00222F69"/>
    <w:rsid w:val="00222F97"/>
    <w:rsid w:val="0022344A"/>
    <w:rsid w:val="002236F2"/>
    <w:rsid w:val="00223702"/>
    <w:rsid w:val="00223D61"/>
    <w:rsid w:val="00223E12"/>
    <w:rsid w:val="00223E6A"/>
    <w:rsid w:val="00224206"/>
    <w:rsid w:val="0022456A"/>
    <w:rsid w:val="0022458B"/>
    <w:rsid w:val="00224603"/>
    <w:rsid w:val="002247F8"/>
    <w:rsid w:val="00224A44"/>
    <w:rsid w:val="00224AB7"/>
    <w:rsid w:val="00224CEB"/>
    <w:rsid w:val="00224D73"/>
    <w:rsid w:val="00224E12"/>
    <w:rsid w:val="00224F78"/>
    <w:rsid w:val="00224FDB"/>
    <w:rsid w:val="002252D9"/>
    <w:rsid w:val="002253D1"/>
    <w:rsid w:val="0022576A"/>
    <w:rsid w:val="002257BB"/>
    <w:rsid w:val="002258C0"/>
    <w:rsid w:val="00225B25"/>
    <w:rsid w:val="00225B43"/>
    <w:rsid w:val="00225B52"/>
    <w:rsid w:val="00225B7D"/>
    <w:rsid w:val="00225BFE"/>
    <w:rsid w:val="00225CCD"/>
    <w:rsid w:val="0022609D"/>
    <w:rsid w:val="00226266"/>
    <w:rsid w:val="002262CB"/>
    <w:rsid w:val="002267C2"/>
    <w:rsid w:val="00226994"/>
    <w:rsid w:val="00226B51"/>
    <w:rsid w:val="00226CDA"/>
    <w:rsid w:val="00227207"/>
    <w:rsid w:val="002272FF"/>
    <w:rsid w:val="00227342"/>
    <w:rsid w:val="002278E4"/>
    <w:rsid w:val="002279A7"/>
    <w:rsid w:val="00227B56"/>
    <w:rsid w:val="00227BE3"/>
    <w:rsid w:val="00227C10"/>
    <w:rsid w:val="00227D93"/>
    <w:rsid w:val="00227F5F"/>
    <w:rsid w:val="00230043"/>
    <w:rsid w:val="00230094"/>
    <w:rsid w:val="0023020B"/>
    <w:rsid w:val="0023057F"/>
    <w:rsid w:val="00230642"/>
    <w:rsid w:val="002306FC"/>
    <w:rsid w:val="00230764"/>
    <w:rsid w:val="00230771"/>
    <w:rsid w:val="002308CE"/>
    <w:rsid w:val="00230950"/>
    <w:rsid w:val="00230C53"/>
    <w:rsid w:val="00230E1A"/>
    <w:rsid w:val="0023107B"/>
    <w:rsid w:val="002310C2"/>
    <w:rsid w:val="002311B9"/>
    <w:rsid w:val="002311BD"/>
    <w:rsid w:val="00231235"/>
    <w:rsid w:val="00231388"/>
    <w:rsid w:val="002316F2"/>
    <w:rsid w:val="00231758"/>
    <w:rsid w:val="0023175C"/>
    <w:rsid w:val="002318A5"/>
    <w:rsid w:val="00231B5A"/>
    <w:rsid w:val="00231C95"/>
    <w:rsid w:val="00231EF8"/>
    <w:rsid w:val="00232125"/>
    <w:rsid w:val="002322D3"/>
    <w:rsid w:val="0023237B"/>
    <w:rsid w:val="002323FD"/>
    <w:rsid w:val="00232626"/>
    <w:rsid w:val="0023269B"/>
    <w:rsid w:val="00232729"/>
    <w:rsid w:val="002327D8"/>
    <w:rsid w:val="0023281F"/>
    <w:rsid w:val="0023286C"/>
    <w:rsid w:val="00232897"/>
    <w:rsid w:val="00232BAF"/>
    <w:rsid w:val="00232CF6"/>
    <w:rsid w:val="00232D97"/>
    <w:rsid w:val="00233258"/>
    <w:rsid w:val="0023329D"/>
    <w:rsid w:val="002332AC"/>
    <w:rsid w:val="0023342E"/>
    <w:rsid w:val="0023368D"/>
    <w:rsid w:val="002338AE"/>
    <w:rsid w:val="00233916"/>
    <w:rsid w:val="0023395C"/>
    <w:rsid w:val="00233D1D"/>
    <w:rsid w:val="0023412C"/>
    <w:rsid w:val="00234197"/>
    <w:rsid w:val="002344BB"/>
    <w:rsid w:val="00234621"/>
    <w:rsid w:val="002348C0"/>
    <w:rsid w:val="00234A80"/>
    <w:rsid w:val="00234ADC"/>
    <w:rsid w:val="00234B3C"/>
    <w:rsid w:val="00234CB9"/>
    <w:rsid w:val="00234E5E"/>
    <w:rsid w:val="0023510A"/>
    <w:rsid w:val="0023522C"/>
    <w:rsid w:val="00235232"/>
    <w:rsid w:val="002352D3"/>
    <w:rsid w:val="0023536A"/>
    <w:rsid w:val="00235569"/>
    <w:rsid w:val="002357B2"/>
    <w:rsid w:val="00235872"/>
    <w:rsid w:val="0023596F"/>
    <w:rsid w:val="002359D5"/>
    <w:rsid w:val="00235F0D"/>
    <w:rsid w:val="00235FA2"/>
    <w:rsid w:val="002360E3"/>
    <w:rsid w:val="0023613F"/>
    <w:rsid w:val="002362FB"/>
    <w:rsid w:val="00236335"/>
    <w:rsid w:val="002364E2"/>
    <w:rsid w:val="002365B6"/>
    <w:rsid w:val="002366DC"/>
    <w:rsid w:val="002366EE"/>
    <w:rsid w:val="00236719"/>
    <w:rsid w:val="0023674A"/>
    <w:rsid w:val="0023684D"/>
    <w:rsid w:val="00236B4E"/>
    <w:rsid w:val="00236C26"/>
    <w:rsid w:val="00236D8A"/>
    <w:rsid w:val="00236ECF"/>
    <w:rsid w:val="00237274"/>
    <w:rsid w:val="002372B9"/>
    <w:rsid w:val="0023744A"/>
    <w:rsid w:val="00237528"/>
    <w:rsid w:val="002375B8"/>
    <w:rsid w:val="0023784B"/>
    <w:rsid w:val="00237ADE"/>
    <w:rsid w:val="00237D61"/>
    <w:rsid w:val="002401AF"/>
    <w:rsid w:val="002401FF"/>
    <w:rsid w:val="0024045A"/>
    <w:rsid w:val="00240576"/>
    <w:rsid w:val="002405C9"/>
    <w:rsid w:val="002407B5"/>
    <w:rsid w:val="002408BD"/>
    <w:rsid w:val="002409DA"/>
    <w:rsid w:val="00240B13"/>
    <w:rsid w:val="00240C30"/>
    <w:rsid w:val="00240C52"/>
    <w:rsid w:val="00240F72"/>
    <w:rsid w:val="002410F5"/>
    <w:rsid w:val="00241304"/>
    <w:rsid w:val="00241478"/>
    <w:rsid w:val="00241561"/>
    <w:rsid w:val="002415A2"/>
    <w:rsid w:val="0024167B"/>
    <w:rsid w:val="00241843"/>
    <w:rsid w:val="00241908"/>
    <w:rsid w:val="00241911"/>
    <w:rsid w:val="0024196C"/>
    <w:rsid w:val="0024199C"/>
    <w:rsid w:val="00241B50"/>
    <w:rsid w:val="00241D57"/>
    <w:rsid w:val="002420F6"/>
    <w:rsid w:val="002421D0"/>
    <w:rsid w:val="002421D5"/>
    <w:rsid w:val="002423EA"/>
    <w:rsid w:val="00242440"/>
    <w:rsid w:val="002425DA"/>
    <w:rsid w:val="0024274E"/>
    <w:rsid w:val="00242750"/>
    <w:rsid w:val="0024286E"/>
    <w:rsid w:val="00242949"/>
    <w:rsid w:val="00242A32"/>
    <w:rsid w:val="00242D58"/>
    <w:rsid w:val="00242DA8"/>
    <w:rsid w:val="00242DE7"/>
    <w:rsid w:val="00242E28"/>
    <w:rsid w:val="00242F71"/>
    <w:rsid w:val="00242F72"/>
    <w:rsid w:val="00242FEA"/>
    <w:rsid w:val="00243005"/>
    <w:rsid w:val="002435F6"/>
    <w:rsid w:val="00243C5F"/>
    <w:rsid w:val="00243CCA"/>
    <w:rsid w:val="00243D98"/>
    <w:rsid w:val="00243DC0"/>
    <w:rsid w:val="002442D3"/>
    <w:rsid w:val="0024453A"/>
    <w:rsid w:val="002446AD"/>
    <w:rsid w:val="00244826"/>
    <w:rsid w:val="00244B4E"/>
    <w:rsid w:val="00244DE1"/>
    <w:rsid w:val="00244F86"/>
    <w:rsid w:val="002451F6"/>
    <w:rsid w:val="002454E1"/>
    <w:rsid w:val="002454E3"/>
    <w:rsid w:val="002455B0"/>
    <w:rsid w:val="002455FF"/>
    <w:rsid w:val="0024588F"/>
    <w:rsid w:val="00245AAB"/>
    <w:rsid w:val="00245ACA"/>
    <w:rsid w:val="00245FC1"/>
    <w:rsid w:val="00246140"/>
    <w:rsid w:val="0024617B"/>
    <w:rsid w:val="00246461"/>
    <w:rsid w:val="0024652D"/>
    <w:rsid w:val="002466EA"/>
    <w:rsid w:val="002468E9"/>
    <w:rsid w:val="0024696A"/>
    <w:rsid w:val="00246A57"/>
    <w:rsid w:val="00246B8E"/>
    <w:rsid w:val="00246BF2"/>
    <w:rsid w:val="00246CD1"/>
    <w:rsid w:val="00246F47"/>
    <w:rsid w:val="00247316"/>
    <w:rsid w:val="002473A9"/>
    <w:rsid w:val="00247477"/>
    <w:rsid w:val="002475D5"/>
    <w:rsid w:val="00247754"/>
    <w:rsid w:val="002478B3"/>
    <w:rsid w:val="00247972"/>
    <w:rsid w:val="00247A82"/>
    <w:rsid w:val="00247EA7"/>
    <w:rsid w:val="002500C6"/>
    <w:rsid w:val="002502E4"/>
    <w:rsid w:val="00250664"/>
    <w:rsid w:val="00250702"/>
    <w:rsid w:val="002507C2"/>
    <w:rsid w:val="002507F6"/>
    <w:rsid w:val="00250CE7"/>
    <w:rsid w:val="00250E53"/>
    <w:rsid w:val="00250F7D"/>
    <w:rsid w:val="002510A2"/>
    <w:rsid w:val="002512BF"/>
    <w:rsid w:val="002512F9"/>
    <w:rsid w:val="00251338"/>
    <w:rsid w:val="00251551"/>
    <w:rsid w:val="0025158F"/>
    <w:rsid w:val="00251689"/>
    <w:rsid w:val="0025188A"/>
    <w:rsid w:val="00251900"/>
    <w:rsid w:val="00252472"/>
    <w:rsid w:val="00252653"/>
    <w:rsid w:val="00252846"/>
    <w:rsid w:val="00252921"/>
    <w:rsid w:val="00252AFF"/>
    <w:rsid w:val="00252BC5"/>
    <w:rsid w:val="00252C3D"/>
    <w:rsid w:val="00252DE2"/>
    <w:rsid w:val="00253030"/>
    <w:rsid w:val="0025308A"/>
    <w:rsid w:val="002530CB"/>
    <w:rsid w:val="002531CD"/>
    <w:rsid w:val="0025328D"/>
    <w:rsid w:val="00253380"/>
    <w:rsid w:val="002535E4"/>
    <w:rsid w:val="002536BA"/>
    <w:rsid w:val="00253A5D"/>
    <w:rsid w:val="00253BA5"/>
    <w:rsid w:val="00253C07"/>
    <w:rsid w:val="00253C9D"/>
    <w:rsid w:val="00254069"/>
    <w:rsid w:val="002540AC"/>
    <w:rsid w:val="00254121"/>
    <w:rsid w:val="002543C9"/>
    <w:rsid w:val="0025456C"/>
    <w:rsid w:val="00254573"/>
    <w:rsid w:val="002545AA"/>
    <w:rsid w:val="00254853"/>
    <w:rsid w:val="002549B3"/>
    <w:rsid w:val="00254ADD"/>
    <w:rsid w:val="00254C21"/>
    <w:rsid w:val="00254F1D"/>
    <w:rsid w:val="00255007"/>
    <w:rsid w:val="00255076"/>
    <w:rsid w:val="002551A0"/>
    <w:rsid w:val="002551FC"/>
    <w:rsid w:val="00255569"/>
    <w:rsid w:val="0025559F"/>
    <w:rsid w:val="00255603"/>
    <w:rsid w:val="0025560B"/>
    <w:rsid w:val="00255683"/>
    <w:rsid w:val="00255865"/>
    <w:rsid w:val="00255AD2"/>
    <w:rsid w:val="00255C79"/>
    <w:rsid w:val="00256063"/>
    <w:rsid w:val="002560AB"/>
    <w:rsid w:val="002560ED"/>
    <w:rsid w:val="00256190"/>
    <w:rsid w:val="00256264"/>
    <w:rsid w:val="002562B9"/>
    <w:rsid w:val="002562C5"/>
    <w:rsid w:val="002563B5"/>
    <w:rsid w:val="00256499"/>
    <w:rsid w:val="002567A7"/>
    <w:rsid w:val="0025691B"/>
    <w:rsid w:val="00256B1F"/>
    <w:rsid w:val="00256BA0"/>
    <w:rsid w:val="00257046"/>
    <w:rsid w:val="002570BF"/>
    <w:rsid w:val="002571BE"/>
    <w:rsid w:val="00257217"/>
    <w:rsid w:val="00257480"/>
    <w:rsid w:val="00257489"/>
    <w:rsid w:val="00257700"/>
    <w:rsid w:val="002579E6"/>
    <w:rsid w:val="00257A53"/>
    <w:rsid w:val="00257BAF"/>
    <w:rsid w:val="00257D02"/>
    <w:rsid w:val="002600A2"/>
    <w:rsid w:val="002601F1"/>
    <w:rsid w:val="00260374"/>
    <w:rsid w:val="00260444"/>
    <w:rsid w:val="002605B7"/>
    <w:rsid w:val="0026066E"/>
    <w:rsid w:val="002609FD"/>
    <w:rsid w:val="00260A75"/>
    <w:rsid w:val="00260CDE"/>
    <w:rsid w:val="00260DF5"/>
    <w:rsid w:val="00260E37"/>
    <w:rsid w:val="002610B4"/>
    <w:rsid w:val="002612CE"/>
    <w:rsid w:val="002613E9"/>
    <w:rsid w:val="00261497"/>
    <w:rsid w:val="002615BC"/>
    <w:rsid w:val="002618E4"/>
    <w:rsid w:val="00261C82"/>
    <w:rsid w:val="00261E3A"/>
    <w:rsid w:val="00261E73"/>
    <w:rsid w:val="00261F48"/>
    <w:rsid w:val="00261FAD"/>
    <w:rsid w:val="0026246C"/>
    <w:rsid w:val="002624EE"/>
    <w:rsid w:val="002626F1"/>
    <w:rsid w:val="0026272E"/>
    <w:rsid w:val="0026295A"/>
    <w:rsid w:val="00262C23"/>
    <w:rsid w:val="00262CAB"/>
    <w:rsid w:val="00262CAD"/>
    <w:rsid w:val="00262D47"/>
    <w:rsid w:val="00262E5B"/>
    <w:rsid w:val="00262E5D"/>
    <w:rsid w:val="00262EB9"/>
    <w:rsid w:val="002632F9"/>
    <w:rsid w:val="002633AF"/>
    <w:rsid w:val="00263A4E"/>
    <w:rsid w:val="00263B27"/>
    <w:rsid w:val="00263CDA"/>
    <w:rsid w:val="00263E1B"/>
    <w:rsid w:val="00263F74"/>
    <w:rsid w:val="00264300"/>
    <w:rsid w:val="0026433B"/>
    <w:rsid w:val="002643A4"/>
    <w:rsid w:val="0026475E"/>
    <w:rsid w:val="0026479B"/>
    <w:rsid w:val="002649C0"/>
    <w:rsid w:val="00264B71"/>
    <w:rsid w:val="00264BF4"/>
    <w:rsid w:val="00264C80"/>
    <w:rsid w:val="00264CD6"/>
    <w:rsid w:val="00264D0B"/>
    <w:rsid w:val="00264E66"/>
    <w:rsid w:val="00264F11"/>
    <w:rsid w:val="002654A0"/>
    <w:rsid w:val="00265696"/>
    <w:rsid w:val="0026572D"/>
    <w:rsid w:val="002657DF"/>
    <w:rsid w:val="00265896"/>
    <w:rsid w:val="002658E0"/>
    <w:rsid w:val="00265AC3"/>
    <w:rsid w:val="00265B56"/>
    <w:rsid w:val="00265BB0"/>
    <w:rsid w:val="00265E65"/>
    <w:rsid w:val="00266171"/>
    <w:rsid w:val="002663D3"/>
    <w:rsid w:val="00266465"/>
    <w:rsid w:val="00266A63"/>
    <w:rsid w:val="00266D27"/>
    <w:rsid w:val="00266F68"/>
    <w:rsid w:val="00266F80"/>
    <w:rsid w:val="00267496"/>
    <w:rsid w:val="0026751F"/>
    <w:rsid w:val="00267522"/>
    <w:rsid w:val="00267612"/>
    <w:rsid w:val="00267646"/>
    <w:rsid w:val="0026769B"/>
    <w:rsid w:val="00267744"/>
    <w:rsid w:val="00267909"/>
    <w:rsid w:val="0026790B"/>
    <w:rsid w:val="00267A41"/>
    <w:rsid w:val="00267D9A"/>
    <w:rsid w:val="0027002C"/>
    <w:rsid w:val="002700D1"/>
    <w:rsid w:val="00270143"/>
    <w:rsid w:val="00270440"/>
    <w:rsid w:val="002706FB"/>
    <w:rsid w:val="002707E9"/>
    <w:rsid w:val="00270CF5"/>
    <w:rsid w:val="00270E6C"/>
    <w:rsid w:val="00270EA9"/>
    <w:rsid w:val="0027104F"/>
    <w:rsid w:val="00271089"/>
    <w:rsid w:val="00271285"/>
    <w:rsid w:val="00271321"/>
    <w:rsid w:val="0027147B"/>
    <w:rsid w:val="0027158D"/>
    <w:rsid w:val="0027161B"/>
    <w:rsid w:val="0027163D"/>
    <w:rsid w:val="00271677"/>
    <w:rsid w:val="002716CD"/>
    <w:rsid w:val="0027194A"/>
    <w:rsid w:val="002719EF"/>
    <w:rsid w:val="00271B60"/>
    <w:rsid w:val="00271C87"/>
    <w:rsid w:val="00271C8E"/>
    <w:rsid w:val="00271DBC"/>
    <w:rsid w:val="00272066"/>
    <w:rsid w:val="002723A6"/>
    <w:rsid w:val="00272476"/>
    <w:rsid w:val="0027266B"/>
    <w:rsid w:val="0027268A"/>
    <w:rsid w:val="0027296F"/>
    <w:rsid w:val="002729BE"/>
    <w:rsid w:val="00272B9C"/>
    <w:rsid w:val="00272C6E"/>
    <w:rsid w:val="0027367D"/>
    <w:rsid w:val="00273687"/>
    <w:rsid w:val="002736EA"/>
    <w:rsid w:val="0027373A"/>
    <w:rsid w:val="00273743"/>
    <w:rsid w:val="00273A57"/>
    <w:rsid w:val="00273B58"/>
    <w:rsid w:val="00273B96"/>
    <w:rsid w:val="00273BF5"/>
    <w:rsid w:val="00273C41"/>
    <w:rsid w:val="00273CF8"/>
    <w:rsid w:val="002740A4"/>
    <w:rsid w:val="0027413D"/>
    <w:rsid w:val="00274373"/>
    <w:rsid w:val="0027440B"/>
    <w:rsid w:val="002745C1"/>
    <w:rsid w:val="00274602"/>
    <w:rsid w:val="00274888"/>
    <w:rsid w:val="00274B9B"/>
    <w:rsid w:val="00274BFB"/>
    <w:rsid w:val="00274EFB"/>
    <w:rsid w:val="00275410"/>
    <w:rsid w:val="00275943"/>
    <w:rsid w:val="00275C4A"/>
    <w:rsid w:val="00275E18"/>
    <w:rsid w:val="00275E63"/>
    <w:rsid w:val="00275EC4"/>
    <w:rsid w:val="00276195"/>
    <w:rsid w:val="0027626D"/>
    <w:rsid w:val="002763B7"/>
    <w:rsid w:val="0027661B"/>
    <w:rsid w:val="0027668F"/>
    <w:rsid w:val="00276B74"/>
    <w:rsid w:val="00276BA5"/>
    <w:rsid w:val="00276BC3"/>
    <w:rsid w:val="00277670"/>
    <w:rsid w:val="00277C06"/>
    <w:rsid w:val="00277D03"/>
    <w:rsid w:val="00277DDC"/>
    <w:rsid w:val="00280263"/>
    <w:rsid w:val="00280317"/>
    <w:rsid w:val="0028082E"/>
    <w:rsid w:val="002808B4"/>
    <w:rsid w:val="00280912"/>
    <w:rsid w:val="00280977"/>
    <w:rsid w:val="00280A26"/>
    <w:rsid w:val="00280B65"/>
    <w:rsid w:val="00280C23"/>
    <w:rsid w:val="0028102E"/>
    <w:rsid w:val="0028126E"/>
    <w:rsid w:val="002812BB"/>
    <w:rsid w:val="002812E2"/>
    <w:rsid w:val="0028132F"/>
    <w:rsid w:val="002813FF"/>
    <w:rsid w:val="0028142F"/>
    <w:rsid w:val="00281788"/>
    <w:rsid w:val="002819CC"/>
    <w:rsid w:val="00281B86"/>
    <w:rsid w:val="00281E96"/>
    <w:rsid w:val="002821F9"/>
    <w:rsid w:val="00282298"/>
    <w:rsid w:val="0028237D"/>
    <w:rsid w:val="0028237F"/>
    <w:rsid w:val="002823AB"/>
    <w:rsid w:val="002825DF"/>
    <w:rsid w:val="00282669"/>
    <w:rsid w:val="0028287D"/>
    <w:rsid w:val="00282D77"/>
    <w:rsid w:val="00282F3A"/>
    <w:rsid w:val="00283552"/>
    <w:rsid w:val="00283608"/>
    <w:rsid w:val="00283743"/>
    <w:rsid w:val="00283866"/>
    <w:rsid w:val="00283885"/>
    <w:rsid w:val="00283B36"/>
    <w:rsid w:val="00283C89"/>
    <w:rsid w:val="00283CFF"/>
    <w:rsid w:val="00283D0E"/>
    <w:rsid w:val="00284040"/>
    <w:rsid w:val="0028414C"/>
    <w:rsid w:val="0028426A"/>
    <w:rsid w:val="00284401"/>
    <w:rsid w:val="00284490"/>
    <w:rsid w:val="00284500"/>
    <w:rsid w:val="00284563"/>
    <w:rsid w:val="0028463E"/>
    <w:rsid w:val="002846E3"/>
    <w:rsid w:val="00284AF5"/>
    <w:rsid w:val="00284C26"/>
    <w:rsid w:val="00284D0A"/>
    <w:rsid w:val="00284D8D"/>
    <w:rsid w:val="00284EE3"/>
    <w:rsid w:val="0028517E"/>
    <w:rsid w:val="0028524A"/>
    <w:rsid w:val="00285585"/>
    <w:rsid w:val="002856DF"/>
    <w:rsid w:val="002857E8"/>
    <w:rsid w:val="00285844"/>
    <w:rsid w:val="00285964"/>
    <w:rsid w:val="00285CA1"/>
    <w:rsid w:val="002860EF"/>
    <w:rsid w:val="00286591"/>
    <w:rsid w:val="0028688E"/>
    <w:rsid w:val="0028690B"/>
    <w:rsid w:val="00286926"/>
    <w:rsid w:val="00286953"/>
    <w:rsid w:val="00286C94"/>
    <w:rsid w:val="00286E74"/>
    <w:rsid w:val="00287078"/>
    <w:rsid w:val="0028716B"/>
    <w:rsid w:val="0028764A"/>
    <w:rsid w:val="00287832"/>
    <w:rsid w:val="00287A3A"/>
    <w:rsid w:val="00287BC5"/>
    <w:rsid w:val="00287C32"/>
    <w:rsid w:val="00287C36"/>
    <w:rsid w:val="00287FF5"/>
    <w:rsid w:val="002901FA"/>
    <w:rsid w:val="00290471"/>
    <w:rsid w:val="002908C9"/>
    <w:rsid w:val="00290B07"/>
    <w:rsid w:val="00290B64"/>
    <w:rsid w:val="00290DF9"/>
    <w:rsid w:val="00290F71"/>
    <w:rsid w:val="00291261"/>
    <w:rsid w:val="002912B0"/>
    <w:rsid w:val="0029152B"/>
    <w:rsid w:val="00291609"/>
    <w:rsid w:val="0029184B"/>
    <w:rsid w:val="00291A9E"/>
    <w:rsid w:val="00291C76"/>
    <w:rsid w:val="00291DEC"/>
    <w:rsid w:val="00291F90"/>
    <w:rsid w:val="002921F3"/>
    <w:rsid w:val="002922F6"/>
    <w:rsid w:val="00292350"/>
    <w:rsid w:val="00292373"/>
    <w:rsid w:val="0029237A"/>
    <w:rsid w:val="002924EC"/>
    <w:rsid w:val="002927DB"/>
    <w:rsid w:val="0029299A"/>
    <w:rsid w:val="00292A57"/>
    <w:rsid w:val="00292B77"/>
    <w:rsid w:val="00292C23"/>
    <w:rsid w:val="00292CEF"/>
    <w:rsid w:val="00293016"/>
    <w:rsid w:val="002931DD"/>
    <w:rsid w:val="00293221"/>
    <w:rsid w:val="0029365A"/>
    <w:rsid w:val="002937B2"/>
    <w:rsid w:val="002937C7"/>
    <w:rsid w:val="002938E8"/>
    <w:rsid w:val="00293949"/>
    <w:rsid w:val="00293A12"/>
    <w:rsid w:val="00293DEE"/>
    <w:rsid w:val="00293E66"/>
    <w:rsid w:val="00293EDA"/>
    <w:rsid w:val="002941FF"/>
    <w:rsid w:val="002945EA"/>
    <w:rsid w:val="0029476B"/>
    <w:rsid w:val="002948E2"/>
    <w:rsid w:val="0029499E"/>
    <w:rsid w:val="00294B49"/>
    <w:rsid w:val="00295055"/>
    <w:rsid w:val="002950FB"/>
    <w:rsid w:val="00295117"/>
    <w:rsid w:val="002951A5"/>
    <w:rsid w:val="002951D0"/>
    <w:rsid w:val="002953BF"/>
    <w:rsid w:val="0029565E"/>
    <w:rsid w:val="002959BC"/>
    <w:rsid w:val="00295EE9"/>
    <w:rsid w:val="002960BA"/>
    <w:rsid w:val="002960F0"/>
    <w:rsid w:val="00296362"/>
    <w:rsid w:val="00296624"/>
    <w:rsid w:val="0029676B"/>
    <w:rsid w:val="00296802"/>
    <w:rsid w:val="0029689E"/>
    <w:rsid w:val="00296C3D"/>
    <w:rsid w:val="00296C89"/>
    <w:rsid w:val="00296EF9"/>
    <w:rsid w:val="00297117"/>
    <w:rsid w:val="00297247"/>
    <w:rsid w:val="0029767C"/>
    <w:rsid w:val="0029778A"/>
    <w:rsid w:val="002977EC"/>
    <w:rsid w:val="002979A9"/>
    <w:rsid w:val="00297BBC"/>
    <w:rsid w:val="00297C28"/>
    <w:rsid w:val="00297D9E"/>
    <w:rsid w:val="00297E46"/>
    <w:rsid w:val="00297F3F"/>
    <w:rsid w:val="00297FB7"/>
    <w:rsid w:val="002A0086"/>
    <w:rsid w:val="002A00DB"/>
    <w:rsid w:val="002A03FC"/>
    <w:rsid w:val="002A04E1"/>
    <w:rsid w:val="002A0970"/>
    <w:rsid w:val="002A0A46"/>
    <w:rsid w:val="002A0B5D"/>
    <w:rsid w:val="002A0C13"/>
    <w:rsid w:val="002A0C4D"/>
    <w:rsid w:val="002A0D2A"/>
    <w:rsid w:val="002A0E9F"/>
    <w:rsid w:val="002A0EA0"/>
    <w:rsid w:val="002A0F04"/>
    <w:rsid w:val="002A0F1E"/>
    <w:rsid w:val="002A10B0"/>
    <w:rsid w:val="002A121D"/>
    <w:rsid w:val="002A1651"/>
    <w:rsid w:val="002A16F5"/>
    <w:rsid w:val="002A1725"/>
    <w:rsid w:val="002A18F8"/>
    <w:rsid w:val="002A19B1"/>
    <w:rsid w:val="002A1A02"/>
    <w:rsid w:val="002A1B85"/>
    <w:rsid w:val="002A1BA9"/>
    <w:rsid w:val="002A1D28"/>
    <w:rsid w:val="002A20A6"/>
    <w:rsid w:val="002A218E"/>
    <w:rsid w:val="002A21C8"/>
    <w:rsid w:val="002A24C6"/>
    <w:rsid w:val="002A26CF"/>
    <w:rsid w:val="002A2F1E"/>
    <w:rsid w:val="002A2F64"/>
    <w:rsid w:val="002A339C"/>
    <w:rsid w:val="002A34B5"/>
    <w:rsid w:val="002A34D2"/>
    <w:rsid w:val="002A35D4"/>
    <w:rsid w:val="002A36A9"/>
    <w:rsid w:val="002A37EA"/>
    <w:rsid w:val="002A385D"/>
    <w:rsid w:val="002A3AB9"/>
    <w:rsid w:val="002A3F99"/>
    <w:rsid w:val="002A404D"/>
    <w:rsid w:val="002A4082"/>
    <w:rsid w:val="002A40F8"/>
    <w:rsid w:val="002A4162"/>
    <w:rsid w:val="002A4220"/>
    <w:rsid w:val="002A42A3"/>
    <w:rsid w:val="002A4799"/>
    <w:rsid w:val="002A4998"/>
    <w:rsid w:val="002A4A1D"/>
    <w:rsid w:val="002A4BA9"/>
    <w:rsid w:val="002A4CE6"/>
    <w:rsid w:val="002A4D48"/>
    <w:rsid w:val="002A4E19"/>
    <w:rsid w:val="002A4F44"/>
    <w:rsid w:val="002A4FAF"/>
    <w:rsid w:val="002A5114"/>
    <w:rsid w:val="002A521A"/>
    <w:rsid w:val="002A5249"/>
    <w:rsid w:val="002A52FF"/>
    <w:rsid w:val="002A54FF"/>
    <w:rsid w:val="002A5756"/>
    <w:rsid w:val="002A5BA4"/>
    <w:rsid w:val="002A5BBB"/>
    <w:rsid w:val="002A5C9C"/>
    <w:rsid w:val="002A5D19"/>
    <w:rsid w:val="002A6241"/>
    <w:rsid w:val="002A647E"/>
    <w:rsid w:val="002A64C5"/>
    <w:rsid w:val="002A65AA"/>
    <w:rsid w:val="002A6951"/>
    <w:rsid w:val="002A6BAC"/>
    <w:rsid w:val="002A6BF4"/>
    <w:rsid w:val="002A6CBE"/>
    <w:rsid w:val="002A6DF0"/>
    <w:rsid w:val="002A6E47"/>
    <w:rsid w:val="002A6F04"/>
    <w:rsid w:val="002A6F3F"/>
    <w:rsid w:val="002A7306"/>
    <w:rsid w:val="002A7544"/>
    <w:rsid w:val="002A75D1"/>
    <w:rsid w:val="002A75F1"/>
    <w:rsid w:val="002A77F8"/>
    <w:rsid w:val="002A78C2"/>
    <w:rsid w:val="002A7936"/>
    <w:rsid w:val="002A794F"/>
    <w:rsid w:val="002A7BE8"/>
    <w:rsid w:val="002A7EE6"/>
    <w:rsid w:val="002A7FC0"/>
    <w:rsid w:val="002B012B"/>
    <w:rsid w:val="002B0154"/>
    <w:rsid w:val="002B03C0"/>
    <w:rsid w:val="002B03D8"/>
    <w:rsid w:val="002B048D"/>
    <w:rsid w:val="002B07D1"/>
    <w:rsid w:val="002B083A"/>
    <w:rsid w:val="002B0891"/>
    <w:rsid w:val="002B0CB4"/>
    <w:rsid w:val="002B0D4B"/>
    <w:rsid w:val="002B0E89"/>
    <w:rsid w:val="002B0F35"/>
    <w:rsid w:val="002B0FB5"/>
    <w:rsid w:val="002B1123"/>
    <w:rsid w:val="002B1436"/>
    <w:rsid w:val="002B1857"/>
    <w:rsid w:val="002B18AC"/>
    <w:rsid w:val="002B18B6"/>
    <w:rsid w:val="002B1A6F"/>
    <w:rsid w:val="002B1BBA"/>
    <w:rsid w:val="002B1C3C"/>
    <w:rsid w:val="002B1D2C"/>
    <w:rsid w:val="002B1DA9"/>
    <w:rsid w:val="002B2086"/>
    <w:rsid w:val="002B228D"/>
    <w:rsid w:val="002B23A2"/>
    <w:rsid w:val="002B2442"/>
    <w:rsid w:val="002B294B"/>
    <w:rsid w:val="002B299D"/>
    <w:rsid w:val="002B29A3"/>
    <w:rsid w:val="002B2A5B"/>
    <w:rsid w:val="002B2B6F"/>
    <w:rsid w:val="002B2D47"/>
    <w:rsid w:val="002B2F41"/>
    <w:rsid w:val="002B3028"/>
    <w:rsid w:val="002B30C8"/>
    <w:rsid w:val="002B3B1D"/>
    <w:rsid w:val="002B3CBF"/>
    <w:rsid w:val="002B3CDA"/>
    <w:rsid w:val="002B3DC5"/>
    <w:rsid w:val="002B3EB5"/>
    <w:rsid w:val="002B42BA"/>
    <w:rsid w:val="002B43DC"/>
    <w:rsid w:val="002B4729"/>
    <w:rsid w:val="002B4841"/>
    <w:rsid w:val="002B4AE1"/>
    <w:rsid w:val="002B4BE3"/>
    <w:rsid w:val="002B4DDE"/>
    <w:rsid w:val="002B4E41"/>
    <w:rsid w:val="002B50ED"/>
    <w:rsid w:val="002B5232"/>
    <w:rsid w:val="002B523E"/>
    <w:rsid w:val="002B56C4"/>
    <w:rsid w:val="002B579D"/>
    <w:rsid w:val="002B5867"/>
    <w:rsid w:val="002B5B19"/>
    <w:rsid w:val="002B5B38"/>
    <w:rsid w:val="002B5B85"/>
    <w:rsid w:val="002B5C75"/>
    <w:rsid w:val="002B5D55"/>
    <w:rsid w:val="002B5F25"/>
    <w:rsid w:val="002B5F67"/>
    <w:rsid w:val="002B5FA7"/>
    <w:rsid w:val="002B6083"/>
    <w:rsid w:val="002B62EC"/>
    <w:rsid w:val="002B636D"/>
    <w:rsid w:val="002B69EB"/>
    <w:rsid w:val="002B6AE4"/>
    <w:rsid w:val="002B6BEA"/>
    <w:rsid w:val="002B710C"/>
    <w:rsid w:val="002B720B"/>
    <w:rsid w:val="002B73C9"/>
    <w:rsid w:val="002B7410"/>
    <w:rsid w:val="002B7448"/>
    <w:rsid w:val="002B78C0"/>
    <w:rsid w:val="002B7988"/>
    <w:rsid w:val="002B7AA0"/>
    <w:rsid w:val="002B7B8F"/>
    <w:rsid w:val="002B7C0E"/>
    <w:rsid w:val="002B7DF5"/>
    <w:rsid w:val="002C00FF"/>
    <w:rsid w:val="002C01FE"/>
    <w:rsid w:val="002C038A"/>
    <w:rsid w:val="002C042D"/>
    <w:rsid w:val="002C0537"/>
    <w:rsid w:val="002C05F0"/>
    <w:rsid w:val="002C0995"/>
    <w:rsid w:val="002C0ABC"/>
    <w:rsid w:val="002C0B1D"/>
    <w:rsid w:val="002C0B7A"/>
    <w:rsid w:val="002C0B81"/>
    <w:rsid w:val="002C0DD7"/>
    <w:rsid w:val="002C0E3A"/>
    <w:rsid w:val="002C1279"/>
    <w:rsid w:val="002C130C"/>
    <w:rsid w:val="002C13C6"/>
    <w:rsid w:val="002C14B9"/>
    <w:rsid w:val="002C162A"/>
    <w:rsid w:val="002C16F3"/>
    <w:rsid w:val="002C1BBD"/>
    <w:rsid w:val="002C1E1E"/>
    <w:rsid w:val="002C2184"/>
    <w:rsid w:val="002C23BB"/>
    <w:rsid w:val="002C2568"/>
    <w:rsid w:val="002C26E4"/>
    <w:rsid w:val="002C26E5"/>
    <w:rsid w:val="002C27AA"/>
    <w:rsid w:val="002C2904"/>
    <w:rsid w:val="002C293A"/>
    <w:rsid w:val="002C2BD3"/>
    <w:rsid w:val="002C2CC6"/>
    <w:rsid w:val="002C2E3A"/>
    <w:rsid w:val="002C2ED0"/>
    <w:rsid w:val="002C2EEB"/>
    <w:rsid w:val="002C2F74"/>
    <w:rsid w:val="002C326E"/>
    <w:rsid w:val="002C3496"/>
    <w:rsid w:val="002C364D"/>
    <w:rsid w:val="002C3655"/>
    <w:rsid w:val="002C37E0"/>
    <w:rsid w:val="002C3A6C"/>
    <w:rsid w:val="002C3C91"/>
    <w:rsid w:val="002C3DBE"/>
    <w:rsid w:val="002C3EC1"/>
    <w:rsid w:val="002C3F4D"/>
    <w:rsid w:val="002C3FAA"/>
    <w:rsid w:val="002C4113"/>
    <w:rsid w:val="002C42A4"/>
    <w:rsid w:val="002C4446"/>
    <w:rsid w:val="002C44B0"/>
    <w:rsid w:val="002C44FC"/>
    <w:rsid w:val="002C4563"/>
    <w:rsid w:val="002C45A5"/>
    <w:rsid w:val="002C47A5"/>
    <w:rsid w:val="002C4C3D"/>
    <w:rsid w:val="002C4D14"/>
    <w:rsid w:val="002C4DD0"/>
    <w:rsid w:val="002C4EE5"/>
    <w:rsid w:val="002C5163"/>
    <w:rsid w:val="002C5356"/>
    <w:rsid w:val="002C538B"/>
    <w:rsid w:val="002C53C4"/>
    <w:rsid w:val="002C5468"/>
    <w:rsid w:val="002C54BD"/>
    <w:rsid w:val="002C55FA"/>
    <w:rsid w:val="002C57DD"/>
    <w:rsid w:val="002C592A"/>
    <w:rsid w:val="002C5D57"/>
    <w:rsid w:val="002C5E4B"/>
    <w:rsid w:val="002C6034"/>
    <w:rsid w:val="002C60A9"/>
    <w:rsid w:val="002C61C2"/>
    <w:rsid w:val="002C623E"/>
    <w:rsid w:val="002C6435"/>
    <w:rsid w:val="002C663C"/>
    <w:rsid w:val="002C6674"/>
    <w:rsid w:val="002C66C6"/>
    <w:rsid w:val="002C6936"/>
    <w:rsid w:val="002C6D58"/>
    <w:rsid w:val="002C6DCD"/>
    <w:rsid w:val="002C709A"/>
    <w:rsid w:val="002C70C7"/>
    <w:rsid w:val="002C75F2"/>
    <w:rsid w:val="002C765A"/>
    <w:rsid w:val="002C7B42"/>
    <w:rsid w:val="002C7F46"/>
    <w:rsid w:val="002C7F47"/>
    <w:rsid w:val="002C7F69"/>
    <w:rsid w:val="002C7FE9"/>
    <w:rsid w:val="002D04A0"/>
    <w:rsid w:val="002D0539"/>
    <w:rsid w:val="002D06B6"/>
    <w:rsid w:val="002D081E"/>
    <w:rsid w:val="002D0B98"/>
    <w:rsid w:val="002D0DC5"/>
    <w:rsid w:val="002D0F97"/>
    <w:rsid w:val="002D1059"/>
    <w:rsid w:val="002D11BB"/>
    <w:rsid w:val="002D1571"/>
    <w:rsid w:val="002D159D"/>
    <w:rsid w:val="002D1625"/>
    <w:rsid w:val="002D171A"/>
    <w:rsid w:val="002D1950"/>
    <w:rsid w:val="002D1A95"/>
    <w:rsid w:val="002D1B00"/>
    <w:rsid w:val="002D1BB2"/>
    <w:rsid w:val="002D1BDE"/>
    <w:rsid w:val="002D1CC9"/>
    <w:rsid w:val="002D1DDA"/>
    <w:rsid w:val="002D24B0"/>
    <w:rsid w:val="002D2501"/>
    <w:rsid w:val="002D26E6"/>
    <w:rsid w:val="002D2927"/>
    <w:rsid w:val="002D2963"/>
    <w:rsid w:val="002D2BBD"/>
    <w:rsid w:val="002D2BE5"/>
    <w:rsid w:val="002D2FF8"/>
    <w:rsid w:val="002D3063"/>
    <w:rsid w:val="002D34B9"/>
    <w:rsid w:val="002D3561"/>
    <w:rsid w:val="002D35EB"/>
    <w:rsid w:val="002D37FF"/>
    <w:rsid w:val="002D3879"/>
    <w:rsid w:val="002D39C9"/>
    <w:rsid w:val="002D39EE"/>
    <w:rsid w:val="002D3A39"/>
    <w:rsid w:val="002D3A3D"/>
    <w:rsid w:val="002D3BEA"/>
    <w:rsid w:val="002D3CC8"/>
    <w:rsid w:val="002D3EE0"/>
    <w:rsid w:val="002D3F03"/>
    <w:rsid w:val="002D3F54"/>
    <w:rsid w:val="002D4712"/>
    <w:rsid w:val="002D48EB"/>
    <w:rsid w:val="002D4B51"/>
    <w:rsid w:val="002D4B64"/>
    <w:rsid w:val="002D4D65"/>
    <w:rsid w:val="002D4EEA"/>
    <w:rsid w:val="002D4EF5"/>
    <w:rsid w:val="002D4EFD"/>
    <w:rsid w:val="002D5165"/>
    <w:rsid w:val="002D51FE"/>
    <w:rsid w:val="002D5206"/>
    <w:rsid w:val="002D54E6"/>
    <w:rsid w:val="002D561C"/>
    <w:rsid w:val="002D56FA"/>
    <w:rsid w:val="002D58DF"/>
    <w:rsid w:val="002D5BCD"/>
    <w:rsid w:val="002D5C1B"/>
    <w:rsid w:val="002D5D3A"/>
    <w:rsid w:val="002D5EFF"/>
    <w:rsid w:val="002D6018"/>
    <w:rsid w:val="002D6052"/>
    <w:rsid w:val="002D608E"/>
    <w:rsid w:val="002D6180"/>
    <w:rsid w:val="002D64DB"/>
    <w:rsid w:val="002D656F"/>
    <w:rsid w:val="002D6587"/>
    <w:rsid w:val="002D6A87"/>
    <w:rsid w:val="002D6B36"/>
    <w:rsid w:val="002D6BC8"/>
    <w:rsid w:val="002D6D04"/>
    <w:rsid w:val="002D6D19"/>
    <w:rsid w:val="002D740A"/>
    <w:rsid w:val="002D755D"/>
    <w:rsid w:val="002D7660"/>
    <w:rsid w:val="002D7677"/>
    <w:rsid w:val="002D7893"/>
    <w:rsid w:val="002D7A0A"/>
    <w:rsid w:val="002D7B7A"/>
    <w:rsid w:val="002D7DA9"/>
    <w:rsid w:val="002D7DC2"/>
    <w:rsid w:val="002D7F66"/>
    <w:rsid w:val="002E01EE"/>
    <w:rsid w:val="002E026D"/>
    <w:rsid w:val="002E02BF"/>
    <w:rsid w:val="002E0384"/>
    <w:rsid w:val="002E0813"/>
    <w:rsid w:val="002E08B5"/>
    <w:rsid w:val="002E0947"/>
    <w:rsid w:val="002E096D"/>
    <w:rsid w:val="002E0C84"/>
    <w:rsid w:val="002E0CDD"/>
    <w:rsid w:val="002E0CF5"/>
    <w:rsid w:val="002E0EE7"/>
    <w:rsid w:val="002E0FDE"/>
    <w:rsid w:val="002E146D"/>
    <w:rsid w:val="002E15E7"/>
    <w:rsid w:val="002E164D"/>
    <w:rsid w:val="002E18B9"/>
    <w:rsid w:val="002E1FAD"/>
    <w:rsid w:val="002E2060"/>
    <w:rsid w:val="002E20CF"/>
    <w:rsid w:val="002E22FB"/>
    <w:rsid w:val="002E234F"/>
    <w:rsid w:val="002E268A"/>
    <w:rsid w:val="002E2863"/>
    <w:rsid w:val="002E2A87"/>
    <w:rsid w:val="002E2B69"/>
    <w:rsid w:val="002E2E8D"/>
    <w:rsid w:val="002E32A1"/>
    <w:rsid w:val="002E35EA"/>
    <w:rsid w:val="002E360F"/>
    <w:rsid w:val="002E36D8"/>
    <w:rsid w:val="002E3AE7"/>
    <w:rsid w:val="002E405B"/>
    <w:rsid w:val="002E41DC"/>
    <w:rsid w:val="002E43E3"/>
    <w:rsid w:val="002E462E"/>
    <w:rsid w:val="002E473F"/>
    <w:rsid w:val="002E4797"/>
    <w:rsid w:val="002E47FC"/>
    <w:rsid w:val="002E481F"/>
    <w:rsid w:val="002E4A1F"/>
    <w:rsid w:val="002E4AE8"/>
    <w:rsid w:val="002E4C3C"/>
    <w:rsid w:val="002E4FE1"/>
    <w:rsid w:val="002E508B"/>
    <w:rsid w:val="002E512E"/>
    <w:rsid w:val="002E515B"/>
    <w:rsid w:val="002E538C"/>
    <w:rsid w:val="002E53E2"/>
    <w:rsid w:val="002E54D7"/>
    <w:rsid w:val="002E5539"/>
    <w:rsid w:val="002E5591"/>
    <w:rsid w:val="002E55BE"/>
    <w:rsid w:val="002E5B27"/>
    <w:rsid w:val="002E5BA2"/>
    <w:rsid w:val="002E6080"/>
    <w:rsid w:val="002E61DC"/>
    <w:rsid w:val="002E65D3"/>
    <w:rsid w:val="002E65F4"/>
    <w:rsid w:val="002E6800"/>
    <w:rsid w:val="002E6AD4"/>
    <w:rsid w:val="002E6F58"/>
    <w:rsid w:val="002E6FCD"/>
    <w:rsid w:val="002E704E"/>
    <w:rsid w:val="002E71C0"/>
    <w:rsid w:val="002E7269"/>
    <w:rsid w:val="002E7509"/>
    <w:rsid w:val="002E7766"/>
    <w:rsid w:val="002E77B0"/>
    <w:rsid w:val="002E7C26"/>
    <w:rsid w:val="002E7D94"/>
    <w:rsid w:val="002E7D99"/>
    <w:rsid w:val="002E7E43"/>
    <w:rsid w:val="002E7E89"/>
    <w:rsid w:val="002F01BA"/>
    <w:rsid w:val="002F01DB"/>
    <w:rsid w:val="002F053E"/>
    <w:rsid w:val="002F0AC5"/>
    <w:rsid w:val="002F0BB1"/>
    <w:rsid w:val="002F0F15"/>
    <w:rsid w:val="002F1357"/>
    <w:rsid w:val="002F1566"/>
    <w:rsid w:val="002F161E"/>
    <w:rsid w:val="002F1C4B"/>
    <w:rsid w:val="002F1D81"/>
    <w:rsid w:val="002F1E98"/>
    <w:rsid w:val="002F1F9E"/>
    <w:rsid w:val="002F2062"/>
    <w:rsid w:val="002F2253"/>
    <w:rsid w:val="002F2289"/>
    <w:rsid w:val="002F2458"/>
    <w:rsid w:val="002F27BC"/>
    <w:rsid w:val="002F27E3"/>
    <w:rsid w:val="002F29E0"/>
    <w:rsid w:val="002F2AF4"/>
    <w:rsid w:val="002F2B6D"/>
    <w:rsid w:val="002F2B71"/>
    <w:rsid w:val="002F2C29"/>
    <w:rsid w:val="002F2E60"/>
    <w:rsid w:val="002F2E72"/>
    <w:rsid w:val="002F2FD0"/>
    <w:rsid w:val="002F3387"/>
    <w:rsid w:val="002F3863"/>
    <w:rsid w:val="002F39E3"/>
    <w:rsid w:val="002F3DE0"/>
    <w:rsid w:val="002F3FFC"/>
    <w:rsid w:val="002F4236"/>
    <w:rsid w:val="002F42A2"/>
    <w:rsid w:val="002F4583"/>
    <w:rsid w:val="002F4656"/>
    <w:rsid w:val="002F498E"/>
    <w:rsid w:val="002F4BEB"/>
    <w:rsid w:val="002F4FD0"/>
    <w:rsid w:val="002F5074"/>
    <w:rsid w:val="002F51C3"/>
    <w:rsid w:val="002F5289"/>
    <w:rsid w:val="002F536C"/>
    <w:rsid w:val="002F5528"/>
    <w:rsid w:val="002F57CF"/>
    <w:rsid w:val="002F582D"/>
    <w:rsid w:val="002F59F0"/>
    <w:rsid w:val="002F5B2B"/>
    <w:rsid w:val="002F5CC7"/>
    <w:rsid w:val="002F5D55"/>
    <w:rsid w:val="002F5E20"/>
    <w:rsid w:val="002F5F31"/>
    <w:rsid w:val="002F626B"/>
    <w:rsid w:val="002F632D"/>
    <w:rsid w:val="002F6372"/>
    <w:rsid w:val="002F6464"/>
    <w:rsid w:val="002F6A10"/>
    <w:rsid w:val="002F6AEC"/>
    <w:rsid w:val="002F6B98"/>
    <w:rsid w:val="002F6C1E"/>
    <w:rsid w:val="002F6CBD"/>
    <w:rsid w:val="002F6E4B"/>
    <w:rsid w:val="002F7182"/>
    <w:rsid w:val="002F74B8"/>
    <w:rsid w:val="002F7606"/>
    <w:rsid w:val="002F7734"/>
    <w:rsid w:val="002F7825"/>
    <w:rsid w:val="002F7A83"/>
    <w:rsid w:val="002F7EF8"/>
    <w:rsid w:val="002F7FF8"/>
    <w:rsid w:val="0030006E"/>
    <w:rsid w:val="003002BA"/>
    <w:rsid w:val="0030058F"/>
    <w:rsid w:val="0030065A"/>
    <w:rsid w:val="003006FD"/>
    <w:rsid w:val="00300778"/>
    <w:rsid w:val="003007D6"/>
    <w:rsid w:val="00300AC5"/>
    <w:rsid w:val="00300C88"/>
    <w:rsid w:val="00300EA9"/>
    <w:rsid w:val="00300F95"/>
    <w:rsid w:val="003010A7"/>
    <w:rsid w:val="00301102"/>
    <w:rsid w:val="0030135F"/>
    <w:rsid w:val="0030140D"/>
    <w:rsid w:val="003014B1"/>
    <w:rsid w:val="003016D9"/>
    <w:rsid w:val="003016EA"/>
    <w:rsid w:val="0030187F"/>
    <w:rsid w:val="00301A6D"/>
    <w:rsid w:val="00301D26"/>
    <w:rsid w:val="00301F30"/>
    <w:rsid w:val="00301F3E"/>
    <w:rsid w:val="00301F7C"/>
    <w:rsid w:val="00301F90"/>
    <w:rsid w:val="00302038"/>
    <w:rsid w:val="0030220E"/>
    <w:rsid w:val="00302405"/>
    <w:rsid w:val="00302466"/>
    <w:rsid w:val="00302609"/>
    <w:rsid w:val="003026BC"/>
    <w:rsid w:val="0030283E"/>
    <w:rsid w:val="0030289C"/>
    <w:rsid w:val="00302990"/>
    <w:rsid w:val="003029D9"/>
    <w:rsid w:val="00302B52"/>
    <w:rsid w:val="00302BBC"/>
    <w:rsid w:val="00302BFB"/>
    <w:rsid w:val="00302D82"/>
    <w:rsid w:val="00302DFB"/>
    <w:rsid w:val="00302E6D"/>
    <w:rsid w:val="00303045"/>
    <w:rsid w:val="003030B3"/>
    <w:rsid w:val="003030D6"/>
    <w:rsid w:val="00303155"/>
    <w:rsid w:val="003032D6"/>
    <w:rsid w:val="003035A1"/>
    <w:rsid w:val="003035A6"/>
    <w:rsid w:val="0030396F"/>
    <w:rsid w:val="00303EC7"/>
    <w:rsid w:val="00304113"/>
    <w:rsid w:val="00304121"/>
    <w:rsid w:val="003041FF"/>
    <w:rsid w:val="00304262"/>
    <w:rsid w:val="00304485"/>
    <w:rsid w:val="0030450D"/>
    <w:rsid w:val="00304599"/>
    <w:rsid w:val="003045CB"/>
    <w:rsid w:val="003045EF"/>
    <w:rsid w:val="00304A3F"/>
    <w:rsid w:val="00304C5E"/>
    <w:rsid w:val="00304E10"/>
    <w:rsid w:val="00304E74"/>
    <w:rsid w:val="00304ED8"/>
    <w:rsid w:val="0030523C"/>
    <w:rsid w:val="0030533A"/>
    <w:rsid w:val="0030585C"/>
    <w:rsid w:val="003058DB"/>
    <w:rsid w:val="003058F5"/>
    <w:rsid w:val="00305C3A"/>
    <w:rsid w:val="00305D3B"/>
    <w:rsid w:val="00306329"/>
    <w:rsid w:val="00306437"/>
    <w:rsid w:val="00306642"/>
    <w:rsid w:val="003067B1"/>
    <w:rsid w:val="00306949"/>
    <w:rsid w:val="00306C88"/>
    <w:rsid w:val="00306CB3"/>
    <w:rsid w:val="00306E08"/>
    <w:rsid w:val="00307083"/>
    <w:rsid w:val="00307181"/>
    <w:rsid w:val="0030732E"/>
    <w:rsid w:val="00307330"/>
    <w:rsid w:val="0030734B"/>
    <w:rsid w:val="003073D2"/>
    <w:rsid w:val="003074F0"/>
    <w:rsid w:val="003075EA"/>
    <w:rsid w:val="003075F3"/>
    <w:rsid w:val="0030793D"/>
    <w:rsid w:val="00307A52"/>
    <w:rsid w:val="00307C0E"/>
    <w:rsid w:val="00307DD2"/>
    <w:rsid w:val="00307EC5"/>
    <w:rsid w:val="00310249"/>
    <w:rsid w:val="003103B9"/>
    <w:rsid w:val="00310482"/>
    <w:rsid w:val="003106DF"/>
    <w:rsid w:val="00310880"/>
    <w:rsid w:val="00310928"/>
    <w:rsid w:val="00310B10"/>
    <w:rsid w:val="00310DB1"/>
    <w:rsid w:val="00310F5F"/>
    <w:rsid w:val="00311014"/>
    <w:rsid w:val="0031108B"/>
    <w:rsid w:val="0031126B"/>
    <w:rsid w:val="003113A8"/>
    <w:rsid w:val="003113AD"/>
    <w:rsid w:val="0031152E"/>
    <w:rsid w:val="0031161A"/>
    <w:rsid w:val="003118DD"/>
    <w:rsid w:val="00311958"/>
    <w:rsid w:val="00311F19"/>
    <w:rsid w:val="00311F1E"/>
    <w:rsid w:val="00311F61"/>
    <w:rsid w:val="00312103"/>
    <w:rsid w:val="00312416"/>
    <w:rsid w:val="00312435"/>
    <w:rsid w:val="00312620"/>
    <w:rsid w:val="0031290D"/>
    <w:rsid w:val="00312949"/>
    <w:rsid w:val="00312BDA"/>
    <w:rsid w:val="00312D14"/>
    <w:rsid w:val="00312E72"/>
    <w:rsid w:val="00312FA4"/>
    <w:rsid w:val="0031323E"/>
    <w:rsid w:val="00313812"/>
    <w:rsid w:val="00313956"/>
    <w:rsid w:val="00313990"/>
    <w:rsid w:val="00313B09"/>
    <w:rsid w:val="00313BB8"/>
    <w:rsid w:val="00313BD8"/>
    <w:rsid w:val="00313CF4"/>
    <w:rsid w:val="00313F84"/>
    <w:rsid w:val="00314084"/>
    <w:rsid w:val="003141B0"/>
    <w:rsid w:val="00314542"/>
    <w:rsid w:val="00314655"/>
    <w:rsid w:val="00314853"/>
    <w:rsid w:val="00314918"/>
    <w:rsid w:val="00314AC0"/>
    <w:rsid w:val="00314BDC"/>
    <w:rsid w:val="00314CB8"/>
    <w:rsid w:val="00314ED6"/>
    <w:rsid w:val="00314F07"/>
    <w:rsid w:val="00314F0D"/>
    <w:rsid w:val="00314F92"/>
    <w:rsid w:val="00315035"/>
    <w:rsid w:val="0031506E"/>
    <w:rsid w:val="003150E5"/>
    <w:rsid w:val="0031513A"/>
    <w:rsid w:val="003154D8"/>
    <w:rsid w:val="00315713"/>
    <w:rsid w:val="003158DB"/>
    <w:rsid w:val="003159A2"/>
    <w:rsid w:val="003159BD"/>
    <w:rsid w:val="00315A97"/>
    <w:rsid w:val="00315BA6"/>
    <w:rsid w:val="00316071"/>
    <w:rsid w:val="003160F8"/>
    <w:rsid w:val="003161CA"/>
    <w:rsid w:val="00316410"/>
    <w:rsid w:val="00316544"/>
    <w:rsid w:val="00316604"/>
    <w:rsid w:val="003166C3"/>
    <w:rsid w:val="003168C9"/>
    <w:rsid w:val="00316A05"/>
    <w:rsid w:val="00316A3E"/>
    <w:rsid w:val="00316A5B"/>
    <w:rsid w:val="00316B8E"/>
    <w:rsid w:val="00316C01"/>
    <w:rsid w:val="00316CB7"/>
    <w:rsid w:val="00316D62"/>
    <w:rsid w:val="00316EA7"/>
    <w:rsid w:val="003171DD"/>
    <w:rsid w:val="00317429"/>
    <w:rsid w:val="003174F5"/>
    <w:rsid w:val="003176C0"/>
    <w:rsid w:val="00317961"/>
    <w:rsid w:val="00317B4B"/>
    <w:rsid w:val="00317D12"/>
    <w:rsid w:val="00317DFB"/>
    <w:rsid w:val="00317E12"/>
    <w:rsid w:val="00317FBD"/>
    <w:rsid w:val="00320130"/>
    <w:rsid w:val="003201E6"/>
    <w:rsid w:val="0032024E"/>
    <w:rsid w:val="00320412"/>
    <w:rsid w:val="003204DF"/>
    <w:rsid w:val="00320689"/>
    <w:rsid w:val="003206B2"/>
    <w:rsid w:val="003206D3"/>
    <w:rsid w:val="00320717"/>
    <w:rsid w:val="003208AD"/>
    <w:rsid w:val="003208D2"/>
    <w:rsid w:val="00320B86"/>
    <w:rsid w:val="00320BCE"/>
    <w:rsid w:val="00320CF8"/>
    <w:rsid w:val="00320E43"/>
    <w:rsid w:val="00321036"/>
    <w:rsid w:val="003214F1"/>
    <w:rsid w:val="00321582"/>
    <w:rsid w:val="003217B5"/>
    <w:rsid w:val="00321923"/>
    <w:rsid w:val="00321A18"/>
    <w:rsid w:val="00321B63"/>
    <w:rsid w:val="00321CB2"/>
    <w:rsid w:val="00321CDA"/>
    <w:rsid w:val="00321EA1"/>
    <w:rsid w:val="00321FD2"/>
    <w:rsid w:val="00321FF3"/>
    <w:rsid w:val="0032229B"/>
    <w:rsid w:val="00322609"/>
    <w:rsid w:val="003226B0"/>
    <w:rsid w:val="0032294A"/>
    <w:rsid w:val="003229E9"/>
    <w:rsid w:val="00322C42"/>
    <w:rsid w:val="00322CDA"/>
    <w:rsid w:val="00322CF7"/>
    <w:rsid w:val="00322DEA"/>
    <w:rsid w:val="0032345F"/>
    <w:rsid w:val="003235D4"/>
    <w:rsid w:val="00323981"/>
    <w:rsid w:val="003240E9"/>
    <w:rsid w:val="003241CD"/>
    <w:rsid w:val="00324348"/>
    <w:rsid w:val="003244A6"/>
    <w:rsid w:val="003245EE"/>
    <w:rsid w:val="0032484C"/>
    <w:rsid w:val="00324C2D"/>
    <w:rsid w:val="00324C8D"/>
    <w:rsid w:val="00324D5C"/>
    <w:rsid w:val="003250D1"/>
    <w:rsid w:val="003254E1"/>
    <w:rsid w:val="003255B7"/>
    <w:rsid w:val="00325820"/>
    <w:rsid w:val="00325B9B"/>
    <w:rsid w:val="00325BA0"/>
    <w:rsid w:val="00325C73"/>
    <w:rsid w:val="00325D14"/>
    <w:rsid w:val="00325E99"/>
    <w:rsid w:val="003260CE"/>
    <w:rsid w:val="003261D4"/>
    <w:rsid w:val="003261F2"/>
    <w:rsid w:val="00326262"/>
    <w:rsid w:val="0032633E"/>
    <w:rsid w:val="0032649B"/>
    <w:rsid w:val="003266C5"/>
    <w:rsid w:val="0032682A"/>
    <w:rsid w:val="00326941"/>
    <w:rsid w:val="00326B19"/>
    <w:rsid w:val="00326B58"/>
    <w:rsid w:val="00326DAC"/>
    <w:rsid w:val="00326F45"/>
    <w:rsid w:val="003270A2"/>
    <w:rsid w:val="0032737B"/>
    <w:rsid w:val="003274B5"/>
    <w:rsid w:val="003278A3"/>
    <w:rsid w:val="003279D7"/>
    <w:rsid w:val="00327A7D"/>
    <w:rsid w:val="00327C79"/>
    <w:rsid w:val="00327D4A"/>
    <w:rsid w:val="00327E3C"/>
    <w:rsid w:val="00327EB6"/>
    <w:rsid w:val="00330198"/>
    <w:rsid w:val="003304F3"/>
    <w:rsid w:val="00330635"/>
    <w:rsid w:val="00330706"/>
    <w:rsid w:val="00330734"/>
    <w:rsid w:val="00330B7A"/>
    <w:rsid w:val="00330DDD"/>
    <w:rsid w:val="003310DD"/>
    <w:rsid w:val="00331301"/>
    <w:rsid w:val="00331319"/>
    <w:rsid w:val="0033141C"/>
    <w:rsid w:val="00331446"/>
    <w:rsid w:val="0033152A"/>
    <w:rsid w:val="003317AA"/>
    <w:rsid w:val="00331A50"/>
    <w:rsid w:val="00331A95"/>
    <w:rsid w:val="00331DBB"/>
    <w:rsid w:val="00331DEF"/>
    <w:rsid w:val="00331E3C"/>
    <w:rsid w:val="0033208C"/>
    <w:rsid w:val="0033221E"/>
    <w:rsid w:val="003326FC"/>
    <w:rsid w:val="003327BD"/>
    <w:rsid w:val="003328AA"/>
    <w:rsid w:val="00332A0E"/>
    <w:rsid w:val="00332B50"/>
    <w:rsid w:val="00332CB6"/>
    <w:rsid w:val="00332E27"/>
    <w:rsid w:val="00332F6F"/>
    <w:rsid w:val="00332FB5"/>
    <w:rsid w:val="0033301B"/>
    <w:rsid w:val="0033313C"/>
    <w:rsid w:val="00333396"/>
    <w:rsid w:val="00333499"/>
    <w:rsid w:val="003334B4"/>
    <w:rsid w:val="00333532"/>
    <w:rsid w:val="00333783"/>
    <w:rsid w:val="0033384C"/>
    <w:rsid w:val="00333B87"/>
    <w:rsid w:val="00333D73"/>
    <w:rsid w:val="00333FAE"/>
    <w:rsid w:val="003340D2"/>
    <w:rsid w:val="003340FF"/>
    <w:rsid w:val="003341B4"/>
    <w:rsid w:val="00334302"/>
    <w:rsid w:val="003345D5"/>
    <w:rsid w:val="003346B8"/>
    <w:rsid w:val="003346EB"/>
    <w:rsid w:val="00334880"/>
    <w:rsid w:val="00334911"/>
    <w:rsid w:val="0033497C"/>
    <w:rsid w:val="0033498E"/>
    <w:rsid w:val="003349F3"/>
    <w:rsid w:val="00334A21"/>
    <w:rsid w:val="00334AF0"/>
    <w:rsid w:val="00334BA6"/>
    <w:rsid w:val="00334BC9"/>
    <w:rsid w:val="00334CED"/>
    <w:rsid w:val="00334D2E"/>
    <w:rsid w:val="00334D5E"/>
    <w:rsid w:val="00334ECA"/>
    <w:rsid w:val="00334FB5"/>
    <w:rsid w:val="0033512C"/>
    <w:rsid w:val="003351E1"/>
    <w:rsid w:val="003352B0"/>
    <w:rsid w:val="003352E7"/>
    <w:rsid w:val="003353B8"/>
    <w:rsid w:val="003355E5"/>
    <w:rsid w:val="00335630"/>
    <w:rsid w:val="0033563E"/>
    <w:rsid w:val="0033586D"/>
    <w:rsid w:val="003359D1"/>
    <w:rsid w:val="00335E9C"/>
    <w:rsid w:val="00335F49"/>
    <w:rsid w:val="00336176"/>
    <w:rsid w:val="0033618E"/>
    <w:rsid w:val="00336530"/>
    <w:rsid w:val="0033674F"/>
    <w:rsid w:val="00336988"/>
    <w:rsid w:val="00336B39"/>
    <w:rsid w:val="00336EF0"/>
    <w:rsid w:val="00337041"/>
    <w:rsid w:val="0033706B"/>
    <w:rsid w:val="00337107"/>
    <w:rsid w:val="003371C8"/>
    <w:rsid w:val="0033726B"/>
    <w:rsid w:val="003375ED"/>
    <w:rsid w:val="003377B6"/>
    <w:rsid w:val="00337828"/>
    <w:rsid w:val="00337C35"/>
    <w:rsid w:val="00337D9D"/>
    <w:rsid w:val="00337E4C"/>
    <w:rsid w:val="00337F51"/>
    <w:rsid w:val="00337FE0"/>
    <w:rsid w:val="0034011B"/>
    <w:rsid w:val="003403EF"/>
    <w:rsid w:val="0034045B"/>
    <w:rsid w:val="00340786"/>
    <w:rsid w:val="003407B3"/>
    <w:rsid w:val="00340813"/>
    <w:rsid w:val="00340BAD"/>
    <w:rsid w:val="00340C82"/>
    <w:rsid w:val="00340E62"/>
    <w:rsid w:val="00340FCD"/>
    <w:rsid w:val="0034105E"/>
    <w:rsid w:val="003412BC"/>
    <w:rsid w:val="00341338"/>
    <w:rsid w:val="0034142C"/>
    <w:rsid w:val="00341575"/>
    <w:rsid w:val="0034162F"/>
    <w:rsid w:val="003417C3"/>
    <w:rsid w:val="00341881"/>
    <w:rsid w:val="00341A03"/>
    <w:rsid w:val="00341A3C"/>
    <w:rsid w:val="00341AC6"/>
    <w:rsid w:val="00341B13"/>
    <w:rsid w:val="00341E46"/>
    <w:rsid w:val="00341EBA"/>
    <w:rsid w:val="00341F25"/>
    <w:rsid w:val="003421D1"/>
    <w:rsid w:val="0034237E"/>
    <w:rsid w:val="0034244F"/>
    <w:rsid w:val="003427A2"/>
    <w:rsid w:val="00342906"/>
    <w:rsid w:val="00342917"/>
    <w:rsid w:val="00342924"/>
    <w:rsid w:val="00342AB9"/>
    <w:rsid w:val="00342CDF"/>
    <w:rsid w:val="00343154"/>
    <w:rsid w:val="00343437"/>
    <w:rsid w:val="0034369B"/>
    <w:rsid w:val="003437C5"/>
    <w:rsid w:val="00343A51"/>
    <w:rsid w:val="00343AB5"/>
    <w:rsid w:val="00343C2E"/>
    <w:rsid w:val="00343C6F"/>
    <w:rsid w:val="00343DC6"/>
    <w:rsid w:val="00343E5C"/>
    <w:rsid w:val="00343E68"/>
    <w:rsid w:val="00343F15"/>
    <w:rsid w:val="00343FC6"/>
    <w:rsid w:val="0034404A"/>
    <w:rsid w:val="00344395"/>
    <w:rsid w:val="0034449E"/>
    <w:rsid w:val="003444D6"/>
    <w:rsid w:val="003448BC"/>
    <w:rsid w:val="00344993"/>
    <w:rsid w:val="003449CE"/>
    <w:rsid w:val="00344A6A"/>
    <w:rsid w:val="00344D07"/>
    <w:rsid w:val="00344E5E"/>
    <w:rsid w:val="00344EC4"/>
    <w:rsid w:val="00344F55"/>
    <w:rsid w:val="00344FB8"/>
    <w:rsid w:val="00345159"/>
    <w:rsid w:val="003451F0"/>
    <w:rsid w:val="003452F4"/>
    <w:rsid w:val="00345477"/>
    <w:rsid w:val="003456C9"/>
    <w:rsid w:val="0034577A"/>
    <w:rsid w:val="0034577E"/>
    <w:rsid w:val="00345890"/>
    <w:rsid w:val="003459E1"/>
    <w:rsid w:val="00345B93"/>
    <w:rsid w:val="00345DA5"/>
    <w:rsid w:val="003463F2"/>
    <w:rsid w:val="00346580"/>
    <w:rsid w:val="003467AF"/>
    <w:rsid w:val="003468E2"/>
    <w:rsid w:val="003469E2"/>
    <w:rsid w:val="003471AA"/>
    <w:rsid w:val="003471D0"/>
    <w:rsid w:val="00347304"/>
    <w:rsid w:val="0034734C"/>
    <w:rsid w:val="00347574"/>
    <w:rsid w:val="003476E5"/>
    <w:rsid w:val="003477D9"/>
    <w:rsid w:val="00347997"/>
    <w:rsid w:val="00347BBB"/>
    <w:rsid w:val="00347C46"/>
    <w:rsid w:val="00347D03"/>
    <w:rsid w:val="00347EB6"/>
    <w:rsid w:val="00347F3B"/>
    <w:rsid w:val="003501EE"/>
    <w:rsid w:val="003503D5"/>
    <w:rsid w:val="00350592"/>
    <w:rsid w:val="00350633"/>
    <w:rsid w:val="0035066C"/>
    <w:rsid w:val="0035098C"/>
    <w:rsid w:val="00350BA6"/>
    <w:rsid w:val="00350C80"/>
    <w:rsid w:val="00350EA9"/>
    <w:rsid w:val="003510AA"/>
    <w:rsid w:val="0035134A"/>
    <w:rsid w:val="00351375"/>
    <w:rsid w:val="003517D0"/>
    <w:rsid w:val="00351834"/>
    <w:rsid w:val="00351939"/>
    <w:rsid w:val="00351A97"/>
    <w:rsid w:val="00351B9E"/>
    <w:rsid w:val="003521A8"/>
    <w:rsid w:val="0035245A"/>
    <w:rsid w:val="0035253C"/>
    <w:rsid w:val="003527A4"/>
    <w:rsid w:val="003527F1"/>
    <w:rsid w:val="0035280B"/>
    <w:rsid w:val="0035288F"/>
    <w:rsid w:val="00352AB2"/>
    <w:rsid w:val="00352C4A"/>
    <w:rsid w:val="00352D06"/>
    <w:rsid w:val="00352D39"/>
    <w:rsid w:val="00352D51"/>
    <w:rsid w:val="00352DA3"/>
    <w:rsid w:val="0035301C"/>
    <w:rsid w:val="003530C4"/>
    <w:rsid w:val="003530F5"/>
    <w:rsid w:val="0035395B"/>
    <w:rsid w:val="00353AD6"/>
    <w:rsid w:val="00353B88"/>
    <w:rsid w:val="00353BF7"/>
    <w:rsid w:val="00353CC7"/>
    <w:rsid w:val="00353D34"/>
    <w:rsid w:val="00353E69"/>
    <w:rsid w:val="00353E9D"/>
    <w:rsid w:val="003540CC"/>
    <w:rsid w:val="003543B8"/>
    <w:rsid w:val="0035458C"/>
    <w:rsid w:val="003545E2"/>
    <w:rsid w:val="003546B8"/>
    <w:rsid w:val="0035482D"/>
    <w:rsid w:val="00354884"/>
    <w:rsid w:val="00354A9E"/>
    <w:rsid w:val="00354D75"/>
    <w:rsid w:val="00354EBA"/>
    <w:rsid w:val="00354F8B"/>
    <w:rsid w:val="00354F8D"/>
    <w:rsid w:val="00355146"/>
    <w:rsid w:val="003553C0"/>
    <w:rsid w:val="00355442"/>
    <w:rsid w:val="00355525"/>
    <w:rsid w:val="00355B41"/>
    <w:rsid w:val="00355C97"/>
    <w:rsid w:val="00355D91"/>
    <w:rsid w:val="00355E91"/>
    <w:rsid w:val="00355FCD"/>
    <w:rsid w:val="00356662"/>
    <w:rsid w:val="003567F1"/>
    <w:rsid w:val="0035680A"/>
    <w:rsid w:val="00356874"/>
    <w:rsid w:val="00356A17"/>
    <w:rsid w:val="00356B04"/>
    <w:rsid w:val="003575AE"/>
    <w:rsid w:val="003575C4"/>
    <w:rsid w:val="0035761F"/>
    <w:rsid w:val="003577D0"/>
    <w:rsid w:val="003579C0"/>
    <w:rsid w:val="00357D1E"/>
    <w:rsid w:val="00357E32"/>
    <w:rsid w:val="00357E61"/>
    <w:rsid w:val="00357F44"/>
    <w:rsid w:val="0036005A"/>
    <w:rsid w:val="00360062"/>
    <w:rsid w:val="00360089"/>
    <w:rsid w:val="0036017B"/>
    <w:rsid w:val="003605AC"/>
    <w:rsid w:val="0036065D"/>
    <w:rsid w:val="003606FE"/>
    <w:rsid w:val="003608C4"/>
    <w:rsid w:val="003609B0"/>
    <w:rsid w:val="00360C8F"/>
    <w:rsid w:val="00360D9A"/>
    <w:rsid w:val="00360EC4"/>
    <w:rsid w:val="0036112A"/>
    <w:rsid w:val="003612AB"/>
    <w:rsid w:val="00361321"/>
    <w:rsid w:val="00361322"/>
    <w:rsid w:val="0036135B"/>
    <w:rsid w:val="00361360"/>
    <w:rsid w:val="00361423"/>
    <w:rsid w:val="00361453"/>
    <w:rsid w:val="0036152D"/>
    <w:rsid w:val="0036157A"/>
    <w:rsid w:val="0036169A"/>
    <w:rsid w:val="00361AAB"/>
    <w:rsid w:val="00361BC3"/>
    <w:rsid w:val="00361D5A"/>
    <w:rsid w:val="0036200E"/>
    <w:rsid w:val="0036213E"/>
    <w:rsid w:val="00362161"/>
    <w:rsid w:val="00362211"/>
    <w:rsid w:val="0036231C"/>
    <w:rsid w:val="0036248C"/>
    <w:rsid w:val="00362755"/>
    <w:rsid w:val="00362892"/>
    <w:rsid w:val="0036293D"/>
    <w:rsid w:val="00362958"/>
    <w:rsid w:val="003629A1"/>
    <w:rsid w:val="003633A9"/>
    <w:rsid w:val="00363439"/>
    <w:rsid w:val="0036349B"/>
    <w:rsid w:val="003635BB"/>
    <w:rsid w:val="0036366A"/>
    <w:rsid w:val="003636C9"/>
    <w:rsid w:val="00363B02"/>
    <w:rsid w:val="00363C44"/>
    <w:rsid w:val="00363C81"/>
    <w:rsid w:val="00363DB0"/>
    <w:rsid w:val="00363DBB"/>
    <w:rsid w:val="00364208"/>
    <w:rsid w:val="003642CD"/>
    <w:rsid w:val="0036445C"/>
    <w:rsid w:val="00364709"/>
    <w:rsid w:val="00364722"/>
    <w:rsid w:val="00364911"/>
    <w:rsid w:val="00364959"/>
    <w:rsid w:val="00364999"/>
    <w:rsid w:val="00364B66"/>
    <w:rsid w:val="00364DCF"/>
    <w:rsid w:val="00365037"/>
    <w:rsid w:val="003654FB"/>
    <w:rsid w:val="003657BC"/>
    <w:rsid w:val="00365BF8"/>
    <w:rsid w:val="00365F5C"/>
    <w:rsid w:val="0036602D"/>
    <w:rsid w:val="00366198"/>
    <w:rsid w:val="00366248"/>
    <w:rsid w:val="003663E0"/>
    <w:rsid w:val="003665FA"/>
    <w:rsid w:val="0036674A"/>
    <w:rsid w:val="00366786"/>
    <w:rsid w:val="003667F0"/>
    <w:rsid w:val="00367047"/>
    <w:rsid w:val="003670F0"/>
    <w:rsid w:val="00367296"/>
    <w:rsid w:val="00367661"/>
    <w:rsid w:val="003677A2"/>
    <w:rsid w:val="003678B6"/>
    <w:rsid w:val="00367AC9"/>
    <w:rsid w:val="00367D4C"/>
    <w:rsid w:val="00370950"/>
    <w:rsid w:val="00370963"/>
    <w:rsid w:val="003709DD"/>
    <w:rsid w:val="00370B25"/>
    <w:rsid w:val="00370DD9"/>
    <w:rsid w:val="00370E6B"/>
    <w:rsid w:val="00371143"/>
    <w:rsid w:val="003712D6"/>
    <w:rsid w:val="003712EC"/>
    <w:rsid w:val="003713DC"/>
    <w:rsid w:val="00371732"/>
    <w:rsid w:val="00371C7F"/>
    <w:rsid w:val="00371D78"/>
    <w:rsid w:val="00371DD3"/>
    <w:rsid w:val="00371E2B"/>
    <w:rsid w:val="00371E58"/>
    <w:rsid w:val="00371F62"/>
    <w:rsid w:val="00371FE6"/>
    <w:rsid w:val="00372359"/>
    <w:rsid w:val="003723B6"/>
    <w:rsid w:val="00372443"/>
    <w:rsid w:val="0037247D"/>
    <w:rsid w:val="003727D7"/>
    <w:rsid w:val="00372873"/>
    <w:rsid w:val="003729C9"/>
    <w:rsid w:val="003729E1"/>
    <w:rsid w:val="00372ABC"/>
    <w:rsid w:val="00372DE1"/>
    <w:rsid w:val="00372E41"/>
    <w:rsid w:val="00372EF4"/>
    <w:rsid w:val="00373286"/>
    <w:rsid w:val="00373485"/>
    <w:rsid w:val="00373702"/>
    <w:rsid w:val="00373B93"/>
    <w:rsid w:val="00373BAA"/>
    <w:rsid w:val="00374175"/>
    <w:rsid w:val="0037457A"/>
    <w:rsid w:val="0037476F"/>
    <w:rsid w:val="00374813"/>
    <w:rsid w:val="003748A5"/>
    <w:rsid w:val="00374917"/>
    <w:rsid w:val="00374932"/>
    <w:rsid w:val="00374A15"/>
    <w:rsid w:val="00374CF5"/>
    <w:rsid w:val="00374F1F"/>
    <w:rsid w:val="00375284"/>
    <w:rsid w:val="0037531D"/>
    <w:rsid w:val="0037591F"/>
    <w:rsid w:val="00375B06"/>
    <w:rsid w:val="00375DE1"/>
    <w:rsid w:val="003760C7"/>
    <w:rsid w:val="00376264"/>
    <w:rsid w:val="003762A0"/>
    <w:rsid w:val="003762C5"/>
    <w:rsid w:val="0037635D"/>
    <w:rsid w:val="003763DD"/>
    <w:rsid w:val="003764D3"/>
    <w:rsid w:val="003765FC"/>
    <w:rsid w:val="003766D3"/>
    <w:rsid w:val="00376841"/>
    <w:rsid w:val="003769EC"/>
    <w:rsid w:val="00376AB4"/>
    <w:rsid w:val="00376AB9"/>
    <w:rsid w:val="00376AEF"/>
    <w:rsid w:val="00376C34"/>
    <w:rsid w:val="00376D57"/>
    <w:rsid w:val="00376E16"/>
    <w:rsid w:val="00376E4E"/>
    <w:rsid w:val="00377535"/>
    <w:rsid w:val="00377588"/>
    <w:rsid w:val="00377636"/>
    <w:rsid w:val="00377A61"/>
    <w:rsid w:val="00377B17"/>
    <w:rsid w:val="00377B6A"/>
    <w:rsid w:val="00377C10"/>
    <w:rsid w:val="00377D8B"/>
    <w:rsid w:val="003801F1"/>
    <w:rsid w:val="0038030B"/>
    <w:rsid w:val="003806A2"/>
    <w:rsid w:val="0038074E"/>
    <w:rsid w:val="00380B13"/>
    <w:rsid w:val="00380B3A"/>
    <w:rsid w:val="00380BEA"/>
    <w:rsid w:val="00380C2B"/>
    <w:rsid w:val="00380CD1"/>
    <w:rsid w:val="00380EAB"/>
    <w:rsid w:val="00380F8B"/>
    <w:rsid w:val="00381160"/>
    <w:rsid w:val="003811D6"/>
    <w:rsid w:val="003811DC"/>
    <w:rsid w:val="003812F1"/>
    <w:rsid w:val="0038148F"/>
    <w:rsid w:val="003819AC"/>
    <w:rsid w:val="00381A15"/>
    <w:rsid w:val="00381D89"/>
    <w:rsid w:val="00381F13"/>
    <w:rsid w:val="00381F1F"/>
    <w:rsid w:val="0038206E"/>
    <w:rsid w:val="003820BA"/>
    <w:rsid w:val="00382131"/>
    <w:rsid w:val="00382392"/>
    <w:rsid w:val="00382445"/>
    <w:rsid w:val="003824A0"/>
    <w:rsid w:val="00382620"/>
    <w:rsid w:val="00382B2E"/>
    <w:rsid w:val="00382B4E"/>
    <w:rsid w:val="00382C49"/>
    <w:rsid w:val="00382D6B"/>
    <w:rsid w:val="00383023"/>
    <w:rsid w:val="0038304B"/>
    <w:rsid w:val="003832B7"/>
    <w:rsid w:val="003839B6"/>
    <w:rsid w:val="00383B13"/>
    <w:rsid w:val="00383B61"/>
    <w:rsid w:val="00383B91"/>
    <w:rsid w:val="00383DE3"/>
    <w:rsid w:val="00383E0B"/>
    <w:rsid w:val="00383EA8"/>
    <w:rsid w:val="00384057"/>
    <w:rsid w:val="003842C5"/>
    <w:rsid w:val="003844BC"/>
    <w:rsid w:val="00384660"/>
    <w:rsid w:val="003846BB"/>
    <w:rsid w:val="00384797"/>
    <w:rsid w:val="00384D7A"/>
    <w:rsid w:val="0038531B"/>
    <w:rsid w:val="0038548F"/>
    <w:rsid w:val="003857A6"/>
    <w:rsid w:val="003859A8"/>
    <w:rsid w:val="003860C1"/>
    <w:rsid w:val="00386407"/>
    <w:rsid w:val="003867B5"/>
    <w:rsid w:val="003868F0"/>
    <w:rsid w:val="00386BE0"/>
    <w:rsid w:val="00386F3C"/>
    <w:rsid w:val="00386FD1"/>
    <w:rsid w:val="00387561"/>
    <w:rsid w:val="003875D3"/>
    <w:rsid w:val="003876A0"/>
    <w:rsid w:val="00387709"/>
    <w:rsid w:val="0038796F"/>
    <w:rsid w:val="00387B48"/>
    <w:rsid w:val="00387DE4"/>
    <w:rsid w:val="00387EC3"/>
    <w:rsid w:val="0039007F"/>
    <w:rsid w:val="00390094"/>
    <w:rsid w:val="00390623"/>
    <w:rsid w:val="003906E5"/>
    <w:rsid w:val="003906F2"/>
    <w:rsid w:val="00390780"/>
    <w:rsid w:val="003907B5"/>
    <w:rsid w:val="00390D08"/>
    <w:rsid w:val="00390D0B"/>
    <w:rsid w:val="00390E8C"/>
    <w:rsid w:val="00391003"/>
    <w:rsid w:val="003911CD"/>
    <w:rsid w:val="003912F5"/>
    <w:rsid w:val="0039155F"/>
    <w:rsid w:val="0039177C"/>
    <w:rsid w:val="00391D37"/>
    <w:rsid w:val="00391D9A"/>
    <w:rsid w:val="00391DD8"/>
    <w:rsid w:val="00391ED9"/>
    <w:rsid w:val="00392052"/>
    <w:rsid w:val="00392270"/>
    <w:rsid w:val="00392481"/>
    <w:rsid w:val="003924B0"/>
    <w:rsid w:val="00392534"/>
    <w:rsid w:val="003925D8"/>
    <w:rsid w:val="003929E7"/>
    <w:rsid w:val="00392A8A"/>
    <w:rsid w:val="00392ADC"/>
    <w:rsid w:val="00392BD7"/>
    <w:rsid w:val="00392EFC"/>
    <w:rsid w:val="00392F7C"/>
    <w:rsid w:val="0039316B"/>
    <w:rsid w:val="00393208"/>
    <w:rsid w:val="00393210"/>
    <w:rsid w:val="003932B1"/>
    <w:rsid w:val="00393682"/>
    <w:rsid w:val="0039384B"/>
    <w:rsid w:val="003939DE"/>
    <w:rsid w:val="00393B47"/>
    <w:rsid w:val="00393B75"/>
    <w:rsid w:val="00393B80"/>
    <w:rsid w:val="00393D47"/>
    <w:rsid w:val="00393F5F"/>
    <w:rsid w:val="00394387"/>
    <w:rsid w:val="00394441"/>
    <w:rsid w:val="00394573"/>
    <w:rsid w:val="00394613"/>
    <w:rsid w:val="0039468B"/>
    <w:rsid w:val="00394755"/>
    <w:rsid w:val="0039479C"/>
    <w:rsid w:val="0039495A"/>
    <w:rsid w:val="00394F11"/>
    <w:rsid w:val="00394F7B"/>
    <w:rsid w:val="00395005"/>
    <w:rsid w:val="003950D1"/>
    <w:rsid w:val="003951C4"/>
    <w:rsid w:val="0039524C"/>
    <w:rsid w:val="00395306"/>
    <w:rsid w:val="00395567"/>
    <w:rsid w:val="0039569B"/>
    <w:rsid w:val="00395868"/>
    <w:rsid w:val="00395A55"/>
    <w:rsid w:val="00395A96"/>
    <w:rsid w:val="00395D5E"/>
    <w:rsid w:val="00395F48"/>
    <w:rsid w:val="00395FDF"/>
    <w:rsid w:val="0039601B"/>
    <w:rsid w:val="003962E5"/>
    <w:rsid w:val="003963AD"/>
    <w:rsid w:val="00396669"/>
    <w:rsid w:val="00396688"/>
    <w:rsid w:val="00396A9F"/>
    <w:rsid w:val="00396AA6"/>
    <w:rsid w:val="00396AA9"/>
    <w:rsid w:val="003970D4"/>
    <w:rsid w:val="00397104"/>
    <w:rsid w:val="00397133"/>
    <w:rsid w:val="00397189"/>
    <w:rsid w:val="00397789"/>
    <w:rsid w:val="003978EE"/>
    <w:rsid w:val="00397911"/>
    <w:rsid w:val="0039791A"/>
    <w:rsid w:val="00397A8C"/>
    <w:rsid w:val="00397F43"/>
    <w:rsid w:val="003A0141"/>
    <w:rsid w:val="003A01F8"/>
    <w:rsid w:val="003A02CA"/>
    <w:rsid w:val="003A05B5"/>
    <w:rsid w:val="003A05B7"/>
    <w:rsid w:val="003A06AD"/>
    <w:rsid w:val="003A077C"/>
    <w:rsid w:val="003A0C73"/>
    <w:rsid w:val="003A0CB0"/>
    <w:rsid w:val="003A0D2D"/>
    <w:rsid w:val="003A0E88"/>
    <w:rsid w:val="003A0F46"/>
    <w:rsid w:val="003A0F47"/>
    <w:rsid w:val="003A0F5F"/>
    <w:rsid w:val="003A0FFB"/>
    <w:rsid w:val="003A124B"/>
    <w:rsid w:val="003A14CB"/>
    <w:rsid w:val="003A1560"/>
    <w:rsid w:val="003A193E"/>
    <w:rsid w:val="003A19B0"/>
    <w:rsid w:val="003A1B34"/>
    <w:rsid w:val="003A1CEF"/>
    <w:rsid w:val="003A1D0A"/>
    <w:rsid w:val="003A1EA8"/>
    <w:rsid w:val="003A1FE5"/>
    <w:rsid w:val="003A218C"/>
    <w:rsid w:val="003A2327"/>
    <w:rsid w:val="003A2565"/>
    <w:rsid w:val="003A25EB"/>
    <w:rsid w:val="003A2810"/>
    <w:rsid w:val="003A2AE1"/>
    <w:rsid w:val="003A2BE8"/>
    <w:rsid w:val="003A2CC1"/>
    <w:rsid w:val="003A2D0A"/>
    <w:rsid w:val="003A30C9"/>
    <w:rsid w:val="003A3249"/>
    <w:rsid w:val="003A34B8"/>
    <w:rsid w:val="003A352D"/>
    <w:rsid w:val="003A3749"/>
    <w:rsid w:val="003A374A"/>
    <w:rsid w:val="003A37BC"/>
    <w:rsid w:val="003A38F0"/>
    <w:rsid w:val="003A3955"/>
    <w:rsid w:val="003A39DD"/>
    <w:rsid w:val="003A3A94"/>
    <w:rsid w:val="003A3B02"/>
    <w:rsid w:val="003A3DBF"/>
    <w:rsid w:val="003A3FA7"/>
    <w:rsid w:val="003A4208"/>
    <w:rsid w:val="003A4406"/>
    <w:rsid w:val="003A4744"/>
    <w:rsid w:val="003A49DE"/>
    <w:rsid w:val="003A4AD2"/>
    <w:rsid w:val="003A4BA3"/>
    <w:rsid w:val="003A4C00"/>
    <w:rsid w:val="003A4C0F"/>
    <w:rsid w:val="003A4D41"/>
    <w:rsid w:val="003A4E21"/>
    <w:rsid w:val="003A4F2B"/>
    <w:rsid w:val="003A5206"/>
    <w:rsid w:val="003A5250"/>
    <w:rsid w:val="003A5346"/>
    <w:rsid w:val="003A5377"/>
    <w:rsid w:val="003A55AE"/>
    <w:rsid w:val="003A5852"/>
    <w:rsid w:val="003A5932"/>
    <w:rsid w:val="003A5A57"/>
    <w:rsid w:val="003A5C79"/>
    <w:rsid w:val="003A5D41"/>
    <w:rsid w:val="003A5D66"/>
    <w:rsid w:val="003A5E82"/>
    <w:rsid w:val="003A62BB"/>
    <w:rsid w:val="003A6385"/>
    <w:rsid w:val="003A6545"/>
    <w:rsid w:val="003A672B"/>
    <w:rsid w:val="003A6A2B"/>
    <w:rsid w:val="003A6C92"/>
    <w:rsid w:val="003A6E1B"/>
    <w:rsid w:val="003A6E8C"/>
    <w:rsid w:val="003A7131"/>
    <w:rsid w:val="003A71EE"/>
    <w:rsid w:val="003A7205"/>
    <w:rsid w:val="003A7214"/>
    <w:rsid w:val="003A7411"/>
    <w:rsid w:val="003A744D"/>
    <w:rsid w:val="003A7588"/>
    <w:rsid w:val="003A7869"/>
    <w:rsid w:val="003A78A0"/>
    <w:rsid w:val="003A7993"/>
    <w:rsid w:val="003A79CC"/>
    <w:rsid w:val="003A7F65"/>
    <w:rsid w:val="003A7F93"/>
    <w:rsid w:val="003B00D8"/>
    <w:rsid w:val="003B0103"/>
    <w:rsid w:val="003B017D"/>
    <w:rsid w:val="003B02DF"/>
    <w:rsid w:val="003B0403"/>
    <w:rsid w:val="003B0686"/>
    <w:rsid w:val="003B083F"/>
    <w:rsid w:val="003B09F2"/>
    <w:rsid w:val="003B0B0B"/>
    <w:rsid w:val="003B0C61"/>
    <w:rsid w:val="003B0D1E"/>
    <w:rsid w:val="003B0DE4"/>
    <w:rsid w:val="003B110A"/>
    <w:rsid w:val="003B1186"/>
    <w:rsid w:val="003B129B"/>
    <w:rsid w:val="003B1306"/>
    <w:rsid w:val="003B1436"/>
    <w:rsid w:val="003B146D"/>
    <w:rsid w:val="003B1805"/>
    <w:rsid w:val="003B18EE"/>
    <w:rsid w:val="003B1BFC"/>
    <w:rsid w:val="003B1C62"/>
    <w:rsid w:val="003B1F73"/>
    <w:rsid w:val="003B22BC"/>
    <w:rsid w:val="003B22C1"/>
    <w:rsid w:val="003B24D7"/>
    <w:rsid w:val="003B262E"/>
    <w:rsid w:val="003B2660"/>
    <w:rsid w:val="003B26ED"/>
    <w:rsid w:val="003B2765"/>
    <w:rsid w:val="003B2822"/>
    <w:rsid w:val="003B294C"/>
    <w:rsid w:val="003B2A79"/>
    <w:rsid w:val="003B2A7A"/>
    <w:rsid w:val="003B2B34"/>
    <w:rsid w:val="003B2BED"/>
    <w:rsid w:val="003B2CF7"/>
    <w:rsid w:val="003B2DBA"/>
    <w:rsid w:val="003B2EC4"/>
    <w:rsid w:val="003B2FBB"/>
    <w:rsid w:val="003B2FBD"/>
    <w:rsid w:val="003B3195"/>
    <w:rsid w:val="003B3314"/>
    <w:rsid w:val="003B36E9"/>
    <w:rsid w:val="003B37A9"/>
    <w:rsid w:val="003B3A2A"/>
    <w:rsid w:val="003B3AE3"/>
    <w:rsid w:val="003B3C5C"/>
    <w:rsid w:val="003B3DB9"/>
    <w:rsid w:val="003B3E95"/>
    <w:rsid w:val="003B3EE9"/>
    <w:rsid w:val="003B4158"/>
    <w:rsid w:val="003B4219"/>
    <w:rsid w:val="003B42D8"/>
    <w:rsid w:val="003B436B"/>
    <w:rsid w:val="003B47FE"/>
    <w:rsid w:val="003B488C"/>
    <w:rsid w:val="003B48EF"/>
    <w:rsid w:val="003B4961"/>
    <w:rsid w:val="003B4A26"/>
    <w:rsid w:val="003B4B0C"/>
    <w:rsid w:val="003B4C58"/>
    <w:rsid w:val="003B4D35"/>
    <w:rsid w:val="003B4F2F"/>
    <w:rsid w:val="003B52E1"/>
    <w:rsid w:val="003B536C"/>
    <w:rsid w:val="003B54E7"/>
    <w:rsid w:val="003B5539"/>
    <w:rsid w:val="003B55B5"/>
    <w:rsid w:val="003B58D6"/>
    <w:rsid w:val="003B59D1"/>
    <w:rsid w:val="003B5A11"/>
    <w:rsid w:val="003B5C23"/>
    <w:rsid w:val="003B5C48"/>
    <w:rsid w:val="003B5C91"/>
    <w:rsid w:val="003B5E64"/>
    <w:rsid w:val="003B5FCE"/>
    <w:rsid w:val="003B6204"/>
    <w:rsid w:val="003B640A"/>
    <w:rsid w:val="003B689C"/>
    <w:rsid w:val="003B6964"/>
    <w:rsid w:val="003B6A10"/>
    <w:rsid w:val="003B6B8A"/>
    <w:rsid w:val="003B6C8B"/>
    <w:rsid w:val="003B6E28"/>
    <w:rsid w:val="003B6FCC"/>
    <w:rsid w:val="003B70EB"/>
    <w:rsid w:val="003B7111"/>
    <w:rsid w:val="003B7154"/>
    <w:rsid w:val="003B718F"/>
    <w:rsid w:val="003B7233"/>
    <w:rsid w:val="003B74AB"/>
    <w:rsid w:val="003B7518"/>
    <w:rsid w:val="003B7A5F"/>
    <w:rsid w:val="003B7D53"/>
    <w:rsid w:val="003B7D6A"/>
    <w:rsid w:val="003B7DFE"/>
    <w:rsid w:val="003B7EBB"/>
    <w:rsid w:val="003B7ECA"/>
    <w:rsid w:val="003C0136"/>
    <w:rsid w:val="003C01E6"/>
    <w:rsid w:val="003C03FA"/>
    <w:rsid w:val="003C0678"/>
    <w:rsid w:val="003C0742"/>
    <w:rsid w:val="003C0805"/>
    <w:rsid w:val="003C0A21"/>
    <w:rsid w:val="003C0DD7"/>
    <w:rsid w:val="003C1165"/>
    <w:rsid w:val="003C1221"/>
    <w:rsid w:val="003C12C6"/>
    <w:rsid w:val="003C13EF"/>
    <w:rsid w:val="003C13FF"/>
    <w:rsid w:val="003C155D"/>
    <w:rsid w:val="003C1865"/>
    <w:rsid w:val="003C19E4"/>
    <w:rsid w:val="003C1B34"/>
    <w:rsid w:val="003C2062"/>
    <w:rsid w:val="003C219C"/>
    <w:rsid w:val="003C21AE"/>
    <w:rsid w:val="003C2399"/>
    <w:rsid w:val="003C25CA"/>
    <w:rsid w:val="003C2682"/>
    <w:rsid w:val="003C27B5"/>
    <w:rsid w:val="003C297B"/>
    <w:rsid w:val="003C2B78"/>
    <w:rsid w:val="003C3027"/>
    <w:rsid w:val="003C317F"/>
    <w:rsid w:val="003C3494"/>
    <w:rsid w:val="003C34C6"/>
    <w:rsid w:val="003C34E1"/>
    <w:rsid w:val="003C37A4"/>
    <w:rsid w:val="003C38FF"/>
    <w:rsid w:val="003C3A58"/>
    <w:rsid w:val="003C3B39"/>
    <w:rsid w:val="003C3B90"/>
    <w:rsid w:val="003C3C8B"/>
    <w:rsid w:val="003C4039"/>
    <w:rsid w:val="003C4065"/>
    <w:rsid w:val="003C42B9"/>
    <w:rsid w:val="003C4318"/>
    <w:rsid w:val="003C43DE"/>
    <w:rsid w:val="003C4554"/>
    <w:rsid w:val="003C4788"/>
    <w:rsid w:val="003C492B"/>
    <w:rsid w:val="003C49DD"/>
    <w:rsid w:val="003C4A67"/>
    <w:rsid w:val="003C4B2B"/>
    <w:rsid w:val="003C4CF8"/>
    <w:rsid w:val="003C4EDF"/>
    <w:rsid w:val="003C4EFB"/>
    <w:rsid w:val="003C5081"/>
    <w:rsid w:val="003C5141"/>
    <w:rsid w:val="003C53AC"/>
    <w:rsid w:val="003C53B6"/>
    <w:rsid w:val="003C53DE"/>
    <w:rsid w:val="003C53F2"/>
    <w:rsid w:val="003C562A"/>
    <w:rsid w:val="003C5782"/>
    <w:rsid w:val="003C57AD"/>
    <w:rsid w:val="003C5832"/>
    <w:rsid w:val="003C585B"/>
    <w:rsid w:val="003C598D"/>
    <w:rsid w:val="003C5AB6"/>
    <w:rsid w:val="003C5B95"/>
    <w:rsid w:val="003C5D6D"/>
    <w:rsid w:val="003C5DA7"/>
    <w:rsid w:val="003C5E68"/>
    <w:rsid w:val="003C5F3F"/>
    <w:rsid w:val="003C5FA7"/>
    <w:rsid w:val="003C623B"/>
    <w:rsid w:val="003C66B6"/>
    <w:rsid w:val="003C696B"/>
    <w:rsid w:val="003C6FAB"/>
    <w:rsid w:val="003C7122"/>
    <w:rsid w:val="003C7210"/>
    <w:rsid w:val="003C7228"/>
    <w:rsid w:val="003C7256"/>
    <w:rsid w:val="003C7586"/>
    <w:rsid w:val="003C77A0"/>
    <w:rsid w:val="003C77E5"/>
    <w:rsid w:val="003C78AE"/>
    <w:rsid w:val="003C7965"/>
    <w:rsid w:val="003C7AAD"/>
    <w:rsid w:val="003C7B2A"/>
    <w:rsid w:val="003C7C50"/>
    <w:rsid w:val="003D0247"/>
    <w:rsid w:val="003D055F"/>
    <w:rsid w:val="003D06DC"/>
    <w:rsid w:val="003D06E2"/>
    <w:rsid w:val="003D06E4"/>
    <w:rsid w:val="003D08CD"/>
    <w:rsid w:val="003D08D2"/>
    <w:rsid w:val="003D0C32"/>
    <w:rsid w:val="003D0EE3"/>
    <w:rsid w:val="003D0F8E"/>
    <w:rsid w:val="003D1232"/>
    <w:rsid w:val="003D12E5"/>
    <w:rsid w:val="003D1519"/>
    <w:rsid w:val="003D1559"/>
    <w:rsid w:val="003D157E"/>
    <w:rsid w:val="003D16CC"/>
    <w:rsid w:val="003D1E92"/>
    <w:rsid w:val="003D1E94"/>
    <w:rsid w:val="003D1F19"/>
    <w:rsid w:val="003D1FDC"/>
    <w:rsid w:val="003D2048"/>
    <w:rsid w:val="003D20FC"/>
    <w:rsid w:val="003D2160"/>
    <w:rsid w:val="003D21BA"/>
    <w:rsid w:val="003D257F"/>
    <w:rsid w:val="003D27DA"/>
    <w:rsid w:val="003D2D10"/>
    <w:rsid w:val="003D2D77"/>
    <w:rsid w:val="003D30B9"/>
    <w:rsid w:val="003D3117"/>
    <w:rsid w:val="003D3287"/>
    <w:rsid w:val="003D339A"/>
    <w:rsid w:val="003D3481"/>
    <w:rsid w:val="003D3673"/>
    <w:rsid w:val="003D3726"/>
    <w:rsid w:val="003D391E"/>
    <w:rsid w:val="003D3C84"/>
    <w:rsid w:val="003D3E4F"/>
    <w:rsid w:val="003D3F69"/>
    <w:rsid w:val="003D4497"/>
    <w:rsid w:val="003D4813"/>
    <w:rsid w:val="003D485B"/>
    <w:rsid w:val="003D4A23"/>
    <w:rsid w:val="003D4C57"/>
    <w:rsid w:val="003D4D5E"/>
    <w:rsid w:val="003D4F9C"/>
    <w:rsid w:val="003D50C2"/>
    <w:rsid w:val="003D511F"/>
    <w:rsid w:val="003D5229"/>
    <w:rsid w:val="003D5291"/>
    <w:rsid w:val="003D52A9"/>
    <w:rsid w:val="003D52C9"/>
    <w:rsid w:val="003D5351"/>
    <w:rsid w:val="003D542B"/>
    <w:rsid w:val="003D54FD"/>
    <w:rsid w:val="003D567C"/>
    <w:rsid w:val="003D5915"/>
    <w:rsid w:val="003D5F87"/>
    <w:rsid w:val="003D6014"/>
    <w:rsid w:val="003D60A6"/>
    <w:rsid w:val="003D6312"/>
    <w:rsid w:val="003D6345"/>
    <w:rsid w:val="003D6431"/>
    <w:rsid w:val="003D64AF"/>
    <w:rsid w:val="003D64BA"/>
    <w:rsid w:val="003D6502"/>
    <w:rsid w:val="003D65E1"/>
    <w:rsid w:val="003D68EE"/>
    <w:rsid w:val="003D6A9F"/>
    <w:rsid w:val="003D6BC3"/>
    <w:rsid w:val="003D6BEE"/>
    <w:rsid w:val="003D6D77"/>
    <w:rsid w:val="003D700F"/>
    <w:rsid w:val="003D717A"/>
    <w:rsid w:val="003D71D7"/>
    <w:rsid w:val="003D7202"/>
    <w:rsid w:val="003D72B2"/>
    <w:rsid w:val="003D73BB"/>
    <w:rsid w:val="003D7441"/>
    <w:rsid w:val="003D77C8"/>
    <w:rsid w:val="003D77D0"/>
    <w:rsid w:val="003E0152"/>
    <w:rsid w:val="003E07BD"/>
    <w:rsid w:val="003E07ED"/>
    <w:rsid w:val="003E0A2A"/>
    <w:rsid w:val="003E0B09"/>
    <w:rsid w:val="003E0B4B"/>
    <w:rsid w:val="003E0C1E"/>
    <w:rsid w:val="003E0E9B"/>
    <w:rsid w:val="003E0FE8"/>
    <w:rsid w:val="003E1086"/>
    <w:rsid w:val="003E10E0"/>
    <w:rsid w:val="003E153F"/>
    <w:rsid w:val="003E15CC"/>
    <w:rsid w:val="003E17A8"/>
    <w:rsid w:val="003E18F2"/>
    <w:rsid w:val="003E1EEB"/>
    <w:rsid w:val="003E2015"/>
    <w:rsid w:val="003E2341"/>
    <w:rsid w:val="003E23CB"/>
    <w:rsid w:val="003E2601"/>
    <w:rsid w:val="003E279F"/>
    <w:rsid w:val="003E2AA1"/>
    <w:rsid w:val="003E2AB6"/>
    <w:rsid w:val="003E2F98"/>
    <w:rsid w:val="003E30D0"/>
    <w:rsid w:val="003E3275"/>
    <w:rsid w:val="003E32F7"/>
    <w:rsid w:val="003E33E7"/>
    <w:rsid w:val="003E35A1"/>
    <w:rsid w:val="003E36B3"/>
    <w:rsid w:val="003E3706"/>
    <w:rsid w:val="003E3874"/>
    <w:rsid w:val="003E38D4"/>
    <w:rsid w:val="003E3935"/>
    <w:rsid w:val="003E39E0"/>
    <w:rsid w:val="003E39E8"/>
    <w:rsid w:val="003E3A1C"/>
    <w:rsid w:val="003E3D51"/>
    <w:rsid w:val="003E3EC8"/>
    <w:rsid w:val="003E40C5"/>
    <w:rsid w:val="003E4134"/>
    <w:rsid w:val="003E4392"/>
    <w:rsid w:val="003E43EF"/>
    <w:rsid w:val="003E4D82"/>
    <w:rsid w:val="003E4DA3"/>
    <w:rsid w:val="003E4E7B"/>
    <w:rsid w:val="003E5146"/>
    <w:rsid w:val="003E5151"/>
    <w:rsid w:val="003E5386"/>
    <w:rsid w:val="003E5420"/>
    <w:rsid w:val="003E5430"/>
    <w:rsid w:val="003E54A0"/>
    <w:rsid w:val="003E5879"/>
    <w:rsid w:val="003E5B36"/>
    <w:rsid w:val="003E5BF1"/>
    <w:rsid w:val="003E5C3B"/>
    <w:rsid w:val="003E5D1E"/>
    <w:rsid w:val="003E5E55"/>
    <w:rsid w:val="003E60E2"/>
    <w:rsid w:val="003E60FC"/>
    <w:rsid w:val="003E617E"/>
    <w:rsid w:val="003E6187"/>
    <w:rsid w:val="003E619F"/>
    <w:rsid w:val="003E61C8"/>
    <w:rsid w:val="003E634E"/>
    <w:rsid w:val="003E6717"/>
    <w:rsid w:val="003E671E"/>
    <w:rsid w:val="003E6A4C"/>
    <w:rsid w:val="003E6BAA"/>
    <w:rsid w:val="003E6CA7"/>
    <w:rsid w:val="003E6CC8"/>
    <w:rsid w:val="003E6F1A"/>
    <w:rsid w:val="003E6F48"/>
    <w:rsid w:val="003E6F78"/>
    <w:rsid w:val="003E6F84"/>
    <w:rsid w:val="003E71F1"/>
    <w:rsid w:val="003E7587"/>
    <w:rsid w:val="003E7707"/>
    <w:rsid w:val="003E7724"/>
    <w:rsid w:val="003E7873"/>
    <w:rsid w:val="003E79C3"/>
    <w:rsid w:val="003E7A99"/>
    <w:rsid w:val="003E7B94"/>
    <w:rsid w:val="003E7FB1"/>
    <w:rsid w:val="003F0062"/>
    <w:rsid w:val="003F01C7"/>
    <w:rsid w:val="003F03C7"/>
    <w:rsid w:val="003F0534"/>
    <w:rsid w:val="003F055A"/>
    <w:rsid w:val="003F069A"/>
    <w:rsid w:val="003F06A5"/>
    <w:rsid w:val="003F06C5"/>
    <w:rsid w:val="003F078D"/>
    <w:rsid w:val="003F0846"/>
    <w:rsid w:val="003F0891"/>
    <w:rsid w:val="003F08EB"/>
    <w:rsid w:val="003F0954"/>
    <w:rsid w:val="003F09B6"/>
    <w:rsid w:val="003F0AA0"/>
    <w:rsid w:val="003F116D"/>
    <w:rsid w:val="003F1232"/>
    <w:rsid w:val="003F123D"/>
    <w:rsid w:val="003F14BE"/>
    <w:rsid w:val="003F1629"/>
    <w:rsid w:val="003F1644"/>
    <w:rsid w:val="003F182C"/>
    <w:rsid w:val="003F190A"/>
    <w:rsid w:val="003F1C6B"/>
    <w:rsid w:val="003F1F68"/>
    <w:rsid w:val="003F204C"/>
    <w:rsid w:val="003F20E1"/>
    <w:rsid w:val="003F214F"/>
    <w:rsid w:val="003F229A"/>
    <w:rsid w:val="003F2502"/>
    <w:rsid w:val="003F2505"/>
    <w:rsid w:val="003F2804"/>
    <w:rsid w:val="003F2943"/>
    <w:rsid w:val="003F2A31"/>
    <w:rsid w:val="003F2AEF"/>
    <w:rsid w:val="003F2C79"/>
    <w:rsid w:val="003F3078"/>
    <w:rsid w:val="003F30CE"/>
    <w:rsid w:val="003F317D"/>
    <w:rsid w:val="003F3947"/>
    <w:rsid w:val="003F4329"/>
    <w:rsid w:val="003F4330"/>
    <w:rsid w:val="003F4563"/>
    <w:rsid w:val="003F4654"/>
    <w:rsid w:val="003F474B"/>
    <w:rsid w:val="003F4F07"/>
    <w:rsid w:val="003F51E3"/>
    <w:rsid w:val="003F532E"/>
    <w:rsid w:val="003F5390"/>
    <w:rsid w:val="003F549E"/>
    <w:rsid w:val="003F55AB"/>
    <w:rsid w:val="003F578E"/>
    <w:rsid w:val="003F57B3"/>
    <w:rsid w:val="003F57C1"/>
    <w:rsid w:val="003F5847"/>
    <w:rsid w:val="003F58EC"/>
    <w:rsid w:val="003F5C47"/>
    <w:rsid w:val="003F5E3A"/>
    <w:rsid w:val="003F608B"/>
    <w:rsid w:val="003F618D"/>
    <w:rsid w:val="003F642B"/>
    <w:rsid w:val="003F657C"/>
    <w:rsid w:val="003F6CFE"/>
    <w:rsid w:val="003F6D8C"/>
    <w:rsid w:val="003F6E47"/>
    <w:rsid w:val="003F6F15"/>
    <w:rsid w:val="003F71B1"/>
    <w:rsid w:val="003F71EF"/>
    <w:rsid w:val="003F7239"/>
    <w:rsid w:val="003F7338"/>
    <w:rsid w:val="003F7518"/>
    <w:rsid w:val="003F75B2"/>
    <w:rsid w:val="003F76A7"/>
    <w:rsid w:val="003F786E"/>
    <w:rsid w:val="003F7882"/>
    <w:rsid w:val="003F7945"/>
    <w:rsid w:val="003F7D73"/>
    <w:rsid w:val="003F7E2A"/>
    <w:rsid w:val="004001AA"/>
    <w:rsid w:val="00400454"/>
    <w:rsid w:val="00400555"/>
    <w:rsid w:val="00400734"/>
    <w:rsid w:val="00400856"/>
    <w:rsid w:val="00400991"/>
    <w:rsid w:val="00400C70"/>
    <w:rsid w:val="00400C96"/>
    <w:rsid w:val="00400D74"/>
    <w:rsid w:val="00400FF8"/>
    <w:rsid w:val="00401070"/>
    <w:rsid w:val="0040134F"/>
    <w:rsid w:val="00401368"/>
    <w:rsid w:val="004013A9"/>
    <w:rsid w:val="004015C3"/>
    <w:rsid w:val="00401719"/>
    <w:rsid w:val="0040190E"/>
    <w:rsid w:val="00401C68"/>
    <w:rsid w:val="00401FD6"/>
    <w:rsid w:val="00401FED"/>
    <w:rsid w:val="004022DF"/>
    <w:rsid w:val="004022E3"/>
    <w:rsid w:val="00402420"/>
    <w:rsid w:val="00402909"/>
    <w:rsid w:val="00402D0C"/>
    <w:rsid w:val="00402ED1"/>
    <w:rsid w:val="00402FC7"/>
    <w:rsid w:val="00403479"/>
    <w:rsid w:val="004034C4"/>
    <w:rsid w:val="00403845"/>
    <w:rsid w:val="00403A82"/>
    <w:rsid w:val="00403AE7"/>
    <w:rsid w:val="00403BB2"/>
    <w:rsid w:val="00403C6B"/>
    <w:rsid w:val="00403D5A"/>
    <w:rsid w:val="00403F5B"/>
    <w:rsid w:val="00403FD3"/>
    <w:rsid w:val="00404022"/>
    <w:rsid w:val="00404216"/>
    <w:rsid w:val="0040423D"/>
    <w:rsid w:val="00404399"/>
    <w:rsid w:val="0040443F"/>
    <w:rsid w:val="004047D9"/>
    <w:rsid w:val="00404864"/>
    <w:rsid w:val="00404913"/>
    <w:rsid w:val="00404A67"/>
    <w:rsid w:val="00404BB0"/>
    <w:rsid w:val="00404FD4"/>
    <w:rsid w:val="00405220"/>
    <w:rsid w:val="004053DF"/>
    <w:rsid w:val="00405601"/>
    <w:rsid w:val="00405614"/>
    <w:rsid w:val="004057AD"/>
    <w:rsid w:val="00405A61"/>
    <w:rsid w:val="00405A9F"/>
    <w:rsid w:val="00405C6B"/>
    <w:rsid w:val="0040625F"/>
    <w:rsid w:val="00406608"/>
    <w:rsid w:val="004066F0"/>
    <w:rsid w:val="00406835"/>
    <w:rsid w:val="0040688A"/>
    <w:rsid w:val="0040698C"/>
    <w:rsid w:val="00406B56"/>
    <w:rsid w:val="00406BA0"/>
    <w:rsid w:val="00406DA2"/>
    <w:rsid w:val="00406F37"/>
    <w:rsid w:val="00407081"/>
    <w:rsid w:val="00407307"/>
    <w:rsid w:val="0040771D"/>
    <w:rsid w:val="004077E0"/>
    <w:rsid w:val="0040785A"/>
    <w:rsid w:val="00407870"/>
    <w:rsid w:val="00407E14"/>
    <w:rsid w:val="00407E43"/>
    <w:rsid w:val="00407F8D"/>
    <w:rsid w:val="00410068"/>
    <w:rsid w:val="0041016D"/>
    <w:rsid w:val="004101AA"/>
    <w:rsid w:val="00410343"/>
    <w:rsid w:val="004103B0"/>
    <w:rsid w:val="004104ED"/>
    <w:rsid w:val="00410567"/>
    <w:rsid w:val="00410572"/>
    <w:rsid w:val="00410654"/>
    <w:rsid w:val="004109D3"/>
    <w:rsid w:val="00410A3C"/>
    <w:rsid w:val="00410B0F"/>
    <w:rsid w:val="00410CA0"/>
    <w:rsid w:val="00410CAE"/>
    <w:rsid w:val="0041107A"/>
    <w:rsid w:val="00411414"/>
    <w:rsid w:val="00411483"/>
    <w:rsid w:val="0041175D"/>
    <w:rsid w:val="004117E6"/>
    <w:rsid w:val="0041187F"/>
    <w:rsid w:val="00411A1F"/>
    <w:rsid w:val="0041211A"/>
    <w:rsid w:val="004121AA"/>
    <w:rsid w:val="004121C4"/>
    <w:rsid w:val="0041229D"/>
    <w:rsid w:val="00412534"/>
    <w:rsid w:val="00412592"/>
    <w:rsid w:val="0041284B"/>
    <w:rsid w:val="00412BE0"/>
    <w:rsid w:val="00412C83"/>
    <w:rsid w:val="00412CA9"/>
    <w:rsid w:val="00412D43"/>
    <w:rsid w:val="00412F93"/>
    <w:rsid w:val="0041301F"/>
    <w:rsid w:val="00413031"/>
    <w:rsid w:val="004132ED"/>
    <w:rsid w:val="0041355A"/>
    <w:rsid w:val="004135D5"/>
    <w:rsid w:val="0041363E"/>
    <w:rsid w:val="004138FB"/>
    <w:rsid w:val="00413B83"/>
    <w:rsid w:val="00413CA5"/>
    <w:rsid w:val="00413D19"/>
    <w:rsid w:val="00413E3A"/>
    <w:rsid w:val="00413FAA"/>
    <w:rsid w:val="00414052"/>
    <w:rsid w:val="00414067"/>
    <w:rsid w:val="00414303"/>
    <w:rsid w:val="00414483"/>
    <w:rsid w:val="004146AD"/>
    <w:rsid w:val="00414932"/>
    <w:rsid w:val="004149EB"/>
    <w:rsid w:val="00414A94"/>
    <w:rsid w:val="00414B01"/>
    <w:rsid w:val="00414C93"/>
    <w:rsid w:val="00414CB7"/>
    <w:rsid w:val="00414F2E"/>
    <w:rsid w:val="00414FF3"/>
    <w:rsid w:val="004150E6"/>
    <w:rsid w:val="00415150"/>
    <w:rsid w:val="00415305"/>
    <w:rsid w:val="00415323"/>
    <w:rsid w:val="00415391"/>
    <w:rsid w:val="004155F9"/>
    <w:rsid w:val="0041563A"/>
    <w:rsid w:val="0041579B"/>
    <w:rsid w:val="00415B3A"/>
    <w:rsid w:val="00415D1E"/>
    <w:rsid w:val="00415D1F"/>
    <w:rsid w:val="004160F6"/>
    <w:rsid w:val="00416131"/>
    <w:rsid w:val="0041613B"/>
    <w:rsid w:val="0041645A"/>
    <w:rsid w:val="004165F7"/>
    <w:rsid w:val="00416896"/>
    <w:rsid w:val="00416A6E"/>
    <w:rsid w:val="00416DE7"/>
    <w:rsid w:val="00416FE3"/>
    <w:rsid w:val="00417130"/>
    <w:rsid w:val="0041725E"/>
    <w:rsid w:val="00417471"/>
    <w:rsid w:val="004174E1"/>
    <w:rsid w:val="0041779D"/>
    <w:rsid w:val="004179F4"/>
    <w:rsid w:val="00417B6C"/>
    <w:rsid w:val="00417C7D"/>
    <w:rsid w:val="00417CFD"/>
    <w:rsid w:val="00417D3F"/>
    <w:rsid w:val="00417D73"/>
    <w:rsid w:val="00417D90"/>
    <w:rsid w:val="00417D94"/>
    <w:rsid w:val="004200F7"/>
    <w:rsid w:val="004201A5"/>
    <w:rsid w:val="004201D8"/>
    <w:rsid w:val="004201F7"/>
    <w:rsid w:val="00420264"/>
    <w:rsid w:val="00420283"/>
    <w:rsid w:val="004202B5"/>
    <w:rsid w:val="00420468"/>
    <w:rsid w:val="004204B1"/>
    <w:rsid w:val="004204BE"/>
    <w:rsid w:val="00420514"/>
    <w:rsid w:val="00420712"/>
    <w:rsid w:val="00420738"/>
    <w:rsid w:val="004209A8"/>
    <w:rsid w:val="00420DD0"/>
    <w:rsid w:val="004215E6"/>
    <w:rsid w:val="00421614"/>
    <w:rsid w:val="0042181F"/>
    <w:rsid w:val="004218FA"/>
    <w:rsid w:val="00421986"/>
    <w:rsid w:val="00421ABA"/>
    <w:rsid w:val="00421C2B"/>
    <w:rsid w:val="00421E2A"/>
    <w:rsid w:val="00421F41"/>
    <w:rsid w:val="00421FFE"/>
    <w:rsid w:val="00422169"/>
    <w:rsid w:val="0042228A"/>
    <w:rsid w:val="00422309"/>
    <w:rsid w:val="004223D0"/>
    <w:rsid w:val="004225A6"/>
    <w:rsid w:val="0042264E"/>
    <w:rsid w:val="00422694"/>
    <w:rsid w:val="00422759"/>
    <w:rsid w:val="004228D1"/>
    <w:rsid w:val="00422B17"/>
    <w:rsid w:val="00422B97"/>
    <w:rsid w:val="00422C43"/>
    <w:rsid w:val="00422E1D"/>
    <w:rsid w:val="00423066"/>
    <w:rsid w:val="0042343B"/>
    <w:rsid w:val="0042348A"/>
    <w:rsid w:val="00423586"/>
    <w:rsid w:val="0042372D"/>
    <w:rsid w:val="004237CA"/>
    <w:rsid w:val="004239CC"/>
    <w:rsid w:val="00423B3A"/>
    <w:rsid w:val="00423B8F"/>
    <w:rsid w:val="00423E1A"/>
    <w:rsid w:val="00423F9F"/>
    <w:rsid w:val="004240B3"/>
    <w:rsid w:val="004241EE"/>
    <w:rsid w:val="0042446D"/>
    <w:rsid w:val="0042453B"/>
    <w:rsid w:val="00424B7F"/>
    <w:rsid w:val="00424BFC"/>
    <w:rsid w:val="00424C34"/>
    <w:rsid w:val="00424C96"/>
    <w:rsid w:val="00424E11"/>
    <w:rsid w:val="00424F21"/>
    <w:rsid w:val="004250FC"/>
    <w:rsid w:val="00425110"/>
    <w:rsid w:val="00425124"/>
    <w:rsid w:val="0042540B"/>
    <w:rsid w:val="0042541A"/>
    <w:rsid w:val="0042542C"/>
    <w:rsid w:val="00425537"/>
    <w:rsid w:val="00425543"/>
    <w:rsid w:val="0042555A"/>
    <w:rsid w:val="00425661"/>
    <w:rsid w:val="00425688"/>
    <w:rsid w:val="0042577C"/>
    <w:rsid w:val="004258B5"/>
    <w:rsid w:val="00425A23"/>
    <w:rsid w:val="00425A91"/>
    <w:rsid w:val="00425B2E"/>
    <w:rsid w:val="00425B3A"/>
    <w:rsid w:val="00425C10"/>
    <w:rsid w:val="00425D12"/>
    <w:rsid w:val="00425E82"/>
    <w:rsid w:val="00426014"/>
    <w:rsid w:val="00426020"/>
    <w:rsid w:val="00426234"/>
    <w:rsid w:val="00426556"/>
    <w:rsid w:val="004265E3"/>
    <w:rsid w:val="00426739"/>
    <w:rsid w:val="00426772"/>
    <w:rsid w:val="00426815"/>
    <w:rsid w:val="00426865"/>
    <w:rsid w:val="004268F7"/>
    <w:rsid w:val="00426946"/>
    <w:rsid w:val="00426A13"/>
    <w:rsid w:val="00426CFF"/>
    <w:rsid w:val="00426D43"/>
    <w:rsid w:val="00426FAD"/>
    <w:rsid w:val="00426FC7"/>
    <w:rsid w:val="00426FE4"/>
    <w:rsid w:val="0042787E"/>
    <w:rsid w:val="00427B61"/>
    <w:rsid w:val="0043036C"/>
    <w:rsid w:val="0043051D"/>
    <w:rsid w:val="004306BC"/>
    <w:rsid w:val="0043074B"/>
    <w:rsid w:val="00430A39"/>
    <w:rsid w:val="00430A6B"/>
    <w:rsid w:val="00430D86"/>
    <w:rsid w:val="00430FDC"/>
    <w:rsid w:val="00430FE9"/>
    <w:rsid w:val="0043112C"/>
    <w:rsid w:val="00431350"/>
    <w:rsid w:val="004314DA"/>
    <w:rsid w:val="004316F5"/>
    <w:rsid w:val="00431842"/>
    <w:rsid w:val="004318BF"/>
    <w:rsid w:val="00431988"/>
    <w:rsid w:val="00431AFB"/>
    <w:rsid w:val="00431ED9"/>
    <w:rsid w:val="00431FE0"/>
    <w:rsid w:val="004321D1"/>
    <w:rsid w:val="0043236C"/>
    <w:rsid w:val="004328DD"/>
    <w:rsid w:val="00432AD7"/>
    <w:rsid w:val="00432E3F"/>
    <w:rsid w:val="00432E87"/>
    <w:rsid w:val="00432F6F"/>
    <w:rsid w:val="00433046"/>
    <w:rsid w:val="004330BE"/>
    <w:rsid w:val="004332F5"/>
    <w:rsid w:val="004333B3"/>
    <w:rsid w:val="004335ED"/>
    <w:rsid w:val="00433880"/>
    <w:rsid w:val="0043391E"/>
    <w:rsid w:val="004339BE"/>
    <w:rsid w:val="00433A08"/>
    <w:rsid w:val="00433B15"/>
    <w:rsid w:val="00433C08"/>
    <w:rsid w:val="00433D34"/>
    <w:rsid w:val="00433E5E"/>
    <w:rsid w:val="00433F3F"/>
    <w:rsid w:val="0043408C"/>
    <w:rsid w:val="00434382"/>
    <w:rsid w:val="0043452B"/>
    <w:rsid w:val="00434762"/>
    <w:rsid w:val="00434914"/>
    <w:rsid w:val="0043496F"/>
    <w:rsid w:val="004349BD"/>
    <w:rsid w:val="00434A8E"/>
    <w:rsid w:val="00434C77"/>
    <w:rsid w:val="00434D0E"/>
    <w:rsid w:val="00434E2F"/>
    <w:rsid w:val="0043508A"/>
    <w:rsid w:val="004350FF"/>
    <w:rsid w:val="00435123"/>
    <w:rsid w:val="00435366"/>
    <w:rsid w:val="0043584C"/>
    <w:rsid w:val="00435948"/>
    <w:rsid w:val="00436604"/>
    <w:rsid w:val="004366D6"/>
    <w:rsid w:val="0043680E"/>
    <w:rsid w:val="0043682C"/>
    <w:rsid w:val="00436B4B"/>
    <w:rsid w:val="00436C61"/>
    <w:rsid w:val="00436F41"/>
    <w:rsid w:val="00436F6E"/>
    <w:rsid w:val="0043710A"/>
    <w:rsid w:val="00437146"/>
    <w:rsid w:val="00437260"/>
    <w:rsid w:val="00437368"/>
    <w:rsid w:val="00437530"/>
    <w:rsid w:val="00437605"/>
    <w:rsid w:val="00437747"/>
    <w:rsid w:val="004378A3"/>
    <w:rsid w:val="004379E9"/>
    <w:rsid w:val="00437D33"/>
    <w:rsid w:val="004401BD"/>
    <w:rsid w:val="0044043A"/>
    <w:rsid w:val="00440461"/>
    <w:rsid w:val="004404E7"/>
    <w:rsid w:val="00440555"/>
    <w:rsid w:val="0044058D"/>
    <w:rsid w:val="00440976"/>
    <w:rsid w:val="00440CEE"/>
    <w:rsid w:val="00440DA9"/>
    <w:rsid w:val="00440ECE"/>
    <w:rsid w:val="0044102A"/>
    <w:rsid w:val="00441174"/>
    <w:rsid w:val="004411B8"/>
    <w:rsid w:val="0044139D"/>
    <w:rsid w:val="0044155B"/>
    <w:rsid w:val="0044157F"/>
    <w:rsid w:val="00441AB1"/>
    <w:rsid w:val="00441C86"/>
    <w:rsid w:val="00442102"/>
    <w:rsid w:val="00442220"/>
    <w:rsid w:val="004426BA"/>
    <w:rsid w:val="00442BED"/>
    <w:rsid w:val="004434EE"/>
    <w:rsid w:val="00443582"/>
    <w:rsid w:val="004435A8"/>
    <w:rsid w:val="00443723"/>
    <w:rsid w:val="0044390B"/>
    <w:rsid w:val="0044398B"/>
    <w:rsid w:val="00443A03"/>
    <w:rsid w:val="00443C93"/>
    <w:rsid w:val="00443D98"/>
    <w:rsid w:val="00443EDA"/>
    <w:rsid w:val="004442D3"/>
    <w:rsid w:val="00444302"/>
    <w:rsid w:val="00444503"/>
    <w:rsid w:val="00444611"/>
    <w:rsid w:val="0044480D"/>
    <w:rsid w:val="00444BDF"/>
    <w:rsid w:val="00444DF4"/>
    <w:rsid w:val="00444F25"/>
    <w:rsid w:val="0044502D"/>
    <w:rsid w:val="004450BE"/>
    <w:rsid w:val="004450F0"/>
    <w:rsid w:val="0044525D"/>
    <w:rsid w:val="0044531A"/>
    <w:rsid w:val="0044534E"/>
    <w:rsid w:val="00445406"/>
    <w:rsid w:val="00445421"/>
    <w:rsid w:val="00445457"/>
    <w:rsid w:val="004455D5"/>
    <w:rsid w:val="0044573E"/>
    <w:rsid w:val="00445EA0"/>
    <w:rsid w:val="00446085"/>
    <w:rsid w:val="0044617E"/>
    <w:rsid w:val="00446209"/>
    <w:rsid w:val="00446455"/>
    <w:rsid w:val="00446A6D"/>
    <w:rsid w:val="00446F51"/>
    <w:rsid w:val="004473E1"/>
    <w:rsid w:val="004475F1"/>
    <w:rsid w:val="0044763C"/>
    <w:rsid w:val="004476CE"/>
    <w:rsid w:val="004478C4"/>
    <w:rsid w:val="004479EF"/>
    <w:rsid w:val="00447A1B"/>
    <w:rsid w:val="00447CC3"/>
    <w:rsid w:val="00447D74"/>
    <w:rsid w:val="00447DE3"/>
    <w:rsid w:val="0045019B"/>
    <w:rsid w:val="004503BA"/>
    <w:rsid w:val="00450577"/>
    <w:rsid w:val="00450647"/>
    <w:rsid w:val="00450664"/>
    <w:rsid w:val="004506DB"/>
    <w:rsid w:val="004508DD"/>
    <w:rsid w:val="00450911"/>
    <w:rsid w:val="00450CA4"/>
    <w:rsid w:val="00450E0A"/>
    <w:rsid w:val="0045104A"/>
    <w:rsid w:val="004511F9"/>
    <w:rsid w:val="0045121F"/>
    <w:rsid w:val="0045122A"/>
    <w:rsid w:val="00451296"/>
    <w:rsid w:val="00451540"/>
    <w:rsid w:val="00451560"/>
    <w:rsid w:val="00451A3C"/>
    <w:rsid w:val="00451BCB"/>
    <w:rsid w:val="00451DB5"/>
    <w:rsid w:val="00451F91"/>
    <w:rsid w:val="00451FD6"/>
    <w:rsid w:val="00451FE7"/>
    <w:rsid w:val="0045212E"/>
    <w:rsid w:val="004522BD"/>
    <w:rsid w:val="00452370"/>
    <w:rsid w:val="004524AC"/>
    <w:rsid w:val="004524E8"/>
    <w:rsid w:val="0045252E"/>
    <w:rsid w:val="0045271E"/>
    <w:rsid w:val="00452895"/>
    <w:rsid w:val="004528AA"/>
    <w:rsid w:val="004529DF"/>
    <w:rsid w:val="00452B3B"/>
    <w:rsid w:val="00452BDA"/>
    <w:rsid w:val="00452BDD"/>
    <w:rsid w:val="00452CFF"/>
    <w:rsid w:val="00452D27"/>
    <w:rsid w:val="00452F84"/>
    <w:rsid w:val="00453046"/>
    <w:rsid w:val="004530E6"/>
    <w:rsid w:val="00453110"/>
    <w:rsid w:val="0045315A"/>
    <w:rsid w:val="004532FE"/>
    <w:rsid w:val="004535B1"/>
    <w:rsid w:val="004536D4"/>
    <w:rsid w:val="00453916"/>
    <w:rsid w:val="0045409F"/>
    <w:rsid w:val="004540B6"/>
    <w:rsid w:val="004542E4"/>
    <w:rsid w:val="00454483"/>
    <w:rsid w:val="00454516"/>
    <w:rsid w:val="004549E9"/>
    <w:rsid w:val="004549F7"/>
    <w:rsid w:val="00454AA8"/>
    <w:rsid w:val="00454B58"/>
    <w:rsid w:val="00454B8D"/>
    <w:rsid w:val="00454E40"/>
    <w:rsid w:val="0045500C"/>
    <w:rsid w:val="004552BF"/>
    <w:rsid w:val="00455324"/>
    <w:rsid w:val="0045543D"/>
    <w:rsid w:val="00455452"/>
    <w:rsid w:val="00455671"/>
    <w:rsid w:val="00455B16"/>
    <w:rsid w:val="00455CD9"/>
    <w:rsid w:val="00455D57"/>
    <w:rsid w:val="00455F40"/>
    <w:rsid w:val="00456020"/>
    <w:rsid w:val="004560BF"/>
    <w:rsid w:val="0045615C"/>
    <w:rsid w:val="0045616E"/>
    <w:rsid w:val="00456287"/>
    <w:rsid w:val="0045659C"/>
    <w:rsid w:val="0045672E"/>
    <w:rsid w:val="004568FB"/>
    <w:rsid w:val="00456B38"/>
    <w:rsid w:val="00456C18"/>
    <w:rsid w:val="00456F32"/>
    <w:rsid w:val="00456FFD"/>
    <w:rsid w:val="00457397"/>
    <w:rsid w:val="004574D4"/>
    <w:rsid w:val="00457561"/>
    <w:rsid w:val="0045765C"/>
    <w:rsid w:val="004577FC"/>
    <w:rsid w:val="00457A68"/>
    <w:rsid w:val="00457B41"/>
    <w:rsid w:val="00457D0D"/>
    <w:rsid w:val="00457D47"/>
    <w:rsid w:val="00457E44"/>
    <w:rsid w:val="00457F90"/>
    <w:rsid w:val="004602A5"/>
    <w:rsid w:val="004603B2"/>
    <w:rsid w:val="0046043D"/>
    <w:rsid w:val="00460527"/>
    <w:rsid w:val="00460539"/>
    <w:rsid w:val="004605D2"/>
    <w:rsid w:val="004606DB"/>
    <w:rsid w:val="0046078B"/>
    <w:rsid w:val="00460868"/>
    <w:rsid w:val="004609DA"/>
    <w:rsid w:val="00460B7D"/>
    <w:rsid w:val="00460BB3"/>
    <w:rsid w:val="00460E66"/>
    <w:rsid w:val="00460EBD"/>
    <w:rsid w:val="00461000"/>
    <w:rsid w:val="00461118"/>
    <w:rsid w:val="00461284"/>
    <w:rsid w:val="00461359"/>
    <w:rsid w:val="0046158C"/>
    <w:rsid w:val="004616DC"/>
    <w:rsid w:val="00461922"/>
    <w:rsid w:val="00461A34"/>
    <w:rsid w:val="00461BEB"/>
    <w:rsid w:val="00461E62"/>
    <w:rsid w:val="00461E97"/>
    <w:rsid w:val="00461FA7"/>
    <w:rsid w:val="004620D2"/>
    <w:rsid w:val="00462304"/>
    <w:rsid w:val="0046250D"/>
    <w:rsid w:val="0046253D"/>
    <w:rsid w:val="00462599"/>
    <w:rsid w:val="00462667"/>
    <w:rsid w:val="004626D4"/>
    <w:rsid w:val="00462AFC"/>
    <w:rsid w:val="00462D67"/>
    <w:rsid w:val="004630BB"/>
    <w:rsid w:val="00463138"/>
    <w:rsid w:val="00463370"/>
    <w:rsid w:val="004634E9"/>
    <w:rsid w:val="0046361C"/>
    <w:rsid w:val="00463697"/>
    <w:rsid w:val="004636CD"/>
    <w:rsid w:val="0046382D"/>
    <w:rsid w:val="0046386A"/>
    <w:rsid w:val="00463FF8"/>
    <w:rsid w:val="004640DA"/>
    <w:rsid w:val="004642B0"/>
    <w:rsid w:val="004648C7"/>
    <w:rsid w:val="00464988"/>
    <w:rsid w:val="00464AA4"/>
    <w:rsid w:val="00464D74"/>
    <w:rsid w:val="00464E51"/>
    <w:rsid w:val="00464EE6"/>
    <w:rsid w:val="00464F14"/>
    <w:rsid w:val="00465148"/>
    <w:rsid w:val="004652A4"/>
    <w:rsid w:val="004652A6"/>
    <w:rsid w:val="00465461"/>
    <w:rsid w:val="004656DC"/>
    <w:rsid w:val="0046570E"/>
    <w:rsid w:val="00465784"/>
    <w:rsid w:val="00465787"/>
    <w:rsid w:val="00465BD9"/>
    <w:rsid w:val="00465C34"/>
    <w:rsid w:val="00465E29"/>
    <w:rsid w:val="00466103"/>
    <w:rsid w:val="004661A0"/>
    <w:rsid w:val="0046638F"/>
    <w:rsid w:val="004664A0"/>
    <w:rsid w:val="004664C3"/>
    <w:rsid w:val="004664DC"/>
    <w:rsid w:val="0046691F"/>
    <w:rsid w:val="004669C9"/>
    <w:rsid w:val="00466A51"/>
    <w:rsid w:val="00466B7B"/>
    <w:rsid w:val="00466BDF"/>
    <w:rsid w:val="00466CBF"/>
    <w:rsid w:val="00466D51"/>
    <w:rsid w:val="00466DDD"/>
    <w:rsid w:val="00466F09"/>
    <w:rsid w:val="00466F48"/>
    <w:rsid w:val="004672FA"/>
    <w:rsid w:val="00467456"/>
    <w:rsid w:val="0046749E"/>
    <w:rsid w:val="0046784C"/>
    <w:rsid w:val="004679BE"/>
    <w:rsid w:val="00467A3C"/>
    <w:rsid w:val="00467B5E"/>
    <w:rsid w:val="00467BED"/>
    <w:rsid w:val="00467F1A"/>
    <w:rsid w:val="00470000"/>
    <w:rsid w:val="00470043"/>
    <w:rsid w:val="004700D0"/>
    <w:rsid w:val="00470379"/>
    <w:rsid w:val="004703F0"/>
    <w:rsid w:val="00470463"/>
    <w:rsid w:val="00470485"/>
    <w:rsid w:val="00470490"/>
    <w:rsid w:val="0047055E"/>
    <w:rsid w:val="00470965"/>
    <w:rsid w:val="00470A1C"/>
    <w:rsid w:val="00470A84"/>
    <w:rsid w:val="00470AF1"/>
    <w:rsid w:val="00470B9B"/>
    <w:rsid w:val="00470D1F"/>
    <w:rsid w:val="00470D67"/>
    <w:rsid w:val="00470E20"/>
    <w:rsid w:val="00470FAC"/>
    <w:rsid w:val="00471045"/>
    <w:rsid w:val="004710C1"/>
    <w:rsid w:val="004714DB"/>
    <w:rsid w:val="004714F0"/>
    <w:rsid w:val="0047153D"/>
    <w:rsid w:val="004715C5"/>
    <w:rsid w:val="00471659"/>
    <w:rsid w:val="004716AC"/>
    <w:rsid w:val="00471729"/>
    <w:rsid w:val="004717C9"/>
    <w:rsid w:val="0047188C"/>
    <w:rsid w:val="004719A1"/>
    <w:rsid w:val="00471FF8"/>
    <w:rsid w:val="0047209C"/>
    <w:rsid w:val="004722B5"/>
    <w:rsid w:val="00472624"/>
    <w:rsid w:val="00472895"/>
    <w:rsid w:val="00472977"/>
    <w:rsid w:val="0047297E"/>
    <w:rsid w:val="00472A44"/>
    <w:rsid w:val="00472A63"/>
    <w:rsid w:val="00472ADA"/>
    <w:rsid w:val="00472F34"/>
    <w:rsid w:val="00473123"/>
    <w:rsid w:val="00473217"/>
    <w:rsid w:val="0047380A"/>
    <w:rsid w:val="00473953"/>
    <w:rsid w:val="00473B4E"/>
    <w:rsid w:val="00473C6A"/>
    <w:rsid w:val="00473F89"/>
    <w:rsid w:val="004740FF"/>
    <w:rsid w:val="0047445C"/>
    <w:rsid w:val="00474470"/>
    <w:rsid w:val="00474816"/>
    <w:rsid w:val="0047485D"/>
    <w:rsid w:val="00474870"/>
    <w:rsid w:val="00474AFE"/>
    <w:rsid w:val="00474EA6"/>
    <w:rsid w:val="00474EBB"/>
    <w:rsid w:val="00474ED3"/>
    <w:rsid w:val="00475042"/>
    <w:rsid w:val="00475179"/>
    <w:rsid w:val="00475247"/>
    <w:rsid w:val="004752FA"/>
    <w:rsid w:val="00475539"/>
    <w:rsid w:val="0047571F"/>
    <w:rsid w:val="00475949"/>
    <w:rsid w:val="00475BBA"/>
    <w:rsid w:val="00475C13"/>
    <w:rsid w:val="00475C8B"/>
    <w:rsid w:val="00476093"/>
    <w:rsid w:val="004760E7"/>
    <w:rsid w:val="00476275"/>
    <w:rsid w:val="00476643"/>
    <w:rsid w:val="00476670"/>
    <w:rsid w:val="0047681A"/>
    <w:rsid w:val="0047683B"/>
    <w:rsid w:val="004768FF"/>
    <w:rsid w:val="004769A3"/>
    <w:rsid w:val="00476B42"/>
    <w:rsid w:val="00476C1C"/>
    <w:rsid w:val="00476C55"/>
    <w:rsid w:val="00476FAD"/>
    <w:rsid w:val="00476FC0"/>
    <w:rsid w:val="00477014"/>
    <w:rsid w:val="0047717B"/>
    <w:rsid w:val="00477276"/>
    <w:rsid w:val="00477440"/>
    <w:rsid w:val="004775EA"/>
    <w:rsid w:val="00477830"/>
    <w:rsid w:val="0047798A"/>
    <w:rsid w:val="00477CB0"/>
    <w:rsid w:val="00477DFA"/>
    <w:rsid w:val="00477E0E"/>
    <w:rsid w:val="00477E82"/>
    <w:rsid w:val="00477EE5"/>
    <w:rsid w:val="00477F1A"/>
    <w:rsid w:val="00477F72"/>
    <w:rsid w:val="004800E6"/>
    <w:rsid w:val="00480164"/>
    <w:rsid w:val="004801D6"/>
    <w:rsid w:val="0048028C"/>
    <w:rsid w:val="004802DC"/>
    <w:rsid w:val="00480383"/>
    <w:rsid w:val="00480499"/>
    <w:rsid w:val="00480532"/>
    <w:rsid w:val="00480626"/>
    <w:rsid w:val="00480627"/>
    <w:rsid w:val="00480677"/>
    <w:rsid w:val="00480725"/>
    <w:rsid w:val="0048077C"/>
    <w:rsid w:val="004809DA"/>
    <w:rsid w:val="00480A2C"/>
    <w:rsid w:val="00480A55"/>
    <w:rsid w:val="00480C0E"/>
    <w:rsid w:val="00480CB0"/>
    <w:rsid w:val="00481030"/>
    <w:rsid w:val="00481193"/>
    <w:rsid w:val="00481203"/>
    <w:rsid w:val="0048127B"/>
    <w:rsid w:val="0048131B"/>
    <w:rsid w:val="004813C7"/>
    <w:rsid w:val="004814E3"/>
    <w:rsid w:val="00481AB4"/>
    <w:rsid w:val="00481B56"/>
    <w:rsid w:val="00481C7E"/>
    <w:rsid w:val="00481D69"/>
    <w:rsid w:val="0048208A"/>
    <w:rsid w:val="00482225"/>
    <w:rsid w:val="00482248"/>
    <w:rsid w:val="00482373"/>
    <w:rsid w:val="0048253D"/>
    <w:rsid w:val="00482652"/>
    <w:rsid w:val="00482874"/>
    <w:rsid w:val="0048288B"/>
    <w:rsid w:val="004829D3"/>
    <w:rsid w:val="00482A6E"/>
    <w:rsid w:val="00482CF0"/>
    <w:rsid w:val="00482F24"/>
    <w:rsid w:val="004831F0"/>
    <w:rsid w:val="0048332B"/>
    <w:rsid w:val="004834CD"/>
    <w:rsid w:val="0048353F"/>
    <w:rsid w:val="004835D1"/>
    <w:rsid w:val="00483603"/>
    <w:rsid w:val="004836CB"/>
    <w:rsid w:val="00483944"/>
    <w:rsid w:val="00483B11"/>
    <w:rsid w:val="00483CB2"/>
    <w:rsid w:val="00483EF7"/>
    <w:rsid w:val="00483FA1"/>
    <w:rsid w:val="00484107"/>
    <w:rsid w:val="00484125"/>
    <w:rsid w:val="00484314"/>
    <w:rsid w:val="00484367"/>
    <w:rsid w:val="00484469"/>
    <w:rsid w:val="00484565"/>
    <w:rsid w:val="0048465B"/>
    <w:rsid w:val="00484881"/>
    <w:rsid w:val="00484884"/>
    <w:rsid w:val="00484D53"/>
    <w:rsid w:val="00484DD3"/>
    <w:rsid w:val="00484E64"/>
    <w:rsid w:val="00484EB7"/>
    <w:rsid w:val="0048516B"/>
    <w:rsid w:val="004851A5"/>
    <w:rsid w:val="004851B6"/>
    <w:rsid w:val="004851EF"/>
    <w:rsid w:val="0048524A"/>
    <w:rsid w:val="0048531A"/>
    <w:rsid w:val="00485353"/>
    <w:rsid w:val="00485490"/>
    <w:rsid w:val="00485499"/>
    <w:rsid w:val="00485723"/>
    <w:rsid w:val="0048572E"/>
    <w:rsid w:val="004858B0"/>
    <w:rsid w:val="00485935"/>
    <w:rsid w:val="004859CD"/>
    <w:rsid w:val="004859F8"/>
    <w:rsid w:val="00485C17"/>
    <w:rsid w:val="00485E08"/>
    <w:rsid w:val="00485EB0"/>
    <w:rsid w:val="00486072"/>
    <w:rsid w:val="004860D9"/>
    <w:rsid w:val="00486385"/>
    <w:rsid w:val="00486845"/>
    <w:rsid w:val="0048686C"/>
    <w:rsid w:val="00486973"/>
    <w:rsid w:val="004869D8"/>
    <w:rsid w:val="00486C78"/>
    <w:rsid w:val="00487304"/>
    <w:rsid w:val="004875A0"/>
    <w:rsid w:val="004875A4"/>
    <w:rsid w:val="0048791A"/>
    <w:rsid w:val="00487CDB"/>
    <w:rsid w:val="00487D53"/>
    <w:rsid w:val="00490030"/>
    <w:rsid w:val="00490245"/>
    <w:rsid w:val="0049026C"/>
    <w:rsid w:val="004902DC"/>
    <w:rsid w:val="00490308"/>
    <w:rsid w:val="0049073F"/>
    <w:rsid w:val="00490E3D"/>
    <w:rsid w:val="00491275"/>
    <w:rsid w:val="004913CB"/>
    <w:rsid w:val="00491758"/>
    <w:rsid w:val="0049192F"/>
    <w:rsid w:val="0049194F"/>
    <w:rsid w:val="00491957"/>
    <w:rsid w:val="00491A22"/>
    <w:rsid w:val="00491BDF"/>
    <w:rsid w:val="00491BE7"/>
    <w:rsid w:val="00491C57"/>
    <w:rsid w:val="00492003"/>
    <w:rsid w:val="00492069"/>
    <w:rsid w:val="0049208E"/>
    <w:rsid w:val="00492141"/>
    <w:rsid w:val="004927E7"/>
    <w:rsid w:val="004928D0"/>
    <w:rsid w:val="004928FD"/>
    <w:rsid w:val="0049291A"/>
    <w:rsid w:val="00492935"/>
    <w:rsid w:val="00492EB9"/>
    <w:rsid w:val="00493155"/>
    <w:rsid w:val="0049315E"/>
    <w:rsid w:val="00493239"/>
    <w:rsid w:val="004934C7"/>
    <w:rsid w:val="00493AD6"/>
    <w:rsid w:val="00493B69"/>
    <w:rsid w:val="00493E65"/>
    <w:rsid w:val="00493F8E"/>
    <w:rsid w:val="004940AD"/>
    <w:rsid w:val="00494325"/>
    <w:rsid w:val="0049440A"/>
    <w:rsid w:val="00494631"/>
    <w:rsid w:val="00494BA5"/>
    <w:rsid w:val="00494FEF"/>
    <w:rsid w:val="00495131"/>
    <w:rsid w:val="004952E8"/>
    <w:rsid w:val="0049546B"/>
    <w:rsid w:val="00495765"/>
    <w:rsid w:val="004957B1"/>
    <w:rsid w:val="004958F0"/>
    <w:rsid w:val="004958F5"/>
    <w:rsid w:val="00495948"/>
    <w:rsid w:val="00495988"/>
    <w:rsid w:val="00495B59"/>
    <w:rsid w:val="00495E5A"/>
    <w:rsid w:val="00495EF9"/>
    <w:rsid w:val="00495F01"/>
    <w:rsid w:val="0049609D"/>
    <w:rsid w:val="0049632F"/>
    <w:rsid w:val="00496668"/>
    <w:rsid w:val="004966D1"/>
    <w:rsid w:val="00496A0F"/>
    <w:rsid w:val="00496A28"/>
    <w:rsid w:val="00496BF8"/>
    <w:rsid w:val="004970CC"/>
    <w:rsid w:val="004973FA"/>
    <w:rsid w:val="00497457"/>
    <w:rsid w:val="004974F7"/>
    <w:rsid w:val="0049765B"/>
    <w:rsid w:val="004976A3"/>
    <w:rsid w:val="0049779A"/>
    <w:rsid w:val="004977B3"/>
    <w:rsid w:val="00497821"/>
    <w:rsid w:val="00497AE9"/>
    <w:rsid w:val="00497CAA"/>
    <w:rsid w:val="00497CFB"/>
    <w:rsid w:val="00497EFB"/>
    <w:rsid w:val="00497F59"/>
    <w:rsid w:val="004A0101"/>
    <w:rsid w:val="004A0422"/>
    <w:rsid w:val="004A0597"/>
    <w:rsid w:val="004A05AD"/>
    <w:rsid w:val="004A073B"/>
    <w:rsid w:val="004A09E8"/>
    <w:rsid w:val="004A0C1C"/>
    <w:rsid w:val="004A0DAA"/>
    <w:rsid w:val="004A0EDA"/>
    <w:rsid w:val="004A101A"/>
    <w:rsid w:val="004A14A2"/>
    <w:rsid w:val="004A1689"/>
    <w:rsid w:val="004A169A"/>
    <w:rsid w:val="004A1A10"/>
    <w:rsid w:val="004A1CFA"/>
    <w:rsid w:val="004A1D6A"/>
    <w:rsid w:val="004A1DD0"/>
    <w:rsid w:val="004A1EAD"/>
    <w:rsid w:val="004A209A"/>
    <w:rsid w:val="004A20A5"/>
    <w:rsid w:val="004A21A4"/>
    <w:rsid w:val="004A21D3"/>
    <w:rsid w:val="004A234D"/>
    <w:rsid w:val="004A25AB"/>
    <w:rsid w:val="004A25F0"/>
    <w:rsid w:val="004A282A"/>
    <w:rsid w:val="004A28BA"/>
    <w:rsid w:val="004A295E"/>
    <w:rsid w:val="004A2B36"/>
    <w:rsid w:val="004A2BCC"/>
    <w:rsid w:val="004A2C09"/>
    <w:rsid w:val="004A2C25"/>
    <w:rsid w:val="004A2DE5"/>
    <w:rsid w:val="004A300A"/>
    <w:rsid w:val="004A323C"/>
    <w:rsid w:val="004A32BB"/>
    <w:rsid w:val="004A331D"/>
    <w:rsid w:val="004A389F"/>
    <w:rsid w:val="004A39DC"/>
    <w:rsid w:val="004A3A2C"/>
    <w:rsid w:val="004A3B4E"/>
    <w:rsid w:val="004A3C51"/>
    <w:rsid w:val="004A3DA7"/>
    <w:rsid w:val="004A4177"/>
    <w:rsid w:val="004A420B"/>
    <w:rsid w:val="004A420C"/>
    <w:rsid w:val="004A42BC"/>
    <w:rsid w:val="004A42C5"/>
    <w:rsid w:val="004A46DC"/>
    <w:rsid w:val="004A47BE"/>
    <w:rsid w:val="004A47C0"/>
    <w:rsid w:val="004A4812"/>
    <w:rsid w:val="004A4990"/>
    <w:rsid w:val="004A4A3D"/>
    <w:rsid w:val="004A4D53"/>
    <w:rsid w:val="004A4E3D"/>
    <w:rsid w:val="004A4ECB"/>
    <w:rsid w:val="004A5148"/>
    <w:rsid w:val="004A52DB"/>
    <w:rsid w:val="004A54B8"/>
    <w:rsid w:val="004A566D"/>
    <w:rsid w:val="004A56D5"/>
    <w:rsid w:val="004A56F1"/>
    <w:rsid w:val="004A5C6B"/>
    <w:rsid w:val="004A5D3C"/>
    <w:rsid w:val="004A5E29"/>
    <w:rsid w:val="004A60C9"/>
    <w:rsid w:val="004A6110"/>
    <w:rsid w:val="004A6761"/>
    <w:rsid w:val="004A6804"/>
    <w:rsid w:val="004A68C6"/>
    <w:rsid w:val="004A69E0"/>
    <w:rsid w:val="004A6ADD"/>
    <w:rsid w:val="004A6BA0"/>
    <w:rsid w:val="004A6C17"/>
    <w:rsid w:val="004A7011"/>
    <w:rsid w:val="004A75C8"/>
    <w:rsid w:val="004A7657"/>
    <w:rsid w:val="004A783E"/>
    <w:rsid w:val="004A7D7F"/>
    <w:rsid w:val="004A7E1A"/>
    <w:rsid w:val="004A7EEA"/>
    <w:rsid w:val="004A7FAB"/>
    <w:rsid w:val="004A7FB0"/>
    <w:rsid w:val="004B0089"/>
    <w:rsid w:val="004B01BC"/>
    <w:rsid w:val="004B0ACA"/>
    <w:rsid w:val="004B0C29"/>
    <w:rsid w:val="004B0CC2"/>
    <w:rsid w:val="004B0E53"/>
    <w:rsid w:val="004B0FBA"/>
    <w:rsid w:val="004B11F6"/>
    <w:rsid w:val="004B1459"/>
    <w:rsid w:val="004B1471"/>
    <w:rsid w:val="004B15B2"/>
    <w:rsid w:val="004B1986"/>
    <w:rsid w:val="004B1AA1"/>
    <w:rsid w:val="004B1AE8"/>
    <w:rsid w:val="004B1B0E"/>
    <w:rsid w:val="004B1BB4"/>
    <w:rsid w:val="004B1BC8"/>
    <w:rsid w:val="004B1C38"/>
    <w:rsid w:val="004B1D12"/>
    <w:rsid w:val="004B1D8E"/>
    <w:rsid w:val="004B1E12"/>
    <w:rsid w:val="004B1F1A"/>
    <w:rsid w:val="004B1F29"/>
    <w:rsid w:val="004B20A2"/>
    <w:rsid w:val="004B210D"/>
    <w:rsid w:val="004B25D8"/>
    <w:rsid w:val="004B263D"/>
    <w:rsid w:val="004B2959"/>
    <w:rsid w:val="004B29A8"/>
    <w:rsid w:val="004B2AFE"/>
    <w:rsid w:val="004B2EF8"/>
    <w:rsid w:val="004B302A"/>
    <w:rsid w:val="004B315A"/>
    <w:rsid w:val="004B3181"/>
    <w:rsid w:val="004B34EA"/>
    <w:rsid w:val="004B352D"/>
    <w:rsid w:val="004B3570"/>
    <w:rsid w:val="004B368B"/>
    <w:rsid w:val="004B396A"/>
    <w:rsid w:val="004B3A14"/>
    <w:rsid w:val="004B3B4B"/>
    <w:rsid w:val="004B3B50"/>
    <w:rsid w:val="004B3BB9"/>
    <w:rsid w:val="004B3DBC"/>
    <w:rsid w:val="004B3E0B"/>
    <w:rsid w:val="004B3EAA"/>
    <w:rsid w:val="004B4194"/>
    <w:rsid w:val="004B42F8"/>
    <w:rsid w:val="004B4366"/>
    <w:rsid w:val="004B4675"/>
    <w:rsid w:val="004B4921"/>
    <w:rsid w:val="004B497B"/>
    <w:rsid w:val="004B4A43"/>
    <w:rsid w:val="004B4BF6"/>
    <w:rsid w:val="004B4CA8"/>
    <w:rsid w:val="004B4E16"/>
    <w:rsid w:val="004B4EA9"/>
    <w:rsid w:val="004B52B6"/>
    <w:rsid w:val="004B5363"/>
    <w:rsid w:val="004B5494"/>
    <w:rsid w:val="004B54A3"/>
    <w:rsid w:val="004B56D2"/>
    <w:rsid w:val="004B5928"/>
    <w:rsid w:val="004B5964"/>
    <w:rsid w:val="004B5984"/>
    <w:rsid w:val="004B5BBC"/>
    <w:rsid w:val="004B5CD1"/>
    <w:rsid w:val="004B5CD9"/>
    <w:rsid w:val="004B5DB6"/>
    <w:rsid w:val="004B5F96"/>
    <w:rsid w:val="004B6089"/>
    <w:rsid w:val="004B643C"/>
    <w:rsid w:val="004B659D"/>
    <w:rsid w:val="004B665D"/>
    <w:rsid w:val="004B6D30"/>
    <w:rsid w:val="004B6D3F"/>
    <w:rsid w:val="004B6D43"/>
    <w:rsid w:val="004B6F85"/>
    <w:rsid w:val="004B6FAC"/>
    <w:rsid w:val="004B723F"/>
    <w:rsid w:val="004B7795"/>
    <w:rsid w:val="004B7834"/>
    <w:rsid w:val="004B7941"/>
    <w:rsid w:val="004B7D6F"/>
    <w:rsid w:val="004C02B3"/>
    <w:rsid w:val="004C0497"/>
    <w:rsid w:val="004C066C"/>
    <w:rsid w:val="004C06E4"/>
    <w:rsid w:val="004C06EC"/>
    <w:rsid w:val="004C07EA"/>
    <w:rsid w:val="004C0956"/>
    <w:rsid w:val="004C0AF3"/>
    <w:rsid w:val="004C0B3C"/>
    <w:rsid w:val="004C0B64"/>
    <w:rsid w:val="004C0BE2"/>
    <w:rsid w:val="004C0C2D"/>
    <w:rsid w:val="004C0C3C"/>
    <w:rsid w:val="004C0DB2"/>
    <w:rsid w:val="004C0E91"/>
    <w:rsid w:val="004C1074"/>
    <w:rsid w:val="004C1348"/>
    <w:rsid w:val="004C1388"/>
    <w:rsid w:val="004C14CD"/>
    <w:rsid w:val="004C1504"/>
    <w:rsid w:val="004C1980"/>
    <w:rsid w:val="004C1984"/>
    <w:rsid w:val="004C19BE"/>
    <w:rsid w:val="004C1FA8"/>
    <w:rsid w:val="004C201A"/>
    <w:rsid w:val="004C2037"/>
    <w:rsid w:val="004C23F8"/>
    <w:rsid w:val="004C269E"/>
    <w:rsid w:val="004C27CE"/>
    <w:rsid w:val="004C288A"/>
    <w:rsid w:val="004C2A44"/>
    <w:rsid w:val="004C2BFF"/>
    <w:rsid w:val="004C2C88"/>
    <w:rsid w:val="004C2DD3"/>
    <w:rsid w:val="004C3138"/>
    <w:rsid w:val="004C314C"/>
    <w:rsid w:val="004C327D"/>
    <w:rsid w:val="004C33A1"/>
    <w:rsid w:val="004C355B"/>
    <w:rsid w:val="004C3742"/>
    <w:rsid w:val="004C37C8"/>
    <w:rsid w:val="004C38D3"/>
    <w:rsid w:val="004C3A8E"/>
    <w:rsid w:val="004C3D50"/>
    <w:rsid w:val="004C3DE9"/>
    <w:rsid w:val="004C3E8E"/>
    <w:rsid w:val="004C3F57"/>
    <w:rsid w:val="004C413B"/>
    <w:rsid w:val="004C4147"/>
    <w:rsid w:val="004C4652"/>
    <w:rsid w:val="004C4738"/>
    <w:rsid w:val="004C4757"/>
    <w:rsid w:val="004C48B7"/>
    <w:rsid w:val="004C4DB0"/>
    <w:rsid w:val="004C4FCB"/>
    <w:rsid w:val="004C5317"/>
    <w:rsid w:val="004C5399"/>
    <w:rsid w:val="004C54E9"/>
    <w:rsid w:val="004C54FD"/>
    <w:rsid w:val="004C551E"/>
    <w:rsid w:val="004C5584"/>
    <w:rsid w:val="004C5742"/>
    <w:rsid w:val="004C577F"/>
    <w:rsid w:val="004C57B4"/>
    <w:rsid w:val="004C583F"/>
    <w:rsid w:val="004C59EA"/>
    <w:rsid w:val="004C5A20"/>
    <w:rsid w:val="004C5B8A"/>
    <w:rsid w:val="004C5CA5"/>
    <w:rsid w:val="004C5D7E"/>
    <w:rsid w:val="004C5E08"/>
    <w:rsid w:val="004C5E26"/>
    <w:rsid w:val="004C5ED2"/>
    <w:rsid w:val="004C62DA"/>
    <w:rsid w:val="004C638A"/>
    <w:rsid w:val="004C6885"/>
    <w:rsid w:val="004C698A"/>
    <w:rsid w:val="004C6D7C"/>
    <w:rsid w:val="004C6DC8"/>
    <w:rsid w:val="004C6E18"/>
    <w:rsid w:val="004C6FE9"/>
    <w:rsid w:val="004C7061"/>
    <w:rsid w:val="004C74A8"/>
    <w:rsid w:val="004C7544"/>
    <w:rsid w:val="004C7551"/>
    <w:rsid w:val="004C75D9"/>
    <w:rsid w:val="004C75DE"/>
    <w:rsid w:val="004C7708"/>
    <w:rsid w:val="004C7783"/>
    <w:rsid w:val="004C7928"/>
    <w:rsid w:val="004C7A0D"/>
    <w:rsid w:val="004C7A11"/>
    <w:rsid w:val="004C7A2B"/>
    <w:rsid w:val="004C7A82"/>
    <w:rsid w:val="004C7AD9"/>
    <w:rsid w:val="004C7C18"/>
    <w:rsid w:val="004C7D3A"/>
    <w:rsid w:val="004C7E4E"/>
    <w:rsid w:val="004C7F94"/>
    <w:rsid w:val="004D007A"/>
    <w:rsid w:val="004D0640"/>
    <w:rsid w:val="004D083C"/>
    <w:rsid w:val="004D0C6B"/>
    <w:rsid w:val="004D0DA9"/>
    <w:rsid w:val="004D0E3C"/>
    <w:rsid w:val="004D0EE6"/>
    <w:rsid w:val="004D0F9B"/>
    <w:rsid w:val="004D0FB7"/>
    <w:rsid w:val="004D13A9"/>
    <w:rsid w:val="004D14E5"/>
    <w:rsid w:val="004D16E3"/>
    <w:rsid w:val="004D17CB"/>
    <w:rsid w:val="004D1808"/>
    <w:rsid w:val="004D1CB3"/>
    <w:rsid w:val="004D1D2D"/>
    <w:rsid w:val="004D1F16"/>
    <w:rsid w:val="004D20F3"/>
    <w:rsid w:val="004D22C6"/>
    <w:rsid w:val="004D2323"/>
    <w:rsid w:val="004D2492"/>
    <w:rsid w:val="004D255D"/>
    <w:rsid w:val="004D25E2"/>
    <w:rsid w:val="004D2800"/>
    <w:rsid w:val="004D289A"/>
    <w:rsid w:val="004D28B0"/>
    <w:rsid w:val="004D2B00"/>
    <w:rsid w:val="004D2BB6"/>
    <w:rsid w:val="004D2D65"/>
    <w:rsid w:val="004D3017"/>
    <w:rsid w:val="004D31BA"/>
    <w:rsid w:val="004D3345"/>
    <w:rsid w:val="004D343E"/>
    <w:rsid w:val="004D37C9"/>
    <w:rsid w:val="004D37D1"/>
    <w:rsid w:val="004D3819"/>
    <w:rsid w:val="004D39B1"/>
    <w:rsid w:val="004D3D60"/>
    <w:rsid w:val="004D3DFF"/>
    <w:rsid w:val="004D3E2C"/>
    <w:rsid w:val="004D40C4"/>
    <w:rsid w:val="004D48E5"/>
    <w:rsid w:val="004D4A0B"/>
    <w:rsid w:val="004D4A43"/>
    <w:rsid w:val="004D4AED"/>
    <w:rsid w:val="004D4B08"/>
    <w:rsid w:val="004D4B7B"/>
    <w:rsid w:val="004D4D9D"/>
    <w:rsid w:val="004D4DD0"/>
    <w:rsid w:val="004D5227"/>
    <w:rsid w:val="004D52A2"/>
    <w:rsid w:val="004D5472"/>
    <w:rsid w:val="004D56B4"/>
    <w:rsid w:val="004D57DA"/>
    <w:rsid w:val="004D58A3"/>
    <w:rsid w:val="004D5B29"/>
    <w:rsid w:val="004D5CCE"/>
    <w:rsid w:val="004D5D38"/>
    <w:rsid w:val="004D5E0F"/>
    <w:rsid w:val="004D5FA9"/>
    <w:rsid w:val="004D5FE1"/>
    <w:rsid w:val="004D60B9"/>
    <w:rsid w:val="004D6420"/>
    <w:rsid w:val="004D665A"/>
    <w:rsid w:val="004D66C2"/>
    <w:rsid w:val="004D67B6"/>
    <w:rsid w:val="004D6CC4"/>
    <w:rsid w:val="004D6CE0"/>
    <w:rsid w:val="004D6F72"/>
    <w:rsid w:val="004D6FDD"/>
    <w:rsid w:val="004D6FF2"/>
    <w:rsid w:val="004D73FB"/>
    <w:rsid w:val="004D7414"/>
    <w:rsid w:val="004D743D"/>
    <w:rsid w:val="004D7509"/>
    <w:rsid w:val="004D75B3"/>
    <w:rsid w:val="004D7789"/>
    <w:rsid w:val="004D797A"/>
    <w:rsid w:val="004D79B2"/>
    <w:rsid w:val="004D7A77"/>
    <w:rsid w:val="004D7A90"/>
    <w:rsid w:val="004D7C95"/>
    <w:rsid w:val="004D7D08"/>
    <w:rsid w:val="004D7E2B"/>
    <w:rsid w:val="004D7E4E"/>
    <w:rsid w:val="004D7EB9"/>
    <w:rsid w:val="004D7EF5"/>
    <w:rsid w:val="004D7F60"/>
    <w:rsid w:val="004D7F94"/>
    <w:rsid w:val="004E01D3"/>
    <w:rsid w:val="004E01E0"/>
    <w:rsid w:val="004E01F8"/>
    <w:rsid w:val="004E0337"/>
    <w:rsid w:val="004E044D"/>
    <w:rsid w:val="004E065D"/>
    <w:rsid w:val="004E0684"/>
    <w:rsid w:val="004E06B6"/>
    <w:rsid w:val="004E0720"/>
    <w:rsid w:val="004E0790"/>
    <w:rsid w:val="004E08A6"/>
    <w:rsid w:val="004E0AF3"/>
    <w:rsid w:val="004E0B0B"/>
    <w:rsid w:val="004E0BAF"/>
    <w:rsid w:val="004E0C6B"/>
    <w:rsid w:val="004E0D0E"/>
    <w:rsid w:val="004E0D3B"/>
    <w:rsid w:val="004E0E3E"/>
    <w:rsid w:val="004E0EDD"/>
    <w:rsid w:val="004E1019"/>
    <w:rsid w:val="004E108E"/>
    <w:rsid w:val="004E111F"/>
    <w:rsid w:val="004E128A"/>
    <w:rsid w:val="004E1371"/>
    <w:rsid w:val="004E173A"/>
    <w:rsid w:val="004E18CC"/>
    <w:rsid w:val="004E195B"/>
    <w:rsid w:val="004E1A8F"/>
    <w:rsid w:val="004E1AD8"/>
    <w:rsid w:val="004E1ADE"/>
    <w:rsid w:val="004E1B2C"/>
    <w:rsid w:val="004E1B48"/>
    <w:rsid w:val="004E1C51"/>
    <w:rsid w:val="004E1DCA"/>
    <w:rsid w:val="004E1E42"/>
    <w:rsid w:val="004E1F8E"/>
    <w:rsid w:val="004E1FDA"/>
    <w:rsid w:val="004E201C"/>
    <w:rsid w:val="004E2335"/>
    <w:rsid w:val="004E2474"/>
    <w:rsid w:val="004E2501"/>
    <w:rsid w:val="004E25C5"/>
    <w:rsid w:val="004E276C"/>
    <w:rsid w:val="004E280E"/>
    <w:rsid w:val="004E286C"/>
    <w:rsid w:val="004E2935"/>
    <w:rsid w:val="004E2993"/>
    <w:rsid w:val="004E2F30"/>
    <w:rsid w:val="004E2F44"/>
    <w:rsid w:val="004E3050"/>
    <w:rsid w:val="004E3192"/>
    <w:rsid w:val="004E32B8"/>
    <w:rsid w:val="004E3352"/>
    <w:rsid w:val="004E34A5"/>
    <w:rsid w:val="004E34C9"/>
    <w:rsid w:val="004E358F"/>
    <w:rsid w:val="004E370B"/>
    <w:rsid w:val="004E39C1"/>
    <w:rsid w:val="004E39D3"/>
    <w:rsid w:val="004E3C0C"/>
    <w:rsid w:val="004E40CA"/>
    <w:rsid w:val="004E4348"/>
    <w:rsid w:val="004E44E0"/>
    <w:rsid w:val="004E44EB"/>
    <w:rsid w:val="004E47BA"/>
    <w:rsid w:val="004E4837"/>
    <w:rsid w:val="004E4867"/>
    <w:rsid w:val="004E4BD3"/>
    <w:rsid w:val="004E4C0C"/>
    <w:rsid w:val="004E4C0E"/>
    <w:rsid w:val="004E4DB4"/>
    <w:rsid w:val="004E4E87"/>
    <w:rsid w:val="004E4F92"/>
    <w:rsid w:val="004E5069"/>
    <w:rsid w:val="004E50C0"/>
    <w:rsid w:val="004E51A6"/>
    <w:rsid w:val="004E51D1"/>
    <w:rsid w:val="004E51D9"/>
    <w:rsid w:val="004E5409"/>
    <w:rsid w:val="004E5691"/>
    <w:rsid w:val="004E569C"/>
    <w:rsid w:val="004E5805"/>
    <w:rsid w:val="004E58B7"/>
    <w:rsid w:val="004E5C36"/>
    <w:rsid w:val="004E601A"/>
    <w:rsid w:val="004E609E"/>
    <w:rsid w:val="004E61CC"/>
    <w:rsid w:val="004E6262"/>
    <w:rsid w:val="004E628D"/>
    <w:rsid w:val="004E6372"/>
    <w:rsid w:val="004E6510"/>
    <w:rsid w:val="004E655B"/>
    <w:rsid w:val="004E66D9"/>
    <w:rsid w:val="004E6709"/>
    <w:rsid w:val="004E67C9"/>
    <w:rsid w:val="004E68A7"/>
    <w:rsid w:val="004E68C7"/>
    <w:rsid w:val="004E6C98"/>
    <w:rsid w:val="004E7228"/>
    <w:rsid w:val="004E725D"/>
    <w:rsid w:val="004E72CC"/>
    <w:rsid w:val="004E7404"/>
    <w:rsid w:val="004E7509"/>
    <w:rsid w:val="004E7809"/>
    <w:rsid w:val="004E781B"/>
    <w:rsid w:val="004E788C"/>
    <w:rsid w:val="004E79A0"/>
    <w:rsid w:val="004E79AF"/>
    <w:rsid w:val="004E79B9"/>
    <w:rsid w:val="004E7C80"/>
    <w:rsid w:val="004E7C91"/>
    <w:rsid w:val="004E7DEE"/>
    <w:rsid w:val="004E7ED3"/>
    <w:rsid w:val="004F01B7"/>
    <w:rsid w:val="004F0504"/>
    <w:rsid w:val="004F0510"/>
    <w:rsid w:val="004F0586"/>
    <w:rsid w:val="004F05C3"/>
    <w:rsid w:val="004F062C"/>
    <w:rsid w:val="004F06C8"/>
    <w:rsid w:val="004F094F"/>
    <w:rsid w:val="004F096C"/>
    <w:rsid w:val="004F099A"/>
    <w:rsid w:val="004F0A03"/>
    <w:rsid w:val="004F0A96"/>
    <w:rsid w:val="004F0D0F"/>
    <w:rsid w:val="004F0E28"/>
    <w:rsid w:val="004F0E66"/>
    <w:rsid w:val="004F109B"/>
    <w:rsid w:val="004F1117"/>
    <w:rsid w:val="004F11B2"/>
    <w:rsid w:val="004F12E6"/>
    <w:rsid w:val="004F1305"/>
    <w:rsid w:val="004F13DC"/>
    <w:rsid w:val="004F1717"/>
    <w:rsid w:val="004F1781"/>
    <w:rsid w:val="004F1897"/>
    <w:rsid w:val="004F1A6E"/>
    <w:rsid w:val="004F1BE7"/>
    <w:rsid w:val="004F1FBD"/>
    <w:rsid w:val="004F21C4"/>
    <w:rsid w:val="004F2293"/>
    <w:rsid w:val="004F2403"/>
    <w:rsid w:val="004F2457"/>
    <w:rsid w:val="004F24EB"/>
    <w:rsid w:val="004F2786"/>
    <w:rsid w:val="004F2968"/>
    <w:rsid w:val="004F299F"/>
    <w:rsid w:val="004F2A47"/>
    <w:rsid w:val="004F2C7D"/>
    <w:rsid w:val="004F2E7F"/>
    <w:rsid w:val="004F2F35"/>
    <w:rsid w:val="004F2FCE"/>
    <w:rsid w:val="004F3230"/>
    <w:rsid w:val="004F34D6"/>
    <w:rsid w:val="004F34E0"/>
    <w:rsid w:val="004F35A9"/>
    <w:rsid w:val="004F3605"/>
    <w:rsid w:val="004F36FB"/>
    <w:rsid w:val="004F38AD"/>
    <w:rsid w:val="004F38CF"/>
    <w:rsid w:val="004F3B28"/>
    <w:rsid w:val="004F3BFC"/>
    <w:rsid w:val="004F3C06"/>
    <w:rsid w:val="004F3DCB"/>
    <w:rsid w:val="004F3E76"/>
    <w:rsid w:val="004F3FCD"/>
    <w:rsid w:val="004F42AF"/>
    <w:rsid w:val="004F4491"/>
    <w:rsid w:val="004F464E"/>
    <w:rsid w:val="004F4AC3"/>
    <w:rsid w:val="004F4ACD"/>
    <w:rsid w:val="004F4D2B"/>
    <w:rsid w:val="004F4D64"/>
    <w:rsid w:val="004F4F4F"/>
    <w:rsid w:val="004F4F6C"/>
    <w:rsid w:val="004F5135"/>
    <w:rsid w:val="004F52A6"/>
    <w:rsid w:val="004F5363"/>
    <w:rsid w:val="004F53C5"/>
    <w:rsid w:val="004F53FA"/>
    <w:rsid w:val="004F549A"/>
    <w:rsid w:val="004F5533"/>
    <w:rsid w:val="004F5584"/>
    <w:rsid w:val="004F5983"/>
    <w:rsid w:val="004F59F2"/>
    <w:rsid w:val="004F59F3"/>
    <w:rsid w:val="004F5E18"/>
    <w:rsid w:val="004F5E85"/>
    <w:rsid w:val="004F6059"/>
    <w:rsid w:val="004F6066"/>
    <w:rsid w:val="004F63CB"/>
    <w:rsid w:val="004F663D"/>
    <w:rsid w:val="004F67B5"/>
    <w:rsid w:val="004F6802"/>
    <w:rsid w:val="004F6845"/>
    <w:rsid w:val="004F68D0"/>
    <w:rsid w:val="004F68F4"/>
    <w:rsid w:val="004F6AE5"/>
    <w:rsid w:val="004F6CF3"/>
    <w:rsid w:val="004F6F38"/>
    <w:rsid w:val="004F6F66"/>
    <w:rsid w:val="004F7335"/>
    <w:rsid w:val="004F7420"/>
    <w:rsid w:val="004F7742"/>
    <w:rsid w:val="004F7A0D"/>
    <w:rsid w:val="004F7AE9"/>
    <w:rsid w:val="004F7AF6"/>
    <w:rsid w:val="004F7B60"/>
    <w:rsid w:val="004F7C13"/>
    <w:rsid w:val="004F7C91"/>
    <w:rsid w:val="004F7D95"/>
    <w:rsid w:val="005000AF"/>
    <w:rsid w:val="0050011D"/>
    <w:rsid w:val="00500642"/>
    <w:rsid w:val="0050073E"/>
    <w:rsid w:val="00500B54"/>
    <w:rsid w:val="00500FE7"/>
    <w:rsid w:val="00501059"/>
    <w:rsid w:val="0050116B"/>
    <w:rsid w:val="005011CA"/>
    <w:rsid w:val="005011E9"/>
    <w:rsid w:val="005013F5"/>
    <w:rsid w:val="00501794"/>
    <w:rsid w:val="005018A8"/>
    <w:rsid w:val="00501A1C"/>
    <w:rsid w:val="00501A89"/>
    <w:rsid w:val="00501B89"/>
    <w:rsid w:val="00501BEE"/>
    <w:rsid w:val="00501EA2"/>
    <w:rsid w:val="005023A1"/>
    <w:rsid w:val="0050243B"/>
    <w:rsid w:val="005024F7"/>
    <w:rsid w:val="005026DF"/>
    <w:rsid w:val="0050288D"/>
    <w:rsid w:val="005028BB"/>
    <w:rsid w:val="005028D0"/>
    <w:rsid w:val="00502920"/>
    <w:rsid w:val="00502926"/>
    <w:rsid w:val="00502999"/>
    <w:rsid w:val="00502C4C"/>
    <w:rsid w:val="00502CDC"/>
    <w:rsid w:val="00502CE8"/>
    <w:rsid w:val="00502EF8"/>
    <w:rsid w:val="00502FDF"/>
    <w:rsid w:val="0050314F"/>
    <w:rsid w:val="00503312"/>
    <w:rsid w:val="0050354F"/>
    <w:rsid w:val="00503562"/>
    <w:rsid w:val="005035D7"/>
    <w:rsid w:val="005035F9"/>
    <w:rsid w:val="00503712"/>
    <w:rsid w:val="00503808"/>
    <w:rsid w:val="0050381D"/>
    <w:rsid w:val="00503C41"/>
    <w:rsid w:val="00503CCF"/>
    <w:rsid w:val="00503D22"/>
    <w:rsid w:val="00503F2A"/>
    <w:rsid w:val="0050407F"/>
    <w:rsid w:val="005041A9"/>
    <w:rsid w:val="00504224"/>
    <w:rsid w:val="00504288"/>
    <w:rsid w:val="005045F0"/>
    <w:rsid w:val="0050462E"/>
    <w:rsid w:val="00504708"/>
    <w:rsid w:val="00504849"/>
    <w:rsid w:val="00504987"/>
    <w:rsid w:val="00504CDB"/>
    <w:rsid w:val="00504ED1"/>
    <w:rsid w:val="00504FCA"/>
    <w:rsid w:val="00504FDE"/>
    <w:rsid w:val="005051C0"/>
    <w:rsid w:val="0050538E"/>
    <w:rsid w:val="005053B7"/>
    <w:rsid w:val="005053E9"/>
    <w:rsid w:val="005055EE"/>
    <w:rsid w:val="00505609"/>
    <w:rsid w:val="0050566F"/>
    <w:rsid w:val="00505A39"/>
    <w:rsid w:val="00505B27"/>
    <w:rsid w:val="00505F38"/>
    <w:rsid w:val="0050603B"/>
    <w:rsid w:val="005062AF"/>
    <w:rsid w:val="00506496"/>
    <w:rsid w:val="0050649A"/>
    <w:rsid w:val="0050649E"/>
    <w:rsid w:val="00506772"/>
    <w:rsid w:val="005068D1"/>
    <w:rsid w:val="00506BEA"/>
    <w:rsid w:val="00506DE2"/>
    <w:rsid w:val="00507105"/>
    <w:rsid w:val="00507319"/>
    <w:rsid w:val="005073FB"/>
    <w:rsid w:val="00507987"/>
    <w:rsid w:val="00507A3B"/>
    <w:rsid w:val="00507A3E"/>
    <w:rsid w:val="00507A88"/>
    <w:rsid w:val="00507C9C"/>
    <w:rsid w:val="00507CD4"/>
    <w:rsid w:val="00507EBC"/>
    <w:rsid w:val="00507F2F"/>
    <w:rsid w:val="0051052B"/>
    <w:rsid w:val="00510A7D"/>
    <w:rsid w:val="00510A83"/>
    <w:rsid w:val="00510B14"/>
    <w:rsid w:val="00510F4D"/>
    <w:rsid w:val="00510FF2"/>
    <w:rsid w:val="0051108B"/>
    <w:rsid w:val="005112BC"/>
    <w:rsid w:val="0051141B"/>
    <w:rsid w:val="00511730"/>
    <w:rsid w:val="005117E3"/>
    <w:rsid w:val="0051191F"/>
    <w:rsid w:val="00511949"/>
    <w:rsid w:val="00511A3F"/>
    <w:rsid w:val="00511B6F"/>
    <w:rsid w:val="00511BC8"/>
    <w:rsid w:val="00511D9E"/>
    <w:rsid w:val="00511DE8"/>
    <w:rsid w:val="00511EC1"/>
    <w:rsid w:val="00511F1B"/>
    <w:rsid w:val="00511F5A"/>
    <w:rsid w:val="005120E5"/>
    <w:rsid w:val="00512115"/>
    <w:rsid w:val="00512178"/>
    <w:rsid w:val="00512387"/>
    <w:rsid w:val="005123BB"/>
    <w:rsid w:val="0051256C"/>
    <w:rsid w:val="005128D0"/>
    <w:rsid w:val="00512BAB"/>
    <w:rsid w:val="00512C4D"/>
    <w:rsid w:val="00512EAF"/>
    <w:rsid w:val="005132DB"/>
    <w:rsid w:val="0051353D"/>
    <w:rsid w:val="005135CB"/>
    <w:rsid w:val="00513972"/>
    <w:rsid w:val="00513CF6"/>
    <w:rsid w:val="00514073"/>
    <w:rsid w:val="005140F3"/>
    <w:rsid w:val="0051414F"/>
    <w:rsid w:val="0051419D"/>
    <w:rsid w:val="005141C9"/>
    <w:rsid w:val="00514386"/>
    <w:rsid w:val="005143CF"/>
    <w:rsid w:val="005143DF"/>
    <w:rsid w:val="005144B2"/>
    <w:rsid w:val="00514647"/>
    <w:rsid w:val="0051492F"/>
    <w:rsid w:val="00514A40"/>
    <w:rsid w:val="00514D41"/>
    <w:rsid w:val="00514DD6"/>
    <w:rsid w:val="00514E77"/>
    <w:rsid w:val="00514F02"/>
    <w:rsid w:val="00515083"/>
    <w:rsid w:val="0051509C"/>
    <w:rsid w:val="0051524A"/>
    <w:rsid w:val="00515483"/>
    <w:rsid w:val="00515616"/>
    <w:rsid w:val="00515641"/>
    <w:rsid w:val="005156B7"/>
    <w:rsid w:val="00515B4F"/>
    <w:rsid w:val="00515D23"/>
    <w:rsid w:val="00515F02"/>
    <w:rsid w:val="00515F60"/>
    <w:rsid w:val="00515F64"/>
    <w:rsid w:val="00515FB2"/>
    <w:rsid w:val="0051606C"/>
    <w:rsid w:val="00516156"/>
    <w:rsid w:val="00516683"/>
    <w:rsid w:val="00516A46"/>
    <w:rsid w:val="00516BCD"/>
    <w:rsid w:val="00516DBB"/>
    <w:rsid w:val="00516E14"/>
    <w:rsid w:val="00516F14"/>
    <w:rsid w:val="00517130"/>
    <w:rsid w:val="005171AF"/>
    <w:rsid w:val="0051747E"/>
    <w:rsid w:val="0051763F"/>
    <w:rsid w:val="0051791C"/>
    <w:rsid w:val="00517944"/>
    <w:rsid w:val="00517964"/>
    <w:rsid w:val="00517972"/>
    <w:rsid w:val="0052026B"/>
    <w:rsid w:val="00520331"/>
    <w:rsid w:val="0052034B"/>
    <w:rsid w:val="00520617"/>
    <w:rsid w:val="00520E52"/>
    <w:rsid w:val="00520E9B"/>
    <w:rsid w:val="00520F41"/>
    <w:rsid w:val="00520FAA"/>
    <w:rsid w:val="00520FD1"/>
    <w:rsid w:val="00521012"/>
    <w:rsid w:val="0052143A"/>
    <w:rsid w:val="005214F9"/>
    <w:rsid w:val="00521DCF"/>
    <w:rsid w:val="00521EFF"/>
    <w:rsid w:val="005225A5"/>
    <w:rsid w:val="005225D9"/>
    <w:rsid w:val="00522667"/>
    <w:rsid w:val="00522688"/>
    <w:rsid w:val="005228E8"/>
    <w:rsid w:val="0052293F"/>
    <w:rsid w:val="005229E1"/>
    <w:rsid w:val="00522A73"/>
    <w:rsid w:val="00522AC9"/>
    <w:rsid w:val="00523162"/>
    <w:rsid w:val="005231CA"/>
    <w:rsid w:val="00523269"/>
    <w:rsid w:val="0052335A"/>
    <w:rsid w:val="005236F5"/>
    <w:rsid w:val="005237FA"/>
    <w:rsid w:val="0052387B"/>
    <w:rsid w:val="00523966"/>
    <w:rsid w:val="00523B4C"/>
    <w:rsid w:val="00524068"/>
    <w:rsid w:val="0052407B"/>
    <w:rsid w:val="005240BF"/>
    <w:rsid w:val="005242FC"/>
    <w:rsid w:val="0052431F"/>
    <w:rsid w:val="00524362"/>
    <w:rsid w:val="0052443C"/>
    <w:rsid w:val="005246ED"/>
    <w:rsid w:val="005248BF"/>
    <w:rsid w:val="00524913"/>
    <w:rsid w:val="00524A77"/>
    <w:rsid w:val="00524BD7"/>
    <w:rsid w:val="00524C37"/>
    <w:rsid w:val="00524C38"/>
    <w:rsid w:val="00524D49"/>
    <w:rsid w:val="00525007"/>
    <w:rsid w:val="00525282"/>
    <w:rsid w:val="00525393"/>
    <w:rsid w:val="00525447"/>
    <w:rsid w:val="0052552C"/>
    <w:rsid w:val="005257DC"/>
    <w:rsid w:val="005258EC"/>
    <w:rsid w:val="00525C0E"/>
    <w:rsid w:val="00525C79"/>
    <w:rsid w:val="00525D4D"/>
    <w:rsid w:val="00525EDA"/>
    <w:rsid w:val="00525EFA"/>
    <w:rsid w:val="00525FD2"/>
    <w:rsid w:val="0052610F"/>
    <w:rsid w:val="0052618A"/>
    <w:rsid w:val="005262FC"/>
    <w:rsid w:val="00526305"/>
    <w:rsid w:val="0052633A"/>
    <w:rsid w:val="00526363"/>
    <w:rsid w:val="0052646B"/>
    <w:rsid w:val="0052668E"/>
    <w:rsid w:val="00526895"/>
    <w:rsid w:val="00526AD8"/>
    <w:rsid w:val="00526B52"/>
    <w:rsid w:val="00526B87"/>
    <w:rsid w:val="00526C51"/>
    <w:rsid w:val="00526F11"/>
    <w:rsid w:val="005273FB"/>
    <w:rsid w:val="005275BF"/>
    <w:rsid w:val="00527620"/>
    <w:rsid w:val="005277F3"/>
    <w:rsid w:val="00527A27"/>
    <w:rsid w:val="00527A32"/>
    <w:rsid w:val="00527B26"/>
    <w:rsid w:val="00527CB4"/>
    <w:rsid w:val="00527D37"/>
    <w:rsid w:val="00527FB8"/>
    <w:rsid w:val="00530173"/>
    <w:rsid w:val="00530192"/>
    <w:rsid w:val="00530273"/>
    <w:rsid w:val="0053031C"/>
    <w:rsid w:val="005303F9"/>
    <w:rsid w:val="00530405"/>
    <w:rsid w:val="00530468"/>
    <w:rsid w:val="0053046A"/>
    <w:rsid w:val="005304B6"/>
    <w:rsid w:val="005307EB"/>
    <w:rsid w:val="00530A55"/>
    <w:rsid w:val="00530B55"/>
    <w:rsid w:val="00530C41"/>
    <w:rsid w:val="00531119"/>
    <w:rsid w:val="00531264"/>
    <w:rsid w:val="005313A6"/>
    <w:rsid w:val="005314FD"/>
    <w:rsid w:val="0053175E"/>
    <w:rsid w:val="0053187C"/>
    <w:rsid w:val="00531A76"/>
    <w:rsid w:val="00531AD4"/>
    <w:rsid w:val="00531BEE"/>
    <w:rsid w:val="00531E6C"/>
    <w:rsid w:val="00532172"/>
    <w:rsid w:val="00532244"/>
    <w:rsid w:val="0053232D"/>
    <w:rsid w:val="0053254B"/>
    <w:rsid w:val="00532592"/>
    <w:rsid w:val="00532761"/>
    <w:rsid w:val="005327E4"/>
    <w:rsid w:val="00532B3E"/>
    <w:rsid w:val="00532EFA"/>
    <w:rsid w:val="0053330A"/>
    <w:rsid w:val="005333D7"/>
    <w:rsid w:val="005339E5"/>
    <w:rsid w:val="00533AED"/>
    <w:rsid w:val="00533CC9"/>
    <w:rsid w:val="00533D06"/>
    <w:rsid w:val="00533D43"/>
    <w:rsid w:val="00533DCA"/>
    <w:rsid w:val="00534133"/>
    <w:rsid w:val="0053452D"/>
    <w:rsid w:val="00534A17"/>
    <w:rsid w:val="00534C3D"/>
    <w:rsid w:val="00534CD4"/>
    <w:rsid w:val="00534F25"/>
    <w:rsid w:val="00535045"/>
    <w:rsid w:val="00535645"/>
    <w:rsid w:val="0053573B"/>
    <w:rsid w:val="00535898"/>
    <w:rsid w:val="00535A08"/>
    <w:rsid w:val="00535B2B"/>
    <w:rsid w:val="00535B9C"/>
    <w:rsid w:val="00535CD3"/>
    <w:rsid w:val="00535F54"/>
    <w:rsid w:val="0053602F"/>
    <w:rsid w:val="005362A9"/>
    <w:rsid w:val="0053636E"/>
    <w:rsid w:val="00536574"/>
    <w:rsid w:val="00536658"/>
    <w:rsid w:val="00536945"/>
    <w:rsid w:val="00536BA2"/>
    <w:rsid w:val="00536CD8"/>
    <w:rsid w:val="00536E19"/>
    <w:rsid w:val="005371E4"/>
    <w:rsid w:val="00537303"/>
    <w:rsid w:val="005375D5"/>
    <w:rsid w:val="00537637"/>
    <w:rsid w:val="00537BEC"/>
    <w:rsid w:val="00537C21"/>
    <w:rsid w:val="00540298"/>
    <w:rsid w:val="0054032A"/>
    <w:rsid w:val="0054034C"/>
    <w:rsid w:val="00540388"/>
    <w:rsid w:val="005403B3"/>
    <w:rsid w:val="00540705"/>
    <w:rsid w:val="005407B2"/>
    <w:rsid w:val="005407C2"/>
    <w:rsid w:val="005407E1"/>
    <w:rsid w:val="005408BA"/>
    <w:rsid w:val="005409A9"/>
    <w:rsid w:val="00540BC7"/>
    <w:rsid w:val="00540C40"/>
    <w:rsid w:val="00540D35"/>
    <w:rsid w:val="005412BD"/>
    <w:rsid w:val="005412ED"/>
    <w:rsid w:val="0054138A"/>
    <w:rsid w:val="0054140F"/>
    <w:rsid w:val="00541442"/>
    <w:rsid w:val="005414AD"/>
    <w:rsid w:val="00541508"/>
    <w:rsid w:val="0054157D"/>
    <w:rsid w:val="00541584"/>
    <w:rsid w:val="0054193C"/>
    <w:rsid w:val="00541AF0"/>
    <w:rsid w:val="00541C23"/>
    <w:rsid w:val="00541CFC"/>
    <w:rsid w:val="00541EF4"/>
    <w:rsid w:val="00542102"/>
    <w:rsid w:val="00542229"/>
    <w:rsid w:val="0054263D"/>
    <w:rsid w:val="0054274E"/>
    <w:rsid w:val="005427E1"/>
    <w:rsid w:val="005427FD"/>
    <w:rsid w:val="0054280D"/>
    <w:rsid w:val="00542B8B"/>
    <w:rsid w:val="00542BE0"/>
    <w:rsid w:val="00542CC7"/>
    <w:rsid w:val="00542D05"/>
    <w:rsid w:val="00542FD6"/>
    <w:rsid w:val="0054307C"/>
    <w:rsid w:val="005430AC"/>
    <w:rsid w:val="00543488"/>
    <w:rsid w:val="00543654"/>
    <w:rsid w:val="0054368E"/>
    <w:rsid w:val="00543806"/>
    <w:rsid w:val="00543845"/>
    <w:rsid w:val="005438D1"/>
    <w:rsid w:val="00543B22"/>
    <w:rsid w:val="00543B69"/>
    <w:rsid w:val="00543C47"/>
    <w:rsid w:val="00543C9A"/>
    <w:rsid w:val="00543F6F"/>
    <w:rsid w:val="00543F87"/>
    <w:rsid w:val="00543FC0"/>
    <w:rsid w:val="005442EF"/>
    <w:rsid w:val="00544361"/>
    <w:rsid w:val="00544483"/>
    <w:rsid w:val="005444E1"/>
    <w:rsid w:val="00544717"/>
    <w:rsid w:val="00544A7B"/>
    <w:rsid w:val="00544D2B"/>
    <w:rsid w:val="00544D41"/>
    <w:rsid w:val="00544EA3"/>
    <w:rsid w:val="00544F96"/>
    <w:rsid w:val="005451D4"/>
    <w:rsid w:val="005452EB"/>
    <w:rsid w:val="0054578D"/>
    <w:rsid w:val="005457AF"/>
    <w:rsid w:val="0054592E"/>
    <w:rsid w:val="00545941"/>
    <w:rsid w:val="00545EFD"/>
    <w:rsid w:val="00545F54"/>
    <w:rsid w:val="00546807"/>
    <w:rsid w:val="0054699A"/>
    <w:rsid w:val="00546AB4"/>
    <w:rsid w:val="00546BDA"/>
    <w:rsid w:val="00546D56"/>
    <w:rsid w:val="00546DC7"/>
    <w:rsid w:val="00546EF7"/>
    <w:rsid w:val="00546FD6"/>
    <w:rsid w:val="00547009"/>
    <w:rsid w:val="00547141"/>
    <w:rsid w:val="0054738B"/>
    <w:rsid w:val="005473C7"/>
    <w:rsid w:val="00547513"/>
    <w:rsid w:val="0054757D"/>
    <w:rsid w:val="005475FA"/>
    <w:rsid w:val="00547903"/>
    <w:rsid w:val="0054794F"/>
    <w:rsid w:val="0054795E"/>
    <w:rsid w:val="00547989"/>
    <w:rsid w:val="00547AD5"/>
    <w:rsid w:val="00547B44"/>
    <w:rsid w:val="00547D2A"/>
    <w:rsid w:val="00547D35"/>
    <w:rsid w:val="00547F3F"/>
    <w:rsid w:val="0055027A"/>
    <w:rsid w:val="005502A2"/>
    <w:rsid w:val="00550332"/>
    <w:rsid w:val="005503D8"/>
    <w:rsid w:val="00550699"/>
    <w:rsid w:val="0055078F"/>
    <w:rsid w:val="00550957"/>
    <w:rsid w:val="00550BDC"/>
    <w:rsid w:val="00550C09"/>
    <w:rsid w:val="00550C46"/>
    <w:rsid w:val="00550CA6"/>
    <w:rsid w:val="00550E06"/>
    <w:rsid w:val="005511E6"/>
    <w:rsid w:val="0055126D"/>
    <w:rsid w:val="005515B0"/>
    <w:rsid w:val="00551856"/>
    <w:rsid w:val="005518CB"/>
    <w:rsid w:val="00551926"/>
    <w:rsid w:val="00551934"/>
    <w:rsid w:val="00551A3E"/>
    <w:rsid w:val="00551B95"/>
    <w:rsid w:val="00551B9B"/>
    <w:rsid w:val="00551CA7"/>
    <w:rsid w:val="00551D98"/>
    <w:rsid w:val="00551E3E"/>
    <w:rsid w:val="00551F83"/>
    <w:rsid w:val="0055207F"/>
    <w:rsid w:val="005521FA"/>
    <w:rsid w:val="0055225C"/>
    <w:rsid w:val="00552506"/>
    <w:rsid w:val="0055252B"/>
    <w:rsid w:val="00552580"/>
    <w:rsid w:val="00552A33"/>
    <w:rsid w:val="00552AE8"/>
    <w:rsid w:val="00552ECA"/>
    <w:rsid w:val="00553055"/>
    <w:rsid w:val="0055328F"/>
    <w:rsid w:val="005532DB"/>
    <w:rsid w:val="005534E0"/>
    <w:rsid w:val="005534E8"/>
    <w:rsid w:val="005535DC"/>
    <w:rsid w:val="00553790"/>
    <w:rsid w:val="005537FE"/>
    <w:rsid w:val="00553860"/>
    <w:rsid w:val="00553D5A"/>
    <w:rsid w:val="00553E33"/>
    <w:rsid w:val="00553F97"/>
    <w:rsid w:val="005541CA"/>
    <w:rsid w:val="00554289"/>
    <w:rsid w:val="0055432E"/>
    <w:rsid w:val="00554488"/>
    <w:rsid w:val="005544DD"/>
    <w:rsid w:val="00554629"/>
    <w:rsid w:val="00554670"/>
    <w:rsid w:val="005548DB"/>
    <w:rsid w:val="00554CCB"/>
    <w:rsid w:val="00554CEF"/>
    <w:rsid w:val="00554D00"/>
    <w:rsid w:val="00554FAF"/>
    <w:rsid w:val="00555069"/>
    <w:rsid w:val="00555400"/>
    <w:rsid w:val="00555423"/>
    <w:rsid w:val="0055550A"/>
    <w:rsid w:val="00555528"/>
    <w:rsid w:val="0055569A"/>
    <w:rsid w:val="00555B22"/>
    <w:rsid w:val="00555CDC"/>
    <w:rsid w:val="00556361"/>
    <w:rsid w:val="0055645E"/>
    <w:rsid w:val="005566DC"/>
    <w:rsid w:val="005566E1"/>
    <w:rsid w:val="005567B2"/>
    <w:rsid w:val="00556830"/>
    <w:rsid w:val="0055683B"/>
    <w:rsid w:val="005568CD"/>
    <w:rsid w:val="00556902"/>
    <w:rsid w:val="00556F30"/>
    <w:rsid w:val="00557037"/>
    <w:rsid w:val="0055714D"/>
    <w:rsid w:val="00557262"/>
    <w:rsid w:val="005572E1"/>
    <w:rsid w:val="00557311"/>
    <w:rsid w:val="00557395"/>
    <w:rsid w:val="005574DD"/>
    <w:rsid w:val="005576E3"/>
    <w:rsid w:val="00557816"/>
    <w:rsid w:val="00557924"/>
    <w:rsid w:val="00557D9A"/>
    <w:rsid w:val="00557FA1"/>
    <w:rsid w:val="00560019"/>
    <w:rsid w:val="0056016C"/>
    <w:rsid w:val="005602BB"/>
    <w:rsid w:val="005604F4"/>
    <w:rsid w:val="00560515"/>
    <w:rsid w:val="005605C9"/>
    <w:rsid w:val="005605CC"/>
    <w:rsid w:val="005605DA"/>
    <w:rsid w:val="005605DB"/>
    <w:rsid w:val="00560623"/>
    <w:rsid w:val="00560653"/>
    <w:rsid w:val="0056083B"/>
    <w:rsid w:val="005609B0"/>
    <w:rsid w:val="00560A47"/>
    <w:rsid w:val="00560E2E"/>
    <w:rsid w:val="0056114F"/>
    <w:rsid w:val="005617CD"/>
    <w:rsid w:val="005618C5"/>
    <w:rsid w:val="00561903"/>
    <w:rsid w:val="00561987"/>
    <w:rsid w:val="005619BD"/>
    <w:rsid w:val="00561A07"/>
    <w:rsid w:val="00561BA9"/>
    <w:rsid w:val="00561D1B"/>
    <w:rsid w:val="00561DF9"/>
    <w:rsid w:val="00561F73"/>
    <w:rsid w:val="0056220E"/>
    <w:rsid w:val="0056225C"/>
    <w:rsid w:val="005622CE"/>
    <w:rsid w:val="005623BF"/>
    <w:rsid w:val="00562847"/>
    <w:rsid w:val="005629B5"/>
    <w:rsid w:val="00562AD4"/>
    <w:rsid w:val="00562B25"/>
    <w:rsid w:val="00562DE3"/>
    <w:rsid w:val="00562F60"/>
    <w:rsid w:val="005630ED"/>
    <w:rsid w:val="00563531"/>
    <w:rsid w:val="0056377D"/>
    <w:rsid w:val="00563857"/>
    <w:rsid w:val="00563871"/>
    <w:rsid w:val="00563D1C"/>
    <w:rsid w:val="0056440F"/>
    <w:rsid w:val="00564532"/>
    <w:rsid w:val="00564647"/>
    <w:rsid w:val="0056479A"/>
    <w:rsid w:val="00564887"/>
    <w:rsid w:val="00564AD8"/>
    <w:rsid w:val="00564B64"/>
    <w:rsid w:val="00564BB4"/>
    <w:rsid w:val="00564C85"/>
    <w:rsid w:val="00564F47"/>
    <w:rsid w:val="00565102"/>
    <w:rsid w:val="00565240"/>
    <w:rsid w:val="0056536B"/>
    <w:rsid w:val="00565463"/>
    <w:rsid w:val="005654BA"/>
    <w:rsid w:val="00565695"/>
    <w:rsid w:val="00565758"/>
    <w:rsid w:val="005657A3"/>
    <w:rsid w:val="0056586E"/>
    <w:rsid w:val="005658C1"/>
    <w:rsid w:val="00565AAC"/>
    <w:rsid w:val="00565B4C"/>
    <w:rsid w:val="00565E1F"/>
    <w:rsid w:val="00565F51"/>
    <w:rsid w:val="005660A2"/>
    <w:rsid w:val="0056637F"/>
    <w:rsid w:val="0056655C"/>
    <w:rsid w:val="00566582"/>
    <w:rsid w:val="005669B5"/>
    <w:rsid w:val="00566B3D"/>
    <w:rsid w:val="00566C60"/>
    <w:rsid w:val="00566E85"/>
    <w:rsid w:val="00566FDB"/>
    <w:rsid w:val="005670C2"/>
    <w:rsid w:val="00567147"/>
    <w:rsid w:val="00567381"/>
    <w:rsid w:val="005677A9"/>
    <w:rsid w:val="005677FD"/>
    <w:rsid w:val="00567849"/>
    <w:rsid w:val="00567A09"/>
    <w:rsid w:val="00567B9D"/>
    <w:rsid w:val="00567BBC"/>
    <w:rsid w:val="00567CF5"/>
    <w:rsid w:val="00570052"/>
    <w:rsid w:val="005701E0"/>
    <w:rsid w:val="0057023C"/>
    <w:rsid w:val="005703DA"/>
    <w:rsid w:val="00570712"/>
    <w:rsid w:val="005708EC"/>
    <w:rsid w:val="00570A4D"/>
    <w:rsid w:val="00570A56"/>
    <w:rsid w:val="00570BBC"/>
    <w:rsid w:val="00570E19"/>
    <w:rsid w:val="00570E92"/>
    <w:rsid w:val="00570F48"/>
    <w:rsid w:val="00571035"/>
    <w:rsid w:val="005711DE"/>
    <w:rsid w:val="005713C7"/>
    <w:rsid w:val="005713CF"/>
    <w:rsid w:val="0057144C"/>
    <w:rsid w:val="005714C0"/>
    <w:rsid w:val="0057165A"/>
    <w:rsid w:val="00571801"/>
    <w:rsid w:val="0057198F"/>
    <w:rsid w:val="0057207E"/>
    <w:rsid w:val="00572082"/>
    <w:rsid w:val="00572377"/>
    <w:rsid w:val="00572789"/>
    <w:rsid w:val="00572C2E"/>
    <w:rsid w:val="00572EE0"/>
    <w:rsid w:val="00572EFE"/>
    <w:rsid w:val="00572F3A"/>
    <w:rsid w:val="00572FD4"/>
    <w:rsid w:val="00572FF7"/>
    <w:rsid w:val="00573099"/>
    <w:rsid w:val="005733DE"/>
    <w:rsid w:val="0057352E"/>
    <w:rsid w:val="005735E4"/>
    <w:rsid w:val="00573916"/>
    <w:rsid w:val="00573963"/>
    <w:rsid w:val="00573A59"/>
    <w:rsid w:val="00573AE3"/>
    <w:rsid w:val="00573BE1"/>
    <w:rsid w:val="0057421F"/>
    <w:rsid w:val="005742CA"/>
    <w:rsid w:val="00574569"/>
    <w:rsid w:val="00574787"/>
    <w:rsid w:val="00574813"/>
    <w:rsid w:val="005748DB"/>
    <w:rsid w:val="00574A6D"/>
    <w:rsid w:val="00574B41"/>
    <w:rsid w:val="00574C7F"/>
    <w:rsid w:val="00574D89"/>
    <w:rsid w:val="00574FF0"/>
    <w:rsid w:val="005750A8"/>
    <w:rsid w:val="0057569F"/>
    <w:rsid w:val="00575731"/>
    <w:rsid w:val="005758E4"/>
    <w:rsid w:val="00575A8D"/>
    <w:rsid w:val="00575B37"/>
    <w:rsid w:val="00575B5B"/>
    <w:rsid w:val="00575E46"/>
    <w:rsid w:val="00575E87"/>
    <w:rsid w:val="00575EA7"/>
    <w:rsid w:val="00575EBA"/>
    <w:rsid w:val="00575F05"/>
    <w:rsid w:val="00575F0A"/>
    <w:rsid w:val="00576054"/>
    <w:rsid w:val="005761EC"/>
    <w:rsid w:val="005761F0"/>
    <w:rsid w:val="005765E8"/>
    <w:rsid w:val="00576613"/>
    <w:rsid w:val="00576624"/>
    <w:rsid w:val="0057670C"/>
    <w:rsid w:val="0057681B"/>
    <w:rsid w:val="005768E7"/>
    <w:rsid w:val="0057697E"/>
    <w:rsid w:val="00576D42"/>
    <w:rsid w:val="00576DB5"/>
    <w:rsid w:val="00576DF4"/>
    <w:rsid w:val="00576EDC"/>
    <w:rsid w:val="00576EF1"/>
    <w:rsid w:val="005770C9"/>
    <w:rsid w:val="0057718E"/>
    <w:rsid w:val="0057721B"/>
    <w:rsid w:val="00577310"/>
    <w:rsid w:val="005775D3"/>
    <w:rsid w:val="00577678"/>
    <w:rsid w:val="005776A6"/>
    <w:rsid w:val="005778A5"/>
    <w:rsid w:val="00577A16"/>
    <w:rsid w:val="00577B00"/>
    <w:rsid w:val="00577CAB"/>
    <w:rsid w:val="00577EA3"/>
    <w:rsid w:val="00577F48"/>
    <w:rsid w:val="00577F9D"/>
    <w:rsid w:val="00580071"/>
    <w:rsid w:val="00580180"/>
    <w:rsid w:val="005801BA"/>
    <w:rsid w:val="00580642"/>
    <w:rsid w:val="00580744"/>
    <w:rsid w:val="00580846"/>
    <w:rsid w:val="005809BF"/>
    <w:rsid w:val="00580DE8"/>
    <w:rsid w:val="00580FA9"/>
    <w:rsid w:val="0058109D"/>
    <w:rsid w:val="0058127C"/>
    <w:rsid w:val="005818EF"/>
    <w:rsid w:val="00581D46"/>
    <w:rsid w:val="0058201E"/>
    <w:rsid w:val="00582368"/>
    <w:rsid w:val="00582AE5"/>
    <w:rsid w:val="00582C64"/>
    <w:rsid w:val="00582DC4"/>
    <w:rsid w:val="00583183"/>
    <w:rsid w:val="00583202"/>
    <w:rsid w:val="00583259"/>
    <w:rsid w:val="00583460"/>
    <w:rsid w:val="00583571"/>
    <w:rsid w:val="0058362D"/>
    <w:rsid w:val="0058362F"/>
    <w:rsid w:val="00583724"/>
    <w:rsid w:val="005838AB"/>
    <w:rsid w:val="00583BB8"/>
    <w:rsid w:val="00583C5A"/>
    <w:rsid w:val="005840D6"/>
    <w:rsid w:val="00584183"/>
    <w:rsid w:val="00584213"/>
    <w:rsid w:val="0058444A"/>
    <w:rsid w:val="0058458B"/>
    <w:rsid w:val="005845AA"/>
    <w:rsid w:val="00584713"/>
    <w:rsid w:val="0058481B"/>
    <w:rsid w:val="00584867"/>
    <w:rsid w:val="00584EAA"/>
    <w:rsid w:val="00584EFD"/>
    <w:rsid w:val="005851B4"/>
    <w:rsid w:val="005852A4"/>
    <w:rsid w:val="00585390"/>
    <w:rsid w:val="00585407"/>
    <w:rsid w:val="00585523"/>
    <w:rsid w:val="00585599"/>
    <w:rsid w:val="005855A7"/>
    <w:rsid w:val="005855CA"/>
    <w:rsid w:val="005857EF"/>
    <w:rsid w:val="0058587E"/>
    <w:rsid w:val="0058597C"/>
    <w:rsid w:val="00585AB0"/>
    <w:rsid w:val="00585E4F"/>
    <w:rsid w:val="00585E5D"/>
    <w:rsid w:val="00585E5E"/>
    <w:rsid w:val="00585ED6"/>
    <w:rsid w:val="00585EEE"/>
    <w:rsid w:val="005862F0"/>
    <w:rsid w:val="0058652C"/>
    <w:rsid w:val="0058661F"/>
    <w:rsid w:val="005866A6"/>
    <w:rsid w:val="0058674F"/>
    <w:rsid w:val="00586833"/>
    <w:rsid w:val="005869C8"/>
    <w:rsid w:val="005869D9"/>
    <w:rsid w:val="00586DBA"/>
    <w:rsid w:val="00586F06"/>
    <w:rsid w:val="0058709F"/>
    <w:rsid w:val="00587247"/>
    <w:rsid w:val="0058728B"/>
    <w:rsid w:val="00587337"/>
    <w:rsid w:val="005875AF"/>
    <w:rsid w:val="005876CA"/>
    <w:rsid w:val="00587B96"/>
    <w:rsid w:val="00587CA4"/>
    <w:rsid w:val="00587D43"/>
    <w:rsid w:val="00587F40"/>
    <w:rsid w:val="00590031"/>
    <w:rsid w:val="0059021F"/>
    <w:rsid w:val="0059056C"/>
    <w:rsid w:val="00590592"/>
    <w:rsid w:val="005906F4"/>
    <w:rsid w:val="005908A8"/>
    <w:rsid w:val="00590E9C"/>
    <w:rsid w:val="0059112D"/>
    <w:rsid w:val="005912B7"/>
    <w:rsid w:val="00591522"/>
    <w:rsid w:val="00591540"/>
    <w:rsid w:val="005916E6"/>
    <w:rsid w:val="0059176C"/>
    <w:rsid w:val="00591879"/>
    <w:rsid w:val="00591C70"/>
    <w:rsid w:val="00591D79"/>
    <w:rsid w:val="00591E0E"/>
    <w:rsid w:val="005922F4"/>
    <w:rsid w:val="0059251D"/>
    <w:rsid w:val="0059255A"/>
    <w:rsid w:val="00592582"/>
    <w:rsid w:val="00592727"/>
    <w:rsid w:val="00592782"/>
    <w:rsid w:val="005927E1"/>
    <w:rsid w:val="00592842"/>
    <w:rsid w:val="00592931"/>
    <w:rsid w:val="0059293F"/>
    <w:rsid w:val="00592C5D"/>
    <w:rsid w:val="00592E17"/>
    <w:rsid w:val="00592E21"/>
    <w:rsid w:val="00592EBE"/>
    <w:rsid w:val="0059315D"/>
    <w:rsid w:val="005933E2"/>
    <w:rsid w:val="0059345C"/>
    <w:rsid w:val="00593466"/>
    <w:rsid w:val="0059350F"/>
    <w:rsid w:val="0059355D"/>
    <w:rsid w:val="0059369B"/>
    <w:rsid w:val="005936FC"/>
    <w:rsid w:val="005937A2"/>
    <w:rsid w:val="0059389E"/>
    <w:rsid w:val="005938C4"/>
    <w:rsid w:val="00593933"/>
    <w:rsid w:val="005939A5"/>
    <w:rsid w:val="00593B2D"/>
    <w:rsid w:val="00593B68"/>
    <w:rsid w:val="00593C53"/>
    <w:rsid w:val="00593CA5"/>
    <w:rsid w:val="00593E67"/>
    <w:rsid w:val="00593EBD"/>
    <w:rsid w:val="00593FAA"/>
    <w:rsid w:val="00593FC5"/>
    <w:rsid w:val="005940BE"/>
    <w:rsid w:val="005941D7"/>
    <w:rsid w:val="00594377"/>
    <w:rsid w:val="0059469F"/>
    <w:rsid w:val="00594882"/>
    <w:rsid w:val="00594947"/>
    <w:rsid w:val="00594B44"/>
    <w:rsid w:val="00594B7E"/>
    <w:rsid w:val="00594BBF"/>
    <w:rsid w:val="00594C60"/>
    <w:rsid w:val="00594CFA"/>
    <w:rsid w:val="00594E3A"/>
    <w:rsid w:val="00594EB4"/>
    <w:rsid w:val="00594F57"/>
    <w:rsid w:val="00594F9A"/>
    <w:rsid w:val="00594FBF"/>
    <w:rsid w:val="005952A8"/>
    <w:rsid w:val="005953D2"/>
    <w:rsid w:val="00595488"/>
    <w:rsid w:val="00595536"/>
    <w:rsid w:val="005955AC"/>
    <w:rsid w:val="005955C8"/>
    <w:rsid w:val="005955DC"/>
    <w:rsid w:val="0059599E"/>
    <w:rsid w:val="00595BE0"/>
    <w:rsid w:val="00596047"/>
    <w:rsid w:val="00596263"/>
    <w:rsid w:val="00596304"/>
    <w:rsid w:val="005963FC"/>
    <w:rsid w:val="005964EA"/>
    <w:rsid w:val="00596659"/>
    <w:rsid w:val="0059684C"/>
    <w:rsid w:val="005968A0"/>
    <w:rsid w:val="00596A6B"/>
    <w:rsid w:val="00596B33"/>
    <w:rsid w:val="00596EAC"/>
    <w:rsid w:val="00596F1B"/>
    <w:rsid w:val="00596F81"/>
    <w:rsid w:val="0059763F"/>
    <w:rsid w:val="005978E9"/>
    <w:rsid w:val="00597937"/>
    <w:rsid w:val="005979C1"/>
    <w:rsid w:val="00597ABB"/>
    <w:rsid w:val="00597B7B"/>
    <w:rsid w:val="00597D09"/>
    <w:rsid w:val="005A01F7"/>
    <w:rsid w:val="005A0278"/>
    <w:rsid w:val="005A064E"/>
    <w:rsid w:val="005A07C9"/>
    <w:rsid w:val="005A0818"/>
    <w:rsid w:val="005A0868"/>
    <w:rsid w:val="005A0896"/>
    <w:rsid w:val="005A0B84"/>
    <w:rsid w:val="005A11FB"/>
    <w:rsid w:val="005A148C"/>
    <w:rsid w:val="005A15F6"/>
    <w:rsid w:val="005A176E"/>
    <w:rsid w:val="005A17FD"/>
    <w:rsid w:val="005A1A8B"/>
    <w:rsid w:val="005A1AEE"/>
    <w:rsid w:val="005A1BA3"/>
    <w:rsid w:val="005A208B"/>
    <w:rsid w:val="005A20B1"/>
    <w:rsid w:val="005A20FC"/>
    <w:rsid w:val="005A217A"/>
    <w:rsid w:val="005A225B"/>
    <w:rsid w:val="005A246A"/>
    <w:rsid w:val="005A254F"/>
    <w:rsid w:val="005A2626"/>
    <w:rsid w:val="005A264E"/>
    <w:rsid w:val="005A26F0"/>
    <w:rsid w:val="005A280D"/>
    <w:rsid w:val="005A2F78"/>
    <w:rsid w:val="005A2F8C"/>
    <w:rsid w:val="005A309E"/>
    <w:rsid w:val="005A318C"/>
    <w:rsid w:val="005A37FD"/>
    <w:rsid w:val="005A3ABF"/>
    <w:rsid w:val="005A3BD5"/>
    <w:rsid w:val="005A3E50"/>
    <w:rsid w:val="005A3EF7"/>
    <w:rsid w:val="005A3F9D"/>
    <w:rsid w:val="005A42BE"/>
    <w:rsid w:val="005A4667"/>
    <w:rsid w:val="005A4669"/>
    <w:rsid w:val="005A4925"/>
    <w:rsid w:val="005A4945"/>
    <w:rsid w:val="005A4BD0"/>
    <w:rsid w:val="005A4CD4"/>
    <w:rsid w:val="005A4DCA"/>
    <w:rsid w:val="005A501C"/>
    <w:rsid w:val="005A52F3"/>
    <w:rsid w:val="005A5631"/>
    <w:rsid w:val="005A5888"/>
    <w:rsid w:val="005A59A2"/>
    <w:rsid w:val="005A5D38"/>
    <w:rsid w:val="005A5D39"/>
    <w:rsid w:val="005A5F90"/>
    <w:rsid w:val="005A5FDA"/>
    <w:rsid w:val="005A60C4"/>
    <w:rsid w:val="005A6144"/>
    <w:rsid w:val="005A6240"/>
    <w:rsid w:val="005A62CA"/>
    <w:rsid w:val="005A648E"/>
    <w:rsid w:val="005A677D"/>
    <w:rsid w:val="005A67AF"/>
    <w:rsid w:val="005A67EC"/>
    <w:rsid w:val="005A6854"/>
    <w:rsid w:val="005A6972"/>
    <w:rsid w:val="005A69F9"/>
    <w:rsid w:val="005A6A7D"/>
    <w:rsid w:val="005A6CE5"/>
    <w:rsid w:val="005A6D4D"/>
    <w:rsid w:val="005A6DD4"/>
    <w:rsid w:val="005A6E39"/>
    <w:rsid w:val="005A70E9"/>
    <w:rsid w:val="005A732E"/>
    <w:rsid w:val="005A74AE"/>
    <w:rsid w:val="005A772D"/>
    <w:rsid w:val="005A77FD"/>
    <w:rsid w:val="005A78B0"/>
    <w:rsid w:val="005A7CFC"/>
    <w:rsid w:val="005A7E5B"/>
    <w:rsid w:val="005AF635"/>
    <w:rsid w:val="005B015B"/>
    <w:rsid w:val="005B01C6"/>
    <w:rsid w:val="005B02E4"/>
    <w:rsid w:val="005B04C4"/>
    <w:rsid w:val="005B062A"/>
    <w:rsid w:val="005B07D4"/>
    <w:rsid w:val="005B08DF"/>
    <w:rsid w:val="005B0919"/>
    <w:rsid w:val="005B0B88"/>
    <w:rsid w:val="005B0BAF"/>
    <w:rsid w:val="005B0C07"/>
    <w:rsid w:val="005B0C6E"/>
    <w:rsid w:val="005B10BA"/>
    <w:rsid w:val="005B13C7"/>
    <w:rsid w:val="005B16AA"/>
    <w:rsid w:val="005B183B"/>
    <w:rsid w:val="005B18B8"/>
    <w:rsid w:val="005B1B3C"/>
    <w:rsid w:val="005B1B8D"/>
    <w:rsid w:val="005B1D3C"/>
    <w:rsid w:val="005B1F97"/>
    <w:rsid w:val="005B2067"/>
    <w:rsid w:val="005B2331"/>
    <w:rsid w:val="005B241F"/>
    <w:rsid w:val="005B2482"/>
    <w:rsid w:val="005B27FB"/>
    <w:rsid w:val="005B2808"/>
    <w:rsid w:val="005B2856"/>
    <w:rsid w:val="005B297B"/>
    <w:rsid w:val="005B299A"/>
    <w:rsid w:val="005B2B05"/>
    <w:rsid w:val="005B2C6C"/>
    <w:rsid w:val="005B2D09"/>
    <w:rsid w:val="005B2E70"/>
    <w:rsid w:val="005B2FBC"/>
    <w:rsid w:val="005B3059"/>
    <w:rsid w:val="005B3510"/>
    <w:rsid w:val="005B3531"/>
    <w:rsid w:val="005B3650"/>
    <w:rsid w:val="005B36CE"/>
    <w:rsid w:val="005B37B7"/>
    <w:rsid w:val="005B3839"/>
    <w:rsid w:val="005B3B6E"/>
    <w:rsid w:val="005B3B9B"/>
    <w:rsid w:val="005B3E1D"/>
    <w:rsid w:val="005B3EFA"/>
    <w:rsid w:val="005B4006"/>
    <w:rsid w:val="005B402A"/>
    <w:rsid w:val="005B4159"/>
    <w:rsid w:val="005B42A5"/>
    <w:rsid w:val="005B43BB"/>
    <w:rsid w:val="005B441D"/>
    <w:rsid w:val="005B4538"/>
    <w:rsid w:val="005B4A0B"/>
    <w:rsid w:val="005B4AC2"/>
    <w:rsid w:val="005B4B77"/>
    <w:rsid w:val="005B4B97"/>
    <w:rsid w:val="005B4CA5"/>
    <w:rsid w:val="005B4F7F"/>
    <w:rsid w:val="005B4F9B"/>
    <w:rsid w:val="005B515B"/>
    <w:rsid w:val="005B5258"/>
    <w:rsid w:val="005B5358"/>
    <w:rsid w:val="005B5676"/>
    <w:rsid w:val="005B582D"/>
    <w:rsid w:val="005B5A64"/>
    <w:rsid w:val="005B5B2D"/>
    <w:rsid w:val="005B5B31"/>
    <w:rsid w:val="005B5C15"/>
    <w:rsid w:val="005B5D70"/>
    <w:rsid w:val="005B6066"/>
    <w:rsid w:val="005B6109"/>
    <w:rsid w:val="005B645E"/>
    <w:rsid w:val="005B6672"/>
    <w:rsid w:val="005B6857"/>
    <w:rsid w:val="005B6893"/>
    <w:rsid w:val="005B69C2"/>
    <w:rsid w:val="005B6C96"/>
    <w:rsid w:val="005B6D3A"/>
    <w:rsid w:val="005B6D78"/>
    <w:rsid w:val="005B6DA3"/>
    <w:rsid w:val="005B6F68"/>
    <w:rsid w:val="005B70CC"/>
    <w:rsid w:val="005B74C9"/>
    <w:rsid w:val="005B74F3"/>
    <w:rsid w:val="005B77AD"/>
    <w:rsid w:val="005B77B4"/>
    <w:rsid w:val="005B77F6"/>
    <w:rsid w:val="005B7857"/>
    <w:rsid w:val="005B78B6"/>
    <w:rsid w:val="005B7C4A"/>
    <w:rsid w:val="005B7D3B"/>
    <w:rsid w:val="005B7D41"/>
    <w:rsid w:val="005C038A"/>
    <w:rsid w:val="005C092A"/>
    <w:rsid w:val="005C09FF"/>
    <w:rsid w:val="005C0A40"/>
    <w:rsid w:val="005C0AAB"/>
    <w:rsid w:val="005C0ABB"/>
    <w:rsid w:val="005C0CA6"/>
    <w:rsid w:val="005C11AF"/>
    <w:rsid w:val="005C1295"/>
    <w:rsid w:val="005C134A"/>
    <w:rsid w:val="005C1359"/>
    <w:rsid w:val="005C158D"/>
    <w:rsid w:val="005C160B"/>
    <w:rsid w:val="005C1745"/>
    <w:rsid w:val="005C1AA6"/>
    <w:rsid w:val="005C1BDA"/>
    <w:rsid w:val="005C1F88"/>
    <w:rsid w:val="005C22D1"/>
    <w:rsid w:val="005C23E8"/>
    <w:rsid w:val="005C2403"/>
    <w:rsid w:val="005C256E"/>
    <w:rsid w:val="005C2675"/>
    <w:rsid w:val="005C2857"/>
    <w:rsid w:val="005C2884"/>
    <w:rsid w:val="005C28A1"/>
    <w:rsid w:val="005C2C5E"/>
    <w:rsid w:val="005C2FD6"/>
    <w:rsid w:val="005C317F"/>
    <w:rsid w:val="005C3183"/>
    <w:rsid w:val="005C318D"/>
    <w:rsid w:val="005C31C2"/>
    <w:rsid w:val="005C322D"/>
    <w:rsid w:val="005C37A0"/>
    <w:rsid w:val="005C39AD"/>
    <w:rsid w:val="005C3B6D"/>
    <w:rsid w:val="005C3CC7"/>
    <w:rsid w:val="005C414E"/>
    <w:rsid w:val="005C4414"/>
    <w:rsid w:val="005C4446"/>
    <w:rsid w:val="005C468F"/>
    <w:rsid w:val="005C47D9"/>
    <w:rsid w:val="005C48E5"/>
    <w:rsid w:val="005C4AA5"/>
    <w:rsid w:val="005C4B33"/>
    <w:rsid w:val="005C4CCD"/>
    <w:rsid w:val="005C4FA6"/>
    <w:rsid w:val="005C5321"/>
    <w:rsid w:val="005C54A2"/>
    <w:rsid w:val="005C5590"/>
    <w:rsid w:val="005C57DB"/>
    <w:rsid w:val="005C5897"/>
    <w:rsid w:val="005C58FA"/>
    <w:rsid w:val="005C5931"/>
    <w:rsid w:val="005C5A18"/>
    <w:rsid w:val="005C5FAF"/>
    <w:rsid w:val="005C6145"/>
    <w:rsid w:val="005C6164"/>
    <w:rsid w:val="005C64E8"/>
    <w:rsid w:val="005C6528"/>
    <w:rsid w:val="005C6801"/>
    <w:rsid w:val="005C681D"/>
    <w:rsid w:val="005C6A77"/>
    <w:rsid w:val="005C6AEA"/>
    <w:rsid w:val="005C6BE9"/>
    <w:rsid w:val="005C6DCF"/>
    <w:rsid w:val="005C70E7"/>
    <w:rsid w:val="005C7386"/>
    <w:rsid w:val="005C74AB"/>
    <w:rsid w:val="005C75E9"/>
    <w:rsid w:val="005C783A"/>
    <w:rsid w:val="005C7D2D"/>
    <w:rsid w:val="005C7EE4"/>
    <w:rsid w:val="005D00BF"/>
    <w:rsid w:val="005D0B12"/>
    <w:rsid w:val="005D0E33"/>
    <w:rsid w:val="005D0FC6"/>
    <w:rsid w:val="005D10EA"/>
    <w:rsid w:val="005D11EA"/>
    <w:rsid w:val="005D129B"/>
    <w:rsid w:val="005D1433"/>
    <w:rsid w:val="005D14DB"/>
    <w:rsid w:val="005D18A4"/>
    <w:rsid w:val="005D199E"/>
    <w:rsid w:val="005D1BF4"/>
    <w:rsid w:val="005D1E62"/>
    <w:rsid w:val="005D201D"/>
    <w:rsid w:val="005D22D4"/>
    <w:rsid w:val="005D25A5"/>
    <w:rsid w:val="005D261E"/>
    <w:rsid w:val="005D2684"/>
    <w:rsid w:val="005D2715"/>
    <w:rsid w:val="005D271E"/>
    <w:rsid w:val="005D27C7"/>
    <w:rsid w:val="005D2848"/>
    <w:rsid w:val="005D2AD4"/>
    <w:rsid w:val="005D2F48"/>
    <w:rsid w:val="005D2F86"/>
    <w:rsid w:val="005D31F3"/>
    <w:rsid w:val="005D35F1"/>
    <w:rsid w:val="005D3718"/>
    <w:rsid w:val="005D385B"/>
    <w:rsid w:val="005D3AFE"/>
    <w:rsid w:val="005D3BE3"/>
    <w:rsid w:val="005D3D7E"/>
    <w:rsid w:val="005D3F02"/>
    <w:rsid w:val="005D3F4A"/>
    <w:rsid w:val="005D416F"/>
    <w:rsid w:val="005D42E2"/>
    <w:rsid w:val="005D454A"/>
    <w:rsid w:val="005D483F"/>
    <w:rsid w:val="005D4974"/>
    <w:rsid w:val="005D4AC8"/>
    <w:rsid w:val="005D4B45"/>
    <w:rsid w:val="005D4CC5"/>
    <w:rsid w:val="005D4D6A"/>
    <w:rsid w:val="005D4DF8"/>
    <w:rsid w:val="005D4E00"/>
    <w:rsid w:val="005D4E84"/>
    <w:rsid w:val="005D4F56"/>
    <w:rsid w:val="005D4F73"/>
    <w:rsid w:val="005D502D"/>
    <w:rsid w:val="005D519A"/>
    <w:rsid w:val="005D5263"/>
    <w:rsid w:val="005D54C1"/>
    <w:rsid w:val="005D556A"/>
    <w:rsid w:val="005D57DD"/>
    <w:rsid w:val="005D57FD"/>
    <w:rsid w:val="005D58CC"/>
    <w:rsid w:val="005D5A51"/>
    <w:rsid w:val="005D5CB0"/>
    <w:rsid w:val="005D618E"/>
    <w:rsid w:val="005D6415"/>
    <w:rsid w:val="005D6540"/>
    <w:rsid w:val="005D67CA"/>
    <w:rsid w:val="005D6999"/>
    <w:rsid w:val="005D6BC4"/>
    <w:rsid w:val="005D6C94"/>
    <w:rsid w:val="005D6CA8"/>
    <w:rsid w:val="005D6D14"/>
    <w:rsid w:val="005D6DFD"/>
    <w:rsid w:val="005D6ECB"/>
    <w:rsid w:val="005D6EDE"/>
    <w:rsid w:val="005D70A7"/>
    <w:rsid w:val="005D710D"/>
    <w:rsid w:val="005D72A1"/>
    <w:rsid w:val="005D7325"/>
    <w:rsid w:val="005D741B"/>
    <w:rsid w:val="005D74DE"/>
    <w:rsid w:val="005D7506"/>
    <w:rsid w:val="005D77E3"/>
    <w:rsid w:val="005D795B"/>
    <w:rsid w:val="005D7A5C"/>
    <w:rsid w:val="005D7A8B"/>
    <w:rsid w:val="005D7B4D"/>
    <w:rsid w:val="005D7BDD"/>
    <w:rsid w:val="005D7D3B"/>
    <w:rsid w:val="005D7E27"/>
    <w:rsid w:val="005D7ECD"/>
    <w:rsid w:val="005D7F61"/>
    <w:rsid w:val="005D7FF1"/>
    <w:rsid w:val="005E0279"/>
    <w:rsid w:val="005E02C8"/>
    <w:rsid w:val="005E0792"/>
    <w:rsid w:val="005E0809"/>
    <w:rsid w:val="005E0987"/>
    <w:rsid w:val="005E09F0"/>
    <w:rsid w:val="005E0EB1"/>
    <w:rsid w:val="005E10BB"/>
    <w:rsid w:val="005E1481"/>
    <w:rsid w:val="005E14A2"/>
    <w:rsid w:val="005E15AF"/>
    <w:rsid w:val="005E166B"/>
    <w:rsid w:val="005E1694"/>
    <w:rsid w:val="005E1822"/>
    <w:rsid w:val="005E1838"/>
    <w:rsid w:val="005E1891"/>
    <w:rsid w:val="005E1957"/>
    <w:rsid w:val="005E1D60"/>
    <w:rsid w:val="005E1E76"/>
    <w:rsid w:val="005E21A4"/>
    <w:rsid w:val="005E22B5"/>
    <w:rsid w:val="005E258D"/>
    <w:rsid w:val="005E272B"/>
    <w:rsid w:val="005E2894"/>
    <w:rsid w:val="005E2A0B"/>
    <w:rsid w:val="005E2C48"/>
    <w:rsid w:val="005E2C52"/>
    <w:rsid w:val="005E2CDF"/>
    <w:rsid w:val="005E30C7"/>
    <w:rsid w:val="005E31CF"/>
    <w:rsid w:val="005E35D9"/>
    <w:rsid w:val="005E3832"/>
    <w:rsid w:val="005E39AD"/>
    <w:rsid w:val="005E3B0A"/>
    <w:rsid w:val="005E3B8E"/>
    <w:rsid w:val="005E3DAD"/>
    <w:rsid w:val="005E3DE1"/>
    <w:rsid w:val="005E3EC9"/>
    <w:rsid w:val="005E3F19"/>
    <w:rsid w:val="005E4726"/>
    <w:rsid w:val="005E4B41"/>
    <w:rsid w:val="005E4DD7"/>
    <w:rsid w:val="005E4F56"/>
    <w:rsid w:val="005E4F67"/>
    <w:rsid w:val="005E509D"/>
    <w:rsid w:val="005E50EA"/>
    <w:rsid w:val="005E5387"/>
    <w:rsid w:val="005E55F3"/>
    <w:rsid w:val="005E582B"/>
    <w:rsid w:val="005E5838"/>
    <w:rsid w:val="005E59EF"/>
    <w:rsid w:val="005E5A2F"/>
    <w:rsid w:val="005E5A67"/>
    <w:rsid w:val="005E5AC9"/>
    <w:rsid w:val="005E5B2C"/>
    <w:rsid w:val="005E5D63"/>
    <w:rsid w:val="005E5DAA"/>
    <w:rsid w:val="005E5F84"/>
    <w:rsid w:val="005E6033"/>
    <w:rsid w:val="005E6069"/>
    <w:rsid w:val="005E606F"/>
    <w:rsid w:val="005E6449"/>
    <w:rsid w:val="005E6A7A"/>
    <w:rsid w:val="005E6AAD"/>
    <w:rsid w:val="005E6B4B"/>
    <w:rsid w:val="005E6CAB"/>
    <w:rsid w:val="005E6D06"/>
    <w:rsid w:val="005E6D13"/>
    <w:rsid w:val="005E6D24"/>
    <w:rsid w:val="005E6DE9"/>
    <w:rsid w:val="005E7062"/>
    <w:rsid w:val="005E711B"/>
    <w:rsid w:val="005E74BF"/>
    <w:rsid w:val="005E7669"/>
    <w:rsid w:val="005E7824"/>
    <w:rsid w:val="005E7C60"/>
    <w:rsid w:val="005E7E5F"/>
    <w:rsid w:val="005F03B9"/>
    <w:rsid w:val="005F0466"/>
    <w:rsid w:val="005F04AD"/>
    <w:rsid w:val="005F04BF"/>
    <w:rsid w:val="005F0722"/>
    <w:rsid w:val="005F0979"/>
    <w:rsid w:val="005F0BB7"/>
    <w:rsid w:val="005F0C80"/>
    <w:rsid w:val="005F0D61"/>
    <w:rsid w:val="005F0D7B"/>
    <w:rsid w:val="005F1257"/>
    <w:rsid w:val="005F1340"/>
    <w:rsid w:val="005F14A5"/>
    <w:rsid w:val="005F1520"/>
    <w:rsid w:val="005F15BC"/>
    <w:rsid w:val="005F1738"/>
    <w:rsid w:val="005F1759"/>
    <w:rsid w:val="005F185B"/>
    <w:rsid w:val="005F1BDB"/>
    <w:rsid w:val="005F2202"/>
    <w:rsid w:val="005F229B"/>
    <w:rsid w:val="005F23FE"/>
    <w:rsid w:val="005F25CF"/>
    <w:rsid w:val="005F2620"/>
    <w:rsid w:val="005F2AA8"/>
    <w:rsid w:val="005F2E3F"/>
    <w:rsid w:val="005F31E6"/>
    <w:rsid w:val="005F347C"/>
    <w:rsid w:val="005F3853"/>
    <w:rsid w:val="005F392A"/>
    <w:rsid w:val="005F3B3B"/>
    <w:rsid w:val="005F3C3E"/>
    <w:rsid w:val="005F4397"/>
    <w:rsid w:val="005F44DE"/>
    <w:rsid w:val="005F483C"/>
    <w:rsid w:val="005F48CB"/>
    <w:rsid w:val="005F49EB"/>
    <w:rsid w:val="005F4DC4"/>
    <w:rsid w:val="005F4F3B"/>
    <w:rsid w:val="005F51D8"/>
    <w:rsid w:val="005F53C4"/>
    <w:rsid w:val="005F53D4"/>
    <w:rsid w:val="005F5604"/>
    <w:rsid w:val="005F563C"/>
    <w:rsid w:val="005F584F"/>
    <w:rsid w:val="005F58FC"/>
    <w:rsid w:val="005F5B6B"/>
    <w:rsid w:val="005F5F64"/>
    <w:rsid w:val="005F64CC"/>
    <w:rsid w:val="005F6532"/>
    <w:rsid w:val="005F65B1"/>
    <w:rsid w:val="005F68A1"/>
    <w:rsid w:val="005F69D4"/>
    <w:rsid w:val="005F69FC"/>
    <w:rsid w:val="005F6A62"/>
    <w:rsid w:val="005F6A74"/>
    <w:rsid w:val="005F6A79"/>
    <w:rsid w:val="005F6BE4"/>
    <w:rsid w:val="005F6C4A"/>
    <w:rsid w:val="005F6D23"/>
    <w:rsid w:val="005F6D85"/>
    <w:rsid w:val="005F6DCE"/>
    <w:rsid w:val="005F6E82"/>
    <w:rsid w:val="005F7137"/>
    <w:rsid w:val="005F72D5"/>
    <w:rsid w:val="005F72FD"/>
    <w:rsid w:val="005F7368"/>
    <w:rsid w:val="005F740A"/>
    <w:rsid w:val="005F759D"/>
    <w:rsid w:val="005F75F0"/>
    <w:rsid w:val="005F7676"/>
    <w:rsid w:val="005F7970"/>
    <w:rsid w:val="005F7ED3"/>
    <w:rsid w:val="0060005E"/>
    <w:rsid w:val="006007CC"/>
    <w:rsid w:val="006008E6"/>
    <w:rsid w:val="00600B0A"/>
    <w:rsid w:val="00600D34"/>
    <w:rsid w:val="00600D58"/>
    <w:rsid w:val="00600ED4"/>
    <w:rsid w:val="0060119D"/>
    <w:rsid w:val="006011AB"/>
    <w:rsid w:val="0060121E"/>
    <w:rsid w:val="00601229"/>
    <w:rsid w:val="00601651"/>
    <w:rsid w:val="0060171A"/>
    <w:rsid w:val="00601819"/>
    <w:rsid w:val="00601A5A"/>
    <w:rsid w:val="00601A75"/>
    <w:rsid w:val="00601A80"/>
    <w:rsid w:val="00601BE0"/>
    <w:rsid w:val="00601D58"/>
    <w:rsid w:val="00601DEC"/>
    <w:rsid w:val="00601E08"/>
    <w:rsid w:val="00601E0C"/>
    <w:rsid w:val="00601E14"/>
    <w:rsid w:val="00601F80"/>
    <w:rsid w:val="00602004"/>
    <w:rsid w:val="0060233D"/>
    <w:rsid w:val="006023A7"/>
    <w:rsid w:val="0060241A"/>
    <w:rsid w:val="0060286A"/>
    <w:rsid w:val="00602870"/>
    <w:rsid w:val="00602C43"/>
    <w:rsid w:val="00602CD0"/>
    <w:rsid w:val="00602CFB"/>
    <w:rsid w:val="00602DB6"/>
    <w:rsid w:val="00602EF2"/>
    <w:rsid w:val="00602EF3"/>
    <w:rsid w:val="00602FCB"/>
    <w:rsid w:val="00603238"/>
    <w:rsid w:val="00603431"/>
    <w:rsid w:val="0060350D"/>
    <w:rsid w:val="00603869"/>
    <w:rsid w:val="00603885"/>
    <w:rsid w:val="006038BF"/>
    <w:rsid w:val="006038DD"/>
    <w:rsid w:val="006039A2"/>
    <w:rsid w:val="00603B1D"/>
    <w:rsid w:val="00603D0C"/>
    <w:rsid w:val="00603E34"/>
    <w:rsid w:val="0060438A"/>
    <w:rsid w:val="006043D2"/>
    <w:rsid w:val="00604640"/>
    <w:rsid w:val="006046D0"/>
    <w:rsid w:val="00604807"/>
    <w:rsid w:val="00604884"/>
    <w:rsid w:val="00604917"/>
    <w:rsid w:val="00604C0A"/>
    <w:rsid w:val="00604C78"/>
    <w:rsid w:val="00604D78"/>
    <w:rsid w:val="00604DEC"/>
    <w:rsid w:val="00604E0C"/>
    <w:rsid w:val="00604EBE"/>
    <w:rsid w:val="006050F8"/>
    <w:rsid w:val="00605162"/>
    <w:rsid w:val="006052AC"/>
    <w:rsid w:val="006053B3"/>
    <w:rsid w:val="006053CC"/>
    <w:rsid w:val="00605666"/>
    <w:rsid w:val="006056AF"/>
    <w:rsid w:val="006057C4"/>
    <w:rsid w:val="006058BF"/>
    <w:rsid w:val="00605A2F"/>
    <w:rsid w:val="00605B5C"/>
    <w:rsid w:val="00605B62"/>
    <w:rsid w:val="00605EB5"/>
    <w:rsid w:val="00605F76"/>
    <w:rsid w:val="00606209"/>
    <w:rsid w:val="0060623B"/>
    <w:rsid w:val="0060654D"/>
    <w:rsid w:val="006065BD"/>
    <w:rsid w:val="0060660B"/>
    <w:rsid w:val="006066D8"/>
    <w:rsid w:val="00606977"/>
    <w:rsid w:val="00606A93"/>
    <w:rsid w:val="00606AF2"/>
    <w:rsid w:val="00606BEA"/>
    <w:rsid w:val="00606D1E"/>
    <w:rsid w:val="00606D29"/>
    <w:rsid w:val="0060705C"/>
    <w:rsid w:val="00607102"/>
    <w:rsid w:val="0060720D"/>
    <w:rsid w:val="00607466"/>
    <w:rsid w:val="0060759D"/>
    <w:rsid w:val="00607642"/>
    <w:rsid w:val="0060765B"/>
    <w:rsid w:val="006077D2"/>
    <w:rsid w:val="006077FA"/>
    <w:rsid w:val="00607873"/>
    <w:rsid w:val="006078DA"/>
    <w:rsid w:val="0060799A"/>
    <w:rsid w:val="00607AC2"/>
    <w:rsid w:val="00607C1B"/>
    <w:rsid w:val="00607D9A"/>
    <w:rsid w:val="00607EC7"/>
    <w:rsid w:val="00607F4D"/>
    <w:rsid w:val="0061039D"/>
    <w:rsid w:val="00610762"/>
    <w:rsid w:val="00610A70"/>
    <w:rsid w:val="00610ABE"/>
    <w:rsid w:val="00610ACB"/>
    <w:rsid w:val="00610B25"/>
    <w:rsid w:val="00610B62"/>
    <w:rsid w:val="00610BAF"/>
    <w:rsid w:val="00610C23"/>
    <w:rsid w:val="00610DE5"/>
    <w:rsid w:val="00610F62"/>
    <w:rsid w:val="00610F7B"/>
    <w:rsid w:val="00611009"/>
    <w:rsid w:val="00611130"/>
    <w:rsid w:val="00611273"/>
    <w:rsid w:val="006117F4"/>
    <w:rsid w:val="0061192E"/>
    <w:rsid w:val="0061200F"/>
    <w:rsid w:val="00612044"/>
    <w:rsid w:val="006120FF"/>
    <w:rsid w:val="006122AB"/>
    <w:rsid w:val="0061256E"/>
    <w:rsid w:val="00612620"/>
    <w:rsid w:val="006127F4"/>
    <w:rsid w:val="006129AE"/>
    <w:rsid w:val="00612A06"/>
    <w:rsid w:val="00612CA4"/>
    <w:rsid w:val="00612D94"/>
    <w:rsid w:val="00612E97"/>
    <w:rsid w:val="00612F11"/>
    <w:rsid w:val="00613293"/>
    <w:rsid w:val="006132A3"/>
    <w:rsid w:val="006132E0"/>
    <w:rsid w:val="006132FF"/>
    <w:rsid w:val="0061332C"/>
    <w:rsid w:val="006133F4"/>
    <w:rsid w:val="00613825"/>
    <w:rsid w:val="00613D75"/>
    <w:rsid w:val="00613DC9"/>
    <w:rsid w:val="00613FBF"/>
    <w:rsid w:val="00614314"/>
    <w:rsid w:val="006147A8"/>
    <w:rsid w:val="0061490C"/>
    <w:rsid w:val="00614920"/>
    <w:rsid w:val="00614A26"/>
    <w:rsid w:val="00614B11"/>
    <w:rsid w:val="00614CBF"/>
    <w:rsid w:val="00614F4B"/>
    <w:rsid w:val="006150D8"/>
    <w:rsid w:val="00615212"/>
    <w:rsid w:val="00615270"/>
    <w:rsid w:val="00615292"/>
    <w:rsid w:val="0061548E"/>
    <w:rsid w:val="006159CF"/>
    <w:rsid w:val="00615E7A"/>
    <w:rsid w:val="0061619B"/>
    <w:rsid w:val="006162F2"/>
    <w:rsid w:val="006166C4"/>
    <w:rsid w:val="00616831"/>
    <w:rsid w:val="00616847"/>
    <w:rsid w:val="006169FF"/>
    <w:rsid w:val="00616AEE"/>
    <w:rsid w:val="00616B09"/>
    <w:rsid w:val="00616B3B"/>
    <w:rsid w:val="00616B4F"/>
    <w:rsid w:val="00616CEB"/>
    <w:rsid w:val="00616DF5"/>
    <w:rsid w:val="00616E43"/>
    <w:rsid w:val="006171A6"/>
    <w:rsid w:val="00617379"/>
    <w:rsid w:val="006174BC"/>
    <w:rsid w:val="006174F9"/>
    <w:rsid w:val="006175C0"/>
    <w:rsid w:val="00617920"/>
    <w:rsid w:val="00617D94"/>
    <w:rsid w:val="00617F5A"/>
    <w:rsid w:val="006201A3"/>
    <w:rsid w:val="00620293"/>
    <w:rsid w:val="006202C4"/>
    <w:rsid w:val="00620541"/>
    <w:rsid w:val="006207F4"/>
    <w:rsid w:val="0062085E"/>
    <w:rsid w:val="00620909"/>
    <w:rsid w:val="00620B19"/>
    <w:rsid w:val="00620F03"/>
    <w:rsid w:val="00620FBE"/>
    <w:rsid w:val="00621035"/>
    <w:rsid w:val="0062103A"/>
    <w:rsid w:val="00621328"/>
    <w:rsid w:val="006217B8"/>
    <w:rsid w:val="00621825"/>
    <w:rsid w:val="00621A3F"/>
    <w:rsid w:val="00621AAF"/>
    <w:rsid w:val="00621C15"/>
    <w:rsid w:val="00621F09"/>
    <w:rsid w:val="00621F77"/>
    <w:rsid w:val="00622190"/>
    <w:rsid w:val="006222A0"/>
    <w:rsid w:val="006222B9"/>
    <w:rsid w:val="006223AD"/>
    <w:rsid w:val="00622717"/>
    <w:rsid w:val="00622757"/>
    <w:rsid w:val="00622828"/>
    <w:rsid w:val="0062284B"/>
    <w:rsid w:val="006229E8"/>
    <w:rsid w:val="00622A79"/>
    <w:rsid w:val="00622ABB"/>
    <w:rsid w:val="00622B7A"/>
    <w:rsid w:val="00622BB2"/>
    <w:rsid w:val="00622CF3"/>
    <w:rsid w:val="00622D76"/>
    <w:rsid w:val="00622DB7"/>
    <w:rsid w:val="00622E4F"/>
    <w:rsid w:val="0062319B"/>
    <w:rsid w:val="0062331A"/>
    <w:rsid w:val="00623426"/>
    <w:rsid w:val="0062357E"/>
    <w:rsid w:val="00623612"/>
    <w:rsid w:val="0062362B"/>
    <w:rsid w:val="006237CD"/>
    <w:rsid w:val="006238BA"/>
    <w:rsid w:val="006238EF"/>
    <w:rsid w:val="00623C69"/>
    <w:rsid w:val="00624032"/>
    <w:rsid w:val="00624422"/>
    <w:rsid w:val="00624747"/>
    <w:rsid w:val="006247AC"/>
    <w:rsid w:val="006247F5"/>
    <w:rsid w:val="00624A77"/>
    <w:rsid w:val="00624CED"/>
    <w:rsid w:val="00624FA6"/>
    <w:rsid w:val="00625348"/>
    <w:rsid w:val="00625449"/>
    <w:rsid w:val="00625622"/>
    <w:rsid w:val="00625833"/>
    <w:rsid w:val="006259BC"/>
    <w:rsid w:val="00625A57"/>
    <w:rsid w:val="00625AF0"/>
    <w:rsid w:val="00625BE6"/>
    <w:rsid w:val="00625C22"/>
    <w:rsid w:val="00625D25"/>
    <w:rsid w:val="00625D79"/>
    <w:rsid w:val="00625DD3"/>
    <w:rsid w:val="00625E27"/>
    <w:rsid w:val="0062606E"/>
    <w:rsid w:val="0062622A"/>
    <w:rsid w:val="00626323"/>
    <w:rsid w:val="00626484"/>
    <w:rsid w:val="006266A2"/>
    <w:rsid w:val="0062670D"/>
    <w:rsid w:val="0062679B"/>
    <w:rsid w:val="006267AC"/>
    <w:rsid w:val="006268FE"/>
    <w:rsid w:val="0062697F"/>
    <w:rsid w:val="006269BF"/>
    <w:rsid w:val="00626A41"/>
    <w:rsid w:val="00626A67"/>
    <w:rsid w:val="00626BE5"/>
    <w:rsid w:val="00626EC6"/>
    <w:rsid w:val="0062702E"/>
    <w:rsid w:val="00627184"/>
    <w:rsid w:val="00627600"/>
    <w:rsid w:val="006279D4"/>
    <w:rsid w:val="00627A92"/>
    <w:rsid w:val="00627AA7"/>
    <w:rsid w:val="00627B30"/>
    <w:rsid w:val="00627CDC"/>
    <w:rsid w:val="00627D18"/>
    <w:rsid w:val="00627F32"/>
    <w:rsid w:val="0063030C"/>
    <w:rsid w:val="00630373"/>
    <w:rsid w:val="00630521"/>
    <w:rsid w:val="00630919"/>
    <w:rsid w:val="00630AE9"/>
    <w:rsid w:val="00630E30"/>
    <w:rsid w:val="00631091"/>
    <w:rsid w:val="0063109C"/>
    <w:rsid w:val="0063127B"/>
    <w:rsid w:val="00631334"/>
    <w:rsid w:val="006314C1"/>
    <w:rsid w:val="0063150E"/>
    <w:rsid w:val="0063180B"/>
    <w:rsid w:val="00631841"/>
    <w:rsid w:val="00631849"/>
    <w:rsid w:val="00631D42"/>
    <w:rsid w:val="00631E16"/>
    <w:rsid w:val="00632077"/>
    <w:rsid w:val="00632125"/>
    <w:rsid w:val="00632207"/>
    <w:rsid w:val="00632322"/>
    <w:rsid w:val="00632370"/>
    <w:rsid w:val="0063274F"/>
    <w:rsid w:val="00632770"/>
    <w:rsid w:val="006327E4"/>
    <w:rsid w:val="0063284A"/>
    <w:rsid w:val="00632B2F"/>
    <w:rsid w:val="00632BA7"/>
    <w:rsid w:val="00632C8A"/>
    <w:rsid w:val="00632DFE"/>
    <w:rsid w:val="00632E00"/>
    <w:rsid w:val="00632EB7"/>
    <w:rsid w:val="0063310F"/>
    <w:rsid w:val="0063332B"/>
    <w:rsid w:val="00633385"/>
    <w:rsid w:val="0063356B"/>
    <w:rsid w:val="0063365B"/>
    <w:rsid w:val="006336E6"/>
    <w:rsid w:val="006339EE"/>
    <w:rsid w:val="00633D52"/>
    <w:rsid w:val="006341A0"/>
    <w:rsid w:val="006347E1"/>
    <w:rsid w:val="0063491C"/>
    <w:rsid w:val="00634AE6"/>
    <w:rsid w:val="00634BE4"/>
    <w:rsid w:val="00634C6C"/>
    <w:rsid w:val="00634E30"/>
    <w:rsid w:val="00634E3A"/>
    <w:rsid w:val="006350EF"/>
    <w:rsid w:val="006353A3"/>
    <w:rsid w:val="006354D5"/>
    <w:rsid w:val="00635544"/>
    <w:rsid w:val="00635583"/>
    <w:rsid w:val="00635600"/>
    <w:rsid w:val="00635A99"/>
    <w:rsid w:val="00635C4D"/>
    <w:rsid w:val="0063608C"/>
    <w:rsid w:val="006363D1"/>
    <w:rsid w:val="00636415"/>
    <w:rsid w:val="00636595"/>
    <w:rsid w:val="0063664F"/>
    <w:rsid w:val="006366F6"/>
    <w:rsid w:val="00636B92"/>
    <w:rsid w:val="00636BC9"/>
    <w:rsid w:val="00636BF6"/>
    <w:rsid w:val="00636C17"/>
    <w:rsid w:val="00636C87"/>
    <w:rsid w:val="00637200"/>
    <w:rsid w:val="006372A9"/>
    <w:rsid w:val="006374BB"/>
    <w:rsid w:val="006374BE"/>
    <w:rsid w:val="006376E1"/>
    <w:rsid w:val="006377C8"/>
    <w:rsid w:val="00637879"/>
    <w:rsid w:val="00637923"/>
    <w:rsid w:val="0063792D"/>
    <w:rsid w:val="00637AF7"/>
    <w:rsid w:val="00637C20"/>
    <w:rsid w:val="00637E8A"/>
    <w:rsid w:val="00637FBE"/>
    <w:rsid w:val="006401DB"/>
    <w:rsid w:val="006401E2"/>
    <w:rsid w:val="006402E2"/>
    <w:rsid w:val="0064044A"/>
    <w:rsid w:val="006404D5"/>
    <w:rsid w:val="006404D9"/>
    <w:rsid w:val="0064075B"/>
    <w:rsid w:val="00640816"/>
    <w:rsid w:val="006409CE"/>
    <w:rsid w:val="00640B6A"/>
    <w:rsid w:val="00640D2F"/>
    <w:rsid w:val="00640D62"/>
    <w:rsid w:val="00640DA4"/>
    <w:rsid w:val="00640DE0"/>
    <w:rsid w:val="00640E10"/>
    <w:rsid w:val="00640E58"/>
    <w:rsid w:val="00641008"/>
    <w:rsid w:val="00641153"/>
    <w:rsid w:val="00641166"/>
    <w:rsid w:val="00641201"/>
    <w:rsid w:val="0064126F"/>
    <w:rsid w:val="0064156A"/>
    <w:rsid w:val="00641996"/>
    <w:rsid w:val="006419BE"/>
    <w:rsid w:val="00641A5C"/>
    <w:rsid w:val="00641AA7"/>
    <w:rsid w:val="00641D24"/>
    <w:rsid w:val="00641F28"/>
    <w:rsid w:val="00641F39"/>
    <w:rsid w:val="00642172"/>
    <w:rsid w:val="006421D4"/>
    <w:rsid w:val="006422FA"/>
    <w:rsid w:val="006423A9"/>
    <w:rsid w:val="00642A71"/>
    <w:rsid w:val="00642BED"/>
    <w:rsid w:val="00642C3B"/>
    <w:rsid w:val="00642DD0"/>
    <w:rsid w:val="00642E3D"/>
    <w:rsid w:val="0064308E"/>
    <w:rsid w:val="006432AE"/>
    <w:rsid w:val="00643687"/>
    <w:rsid w:val="00643A0C"/>
    <w:rsid w:val="00643A32"/>
    <w:rsid w:val="00643AD0"/>
    <w:rsid w:val="00643C91"/>
    <w:rsid w:val="00643EAC"/>
    <w:rsid w:val="00643ED8"/>
    <w:rsid w:val="006441FC"/>
    <w:rsid w:val="00644487"/>
    <w:rsid w:val="006444DB"/>
    <w:rsid w:val="006445E6"/>
    <w:rsid w:val="00644627"/>
    <w:rsid w:val="006449F2"/>
    <w:rsid w:val="00644B6A"/>
    <w:rsid w:val="00644DFB"/>
    <w:rsid w:val="006450ED"/>
    <w:rsid w:val="006454F5"/>
    <w:rsid w:val="00645511"/>
    <w:rsid w:val="006457E6"/>
    <w:rsid w:val="006458D7"/>
    <w:rsid w:val="00645A66"/>
    <w:rsid w:val="00645B80"/>
    <w:rsid w:val="00645CA1"/>
    <w:rsid w:val="00645CCD"/>
    <w:rsid w:val="00645DD5"/>
    <w:rsid w:val="00645E09"/>
    <w:rsid w:val="00646685"/>
    <w:rsid w:val="0064676F"/>
    <w:rsid w:val="00646AD6"/>
    <w:rsid w:val="00646BC3"/>
    <w:rsid w:val="00646C2D"/>
    <w:rsid w:val="00646E02"/>
    <w:rsid w:val="0064700B"/>
    <w:rsid w:val="0064707A"/>
    <w:rsid w:val="0064720F"/>
    <w:rsid w:val="006472C6"/>
    <w:rsid w:val="006473DB"/>
    <w:rsid w:val="0064744D"/>
    <w:rsid w:val="006478DD"/>
    <w:rsid w:val="006479C5"/>
    <w:rsid w:val="00647CC0"/>
    <w:rsid w:val="00647EAC"/>
    <w:rsid w:val="00647FAE"/>
    <w:rsid w:val="00647FCC"/>
    <w:rsid w:val="0065045D"/>
    <w:rsid w:val="0065052D"/>
    <w:rsid w:val="00650B95"/>
    <w:rsid w:val="00650C24"/>
    <w:rsid w:val="00650C62"/>
    <w:rsid w:val="00650D65"/>
    <w:rsid w:val="00650E8F"/>
    <w:rsid w:val="00650ED1"/>
    <w:rsid w:val="00650FFC"/>
    <w:rsid w:val="006510E3"/>
    <w:rsid w:val="00651154"/>
    <w:rsid w:val="006511D7"/>
    <w:rsid w:val="006513BA"/>
    <w:rsid w:val="00651477"/>
    <w:rsid w:val="00651641"/>
    <w:rsid w:val="006516EA"/>
    <w:rsid w:val="006518AC"/>
    <w:rsid w:val="00651949"/>
    <w:rsid w:val="00651D84"/>
    <w:rsid w:val="00651ED0"/>
    <w:rsid w:val="0065204A"/>
    <w:rsid w:val="0065208B"/>
    <w:rsid w:val="0065213C"/>
    <w:rsid w:val="0065228D"/>
    <w:rsid w:val="006522E1"/>
    <w:rsid w:val="006525AC"/>
    <w:rsid w:val="00652C94"/>
    <w:rsid w:val="00653013"/>
    <w:rsid w:val="0065323C"/>
    <w:rsid w:val="006532E4"/>
    <w:rsid w:val="0065336A"/>
    <w:rsid w:val="006535BD"/>
    <w:rsid w:val="0065394D"/>
    <w:rsid w:val="006539C8"/>
    <w:rsid w:val="00653ACC"/>
    <w:rsid w:val="00653C43"/>
    <w:rsid w:val="00653EF0"/>
    <w:rsid w:val="0065426A"/>
    <w:rsid w:val="00654286"/>
    <w:rsid w:val="00654640"/>
    <w:rsid w:val="00654676"/>
    <w:rsid w:val="0065476E"/>
    <w:rsid w:val="006547C7"/>
    <w:rsid w:val="0065480E"/>
    <w:rsid w:val="006548D2"/>
    <w:rsid w:val="00654A93"/>
    <w:rsid w:val="00654C40"/>
    <w:rsid w:val="00654F30"/>
    <w:rsid w:val="00655032"/>
    <w:rsid w:val="0065519B"/>
    <w:rsid w:val="006551B0"/>
    <w:rsid w:val="00655278"/>
    <w:rsid w:val="0065539E"/>
    <w:rsid w:val="00655503"/>
    <w:rsid w:val="00655512"/>
    <w:rsid w:val="00655524"/>
    <w:rsid w:val="00655689"/>
    <w:rsid w:val="006556D4"/>
    <w:rsid w:val="006556FF"/>
    <w:rsid w:val="006558CF"/>
    <w:rsid w:val="00655B9A"/>
    <w:rsid w:val="00655C4B"/>
    <w:rsid w:val="00655CFE"/>
    <w:rsid w:val="00655D29"/>
    <w:rsid w:val="00655DD0"/>
    <w:rsid w:val="00655DFF"/>
    <w:rsid w:val="00655FC9"/>
    <w:rsid w:val="00656120"/>
    <w:rsid w:val="00656201"/>
    <w:rsid w:val="0065658E"/>
    <w:rsid w:val="00656600"/>
    <w:rsid w:val="00656653"/>
    <w:rsid w:val="0065667E"/>
    <w:rsid w:val="006566B6"/>
    <w:rsid w:val="006566D8"/>
    <w:rsid w:val="0065679C"/>
    <w:rsid w:val="00656874"/>
    <w:rsid w:val="00656991"/>
    <w:rsid w:val="006569A1"/>
    <w:rsid w:val="00656B4B"/>
    <w:rsid w:val="00656FE5"/>
    <w:rsid w:val="0065707E"/>
    <w:rsid w:val="0065710C"/>
    <w:rsid w:val="0065719A"/>
    <w:rsid w:val="006571F2"/>
    <w:rsid w:val="006572B0"/>
    <w:rsid w:val="0065738F"/>
    <w:rsid w:val="006573B6"/>
    <w:rsid w:val="00657416"/>
    <w:rsid w:val="00657469"/>
    <w:rsid w:val="006575A6"/>
    <w:rsid w:val="0065799F"/>
    <w:rsid w:val="00657A1F"/>
    <w:rsid w:val="00657AAF"/>
    <w:rsid w:val="00657CBC"/>
    <w:rsid w:val="00657D2D"/>
    <w:rsid w:val="00657E50"/>
    <w:rsid w:val="00657E98"/>
    <w:rsid w:val="00657FD2"/>
    <w:rsid w:val="0066010F"/>
    <w:rsid w:val="00660343"/>
    <w:rsid w:val="00660632"/>
    <w:rsid w:val="0066069D"/>
    <w:rsid w:val="0066097A"/>
    <w:rsid w:val="00660DC5"/>
    <w:rsid w:val="00660E22"/>
    <w:rsid w:val="00660E55"/>
    <w:rsid w:val="00660EC5"/>
    <w:rsid w:val="00660F8C"/>
    <w:rsid w:val="006610FB"/>
    <w:rsid w:val="006613D2"/>
    <w:rsid w:val="006613F4"/>
    <w:rsid w:val="00661419"/>
    <w:rsid w:val="006614C3"/>
    <w:rsid w:val="00661506"/>
    <w:rsid w:val="0066152E"/>
    <w:rsid w:val="006615F6"/>
    <w:rsid w:val="0066199F"/>
    <w:rsid w:val="006619BF"/>
    <w:rsid w:val="00661A13"/>
    <w:rsid w:val="00661AFE"/>
    <w:rsid w:val="00661D97"/>
    <w:rsid w:val="00662057"/>
    <w:rsid w:val="00662182"/>
    <w:rsid w:val="00662290"/>
    <w:rsid w:val="006622C1"/>
    <w:rsid w:val="00662386"/>
    <w:rsid w:val="00662675"/>
    <w:rsid w:val="006626C9"/>
    <w:rsid w:val="0066290C"/>
    <w:rsid w:val="00662B50"/>
    <w:rsid w:val="00662BAF"/>
    <w:rsid w:val="00662BC7"/>
    <w:rsid w:val="00662E98"/>
    <w:rsid w:val="0066317D"/>
    <w:rsid w:val="006631A5"/>
    <w:rsid w:val="0066328E"/>
    <w:rsid w:val="0066357E"/>
    <w:rsid w:val="00663581"/>
    <w:rsid w:val="006635DA"/>
    <w:rsid w:val="006635E5"/>
    <w:rsid w:val="00663659"/>
    <w:rsid w:val="006638FB"/>
    <w:rsid w:val="006639E0"/>
    <w:rsid w:val="00663BA4"/>
    <w:rsid w:val="00663CD0"/>
    <w:rsid w:val="00663F6B"/>
    <w:rsid w:val="0066406F"/>
    <w:rsid w:val="006640B3"/>
    <w:rsid w:val="00664188"/>
    <w:rsid w:val="006643B8"/>
    <w:rsid w:val="0066469A"/>
    <w:rsid w:val="0066469B"/>
    <w:rsid w:val="0066491E"/>
    <w:rsid w:val="00664A91"/>
    <w:rsid w:val="00664B73"/>
    <w:rsid w:val="00664BE9"/>
    <w:rsid w:val="00664CE3"/>
    <w:rsid w:val="00664D18"/>
    <w:rsid w:val="00664E44"/>
    <w:rsid w:val="00664F0D"/>
    <w:rsid w:val="00664FB0"/>
    <w:rsid w:val="00665246"/>
    <w:rsid w:val="006655F9"/>
    <w:rsid w:val="00665626"/>
    <w:rsid w:val="006656AF"/>
    <w:rsid w:val="0066585E"/>
    <w:rsid w:val="0066586D"/>
    <w:rsid w:val="006658C6"/>
    <w:rsid w:val="006659C6"/>
    <w:rsid w:val="00665BA5"/>
    <w:rsid w:val="00665BB6"/>
    <w:rsid w:val="00665CC0"/>
    <w:rsid w:val="00665E0C"/>
    <w:rsid w:val="006662C8"/>
    <w:rsid w:val="0066630B"/>
    <w:rsid w:val="00666358"/>
    <w:rsid w:val="00666548"/>
    <w:rsid w:val="00666595"/>
    <w:rsid w:val="00666B8A"/>
    <w:rsid w:val="00666CCB"/>
    <w:rsid w:val="00666E3B"/>
    <w:rsid w:val="0066703F"/>
    <w:rsid w:val="00667339"/>
    <w:rsid w:val="00667729"/>
    <w:rsid w:val="006678E1"/>
    <w:rsid w:val="00667900"/>
    <w:rsid w:val="00667C52"/>
    <w:rsid w:val="0067057C"/>
    <w:rsid w:val="006705E6"/>
    <w:rsid w:val="0067083C"/>
    <w:rsid w:val="00670869"/>
    <w:rsid w:val="006708F7"/>
    <w:rsid w:val="00670DC4"/>
    <w:rsid w:val="00670F3A"/>
    <w:rsid w:val="00670F84"/>
    <w:rsid w:val="00671027"/>
    <w:rsid w:val="0067119F"/>
    <w:rsid w:val="006711B8"/>
    <w:rsid w:val="00671337"/>
    <w:rsid w:val="006713AB"/>
    <w:rsid w:val="0067183A"/>
    <w:rsid w:val="006718DD"/>
    <w:rsid w:val="00671BA3"/>
    <w:rsid w:val="00671D98"/>
    <w:rsid w:val="00671E4C"/>
    <w:rsid w:val="006723FA"/>
    <w:rsid w:val="006724EF"/>
    <w:rsid w:val="006726ED"/>
    <w:rsid w:val="00672724"/>
    <w:rsid w:val="00672774"/>
    <w:rsid w:val="0067286D"/>
    <w:rsid w:val="00672A29"/>
    <w:rsid w:val="00672ACA"/>
    <w:rsid w:val="00672AD6"/>
    <w:rsid w:val="00672E2A"/>
    <w:rsid w:val="00672EE9"/>
    <w:rsid w:val="0067312F"/>
    <w:rsid w:val="006731DB"/>
    <w:rsid w:val="00673437"/>
    <w:rsid w:val="006738EC"/>
    <w:rsid w:val="00673999"/>
    <w:rsid w:val="00673A12"/>
    <w:rsid w:val="00673C8D"/>
    <w:rsid w:val="00673E06"/>
    <w:rsid w:val="00673F2B"/>
    <w:rsid w:val="006742D4"/>
    <w:rsid w:val="00674360"/>
    <w:rsid w:val="0067441A"/>
    <w:rsid w:val="006745D3"/>
    <w:rsid w:val="0067485E"/>
    <w:rsid w:val="00674879"/>
    <w:rsid w:val="00674A0D"/>
    <w:rsid w:val="00674B35"/>
    <w:rsid w:val="00674B8C"/>
    <w:rsid w:val="00674DB0"/>
    <w:rsid w:val="006758D0"/>
    <w:rsid w:val="006759F9"/>
    <w:rsid w:val="00675A73"/>
    <w:rsid w:val="00675AAD"/>
    <w:rsid w:val="00675B29"/>
    <w:rsid w:val="00675BA6"/>
    <w:rsid w:val="00675D58"/>
    <w:rsid w:val="00675E1E"/>
    <w:rsid w:val="00675E52"/>
    <w:rsid w:val="00675ECA"/>
    <w:rsid w:val="0067608D"/>
    <w:rsid w:val="00676114"/>
    <w:rsid w:val="0067613A"/>
    <w:rsid w:val="006761A1"/>
    <w:rsid w:val="0067637E"/>
    <w:rsid w:val="00676672"/>
    <w:rsid w:val="006766A0"/>
    <w:rsid w:val="00676929"/>
    <w:rsid w:val="00676A3D"/>
    <w:rsid w:val="00676ABD"/>
    <w:rsid w:val="00676E83"/>
    <w:rsid w:val="00676EAA"/>
    <w:rsid w:val="00676EE0"/>
    <w:rsid w:val="00677144"/>
    <w:rsid w:val="00677354"/>
    <w:rsid w:val="006775F2"/>
    <w:rsid w:val="0067761D"/>
    <w:rsid w:val="0067770A"/>
    <w:rsid w:val="00677752"/>
    <w:rsid w:val="00677AF9"/>
    <w:rsid w:val="00677E88"/>
    <w:rsid w:val="00677F4F"/>
    <w:rsid w:val="00677F95"/>
    <w:rsid w:val="0068019F"/>
    <w:rsid w:val="006801F2"/>
    <w:rsid w:val="00680468"/>
    <w:rsid w:val="006806F0"/>
    <w:rsid w:val="0068070E"/>
    <w:rsid w:val="006807B9"/>
    <w:rsid w:val="00680927"/>
    <w:rsid w:val="00680C07"/>
    <w:rsid w:val="00680C15"/>
    <w:rsid w:val="00680CAA"/>
    <w:rsid w:val="00680F19"/>
    <w:rsid w:val="00680F1D"/>
    <w:rsid w:val="006810D0"/>
    <w:rsid w:val="006812BE"/>
    <w:rsid w:val="00681825"/>
    <w:rsid w:val="006819FD"/>
    <w:rsid w:val="00681A05"/>
    <w:rsid w:val="00681AC9"/>
    <w:rsid w:val="00681BAE"/>
    <w:rsid w:val="00681DE5"/>
    <w:rsid w:val="0068204A"/>
    <w:rsid w:val="006820AC"/>
    <w:rsid w:val="00682182"/>
    <w:rsid w:val="0068221D"/>
    <w:rsid w:val="0068223A"/>
    <w:rsid w:val="006827C1"/>
    <w:rsid w:val="00682838"/>
    <w:rsid w:val="0068290B"/>
    <w:rsid w:val="00682987"/>
    <w:rsid w:val="00682A65"/>
    <w:rsid w:val="00682BA5"/>
    <w:rsid w:val="00682D27"/>
    <w:rsid w:val="00682DD4"/>
    <w:rsid w:val="00682DDB"/>
    <w:rsid w:val="00682F19"/>
    <w:rsid w:val="00682F21"/>
    <w:rsid w:val="0068317A"/>
    <w:rsid w:val="006831DD"/>
    <w:rsid w:val="00683566"/>
    <w:rsid w:val="006835A7"/>
    <w:rsid w:val="00683651"/>
    <w:rsid w:val="006837BA"/>
    <w:rsid w:val="00683866"/>
    <w:rsid w:val="00683A68"/>
    <w:rsid w:val="00683B2C"/>
    <w:rsid w:val="00683B6E"/>
    <w:rsid w:val="00683C1C"/>
    <w:rsid w:val="00684022"/>
    <w:rsid w:val="0068435C"/>
    <w:rsid w:val="0068479E"/>
    <w:rsid w:val="006847DE"/>
    <w:rsid w:val="0068489F"/>
    <w:rsid w:val="006849B6"/>
    <w:rsid w:val="00684AE3"/>
    <w:rsid w:val="00684D78"/>
    <w:rsid w:val="00684ED8"/>
    <w:rsid w:val="00684FC1"/>
    <w:rsid w:val="00685217"/>
    <w:rsid w:val="006852F0"/>
    <w:rsid w:val="00685443"/>
    <w:rsid w:val="00685605"/>
    <w:rsid w:val="00685AE0"/>
    <w:rsid w:val="00685C1A"/>
    <w:rsid w:val="00685D00"/>
    <w:rsid w:val="00685E80"/>
    <w:rsid w:val="00686131"/>
    <w:rsid w:val="0068618C"/>
    <w:rsid w:val="00686745"/>
    <w:rsid w:val="0068674F"/>
    <w:rsid w:val="006867B1"/>
    <w:rsid w:val="0068696D"/>
    <w:rsid w:val="00686E2E"/>
    <w:rsid w:val="00687223"/>
    <w:rsid w:val="00687300"/>
    <w:rsid w:val="0068795D"/>
    <w:rsid w:val="006879D7"/>
    <w:rsid w:val="006879E7"/>
    <w:rsid w:val="00687AA0"/>
    <w:rsid w:val="00687ACF"/>
    <w:rsid w:val="00687CAD"/>
    <w:rsid w:val="00687D13"/>
    <w:rsid w:val="00687E24"/>
    <w:rsid w:val="00690024"/>
    <w:rsid w:val="0069028D"/>
    <w:rsid w:val="00690521"/>
    <w:rsid w:val="006908E5"/>
    <w:rsid w:val="00690A4E"/>
    <w:rsid w:val="00690A5C"/>
    <w:rsid w:val="00690AB0"/>
    <w:rsid w:val="00690D94"/>
    <w:rsid w:val="00690DAD"/>
    <w:rsid w:val="00690DC8"/>
    <w:rsid w:val="00690EE6"/>
    <w:rsid w:val="00691019"/>
    <w:rsid w:val="00691022"/>
    <w:rsid w:val="00691201"/>
    <w:rsid w:val="0069134B"/>
    <w:rsid w:val="0069139F"/>
    <w:rsid w:val="0069140C"/>
    <w:rsid w:val="006914F0"/>
    <w:rsid w:val="00691573"/>
    <w:rsid w:val="00691615"/>
    <w:rsid w:val="00691977"/>
    <w:rsid w:val="006919BF"/>
    <w:rsid w:val="00691B82"/>
    <w:rsid w:val="00691DA0"/>
    <w:rsid w:val="00691DBC"/>
    <w:rsid w:val="00691DC7"/>
    <w:rsid w:val="00691E2E"/>
    <w:rsid w:val="00691E65"/>
    <w:rsid w:val="00691FE0"/>
    <w:rsid w:val="006920BE"/>
    <w:rsid w:val="006921C4"/>
    <w:rsid w:val="006921F7"/>
    <w:rsid w:val="00692543"/>
    <w:rsid w:val="00692569"/>
    <w:rsid w:val="0069284B"/>
    <w:rsid w:val="00692A56"/>
    <w:rsid w:val="00692BC3"/>
    <w:rsid w:val="00692BEC"/>
    <w:rsid w:val="00692C2D"/>
    <w:rsid w:val="00692D4A"/>
    <w:rsid w:val="00692D4B"/>
    <w:rsid w:val="00692E82"/>
    <w:rsid w:val="0069317B"/>
    <w:rsid w:val="00693196"/>
    <w:rsid w:val="006932FB"/>
    <w:rsid w:val="0069334F"/>
    <w:rsid w:val="006934D9"/>
    <w:rsid w:val="00693571"/>
    <w:rsid w:val="00693755"/>
    <w:rsid w:val="006937CF"/>
    <w:rsid w:val="00693BDC"/>
    <w:rsid w:val="00693C6E"/>
    <w:rsid w:val="00693F6F"/>
    <w:rsid w:val="00693FCC"/>
    <w:rsid w:val="0069411F"/>
    <w:rsid w:val="00694268"/>
    <w:rsid w:val="00694331"/>
    <w:rsid w:val="0069455B"/>
    <w:rsid w:val="00694729"/>
    <w:rsid w:val="00694758"/>
    <w:rsid w:val="006948F3"/>
    <w:rsid w:val="00694A21"/>
    <w:rsid w:val="00694D9B"/>
    <w:rsid w:val="00694F4F"/>
    <w:rsid w:val="00694FC6"/>
    <w:rsid w:val="0069503F"/>
    <w:rsid w:val="006952CF"/>
    <w:rsid w:val="0069538A"/>
    <w:rsid w:val="00695628"/>
    <w:rsid w:val="00695A19"/>
    <w:rsid w:val="00695B27"/>
    <w:rsid w:val="00695BFC"/>
    <w:rsid w:val="00695CD6"/>
    <w:rsid w:val="00695D76"/>
    <w:rsid w:val="00695E65"/>
    <w:rsid w:val="006961F6"/>
    <w:rsid w:val="0069648E"/>
    <w:rsid w:val="00696522"/>
    <w:rsid w:val="00696658"/>
    <w:rsid w:val="006966C9"/>
    <w:rsid w:val="00696E42"/>
    <w:rsid w:val="00696EA1"/>
    <w:rsid w:val="00696F22"/>
    <w:rsid w:val="00696F84"/>
    <w:rsid w:val="006976CE"/>
    <w:rsid w:val="006977A2"/>
    <w:rsid w:val="006977B4"/>
    <w:rsid w:val="0069784D"/>
    <w:rsid w:val="006979FE"/>
    <w:rsid w:val="00697AE7"/>
    <w:rsid w:val="00697C49"/>
    <w:rsid w:val="00697DE9"/>
    <w:rsid w:val="00697E02"/>
    <w:rsid w:val="00697EEA"/>
    <w:rsid w:val="00697F70"/>
    <w:rsid w:val="006A0023"/>
    <w:rsid w:val="006A0047"/>
    <w:rsid w:val="006A0468"/>
    <w:rsid w:val="006A04CA"/>
    <w:rsid w:val="006A04EA"/>
    <w:rsid w:val="006A0563"/>
    <w:rsid w:val="006A060F"/>
    <w:rsid w:val="006A0888"/>
    <w:rsid w:val="006A08DB"/>
    <w:rsid w:val="006A0C00"/>
    <w:rsid w:val="006A0D29"/>
    <w:rsid w:val="006A0D9D"/>
    <w:rsid w:val="006A0F88"/>
    <w:rsid w:val="006A1085"/>
    <w:rsid w:val="006A10E9"/>
    <w:rsid w:val="006A1157"/>
    <w:rsid w:val="006A1194"/>
    <w:rsid w:val="006A1201"/>
    <w:rsid w:val="006A1529"/>
    <w:rsid w:val="006A17AA"/>
    <w:rsid w:val="006A186B"/>
    <w:rsid w:val="006A1882"/>
    <w:rsid w:val="006A188F"/>
    <w:rsid w:val="006A1A1D"/>
    <w:rsid w:val="006A1A28"/>
    <w:rsid w:val="006A1C69"/>
    <w:rsid w:val="006A1DC5"/>
    <w:rsid w:val="006A2286"/>
    <w:rsid w:val="006A2597"/>
    <w:rsid w:val="006A25DD"/>
    <w:rsid w:val="006A26EB"/>
    <w:rsid w:val="006A283C"/>
    <w:rsid w:val="006A2B8B"/>
    <w:rsid w:val="006A2DB9"/>
    <w:rsid w:val="006A2DCF"/>
    <w:rsid w:val="006A2F1B"/>
    <w:rsid w:val="006A3149"/>
    <w:rsid w:val="006A3166"/>
    <w:rsid w:val="006A3339"/>
    <w:rsid w:val="006A3383"/>
    <w:rsid w:val="006A3479"/>
    <w:rsid w:val="006A3668"/>
    <w:rsid w:val="006A36FA"/>
    <w:rsid w:val="006A394A"/>
    <w:rsid w:val="006A39AF"/>
    <w:rsid w:val="006A3A7A"/>
    <w:rsid w:val="006A3B3B"/>
    <w:rsid w:val="006A3B4A"/>
    <w:rsid w:val="006A3B7A"/>
    <w:rsid w:val="006A3C12"/>
    <w:rsid w:val="006A3D9D"/>
    <w:rsid w:val="006A3ED4"/>
    <w:rsid w:val="006A3EDA"/>
    <w:rsid w:val="006A3FA3"/>
    <w:rsid w:val="006A417B"/>
    <w:rsid w:val="006A47C5"/>
    <w:rsid w:val="006A4864"/>
    <w:rsid w:val="006A49CD"/>
    <w:rsid w:val="006A4A8E"/>
    <w:rsid w:val="006A4BA0"/>
    <w:rsid w:val="006A4C58"/>
    <w:rsid w:val="006A4C86"/>
    <w:rsid w:val="006A4D3C"/>
    <w:rsid w:val="006A4D5E"/>
    <w:rsid w:val="006A4DBE"/>
    <w:rsid w:val="006A4DE2"/>
    <w:rsid w:val="006A4E6F"/>
    <w:rsid w:val="006A4EAB"/>
    <w:rsid w:val="006A4EE1"/>
    <w:rsid w:val="006A4F71"/>
    <w:rsid w:val="006A501E"/>
    <w:rsid w:val="006A506B"/>
    <w:rsid w:val="006A5123"/>
    <w:rsid w:val="006A51DF"/>
    <w:rsid w:val="006A526B"/>
    <w:rsid w:val="006A5304"/>
    <w:rsid w:val="006A533C"/>
    <w:rsid w:val="006A55D2"/>
    <w:rsid w:val="006A565E"/>
    <w:rsid w:val="006A56E9"/>
    <w:rsid w:val="006A57E8"/>
    <w:rsid w:val="006A5878"/>
    <w:rsid w:val="006A5990"/>
    <w:rsid w:val="006A59F9"/>
    <w:rsid w:val="006A5A07"/>
    <w:rsid w:val="006A5B09"/>
    <w:rsid w:val="006A5E5F"/>
    <w:rsid w:val="006A5EC4"/>
    <w:rsid w:val="006A5F5D"/>
    <w:rsid w:val="006A644B"/>
    <w:rsid w:val="006A6491"/>
    <w:rsid w:val="006A652E"/>
    <w:rsid w:val="006A678D"/>
    <w:rsid w:val="006A68A4"/>
    <w:rsid w:val="006A69F2"/>
    <w:rsid w:val="006A6D3C"/>
    <w:rsid w:val="006A6E1C"/>
    <w:rsid w:val="006A6EF4"/>
    <w:rsid w:val="006A71C1"/>
    <w:rsid w:val="006A7330"/>
    <w:rsid w:val="006A7377"/>
    <w:rsid w:val="006A73E7"/>
    <w:rsid w:val="006A7460"/>
    <w:rsid w:val="006A7536"/>
    <w:rsid w:val="006A76BA"/>
    <w:rsid w:val="006A785A"/>
    <w:rsid w:val="006A78A4"/>
    <w:rsid w:val="006A7D75"/>
    <w:rsid w:val="006A7EC1"/>
    <w:rsid w:val="006A7F02"/>
    <w:rsid w:val="006A7F29"/>
    <w:rsid w:val="006B0266"/>
    <w:rsid w:val="006B0584"/>
    <w:rsid w:val="006B0616"/>
    <w:rsid w:val="006B06CF"/>
    <w:rsid w:val="006B0996"/>
    <w:rsid w:val="006B0A99"/>
    <w:rsid w:val="006B0BF1"/>
    <w:rsid w:val="006B0DDE"/>
    <w:rsid w:val="006B0E0C"/>
    <w:rsid w:val="006B108F"/>
    <w:rsid w:val="006B1353"/>
    <w:rsid w:val="006B13FB"/>
    <w:rsid w:val="006B1419"/>
    <w:rsid w:val="006B1489"/>
    <w:rsid w:val="006B17EC"/>
    <w:rsid w:val="006B1856"/>
    <w:rsid w:val="006B1967"/>
    <w:rsid w:val="006B1B2C"/>
    <w:rsid w:val="006B1D79"/>
    <w:rsid w:val="006B1DA0"/>
    <w:rsid w:val="006B1E80"/>
    <w:rsid w:val="006B1ED1"/>
    <w:rsid w:val="006B1EF3"/>
    <w:rsid w:val="006B1F48"/>
    <w:rsid w:val="006B236D"/>
    <w:rsid w:val="006B23B6"/>
    <w:rsid w:val="006B241B"/>
    <w:rsid w:val="006B264A"/>
    <w:rsid w:val="006B2651"/>
    <w:rsid w:val="006B271E"/>
    <w:rsid w:val="006B2D67"/>
    <w:rsid w:val="006B2DF0"/>
    <w:rsid w:val="006B2E2A"/>
    <w:rsid w:val="006B2E2B"/>
    <w:rsid w:val="006B2E68"/>
    <w:rsid w:val="006B3046"/>
    <w:rsid w:val="006B30D3"/>
    <w:rsid w:val="006B315E"/>
    <w:rsid w:val="006B3250"/>
    <w:rsid w:val="006B32FD"/>
    <w:rsid w:val="006B34AD"/>
    <w:rsid w:val="006B34C9"/>
    <w:rsid w:val="006B356A"/>
    <w:rsid w:val="006B3617"/>
    <w:rsid w:val="006B37D6"/>
    <w:rsid w:val="006B39C6"/>
    <w:rsid w:val="006B3A4F"/>
    <w:rsid w:val="006B3AB8"/>
    <w:rsid w:val="006B3C77"/>
    <w:rsid w:val="006B3E00"/>
    <w:rsid w:val="006B4133"/>
    <w:rsid w:val="006B4566"/>
    <w:rsid w:val="006B4575"/>
    <w:rsid w:val="006B4577"/>
    <w:rsid w:val="006B4588"/>
    <w:rsid w:val="006B45E7"/>
    <w:rsid w:val="006B4639"/>
    <w:rsid w:val="006B478B"/>
    <w:rsid w:val="006B48A4"/>
    <w:rsid w:val="006B4B5E"/>
    <w:rsid w:val="006B4CC4"/>
    <w:rsid w:val="006B4DB6"/>
    <w:rsid w:val="006B4EA3"/>
    <w:rsid w:val="006B4ED1"/>
    <w:rsid w:val="006B4F36"/>
    <w:rsid w:val="006B5067"/>
    <w:rsid w:val="006B507C"/>
    <w:rsid w:val="006B518D"/>
    <w:rsid w:val="006B52E5"/>
    <w:rsid w:val="006B53D0"/>
    <w:rsid w:val="006B5526"/>
    <w:rsid w:val="006B5645"/>
    <w:rsid w:val="006B59B5"/>
    <w:rsid w:val="006B5A54"/>
    <w:rsid w:val="006B5DFE"/>
    <w:rsid w:val="006B5E25"/>
    <w:rsid w:val="006B5EA8"/>
    <w:rsid w:val="006B5FB0"/>
    <w:rsid w:val="006B5FE7"/>
    <w:rsid w:val="006B6099"/>
    <w:rsid w:val="006B61B2"/>
    <w:rsid w:val="006B6299"/>
    <w:rsid w:val="006B633A"/>
    <w:rsid w:val="006B645F"/>
    <w:rsid w:val="006B64CC"/>
    <w:rsid w:val="006B66FC"/>
    <w:rsid w:val="006B67B7"/>
    <w:rsid w:val="006B6A2B"/>
    <w:rsid w:val="006B6A5C"/>
    <w:rsid w:val="006B6B8B"/>
    <w:rsid w:val="006B6BEB"/>
    <w:rsid w:val="006B6C21"/>
    <w:rsid w:val="006B6C28"/>
    <w:rsid w:val="006B6F34"/>
    <w:rsid w:val="006B7693"/>
    <w:rsid w:val="006B76E6"/>
    <w:rsid w:val="006B78F3"/>
    <w:rsid w:val="006B7A1D"/>
    <w:rsid w:val="006B7A76"/>
    <w:rsid w:val="006B7C85"/>
    <w:rsid w:val="006B7DB3"/>
    <w:rsid w:val="006B7EBF"/>
    <w:rsid w:val="006C00D1"/>
    <w:rsid w:val="006C0470"/>
    <w:rsid w:val="006C0752"/>
    <w:rsid w:val="006C076E"/>
    <w:rsid w:val="006C09CB"/>
    <w:rsid w:val="006C0A76"/>
    <w:rsid w:val="006C0A86"/>
    <w:rsid w:val="006C0AA9"/>
    <w:rsid w:val="006C0BB0"/>
    <w:rsid w:val="006C0BC2"/>
    <w:rsid w:val="006C0D20"/>
    <w:rsid w:val="006C0D47"/>
    <w:rsid w:val="006C0E0D"/>
    <w:rsid w:val="006C0E2E"/>
    <w:rsid w:val="006C101D"/>
    <w:rsid w:val="006C16A4"/>
    <w:rsid w:val="006C1AC8"/>
    <w:rsid w:val="006C1E74"/>
    <w:rsid w:val="006C1EC0"/>
    <w:rsid w:val="006C1F10"/>
    <w:rsid w:val="006C21D6"/>
    <w:rsid w:val="006C2299"/>
    <w:rsid w:val="006C24D0"/>
    <w:rsid w:val="006C26CF"/>
    <w:rsid w:val="006C27E6"/>
    <w:rsid w:val="006C2A0B"/>
    <w:rsid w:val="006C2F26"/>
    <w:rsid w:val="006C305C"/>
    <w:rsid w:val="006C3189"/>
    <w:rsid w:val="006C3408"/>
    <w:rsid w:val="006C3539"/>
    <w:rsid w:val="006C35DE"/>
    <w:rsid w:val="006C3825"/>
    <w:rsid w:val="006C3840"/>
    <w:rsid w:val="006C399D"/>
    <w:rsid w:val="006C3D9D"/>
    <w:rsid w:val="006C3FA5"/>
    <w:rsid w:val="006C427E"/>
    <w:rsid w:val="006C456C"/>
    <w:rsid w:val="006C461A"/>
    <w:rsid w:val="006C4674"/>
    <w:rsid w:val="006C4849"/>
    <w:rsid w:val="006C497A"/>
    <w:rsid w:val="006C4A03"/>
    <w:rsid w:val="006C4B9E"/>
    <w:rsid w:val="006C4C60"/>
    <w:rsid w:val="006C4D3D"/>
    <w:rsid w:val="006C4DC8"/>
    <w:rsid w:val="006C5043"/>
    <w:rsid w:val="006C5044"/>
    <w:rsid w:val="006C5076"/>
    <w:rsid w:val="006C512D"/>
    <w:rsid w:val="006C52BA"/>
    <w:rsid w:val="006C546A"/>
    <w:rsid w:val="006C5A6C"/>
    <w:rsid w:val="006C5A81"/>
    <w:rsid w:val="006C5B5B"/>
    <w:rsid w:val="006C6436"/>
    <w:rsid w:val="006C65A2"/>
    <w:rsid w:val="006C6610"/>
    <w:rsid w:val="006C69A1"/>
    <w:rsid w:val="006C69FB"/>
    <w:rsid w:val="006C6E81"/>
    <w:rsid w:val="006C6F9B"/>
    <w:rsid w:val="006C7019"/>
    <w:rsid w:val="006C70CC"/>
    <w:rsid w:val="006C7130"/>
    <w:rsid w:val="006C7220"/>
    <w:rsid w:val="006C728D"/>
    <w:rsid w:val="006C737B"/>
    <w:rsid w:val="006C7430"/>
    <w:rsid w:val="006C7605"/>
    <w:rsid w:val="006C76D5"/>
    <w:rsid w:val="006C77DD"/>
    <w:rsid w:val="006C7991"/>
    <w:rsid w:val="006C7DA2"/>
    <w:rsid w:val="006D019B"/>
    <w:rsid w:val="006D02EB"/>
    <w:rsid w:val="006D0465"/>
    <w:rsid w:val="006D066E"/>
    <w:rsid w:val="006D0A15"/>
    <w:rsid w:val="006D0BBE"/>
    <w:rsid w:val="006D12CF"/>
    <w:rsid w:val="006D1496"/>
    <w:rsid w:val="006D1721"/>
    <w:rsid w:val="006D18E1"/>
    <w:rsid w:val="006D1B02"/>
    <w:rsid w:val="006D1C95"/>
    <w:rsid w:val="006D1DDD"/>
    <w:rsid w:val="006D1FA4"/>
    <w:rsid w:val="006D247D"/>
    <w:rsid w:val="006D2492"/>
    <w:rsid w:val="006D27C6"/>
    <w:rsid w:val="006D2AA4"/>
    <w:rsid w:val="006D2AEB"/>
    <w:rsid w:val="006D2C0A"/>
    <w:rsid w:val="006D2C6C"/>
    <w:rsid w:val="006D2D27"/>
    <w:rsid w:val="006D3009"/>
    <w:rsid w:val="006D30B9"/>
    <w:rsid w:val="006D3347"/>
    <w:rsid w:val="006D3392"/>
    <w:rsid w:val="006D3546"/>
    <w:rsid w:val="006D36DF"/>
    <w:rsid w:val="006D3B0C"/>
    <w:rsid w:val="006D3B43"/>
    <w:rsid w:val="006D3B49"/>
    <w:rsid w:val="006D3DBA"/>
    <w:rsid w:val="006D3E3F"/>
    <w:rsid w:val="006D3F31"/>
    <w:rsid w:val="006D3F32"/>
    <w:rsid w:val="006D3FBF"/>
    <w:rsid w:val="006D3FC1"/>
    <w:rsid w:val="006D4246"/>
    <w:rsid w:val="006D45D9"/>
    <w:rsid w:val="006D47BE"/>
    <w:rsid w:val="006D482C"/>
    <w:rsid w:val="006D488B"/>
    <w:rsid w:val="006D4903"/>
    <w:rsid w:val="006D4B04"/>
    <w:rsid w:val="006D4D65"/>
    <w:rsid w:val="006D4FD9"/>
    <w:rsid w:val="006D51A8"/>
    <w:rsid w:val="006D53F1"/>
    <w:rsid w:val="006D5411"/>
    <w:rsid w:val="006D54E7"/>
    <w:rsid w:val="006D56BE"/>
    <w:rsid w:val="006D5926"/>
    <w:rsid w:val="006D5C63"/>
    <w:rsid w:val="006D5D40"/>
    <w:rsid w:val="006D5D44"/>
    <w:rsid w:val="006D60FE"/>
    <w:rsid w:val="006D62B6"/>
    <w:rsid w:val="006D6621"/>
    <w:rsid w:val="006D666F"/>
    <w:rsid w:val="006D688A"/>
    <w:rsid w:val="006D6D25"/>
    <w:rsid w:val="006D6D7F"/>
    <w:rsid w:val="006D6F5D"/>
    <w:rsid w:val="006D706B"/>
    <w:rsid w:val="006D723D"/>
    <w:rsid w:val="006D7355"/>
    <w:rsid w:val="006D7406"/>
    <w:rsid w:val="006D7648"/>
    <w:rsid w:val="006D7934"/>
    <w:rsid w:val="006D79B7"/>
    <w:rsid w:val="006D7ECC"/>
    <w:rsid w:val="006D7FA6"/>
    <w:rsid w:val="006E0370"/>
    <w:rsid w:val="006E03B9"/>
    <w:rsid w:val="006E0445"/>
    <w:rsid w:val="006E06C7"/>
    <w:rsid w:val="006E06ED"/>
    <w:rsid w:val="006E0B0B"/>
    <w:rsid w:val="006E0CCD"/>
    <w:rsid w:val="006E0D74"/>
    <w:rsid w:val="006E0FBE"/>
    <w:rsid w:val="006E11A8"/>
    <w:rsid w:val="006E1378"/>
    <w:rsid w:val="006E1468"/>
    <w:rsid w:val="006E152F"/>
    <w:rsid w:val="006E15D8"/>
    <w:rsid w:val="006E16B4"/>
    <w:rsid w:val="006E171B"/>
    <w:rsid w:val="006E173D"/>
    <w:rsid w:val="006E17C1"/>
    <w:rsid w:val="006E198D"/>
    <w:rsid w:val="006E19E2"/>
    <w:rsid w:val="006E1A42"/>
    <w:rsid w:val="006E1A54"/>
    <w:rsid w:val="006E1BC3"/>
    <w:rsid w:val="006E200B"/>
    <w:rsid w:val="006E23B9"/>
    <w:rsid w:val="006E26B5"/>
    <w:rsid w:val="006E271A"/>
    <w:rsid w:val="006E2759"/>
    <w:rsid w:val="006E2AA8"/>
    <w:rsid w:val="006E2AC9"/>
    <w:rsid w:val="006E2DE6"/>
    <w:rsid w:val="006E2E45"/>
    <w:rsid w:val="006E2E5C"/>
    <w:rsid w:val="006E2FD4"/>
    <w:rsid w:val="006E309D"/>
    <w:rsid w:val="006E30DA"/>
    <w:rsid w:val="006E30FA"/>
    <w:rsid w:val="006E31F5"/>
    <w:rsid w:val="006E322B"/>
    <w:rsid w:val="006E33AF"/>
    <w:rsid w:val="006E33D5"/>
    <w:rsid w:val="006E343A"/>
    <w:rsid w:val="006E34C4"/>
    <w:rsid w:val="006E3AE5"/>
    <w:rsid w:val="006E3B44"/>
    <w:rsid w:val="006E3D1D"/>
    <w:rsid w:val="006E3D2A"/>
    <w:rsid w:val="006E3D98"/>
    <w:rsid w:val="006E3FCE"/>
    <w:rsid w:val="006E3FEF"/>
    <w:rsid w:val="006E401F"/>
    <w:rsid w:val="006E435E"/>
    <w:rsid w:val="006E43DA"/>
    <w:rsid w:val="006E4583"/>
    <w:rsid w:val="006E46A5"/>
    <w:rsid w:val="006E4B54"/>
    <w:rsid w:val="006E4BA7"/>
    <w:rsid w:val="006E5E28"/>
    <w:rsid w:val="006E5E52"/>
    <w:rsid w:val="006E5EBC"/>
    <w:rsid w:val="006E5F10"/>
    <w:rsid w:val="006E611D"/>
    <w:rsid w:val="006E62CB"/>
    <w:rsid w:val="006E62D2"/>
    <w:rsid w:val="006E63E3"/>
    <w:rsid w:val="006E6574"/>
    <w:rsid w:val="006E6652"/>
    <w:rsid w:val="006E6743"/>
    <w:rsid w:val="006E68C6"/>
    <w:rsid w:val="006E6904"/>
    <w:rsid w:val="006E6C64"/>
    <w:rsid w:val="006E6CF7"/>
    <w:rsid w:val="006E71BF"/>
    <w:rsid w:val="006E7236"/>
    <w:rsid w:val="006E74BB"/>
    <w:rsid w:val="006E77CD"/>
    <w:rsid w:val="006E7957"/>
    <w:rsid w:val="006E7AD6"/>
    <w:rsid w:val="006F0017"/>
    <w:rsid w:val="006F00C2"/>
    <w:rsid w:val="006F0364"/>
    <w:rsid w:val="006F040E"/>
    <w:rsid w:val="006F065F"/>
    <w:rsid w:val="006F0773"/>
    <w:rsid w:val="006F098C"/>
    <w:rsid w:val="006F0BFB"/>
    <w:rsid w:val="006F0D12"/>
    <w:rsid w:val="006F0F33"/>
    <w:rsid w:val="006F12D3"/>
    <w:rsid w:val="006F1334"/>
    <w:rsid w:val="006F134E"/>
    <w:rsid w:val="006F13D4"/>
    <w:rsid w:val="006F1531"/>
    <w:rsid w:val="006F158D"/>
    <w:rsid w:val="006F1612"/>
    <w:rsid w:val="006F17E7"/>
    <w:rsid w:val="006F183E"/>
    <w:rsid w:val="006F1ADD"/>
    <w:rsid w:val="006F1C9B"/>
    <w:rsid w:val="006F1EB0"/>
    <w:rsid w:val="006F1F29"/>
    <w:rsid w:val="006F1F9E"/>
    <w:rsid w:val="006F203A"/>
    <w:rsid w:val="006F2088"/>
    <w:rsid w:val="006F2119"/>
    <w:rsid w:val="006F230D"/>
    <w:rsid w:val="006F2365"/>
    <w:rsid w:val="006F2485"/>
    <w:rsid w:val="006F24C2"/>
    <w:rsid w:val="006F274A"/>
    <w:rsid w:val="006F276A"/>
    <w:rsid w:val="006F2A47"/>
    <w:rsid w:val="006F2D92"/>
    <w:rsid w:val="006F3150"/>
    <w:rsid w:val="006F31FD"/>
    <w:rsid w:val="006F351F"/>
    <w:rsid w:val="006F352D"/>
    <w:rsid w:val="006F37A1"/>
    <w:rsid w:val="006F38AD"/>
    <w:rsid w:val="006F3B98"/>
    <w:rsid w:val="006F3BAF"/>
    <w:rsid w:val="006F3BDE"/>
    <w:rsid w:val="006F3DD4"/>
    <w:rsid w:val="006F3E43"/>
    <w:rsid w:val="006F40DC"/>
    <w:rsid w:val="006F425E"/>
    <w:rsid w:val="006F4350"/>
    <w:rsid w:val="006F43D4"/>
    <w:rsid w:val="006F4960"/>
    <w:rsid w:val="006F49D2"/>
    <w:rsid w:val="006F4A9A"/>
    <w:rsid w:val="006F4B99"/>
    <w:rsid w:val="006F4DE4"/>
    <w:rsid w:val="006F4EB2"/>
    <w:rsid w:val="006F4F49"/>
    <w:rsid w:val="006F5001"/>
    <w:rsid w:val="006F56A2"/>
    <w:rsid w:val="006F586F"/>
    <w:rsid w:val="006F5FA4"/>
    <w:rsid w:val="006F60EF"/>
    <w:rsid w:val="006F6128"/>
    <w:rsid w:val="006F614A"/>
    <w:rsid w:val="006F62E6"/>
    <w:rsid w:val="006F6A2C"/>
    <w:rsid w:val="006F6BF5"/>
    <w:rsid w:val="006F6D06"/>
    <w:rsid w:val="006F70D0"/>
    <w:rsid w:val="006F70FA"/>
    <w:rsid w:val="006F7274"/>
    <w:rsid w:val="006F72EA"/>
    <w:rsid w:val="006F730F"/>
    <w:rsid w:val="006F7423"/>
    <w:rsid w:val="006F7707"/>
    <w:rsid w:val="006F780C"/>
    <w:rsid w:val="006F7838"/>
    <w:rsid w:val="006F7B2C"/>
    <w:rsid w:val="006F7ED3"/>
    <w:rsid w:val="006F7F23"/>
    <w:rsid w:val="00700053"/>
    <w:rsid w:val="0070016D"/>
    <w:rsid w:val="0070019F"/>
    <w:rsid w:val="007001B9"/>
    <w:rsid w:val="00700588"/>
    <w:rsid w:val="007005BF"/>
    <w:rsid w:val="00700753"/>
    <w:rsid w:val="0070077D"/>
    <w:rsid w:val="00700789"/>
    <w:rsid w:val="007007A8"/>
    <w:rsid w:val="00700832"/>
    <w:rsid w:val="00700CAC"/>
    <w:rsid w:val="00700EA8"/>
    <w:rsid w:val="00700F93"/>
    <w:rsid w:val="00701004"/>
    <w:rsid w:val="00701077"/>
    <w:rsid w:val="0070113C"/>
    <w:rsid w:val="007012A4"/>
    <w:rsid w:val="007015B2"/>
    <w:rsid w:val="00701642"/>
    <w:rsid w:val="00701729"/>
    <w:rsid w:val="00701754"/>
    <w:rsid w:val="00701E44"/>
    <w:rsid w:val="00701E9F"/>
    <w:rsid w:val="00701FA2"/>
    <w:rsid w:val="0070202F"/>
    <w:rsid w:val="0070205B"/>
    <w:rsid w:val="00702541"/>
    <w:rsid w:val="00702594"/>
    <w:rsid w:val="00702839"/>
    <w:rsid w:val="00702917"/>
    <w:rsid w:val="007029DC"/>
    <w:rsid w:val="00702BCA"/>
    <w:rsid w:val="00702EF1"/>
    <w:rsid w:val="00702F6F"/>
    <w:rsid w:val="00703050"/>
    <w:rsid w:val="00703153"/>
    <w:rsid w:val="00703386"/>
    <w:rsid w:val="00703755"/>
    <w:rsid w:val="0070392B"/>
    <w:rsid w:val="00703AB5"/>
    <w:rsid w:val="00703B0E"/>
    <w:rsid w:val="00703B18"/>
    <w:rsid w:val="00703B2A"/>
    <w:rsid w:val="00703B5B"/>
    <w:rsid w:val="00703CB8"/>
    <w:rsid w:val="00703ED6"/>
    <w:rsid w:val="00704054"/>
    <w:rsid w:val="00704624"/>
    <w:rsid w:val="007046AC"/>
    <w:rsid w:val="007049E2"/>
    <w:rsid w:val="00704DD1"/>
    <w:rsid w:val="00704DDC"/>
    <w:rsid w:val="00704F54"/>
    <w:rsid w:val="00704FD4"/>
    <w:rsid w:val="0070505A"/>
    <w:rsid w:val="0070530F"/>
    <w:rsid w:val="00705428"/>
    <w:rsid w:val="0070562E"/>
    <w:rsid w:val="0070585B"/>
    <w:rsid w:val="007058C8"/>
    <w:rsid w:val="00705A73"/>
    <w:rsid w:val="00705F8B"/>
    <w:rsid w:val="0070635E"/>
    <w:rsid w:val="007064D4"/>
    <w:rsid w:val="0070671A"/>
    <w:rsid w:val="0070699C"/>
    <w:rsid w:val="00706A6F"/>
    <w:rsid w:val="00706A8B"/>
    <w:rsid w:val="00706B46"/>
    <w:rsid w:val="00706B74"/>
    <w:rsid w:val="00706D80"/>
    <w:rsid w:val="00706E81"/>
    <w:rsid w:val="00706F83"/>
    <w:rsid w:val="00706FA7"/>
    <w:rsid w:val="0070728B"/>
    <w:rsid w:val="007073A9"/>
    <w:rsid w:val="0070749E"/>
    <w:rsid w:val="007074C2"/>
    <w:rsid w:val="00707603"/>
    <w:rsid w:val="00707794"/>
    <w:rsid w:val="00707B11"/>
    <w:rsid w:val="00707D9E"/>
    <w:rsid w:val="00707DD2"/>
    <w:rsid w:val="00710091"/>
    <w:rsid w:val="0071064B"/>
    <w:rsid w:val="00710696"/>
    <w:rsid w:val="00710759"/>
    <w:rsid w:val="007107C0"/>
    <w:rsid w:val="00710A0B"/>
    <w:rsid w:val="00710A16"/>
    <w:rsid w:val="00710BEF"/>
    <w:rsid w:val="00710E23"/>
    <w:rsid w:val="00710E55"/>
    <w:rsid w:val="00710F2F"/>
    <w:rsid w:val="00711039"/>
    <w:rsid w:val="00711131"/>
    <w:rsid w:val="007111CF"/>
    <w:rsid w:val="007111EF"/>
    <w:rsid w:val="00711223"/>
    <w:rsid w:val="00711265"/>
    <w:rsid w:val="0071164B"/>
    <w:rsid w:val="007116B4"/>
    <w:rsid w:val="007116BF"/>
    <w:rsid w:val="00711963"/>
    <w:rsid w:val="00711A39"/>
    <w:rsid w:val="00711BBF"/>
    <w:rsid w:val="00711BE6"/>
    <w:rsid w:val="00711C7B"/>
    <w:rsid w:val="00711CA0"/>
    <w:rsid w:val="00711D5D"/>
    <w:rsid w:val="00711F4B"/>
    <w:rsid w:val="00711FB7"/>
    <w:rsid w:val="00712204"/>
    <w:rsid w:val="00712221"/>
    <w:rsid w:val="00712309"/>
    <w:rsid w:val="0071244B"/>
    <w:rsid w:val="007125CC"/>
    <w:rsid w:val="007126B8"/>
    <w:rsid w:val="007127B4"/>
    <w:rsid w:val="007127F8"/>
    <w:rsid w:val="00712874"/>
    <w:rsid w:val="007128C3"/>
    <w:rsid w:val="00712AF7"/>
    <w:rsid w:val="00712CDC"/>
    <w:rsid w:val="00713152"/>
    <w:rsid w:val="007132FD"/>
    <w:rsid w:val="007138B2"/>
    <w:rsid w:val="00713952"/>
    <w:rsid w:val="00713A61"/>
    <w:rsid w:val="00713D63"/>
    <w:rsid w:val="00713D65"/>
    <w:rsid w:val="00713D7A"/>
    <w:rsid w:val="00713E58"/>
    <w:rsid w:val="00713FBA"/>
    <w:rsid w:val="007141CD"/>
    <w:rsid w:val="007141F5"/>
    <w:rsid w:val="007142A5"/>
    <w:rsid w:val="00714C29"/>
    <w:rsid w:val="00714CF2"/>
    <w:rsid w:val="00714E2B"/>
    <w:rsid w:val="007150BD"/>
    <w:rsid w:val="007151FD"/>
    <w:rsid w:val="007152E5"/>
    <w:rsid w:val="007156B9"/>
    <w:rsid w:val="00715805"/>
    <w:rsid w:val="00715886"/>
    <w:rsid w:val="00715B33"/>
    <w:rsid w:val="00715BBE"/>
    <w:rsid w:val="00715CBB"/>
    <w:rsid w:val="00715DD1"/>
    <w:rsid w:val="00715E49"/>
    <w:rsid w:val="00716658"/>
    <w:rsid w:val="00716AEA"/>
    <w:rsid w:val="00716BD2"/>
    <w:rsid w:val="00717037"/>
    <w:rsid w:val="0071706A"/>
    <w:rsid w:val="0071727C"/>
    <w:rsid w:val="007173D9"/>
    <w:rsid w:val="00717506"/>
    <w:rsid w:val="00717998"/>
    <w:rsid w:val="007179F0"/>
    <w:rsid w:val="00717BA5"/>
    <w:rsid w:val="00717DD8"/>
    <w:rsid w:val="00717EB4"/>
    <w:rsid w:val="00717F5E"/>
    <w:rsid w:val="0072019E"/>
    <w:rsid w:val="00720226"/>
    <w:rsid w:val="00720286"/>
    <w:rsid w:val="007205B5"/>
    <w:rsid w:val="00720621"/>
    <w:rsid w:val="00720726"/>
    <w:rsid w:val="00720817"/>
    <w:rsid w:val="00720877"/>
    <w:rsid w:val="00720932"/>
    <w:rsid w:val="007209F9"/>
    <w:rsid w:val="007209FF"/>
    <w:rsid w:val="00720CE4"/>
    <w:rsid w:val="00720D5E"/>
    <w:rsid w:val="00720E34"/>
    <w:rsid w:val="00720F80"/>
    <w:rsid w:val="00721245"/>
    <w:rsid w:val="00721268"/>
    <w:rsid w:val="007212B5"/>
    <w:rsid w:val="00721306"/>
    <w:rsid w:val="00721319"/>
    <w:rsid w:val="00721489"/>
    <w:rsid w:val="007214DB"/>
    <w:rsid w:val="0072177A"/>
    <w:rsid w:val="00721887"/>
    <w:rsid w:val="007219A7"/>
    <w:rsid w:val="00721A0E"/>
    <w:rsid w:val="00721AAC"/>
    <w:rsid w:val="00721B33"/>
    <w:rsid w:val="00721B47"/>
    <w:rsid w:val="00721B61"/>
    <w:rsid w:val="00721B82"/>
    <w:rsid w:val="00721E2F"/>
    <w:rsid w:val="007222CC"/>
    <w:rsid w:val="00722439"/>
    <w:rsid w:val="0072246E"/>
    <w:rsid w:val="007226F0"/>
    <w:rsid w:val="00722850"/>
    <w:rsid w:val="007228DD"/>
    <w:rsid w:val="007229FC"/>
    <w:rsid w:val="00722C59"/>
    <w:rsid w:val="00722D81"/>
    <w:rsid w:val="00722EF3"/>
    <w:rsid w:val="0072302D"/>
    <w:rsid w:val="007231CD"/>
    <w:rsid w:val="00723254"/>
    <w:rsid w:val="007232A6"/>
    <w:rsid w:val="00723328"/>
    <w:rsid w:val="007233E6"/>
    <w:rsid w:val="0072349B"/>
    <w:rsid w:val="007235D1"/>
    <w:rsid w:val="00723828"/>
    <w:rsid w:val="007238A0"/>
    <w:rsid w:val="00723A42"/>
    <w:rsid w:val="00723B02"/>
    <w:rsid w:val="00723B3B"/>
    <w:rsid w:val="00723B7A"/>
    <w:rsid w:val="00723CB8"/>
    <w:rsid w:val="00723D34"/>
    <w:rsid w:val="00723EB8"/>
    <w:rsid w:val="00723F4B"/>
    <w:rsid w:val="007242BF"/>
    <w:rsid w:val="00724542"/>
    <w:rsid w:val="007245E0"/>
    <w:rsid w:val="007246C3"/>
    <w:rsid w:val="007246EC"/>
    <w:rsid w:val="0072491D"/>
    <w:rsid w:val="007249A9"/>
    <w:rsid w:val="007249EE"/>
    <w:rsid w:val="00724A5B"/>
    <w:rsid w:val="00724AA1"/>
    <w:rsid w:val="00724B4F"/>
    <w:rsid w:val="00724E3F"/>
    <w:rsid w:val="00724ECD"/>
    <w:rsid w:val="007251AA"/>
    <w:rsid w:val="0072521C"/>
    <w:rsid w:val="007255F9"/>
    <w:rsid w:val="0072567B"/>
    <w:rsid w:val="007256C6"/>
    <w:rsid w:val="00725961"/>
    <w:rsid w:val="0072599B"/>
    <w:rsid w:val="00725A27"/>
    <w:rsid w:val="00725BEE"/>
    <w:rsid w:val="00726124"/>
    <w:rsid w:val="00726193"/>
    <w:rsid w:val="007262A4"/>
    <w:rsid w:val="007263EB"/>
    <w:rsid w:val="007264B6"/>
    <w:rsid w:val="007268C6"/>
    <w:rsid w:val="007268D8"/>
    <w:rsid w:val="007268F8"/>
    <w:rsid w:val="0072697D"/>
    <w:rsid w:val="007269D1"/>
    <w:rsid w:val="00726A05"/>
    <w:rsid w:val="00726A75"/>
    <w:rsid w:val="00726AA5"/>
    <w:rsid w:val="00726AF6"/>
    <w:rsid w:val="00726B22"/>
    <w:rsid w:val="00726D5A"/>
    <w:rsid w:val="00726D8C"/>
    <w:rsid w:val="00727078"/>
    <w:rsid w:val="00727294"/>
    <w:rsid w:val="00727314"/>
    <w:rsid w:val="0072759C"/>
    <w:rsid w:val="00727D07"/>
    <w:rsid w:val="00727E8C"/>
    <w:rsid w:val="00727EC4"/>
    <w:rsid w:val="00727F54"/>
    <w:rsid w:val="007301CE"/>
    <w:rsid w:val="007303CA"/>
    <w:rsid w:val="0073040F"/>
    <w:rsid w:val="007304A8"/>
    <w:rsid w:val="0073067E"/>
    <w:rsid w:val="007306CC"/>
    <w:rsid w:val="00730800"/>
    <w:rsid w:val="007309D5"/>
    <w:rsid w:val="00730FB1"/>
    <w:rsid w:val="00731065"/>
    <w:rsid w:val="007314B1"/>
    <w:rsid w:val="00731544"/>
    <w:rsid w:val="00731586"/>
    <w:rsid w:val="00731615"/>
    <w:rsid w:val="007317EB"/>
    <w:rsid w:val="00731830"/>
    <w:rsid w:val="00731991"/>
    <w:rsid w:val="00731CC8"/>
    <w:rsid w:val="00731D39"/>
    <w:rsid w:val="00731E4E"/>
    <w:rsid w:val="00731FFF"/>
    <w:rsid w:val="0073215B"/>
    <w:rsid w:val="0073225C"/>
    <w:rsid w:val="00732838"/>
    <w:rsid w:val="00732A5F"/>
    <w:rsid w:val="00732B3A"/>
    <w:rsid w:val="00732B67"/>
    <w:rsid w:val="00732F5F"/>
    <w:rsid w:val="00732FE3"/>
    <w:rsid w:val="0073310E"/>
    <w:rsid w:val="00733157"/>
    <w:rsid w:val="007331BF"/>
    <w:rsid w:val="0073353F"/>
    <w:rsid w:val="00733607"/>
    <w:rsid w:val="0073363F"/>
    <w:rsid w:val="00733971"/>
    <w:rsid w:val="00733A9D"/>
    <w:rsid w:val="00733C6A"/>
    <w:rsid w:val="00733D05"/>
    <w:rsid w:val="00734239"/>
    <w:rsid w:val="00734350"/>
    <w:rsid w:val="0073436E"/>
    <w:rsid w:val="0073439F"/>
    <w:rsid w:val="007343E4"/>
    <w:rsid w:val="00734589"/>
    <w:rsid w:val="00734929"/>
    <w:rsid w:val="00734DB5"/>
    <w:rsid w:val="00734E15"/>
    <w:rsid w:val="00735213"/>
    <w:rsid w:val="00735291"/>
    <w:rsid w:val="00735381"/>
    <w:rsid w:val="00735508"/>
    <w:rsid w:val="0073564E"/>
    <w:rsid w:val="007356C3"/>
    <w:rsid w:val="007357CD"/>
    <w:rsid w:val="0073585E"/>
    <w:rsid w:val="00735983"/>
    <w:rsid w:val="00735A20"/>
    <w:rsid w:val="00735A67"/>
    <w:rsid w:val="00735A91"/>
    <w:rsid w:val="00735BAF"/>
    <w:rsid w:val="00735C4C"/>
    <w:rsid w:val="00735FB0"/>
    <w:rsid w:val="00735FED"/>
    <w:rsid w:val="0073609B"/>
    <w:rsid w:val="007361B5"/>
    <w:rsid w:val="007362CB"/>
    <w:rsid w:val="00736321"/>
    <w:rsid w:val="0073651A"/>
    <w:rsid w:val="00736528"/>
    <w:rsid w:val="0073653E"/>
    <w:rsid w:val="00736679"/>
    <w:rsid w:val="0073685D"/>
    <w:rsid w:val="00736BAF"/>
    <w:rsid w:val="00736CC2"/>
    <w:rsid w:val="00736CE0"/>
    <w:rsid w:val="00736F77"/>
    <w:rsid w:val="00736F7D"/>
    <w:rsid w:val="007374BA"/>
    <w:rsid w:val="0073767B"/>
    <w:rsid w:val="00737970"/>
    <w:rsid w:val="00737A02"/>
    <w:rsid w:val="00737BF6"/>
    <w:rsid w:val="00737C1D"/>
    <w:rsid w:val="00737F5B"/>
    <w:rsid w:val="00737F62"/>
    <w:rsid w:val="00737FC7"/>
    <w:rsid w:val="00740031"/>
    <w:rsid w:val="00740451"/>
    <w:rsid w:val="007406C7"/>
    <w:rsid w:val="007407B7"/>
    <w:rsid w:val="00740830"/>
    <w:rsid w:val="00740A7F"/>
    <w:rsid w:val="00740AF6"/>
    <w:rsid w:val="00740BEB"/>
    <w:rsid w:val="00740C92"/>
    <w:rsid w:val="00740CCC"/>
    <w:rsid w:val="007411F3"/>
    <w:rsid w:val="00741424"/>
    <w:rsid w:val="0074150A"/>
    <w:rsid w:val="00741699"/>
    <w:rsid w:val="00741B98"/>
    <w:rsid w:val="00741DA1"/>
    <w:rsid w:val="00742263"/>
    <w:rsid w:val="00742359"/>
    <w:rsid w:val="007423D7"/>
    <w:rsid w:val="007423E5"/>
    <w:rsid w:val="00742551"/>
    <w:rsid w:val="007426CE"/>
    <w:rsid w:val="00742745"/>
    <w:rsid w:val="0074277C"/>
    <w:rsid w:val="00742D7F"/>
    <w:rsid w:val="00742E2C"/>
    <w:rsid w:val="00742E45"/>
    <w:rsid w:val="00742EF5"/>
    <w:rsid w:val="00742F10"/>
    <w:rsid w:val="00742F8D"/>
    <w:rsid w:val="00742FBC"/>
    <w:rsid w:val="00743257"/>
    <w:rsid w:val="00743453"/>
    <w:rsid w:val="007439CB"/>
    <w:rsid w:val="00743B59"/>
    <w:rsid w:val="00743B67"/>
    <w:rsid w:val="00743B6A"/>
    <w:rsid w:val="00743CFF"/>
    <w:rsid w:val="00743E1C"/>
    <w:rsid w:val="00743FF8"/>
    <w:rsid w:val="00744249"/>
    <w:rsid w:val="007442C0"/>
    <w:rsid w:val="0074446B"/>
    <w:rsid w:val="007446A0"/>
    <w:rsid w:val="007447AF"/>
    <w:rsid w:val="007447B6"/>
    <w:rsid w:val="00744DBC"/>
    <w:rsid w:val="00744E75"/>
    <w:rsid w:val="00744F04"/>
    <w:rsid w:val="00745204"/>
    <w:rsid w:val="00745234"/>
    <w:rsid w:val="007452F0"/>
    <w:rsid w:val="007453E5"/>
    <w:rsid w:val="00745444"/>
    <w:rsid w:val="00745671"/>
    <w:rsid w:val="00745784"/>
    <w:rsid w:val="00745874"/>
    <w:rsid w:val="00746203"/>
    <w:rsid w:val="00746250"/>
    <w:rsid w:val="00746306"/>
    <w:rsid w:val="0074651C"/>
    <w:rsid w:val="0074664D"/>
    <w:rsid w:val="00746928"/>
    <w:rsid w:val="007469CC"/>
    <w:rsid w:val="00746D23"/>
    <w:rsid w:val="00746E48"/>
    <w:rsid w:val="00747397"/>
    <w:rsid w:val="00747769"/>
    <w:rsid w:val="007477CC"/>
    <w:rsid w:val="00747939"/>
    <w:rsid w:val="00747A38"/>
    <w:rsid w:val="00747AD6"/>
    <w:rsid w:val="00747AF7"/>
    <w:rsid w:val="00747C78"/>
    <w:rsid w:val="00747CD1"/>
    <w:rsid w:val="007500E6"/>
    <w:rsid w:val="007503A5"/>
    <w:rsid w:val="007504BA"/>
    <w:rsid w:val="007504BF"/>
    <w:rsid w:val="007504E9"/>
    <w:rsid w:val="0075075F"/>
    <w:rsid w:val="00750816"/>
    <w:rsid w:val="007508FA"/>
    <w:rsid w:val="00750AEB"/>
    <w:rsid w:val="00750BE3"/>
    <w:rsid w:val="00750BF6"/>
    <w:rsid w:val="00750D17"/>
    <w:rsid w:val="00750E23"/>
    <w:rsid w:val="00750F5C"/>
    <w:rsid w:val="0075147F"/>
    <w:rsid w:val="00751481"/>
    <w:rsid w:val="007515A3"/>
    <w:rsid w:val="00751830"/>
    <w:rsid w:val="00751CDD"/>
    <w:rsid w:val="00751CF0"/>
    <w:rsid w:val="00751D19"/>
    <w:rsid w:val="00751E3E"/>
    <w:rsid w:val="0075203B"/>
    <w:rsid w:val="0075214C"/>
    <w:rsid w:val="007522A3"/>
    <w:rsid w:val="007526EB"/>
    <w:rsid w:val="00752ABB"/>
    <w:rsid w:val="00752B7D"/>
    <w:rsid w:val="00752B95"/>
    <w:rsid w:val="00752BBB"/>
    <w:rsid w:val="00752BFC"/>
    <w:rsid w:val="00752CA1"/>
    <w:rsid w:val="00752CF7"/>
    <w:rsid w:val="00752D0F"/>
    <w:rsid w:val="00752E5E"/>
    <w:rsid w:val="00752EC6"/>
    <w:rsid w:val="00752FCB"/>
    <w:rsid w:val="00753010"/>
    <w:rsid w:val="00753013"/>
    <w:rsid w:val="0075308A"/>
    <w:rsid w:val="007532B5"/>
    <w:rsid w:val="00753488"/>
    <w:rsid w:val="007535F1"/>
    <w:rsid w:val="00753683"/>
    <w:rsid w:val="00753BD8"/>
    <w:rsid w:val="00753D49"/>
    <w:rsid w:val="00753E4F"/>
    <w:rsid w:val="007541AA"/>
    <w:rsid w:val="0075437B"/>
    <w:rsid w:val="00754413"/>
    <w:rsid w:val="00754759"/>
    <w:rsid w:val="00754A02"/>
    <w:rsid w:val="00754AA5"/>
    <w:rsid w:val="00754B2A"/>
    <w:rsid w:val="00754C1A"/>
    <w:rsid w:val="00754D6E"/>
    <w:rsid w:val="007550B8"/>
    <w:rsid w:val="00755139"/>
    <w:rsid w:val="007555E3"/>
    <w:rsid w:val="007558F3"/>
    <w:rsid w:val="0075595E"/>
    <w:rsid w:val="00755D32"/>
    <w:rsid w:val="00755DA9"/>
    <w:rsid w:val="00755E79"/>
    <w:rsid w:val="00755F3A"/>
    <w:rsid w:val="00755FB0"/>
    <w:rsid w:val="0075602B"/>
    <w:rsid w:val="00756263"/>
    <w:rsid w:val="00756401"/>
    <w:rsid w:val="007564DA"/>
    <w:rsid w:val="0075661C"/>
    <w:rsid w:val="007566EC"/>
    <w:rsid w:val="00756890"/>
    <w:rsid w:val="00756968"/>
    <w:rsid w:val="00756A39"/>
    <w:rsid w:val="00756A42"/>
    <w:rsid w:val="00756B7D"/>
    <w:rsid w:val="00756B8D"/>
    <w:rsid w:val="00756FBA"/>
    <w:rsid w:val="0075705A"/>
    <w:rsid w:val="00757226"/>
    <w:rsid w:val="00757556"/>
    <w:rsid w:val="00757877"/>
    <w:rsid w:val="00757DB4"/>
    <w:rsid w:val="00757DBA"/>
    <w:rsid w:val="00757ED5"/>
    <w:rsid w:val="0076033C"/>
    <w:rsid w:val="0076035E"/>
    <w:rsid w:val="0076044E"/>
    <w:rsid w:val="0076049E"/>
    <w:rsid w:val="00760599"/>
    <w:rsid w:val="007606D0"/>
    <w:rsid w:val="0076073C"/>
    <w:rsid w:val="00760837"/>
    <w:rsid w:val="00760B1B"/>
    <w:rsid w:val="00760B59"/>
    <w:rsid w:val="00760C31"/>
    <w:rsid w:val="00760CFB"/>
    <w:rsid w:val="00760D2A"/>
    <w:rsid w:val="00760D58"/>
    <w:rsid w:val="00760F2E"/>
    <w:rsid w:val="00760FDD"/>
    <w:rsid w:val="007611D2"/>
    <w:rsid w:val="00761528"/>
    <w:rsid w:val="0076162C"/>
    <w:rsid w:val="00761B75"/>
    <w:rsid w:val="00761BDB"/>
    <w:rsid w:val="00761DAC"/>
    <w:rsid w:val="00761E30"/>
    <w:rsid w:val="00761F99"/>
    <w:rsid w:val="0076206A"/>
    <w:rsid w:val="007620EF"/>
    <w:rsid w:val="00762187"/>
    <w:rsid w:val="00762336"/>
    <w:rsid w:val="0076247F"/>
    <w:rsid w:val="007625AF"/>
    <w:rsid w:val="00762660"/>
    <w:rsid w:val="0076268F"/>
    <w:rsid w:val="00762D3B"/>
    <w:rsid w:val="00762D95"/>
    <w:rsid w:val="00762F4D"/>
    <w:rsid w:val="00762FE1"/>
    <w:rsid w:val="00763050"/>
    <w:rsid w:val="0076314E"/>
    <w:rsid w:val="00763338"/>
    <w:rsid w:val="00763363"/>
    <w:rsid w:val="007633F4"/>
    <w:rsid w:val="007635E5"/>
    <w:rsid w:val="007635FA"/>
    <w:rsid w:val="007636EC"/>
    <w:rsid w:val="00763A3B"/>
    <w:rsid w:val="00763EBA"/>
    <w:rsid w:val="00763F2B"/>
    <w:rsid w:val="00763F67"/>
    <w:rsid w:val="007641DC"/>
    <w:rsid w:val="007645A5"/>
    <w:rsid w:val="00764665"/>
    <w:rsid w:val="00764668"/>
    <w:rsid w:val="00764710"/>
    <w:rsid w:val="00764823"/>
    <w:rsid w:val="007649AF"/>
    <w:rsid w:val="007649F9"/>
    <w:rsid w:val="00764B12"/>
    <w:rsid w:val="00764B2E"/>
    <w:rsid w:val="00764C7C"/>
    <w:rsid w:val="00764D17"/>
    <w:rsid w:val="00764E59"/>
    <w:rsid w:val="00764F85"/>
    <w:rsid w:val="00764FE7"/>
    <w:rsid w:val="007651D3"/>
    <w:rsid w:val="007653BF"/>
    <w:rsid w:val="007657C1"/>
    <w:rsid w:val="00765819"/>
    <w:rsid w:val="007658FB"/>
    <w:rsid w:val="00765CC4"/>
    <w:rsid w:val="00765E93"/>
    <w:rsid w:val="00765FAA"/>
    <w:rsid w:val="00766048"/>
    <w:rsid w:val="007662A0"/>
    <w:rsid w:val="00766369"/>
    <w:rsid w:val="007664B7"/>
    <w:rsid w:val="00766625"/>
    <w:rsid w:val="007666CB"/>
    <w:rsid w:val="00766734"/>
    <w:rsid w:val="007669B7"/>
    <w:rsid w:val="00766B5E"/>
    <w:rsid w:val="00766C44"/>
    <w:rsid w:val="00766DEE"/>
    <w:rsid w:val="00766E9E"/>
    <w:rsid w:val="007670F0"/>
    <w:rsid w:val="0076721E"/>
    <w:rsid w:val="007673A9"/>
    <w:rsid w:val="007674D3"/>
    <w:rsid w:val="00767597"/>
    <w:rsid w:val="0076764C"/>
    <w:rsid w:val="0076766B"/>
    <w:rsid w:val="007677B2"/>
    <w:rsid w:val="007677F7"/>
    <w:rsid w:val="007678A8"/>
    <w:rsid w:val="007679F4"/>
    <w:rsid w:val="00767B0A"/>
    <w:rsid w:val="00767C42"/>
    <w:rsid w:val="00767CA1"/>
    <w:rsid w:val="00767CCA"/>
    <w:rsid w:val="00767D2E"/>
    <w:rsid w:val="00767EA2"/>
    <w:rsid w:val="00767F44"/>
    <w:rsid w:val="0077007B"/>
    <w:rsid w:val="007700BE"/>
    <w:rsid w:val="00770248"/>
    <w:rsid w:val="00770279"/>
    <w:rsid w:val="00770467"/>
    <w:rsid w:val="0077061E"/>
    <w:rsid w:val="00770852"/>
    <w:rsid w:val="00770859"/>
    <w:rsid w:val="00770ADA"/>
    <w:rsid w:val="00770EA2"/>
    <w:rsid w:val="00770F1E"/>
    <w:rsid w:val="00770F7B"/>
    <w:rsid w:val="00770F86"/>
    <w:rsid w:val="00770FA7"/>
    <w:rsid w:val="007710D2"/>
    <w:rsid w:val="007715FA"/>
    <w:rsid w:val="007716A5"/>
    <w:rsid w:val="00771713"/>
    <w:rsid w:val="00771C7F"/>
    <w:rsid w:val="00771CE0"/>
    <w:rsid w:val="00771D26"/>
    <w:rsid w:val="00771D5E"/>
    <w:rsid w:val="00771DDD"/>
    <w:rsid w:val="00771F83"/>
    <w:rsid w:val="007721F8"/>
    <w:rsid w:val="0077228D"/>
    <w:rsid w:val="007722ED"/>
    <w:rsid w:val="007723AD"/>
    <w:rsid w:val="007723DD"/>
    <w:rsid w:val="007723EC"/>
    <w:rsid w:val="00772434"/>
    <w:rsid w:val="0077253F"/>
    <w:rsid w:val="0077261F"/>
    <w:rsid w:val="007726AE"/>
    <w:rsid w:val="007726E6"/>
    <w:rsid w:val="00772771"/>
    <w:rsid w:val="00772A4D"/>
    <w:rsid w:val="00772ABE"/>
    <w:rsid w:val="00772AF4"/>
    <w:rsid w:val="00772E23"/>
    <w:rsid w:val="00773166"/>
    <w:rsid w:val="007731A8"/>
    <w:rsid w:val="0077328A"/>
    <w:rsid w:val="007732AE"/>
    <w:rsid w:val="00773485"/>
    <w:rsid w:val="00773509"/>
    <w:rsid w:val="00773927"/>
    <w:rsid w:val="00773D89"/>
    <w:rsid w:val="00773E31"/>
    <w:rsid w:val="00773EB7"/>
    <w:rsid w:val="00773F3B"/>
    <w:rsid w:val="00773F9A"/>
    <w:rsid w:val="00773FB3"/>
    <w:rsid w:val="007740FB"/>
    <w:rsid w:val="00774316"/>
    <w:rsid w:val="00774349"/>
    <w:rsid w:val="0077474E"/>
    <w:rsid w:val="007748D1"/>
    <w:rsid w:val="007748E9"/>
    <w:rsid w:val="00774D7A"/>
    <w:rsid w:val="00774EC9"/>
    <w:rsid w:val="00775091"/>
    <w:rsid w:val="007750DD"/>
    <w:rsid w:val="0077518F"/>
    <w:rsid w:val="0077519D"/>
    <w:rsid w:val="007752F5"/>
    <w:rsid w:val="007753FD"/>
    <w:rsid w:val="0077560B"/>
    <w:rsid w:val="007758F3"/>
    <w:rsid w:val="00775903"/>
    <w:rsid w:val="007759BC"/>
    <w:rsid w:val="00775A8E"/>
    <w:rsid w:val="00775BF0"/>
    <w:rsid w:val="00775FD7"/>
    <w:rsid w:val="007760DB"/>
    <w:rsid w:val="0077666E"/>
    <w:rsid w:val="0077677F"/>
    <w:rsid w:val="0077678B"/>
    <w:rsid w:val="0077694D"/>
    <w:rsid w:val="00776968"/>
    <w:rsid w:val="007769BE"/>
    <w:rsid w:val="00776A12"/>
    <w:rsid w:val="00776D00"/>
    <w:rsid w:val="00776E91"/>
    <w:rsid w:val="0077755F"/>
    <w:rsid w:val="00777576"/>
    <w:rsid w:val="007775A7"/>
    <w:rsid w:val="007776AD"/>
    <w:rsid w:val="0077777C"/>
    <w:rsid w:val="00777819"/>
    <w:rsid w:val="00777AC8"/>
    <w:rsid w:val="00777B07"/>
    <w:rsid w:val="00777C71"/>
    <w:rsid w:val="0078001F"/>
    <w:rsid w:val="007800CC"/>
    <w:rsid w:val="00780222"/>
    <w:rsid w:val="007802A4"/>
    <w:rsid w:val="007802C8"/>
    <w:rsid w:val="00780401"/>
    <w:rsid w:val="00780550"/>
    <w:rsid w:val="007805F9"/>
    <w:rsid w:val="0078064A"/>
    <w:rsid w:val="00780740"/>
    <w:rsid w:val="00780815"/>
    <w:rsid w:val="0078094E"/>
    <w:rsid w:val="00780A81"/>
    <w:rsid w:val="00780E91"/>
    <w:rsid w:val="00780F09"/>
    <w:rsid w:val="00780F2B"/>
    <w:rsid w:val="00780FB4"/>
    <w:rsid w:val="00781083"/>
    <w:rsid w:val="0078110C"/>
    <w:rsid w:val="00781450"/>
    <w:rsid w:val="007816B5"/>
    <w:rsid w:val="0078187C"/>
    <w:rsid w:val="007819C8"/>
    <w:rsid w:val="00781EA5"/>
    <w:rsid w:val="00781EE1"/>
    <w:rsid w:val="0078223E"/>
    <w:rsid w:val="00782264"/>
    <w:rsid w:val="007822AD"/>
    <w:rsid w:val="007823C0"/>
    <w:rsid w:val="00782678"/>
    <w:rsid w:val="007828A0"/>
    <w:rsid w:val="00782A42"/>
    <w:rsid w:val="00782B70"/>
    <w:rsid w:val="00782BAD"/>
    <w:rsid w:val="00782CC0"/>
    <w:rsid w:val="00783004"/>
    <w:rsid w:val="00783135"/>
    <w:rsid w:val="00783354"/>
    <w:rsid w:val="007834C8"/>
    <w:rsid w:val="007837DD"/>
    <w:rsid w:val="007838D3"/>
    <w:rsid w:val="00783D06"/>
    <w:rsid w:val="00783D08"/>
    <w:rsid w:val="00783FD3"/>
    <w:rsid w:val="00784072"/>
    <w:rsid w:val="007842B1"/>
    <w:rsid w:val="007846A3"/>
    <w:rsid w:val="007846AC"/>
    <w:rsid w:val="00784D10"/>
    <w:rsid w:val="00784E0F"/>
    <w:rsid w:val="00784ECB"/>
    <w:rsid w:val="00784F2E"/>
    <w:rsid w:val="00785239"/>
    <w:rsid w:val="007852D8"/>
    <w:rsid w:val="007854E6"/>
    <w:rsid w:val="00785581"/>
    <w:rsid w:val="00785A4D"/>
    <w:rsid w:val="00785F19"/>
    <w:rsid w:val="00786300"/>
    <w:rsid w:val="007863B6"/>
    <w:rsid w:val="00786483"/>
    <w:rsid w:val="0078649F"/>
    <w:rsid w:val="007866B9"/>
    <w:rsid w:val="0078684D"/>
    <w:rsid w:val="00786A35"/>
    <w:rsid w:val="00786AF4"/>
    <w:rsid w:val="00786B91"/>
    <w:rsid w:val="00786D6C"/>
    <w:rsid w:val="00786D74"/>
    <w:rsid w:val="00786F14"/>
    <w:rsid w:val="00786F30"/>
    <w:rsid w:val="00786F7E"/>
    <w:rsid w:val="0078717E"/>
    <w:rsid w:val="0078728A"/>
    <w:rsid w:val="007872E4"/>
    <w:rsid w:val="0078734B"/>
    <w:rsid w:val="00787430"/>
    <w:rsid w:val="0078746F"/>
    <w:rsid w:val="007874A7"/>
    <w:rsid w:val="00787506"/>
    <w:rsid w:val="00787527"/>
    <w:rsid w:val="0078755A"/>
    <w:rsid w:val="0078764A"/>
    <w:rsid w:val="00787685"/>
    <w:rsid w:val="007878DF"/>
    <w:rsid w:val="00787994"/>
    <w:rsid w:val="00787A06"/>
    <w:rsid w:val="00787C5D"/>
    <w:rsid w:val="00787C85"/>
    <w:rsid w:val="00787CC4"/>
    <w:rsid w:val="00787F44"/>
    <w:rsid w:val="00790306"/>
    <w:rsid w:val="00790666"/>
    <w:rsid w:val="0079073E"/>
    <w:rsid w:val="00790973"/>
    <w:rsid w:val="0079098E"/>
    <w:rsid w:val="00790A78"/>
    <w:rsid w:val="00790C3A"/>
    <w:rsid w:val="00790C3C"/>
    <w:rsid w:val="00790D6F"/>
    <w:rsid w:val="00790E96"/>
    <w:rsid w:val="00790F8A"/>
    <w:rsid w:val="007910D6"/>
    <w:rsid w:val="0079120C"/>
    <w:rsid w:val="007912B2"/>
    <w:rsid w:val="007915C6"/>
    <w:rsid w:val="0079183D"/>
    <w:rsid w:val="00791E5F"/>
    <w:rsid w:val="007920E3"/>
    <w:rsid w:val="00792266"/>
    <w:rsid w:val="007922C3"/>
    <w:rsid w:val="00792412"/>
    <w:rsid w:val="007925F3"/>
    <w:rsid w:val="00792809"/>
    <w:rsid w:val="00792A68"/>
    <w:rsid w:val="00792B04"/>
    <w:rsid w:val="00792B2A"/>
    <w:rsid w:val="00792D9F"/>
    <w:rsid w:val="00792E4D"/>
    <w:rsid w:val="00792E76"/>
    <w:rsid w:val="00792F41"/>
    <w:rsid w:val="00792F6C"/>
    <w:rsid w:val="007930EA"/>
    <w:rsid w:val="007931BC"/>
    <w:rsid w:val="00793608"/>
    <w:rsid w:val="0079372B"/>
    <w:rsid w:val="007937ED"/>
    <w:rsid w:val="0079382E"/>
    <w:rsid w:val="00793949"/>
    <w:rsid w:val="007939CD"/>
    <w:rsid w:val="00793C55"/>
    <w:rsid w:val="00793F4E"/>
    <w:rsid w:val="00794071"/>
    <w:rsid w:val="007940EC"/>
    <w:rsid w:val="00794501"/>
    <w:rsid w:val="0079468A"/>
    <w:rsid w:val="0079469D"/>
    <w:rsid w:val="007948FB"/>
    <w:rsid w:val="00794CB8"/>
    <w:rsid w:val="00794E58"/>
    <w:rsid w:val="00794EF8"/>
    <w:rsid w:val="00795017"/>
    <w:rsid w:val="00795396"/>
    <w:rsid w:val="007953A9"/>
    <w:rsid w:val="00795776"/>
    <w:rsid w:val="007957AB"/>
    <w:rsid w:val="007959FD"/>
    <w:rsid w:val="00795B1A"/>
    <w:rsid w:val="00795C50"/>
    <w:rsid w:val="00795EF7"/>
    <w:rsid w:val="00796298"/>
    <w:rsid w:val="007962AC"/>
    <w:rsid w:val="00796416"/>
    <w:rsid w:val="00796C1E"/>
    <w:rsid w:val="00796D7F"/>
    <w:rsid w:val="0079711F"/>
    <w:rsid w:val="007971FD"/>
    <w:rsid w:val="00797215"/>
    <w:rsid w:val="0079739B"/>
    <w:rsid w:val="00797587"/>
    <w:rsid w:val="0079766E"/>
    <w:rsid w:val="00797B41"/>
    <w:rsid w:val="00797CF5"/>
    <w:rsid w:val="00797E1F"/>
    <w:rsid w:val="007A00CC"/>
    <w:rsid w:val="007A02A4"/>
    <w:rsid w:val="007A0367"/>
    <w:rsid w:val="007A03BB"/>
    <w:rsid w:val="007A0532"/>
    <w:rsid w:val="007A06EC"/>
    <w:rsid w:val="007A09A4"/>
    <w:rsid w:val="007A0A16"/>
    <w:rsid w:val="007A0B5D"/>
    <w:rsid w:val="007A0BA1"/>
    <w:rsid w:val="007A0D28"/>
    <w:rsid w:val="007A0D4E"/>
    <w:rsid w:val="007A0D57"/>
    <w:rsid w:val="007A0FAD"/>
    <w:rsid w:val="007A1363"/>
    <w:rsid w:val="007A1409"/>
    <w:rsid w:val="007A1442"/>
    <w:rsid w:val="007A164E"/>
    <w:rsid w:val="007A16CA"/>
    <w:rsid w:val="007A17ED"/>
    <w:rsid w:val="007A1B42"/>
    <w:rsid w:val="007A1F55"/>
    <w:rsid w:val="007A1F9C"/>
    <w:rsid w:val="007A207B"/>
    <w:rsid w:val="007A20AE"/>
    <w:rsid w:val="007A20D1"/>
    <w:rsid w:val="007A2124"/>
    <w:rsid w:val="007A218F"/>
    <w:rsid w:val="007A21C0"/>
    <w:rsid w:val="007A22F6"/>
    <w:rsid w:val="007A240D"/>
    <w:rsid w:val="007A255C"/>
    <w:rsid w:val="007A265D"/>
    <w:rsid w:val="007A2A17"/>
    <w:rsid w:val="007A2EF9"/>
    <w:rsid w:val="007A3190"/>
    <w:rsid w:val="007A341F"/>
    <w:rsid w:val="007A345D"/>
    <w:rsid w:val="007A34B1"/>
    <w:rsid w:val="007A36A8"/>
    <w:rsid w:val="007A36F4"/>
    <w:rsid w:val="007A3780"/>
    <w:rsid w:val="007A3A16"/>
    <w:rsid w:val="007A3BF1"/>
    <w:rsid w:val="007A3C39"/>
    <w:rsid w:val="007A3DF5"/>
    <w:rsid w:val="007A3F9C"/>
    <w:rsid w:val="007A406D"/>
    <w:rsid w:val="007A40C8"/>
    <w:rsid w:val="007A4371"/>
    <w:rsid w:val="007A4375"/>
    <w:rsid w:val="007A454A"/>
    <w:rsid w:val="007A498E"/>
    <w:rsid w:val="007A49C7"/>
    <w:rsid w:val="007A4A7A"/>
    <w:rsid w:val="007A4C15"/>
    <w:rsid w:val="007A4D19"/>
    <w:rsid w:val="007A4D5C"/>
    <w:rsid w:val="007A4DF4"/>
    <w:rsid w:val="007A4F07"/>
    <w:rsid w:val="007A513B"/>
    <w:rsid w:val="007A5302"/>
    <w:rsid w:val="007A5402"/>
    <w:rsid w:val="007A562D"/>
    <w:rsid w:val="007A56AD"/>
    <w:rsid w:val="007A5829"/>
    <w:rsid w:val="007A5874"/>
    <w:rsid w:val="007A5927"/>
    <w:rsid w:val="007A59BF"/>
    <w:rsid w:val="007A5B5C"/>
    <w:rsid w:val="007A5B75"/>
    <w:rsid w:val="007A5BB2"/>
    <w:rsid w:val="007A5E13"/>
    <w:rsid w:val="007A5EAF"/>
    <w:rsid w:val="007A6264"/>
    <w:rsid w:val="007A62A5"/>
    <w:rsid w:val="007A62B0"/>
    <w:rsid w:val="007A643B"/>
    <w:rsid w:val="007A6527"/>
    <w:rsid w:val="007A658B"/>
    <w:rsid w:val="007A6A1C"/>
    <w:rsid w:val="007A6CB1"/>
    <w:rsid w:val="007A6CDB"/>
    <w:rsid w:val="007A6D83"/>
    <w:rsid w:val="007A707A"/>
    <w:rsid w:val="007A707D"/>
    <w:rsid w:val="007A70E3"/>
    <w:rsid w:val="007A7125"/>
    <w:rsid w:val="007A733D"/>
    <w:rsid w:val="007A73AB"/>
    <w:rsid w:val="007A74DF"/>
    <w:rsid w:val="007A750B"/>
    <w:rsid w:val="007A777C"/>
    <w:rsid w:val="007A7859"/>
    <w:rsid w:val="007A7874"/>
    <w:rsid w:val="007A7897"/>
    <w:rsid w:val="007A79EE"/>
    <w:rsid w:val="007A7CEC"/>
    <w:rsid w:val="007A7D34"/>
    <w:rsid w:val="007A7ED1"/>
    <w:rsid w:val="007A7F4A"/>
    <w:rsid w:val="007B002F"/>
    <w:rsid w:val="007B0117"/>
    <w:rsid w:val="007B02F0"/>
    <w:rsid w:val="007B03F2"/>
    <w:rsid w:val="007B04B0"/>
    <w:rsid w:val="007B0AAF"/>
    <w:rsid w:val="007B0B14"/>
    <w:rsid w:val="007B0B49"/>
    <w:rsid w:val="007B0C36"/>
    <w:rsid w:val="007B0DA5"/>
    <w:rsid w:val="007B121C"/>
    <w:rsid w:val="007B1314"/>
    <w:rsid w:val="007B1424"/>
    <w:rsid w:val="007B154A"/>
    <w:rsid w:val="007B16F1"/>
    <w:rsid w:val="007B1A4C"/>
    <w:rsid w:val="007B1D9E"/>
    <w:rsid w:val="007B1E50"/>
    <w:rsid w:val="007B1FBD"/>
    <w:rsid w:val="007B21BD"/>
    <w:rsid w:val="007B23A2"/>
    <w:rsid w:val="007B245E"/>
    <w:rsid w:val="007B2526"/>
    <w:rsid w:val="007B2586"/>
    <w:rsid w:val="007B2609"/>
    <w:rsid w:val="007B263B"/>
    <w:rsid w:val="007B2898"/>
    <w:rsid w:val="007B29C5"/>
    <w:rsid w:val="007B29F7"/>
    <w:rsid w:val="007B2C06"/>
    <w:rsid w:val="007B341B"/>
    <w:rsid w:val="007B36ED"/>
    <w:rsid w:val="007B3753"/>
    <w:rsid w:val="007B39E2"/>
    <w:rsid w:val="007B3B3E"/>
    <w:rsid w:val="007B407E"/>
    <w:rsid w:val="007B40FA"/>
    <w:rsid w:val="007B4177"/>
    <w:rsid w:val="007B4228"/>
    <w:rsid w:val="007B4371"/>
    <w:rsid w:val="007B438C"/>
    <w:rsid w:val="007B43EC"/>
    <w:rsid w:val="007B4449"/>
    <w:rsid w:val="007B44F6"/>
    <w:rsid w:val="007B45B1"/>
    <w:rsid w:val="007B473E"/>
    <w:rsid w:val="007B47BD"/>
    <w:rsid w:val="007B489F"/>
    <w:rsid w:val="007B48C0"/>
    <w:rsid w:val="007B4B94"/>
    <w:rsid w:val="007B4C2C"/>
    <w:rsid w:val="007B4D7B"/>
    <w:rsid w:val="007B50C0"/>
    <w:rsid w:val="007B529C"/>
    <w:rsid w:val="007B5563"/>
    <w:rsid w:val="007B556F"/>
    <w:rsid w:val="007B57C5"/>
    <w:rsid w:val="007B5CD5"/>
    <w:rsid w:val="007B5DBD"/>
    <w:rsid w:val="007B6022"/>
    <w:rsid w:val="007B6109"/>
    <w:rsid w:val="007B623E"/>
    <w:rsid w:val="007B62EA"/>
    <w:rsid w:val="007B66E6"/>
    <w:rsid w:val="007B683B"/>
    <w:rsid w:val="007B691F"/>
    <w:rsid w:val="007B6A3E"/>
    <w:rsid w:val="007B6C44"/>
    <w:rsid w:val="007B6D16"/>
    <w:rsid w:val="007B6D26"/>
    <w:rsid w:val="007B6FF1"/>
    <w:rsid w:val="007B7026"/>
    <w:rsid w:val="007B715D"/>
    <w:rsid w:val="007B74DD"/>
    <w:rsid w:val="007B7578"/>
    <w:rsid w:val="007B7733"/>
    <w:rsid w:val="007B7894"/>
    <w:rsid w:val="007B79E6"/>
    <w:rsid w:val="007B7DF6"/>
    <w:rsid w:val="007B7F01"/>
    <w:rsid w:val="007B7FB4"/>
    <w:rsid w:val="007C0133"/>
    <w:rsid w:val="007C01E9"/>
    <w:rsid w:val="007C0460"/>
    <w:rsid w:val="007C04FD"/>
    <w:rsid w:val="007C0A61"/>
    <w:rsid w:val="007C0BEE"/>
    <w:rsid w:val="007C0BFB"/>
    <w:rsid w:val="007C0CF5"/>
    <w:rsid w:val="007C0D78"/>
    <w:rsid w:val="007C0D89"/>
    <w:rsid w:val="007C0EEB"/>
    <w:rsid w:val="007C1007"/>
    <w:rsid w:val="007C1290"/>
    <w:rsid w:val="007C132D"/>
    <w:rsid w:val="007C1410"/>
    <w:rsid w:val="007C143D"/>
    <w:rsid w:val="007C150A"/>
    <w:rsid w:val="007C165E"/>
    <w:rsid w:val="007C172B"/>
    <w:rsid w:val="007C17E6"/>
    <w:rsid w:val="007C192C"/>
    <w:rsid w:val="007C1AC4"/>
    <w:rsid w:val="007C1B27"/>
    <w:rsid w:val="007C1B7E"/>
    <w:rsid w:val="007C1BA3"/>
    <w:rsid w:val="007C1D73"/>
    <w:rsid w:val="007C22BF"/>
    <w:rsid w:val="007C23CE"/>
    <w:rsid w:val="007C23D1"/>
    <w:rsid w:val="007C2660"/>
    <w:rsid w:val="007C282D"/>
    <w:rsid w:val="007C2A2C"/>
    <w:rsid w:val="007C2A99"/>
    <w:rsid w:val="007C2CE8"/>
    <w:rsid w:val="007C2FAD"/>
    <w:rsid w:val="007C3045"/>
    <w:rsid w:val="007C3081"/>
    <w:rsid w:val="007C3228"/>
    <w:rsid w:val="007C346F"/>
    <w:rsid w:val="007C3524"/>
    <w:rsid w:val="007C357D"/>
    <w:rsid w:val="007C38C8"/>
    <w:rsid w:val="007C394B"/>
    <w:rsid w:val="007C3D53"/>
    <w:rsid w:val="007C3F3F"/>
    <w:rsid w:val="007C43B6"/>
    <w:rsid w:val="007C44FC"/>
    <w:rsid w:val="007C460C"/>
    <w:rsid w:val="007C4860"/>
    <w:rsid w:val="007C4960"/>
    <w:rsid w:val="007C4A28"/>
    <w:rsid w:val="007C4A58"/>
    <w:rsid w:val="007C4A7C"/>
    <w:rsid w:val="007C4D11"/>
    <w:rsid w:val="007C4E28"/>
    <w:rsid w:val="007C5317"/>
    <w:rsid w:val="007C54C1"/>
    <w:rsid w:val="007C5911"/>
    <w:rsid w:val="007C5A0C"/>
    <w:rsid w:val="007C5ABB"/>
    <w:rsid w:val="007C5B2F"/>
    <w:rsid w:val="007C5C4D"/>
    <w:rsid w:val="007C5C84"/>
    <w:rsid w:val="007C5CC5"/>
    <w:rsid w:val="007C60E6"/>
    <w:rsid w:val="007C6316"/>
    <w:rsid w:val="007C6476"/>
    <w:rsid w:val="007C6703"/>
    <w:rsid w:val="007C69A4"/>
    <w:rsid w:val="007C6C42"/>
    <w:rsid w:val="007C6CC0"/>
    <w:rsid w:val="007C6DA7"/>
    <w:rsid w:val="007C6EAC"/>
    <w:rsid w:val="007C6EAD"/>
    <w:rsid w:val="007C6EB4"/>
    <w:rsid w:val="007C6FA1"/>
    <w:rsid w:val="007C6FFB"/>
    <w:rsid w:val="007C70ED"/>
    <w:rsid w:val="007C741F"/>
    <w:rsid w:val="007C7464"/>
    <w:rsid w:val="007C7533"/>
    <w:rsid w:val="007C7578"/>
    <w:rsid w:val="007C75E7"/>
    <w:rsid w:val="007C78ED"/>
    <w:rsid w:val="007C7948"/>
    <w:rsid w:val="007C7A6E"/>
    <w:rsid w:val="007C7AA8"/>
    <w:rsid w:val="007C7AEB"/>
    <w:rsid w:val="007C7BDE"/>
    <w:rsid w:val="007C7D4D"/>
    <w:rsid w:val="007D017B"/>
    <w:rsid w:val="007D0345"/>
    <w:rsid w:val="007D03BC"/>
    <w:rsid w:val="007D08A7"/>
    <w:rsid w:val="007D0926"/>
    <w:rsid w:val="007D09C7"/>
    <w:rsid w:val="007D0A4A"/>
    <w:rsid w:val="007D0A8F"/>
    <w:rsid w:val="007D0BFC"/>
    <w:rsid w:val="007D0C82"/>
    <w:rsid w:val="007D0DCB"/>
    <w:rsid w:val="007D0DCC"/>
    <w:rsid w:val="007D10C2"/>
    <w:rsid w:val="007D1219"/>
    <w:rsid w:val="007D121C"/>
    <w:rsid w:val="007D12DD"/>
    <w:rsid w:val="007D1760"/>
    <w:rsid w:val="007D1946"/>
    <w:rsid w:val="007D1A06"/>
    <w:rsid w:val="007D1BE2"/>
    <w:rsid w:val="007D1C65"/>
    <w:rsid w:val="007D1C78"/>
    <w:rsid w:val="007D1D0B"/>
    <w:rsid w:val="007D1FD5"/>
    <w:rsid w:val="007D20BD"/>
    <w:rsid w:val="007D20F4"/>
    <w:rsid w:val="007D2121"/>
    <w:rsid w:val="007D2481"/>
    <w:rsid w:val="007D2484"/>
    <w:rsid w:val="007D2994"/>
    <w:rsid w:val="007D304E"/>
    <w:rsid w:val="007D31E3"/>
    <w:rsid w:val="007D333B"/>
    <w:rsid w:val="007D33FF"/>
    <w:rsid w:val="007D3413"/>
    <w:rsid w:val="007D35FD"/>
    <w:rsid w:val="007D3A21"/>
    <w:rsid w:val="007D3A33"/>
    <w:rsid w:val="007D3A57"/>
    <w:rsid w:val="007D3A78"/>
    <w:rsid w:val="007D3C4A"/>
    <w:rsid w:val="007D3FB1"/>
    <w:rsid w:val="007D4164"/>
    <w:rsid w:val="007D444D"/>
    <w:rsid w:val="007D4913"/>
    <w:rsid w:val="007D495E"/>
    <w:rsid w:val="007D4A04"/>
    <w:rsid w:val="007D4CB3"/>
    <w:rsid w:val="007D4CF2"/>
    <w:rsid w:val="007D4F48"/>
    <w:rsid w:val="007D5104"/>
    <w:rsid w:val="007D52BB"/>
    <w:rsid w:val="007D5536"/>
    <w:rsid w:val="007D576A"/>
    <w:rsid w:val="007D58F7"/>
    <w:rsid w:val="007D59D8"/>
    <w:rsid w:val="007D59FD"/>
    <w:rsid w:val="007D5A13"/>
    <w:rsid w:val="007D5D91"/>
    <w:rsid w:val="007D5DEE"/>
    <w:rsid w:val="007D5E17"/>
    <w:rsid w:val="007D5E72"/>
    <w:rsid w:val="007D5F44"/>
    <w:rsid w:val="007D6156"/>
    <w:rsid w:val="007D619A"/>
    <w:rsid w:val="007D636B"/>
    <w:rsid w:val="007D6396"/>
    <w:rsid w:val="007D6578"/>
    <w:rsid w:val="007D6579"/>
    <w:rsid w:val="007D674E"/>
    <w:rsid w:val="007D675F"/>
    <w:rsid w:val="007D676A"/>
    <w:rsid w:val="007D681E"/>
    <w:rsid w:val="007D68E6"/>
    <w:rsid w:val="007D6B6B"/>
    <w:rsid w:val="007D6B85"/>
    <w:rsid w:val="007D6FCA"/>
    <w:rsid w:val="007D6FCB"/>
    <w:rsid w:val="007D70FB"/>
    <w:rsid w:val="007D73BF"/>
    <w:rsid w:val="007D73DE"/>
    <w:rsid w:val="007D7471"/>
    <w:rsid w:val="007D74D8"/>
    <w:rsid w:val="007D7635"/>
    <w:rsid w:val="007D795D"/>
    <w:rsid w:val="007E00AE"/>
    <w:rsid w:val="007E014E"/>
    <w:rsid w:val="007E0213"/>
    <w:rsid w:val="007E02C4"/>
    <w:rsid w:val="007E035F"/>
    <w:rsid w:val="007E0453"/>
    <w:rsid w:val="007E0755"/>
    <w:rsid w:val="007E0767"/>
    <w:rsid w:val="007E0908"/>
    <w:rsid w:val="007E0A54"/>
    <w:rsid w:val="007E0FEE"/>
    <w:rsid w:val="007E1032"/>
    <w:rsid w:val="007E1078"/>
    <w:rsid w:val="007E1164"/>
    <w:rsid w:val="007E1352"/>
    <w:rsid w:val="007E1381"/>
    <w:rsid w:val="007E150E"/>
    <w:rsid w:val="007E155D"/>
    <w:rsid w:val="007E15B8"/>
    <w:rsid w:val="007E19C2"/>
    <w:rsid w:val="007E1AF1"/>
    <w:rsid w:val="007E1BF9"/>
    <w:rsid w:val="007E1CD8"/>
    <w:rsid w:val="007E1D17"/>
    <w:rsid w:val="007E1E24"/>
    <w:rsid w:val="007E2430"/>
    <w:rsid w:val="007E2442"/>
    <w:rsid w:val="007E2749"/>
    <w:rsid w:val="007E2813"/>
    <w:rsid w:val="007E2C08"/>
    <w:rsid w:val="007E2C5E"/>
    <w:rsid w:val="007E2FA2"/>
    <w:rsid w:val="007E30C2"/>
    <w:rsid w:val="007E3226"/>
    <w:rsid w:val="007E3893"/>
    <w:rsid w:val="007E38C1"/>
    <w:rsid w:val="007E38FD"/>
    <w:rsid w:val="007E398F"/>
    <w:rsid w:val="007E4033"/>
    <w:rsid w:val="007E40E0"/>
    <w:rsid w:val="007E41A5"/>
    <w:rsid w:val="007E426B"/>
    <w:rsid w:val="007E4583"/>
    <w:rsid w:val="007E462C"/>
    <w:rsid w:val="007E4657"/>
    <w:rsid w:val="007E4733"/>
    <w:rsid w:val="007E487C"/>
    <w:rsid w:val="007E488D"/>
    <w:rsid w:val="007E48D4"/>
    <w:rsid w:val="007E4977"/>
    <w:rsid w:val="007E4CCD"/>
    <w:rsid w:val="007E4D56"/>
    <w:rsid w:val="007E4E1F"/>
    <w:rsid w:val="007E4E2C"/>
    <w:rsid w:val="007E4F67"/>
    <w:rsid w:val="007E4F90"/>
    <w:rsid w:val="007E4F96"/>
    <w:rsid w:val="007E4FAF"/>
    <w:rsid w:val="007E5049"/>
    <w:rsid w:val="007E510B"/>
    <w:rsid w:val="007E51F5"/>
    <w:rsid w:val="007E545B"/>
    <w:rsid w:val="007E5473"/>
    <w:rsid w:val="007E5492"/>
    <w:rsid w:val="007E54C1"/>
    <w:rsid w:val="007E5539"/>
    <w:rsid w:val="007E555E"/>
    <w:rsid w:val="007E563A"/>
    <w:rsid w:val="007E56D0"/>
    <w:rsid w:val="007E5741"/>
    <w:rsid w:val="007E5749"/>
    <w:rsid w:val="007E5901"/>
    <w:rsid w:val="007E5947"/>
    <w:rsid w:val="007E5B09"/>
    <w:rsid w:val="007E5B94"/>
    <w:rsid w:val="007E5CC4"/>
    <w:rsid w:val="007E5D82"/>
    <w:rsid w:val="007E63FA"/>
    <w:rsid w:val="007E63FB"/>
    <w:rsid w:val="007E6470"/>
    <w:rsid w:val="007E6566"/>
    <w:rsid w:val="007E66FB"/>
    <w:rsid w:val="007E6728"/>
    <w:rsid w:val="007E6A03"/>
    <w:rsid w:val="007E6A3B"/>
    <w:rsid w:val="007E6B4C"/>
    <w:rsid w:val="007E71F1"/>
    <w:rsid w:val="007E749B"/>
    <w:rsid w:val="007E750E"/>
    <w:rsid w:val="007E7555"/>
    <w:rsid w:val="007E7735"/>
    <w:rsid w:val="007E7799"/>
    <w:rsid w:val="007E7D5A"/>
    <w:rsid w:val="007E7E23"/>
    <w:rsid w:val="007E7E48"/>
    <w:rsid w:val="007E7E5E"/>
    <w:rsid w:val="007E7EB5"/>
    <w:rsid w:val="007F033B"/>
    <w:rsid w:val="007F034A"/>
    <w:rsid w:val="007F0365"/>
    <w:rsid w:val="007F03D2"/>
    <w:rsid w:val="007F04FE"/>
    <w:rsid w:val="007F059B"/>
    <w:rsid w:val="007F069E"/>
    <w:rsid w:val="007F0A72"/>
    <w:rsid w:val="007F0AB4"/>
    <w:rsid w:val="007F0BD4"/>
    <w:rsid w:val="007F0BEC"/>
    <w:rsid w:val="007F0E48"/>
    <w:rsid w:val="007F0F00"/>
    <w:rsid w:val="007F109A"/>
    <w:rsid w:val="007F1348"/>
    <w:rsid w:val="007F14DC"/>
    <w:rsid w:val="007F1850"/>
    <w:rsid w:val="007F1A26"/>
    <w:rsid w:val="007F1AF3"/>
    <w:rsid w:val="007F1B6E"/>
    <w:rsid w:val="007F1DDE"/>
    <w:rsid w:val="007F1E36"/>
    <w:rsid w:val="007F1EE1"/>
    <w:rsid w:val="007F1F3F"/>
    <w:rsid w:val="007F2017"/>
    <w:rsid w:val="007F2052"/>
    <w:rsid w:val="007F2169"/>
    <w:rsid w:val="007F227E"/>
    <w:rsid w:val="007F2364"/>
    <w:rsid w:val="007F25F5"/>
    <w:rsid w:val="007F26A9"/>
    <w:rsid w:val="007F270F"/>
    <w:rsid w:val="007F2711"/>
    <w:rsid w:val="007F28FD"/>
    <w:rsid w:val="007F2B2A"/>
    <w:rsid w:val="007F2B44"/>
    <w:rsid w:val="007F2C1B"/>
    <w:rsid w:val="007F2C1F"/>
    <w:rsid w:val="007F2CF7"/>
    <w:rsid w:val="007F2EE5"/>
    <w:rsid w:val="007F2F9A"/>
    <w:rsid w:val="007F2FE0"/>
    <w:rsid w:val="007F3023"/>
    <w:rsid w:val="007F3271"/>
    <w:rsid w:val="007F3385"/>
    <w:rsid w:val="007F3574"/>
    <w:rsid w:val="007F35AF"/>
    <w:rsid w:val="007F35EB"/>
    <w:rsid w:val="007F3772"/>
    <w:rsid w:val="007F37C4"/>
    <w:rsid w:val="007F3943"/>
    <w:rsid w:val="007F39E6"/>
    <w:rsid w:val="007F3A21"/>
    <w:rsid w:val="007F3C0B"/>
    <w:rsid w:val="007F3DA1"/>
    <w:rsid w:val="007F3DA2"/>
    <w:rsid w:val="007F3FC9"/>
    <w:rsid w:val="007F4115"/>
    <w:rsid w:val="007F419A"/>
    <w:rsid w:val="007F41A2"/>
    <w:rsid w:val="007F4785"/>
    <w:rsid w:val="007F4842"/>
    <w:rsid w:val="007F4B46"/>
    <w:rsid w:val="007F4FED"/>
    <w:rsid w:val="007F5083"/>
    <w:rsid w:val="007F520E"/>
    <w:rsid w:val="007F537A"/>
    <w:rsid w:val="007F5744"/>
    <w:rsid w:val="007F594C"/>
    <w:rsid w:val="007F59A1"/>
    <w:rsid w:val="007F5C07"/>
    <w:rsid w:val="007F607E"/>
    <w:rsid w:val="007F61BD"/>
    <w:rsid w:val="007F630E"/>
    <w:rsid w:val="007F6456"/>
    <w:rsid w:val="007F64E1"/>
    <w:rsid w:val="007F69CC"/>
    <w:rsid w:val="007F6A75"/>
    <w:rsid w:val="007F6D6D"/>
    <w:rsid w:val="007F6F55"/>
    <w:rsid w:val="007F6FDE"/>
    <w:rsid w:val="007F756F"/>
    <w:rsid w:val="007F7624"/>
    <w:rsid w:val="007F7709"/>
    <w:rsid w:val="007F777E"/>
    <w:rsid w:val="007F7C1B"/>
    <w:rsid w:val="007F7C84"/>
    <w:rsid w:val="007F7CFE"/>
    <w:rsid w:val="007F7D10"/>
    <w:rsid w:val="007F7E94"/>
    <w:rsid w:val="008000AF"/>
    <w:rsid w:val="00800304"/>
    <w:rsid w:val="00800466"/>
    <w:rsid w:val="0080047A"/>
    <w:rsid w:val="0080048E"/>
    <w:rsid w:val="00800707"/>
    <w:rsid w:val="00800783"/>
    <w:rsid w:val="008008B2"/>
    <w:rsid w:val="008009A1"/>
    <w:rsid w:val="00800A3C"/>
    <w:rsid w:val="00800D27"/>
    <w:rsid w:val="00800E83"/>
    <w:rsid w:val="00800F65"/>
    <w:rsid w:val="00800F9F"/>
    <w:rsid w:val="0080110A"/>
    <w:rsid w:val="00801234"/>
    <w:rsid w:val="0080123E"/>
    <w:rsid w:val="00801AAC"/>
    <w:rsid w:val="00801AF9"/>
    <w:rsid w:val="00801B28"/>
    <w:rsid w:val="00801BA5"/>
    <w:rsid w:val="00801EA1"/>
    <w:rsid w:val="00802284"/>
    <w:rsid w:val="008022EE"/>
    <w:rsid w:val="00802448"/>
    <w:rsid w:val="00802566"/>
    <w:rsid w:val="00802625"/>
    <w:rsid w:val="0080267A"/>
    <w:rsid w:val="00802693"/>
    <w:rsid w:val="00802741"/>
    <w:rsid w:val="00802800"/>
    <w:rsid w:val="0080284A"/>
    <w:rsid w:val="008028BC"/>
    <w:rsid w:val="00802986"/>
    <w:rsid w:val="00802991"/>
    <w:rsid w:val="008029A8"/>
    <w:rsid w:val="00802AC0"/>
    <w:rsid w:val="00802B54"/>
    <w:rsid w:val="00802C03"/>
    <w:rsid w:val="00802C63"/>
    <w:rsid w:val="00802C89"/>
    <w:rsid w:val="00802E19"/>
    <w:rsid w:val="00802F5D"/>
    <w:rsid w:val="00803089"/>
    <w:rsid w:val="008030E5"/>
    <w:rsid w:val="00803451"/>
    <w:rsid w:val="00803528"/>
    <w:rsid w:val="0080357F"/>
    <w:rsid w:val="008035D0"/>
    <w:rsid w:val="0080363B"/>
    <w:rsid w:val="00803655"/>
    <w:rsid w:val="00803740"/>
    <w:rsid w:val="008037E8"/>
    <w:rsid w:val="00803888"/>
    <w:rsid w:val="008038C3"/>
    <w:rsid w:val="0080390E"/>
    <w:rsid w:val="008039BE"/>
    <w:rsid w:val="00803A88"/>
    <w:rsid w:val="00803AD1"/>
    <w:rsid w:val="00803D8F"/>
    <w:rsid w:val="00803DCD"/>
    <w:rsid w:val="00803DD8"/>
    <w:rsid w:val="00804359"/>
    <w:rsid w:val="008043C7"/>
    <w:rsid w:val="008043D1"/>
    <w:rsid w:val="00804491"/>
    <w:rsid w:val="0080455E"/>
    <w:rsid w:val="008047BF"/>
    <w:rsid w:val="00804BA1"/>
    <w:rsid w:val="00804D72"/>
    <w:rsid w:val="00804D7D"/>
    <w:rsid w:val="00804D94"/>
    <w:rsid w:val="00805110"/>
    <w:rsid w:val="00805590"/>
    <w:rsid w:val="008055AF"/>
    <w:rsid w:val="008056FB"/>
    <w:rsid w:val="00805727"/>
    <w:rsid w:val="00805819"/>
    <w:rsid w:val="008058AE"/>
    <w:rsid w:val="008059B7"/>
    <w:rsid w:val="00805C4D"/>
    <w:rsid w:val="00805D87"/>
    <w:rsid w:val="00806086"/>
    <w:rsid w:val="0080612D"/>
    <w:rsid w:val="00806274"/>
    <w:rsid w:val="00806330"/>
    <w:rsid w:val="0080645E"/>
    <w:rsid w:val="00806593"/>
    <w:rsid w:val="0080661F"/>
    <w:rsid w:val="00806E03"/>
    <w:rsid w:val="00806F1F"/>
    <w:rsid w:val="0080711D"/>
    <w:rsid w:val="00807155"/>
    <w:rsid w:val="0080738A"/>
    <w:rsid w:val="00807573"/>
    <w:rsid w:val="00807646"/>
    <w:rsid w:val="00807B4F"/>
    <w:rsid w:val="00807D43"/>
    <w:rsid w:val="00807DA3"/>
    <w:rsid w:val="00807E6E"/>
    <w:rsid w:val="00810518"/>
    <w:rsid w:val="00810539"/>
    <w:rsid w:val="008107CB"/>
    <w:rsid w:val="008107FD"/>
    <w:rsid w:val="008108A4"/>
    <w:rsid w:val="00810A00"/>
    <w:rsid w:val="00810AD5"/>
    <w:rsid w:val="00810C40"/>
    <w:rsid w:val="00810C76"/>
    <w:rsid w:val="00811376"/>
    <w:rsid w:val="00811396"/>
    <w:rsid w:val="0081140F"/>
    <w:rsid w:val="00811771"/>
    <w:rsid w:val="008117F2"/>
    <w:rsid w:val="0081185F"/>
    <w:rsid w:val="00811873"/>
    <w:rsid w:val="0081195C"/>
    <w:rsid w:val="00811D56"/>
    <w:rsid w:val="00811E49"/>
    <w:rsid w:val="00812197"/>
    <w:rsid w:val="008121B7"/>
    <w:rsid w:val="0081225E"/>
    <w:rsid w:val="0081248F"/>
    <w:rsid w:val="00812751"/>
    <w:rsid w:val="008128D9"/>
    <w:rsid w:val="00812A1F"/>
    <w:rsid w:val="00812A2B"/>
    <w:rsid w:val="00812C00"/>
    <w:rsid w:val="00812D51"/>
    <w:rsid w:val="00812DF0"/>
    <w:rsid w:val="00812EAE"/>
    <w:rsid w:val="00812FCD"/>
    <w:rsid w:val="008134F7"/>
    <w:rsid w:val="008135D6"/>
    <w:rsid w:val="008136A2"/>
    <w:rsid w:val="008136F7"/>
    <w:rsid w:val="0081394E"/>
    <w:rsid w:val="00813A5F"/>
    <w:rsid w:val="00813B70"/>
    <w:rsid w:val="00813F84"/>
    <w:rsid w:val="0081422F"/>
    <w:rsid w:val="0081449A"/>
    <w:rsid w:val="0081465A"/>
    <w:rsid w:val="00814711"/>
    <w:rsid w:val="00814941"/>
    <w:rsid w:val="008149B5"/>
    <w:rsid w:val="00814AD4"/>
    <w:rsid w:val="00814B20"/>
    <w:rsid w:val="00814D63"/>
    <w:rsid w:val="008150EC"/>
    <w:rsid w:val="008150EE"/>
    <w:rsid w:val="00815165"/>
    <w:rsid w:val="00815327"/>
    <w:rsid w:val="008153CE"/>
    <w:rsid w:val="00815459"/>
    <w:rsid w:val="00815537"/>
    <w:rsid w:val="0081572A"/>
    <w:rsid w:val="00815833"/>
    <w:rsid w:val="008158A8"/>
    <w:rsid w:val="008159CF"/>
    <w:rsid w:val="00815CB9"/>
    <w:rsid w:val="00815D2D"/>
    <w:rsid w:val="00815F22"/>
    <w:rsid w:val="008160BD"/>
    <w:rsid w:val="008161B3"/>
    <w:rsid w:val="008161FF"/>
    <w:rsid w:val="00816448"/>
    <w:rsid w:val="00816487"/>
    <w:rsid w:val="0081662D"/>
    <w:rsid w:val="00816A4B"/>
    <w:rsid w:val="00816BED"/>
    <w:rsid w:val="00816C0B"/>
    <w:rsid w:val="00816E05"/>
    <w:rsid w:val="00816E1A"/>
    <w:rsid w:val="00816F66"/>
    <w:rsid w:val="00816F99"/>
    <w:rsid w:val="00817190"/>
    <w:rsid w:val="008171A6"/>
    <w:rsid w:val="00817531"/>
    <w:rsid w:val="008176BD"/>
    <w:rsid w:val="008176EA"/>
    <w:rsid w:val="00817864"/>
    <w:rsid w:val="00817897"/>
    <w:rsid w:val="00817977"/>
    <w:rsid w:val="008179B3"/>
    <w:rsid w:val="00817A3E"/>
    <w:rsid w:val="00817AFB"/>
    <w:rsid w:val="00817CAD"/>
    <w:rsid w:val="00817D0B"/>
    <w:rsid w:val="00817D42"/>
    <w:rsid w:val="00817E06"/>
    <w:rsid w:val="00817E70"/>
    <w:rsid w:val="00820021"/>
    <w:rsid w:val="00820134"/>
    <w:rsid w:val="0082046A"/>
    <w:rsid w:val="00820550"/>
    <w:rsid w:val="00820591"/>
    <w:rsid w:val="00820673"/>
    <w:rsid w:val="008208A6"/>
    <w:rsid w:val="00820956"/>
    <w:rsid w:val="00820B34"/>
    <w:rsid w:val="00820CF2"/>
    <w:rsid w:val="00820F99"/>
    <w:rsid w:val="00821317"/>
    <w:rsid w:val="00821376"/>
    <w:rsid w:val="008217DF"/>
    <w:rsid w:val="00821909"/>
    <w:rsid w:val="00821A7E"/>
    <w:rsid w:val="00821AC3"/>
    <w:rsid w:val="00821C04"/>
    <w:rsid w:val="00821C0A"/>
    <w:rsid w:val="00821D1E"/>
    <w:rsid w:val="00822074"/>
    <w:rsid w:val="008220A4"/>
    <w:rsid w:val="008225EC"/>
    <w:rsid w:val="0082298F"/>
    <w:rsid w:val="008229C9"/>
    <w:rsid w:val="00822B27"/>
    <w:rsid w:val="00822B2B"/>
    <w:rsid w:val="00822DAC"/>
    <w:rsid w:val="00823251"/>
    <w:rsid w:val="0082349D"/>
    <w:rsid w:val="008234A3"/>
    <w:rsid w:val="00823640"/>
    <w:rsid w:val="00823768"/>
    <w:rsid w:val="0082382A"/>
    <w:rsid w:val="0082387B"/>
    <w:rsid w:val="008239E9"/>
    <w:rsid w:val="00823B90"/>
    <w:rsid w:val="00823C03"/>
    <w:rsid w:val="00823F96"/>
    <w:rsid w:val="0082405D"/>
    <w:rsid w:val="008241DA"/>
    <w:rsid w:val="0082461F"/>
    <w:rsid w:val="0082469B"/>
    <w:rsid w:val="008248E5"/>
    <w:rsid w:val="00824A22"/>
    <w:rsid w:val="00824D53"/>
    <w:rsid w:val="0082500F"/>
    <w:rsid w:val="008252BE"/>
    <w:rsid w:val="008254FA"/>
    <w:rsid w:val="0082582A"/>
    <w:rsid w:val="00825A4F"/>
    <w:rsid w:val="00825AF7"/>
    <w:rsid w:val="00825B3B"/>
    <w:rsid w:val="00825C2E"/>
    <w:rsid w:val="00825CD2"/>
    <w:rsid w:val="00825DEE"/>
    <w:rsid w:val="00826162"/>
    <w:rsid w:val="008262A8"/>
    <w:rsid w:val="00826396"/>
    <w:rsid w:val="00826419"/>
    <w:rsid w:val="00826569"/>
    <w:rsid w:val="0082659C"/>
    <w:rsid w:val="00826943"/>
    <w:rsid w:val="00826AF4"/>
    <w:rsid w:val="00826DF6"/>
    <w:rsid w:val="00826EA5"/>
    <w:rsid w:val="00826EF7"/>
    <w:rsid w:val="00826F19"/>
    <w:rsid w:val="0082711B"/>
    <w:rsid w:val="0082746D"/>
    <w:rsid w:val="00827C41"/>
    <w:rsid w:val="00827ED7"/>
    <w:rsid w:val="00827EE1"/>
    <w:rsid w:val="008301E2"/>
    <w:rsid w:val="008302E8"/>
    <w:rsid w:val="00830374"/>
    <w:rsid w:val="00830386"/>
    <w:rsid w:val="008304D1"/>
    <w:rsid w:val="008307D6"/>
    <w:rsid w:val="0083088E"/>
    <w:rsid w:val="00830A4A"/>
    <w:rsid w:val="00830F0A"/>
    <w:rsid w:val="0083104A"/>
    <w:rsid w:val="00831129"/>
    <w:rsid w:val="0083124E"/>
    <w:rsid w:val="00831511"/>
    <w:rsid w:val="0083166B"/>
    <w:rsid w:val="008316F5"/>
    <w:rsid w:val="00831A9E"/>
    <w:rsid w:val="00831B42"/>
    <w:rsid w:val="00831BBE"/>
    <w:rsid w:val="00831D0F"/>
    <w:rsid w:val="00831FDC"/>
    <w:rsid w:val="008320E7"/>
    <w:rsid w:val="00832207"/>
    <w:rsid w:val="00832269"/>
    <w:rsid w:val="0083238D"/>
    <w:rsid w:val="00832584"/>
    <w:rsid w:val="0083265A"/>
    <w:rsid w:val="008326DD"/>
    <w:rsid w:val="008327E9"/>
    <w:rsid w:val="00832880"/>
    <w:rsid w:val="0083294E"/>
    <w:rsid w:val="0083296E"/>
    <w:rsid w:val="00832976"/>
    <w:rsid w:val="00832A24"/>
    <w:rsid w:val="00832D97"/>
    <w:rsid w:val="008332EA"/>
    <w:rsid w:val="008333C2"/>
    <w:rsid w:val="00833435"/>
    <w:rsid w:val="00833600"/>
    <w:rsid w:val="008338BB"/>
    <w:rsid w:val="008339BB"/>
    <w:rsid w:val="00833D60"/>
    <w:rsid w:val="00833D64"/>
    <w:rsid w:val="008340FA"/>
    <w:rsid w:val="008341D7"/>
    <w:rsid w:val="008346C9"/>
    <w:rsid w:val="00834819"/>
    <w:rsid w:val="00834AD0"/>
    <w:rsid w:val="00834B15"/>
    <w:rsid w:val="00834FE8"/>
    <w:rsid w:val="00835249"/>
    <w:rsid w:val="0083528A"/>
    <w:rsid w:val="00835374"/>
    <w:rsid w:val="008353AC"/>
    <w:rsid w:val="0083542F"/>
    <w:rsid w:val="008355EF"/>
    <w:rsid w:val="008357FB"/>
    <w:rsid w:val="00835905"/>
    <w:rsid w:val="00835A59"/>
    <w:rsid w:val="00835DC6"/>
    <w:rsid w:val="0083602B"/>
    <w:rsid w:val="00836279"/>
    <w:rsid w:val="008362CF"/>
    <w:rsid w:val="00836396"/>
    <w:rsid w:val="008365B3"/>
    <w:rsid w:val="00836657"/>
    <w:rsid w:val="00836772"/>
    <w:rsid w:val="00836952"/>
    <w:rsid w:val="00836A8F"/>
    <w:rsid w:val="00836B63"/>
    <w:rsid w:val="00836BCE"/>
    <w:rsid w:val="00836DD2"/>
    <w:rsid w:val="00836EAB"/>
    <w:rsid w:val="00836EEF"/>
    <w:rsid w:val="00836F1C"/>
    <w:rsid w:val="00836FE4"/>
    <w:rsid w:val="008371B0"/>
    <w:rsid w:val="0083722F"/>
    <w:rsid w:val="00837241"/>
    <w:rsid w:val="00837395"/>
    <w:rsid w:val="008374DA"/>
    <w:rsid w:val="00837758"/>
    <w:rsid w:val="00837CE7"/>
    <w:rsid w:val="00837DA0"/>
    <w:rsid w:val="008401FA"/>
    <w:rsid w:val="00840350"/>
    <w:rsid w:val="0084044C"/>
    <w:rsid w:val="0084054E"/>
    <w:rsid w:val="00840603"/>
    <w:rsid w:val="008409EF"/>
    <w:rsid w:val="00840BF0"/>
    <w:rsid w:val="00840E41"/>
    <w:rsid w:val="00840FFF"/>
    <w:rsid w:val="008419DE"/>
    <w:rsid w:val="00841AE7"/>
    <w:rsid w:val="00841B4D"/>
    <w:rsid w:val="00841B99"/>
    <w:rsid w:val="00841C0B"/>
    <w:rsid w:val="00841C44"/>
    <w:rsid w:val="00841CD1"/>
    <w:rsid w:val="00841D14"/>
    <w:rsid w:val="00841DD3"/>
    <w:rsid w:val="00841E1C"/>
    <w:rsid w:val="008420C6"/>
    <w:rsid w:val="00842201"/>
    <w:rsid w:val="00842337"/>
    <w:rsid w:val="00842504"/>
    <w:rsid w:val="0084255E"/>
    <w:rsid w:val="008425D6"/>
    <w:rsid w:val="00842858"/>
    <w:rsid w:val="00842874"/>
    <w:rsid w:val="00842C06"/>
    <w:rsid w:val="00842C70"/>
    <w:rsid w:val="00842D21"/>
    <w:rsid w:val="00842FC1"/>
    <w:rsid w:val="0084311C"/>
    <w:rsid w:val="0084344A"/>
    <w:rsid w:val="00843507"/>
    <w:rsid w:val="00843532"/>
    <w:rsid w:val="008436E2"/>
    <w:rsid w:val="008436E4"/>
    <w:rsid w:val="008436F8"/>
    <w:rsid w:val="00843947"/>
    <w:rsid w:val="00843BB8"/>
    <w:rsid w:val="0084423D"/>
    <w:rsid w:val="00844367"/>
    <w:rsid w:val="008443B3"/>
    <w:rsid w:val="008443C0"/>
    <w:rsid w:val="00844794"/>
    <w:rsid w:val="00844C42"/>
    <w:rsid w:val="00844EB9"/>
    <w:rsid w:val="00844FA9"/>
    <w:rsid w:val="00844FF1"/>
    <w:rsid w:val="00844FF7"/>
    <w:rsid w:val="008454B7"/>
    <w:rsid w:val="00845793"/>
    <w:rsid w:val="00845A17"/>
    <w:rsid w:val="00845BB6"/>
    <w:rsid w:val="00845DAC"/>
    <w:rsid w:val="00846058"/>
    <w:rsid w:val="00846196"/>
    <w:rsid w:val="0084631A"/>
    <w:rsid w:val="008464BA"/>
    <w:rsid w:val="0084658D"/>
    <w:rsid w:val="00846782"/>
    <w:rsid w:val="00846AA0"/>
    <w:rsid w:val="00846AAC"/>
    <w:rsid w:val="00846AB5"/>
    <w:rsid w:val="00846B20"/>
    <w:rsid w:val="00846B90"/>
    <w:rsid w:val="008470D8"/>
    <w:rsid w:val="00847215"/>
    <w:rsid w:val="00847292"/>
    <w:rsid w:val="0084735C"/>
    <w:rsid w:val="008478BA"/>
    <w:rsid w:val="00847C27"/>
    <w:rsid w:val="00847EE4"/>
    <w:rsid w:val="00847F72"/>
    <w:rsid w:val="00847FD0"/>
    <w:rsid w:val="0085016B"/>
    <w:rsid w:val="008502A0"/>
    <w:rsid w:val="00850310"/>
    <w:rsid w:val="00850328"/>
    <w:rsid w:val="008503B5"/>
    <w:rsid w:val="008504CC"/>
    <w:rsid w:val="00850604"/>
    <w:rsid w:val="0085074D"/>
    <w:rsid w:val="0085080B"/>
    <w:rsid w:val="0085083C"/>
    <w:rsid w:val="00850AD4"/>
    <w:rsid w:val="00850C2B"/>
    <w:rsid w:val="00850C2C"/>
    <w:rsid w:val="00850E74"/>
    <w:rsid w:val="00850E8A"/>
    <w:rsid w:val="00850EA6"/>
    <w:rsid w:val="00850F85"/>
    <w:rsid w:val="00851120"/>
    <w:rsid w:val="00851251"/>
    <w:rsid w:val="00851283"/>
    <w:rsid w:val="00851485"/>
    <w:rsid w:val="0085158C"/>
    <w:rsid w:val="0085191C"/>
    <w:rsid w:val="00851959"/>
    <w:rsid w:val="00851983"/>
    <w:rsid w:val="00851B5D"/>
    <w:rsid w:val="00851BD0"/>
    <w:rsid w:val="00851E3E"/>
    <w:rsid w:val="0085226B"/>
    <w:rsid w:val="00852345"/>
    <w:rsid w:val="008525C8"/>
    <w:rsid w:val="00852F30"/>
    <w:rsid w:val="00853047"/>
    <w:rsid w:val="00853183"/>
    <w:rsid w:val="008531C8"/>
    <w:rsid w:val="00853319"/>
    <w:rsid w:val="00853343"/>
    <w:rsid w:val="00853346"/>
    <w:rsid w:val="00853393"/>
    <w:rsid w:val="008533BA"/>
    <w:rsid w:val="00853467"/>
    <w:rsid w:val="00853496"/>
    <w:rsid w:val="0085373B"/>
    <w:rsid w:val="00853768"/>
    <w:rsid w:val="0085378C"/>
    <w:rsid w:val="00853949"/>
    <w:rsid w:val="008539C2"/>
    <w:rsid w:val="00853A11"/>
    <w:rsid w:val="00853AE4"/>
    <w:rsid w:val="00853B75"/>
    <w:rsid w:val="00853C05"/>
    <w:rsid w:val="00853C38"/>
    <w:rsid w:val="00853FB1"/>
    <w:rsid w:val="008541C4"/>
    <w:rsid w:val="00854235"/>
    <w:rsid w:val="00854844"/>
    <w:rsid w:val="00854912"/>
    <w:rsid w:val="0085496B"/>
    <w:rsid w:val="00854ABE"/>
    <w:rsid w:val="00855068"/>
    <w:rsid w:val="00855275"/>
    <w:rsid w:val="00855422"/>
    <w:rsid w:val="00855528"/>
    <w:rsid w:val="008555B2"/>
    <w:rsid w:val="008555F5"/>
    <w:rsid w:val="008556E0"/>
    <w:rsid w:val="00855920"/>
    <w:rsid w:val="00855A6E"/>
    <w:rsid w:val="00855C38"/>
    <w:rsid w:val="00855C4F"/>
    <w:rsid w:val="00855C97"/>
    <w:rsid w:val="00855CA1"/>
    <w:rsid w:val="00856194"/>
    <w:rsid w:val="008561ED"/>
    <w:rsid w:val="00856280"/>
    <w:rsid w:val="0085634C"/>
    <w:rsid w:val="0085656B"/>
    <w:rsid w:val="00856785"/>
    <w:rsid w:val="008569EE"/>
    <w:rsid w:val="00856A8D"/>
    <w:rsid w:val="00856CA6"/>
    <w:rsid w:val="00856D2A"/>
    <w:rsid w:val="00857033"/>
    <w:rsid w:val="00857174"/>
    <w:rsid w:val="008571C2"/>
    <w:rsid w:val="00857412"/>
    <w:rsid w:val="00857415"/>
    <w:rsid w:val="0085749A"/>
    <w:rsid w:val="0085756F"/>
    <w:rsid w:val="0085767F"/>
    <w:rsid w:val="0085775C"/>
    <w:rsid w:val="008578C2"/>
    <w:rsid w:val="00857E72"/>
    <w:rsid w:val="008602B4"/>
    <w:rsid w:val="00860493"/>
    <w:rsid w:val="008604EE"/>
    <w:rsid w:val="00860B87"/>
    <w:rsid w:val="00861033"/>
    <w:rsid w:val="0086155D"/>
    <w:rsid w:val="008615D0"/>
    <w:rsid w:val="00861848"/>
    <w:rsid w:val="00861B21"/>
    <w:rsid w:val="00861BD2"/>
    <w:rsid w:val="00861FA4"/>
    <w:rsid w:val="00861FF1"/>
    <w:rsid w:val="00862047"/>
    <w:rsid w:val="00862059"/>
    <w:rsid w:val="00862061"/>
    <w:rsid w:val="00862150"/>
    <w:rsid w:val="00862238"/>
    <w:rsid w:val="0086227F"/>
    <w:rsid w:val="0086243E"/>
    <w:rsid w:val="008627D2"/>
    <w:rsid w:val="0086282B"/>
    <w:rsid w:val="008628A3"/>
    <w:rsid w:val="00862CC9"/>
    <w:rsid w:val="00862D65"/>
    <w:rsid w:val="0086319D"/>
    <w:rsid w:val="008632E6"/>
    <w:rsid w:val="008634A6"/>
    <w:rsid w:val="008635EA"/>
    <w:rsid w:val="0086376B"/>
    <w:rsid w:val="0086397E"/>
    <w:rsid w:val="008639F1"/>
    <w:rsid w:val="00863A4B"/>
    <w:rsid w:val="00863EBF"/>
    <w:rsid w:val="00864044"/>
    <w:rsid w:val="008640AF"/>
    <w:rsid w:val="0086419A"/>
    <w:rsid w:val="00864338"/>
    <w:rsid w:val="00864497"/>
    <w:rsid w:val="00864529"/>
    <w:rsid w:val="00864A39"/>
    <w:rsid w:val="00864B3D"/>
    <w:rsid w:val="00864BBC"/>
    <w:rsid w:val="00864C0D"/>
    <w:rsid w:val="00864E6D"/>
    <w:rsid w:val="00865098"/>
    <w:rsid w:val="008650A9"/>
    <w:rsid w:val="008650E4"/>
    <w:rsid w:val="008652F8"/>
    <w:rsid w:val="00865478"/>
    <w:rsid w:val="00865502"/>
    <w:rsid w:val="008656D7"/>
    <w:rsid w:val="00865730"/>
    <w:rsid w:val="0086595E"/>
    <w:rsid w:val="00865A4B"/>
    <w:rsid w:val="00865AC5"/>
    <w:rsid w:val="00866141"/>
    <w:rsid w:val="0086639F"/>
    <w:rsid w:val="008664DC"/>
    <w:rsid w:val="00866B09"/>
    <w:rsid w:val="00866EF6"/>
    <w:rsid w:val="00866F74"/>
    <w:rsid w:val="00867450"/>
    <w:rsid w:val="00867A45"/>
    <w:rsid w:val="00867AE2"/>
    <w:rsid w:val="00870002"/>
    <w:rsid w:val="008701BF"/>
    <w:rsid w:val="0087023B"/>
    <w:rsid w:val="0087028F"/>
    <w:rsid w:val="008703C5"/>
    <w:rsid w:val="008704B1"/>
    <w:rsid w:val="0087058B"/>
    <w:rsid w:val="0087065E"/>
    <w:rsid w:val="00870680"/>
    <w:rsid w:val="008707EB"/>
    <w:rsid w:val="00870940"/>
    <w:rsid w:val="00870994"/>
    <w:rsid w:val="00870FD6"/>
    <w:rsid w:val="00870FF5"/>
    <w:rsid w:val="00871202"/>
    <w:rsid w:val="008713A7"/>
    <w:rsid w:val="00871470"/>
    <w:rsid w:val="008715C2"/>
    <w:rsid w:val="008718B5"/>
    <w:rsid w:val="0087190D"/>
    <w:rsid w:val="00871B1B"/>
    <w:rsid w:val="00871B48"/>
    <w:rsid w:val="00871ECF"/>
    <w:rsid w:val="00871F25"/>
    <w:rsid w:val="008720C5"/>
    <w:rsid w:val="0087210C"/>
    <w:rsid w:val="008721FC"/>
    <w:rsid w:val="00872211"/>
    <w:rsid w:val="008722B4"/>
    <w:rsid w:val="008723CD"/>
    <w:rsid w:val="008725AF"/>
    <w:rsid w:val="008725CE"/>
    <w:rsid w:val="0087262F"/>
    <w:rsid w:val="00872720"/>
    <w:rsid w:val="00872748"/>
    <w:rsid w:val="00872784"/>
    <w:rsid w:val="008729CC"/>
    <w:rsid w:val="00872A18"/>
    <w:rsid w:val="00872EEB"/>
    <w:rsid w:val="00872F5A"/>
    <w:rsid w:val="008732EC"/>
    <w:rsid w:val="00873306"/>
    <w:rsid w:val="00873626"/>
    <w:rsid w:val="00873627"/>
    <w:rsid w:val="008736C4"/>
    <w:rsid w:val="00873736"/>
    <w:rsid w:val="00873750"/>
    <w:rsid w:val="008738D9"/>
    <w:rsid w:val="00873E4F"/>
    <w:rsid w:val="0087433E"/>
    <w:rsid w:val="008744F9"/>
    <w:rsid w:val="00874552"/>
    <w:rsid w:val="008749FB"/>
    <w:rsid w:val="00875187"/>
    <w:rsid w:val="00875311"/>
    <w:rsid w:val="008753A4"/>
    <w:rsid w:val="008753B3"/>
    <w:rsid w:val="008754FA"/>
    <w:rsid w:val="008755A5"/>
    <w:rsid w:val="008755E4"/>
    <w:rsid w:val="0087582A"/>
    <w:rsid w:val="008758F2"/>
    <w:rsid w:val="00875A24"/>
    <w:rsid w:val="00875AE1"/>
    <w:rsid w:val="00875D5A"/>
    <w:rsid w:val="00875ECE"/>
    <w:rsid w:val="00875F3A"/>
    <w:rsid w:val="00875FE9"/>
    <w:rsid w:val="00876091"/>
    <w:rsid w:val="00876215"/>
    <w:rsid w:val="008762F2"/>
    <w:rsid w:val="00876654"/>
    <w:rsid w:val="00876A2E"/>
    <w:rsid w:val="00876E16"/>
    <w:rsid w:val="00876E55"/>
    <w:rsid w:val="00877052"/>
    <w:rsid w:val="008770A6"/>
    <w:rsid w:val="008771EA"/>
    <w:rsid w:val="00877271"/>
    <w:rsid w:val="00877382"/>
    <w:rsid w:val="00877450"/>
    <w:rsid w:val="008774A8"/>
    <w:rsid w:val="008777E0"/>
    <w:rsid w:val="00877814"/>
    <w:rsid w:val="00877AF7"/>
    <w:rsid w:val="00877B2B"/>
    <w:rsid w:val="00877C2B"/>
    <w:rsid w:val="00877E11"/>
    <w:rsid w:val="00877E21"/>
    <w:rsid w:val="00877F77"/>
    <w:rsid w:val="00877F7B"/>
    <w:rsid w:val="00877FAC"/>
    <w:rsid w:val="008801B6"/>
    <w:rsid w:val="00880371"/>
    <w:rsid w:val="0088071C"/>
    <w:rsid w:val="00880909"/>
    <w:rsid w:val="00881013"/>
    <w:rsid w:val="00881043"/>
    <w:rsid w:val="008810FE"/>
    <w:rsid w:val="00881220"/>
    <w:rsid w:val="0088134F"/>
    <w:rsid w:val="0088145E"/>
    <w:rsid w:val="008816ED"/>
    <w:rsid w:val="00881738"/>
    <w:rsid w:val="008818CA"/>
    <w:rsid w:val="00881901"/>
    <w:rsid w:val="008819FF"/>
    <w:rsid w:val="00881AF7"/>
    <w:rsid w:val="00881B6A"/>
    <w:rsid w:val="00881C5A"/>
    <w:rsid w:val="00881FF7"/>
    <w:rsid w:val="0088204E"/>
    <w:rsid w:val="00882116"/>
    <w:rsid w:val="0088214C"/>
    <w:rsid w:val="0088243A"/>
    <w:rsid w:val="008828D4"/>
    <w:rsid w:val="00882950"/>
    <w:rsid w:val="00882A08"/>
    <w:rsid w:val="00882A0C"/>
    <w:rsid w:val="00882AC5"/>
    <w:rsid w:val="00882BEE"/>
    <w:rsid w:val="00882C82"/>
    <w:rsid w:val="00882DB7"/>
    <w:rsid w:val="0088316C"/>
    <w:rsid w:val="008831D7"/>
    <w:rsid w:val="008832DF"/>
    <w:rsid w:val="008834A5"/>
    <w:rsid w:val="008834DC"/>
    <w:rsid w:val="008834E1"/>
    <w:rsid w:val="008834E9"/>
    <w:rsid w:val="00883578"/>
    <w:rsid w:val="00883886"/>
    <w:rsid w:val="00883BBC"/>
    <w:rsid w:val="00883C10"/>
    <w:rsid w:val="00883E74"/>
    <w:rsid w:val="00883F64"/>
    <w:rsid w:val="0088400A"/>
    <w:rsid w:val="00884068"/>
    <w:rsid w:val="008841A5"/>
    <w:rsid w:val="0088434C"/>
    <w:rsid w:val="0088435F"/>
    <w:rsid w:val="0088452B"/>
    <w:rsid w:val="00884766"/>
    <w:rsid w:val="00884863"/>
    <w:rsid w:val="008848E2"/>
    <w:rsid w:val="00884B12"/>
    <w:rsid w:val="00884C35"/>
    <w:rsid w:val="00884F74"/>
    <w:rsid w:val="008853EA"/>
    <w:rsid w:val="00885623"/>
    <w:rsid w:val="008856A7"/>
    <w:rsid w:val="00885A35"/>
    <w:rsid w:val="00885EE5"/>
    <w:rsid w:val="00886020"/>
    <w:rsid w:val="008860A0"/>
    <w:rsid w:val="008861C2"/>
    <w:rsid w:val="00886389"/>
    <w:rsid w:val="008863EF"/>
    <w:rsid w:val="00886534"/>
    <w:rsid w:val="008865E9"/>
    <w:rsid w:val="00886641"/>
    <w:rsid w:val="008866D7"/>
    <w:rsid w:val="0088695D"/>
    <w:rsid w:val="00886A25"/>
    <w:rsid w:val="00886AD2"/>
    <w:rsid w:val="00886B18"/>
    <w:rsid w:val="00886B3F"/>
    <w:rsid w:val="00886BE6"/>
    <w:rsid w:val="00886D0D"/>
    <w:rsid w:val="00886D53"/>
    <w:rsid w:val="00886E79"/>
    <w:rsid w:val="00886EBF"/>
    <w:rsid w:val="00886F3B"/>
    <w:rsid w:val="00887172"/>
    <w:rsid w:val="008872E5"/>
    <w:rsid w:val="00887645"/>
    <w:rsid w:val="00887677"/>
    <w:rsid w:val="0088777D"/>
    <w:rsid w:val="00887801"/>
    <w:rsid w:val="00887AC1"/>
    <w:rsid w:val="00887B33"/>
    <w:rsid w:val="00887B8E"/>
    <w:rsid w:val="00887CF4"/>
    <w:rsid w:val="00887F0D"/>
    <w:rsid w:val="00887F5A"/>
    <w:rsid w:val="0089003A"/>
    <w:rsid w:val="00890188"/>
    <w:rsid w:val="00890272"/>
    <w:rsid w:val="008902A1"/>
    <w:rsid w:val="008902C0"/>
    <w:rsid w:val="0089060E"/>
    <w:rsid w:val="0089061C"/>
    <w:rsid w:val="00890624"/>
    <w:rsid w:val="008906D1"/>
    <w:rsid w:val="008907D8"/>
    <w:rsid w:val="00890809"/>
    <w:rsid w:val="0089081B"/>
    <w:rsid w:val="008908E7"/>
    <w:rsid w:val="00890B12"/>
    <w:rsid w:val="00890B60"/>
    <w:rsid w:val="00890B94"/>
    <w:rsid w:val="00890BA8"/>
    <w:rsid w:val="00890BB8"/>
    <w:rsid w:val="008911C5"/>
    <w:rsid w:val="0089132F"/>
    <w:rsid w:val="00891586"/>
    <w:rsid w:val="00891765"/>
    <w:rsid w:val="00891807"/>
    <w:rsid w:val="00891B86"/>
    <w:rsid w:val="00891CA7"/>
    <w:rsid w:val="00891DBF"/>
    <w:rsid w:val="008920F6"/>
    <w:rsid w:val="0089220C"/>
    <w:rsid w:val="0089228C"/>
    <w:rsid w:val="008923C7"/>
    <w:rsid w:val="00892597"/>
    <w:rsid w:val="008925FE"/>
    <w:rsid w:val="0089265F"/>
    <w:rsid w:val="0089291C"/>
    <w:rsid w:val="00892974"/>
    <w:rsid w:val="00892975"/>
    <w:rsid w:val="00892995"/>
    <w:rsid w:val="00892D10"/>
    <w:rsid w:val="00892FEC"/>
    <w:rsid w:val="00893066"/>
    <w:rsid w:val="00893091"/>
    <w:rsid w:val="0089340F"/>
    <w:rsid w:val="0089342C"/>
    <w:rsid w:val="008934BD"/>
    <w:rsid w:val="0089366F"/>
    <w:rsid w:val="008936B6"/>
    <w:rsid w:val="008937FA"/>
    <w:rsid w:val="008939EC"/>
    <w:rsid w:val="00893A0D"/>
    <w:rsid w:val="00893BF4"/>
    <w:rsid w:val="00893BF8"/>
    <w:rsid w:val="00893D40"/>
    <w:rsid w:val="00893D4B"/>
    <w:rsid w:val="00893EED"/>
    <w:rsid w:val="00893FD9"/>
    <w:rsid w:val="00894114"/>
    <w:rsid w:val="00894133"/>
    <w:rsid w:val="008943C0"/>
    <w:rsid w:val="00894673"/>
    <w:rsid w:val="008948E7"/>
    <w:rsid w:val="00894A88"/>
    <w:rsid w:val="00894B51"/>
    <w:rsid w:val="00894C2D"/>
    <w:rsid w:val="00894D57"/>
    <w:rsid w:val="00894DED"/>
    <w:rsid w:val="00895181"/>
    <w:rsid w:val="008951AC"/>
    <w:rsid w:val="008951E1"/>
    <w:rsid w:val="0089520A"/>
    <w:rsid w:val="008955A7"/>
    <w:rsid w:val="0089582C"/>
    <w:rsid w:val="008958C2"/>
    <w:rsid w:val="0089596A"/>
    <w:rsid w:val="008959C5"/>
    <w:rsid w:val="00895CC3"/>
    <w:rsid w:val="008960B3"/>
    <w:rsid w:val="00896204"/>
    <w:rsid w:val="00896487"/>
    <w:rsid w:val="00896517"/>
    <w:rsid w:val="008966CB"/>
    <w:rsid w:val="00896936"/>
    <w:rsid w:val="0089694F"/>
    <w:rsid w:val="008969FB"/>
    <w:rsid w:val="00896AC6"/>
    <w:rsid w:val="00896BD7"/>
    <w:rsid w:val="00896BF5"/>
    <w:rsid w:val="00896CEE"/>
    <w:rsid w:val="00896DF9"/>
    <w:rsid w:val="00896F7E"/>
    <w:rsid w:val="00897168"/>
    <w:rsid w:val="00897199"/>
    <w:rsid w:val="008973AF"/>
    <w:rsid w:val="008973D4"/>
    <w:rsid w:val="0089740A"/>
    <w:rsid w:val="00897543"/>
    <w:rsid w:val="0089770A"/>
    <w:rsid w:val="0089792B"/>
    <w:rsid w:val="0089795E"/>
    <w:rsid w:val="0089796D"/>
    <w:rsid w:val="00897985"/>
    <w:rsid w:val="00897B89"/>
    <w:rsid w:val="00897F2F"/>
    <w:rsid w:val="008A01A2"/>
    <w:rsid w:val="008A01DB"/>
    <w:rsid w:val="008A0287"/>
    <w:rsid w:val="008A0462"/>
    <w:rsid w:val="008A0509"/>
    <w:rsid w:val="008A08A2"/>
    <w:rsid w:val="008A08BF"/>
    <w:rsid w:val="008A09A2"/>
    <w:rsid w:val="008A09C1"/>
    <w:rsid w:val="008A0C5D"/>
    <w:rsid w:val="008A0D2B"/>
    <w:rsid w:val="008A0D99"/>
    <w:rsid w:val="008A1149"/>
    <w:rsid w:val="008A142F"/>
    <w:rsid w:val="008A1552"/>
    <w:rsid w:val="008A15C7"/>
    <w:rsid w:val="008A179F"/>
    <w:rsid w:val="008A1889"/>
    <w:rsid w:val="008A18FA"/>
    <w:rsid w:val="008A196A"/>
    <w:rsid w:val="008A199D"/>
    <w:rsid w:val="008A1BCD"/>
    <w:rsid w:val="008A1CF1"/>
    <w:rsid w:val="008A1DAE"/>
    <w:rsid w:val="008A2115"/>
    <w:rsid w:val="008A2309"/>
    <w:rsid w:val="008A2524"/>
    <w:rsid w:val="008A28FB"/>
    <w:rsid w:val="008A297A"/>
    <w:rsid w:val="008A2F29"/>
    <w:rsid w:val="008A2FAB"/>
    <w:rsid w:val="008A2FBB"/>
    <w:rsid w:val="008A3167"/>
    <w:rsid w:val="008A3235"/>
    <w:rsid w:val="008A34E5"/>
    <w:rsid w:val="008A34EB"/>
    <w:rsid w:val="008A369A"/>
    <w:rsid w:val="008A36AB"/>
    <w:rsid w:val="008A37CF"/>
    <w:rsid w:val="008A3943"/>
    <w:rsid w:val="008A3E5F"/>
    <w:rsid w:val="008A43CA"/>
    <w:rsid w:val="008A46DE"/>
    <w:rsid w:val="008A4909"/>
    <w:rsid w:val="008A5043"/>
    <w:rsid w:val="008A50A0"/>
    <w:rsid w:val="008A51DD"/>
    <w:rsid w:val="008A54C9"/>
    <w:rsid w:val="008A56E8"/>
    <w:rsid w:val="008A5793"/>
    <w:rsid w:val="008A581D"/>
    <w:rsid w:val="008A5848"/>
    <w:rsid w:val="008A58B7"/>
    <w:rsid w:val="008A58F4"/>
    <w:rsid w:val="008A5A7B"/>
    <w:rsid w:val="008A5AAD"/>
    <w:rsid w:val="008A5AAF"/>
    <w:rsid w:val="008A5F4C"/>
    <w:rsid w:val="008A5F9F"/>
    <w:rsid w:val="008A61D9"/>
    <w:rsid w:val="008A625F"/>
    <w:rsid w:val="008A62B7"/>
    <w:rsid w:val="008A62B8"/>
    <w:rsid w:val="008A6500"/>
    <w:rsid w:val="008A66A8"/>
    <w:rsid w:val="008A6700"/>
    <w:rsid w:val="008A69DF"/>
    <w:rsid w:val="008A6A4B"/>
    <w:rsid w:val="008A6A71"/>
    <w:rsid w:val="008A6A77"/>
    <w:rsid w:val="008A6C66"/>
    <w:rsid w:val="008A6CA3"/>
    <w:rsid w:val="008A6EFB"/>
    <w:rsid w:val="008A70D1"/>
    <w:rsid w:val="008A715A"/>
    <w:rsid w:val="008A799C"/>
    <w:rsid w:val="008A7BC3"/>
    <w:rsid w:val="008A7E96"/>
    <w:rsid w:val="008A7ED2"/>
    <w:rsid w:val="008B0298"/>
    <w:rsid w:val="008B03A8"/>
    <w:rsid w:val="008B048B"/>
    <w:rsid w:val="008B0527"/>
    <w:rsid w:val="008B0549"/>
    <w:rsid w:val="008B0563"/>
    <w:rsid w:val="008B0678"/>
    <w:rsid w:val="008B06CB"/>
    <w:rsid w:val="008B0864"/>
    <w:rsid w:val="008B094F"/>
    <w:rsid w:val="008B0ADE"/>
    <w:rsid w:val="008B0B86"/>
    <w:rsid w:val="008B103F"/>
    <w:rsid w:val="008B10D2"/>
    <w:rsid w:val="008B126D"/>
    <w:rsid w:val="008B14F0"/>
    <w:rsid w:val="008B1540"/>
    <w:rsid w:val="008B164C"/>
    <w:rsid w:val="008B175A"/>
    <w:rsid w:val="008B1838"/>
    <w:rsid w:val="008B1923"/>
    <w:rsid w:val="008B1C11"/>
    <w:rsid w:val="008B1D5A"/>
    <w:rsid w:val="008B1EAD"/>
    <w:rsid w:val="008B1F1C"/>
    <w:rsid w:val="008B2020"/>
    <w:rsid w:val="008B2080"/>
    <w:rsid w:val="008B2170"/>
    <w:rsid w:val="008B21E1"/>
    <w:rsid w:val="008B2355"/>
    <w:rsid w:val="008B239E"/>
    <w:rsid w:val="008B297F"/>
    <w:rsid w:val="008B2A32"/>
    <w:rsid w:val="008B2ADD"/>
    <w:rsid w:val="008B2BA4"/>
    <w:rsid w:val="008B2D3B"/>
    <w:rsid w:val="008B2E3C"/>
    <w:rsid w:val="008B2F21"/>
    <w:rsid w:val="008B30EE"/>
    <w:rsid w:val="008B32B2"/>
    <w:rsid w:val="008B39E0"/>
    <w:rsid w:val="008B3A75"/>
    <w:rsid w:val="008B3AC4"/>
    <w:rsid w:val="008B3BAF"/>
    <w:rsid w:val="008B3D29"/>
    <w:rsid w:val="008B3F57"/>
    <w:rsid w:val="008B4387"/>
    <w:rsid w:val="008B439C"/>
    <w:rsid w:val="008B4580"/>
    <w:rsid w:val="008B46DD"/>
    <w:rsid w:val="008B4727"/>
    <w:rsid w:val="008B4775"/>
    <w:rsid w:val="008B48B5"/>
    <w:rsid w:val="008B4D58"/>
    <w:rsid w:val="008B4D91"/>
    <w:rsid w:val="008B4F67"/>
    <w:rsid w:val="008B5223"/>
    <w:rsid w:val="008B54B2"/>
    <w:rsid w:val="008B54B6"/>
    <w:rsid w:val="008B54F2"/>
    <w:rsid w:val="008B561E"/>
    <w:rsid w:val="008B5636"/>
    <w:rsid w:val="008B5767"/>
    <w:rsid w:val="008B57E9"/>
    <w:rsid w:val="008B585C"/>
    <w:rsid w:val="008B58AE"/>
    <w:rsid w:val="008B5904"/>
    <w:rsid w:val="008B5A71"/>
    <w:rsid w:val="008B5F9C"/>
    <w:rsid w:val="008B5FD5"/>
    <w:rsid w:val="008B6034"/>
    <w:rsid w:val="008B606F"/>
    <w:rsid w:val="008B60DE"/>
    <w:rsid w:val="008B6171"/>
    <w:rsid w:val="008B6173"/>
    <w:rsid w:val="008B6211"/>
    <w:rsid w:val="008B62C7"/>
    <w:rsid w:val="008B62EF"/>
    <w:rsid w:val="008B6437"/>
    <w:rsid w:val="008B64E2"/>
    <w:rsid w:val="008B6542"/>
    <w:rsid w:val="008B6ABB"/>
    <w:rsid w:val="008B6B48"/>
    <w:rsid w:val="008B6C17"/>
    <w:rsid w:val="008B6C60"/>
    <w:rsid w:val="008B6C62"/>
    <w:rsid w:val="008B6F0E"/>
    <w:rsid w:val="008B6FDA"/>
    <w:rsid w:val="008B7001"/>
    <w:rsid w:val="008B701F"/>
    <w:rsid w:val="008B7077"/>
    <w:rsid w:val="008B716B"/>
    <w:rsid w:val="008B763B"/>
    <w:rsid w:val="008B7CA2"/>
    <w:rsid w:val="008C0086"/>
    <w:rsid w:val="008C0244"/>
    <w:rsid w:val="008C0321"/>
    <w:rsid w:val="008C03FA"/>
    <w:rsid w:val="008C051C"/>
    <w:rsid w:val="008C0798"/>
    <w:rsid w:val="008C0905"/>
    <w:rsid w:val="008C0972"/>
    <w:rsid w:val="008C09AF"/>
    <w:rsid w:val="008C09EE"/>
    <w:rsid w:val="008C09F7"/>
    <w:rsid w:val="008C0C86"/>
    <w:rsid w:val="008C0CDC"/>
    <w:rsid w:val="008C0D00"/>
    <w:rsid w:val="008C0DC9"/>
    <w:rsid w:val="008C0F10"/>
    <w:rsid w:val="008C126C"/>
    <w:rsid w:val="008C12DA"/>
    <w:rsid w:val="008C13B9"/>
    <w:rsid w:val="008C14F5"/>
    <w:rsid w:val="008C15E5"/>
    <w:rsid w:val="008C170C"/>
    <w:rsid w:val="008C174F"/>
    <w:rsid w:val="008C192C"/>
    <w:rsid w:val="008C1A7F"/>
    <w:rsid w:val="008C1AE2"/>
    <w:rsid w:val="008C1B56"/>
    <w:rsid w:val="008C1B6B"/>
    <w:rsid w:val="008C1D2E"/>
    <w:rsid w:val="008C20A1"/>
    <w:rsid w:val="008C2115"/>
    <w:rsid w:val="008C2419"/>
    <w:rsid w:val="008C24FA"/>
    <w:rsid w:val="008C25C0"/>
    <w:rsid w:val="008C25F3"/>
    <w:rsid w:val="008C270F"/>
    <w:rsid w:val="008C2816"/>
    <w:rsid w:val="008C29AD"/>
    <w:rsid w:val="008C30F5"/>
    <w:rsid w:val="008C318C"/>
    <w:rsid w:val="008C322A"/>
    <w:rsid w:val="008C32FE"/>
    <w:rsid w:val="008C353D"/>
    <w:rsid w:val="008C35A5"/>
    <w:rsid w:val="008C3900"/>
    <w:rsid w:val="008C3BEB"/>
    <w:rsid w:val="008C3C14"/>
    <w:rsid w:val="008C3CB7"/>
    <w:rsid w:val="008C3EE3"/>
    <w:rsid w:val="008C3F7E"/>
    <w:rsid w:val="008C414E"/>
    <w:rsid w:val="008C41E7"/>
    <w:rsid w:val="008C457C"/>
    <w:rsid w:val="008C4AB4"/>
    <w:rsid w:val="008C4D41"/>
    <w:rsid w:val="008C5032"/>
    <w:rsid w:val="008C5069"/>
    <w:rsid w:val="008C51B7"/>
    <w:rsid w:val="008C52CA"/>
    <w:rsid w:val="008C5330"/>
    <w:rsid w:val="008C53F9"/>
    <w:rsid w:val="008C54D6"/>
    <w:rsid w:val="008C558E"/>
    <w:rsid w:val="008C581E"/>
    <w:rsid w:val="008C58E6"/>
    <w:rsid w:val="008C59D9"/>
    <w:rsid w:val="008C5C05"/>
    <w:rsid w:val="008C5F39"/>
    <w:rsid w:val="008C6042"/>
    <w:rsid w:val="008C638B"/>
    <w:rsid w:val="008C6464"/>
    <w:rsid w:val="008C6549"/>
    <w:rsid w:val="008C65B4"/>
    <w:rsid w:val="008C66FB"/>
    <w:rsid w:val="008C6A41"/>
    <w:rsid w:val="008C6ED7"/>
    <w:rsid w:val="008C6EFA"/>
    <w:rsid w:val="008C70C5"/>
    <w:rsid w:val="008C7350"/>
    <w:rsid w:val="008C7386"/>
    <w:rsid w:val="008C7413"/>
    <w:rsid w:val="008C7577"/>
    <w:rsid w:val="008C75AD"/>
    <w:rsid w:val="008C7691"/>
    <w:rsid w:val="008C7BD0"/>
    <w:rsid w:val="008C7DF3"/>
    <w:rsid w:val="008D021A"/>
    <w:rsid w:val="008D02C0"/>
    <w:rsid w:val="008D03A5"/>
    <w:rsid w:val="008D0467"/>
    <w:rsid w:val="008D050F"/>
    <w:rsid w:val="008D0661"/>
    <w:rsid w:val="008D0707"/>
    <w:rsid w:val="008D072E"/>
    <w:rsid w:val="008D0992"/>
    <w:rsid w:val="008D09D7"/>
    <w:rsid w:val="008D0B35"/>
    <w:rsid w:val="008D0C64"/>
    <w:rsid w:val="008D0C6F"/>
    <w:rsid w:val="008D0D25"/>
    <w:rsid w:val="008D0E96"/>
    <w:rsid w:val="008D0F1F"/>
    <w:rsid w:val="008D10C6"/>
    <w:rsid w:val="008D11C1"/>
    <w:rsid w:val="008D11FF"/>
    <w:rsid w:val="008D1421"/>
    <w:rsid w:val="008D16B7"/>
    <w:rsid w:val="008D173A"/>
    <w:rsid w:val="008D182E"/>
    <w:rsid w:val="008D1F5A"/>
    <w:rsid w:val="008D20A8"/>
    <w:rsid w:val="008D214D"/>
    <w:rsid w:val="008D2254"/>
    <w:rsid w:val="008D226A"/>
    <w:rsid w:val="008D2278"/>
    <w:rsid w:val="008D234A"/>
    <w:rsid w:val="008D2485"/>
    <w:rsid w:val="008D25AB"/>
    <w:rsid w:val="008D2619"/>
    <w:rsid w:val="008D2826"/>
    <w:rsid w:val="008D29B0"/>
    <w:rsid w:val="008D2B37"/>
    <w:rsid w:val="008D2B7B"/>
    <w:rsid w:val="008D2C0C"/>
    <w:rsid w:val="008D2D70"/>
    <w:rsid w:val="008D2D74"/>
    <w:rsid w:val="008D3122"/>
    <w:rsid w:val="008D3313"/>
    <w:rsid w:val="008D3365"/>
    <w:rsid w:val="008D341D"/>
    <w:rsid w:val="008D3589"/>
    <w:rsid w:val="008D358F"/>
    <w:rsid w:val="008D372C"/>
    <w:rsid w:val="008D3856"/>
    <w:rsid w:val="008D3957"/>
    <w:rsid w:val="008D3981"/>
    <w:rsid w:val="008D3A4D"/>
    <w:rsid w:val="008D3ADF"/>
    <w:rsid w:val="008D3B67"/>
    <w:rsid w:val="008D3B9F"/>
    <w:rsid w:val="008D3DBE"/>
    <w:rsid w:val="008D3F08"/>
    <w:rsid w:val="008D3F32"/>
    <w:rsid w:val="008D4069"/>
    <w:rsid w:val="008D41B8"/>
    <w:rsid w:val="008D4256"/>
    <w:rsid w:val="008D438D"/>
    <w:rsid w:val="008D444E"/>
    <w:rsid w:val="008D4759"/>
    <w:rsid w:val="008D4928"/>
    <w:rsid w:val="008D4A07"/>
    <w:rsid w:val="008D4B1E"/>
    <w:rsid w:val="008D4B8F"/>
    <w:rsid w:val="008D4DD2"/>
    <w:rsid w:val="008D4F06"/>
    <w:rsid w:val="008D4F4F"/>
    <w:rsid w:val="008D4FA6"/>
    <w:rsid w:val="008D536B"/>
    <w:rsid w:val="008D54AC"/>
    <w:rsid w:val="008D56A8"/>
    <w:rsid w:val="008D578B"/>
    <w:rsid w:val="008D5AE0"/>
    <w:rsid w:val="008D5B85"/>
    <w:rsid w:val="008D5C14"/>
    <w:rsid w:val="008D5C99"/>
    <w:rsid w:val="008D5F09"/>
    <w:rsid w:val="008D5F62"/>
    <w:rsid w:val="008D5FD0"/>
    <w:rsid w:val="008D5FEB"/>
    <w:rsid w:val="008D613B"/>
    <w:rsid w:val="008D628B"/>
    <w:rsid w:val="008D6394"/>
    <w:rsid w:val="008D6408"/>
    <w:rsid w:val="008D6419"/>
    <w:rsid w:val="008D641C"/>
    <w:rsid w:val="008D65C1"/>
    <w:rsid w:val="008D673C"/>
    <w:rsid w:val="008D6F81"/>
    <w:rsid w:val="008D70DD"/>
    <w:rsid w:val="008D710A"/>
    <w:rsid w:val="008D713A"/>
    <w:rsid w:val="008D7186"/>
    <w:rsid w:val="008D7249"/>
    <w:rsid w:val="008D743C"/>
    <w:rsid w:val="008D74C9"/>
    <w:rsid w:val="008D74E7"/>
    <w:rsid w:val="008D7714"/>
    <w:rsid w:val="008D782C"/>
    <w:rsid w:val="008D788E"/>
    <w:rsid w:val="008D789C"/>
    <w:rsid w:val="008D79E3"/>
    <w:rsid w:val="008D7B02"/>
    <w:rsid w:val="008D7BED"/>
    <w:rsid w:val="008D7C80"/>
    <w:rsid w:val="008D7D8A"/>
    <w:rsid w:val="008D7EDF"/>
    <w:rsid w:val="008E0145"/>
    <w:rsid w:val="008E0337"/>
    <w:rsid w:val="008E040A"/>
    <w:rsid w:val="008E045F"/>
    <w:rsid w:val="008E048B"/>
    <w:rsid w:val="008E05BB"/>
    <w:rsid w:val="008E0617"/>
    <w:rsid w:val="008E094B"/>
    <w:rsid w:val="008E0981"/>
    <w:rsid w:val="008E09C1"/>
    <w:rsid w:val="008E0AF7"/>
    <w:rsid w:val="008E0B43"/>
    <w:rsid w:val="008E0CB3"/>
    <w:rsid w:val="008E0D37"/>
    <w:rsid w:val="008E10DD"/>
    <w:rsid w:val="008E118E"/>
    <w:rsid w:val="008E11C3"/>
    <w:rsid w:val="008E13E0"/>
    <w:rsid w:val="008E17B4"/>
    <w:rsid w:val="008E19C0"/>
    <w:rsid w:val="008E1C8B"/>
    <w:rsid w:val="008E2281"/>
    <w:rsid w:val="008E237E"/>
    <w:rsid w:val="008E270D"/>
    <w:rsid w:val="008E277F"/>
    <w:rsid w:val="008E280B"/>
    <w:rsid w:val="008E2978"/>
    <w:rsid w:val="008E2B0E"/>
    <w:rsid w:val="008E2BEE"/>
    <w:rsid w:val="008E2DB6"/>
    <w:rsid w:val="008E3179"/>
    <w:rsid w:val="008E3AED"/>
    <w:rsid w:val="008E3C85"/>
    <w:rsid w:val="008E3DD1"/>
    <w:rsid w:val="008E3DE8"/>
    <w:rsid w:val="008E3E6F"/>
    <w:rsid w:val="008E4045"/>
    <w:rsid w:val="008E4368"/>
    <w:rsid w:val="008E4595"/>
    <w:rsid w:val="008E45F0"/>
    <w:rsid w:val="008E4711"/>
    <w:rsid w:val="008E491E"/>
    <w:rsid w:val="008E4C6B"/>
    <w:rsid w:val="008E4FCA"/>
    <w:rsid w:val="008E50ED"/>
    <w:rsid w:val="008E5107"/>
    <w:rsid w:val="008E51C6"/>
    <w:rsid w:val="008E51CB"/>
    <w:rsid w:val="008E51E9"/>
    <w:rsid w:val="008E51F5"/>
    <w:rsid w:val="008E51F9"/>
    <w:rsid w:val="008E56BE"/>
    <w:rsid w:val="008E56E6"/>
    <w:rsid w:val="008E56F3"/>
    <w:rsid w:val="008E5A32"/>
    <w:rsid w:val="008E5D53"/>
    <w:rsid w:val="008E5D91"/>
    <w:rsid w:val="008E5DBD"/>
    <w:rsid w:val="008E5F85"/>
    <w:rsid w:val="008E5FF2"/>
    <w:rsid w:val="008E64FD"/>
    <w:rsid w:val="008E6A18"/>
    <w:rsid w:val="008E6AE6"/>
    <w:rsid w:val="008E6C84"/>
    <w:rsid w:val="008E6E88"/>
    <w:rsid w:val="008E7049"/>
    <w:rsid w:val="008E74B7"/>
    <w:rsid w:val="008E7809"/>
    <w:rsid w:val="008E7997"/>
    <w:rsid w:val="008E7EF7"/>
    <w:rsid w:val="008F0116"/>
    <w:rsid w:val="008F0283"/>
    <w:rsid w:val="008F04A9"/>
    <w:rsid w:val="008F04EB"/>
    <w:rsid w:val="008F0521"/>
    <w:rsid w:val="008F0711"/>
    <w:rsid w:val="008F077B"/>
    <w:rsid w:val="008F08BF"/>
    <w:rsid w:val="008F096F"/>
    <w:rsid w:val="008F0983"/>
    <w:rsid w:val="008F0DDC"/>
    <w:rsid w:val="008F0F37"/>
    <w:rsid w:val="008F0F70"/>
    <w:rsid w:val="008F105B"/>
    <w:rsid w:val="008F1399"/>
    <w:rsid w:val="008F143D"/>
    <w:rsid w:val="008F16C8"/>
    <w:rsid w:val="008F16D5"/>
    <w:rsid w:val="008F19B0"/>
    <w:rsid w:val="008F1EC7"/>
    <w:rsid w:val="008F21EE"/>
    <w:rsid w:val="008F2213"/>
    <w:rsid w:val="008F2267"/>
    <w:rsid w:val="008F227C"/>
    <w:rsid w:val="008F24F4"/>
    <w:rsid w:val="008F28A6"/>
    <w:rsid w:val="008F2A7F"/>
    <w:rsid w:val="008F2B04"/>
    <w:rsid w:val="008F2D90"/>
    <w:rsid w:val="008F316D"/>
    <w:rsid w:val="008F31B0"/>
    <w:rsid w:val="008F31FF"/>
    <w:rsid w:val="008F33F1"/>
    <w:rsid w:val="008F35AF"/>
    <w:rsid w:val="008F367E"/>
    <w:rsid w:val="008F3779"/>
    <w:rsid w:val="008F3891"/>
    <w:rsid w:val="008F3B94"/>
    <w:rsid w:val="008F3F6F"/>
    <w:rsid w:val="008F3FE6"/>
    <w:rsid w:val="008F42FA"/>
    <w:rsid w:val="008F4510"/>
    <w:rsid w:val="008F452A"/>
    <w:rsid w:val="008F4620"/>
    <w:rsid w:val="008F4953"/>
    <w:rsid w:val="008F4A84"/>
    <w:rsid w:val="008F4D13"/>
    <w:rsid w:val="008F4EA8"/>
    <w:rsid w:val="008F509F"/>
    <w:rsid w:val="008F50BF"/>
    <w:rsid w:val="008F5212"/>
    <w:rsid w:val="008F5523"/>
    <w:rsid w:val="008F5602"/>
    <w:rsid w:val="008F5769"/>
    <w:rsid w:val="008F57D1"/>
    <w:rsid w:val="008F59E1"/>
    <w:rsid w:val="008F5BB8"/>
    <w:rsid w:val="008F5CE7"/>
    <w:rsid w:val="008F5DFE"/>
    <w:rsid w:val="008F5EC9"/>
    <w:rsid w:val="008F604C"/>
    <w:rsid w:val="008F6432"/>
    <w:rsid w:val="008F65B6"/>
    <w:rsid w:val="008F6777"/>
    <w:rsid w:val="008F67C5"/>
    <w:rsid w:val="008F6ABA"/>
    <w:rsid w:val="008F6AC5"/>
    <w:rsid w:val="008F6B11"/>
    <w:rsid w:val="008F6B4B"/>
    <w:rsid w:val="008F6D95"/>
    <w:rsid w:val="008F7030"/>
    <w:rsid w:val="008F712A"/>
    <w:rsid w:val="008F76E9"/>
    <w:rsid w:val="008F7772"/>
    <w:rsid w:val="008F78BB"/>
    <w:rsid w:val="008F7990"/>
    <w:rsid w:val="008F79C8"/>
    <w:rsid w:val="008F79E6"/>
    <w:rsid w:val="008F7C49"/>
    <w:rsid w:val="008F7F4B"/>
    <w:rsid w:val="009002BE"/>
    <w:rsid w:val="00900300"/>
    <w:rsid w:val="00900488"/>
    <w:rsid w:val="00900526"/>
    <w:rsid w:val="00900AD0"/>
    <w:rsid w:val="00900ADE"/>
    <w:rsid w:val="00900CF1"/>
    <w:rsid w:val="00901245"/>
    <w:rsid w:val="0090167E"/>
    <w:rsid w:val="009016E1"/>
    <w:rsid w:val="009016E3"/>
    <w:rsid w:val="009019C5"/>
    <w:rsid w:val="00901B8A"/>
    <w:rsid w:val="00901C8E"/>
    <w:rsid w:val="00901D0A"/>
    <w:rsid w:val="00901DE9"/>
    <w:rsid w:val="009020F4"/>
    <w:rsid w:val="00902256"/>
    <w:rsid w:val="009025EA"/>
    <w:rsid w:val="00902613"/>
    <w:rsid w:val="009026ED"/>
    <w:rsid w:val="00902B80"/>
    <w:rsid w:val="00902C87"/>
    <w:rsid w:val="00902CA2"/>
    <w:rsid w:val="00902CA6"/>
    <w:rsid w:val="00902DD0"/>
    <w:rsid w:val="00902E9B"/>
    <w:rsid w:val="0090326D"/>
    <w:rsid w:val="009035FF"/>
    <w:rsid w:val="00903667"/>
    <w:rsid w:val="00903812"/>
    <w:rsid w:val="00903D92"/>
    <w:rsid w:val="00904095"/>
    <w:rsid w:val="00904138"/>
    <w:rsid w:val="00904178"/>
    <w:rsid w:val="009041C5"/>
    <w:rsid w:val="009042FF"/>
    <w:rsid w:val="009045C1"/>
    <w:rsid w:val="00904749"/>
    <w:rsid w:val="00904777"/>
    <w:rsid w:val="0090491F"/>
    <w:rsid w:val="009049DF"/>
    <w:rsid w:val="00904A06"/>
    <w:rsid w:val="00904A1C"/>
    <w:rsid w:val="00904BBA"/>
    <w:rsid w:val="00904D55"/>
    <w:rsid w:val="00904EF2"/>
    <w:rsid w:val="00904F2F"/>
    <w:rsid w:val="0090501A"/>
    <w:rsid w:val="00905226"/>
    <w:rsid w:val="009055A8"/>
    <w:rsid w:val="0090591E"/>
    <w:rsid w:val="00905938"/>
    <w:rsid w:val="00905D54"/>
    <w:rsid w:val="00905E1E"/>
    <w:rsid w:val="00905E2C"/>
    <w:rsid w:val="00905FCF"/>
    <w:rsid w:val="00905FF1"/>
    <w:rsid w:val="009060A8"/>
    <w:rsid w:val="00906511"/>
    <w:rsid w:val="009065E7"/>
    <w:rsid w:val="00906745"/>
    <w:rsid w:val="00906777"/>
    <w:rsid w:val="009067B6"/>
    <w:rsid w:val="00906B30"/>
    <w:rsid w:val="00906B43"/>
    <w:rsid w:val="00906C41"/>
    <w:rsid w:val="00906C56"/>
    <w:rsid w:val="00906CAE"/>
    <w:rsid w:val="00906D26"/>
    <w:rsid w:val="0090738E"/>
    <w:rsid w:val="00907559"/>
    <w:rsid w:val="0090777F"/>
    <w:rsid w:val="00907851"/>
    <w:rsid w:val="009078D8"/>
    <w:rsid w:val="009079CE"/>
    <w:rsid w:val="00907BE5"/>
    <w:rsid w:val="009104DD"/>
    <w:rsid w:val="00910617"/>
    <w:rsid w:val="0091075E"/>
    <w:rsid w:val="009107E2"/>
    <w:rsid w:val="00910A87"/>
    <w:rsid w:val="00910AE8"/>
    <w:rsid w:val="00910BE7"/>
    <w:rsid w:val="00910DA3"/>
    <w:rsid w:val="00910F45"/>
    <w:rsid w:val="0091136B"/>
    <w:rsid w:val="009113F6"/>
    <w:rsid w:val="009114A3"/>
    <w:rsid w:val="0091150D"/>
    <w:rsid w:val="009115C5"/>
    <w:rsid w:val="0091172B"/>
    <w:rsid w:val="009118D0"/>
    <w:rsid w:val="00911901"/>
    <w:rsid w:val="00911B04"/>
    <w:rsid w:val="00911CAF"/>
    <w:rsid w:val="00911CB3"/>
    <w:rsid w:val="00911EC0"/>
    <w:rsid w:val="009120AA"/>
    <w:rsid w:val="00912271"/>
    <w:rsid w:val="009122E9"/>
    <w:rsid w:val="0091249A"/>
    <w:rsid w:val="009124F3"/>
    <w:rsid w:val="0091256C"/>
    <w:rsid w:val="00912591"/>
    <w:rsid w:val="00912869"/>
    <w:rsid w:val="0091299C"/>
    <w:rsid w:val="00912A05"/>
    <w:rsid w:val="00913118"/>
    <w:rsid w:val="0091336B"/>
    <w:rsid w:val="00913810"/>
    <w:rsid w:val="00913C88"/>
    <w:rsid w:val="00913CBA"/>
    <w:rsid w:val="00913D62"/>
    <w:rsid w:val="00913F48"/>
    <w:rsid w:val="00913FF9"/>
    <w:rsid w:val="009140F0"/>
    <w:rsid w:val="00914324"/>
    <w:rsid w:val="00914429"/>
    <w:rsid w:val="0091444B"/>
    <w:rsid w:val="00914676"/>
    <w:rsid w:val="00914793"/>
    <w:rsid w:val="009147F0"/>
    <w:rsid w:val="009148A3"/>
    <w:rsid w:val="0091495A"/>
    <w:rsid w:val="00914D11"/>
    <w:rsid w:val="00914F4D"/>
    <w:rsid w:val="00914FCB"/>
    <w:rsid w:val="00915540"/>
    <w:rsid w:val="009155A6"/>
    <w:rsid w:val="009156C5"/>
    <w:rsid w:val="009158D5"/>
    <w:rsid w:val="00915998"/>
    <w:rsid w:val="00915A68"/>
    <w:rsid w:val="00915E04"/>
    <w:rsid w:val="00915EE5"/>
    <w:rsid w:val="00916216"/>
    <w:rsid w:val="00916332"/>
    <w:rsid w:val="00916644"/>
    <w:rsid w:val="0091664A"/>
    <w:rsid w:val="00916731"/>
    <w:rsid w:val="0091674E"/>
    <w:rsid w:val="00916AE1"/>
    <w:rsid w:val="00916D2B"/>
    <w:rsid w:val="00916F74"/>
    <w:rsid w:val="00916FC3"/>
    <w:rsid w:val="00917133"/>
    <w:rsid w:val="009177C6"/>
    <w:rsid w:val="009177E1"/>
    <w:rsid w:val="00917C6D"/>
    <w:rsid w:val="00917CE8"/>
    <w:rsid w:val="00917D59"/>
    <w:rsid w:val="00917FB5"/>
    <w:rsid w:val="0092018C"/>
    <w:rsid w:val="00920247"/>
    <w:rsid w:val="009205C0"/>
    <w:rsid w:val="009209DE"/>
    <w:rsid w:val="00920AC0"/>
    <w:rsid w:val="0092104C"/>
    <w:rsid w:val="009211FB"/>
    <w:rsid w:val="00921357"/>
    <w:rsid w:val="009213C5"/>
    <w:rsid w:val="009213F0"/>
    <w:rsid w:val="009215F7"/>
    <w:rsid w:val="00921794"/>
    <w:rsid w:val="00921A5E"/>
    <w:rsid w:val="00921B3E"/>
    <w:rsid w:val="00921B71"/>
    <w:rsid w:val="00921BE1"/>
    <w:rsid w:val="00921C59"/>
    <w:rsid w:val="00921DB6"/>
    <w:rsid w:val="00921E8F"/>
    <w:rsid w:val="0092214C"/>
    <w:rsid w:val="0092222A"/>
    <w:rsid w:val="00922566"/>
    <w:rsid w:val="0092280B"/>
    <w:rsid w:val="00922860"/>
    <w:rsid w:val="009229C1"/>
    <w:rsid w:val="00922E62"/>
    <w:rsid w:val="00922F58"/>
    <w:rsid w:val="0092308C"/>
    <w:rsid w:val="009230DB"/>
    <w:rsid w:val="009231EF"/>
    <w:rsid w:val="009232DA"/>
    <w:rsid w:val="009233F2"/>
    <w:rsid w:val="009234E5"/>
    <w:rsid w:val="00923916"/>
    <w:rsid w:val="0092399E"/>
    <w:rsid w:val="00923DF4"/>
    <w:rsid w:val="00923E93"/>
    <w:rsid w:val="00924111"/>
    <w:rsid w:val="009242B0"/>
    <w:rsid w:val="0092471D"/>
    <w:rsid w:val="009248BE"/>
    <w:rsid w:val="00924A55"/>
    <w:rsid w:val="00924ABE"/>
    <w:rsid w:val="00924B32"/>
    <w:rsid w:val="00924E06"/>
    <w:rsid w:val="00924EAC"/>
    <w:rsid w:val="00924F3B"/>
    <w:rsid w:val="00924FAA"/>
    <w:rsid w:val="0092522C"/>
    <w:rsid w:val="0092537A"/>
    <w:rsid w:val="009255CA"/>
    <w:rsid w:val="00925626"/>
    <w:rsid w:val="009256AB"/>
    <w:rsid w:val="009258C3"/>
    <w:rsid w:val="00925BD9"/>
    <w:rsid w:val="00925D44"/>
    <w:rsid w:val="009260AB"/>
    <w:rsid w:val="00926360"/>
    <w:rsid w:val="0092644F"/>
    <w:rsid w:val="009264DE"/>
    <w:rsid w:val="009264DF"/>
    <w:rsid w:val="009265FF"/>
    <w:rsid w:val="00926763"/>
    <w:rsid w:val="0092678F"/>
    <w:rsid w:val="00926A23"/>
    <w:rsid w:val="00926A2A"/>
    <w:rsid w:val="00926B32"/>
    <w:rsid w:val="00926CF8"/>
    <w:rsid w:val="00926D07"/>
    <w:rsid w:val="0092792F"/>
    <w:rsid w:val="00927A35"/>
    <w:rsid w:val="00927DBE"/>
    <w:rsid w:val="00927F4F"/>
    <w:rsid w:val="00930113"/>
    <w:rsid w:val="00930276"/>
    <w:rsid w:val="00930371"/>
    <w:rsid w:val="0093040E"/>
    <w:rsid w:val="00930486"/>
    <w:rsid w:val="009305BC"/>
    <w:rsid w:val="00930616"/>
    <w:rsid w:val="0093069A"/>
    <w:rsid w:val="009308D4"/>
    <w:rsid w:val="00930A80"/>
    <w:rsid w:val="00930B1F"/>
    <w:rsid w:val="00930C97"/>
    <w:rsid w:val="00930CC8"/>
    <w:rsid w:val="0093103F"/>
    <w:rsid w:val="009310A9"/>
    <w:rsid w:val="00931297"/>
    <w:rsid w:val="0093172B"/>
    <w:rsid w:val="0093175F"/>
    <w:rsid w:val="009317C0"/>
    <w:rsid w:val="009318FB"/>
    <w:rsid w:val="00931B06"/>
    <w:rsid w:val="00931C5C"/>
    <w:rsid w:val="00931D75"/>
    <w:rsid w:val="0093203B"/>
    <w:rsid w:val="00932215"/>
    <w:rsid w:val="00932429"/>
    <w:rsid w:val="0093242A"/>
    <w:rsid w:val="00932513"/>
    <w:rsid w:val="009327A0"/>
    <w:rsid w:val="00932865"/>
    <w:rsid w:val="009329AC"/>
    <w:rsid w:val="00932AD1"/>
    <w:rsid w:val="00932B0A"/>
    <w:rsid w:val="00932BB5"/>
    <w:rsid w:val="00932C44"/>
    <w:rsid w:val="00932FE0"/>
    <w:rsid w:val="009330AE"/>
    <w:rsid w:val="00933137"/>
    <w:rsid w:val="009335CC"/>
    <w:rsid w:val="009336B4"/>
    <w:rsid w:val="009336D7"/>
    <w:rsid w:val="009337EB"/>
    <w:rsid w:val="0093399C"/>
    <w:rsid w:val="00933B10"/>
    <w:rsid w:val="00933C3E"/>
    <w:rsid w:val="00934076"/>
    <w:rsid w:val="009341AC"/>
    <w:rsid w:val="0093442A"/>
    <w:rsid w:val="00934640"/>
    <w:rsid w:val="009346B9"/>
    <w:rsid w:val="009347B2"/>
    <w:rsid w:val="00934829"/>
    <w:rsid w:val="0093485B"/>
    <w:rsid w:val="00934A93"/>
    <w:rsid w:val="00934BC6"/>
    <w:rsid w:val="00934C53"/>
    <w:rsid w:val="00934D88"/>
    <w:rsid w:val="00934DAD"/>
    <w:rsid w:val="00934DE1"/>
    <w:rsid w:val="00934F50"/>
    <w:rsid w:val="009350C0"/>
    <w:rsid w:val="00935209"/>
    <w:rsid w:val="009356FF"/>
    <w:rsid w:val="0093571D"/>
    <w:rsid w:val="00935943"/>
    <w:rsid w:val="00935A81"/>
    <w:rsid w:val="00935CFB"/>
    <w:rsid w:val="00935E32"/>
    <w:rsid w:val="00935F97"/>
    <w:rsid w:val="00935FCF"/>
    <w:rsid w:val="00935FE6"/>
    <w:rsid w:val="009362DA"/>
    <w:rsid w:val="0093652E"/>
    <w:rsid w:val="00936803"/>
    <w:rsid w:val="00936C44"/>
    <w:rsid w:val="00936C75"/>
    <w:rsid w:val="00936EBB"/>
    <w:rsid w:val="00936F06"/>
    <w:rsid w:val="009374C7"/>
    <w:rsid w:val="009374DA"/>
    <w:rsid w:val="009374E5"/>
    <w:rsid w:val="009375B5"/>
    <w:rsid w:val="009377F7"/>
    <w:rsid w:val="00937C9A"/>
    <w:rsid w:val="00937D99"/>
    <w:rsid w:val="0094007F"/>
    <w:rsid w:val="00940095"/>
    <w:rsid w:val="00940178"/>
    <w:rsid w:val="0094023F"/>
    <w:rsid w:val="00940288"/>
    <w:rsid w:val="00940355"/>
    <w:rsid w:val="0094048D"/>
    <w:rsid w:val="009404B9"/>
    <w:rsid w:val="009408D7"/>
    <w:rsid w:val="0094099A"/>
    <w:rsid w:val="00940AE3"/>
    <w:rsid w:val="00940D1D"/>
    <w:rsid w:val="00940FE8"/>
    <w:rsid w:val="00941490"/>
    <w:rsid w:val="009414ED"/>
    <w:rsid w:val="00941A12"/>
    <w:rsid w:val="00941A17"/>
    <w:rsid w:val="00941A19"/>
    <w:rsid w:val="00941A76"/>
    <w:rsid w:val="00941AA5"/>
    <w:rsid w:val="00941C70"/>
    <w:rsid w:val="00941C81"/>
    <w:rsid w:val="00941D14"/>
    <w:rsid w:val="00941E57"/>
    <w:rsid w:val="00941FAF"/>
    <w:rsid w:val="009420B2"/>
    <w:rsid w:val="009420D9"/>
    <w:rsid w:val="00942268"/>
    <w:rsid w:val="0094232B"/>
    <w:rsid w:val="00942364"/>
    <w:rsid w:val="00942387"/>
    <w:rsid w:val="009423A6"/>
    <w:rsid w:val="0094258D"/>
    <w:rsid w:val="00942636"/>
    <w:rsid w:val="009428C5"/>
    <w:rsid w:val="00942AC0"/>
    <w:rsid w:val="00942AFF"/>
    <w:rsid w:val="00942C5E"/>
    <w:rsid w:val="00942CD4"/>
    <w:rsid w:val="00942F55"/>
    <w:rsid w:val="009430CA"/>
    <w:rsid w:val="009436F6"/>
    <w:rsid w:val="0094377F"/>
    <w:rsid w:val="0094395F"/>
    <w:rsid w:val="00943AE0"/>
    <w:rsid w:val="00943AEA"/>
    <w:rsid w:val="00943BC1"/>
    <w:rsid w:val="00943C96"/>
    <w:rsid w:val="00943CAF"/>
    <w:rsid w:val="00943E03"/>
    <w:rsid w:val="00944158"/>
    <w:rsid w:val="00944256"/>
    <w:rsid w:val="00944296"/>
    <w:rsid w:val="00944357"/>
    <w:rsid w:val="00944387"/>
    <w:rsid w:val="009444E1"/>
    <w:rsid w:val="00944507"/>
    <w:rsid w:val="00944649"/>
    <w:rsid w:val="009446C2"/>
    <w:rsid w:val="00944847"/>
    <w:rsid w:val="00944973"/>
    <w:rsid w:val="00944B2F"/>
    <w:rsid w:val="00944E09"/>
    <w:rsid w:val="00944E10"/>
    <w:rsid w:val="00945258"/>
    <w:rsid w:val="009452BE"/>
    <w:rsid w:val="00945361"/>
    <w:rsid w:val="009453B5"/>
    <w:rsid w:val="00945694"/>
    <w:rsid w:val="0094570A"/>
    <w:rsid w:val="00945740"/>
    <w:rsid w:val="00945776"/>
    <w:rsid w:val="0094589C"/>
    <w:rsid w:val="00945A17"/>
    <w:rsid w:val="00945B56"/>
    <w:rsid w:val="00945C76"/>
    <w:rsid w:val="00945D21"/>
    <w:rsid w:val="00946022"/>
    <w:rsid w:val="0094606E"/>
    <w:rsid w:val="0094646D"/>
    <w:rsid w:val="009464E8"/>
    <w:rsid w:val="00946611"/>
    <w:rsid w:val="00946650"/>
    <w:rsid w:val="0094693F"/>
    <w:rsid w:val="00946954"/>
    <w:rsid w:val="00946A7F"/>
    <w:rsid w:val="00946AD1"/>
    <w:rsid w:val="00946B98"/>
    <w:rsid w:val="00946CF2"/>
    <w:rsid w:val="00946CFC"/>
    <w:rsid w:val="00946FE8"/>
    <w:rsid w:val="0094729A"/>
    <w:rsid w:val="00947392"/>
    <w:rsid w:val="0094743B"/>
    <w:rsid w:val="0094771A"/>
    <w:rsid w:val="009478AD"/>
    <w:rsid w:val="009478EE"/>
    <w:rsid w:val="009479A6"/>
    <w:rsid w:val="00947A80"/>
    <w:rsid w:val="00947B51"/>
    <w:rsid w:val="00947B7A"/>
    <w:rsid w:val="00947D4C"/>
    <w:rsid w:val="00947D7A"/>
    <w:rsid w:val="00947E42"/>
    <w:rsid w:val="0095007D"/>
    <w:rsid w:val="009500D5"/>
    <w:rsid w:val="00950104"/>
    <w:rsid w:val="00950125"/>
    <w:rsid w:val="0095024F"/>
    <w:rsid w:val="009503CE"/>
    <w:rsid w:val="00950421"/>
    <w:rsid w:val="00950646"/>
    <w:rsid w:val="009507CA"/>
    <w:rsid w:val="00950843"/>
    <w:rsid w:val="009508C4"/>
    <w:rsid w:val="009508CB"/>
    <w:rsid w:val="0095096F"/>
    <w:rsid w:val="009509D6"/>
    <w:rsid w:val="00950A3C"/>
    <w:rsid w:val="00950A78"/>
    <w:rsid w:val="00950B89"/>
    <w:rsid w:val="00950C02"/>
    <w:rsid w:val="009510FA"/>
    <w:rsid w:val="0095150F"/>
    <w:rsid w:val="009515A7"/>
    <w:rsid w:val="00951650"/>
    <w:rsid w:val="009516F3"/>
    <w:rsid w:val="00951904"/>
    <w:rsid w:val="009519B4"/>
    <w:rsid w:val="009519DF"/>
    <w:rsid w:val="00951B71"/>
    <w:rsid w:val="00951BEE"/>
    <w:rsid w:val="00951C5A"/>
    <w:rsid w:val="009520F0"/>
    <w:rsid w:val="00952207"/>
    <w:rsid w:val="0095246A"/>
    <w:rsid w:val="0095274C"/>
    <w:rsid w:val="0095281B"/>
    <w:rsid w:val="00952A1B"/>
    <w:rsid w:val="00952A31"/>
    <w:rsid w:val="00952B79"/>
    <w:rsid w:val="00952CDB"/>
    <w:rsid w:val="00952D86"/>
    <w:rsid w:val="00952E83"/>
    <w:rsid w:val="00952EEB"/>
    <w:rsid w:val="0095308D"/>
    <w:rsid w:val="00953122"/>
    <w:rsid w:val="00953346"/>
    <w:rsid w:val="00953576"/>
    <w:rsid w:val="009536C2"/>
    <w:rsid w:val="00953781"/>
    <w:rsid w:val="00953935"/>
    <w:rsid w:val="009539E2"/>
    <w:rsid w:val="00953A71"/>
    <w:rsid w:val="00953E21"/>
    <w:rsid w:val="00953FA9"/>
    <w:rsid w:val="00954013"/>
    <w:rsid w:val="0095406A"/>
    <w:rsid w:val="00954192"/>
    <w:rsid w:val="009542ED"/>
    <w:rsid w:val="009545F1"/>
    <w:rsid w:val="0095467F"/>
    <w:rsid w:val="00954744"/>
    <w:rsid w:val="00954CA1"/>
    <w:rsid w:val="00954D16"/>
    <w:rsid w:val="00954DF6"/>
    <w:rsid w:val="00954DF9"/>
    <w:rsid w:val="00954E3C"/>
    <w:rsid w:val="00954ED3"/>
    <w:rsid w:val="00954FBE"/>
    <w:rsid w:val="00955000"/>
    <w:rsid w:val="009551B3"/>
    <w:rsid w:val="00955272"/>
    <w:rsid w:val="0095529B"/>
    <w:rsid w:val="009552B0"/>
    <w:rsid w:val="009552B1"/>
    <w:rsid w:val="009554CD"/>
    <w:rsid w:val="009554FB"/>
    <w:rsid w:val="009555DF"/>
    <w:rsid w:val="00955857"/>
    <w:rsid w:val="009559FA"/>
    <w:rsid w:val="00955C5A"/>
    <w:rsid w:val="00955D2A"/>
    <w:rsid w:val="00955DCB"/>
    <w:rsid w:val="00955FE0"/>
    <w:rsid w:val="0095609C"/>
    <w:rsid w:val="009560A9"/>
    <w:rsid w:val="0095611D"/>
    <w:rsid w:val="009564D0"/>
    <w:rsid w:val="0095668F"/>
    <w:rsid w:val="009568A9"/>
    <w:rsid w:val="00956ADB"/>
    <w:rsid w:val="00956B82"/>
    <w:rsid w:val="00956BA5"/>
    <w:rsid w:val="00956C32"/>
    <w:rsid w:val="00956F0F"/>
    <w:rsid w:val="00956FF7"/>
    <w:rsid w:val="009572AB"/>
    <w:rsid w:val="009572DB"/>
    <w:rsid w:val="009573D3"/>
    <w:rsid w:val="00957669"/>
    <w:rsid w:val="0095767E"/>
    <w:rsid w:val="0095770C"/>
    <w:rsid w:val="009577F7"/>
    <w:rsid w:val="0095791A"/>
    <w:rsid w:val="009579EC"/>
    <w:rsid w:val="00957C22"/>
    <w:rsid w:val="00957C93"/>
    <w:rsid w:val="00957FDA"/>
    <w:rsid w:val="0096028C"/>
    <w:rsid w:val="00960704"/>
    <w:rsid w:val="0096072F"/>
    <w:rsid w:val="00960BFC"/>
    <w:rsid w:val="00960CE5"/>
    <w:rsid w:val="00960EF8"/>
    <w:rsid w:val="0096145B"/>
    <w:rsid w:val="009614C9"/>
    <w:rsid w:val="00961502"/>
    <w:rsid w:val="00961622"/>
    <w:rsid w:val="009616BC"/>
    <w:rsid w:val="00961962"/>
    <w:rsid w:val="00961AFE"/>
    <w:rsid w:val="00961C9C"/>
    <w:rsid w:val="00961EC8"/>
    <w:rsid w:val="00961EE2"/>
    <w:rsid w:val="00962099"/>
    <w:rsid w:val="009622EA"/>
    <w:rsid w:val="009623DA"/>
    <w:rsid w:val="00962762"/>
    <w:rsid w:val="00962A1C"/>
    <w:rsid w:val="00962A73"/>
    <w:rsid w:val="00962BEB"/>
    <w:rsid w:val="00962E01"/>
    <w:rsid w:val="00962E11"/>
    <w:rsid w:val="00962EDC"/>
    <w:rsid w:val="00962FBF"/>
    <w:rsid w:val="009630AC"/>
    <w:rsid w:val="009631B6"/>
    <w:rsid w:val="009631DD"/>
    <w:rsid w:val="0096328F"/>
    <w:rsid w:val="00963463"/>
    <w:rsid w:val="009634F0"/>
    <w:rsid w:val="009636A2"/>
    <w:rsid w:val="009638EA"/>
    <w:rsid w:val="00963ABC"/>
    <w:rsid w:val="00963B8E"/>
    <w:rsid w:val="00963D98"/>
    <w:rsid w:val="00963FB1"/>
    <w:rsid w:val="00964157"/>
    <w:rsid w:val="009641AA"/>
    <w:rsid w:val="0096433C"/>
    <w:rsid w:val="009643B3"/>
    <w:rsid w:val="009643BD"/>
    <w:rsid w:val="009645D9"/>
    <w:rsid w:val="009645FE"/>
    <w:rsid w:val="0096473A"/>
    <w:rsid w:val="00964877"/>
    <w:rsid w:val="009648FD"/>
    <w:rsid w:val="009649B4"/>
    <w:rsid w:val="00964ADC"/>
    <w:rsid w:val="00964B47"/>
    <w:rsid w:val="00964FDC"/>
    <w:rsid w:val="0096550A"/>
    <w:rsid w:val="009655CF"/>
    <w:rsid w:val="009656C5"/>
    <w:rsid w:val="00965704"/>
    <w:rsid w:val="0096596F"/>
    <w:rsid w:val="00965A13"/>
    <w:rsid w:val="00965A90"/>
    <w:rsid w:val="00965B7A"/>
    <w:rsid w:val="00965BAD"/>
    <w:rsid w:val="00965BE9"/>
    <w:rsid w:val="00965DC1"/>
    <w:rsid w:val="00965DD1"/>
    <w:rsid w:val="00965EF4"/>
    <w:rsid w:val="00965F55"/>
    <w:rsid w:val="0096603B"/>
    <w:rsid w:val="009660BB"/>
    <w:rsid w:val="0096672D"/>
    <w:rsid w:val="0096685D"/>
    <w:rsid w:val="00966A9A"/>
    <w:rsid w:val="00966CB9"/>
    <w:rsid w:val="00966DF2"/>
    <w:rsid w:val="00966E68"/>
    <w:rsid w:val="00967024"/>
    <w:rsid w:val="009672C8"/>
    <w:rsid w:val="009672F9"/>
    <w:rsid w:val="009673EA"/>
    <w:rsid w:val="00967471"/>
    <w:rsid w:val="009674C3"/>
    <w:rsid w:val="00967547"/>
    <w:rsid w:val="00967631"/>
    <w:rsid w:val="009676E7"/>
    <w:rsid w:val="00967BA5"/>
    <w:rsid w:val="00967CDD"/>
    <w:rsid w:val="00967D56"/>
    <w:rsid w:val="00967D71"/>
    <w:rsid w:val="00967D85"/>
    <w:rsid w:val="00967F95"/>
    <w:rsid w:val="009700F4"/>
    <w:rsid w:val="009704EC"/>
    <w:rsid w:val="00970502"/>
    <w:rsid w:val="0097066A"/>
    <w:rsid w:val="00970B54"/>
    <w:rsid w:val="00970C00"/>
    <w:rsid w:val="00970E1B"/>
    <w:rsid w:val="00970E2C"/>
    <w:rsid w:val="009711DD"/>
    <w:rsid w:val="00971243"/>
    <w:rsid w:val="00971437"/>
    <w:rsid w:val="009717C3"/>
    <w:rsid w:val="0097181C"/>
    <w:rsid w:val="00971A69"/>
    <w:rsid w:val="00971CDC"/>
    <w:rsid w:val="00971CE5"/>
    <w:rsid w:val="00971D90"/>
    <w:rsid w:val="00972039"/>
    <w:rsid w:val="00972149"/>
    <w:rsid w:val="00972359"/>
    <w:rsid w:val="00972609"/>
    <w:rsid w:val="00972793"/>
    <w:rsid w:val="009728EE"/>
    <w:rsid w:val="009729B6"/>
    <w:rsid w:val="00972A31"/>
    <w:rsid w:val="00972A8C"/>
    <w:rsid w:val="00972A97"/>
    <w:rsid w:val="00972BF5"/>
    <w:rsid w:val="00972C66"/>
    <w:rsid w:val="00972D38"/>
    <w:rsid w:val="00972EBE"/>
    <w:rsid w:val="00972EE9"/>
    <w:rsid w:val="00972EFF"/>
    <w:rsid w:val="00973037"/>
    <w:rsid w:val="00973052"/>
    <w:rsid w:val="0097328F"/>
    <w:rsid w:val="009733BD"/>
    <w:rsid w:val="009734B9"/>
    <w:rsid w:val="00973575"/>
    <w:rsid w:val="0097362A"/>
    <w:rsid w:val="00973717"/>
    <w:rsid w:val="009738B8"/>
    <w:rsid w:val="009739A6"/>
    <w:rsid w:val="009739B5"/>
    <w:rsid w:val="00973B16"/>
    <w:rsid w:val="00973BB4"/>
    <w:rsid w:val="00973E13"/>
    <w:rsid w:val="00973F7E"/>
    <w:rsid w:val="00974114"/>
    <w:rsid w:val="00974129"/>
    <w:rsid w:val="00974182"/>
    <w:rsid w:val="00974561"/>
    <w:rsid w:val="009745CF"/>
    <w:rsid w:val="009747AF"/>
    <w:rsid w:val="009747BB"/>
    <w:rsid w:val="00974956"/>
    <w:rsid w:val="0097498F"/>
    <w:rsid w:val="00974B4E"/>
    <w:rsid w:val="00974BF9"/>
    <w:rsid w:val="00974F95"/>
    <w:rsid w:val="00975404"/>
    <w:rsid w:val="009756B8"/>
    <w:rsid w:val="00975920"/>
    <w:rsid w:val="009759A6"/>
    <w:rsid w:val="009759C1"/>
    <w:rsid w:val="00975C55"/>
    <w:rsid w:val="00975D8A"/>
    <w:rsid w:val="00975EEB"/>
    <w:rsid w:val="00976053"/>
    <w:rsid w:val="00976259"/>
    <w:rsid w:val="0097658A"/>
    <w:rsid w:val="00976748"/>
    <w:rsid w:val="00976A72"/>
    <w:rsid w:val="00976A89"/>
    <w:rsid w:val="00976FFD"/>
    <w:rsid w:val="009771D7"/>
    <w:rsid w:val="0097741D"/>
    <w:rsid w:val="00977475"/>
    <w:rsid w:val="009774B8"/>
    <w:rsid w:val="009776A9"/>
    <w:rsid w:val="009776F6"/>
    <w:rsid w:val="00977909"/>
    <w:rsid w:val="0097798B"/>
    <w:rsid w:val="00977D77"/>
    <w:rsid w:val="00977EFB"/>
    <w:rsid w:val="00977F10"/>
    <w:rsid w:val="00977F6B"/>
    <w:rsid w:val="0098002A"/>
    <w:rsid w:val="009800AF"/>
    <w:rsid w:val="009802CE"/>
    <w:rsid w:val="009803B5"/>
    <w:rsid w:val="009807A1"/>
    <w:rsid w:val="009808DD"/>
    <w:rsid w:val="009808E2"/>
    <w:rsid w:val="00980945"/>
    <w:rsid w:val="00980E32"/>
    <w:rsid w:val="00980E58"/>
    <w:rsid w:val="00981380"/>
    <w:rsid w:val="0098138E"/>
    <w:rsid w:val="0098145A"/>
    <w:rsid w:val="00981636"/>
    <w:rsid w:val="0098178A"/>
    <w:rsid w:val="00981821"/>
    <w:rsid w:val="00981949"/>
    <w:rsid w:val="00981C8C"/>
    <w:rsid w:val="00981C9D"/>
    <w:rsid w:val="00981D32"/>
    <w:rsid w:val="00981FE7"/>
    <w:rsid w:val="00982250"/>
    <w:rsid w:val="00982737"/>
    <w:rsid w:val="0098273F"/>
    <w:rsid w:val="009827E0"/>
    <w:rsid w:val="009827E6"/>
    <w:rsid w:val="00982A67"/>
    <w:rsid w:val="00982CC3"/>
    <w:rsid w:val="00982F5C"/>
    <w:rsid w:val="0098363C"/>
    <w:rsid w:val="009836C3"/>
    <w:rsid w:val="00983735"/>
    <w:rsid w:val="00983A14"/>
    <w:rsid w:val="00983A1D"/>
    <w:rsid w:val="00983A85"/>
    <w:rsid w:val="00983EFA"/>
    <w:rsid w:val="0098407D"/>
    <w:rsid w:val="009841E2"/>
    <w:rsid w:val="00984222"/>
    <w:rsid w:val="0098466A"/>
    <w:rsid w:val="009846A0"/>
    <w:rsid w:val="009848E0"/>
    <w:rsid w:val="009849EE"/>
    <w:rsid w:val="00984C6E"/>
    <w:rsid w:val="00984CF0"/>
    <w:rsid w:val="00984D46"/>
    <w:rsid w:val="00984D96"/>
    <w:rsid w:val="00984F76"/>
    <w:rsid w:val="00985013"/>
    <w:rsid w:val="009851EB"/>
    <w:rsid w:val="009855C0"/>
    <w:rsid w:val="00985626"/>
    <w:rsid w:val="009858FC"/>
    <w:rsid w:val="0098599B"/>
    <w:rsid w:val="00985D1B"/>
    <w:rsid w:val="00985D66"/>
    <w:rsid w:val="009863D6"/>
    <w:rsid w:val="009863EE"/>
    <w:rsid w:val="00986411"/>
    <w:rsid w:val="0098655A"/>
    <w:rsid w:val="00986653"/>
    <w:rsid w:val="009867A1"/>
    <w:rsid w:val="009868E4"/>
    <w:rsid w:val="00986B22"/>
    <w:rsid w:val="00986B72"/>
    <w:rsid w:val="00986F70"/>
    <w:rsid w:val="0098700C"/>
    <w:rsid w:val="009871FC"/>
    <w:rsid w:val="00987211"/>
    <w:rsid w:val="00987234"/>
    <w:rsid w:val="00987861"/>
    <w:rsid w:val="009878C4"/>
    <w:rsid w:val="00987B0A"/>
    <w:rsid w:val="00987B8F"/>
    <w:rsid w:val="00987CAD"/>
    <w:rsid w:val="00987FAD"/>
    <w:rsid w:val="009900FD"/>
    <w:rsid w:val="0099012B"/>
    <w:rsid w:val="00990307"/>
    <w:rsid w:val="00990366"/>
    <w:rsid w:val="00990371"/>
    <w:rsid w:val="009906C5"/>
    <w:rsid w:val="009907FC"/>
    <w:rsid w:val="0099083D"/>
    <w:rsid w:val="00990B00"/>
    <w:rsid w:val="00990C31"/>
    <w:rsid w:val="00990C3A"/>
    <w:rsid w:val="00990E21"/>
    <w:rsid w:val="00990F5C"/>
    <w:rsid w:val="0099113F"/>
    <w:rsid w:val="00991181"/>
    <w:rsid w:val="00991258"/>
    <w:rsid w:val="0099125B"/>
    <w:rsid w:val="009913D7"/>
    <w:rsid w:val="009913E1"/>
    <w:rsid w:val="00991432"/>
    <w:rsid w:val="00991574"/>
    <w:rsid w:val="00991672"/>
    <w:rsid w:val="009916D3"/>
    <w:rsid w:val="00991990"/>
    <w:rsid w:val="00991C0B"/>
    <w:rsid w:val="00991C58"/>
    <w:rsid w:val="00991C97"/>
    <w:rsid w:val="00991DA1"/>
    <w:rsid w:val="009920C3"/>
    <w:rsid w:val="009920FF"/>
    <w:rsid w:val="0099214A"/>
    <w:rsid w:val="0099231E"/>
    <w:rsid w:val="00992324"/>
    <w:rsid w:val="0099233C"/>
    <w:rsid w:val="00992371"/>
    <w:rsid w:val="0099288B"/>
    <w:rsid w:val="009928C9"/>
    <w:rsid w:val="00992B0B"/>
    <w:rsid w:val="00992DBB"/>
    <w:rsid w:val="00992DC3"/>
    <w:rsid w:val="00992F10"/>
    <w:rsid w:val="00992F7E"/>
    <w:rsid w:val="00992F80"/>
    <w:rsid w:val="0099306F"/>
    <w:rsid w:val="009930D5"/>
    <w:rsid w:val="00993177"/>
    <w:rsid w:val="00993259"/>
    <w:rsid w:val="009936FB"/>
    <w:rsid w:val="0099371C"/>
    <w:rsid w:val="00993A71"/>
    <w:rsid w:val="00993A75"/>
    <w:rsid w:val="00993C77"/>
    <w:rsid w:val="00993F57"/>
    <w:rsid w:val="009942A1"/>
    <w:rsid w:val="009942D0"/>
    <w:rsid w:val="00994390"/>
    <w:rsid w:val="0099452A"/>
    <w:rsid w:val="009949F0"/>
    <w:rsid w:val="00994C44"/>
    <w:rsid w:val="00994CE2"/>
    <w:rsid w:val="00994FFA"/>
    <w:rsid w:val="0099507C"/>
    <w:rsid w:val="00995175"/>
    <w:rsid w:val="009951A3"/>
    <w:rsid w:val="00995319"/>
    <w:rsid w:val="009954B5"/>
    <w:rsid w:val="009955DA"/>
    <w:rsid w:val="00995767"/>
    <w:rsid w:val="00995794"/>
    <w:rsid w:val="009957EF"/>
    <w:rsid w:val="0099580A"/>
    <w:rsid w:val="00995826"/>
    <w:rsid w:val="00995854"/>
    <w:rsid w:val="009958E1"/>
    <w:rsid w:val="00995C2C"/>
    <w:rsid w:val="00995D35"/>
    <w:rsid w:val="00995E5A"/>
    <w:rsid w:val="00995F0B"/>
    <w:rsid w:val="00996011"/>
    <w:rsid w:val="00996162"/>
    <w:rsid w:val="009961A6"/>
    <w:rsid w:val="0099629D"/>
    <w:rsid w:val="009966E2"/>
    <w:rsid w:val="009967C4"/>
    <w:rsid w:val="00996811"/>
    <w:rsid w:val="00996829"/>
    <w:rsid w:val="00996A4E"/>
    <w:rsid w:val="00996AEC"/>
    <w:rsid w:val="00996B89"/>
    <w:rsid w:val="00996C8A"/>
    <w:rsid w:val="00996DF0"/>
    <w:rsid w:val="00997071"/>
    <w:rsid w:val="0099743D"/>
    <w:rsid w:val="0099745B"/>
    <w:rsid w:val="009975B2"/>
    <w:rsid w:val="00997683"/>
    <w:rsid w:val="00997866"/>
    <w:rsid w:val="009978D8"/>
    <w:rsid w:val="009978FF"/>
    <w:rsid w:val="00997A67"/>
    <w:rsid w:val="00997C2C"/>
    <w:rsid w:val="00997D9A"/>
    <w:rsid w:val="00997DDC"/>
    <w:rsid w:val="00997DF1"/>
    <w:rsid w:val="00997EA9"/>
    <w:rsid w:val="00997FFC"/>
    <w:rsid w:val="009A0212"/>
    <w:rsid w:val="009A0316"/>
    <w:rsid w:val="009A0317"/>
    <w:rsid w:val="009A0318"/>
    <w:rsid w:val="009A0441"/>
    <w:rsid w:val="009A0548"/>
    <w:rsid w:val="009A0A81"/>
    <w:rsid w:val="009A0CA5"/>
    <w:rsid w:val="009A0CF6"/>
    <w:rsid w:val="009A0DE3"/>
    <w:rsid w:val="009A0F68"/>
    <w:rsid w:val="009A12BD"/>
    <w:rsid w:val="009A1308"/>
    <w:rsid w:val="009A133D"/>
    <w:rsid w:val="009A1365"/>
    <w:rsid w:val="009A16C4"/>
    <w:rsid w:val="009A16FF"/>
    <w:rsid w:val="009A17F7"/>
    <w:rsid w:val="009A1AAA"/>
    <w:rsid w:val="009A1AEF"/>
    <w:rsid w:val="009A1CE0"/>
    <w:rsid w:val="009A1DFB"/>
    <w:rsid w:val="009A215D"/>
    <w:rsid w:val="009A21A4"/>
    <w:rsid w:val="009A21CA"/>
    <w:rsid w:val="009A223A"/>
    <w:rsid w:val="009A227A"/>
    <w:rsid w:val="009A2490"/>
    <w:rsid w:val="009A2521"/>
    <w:rsid w:val="009A25A7"/>
    <w:rsid w:val="009A261C"/>
    <w:rsid w:val="009A26A9"/>
    <w:rsid w:val="009A296C"/>
    <w:rsid w:val="009A2CAC"/>
    <w:rsid w:val="009A2D8B"/>
    <w:rsid w:val="009A2F2F"/>
    <w:rsid w:val="009A2F94"/>
    <w:rsid w:val="009A31A6"/>
    <w:rsid w:val="009A3491"/>
    <w:rsid w:val="009A367D"/>
    <w:rsid w:val="009A3680"/>
    <w:rsid w:val="009A36B1"/>
    <w:rsid w:val="009A3B12"/>
    <w:rsid w:val="009A3B31"/>
    <w:rsid w:val="009A3C62"/>
    <w:rsid w:val="009A3DA7"/>
    <w:rsid w:val="009A3F6A"/>
    <w:rsid w:val="009A3F9D"/>
    <w:rsid w:val="009A3FDA"/>
    <w:rsid w:val="009A411B"/>
    <w:rsid w:val="009A41E8"/>
    <w:rsid w:val="009A42A4"/>
    <w:rsid w:val="009A42C0"/>
    <w:rsid w:val="009A450E"/>
    <w:rsid w:val="009A45DB"/>
    <w:rsid w:val="009A4635"/>
    <w:rsid w:val="009A4704"/>
    <w:rsid w:val="009A4FD3"/>
    <w:rsid w:val="009A53F7"/>
    <w:rsid w:val="009A54A7"/>
    <w:rsid w:val="009A54D6"/>
    <w:rsid w:val="009A5620"/>
    <w:rsid w:val="009A568E"/>
    <w:rsid w:val="009A57D3"/>
    <w:rsid w:val="009A57F7"/>
    <w:rsid w:val="009A5A01"/>
    <w:rsid w:val="009A5CE7"/>
    <w:rsid w:val="009A5EDD"/>
    <w:rsid w:val="009A613F"/>
    <w:rsid w:val="009A66DA"/>
    <w:rsid w:val="009A68F9"/>
    <w:rsid w:val="009A6B46"/>
    <w:rsid w:val="009A6BB9"/>
    <w:rsid w:val="009A6D72"/>
    <w:rsid w:val="009A6E36"/>
    <w:rsid w:val="009A6FF0"/>
    <w:rsid w:val="009A7146"/>
    <w:rsid w:val="009A7221"/>
    <w:rsid w:val="009A7284"/>
    <w:rsid w:val="009A7350"/>
    <w:rsid w:val="009A7363"/>
    <w:rsid w:val="009A73AB"/>
    <w:rsid w:val="009A741B"/>
    <w:rsid w:val="009A759E"/>
    <w:rsid w:val="009A75F0"/>
    <w:rsid w:val="009A75FD"/>
    <w:rsid w:val="009A7682"/>
    <w:rsid w:val="009A778D"/>
    <w:rsid w:val="009A77D7"/>
    <w:rsid w:val="009A790C"/>
    <w:rsid w:val="009A7933"/>
    <w:rsid w:val="009A7A3F"/>
    <w:rsid w:val="009A7AEC"/>
    <w:rsid w:val="009A7B8E"/>
    <w:rsid w:val="009A7D53"/>
    <w:rsid w:val="009A7D5C"/>
    <w:rsid w:val="009A7D9E"/>
    <w:rsid w:val="009A7F71"/>
    <w:rsid w:val="009A7FE8"/>
    <w:rsid w:val="009B01D1"/>
    <w:rsid w:val="009B04F6"/>
    <w:rsid w:val="009B071E"/>
    <w:rsid w:val="009B074E"/>
    <w:rsid w:val="009B0A98"/>
    <w:rsid w:val="009B0B55"/>
    <w:rsid w:val="009B0C61"/>
    <w:rsid w:val="009B0E96"/>
    <w:rsid w:val="009B14FA"/>
    <w:rsid w:val="009B1573"/>
    <w:rsid w:val="009B163F"/>
    <w:rsid w:val="009B16BE"/>
    <w:rsid w:val="009B16E7"/>
    <w:rsid w:val="009B1BEE"/>
    <w:rsid w:val="009B1C3E"/>
    <w:rsid w:val="009B1CD9"/>
    <w:rsid w:val="009B1CDC"/>
    <w:rsid w:val="009B2090"/>
    <w:rsid w:val="009B242A"/>
    <w:rsid w:val="009B245F"/>
    <w:rsid w:val="009B29FF"/>
    <w:rsid w:val="009B2AB0"/>
    <w:rsid w:val="009B2F1B"/>
    <w:rsid w:val="009B2F71"/>
    <w:rsid w:val="009B300A"/>
    <w:rsid w:val="009B3293"/>
    <w:rsid w:val="009B32D2"/>
    <w:rsid w:val="009B3356"/>
    <w:rsid w:val="009B33E2"/>
    <w:rsid w:val="009B3610"/>
    <w:rsid w:val="009B3A69"/>
    <w:rsid w:val="009B3B53"/>
    <w:rsid w:val="009B3F2D"/>
    <w:rsid w:val="009B3F9A"/>
    <w:rsid w:val="009B3FEF"/>
    <w:rsid w:val="009B42FA"/>
    <w:rsid w:val="009B4489"/>
    <w:rsid w:val="009B44D2"/>
    <w:rsid w:val="009B48C8"/>
    <w:rsid w:val="009B48D4"/>
    <w:rsid w:val="009B4B64"/>
    <w:rsid w:val="009B4CFF"/>
    <w:rsid w:val="009B52C9"/>
    <w:rsid w:val="009B5347"/>
    <w:rsid w:val="009B5410"/>
    <w:rsid w:val="009B5422"/>
    <w:rsid w:val="009B5B90"/>
    <w:rsid w:val="009B5E00"/>
    <w:rsid w:val="009B6032"/>
    <w:rsid w:val="009B6484"/>
    <w:rsid w:val="009B678A"/>
    <w:rsid w:val="009B679C"/>
    <w:rsid w:val="009B69B5"/>
    <w:rsid w:val="009B6AAD"/>
    <w:rsid w:val="009B6C03"/>
    <w:rsid w:val="009B6D57"/>
    <w:rsid w:val="009B6E64"/>
    <w:rsid w:val="009B73B5"/>
    <w:rsid w:val="009B757B"/>
    <w:rsid w:val="009B7691"/>
    <w:rsid w:val="009B7851"/>
    <w:rsid w:val="009B7999"/>
    <w:rsid w:val="009B7C1C"/>
    <w:rsid w:val="009B7C52"/>
    <w:rsid w:val="009B7C5F"/>
    <w:rsid w:val="009B7DFE"/>
    <w:rsid w:val="009C006D"/>
    <w:rsid w:val="009C03B6"/>
    <w:rsid w:val="009C044E"/>
    <w:rsid w:val="009C048D"/>
    <w:rsid w:val="009C06F8"/>
    <w:rsid w:val="009C08BF"/>
    <w:rsid w:val="009C0AB6"/>
    <w:rsid w:val="009C105B"/>
    <w:rsid w:val="009C1112"/>
    <w:rsid w:val="009C1686"/>
    <w:rsid w:val="009C19BF"/>
    <w:rsid w:val="009C1BDE"/>
    <w:rsid w:val="009C1C1B"/>
    <w:rsid w:val="009C1D81"/>
    <w:rsid w:val="009C1D8D"/>
    <w:rsid w:val="009C1E03"/>
    <w:rsid w:val="009C20ED"/>
    <w:rsid w:val="009C237D"/>
    <w:rsid w:val="009C2574"/>
    <w:rsid w:val="009C25A8"/>
    <w:rsid w:val="009C2608"/>
    <w:rsid w:val="009C264D"/>
    <w:rsid w:val="009C2B6F"/>
    <w:rsid w:val="009C2D52"/>
    <w:rsid w:val="009C2D8C"/>
    <w:rsid w:val="009C2E31"/>
    <w:rsid w:val="009C2E83"/>
    <w:rsid w:val="009C2F17"/>
    <w:rsid w:val="009C2FBE"/>
    <w:rsid w:val="009C301B"/>
    <w:rsid w:val="009C314C"/>
    <w:rsid w:val="009C3182"/>
    <w:rsid w:val="009C3396"/>
    <w:rsid w:val="009C3424"/>
    <w:rsid w:val="009C352E"/>
    <w:rsid w:val="009C3891"/>
    <w:rsid w:val="009C3906"/>
    <w:rsid w:val="009C3A96"/>
    <w:rsid w:val="009C3AC2"/>
    <w:rsid w:val="009C3F36"/>
    <w:rsid w:val="009C41D4"/>
    <w:rsid w:val="009C42B4"/>
    <w:rsid w:val="009C42CD"/>
    <w:rsid w:val="009C47D7"/>
    <w:rsid w:val="009C47ED"/>
    <w:rsid w:val="009C498E"/>
    <w:rsid w:val="009C49CA"/>
    <w:rsid w:val="009C4ACC"/>
    <w:rsid w:val="009C4B2E"/>
    <w:rsid w:val="009C4C39"/>
    <w:rsid w:val="009C501D"/>
    <w:rsid w:val="009C5082"/>
    <w:rsid w:val="009C5102"/>
    <w:rsid w:val="009C5376"/>
    <w:rsid w:val="009C5458"/>
    <w:rsid w:val="009C55B6"/>
    <w:rsid w:val="009C5688"/>
    <w:rsid w:val="009C57AF"/>
    <w:rsid w:val="009C57F9"/>
    <w:rsid w:val="009C57FD"/>
    <w:rsid w:val="009C58A5"/>
    <w:rsid w:val="009C59C7"/>
    <w:rsid w:val="009C5B29"/>
    <w:rsid w:val="009C5D02"/>
    <w:rsid w:val="009C60ED"/>
    <w:rsid w:val="009C626A"/>
    <w:rsid w:val="009C6283"/>
    <w:rsid w:val="009C6399"/>
    <w:rsid w:val="009C6414"/>
    <w:rsid w:val="009C670C"/>
    <w:rsid w:val="009C6743"/>
    <w:rsid w:val="009C679A"/>
    <w:rsid w:val="009C6A2A"/>
    <w:rsid w:val="009C6B85"/>
    <w:rsid w:val="009C6BB9"/>
    <w:rsid w:val="009C6BE5"/>
    <w:rsid w:val="009C6C50"/>
    <w:rsid w:val="009C6CAA"/>
    <w:rsid w:val="009C6DE7"/>
    <w:rsid w:val="009C6FD5"/>
    <w:rsid w:val="009C715F"/>
    <w:rsid w:val="009C7213"/>
    <w:rsid w:val="009C746E"/>
    <w:rsid w:val="009C7649"/>
    <w:rsid w:val="009C7671"/>
    <w:rsid w:val="009C774D"/>
    <w:rsid w:val="009C7D1A"/>
    <w:rsid w:val="009C7ED4"/>
    <w:rsid w:val="009D0167"/>
    <w:rsid w:val="009D0228"/>
    <w:rsid w:val="009D0236"/>
    <w:rsid w:val="009D0308"/>
    <w:rsid w:val="009D031F"/>
    <w:rsid w:val="009D0386"/>
    <w:rsid w:val="009D03EF"/>
    <w:rsid w:val="009D0426"/>
    <w:rsid w:val="009D051A"/>
    <w:rsid w:val="009D06DC"/>
    <w:rsid w:val="009D099B"/>
    <w:rsid w:val="009D099E"/>
    <w:rsid w:val="009D0A90"/>
    <w:rsid w:val="009D0AD2"/>
    <w:rsid w:val="009D0B14"/>
    <w:rsid w:val="009D0B9A"/>
    <w:rsid w:val="009D0BC3"/>
    <w:rsid w:val="009D0C7A"/>
    <w:rsid w:val="009D0F42"/>
    <w:rsid w:val="009D1371"/>
    <w:rsid w:val="009D14A2"/>
    <w:rsid w:val="009D15E0"/>
    <w:rsid w:val="009D1646"/>
    <w:rsid w:val="009D1878"/>
    <w:rsid w:val="009D1960"/>
    <w:rsid w:val="009D1980"/>
    <w:rsid w:val="009D19C0"/>
    <w:rsid w:val="009D19F6"/>
    <w:rsid w:val="009D1B82"/>
    <w:rsid w:val="009D1C0E"/>
    <w:rsid w:val="009D1C4A"/>
    <w:rsid w:val="009D1C4B"/>
    <w:rsid w:val="009D1D55"/>
    <w:rsid w:val="009D1E76"/>
    <w:rsid w:val="009D1EA0"/>
    <w:rsid w:val="009D20BA"/>
    <w:rsid w:val="009D21E7"/>
    <w:rsid w:val="009D222D"/>
    <w:rsid w:val="009D2230"/>
    <w:rsid w:val="009D2231"/>
    <w:rsid w:val="009D23DC"/>
    <w:rsid w:val="009D259C"/>
    <w:rsid w:val="009D25CA"/>
    <w:rsid w:val="009D2763"/>
    <w:rsid w:val="009D2B49"/>
    <w:rsid w:val="009D2CBF"/>
    <w:rsid w:val="009D2D23"/>
    <w:rsid w:val="009D2E09"/>
    <w:rsid w:val="009D311A"/>
    <w:rsid w:val="009D319B"/>
    <w:rsid w:val="009D31D2"/>
    <w:rsid w:val="009D331F"/>
    <w:rsid w:val="009D33CB"/>
    <w:rsid w:val="009D38CA"/>
    <w:rsid w:val="009D3B32"/>
    <w:rsid w:val="009D404B"/>
    <w:rsid w:val="009D40BC"/>
    <w:rsid w:val="009D42C8"/>
    <w:rsid w:val="009D43C5"/>
    <w:rsid w:val="009D462D"/>
    <w:rsid w:val="009D46F5"/>
    <w:rsid w:val="009D48DB"/>
    <w:rsid w:val="009D5510"/>
    <w:rsid w:val="009D55E2"/>
    <w:rsid w:val="009D590C"/>
    <w:rsid w:val="009D5A34"/>
    <w:rsid w:val="009D5C65"/>
    <w:rsid w:val="009D5EDD"/>
    <w:rsid w:val="009D6230"/>
    <w:rsid w:val="009D62C8"/>
    <w:rsid w:val="009D62F9"/>
    <w:rsid w:val="009D6359"/>
    <w:rsid w:val="009D6467"/>
    <w:rsid w:val="009D65C2"/>
    <w:rsid w:val="009D67E3"/>
    <w:rsid w:val="009D69EC"/>
    <w:rsid w:val="009D6B2C"/>
    <w:rsid w:val="009D6B3F"/>
    <w:rsid w:val="009D6F13"/>
    <w:rsid w:val="009D6F87"/>
    <w:rsid w:val="009D70A0"/>
    <w:rsid w:val="009D729B"/>
    <w:rsid w:val="009D736A"/>
    <w:rsid w:val="009D73EB"/>
    <w:rsid w:val="009D79E0"/>
    <w:rsid w:val="009D7B48"/>
    <w:rsid w:val="009D7D69"/>
    <w:rsid w:val="009D7D96"/>
    <w:rsid w:val="009D7E26"/>
    <w:rsid w:val="009D7FAC"/>
    <w:rsid w:val="009E0132"/>
    <w:rsid w:val="009E0390"/>
    <w:rsid w:val="009E0476"/>
    <w:rsid w:val="009E057F"/>
    <w:rsid w:val="009E0969"/>
    <w:rsid w:val="009E09CF"/>
    <w:rsid w:val="009E0A2F"/>
    <w:rsid w:val="009E0B62"/>
    <w:rsid w:val="009E0BD1"/>
    <w:rsid w:val="009E0D10"/>
    <w:rsid w:val="009E1082"/>
    <w:rsid w:val="009E1430"/>
    <w:rsid w:val="009E156A"/>
    <w:rsid w:val="009E157F"/>
    <w:rsid w:val="009E1605"/>
    <w:rsid w:val="009E1630"/>
    <w:rsid w:val="009E164D"/>
    <w:rsid w:val="009E1662"/>
    <w:rsid w:val="009E1687"/>
    <w:rsid w:val="009E1695"/>
    <w:rsid w:val="009E1788"/>
    <w:rsid w:val="009E17C9"/>
    <w:rsid w:val="009E1AB1"/>
    <w:rsid w:val="009E1B5C"/>
    <w:rsid w:val="009E1C58"/>
    <w:rsid w:val="009E1CB6"/>
    <w:rsid w:val="009E1FAF"/>
    <w:rsid w:val="009E20CD"/>
    <w:rsid w:val="009E2355"/>
    <w:rsid w:val="009E23E7"/>
    <w:rsid w:val="009E2447"/>
    <w:rsid w:val="009E2536"/>
    <w:rsid w:val="009E262B"/>
    <w:rsid w:val="009E2B9C"/>
    <w:rsid w:val="009E2DFB"/>
    <w:rsid w:val="009E311A"/>
    <w:rsid w:val="009E31E2"/>
    <w:rsid w:val="009E356A"/>
    <w:rsid w:val="009E362C"/>
    <w:rsid w:val="009E3811"/>
    <w:rsid w:val="009E3914"/>
    <w:rsid w:val="009E3EEB"/>
    <w:rsid w:val="009E432C"/>
    <w:rsid w:val="009E4662"/>
    <w:rsid w:val="009E4704"/>
    <w:rsid w:val="009E4899"/>
    <w:rsid w:val="009E48DF"/>
    <w:rsid w:val="009E48FE"/>
    <w:rsid w:val="009E49EF"/>
    <w:rsid w:val="009E4A2C"/>
    <w:rsid w:val="009E4B39"/>
    <w:rsid w:val="009E4B8D"/>
    <w:rsid w:val="009E4BAC"/>
    <w:rsid w:val="009E4BED"/>
    <w:rsid w:val="009E4D8E"/>
    <w:rsid w:val="009E4E92"/>
    <w:rsid w:val="009E5073"/>
    <w:rsid w:val="009E50DF"/>
    <w:rsid w:val="009E5130"/>
    <w:rsid w:val="009E516D"/>
    <w:rsid w:val="009E53D1"/>
    <w:rsid w:val="009E54BD"/>
    <w:rsid w:val="009E576F"/>
    <w:rsid w:val="009E5859"/>
    <w:rsid w:val="009E58C6"/>
    <w:rsid w:val="009E5AE9"/>
    <w:rsid w:val="009E5BD2"/>
    <w:rsid w:val="009E5C45"/>
    <w:rsid w:val="009E5E35"/>
    <w:rsid w:val="009E6052"/>
    <w:rsid w:val="009E6280"/>
    <w:rsid w:val="009E6573"/>
    <w:rsid w:val="009E66A6"/>
    <w:rsid w:val="009E66FE"/>
    <w:rsid w:val="009E69E1"/>
    <w:rsid w:val="009E6C7B"/>
    <w:rsid w:val="009E6D47"/>
    <w:rsid w:val="009E6F3B"/>
    <w:rsid w:val="009E6FFE"/>
    <w:rsid w:val="009E73B1"/>
    <w:rsid w:val="009E73D9"/>
    <w:rsid w:val="009E7569"/>
    <w:rsid w:val="009E76F6"/>
    <w:rsid w:val="009E7860"/>
    <w:rsid w:val="009E7999"/>
    <w:rsid w:val="009E7BE8"/>
    <w:rsid w:val="009E7C7F"/>
    <w:rsid w:val="009E7CA6"/>
    <w:rsid w:val="009E7E12"/>
    <w:rsid w:val="009E7F94"/>
    <w:rsid w:val="009F001E"/>
    <w:rsid w:val="009F013F"/>
    <w:rsid w:val="009F01E0"/>
    <w:rsid w:val="009F0210"/>
    <w:rsid w:val="009F0350"/>
    <w:rsid w:val="009F03BF"/>
    <w:rsid w:val="009F0509"/>
    <w:rsid w:val="009F0598"/>
    <w:rsid w:val="009F05D9"/>
    <w:rsid w:val="009F05E7"/>
    <w:rsid w:val="009F0648"/>
    <w:rsid w:val="009F085F"/>
    <w:rsid w:val="009F090D"/>
    <w:rsid w:val="009F0A1E"/>
    <w:rsid w:val="009F0B31"/>
    <w:rsid w:val="009F0B7B"/>
    <w:rsid w:val="009F0BE3"/>
    <w:rsid w:val="009F0C2C"/>
    <w:rsid w:val="009F0CDE"/>
    <w:rsid w:val="009F0CEC"/>
    <w:rsid w:val="009F0E3F"/>
    <w:rsid w:val="009F0F4D"/>
    <w:rsid w:val="009F1024"/>
    <w:rsid w:val="009F174B"/>
    <w:rsid w:val="009F18FF"/>
    <w:rsid w:val="009F1DF2"/>
    <w:rsid w:val="009F1E6B"/>
    <w:rsid w:val="009F1EF9"/>
    <w:rsid w:val="009F1F80"/>
    <w:rsid w:val="009F2080"/>
    <w:rsid w:val="009F20A9"/>
    <w:rsid w:val="009F212D"/>
    <w:rsid w:val="009F22F4"/>
    <w:rsid w:val="009F24A9"/>
    <w:rsid w:val="009F24D7"/>
    <w:rsid w:val="009F2513"/>
    <w:rsid w:val="009F2864"/>
    <w:rsid w:val="009F29B3"/>
    <w:rsid w:val="009F29E3"/>
    <w:rsid w:val="009F2A0B"/>
    <w:rsid w:val="009F2A6D"/>
    <w:rsid w:val="009F2C7E"/>
    <w:rsid w:val="009F2FAF"/>
    <w:rsid w:val="009F3051"/>
    <w:rsid w:val="009F30B0"/>
    <w:rsid w:val="009F321B"/>
    <w:rsid w:val="009F3233"/>
    <w:rsid w:val="009F3272"/>
    <w:rsid w:val="009F3288"/>
    <w:rsid w:val="009F3511"/>
    <w:rsid w:val="009F367F"/>
    <w:rsid w:val="009F3A69"/>
    <w:rsid w:val="009F3B47"/>
    <w:rsid w:val="009F3E17"/>
    <w:rsid w:val="009F3FB0"/>
    <w:rsid w:val="009F430C"/>
    <w:rsid w:val="009F4349"/>
    <w:rsid w:val="009F4429"/>
    <w:rsid w:val="009F442A"/>
    <w:rsid w:val="009F4862"/>
    <w:rsid w:val="009F4871"/>
    <w:rsid w:val="009F4A53"/>
    <w:rsid w:val="009F4B74"/>
    <w:rsid w:val="009F4C0F"/>
    <w:rsid w:val="009F4C4B"/>
    <w:rsid w:val="009F4F71"/>
    <w:rsid w:val="009F525A"/>
    <w:rsid w:val="009F5338"/>
    <w:rsid w:val="009F534E"/>
    <w:rsid w:val="009F53C8"/>
    <w:rsid w:val="009F53EF"/>
    <w:rsid w:val="009F54DB"/>
    <w:rsid w:val="009F5500"/>
    <w:rsid w:val="009F559B"/>
    <w:rsid w:val="009F5895"/>
    <w:rsid w:val="009F5AF9"/>
    <w:rsid w:val="009F5B46"/>
    <w:rsid w:val="009F5CFF"/>
    <w:rsid w:val="009F5F5A"/>
    <w:rsid w:val="009F60BB"/>
    <w:rsid w:val="009F6227"/>
    <w:rsid w:val="009F6244"/>
    <w:rsid w:val="009F63AC"/>
    <w:rsid w:val="009F6643"/>
    <w:rsid w:val="009F67A7"/>
    <w:rsid w:val="009F690F"/>
    <w:rsid w:val="009F6A5A"/>
    <w:rsid w:val="009F6A6E"/>
    <w:rsid w:val="009F6A94"/>
    <w:rsid w:val="009F6BE3"/>
    <w:rsid w:val="009F6C19"/>
    <w:rsid w:val="009F6C56"/>
    <w:rsid w:val="009F6D92"/>
    <w:rsid w:val="009F6D9F"/>
    <w:rsid w:val="009F6E3E"/>
    <w:rsid w:val="009F7141"/>
    <w:rsid w:val="009F7249"/>
    <w:rsid w:val="009F72A4"/>
    <w:rsid w:val="009F72D8"/>
    <w:rsid w:val="009F7387"/>
    <w:rsid w:val="009F7410"/>
    <w:rsid w:val="009F7512"/>
    <w:rsid w:val="009F752B"/>
    <w:rsid w:val="009F7C0B"/>
    <w:rsid w:val="009F7C52"/>
    <w:rsid w:val="009F7D27"/>
    <w:rsid w:val="009F7D4F"/>
    <w:rsid w:val="009F7ED9"/>
    <w:rsid w:val="00A00140"/>
    <w:rsid w:val="00A00174"/>
    <w:rsid w:val="00A0055B"/>
    <w:rsid w:val="00A0064E"/>
    <w:rsid w:val="00A006BB"/>
    <w:rsid w:val="00A008D7"/>
    <w:rsid w:val="00A00C18"/>
    <w:rsid w:val="00A00D69"/>
    <w:rsid w:val="00A00F5B"/>
    <w:rsid w:val="00A00F7F"/>
    <w:rsid w:val="00A011BB"/>
    <w:rsid w:val="00A01370"/>
    <w:rsid w:val="00A01529"/>
    <w:rsid w:val="00A01545"/>
    <w:rsid w:val="00A0164A"/>
    <w:rsid w:val="00A01B4A"/>
    <w:rsid w:val="00A01B5C"/>
    <w:rsid w:val="00A01D7D"/>
    <w:rsid w:val="00A01ECD"/>
    <w:rsid w:val="00A020AF"/>
    <w:rsid w:val="00A025BB"/>
    <w:rsid w:val="00A027D6"/>
    <w:rsid w:val="00A02860"/>
    <w:rsid w:val="00A0289D"/>
    <w:rsid w:val="00A028C6"/>
    <w:rsid w:val="00A028DB"/>
    <w:rsid w:val="00A0299A"/>
    <w:rsid w:val="00A02C49"/>
    <w:rsid w:val="00A02C50"/>
    <w:rsid w:val="00A02CD6"/>
    <w:rsid w:val="00A02DEA"/>
    <w:rsid w:val="00A02EB9"/>
    <w:rsid w:val="00A02FDC"/>
    <w:rsid w:val="00A030B5"/>
    <w:rsid w:val="00A030D1"/>
    <w:rsid w:val="00A03148"/>
    <w:rsid w:val="00A031E8"/>
    <w:rsid w:val="00A031EE"/>
    <w:rsid w:val="00A035D2"/>
    <w:rsid w:val="00A03791"/>
    <w:rsid w:val="00A03913"/>
    <w:rsid w:val="00A03ACE"/>
    <w:rsid w:val="00A03AF8"/>
    <w:rsid w:val="00A03D7D"/>
    <w:rsid w:val="00A041E7"/>
    <w:rsid w:val="00A042C7"/>
    <w:rsid w:val="00A0434B"/>
    <w:rsid w:val="00A045BA"/>
    <w:rsid w:val="00A0468A"/>
    <w:rsid w:val="00A04AFA"/>
    <w:rsid w:val="00A04B81"/>
    <w:rsid w:val="00A0521E"/>
    <w:rsid w:val="00A05328"/>
    <w:rsid w:val="00A0562E"/>
    <w:rsid w:val="00A05720"/>
    <w:rsid w:val="00A05872"/>
    <w:rsid w:val="00A05C0D"/>
    <w:rsid w:val="00A05E41"/>
    <w:rsid w:val="00A05E95"/>
    <w:rsid w:val="00A05E9F"/>
    <w:rsid w:val="00A06317"/>
    <w:rsid w:val="00A0650C"/>
    <w:rsid w:val="00A0665E"/>
    <w:rsid w:val="00A066FA"/>
    <w:rsid w:val="00A06753"/>
    <w:rsid w:val="00A06A2E"/>
    <w:rsid w:val="00A06CA2"/>
    <w:rsid w:val="00A06D78"/>
    <w:rsid w:val="00A06DF6"/>
    <w:rsid w:val="00A06F07"/>
    <w:rsid w:val="00A07276"/>
    <w:rsid w:val="00A0748C"/>
    <w:rsid w:val="00A074FE"/>
    <w:rsid w:val="00A075C4"/>
    <w:rsid w:val="00A0760C"/>
    <w:rsid w:val="00A07B65"/>
    <w:rsid w:val="00A07FE0"/>
    <w:rsid w:val="00A10130"/>
    <w:rsid w:val="00A102BA"/>
    <w:rsid w:val="00A1046F"/>
    <w:rsid w:val="00A105C0"/>
    <w:rsid w:val="00A10717"/>
    <w:rsid w:val="00A10BEA"/>
    <w:rsid w:val="00A10CA3"/>
    <w:rsid w:val="00A10F74"/>
    <w:rsid w:val="00A111B4"/>
    <w:rsid w:val="00A112DF"/>
    <w:rsid w:val="00A11437"/>
    <w:rsid w:val="00A1145B"/>
    <w:rsid w:val="00A114B0"/>
    <w:rsid w:val="00A115B7"/>
    <w:rsid w:val="00A115E2"/>
    <w:rsid w:val="00A11879"/>
    <w:rsid w:val="00A1197B"/>
    <w:rsid w:val="00A11CDF"/>
    <w:rsid w:val="00A11E3F"/>
    <w:rsid w:val="00A11F6F"/>
    <w:rsid w:val="00A12199"/>
    <w:rsid w:val="00A125F2"/>
    <w:rsid w:val="00A12A65"/>
    <w:rsid w:val="00A12B46"/>
    <w:rsid w:val="00A12B93"/>
    <w:rsid w:val="00A12DDE"/>
    <w:rsid w:val="00A12EE1"/>
    <w:rsid w:val="00A12FBB"/>
    <w:rsid w:val="00A12FDE"/>
    <w:rsid w:val="00A12FF3"/>
    <w:rsid w:val="00A13163"/>
    <w:rsid w:val="00A131BB"/>
    <w:rsid w:val="00A131CE"/>
    <w:rsid w:val="00A1323B"/>
    <w:rsid w:val="00A13248"/>
    <w:rsid w:val="00A133B8"/>
    <w:rsid w:val="00A135AB"/>
    <w:rsid w:val="00A1362B"/>
    <w:rsid w:val="00A13706"/>
    <w:rsid w:val="00A13A5A"/>
    <w:rsid w:val="00A13D2C"/>
    <w:rsid w:val="00A13E24"/>
    <w:rsid w:val="00A13E48"/>
    <w:rsid w:val="00A142B0"/>
    <w:rsid w:val="00A1450E"/>
    <w:rsid w:val="00A14561"/>
    <w:rsid w:val="00A145C4"/>
    <w:rsid w:val="00A14828"/>
    <w:rsid w:val="00A149D7"/>
    <w:rsid w:val="00A149FA"/>
    <w:rsid w:val="00A14A56"/>
    <w:rsid w:val="00A14BD9"/>
    <w:rsid w:val="00A14D02"/>
    <w:rsid w:val="00A15155"/>
    <w:rsid w:val="00A15262"/>
    <w:rsid w:val="00A153CE"/>
    <w:rsid w:val="00A15478"/>
    <w:rsid w:val="00A1554B"/>
    <w:rsid w:val="00A155E5"/>
    <w:rsid w:val="00A15705"/>
    <w:rsid w:val="00A15A53"/>
    <w:rsid w:val="00A15AA9"/>
    <w:rsid w:val="00A15B55"/>
    <w:rsid w:val="00A15BDC"/>
    <w:rsid w:val="00A15C09"/>
    <w:rsid w:val="00A15C0C"/>
    <w:rsid w:val="00A15CE8"/>
    <w:rsid w:val="00A15DEA"/>
    <w:rsid w:val="00A161B6"/>
    <w:rsid w:val="00A164CB"/>
    <w:rsid w:val="00A16522"/>
    <w:rsid w:val="00A16576"/>
    <w:rsid w:val="00A1681C"/>
    <w:rsid w:val="00A16B10"/>
    <w:rsid w:val="00A16D7D"/>
    <w:rsid w:val="00A17034"/>
    <w:rsid w:val="00A1707A"/>
    <w:rsid w:val="00A1712E"/>
    <w:rsid w:val="00A1739C"/>
    <w:rsid w:val="00A17649"/>
    <w:rsid w:val="00A1791F"/>
    <w:rsid w:val="00A17AAA"/>
    <w:rsid w:val="00A17ACE"/>
    <w:rsid w:val="00A17B39"/>
    <w:rsid w:val="00A17CE0"/>
    <w:rsid w:val="00A17DD5"/>
    <w:rsid w:val="00A202D5"/>
    <w:rsid w:val="00A204E6"/>
    <w:rsid w:val="00A207F4"/>
    <w:rsid w:val="00A20813"/>
    <w:rsid w:val="00A208E1"/>
    <w:rsid w:val="00A209AB"/>
    <w:rsid w:val="00A20F33"/>
    <w:rsid w:val="00A21127"/>
    <w:rsid w:val="00A2121B"/>
    <w:rsid w:val="00A2125C"/>
    <w:rsid w:val="00A2131E"/>
    <w:rsid w:val="00A2141E"/>
    <w:rsid w:val="00A21427"/>
    <w:rsid w:val="00A214B0"/>
    <w:rsid w:val="00A216A5"/>
    <w:rsid w:val="00A216F7"/>
    <w:rsid w:val="00A21B88"/>
    <w:rsid w:val="00A21E1F"/>
    <w:rsid w:val="00A21FD0"/>
    <w:rsid w:val="00A2223F"/>
    <w:rsid w:val="00A226C0"/>
    <w:rsid w:val="00A22941"/>
    <w:rsid w:val="00A2298D"/>
    <w:rsid w:val="00A229E6"/>
    <w:rsid w:val="00A229EE"/>
    <w:rsid w:val="00A22A9F"/>
    <w:rsid w:val="00A22B13"/>
    <w:rsid w:val="00A22B45"/>
    <w:rsid w:val="00A22D2B"/>
    <w:rsid w:val="00A22DB6"/>
    <w:rsid w:val="00A23076"/>
    <w:rsid w:val="00A23174"/>
    <w:rsid w:val="00A231D7"/>
    <w:rsid w:val="00A2346E"/>
    <w:rsid w:val="00A2354E"/>
    <w:rsid w:val="00A23568"/>
    <w:rsid w:val="00A236FE"/>
    <w:rsid w:val="00A2378A"/>
    <w:rsid w:val="00A239A6"/>
    <w:rsid w:val="00A23B49"/>
    <w:rsid w:val="00A23D48"/>
    <w:rsid w:val="00A23EB6"/>
    <w:rsid w:val="00A23EE3"/>
    <w:rsid w:val="00A24019"/>
    <w:rsid w:val="00A240BE"/>
    <w:rsid w:val="00A24249"/>
    <w:rsid w:val="00A243F1"/>
    <w:rsid w:val="00A2455F"/>
    <w:rsid w:val="00A245D9"/>
    <w:rsid w:val="00A24736"/>
    <w:rsid w:val="00A247CA"/>
    <w:rsid w:val="00A24A83"/>
    <w:rsid w:val="00A24D59"/>
    <w:rsid w:val="00A251BA"/>
    <w:rsid w:val="00A25257"/>
    <w:rsid w:val="00A252B4"/>
    <w:rsid w:val="00A25308"/>
    <w:rsid w:val="00A2542F"/>
    <w:rsid w:val="00A254B4"/>
    <w:rsid w:val="00A25508"/>
    <w:rsid w:val="00A25761"/>
    <w:rsid w:val="00A25887"/>
    <w:rsid w:val="00A258B0"/>
    <w:rsid w:val="00A259F7"/>
    <w:rsid w:val="00A25CE7"/>
    <w:rsid w:val="00A25DB2"/>
    <w:rsid w:val="00A25E71"/>
    <w:rsid w:val="00A26B27"/>
    <w:rsid w:val="00A26F3C"/>
    <w:rsid w:val="00A26F4D"/>
    <w:rsid w:val="00A26F5D"/>
    <w:rsid w:val="00A2709C"/>
    <w:rsid w:val="00A27100"/>
    <w:rsid w:val="00A2718A"/>
    <w:rsid w:val="00A271E1"/>
    <w:rsid w:val="00A27278"/>
    <w:rsid w:val="00A2741B"/>
    <w:rsid w:val="00A27A4B"/>
    <w:rsid w:val="00A27F65"/>
    <w:rsid w:val="00A301EF"/>
    <w:rsid w:val="00A3055D"/>
    <w:rsid w:val="00A30577"/>
    <w:rsid w:val="00A306EF"/>
    <w:rsid w:val="00A3088F"/>
    <w:rsid w:val="00A308C0"/>
    <w:rsid w:val="00A30AFA"/>
    <w:rsid w:val="00A30AFF"/>
    <w:rsid w:val="00A30BC3"/>
    <w:rsid w:val="00A30E53"/>
    <w:rsid w:val="00A30EB7"/>
    <w:rsid w:val="00A310F3"/>
    <w:rsid w:val="00A31168"/>
    <w:rsid w:val="00A3150B"/>
    <w:rsid w:val="00A31928"/>
    <w:rsid w:val="00A31A54"/>
    <w:rsid w:val="00A31AE8"/>
    <w:rsid w:val="00A31AED"/>
    <w:rsid w:val="00A31EA6"/>
    <w:rsid w:val="00A3226B"/>
    <w:rsid w:val="00A322E6"/>
    <w:rsid w:val="00A32420"/>
    <w:rsid w:val="00A3297B"/>
    <w:rsid w:val="00A32C45"/>
    <w:rsid w:val="00A32CEE"/>
    <w:rsid w:val="00A32D40"/>
    <w:rsid w:val="00A32D5B"/>
    <w:rsid w:val="00A32DB8"/>
    <w:rsid w:val="00A32E93"/>
    <w:rsid w:val="00A3303C"/>
    <w:rsid w:val="00A330C3"/>
    <w:rsid w:val="00A3316B"/>
    <w:rsid w:val="00A3359E"/>
    <w:rsid w:val="00A33689"/>
    <w:rsid w:val="00A33714"/>
    <w:rsid w:val="00A33882"/>
    <w:rsid w:val="00A338D5"/>
    <w:rsid w:val="00A33972"/>
    <w:rsid w:val="00A33ADE"/>
    <w:rsid w:val="00A33B0B"/>
    <w:rsid w:val="00A33BD8"/>
    <w:rsid w:val="00A33DA2"/>
    <w:rsid w:val="00A33E36"/>
    <w:rsid w:val="00A343A8"/>
    <w:rsid w:val="00A34578"/>
    <w:rsid w:val="00A345B7"/>
    <w:rsid w:val="00A3479F"/>
    <w:rsid w:val="00A348BA"/>
    <w:rsid w:val="00A348FC"/>
    <w:rsid w:val="00A34CFB"/>
    <w:rsid w:val="00A3506E"/>
    <w:rsid w:val="00A35108"/>
    <w:rsid w:val="00A35408"/>
    <w:rsid w:val="00A357A1"/>
    <w:rsid w:val="00A35C3A"/>
    <w:rsid w:val="00A35C6F"/>
    <w:rsid w:val="00A35CB8"/>
    <w:rsid w:val="00A35CDA"/>
    <w:rsid w:val="00A35E43"/>
    <w:rsid w:val="00A360DD"/>
    <w:rsid w:val="00A3613A"/>
    <w:rsid w:val="00A3628F"/>
    <w:rsid w:val="00A36305"/>
    <w:rsid w:val="00A36535"/>
    <w:rsid w:val="00A365A0"/>
    <w:rsid w:val="00A365AA"/>
    <w:rsid w:val="00A36789"/>
    <w:rsid w:val="00A368EE"/>
    <w:rsid w:val="00A36DF0"/>
    <w:rsid w:val="00A37213"/>
    <w:rsid w:val="00A37420"/>
    <w:rsid w:val="00A37621"/>
    <w:rsid w:val="00A377EF"/>
    <w:rsid w:val="00A37884"/>
    <w:rsid w:val="00A37909"/>
    <w:rsid w:val="00A3790F"/>
    <w:rsid w:val="00A37E27"/>
    <w:rsid w:val="00A37E80"/>
    <w:rsid w:val="00A37ED6"/>
    <w:rsid w:val="00A37F30"/>
    <w:rsid w:val="00A40216"/>
    <w:rsid w:val="00A402B8"/>
    <w:rsid w:val="00A40415"/>
    <w:rsid w:val="00A4043B"/>
    <w:rsid w:val="00A4044F"/>
    <w:rsid w:val="00A40469"/>
    <w:rsid w:val="00A40693"/>
    <w:rsid w:val="00A40764"/>
    <w:rsid w:val="00A407F3"/>
    <w:rsid w:val="00A408A8"/>
    <w:rsid w:val="00A40AA4"/>
    <w:rsid w:val="00A40B1C"/>
    <w:rsid w:val="00A4108E"/>
    <w:rsid w:val="00A411D4"/>
    <w:rsid w:val="00A411DC"/>
    <w:rsid w:val="00A412FF"/>
    <w:rsid w:val="00A416AC"/>
    <w:rsid w:val="00A41849"/>
    <w:rsid w:val="00A41918"/>
    <w:rsid w:val="00A41AF0"/>
    <w:rsid w:val="00A41B93"/>
    <w:rsid w:val="00A41B99"/>
    <w:rsid w:val="00A41D47"/>
    <w:rsid w:val="00A41DE8"/>
    <w:rsid w:val="00A41FBF"/>
    <w:rsid w:val="00A420BC"/>
    <w:rsid w:val="00A42135"/>
    <w:rsid w:val="00A421EE"/>
    <w:rsid w:val="00A421FD"/>
    <w:rsid w:val="00A42306"/>
    <w:rsid w:val="00A42457"/>
    <w:rsid w:val="00A424AB"/>
    <w:rsid w:val="00A42584"/>
    <w:rsid w:val="00A428A6"/>
    <w:rsid w:val="00A42A5D"/>
    <w:rsid w:val="00A42D03"/>
    <w:rsid w:val="00A42DE2"/>
    <w:rsid w:val="00A42EA7"/>
    <w:rsid w:val="00A42EC7"/>
    <w:rsid w:val="00A42FCB"/>
    <w:rsid w:val="00A4341B"/>
    <w:rsid w:val="00A43439"/>
    <w:rsid w:val="00A4356F"/>
    <w:rsid w:val="00A435A1"/>
    <w:rsid w:val="00A438FF"/>
    <w:rsid w:val="00A4422C"/>
    <w:rsid w:val="00A443F2"/>
    <w:rsid w:val="00A444B9"/>
    <w:rsid w:val="00A445AC"/>
    <w:rsid w:val="00A445F2"/>
    <w:rsid w:val="00A44654"/>
    <w:rsid w:val="00A4478C"/>
    <w:rsid w:val="00A447A3"/>
    <w:rsid w:val="00A44977"/>
    <w:rsid w:val="00A44D5A"/>
    <w:rsid w:val="00A44E8D"/>
    <w:rsid w:val="00A44EC1"/>
    <w:rsid w:val="00A44F37"/>
    <w:rsid w:val="00A4503D"/>
    <w:rsid w:val="00A4505D"/>
    <w:rsid w:val="00A450E8"/>
    <w:rsid w:val="00A451DC"/>
    <w:rsid w:val="00A452E0"/>
    <w:rsid w:val="00A453AA"/>
    <w:rsid w:val="00A4541C"/>
    <w:rsid w:val="00A45583"/>
    <w:rsid w:val="00A4564B"/>
    <w:rsid w:val="00A45793"/>
    <w:rsid w:val="00A45867"/>
    <w:rsid w:val="00A45A28"/>
    <w:rsid w:val="00A45C04"/>
    <w:rsid w:val="00A4604A"/>
    <w:rsid w:val="00A462BE"/>
    <w:rsid w:val="00A4634F"/>
    <w:rsid w:val="00A4649C"/>
    <w:rsid w:val="00A46632"/>
    <w:rsid w:val="00A4681E"/>
    <w:rsid w:val="00A46C52"/>
    <w:rsid w:val="00A46E81"/>
    <w:rsid w:val="00A46EA8"/>
    <w:rsid w:val="00A47099"/>
    <w:rsid w:val="00A471E3"/>
    <w:rsid w:val="00A47250"/>
    <w:rsid w:val="00A47448"/>
    <w:rsid w:val="00A47538"/>
    <w:rsid w:val="00A4757B"/>
    <w:rsid w:val="00A476BE"/>
    <w:rsid w:val="00A4783E"/>
    <w:rsid w:val="00A479EB"/>
    <w:rsid w:val="00A47AC0"/>
    <w:rsid w:val="00A47D20"/>
    <w:rsid w:val="00A47D2D"/>
    <w:rsid w:val="00A47ECB"/>
    <w:rsid w:val="00A501D6"/>
    <w:rsid w:val="00A50233"/>
    <w:rsid w:val="00A50388"/>
    <w:rsid w:val="00A50446"/>
    <w:rsid w:val="00A50494"/>
    <w:rsid w:val="00A505A1"/>
    <w:rsid w:val="00A505DA"/>
    <w:rsid w:val="00A505F7"/>
    <w:rsid w:val="00A50686"/>
    <w:rsid w:val="00A5086C"/>
    <w:rsid w:val="00A5099E"/>
    <w:rsid w:val="00A50B34"/>
    <w:rsid w:val="00A50D92"/>
    <w:rsid w:val="00A50DEF"/>
    <w:rsid w:val="00A51209"/>
    <w:rsid w:val="00A513BD"/>
    <w:rsid w:val="00A514C4"/>
    <w:rsid w:val="00A514C9"/>
    <w:rsid w:val="00A51506"/>
    <w:rsid w:val="00A51569"/>
    <w:rsid w:val="00A517C6"/>
    <w:rsid w:val="00A5186A"/>
    <w:rsid w:val="00A518F2"/>
    <w:rsid w:val="00A51BF2"/>
    <w:rsid w:val="00A51CC3"/>
    <w:rsid w:val="00A51CF0"/>
    <w:rsid w:val="00A51E29"/>
    <w:rsid w:val="00A51E5D"/>
    <w:rsid w:val="00A5205F"/>
    <w:rsid w:val="00A52116"/>
    <w:rsid w:val="00A52187"/>
    <w:rsid w:val="00A52189"/>
    <w:rsid w:val="00A52299"/>
    <w:rsid w:val="00A522A1"/>
    <w:rsid w:val="00A523AE"/>
    <w:rsid w:val="00A52400"/>
    <w:rsid w:val="00A52440"/>
    <w:rsid w:val="00A525F7"/>
    <w:rsid w:val="00A52606"/>
    <w:rsid w:val="00A5279C"/>
    <w:rsid w:val="00A52883"/>
    <w:rsid w:val="00A52AEE"/>
    <w:rsid w:val="00A52B2A"/>
    <w:rsid w:val="00A52CD2"/>
    <w:rsid w:val="00A53444"/>
    <w:rsid w:val="00A53679"/>
    <w:rsid w:val="00A536B2"/>
    <w:rsid w:val="00A537F9"/>
    <w:rsid w:val="00A53909"/>
    <w:rsid w:val="00A53C10"/>
    <w:rsid w:val="00A53C94"/>
    <w:rsid w:val="00A53D76"/>
    <w:rsid w:val="00A53DCA"/>
    <w:rsid w:val="00A54002"/>
    <w:rsid w:val="00A541AD"/>
    <w:rsid w:val="00A5420F"/>
    <w:rsid w:val="00A5421B"/>
    <w:rsid w:val="00A544F7"/>
    <w:rsid w:val="00A54580"/>
    <w:rsid w:val="00A54853"/>
    <w:rsid w:val="00A54C74"/>
    <w:rsid w:val="00A54F1B"/>
    <w:rsid w:val="00A55114"/>
    <w:rsid w:val="00A5521D"/>
    <w:rsid w:val="00A553CC"/>
    <w:rsid w:val="00A5545E"/>
    <w:rsid w:val="00A554D8"/>
    <w:rsid w:val="00A556DC"/>
    <w:rsid w:val="00A55ACD"/>
    <w:rsid w:val="00A55C38"/>
    <w:rsid w:val="00A560A5"/>
    <w:rsid w:val="00A5636D"/>
    <w:rsid w:val="00A565EE"/>
    <w:rsid w:val="00A5671E"/>
    <w:rsid w:val="00A56A8D"/>
    <w:rsid w:val="00A56CB7"/>
    <w:rsid w:val="00A56D6F"/>
    <w:rsid w:val="00A56DB8"/>
    <w:rsid w:val="00A570E2"/>
    <w:rsid w:val="00A572BF"/>
    <w:rsid w:val="00A572D5"/>
    <w:rsid w:val="00A5734A"/>
    <w:rsid w:val="00A573B8"/>
    <w:rsid w:val="00A573E3"/>
    <w:rsid w:val="00A574DD"/>
    <w:rsid w:val="00A577D5"/>
    <w:rsid w:val="00A579B1"/>
    <w:rsid w:val="00A57ED6"/>
    <w:rsid w:val="00A57FA5"/>
    <w:rsid w:val="00A60028"/>
    <w:rsid w:val="00A6007D"/>
    <w:rsid w:val="00A600F0"/>
    <w:rsid w:val="00A60115"/>
    <w:rsid w:val="00A6034E"/>
    <w:rsid w:val="00A60414"/>
    <w:rsid w:val="00A60479"/>
    <w:rsid w:val="00A606E8"/>
    <w:rsid w:val="00A60A22"/>
    <w:rsid w:val="00A60B8E"/>
    <w:rsid w:val="00A60D1E"/>
    <w:rsid w:val="00A60D5D"/>
    <w:rsid w:val="00A60DE2"/>
    <w:rsid w:val="00A60E02"/>
    <w:rsid w:val="00A60E70"/>
    <w:rsid w:val="00A60E8B"/>
    <w:rsid w:val="00A60FE5"/>
    <w:rsid w:val="00A61473"/>
    <w:rsid w:val="00A614F2"/>
    <w:rsid w:val="00A615AE"/>
    <w:rsid w:val="00A615C5"/>
    <w:rsid w:val="00A615E0"/>
    <w:rsid w:val="00A615E9"/>
    <w:rsid w:val="00A61719"/>
    <w:rsid w:val="00A61724"/>
    <w:rsid w:val="00A61727"/>
    <w:rsid w:val="00A61928"/>
    <w:rsid w:val="00A61A77"/>
    <w:rsid w:val="00A61B3E"/>
    <w:rsid w:val="00A61C19"/>
    <w:rsid w:val="00A61C64"/>
    <w:rsid w:val="00A61D06"/>
    <w:rsid w:val="00A61DA7"/>
    <w:rsid w:val="00A61FA2"/>
    <w:rsid w:val="00A623EE"/>
    <w:rsid w:val="00A62416"/>
    <w:rsid w:val="00A62664"/>
    <w:rsid w:val="00A62C19"/>
    <w:rsid w:val="00A63057"/>
    <w:rsid w:val="00A632A1"/>
    <w:rsid w:val="00A6349E"/>
    <w:rsid w:val="00A63529"/>
    <w:rsid w:val="00A63661"/>
    <w:rsid w:val="00A6372F"/>
    <w:rsid w:val="00A63790"/>
    <w:rsid w:val="00A63C3C"/>
    <w:rsid w:val="00A63F44"/>
    <w:rsid w:val="00A6407C"/>
    <w:rsid w:val="00A644F3"/>
    <w:rsid w:val="00A64973"/>
    <w:rsid w:val="00A649A7"/>
    <w:rsid w:val="00A649B1"/>
    <w:rsid w:val="00A64AE6"/>
    <w:rsid w:val="00A64D6A"/>
    <w:rsid w:val="00A650D9"/>
    <w:rsid w:val="00A652D3"/>
    <w:rsid w:val="00A6538B"/>
    <w:rsid w:val="00A655D0"/>
    <w:rsid w:val="00A6560C"/>
    <w:rsid w:val="00A65714"/>
    <w:rsid w:val="00A658A6"/>
    <w:rsid w:val="00A658BC"/>
    <w:rsid w:val="00A6595D"/>
    <w:rsid w:val="00A660F0"/>
    <w:rsid w:val="00A661B8"/>
    <w:rsid w:val="00A66307"/>
    <w:rsid w:val="00A6655B"/>
    <w:rsid w:val="00A666C4"/>
    <w:rsid w:val="00A667D9"/>
    <w:rsid w:val="00A6694B"/>
    <w:rsid w:val="00A66A7B"/>
    <w:rsid w:val="00A66B46"/>
    <w:rsid w:val="00A66C18"/>
    <w:rsid w:val="00A66C90"/>
    <w:rsid w:val="00A66CA8"/>
    <w:rsid w:val="00A66D3D"/>
    <w:rsid w:val="00A66FFD"/>
    <w:rsid w:val="00A6731A"/>
    <w:rsid w:val="00A67619"/>
    <w:rsid w:val="00A676FF"/>
    <w:rsid w:val="00A678B9"/>
    <w:rsid w:val="00A67B10"/>
    <w:rsid w:val="00A67B95"/>
    <w:rsid w:val="00A67CCC"/>
    <w:rsid w:val="00A700A9"/>
    <w:rsid w:val="00A700BB"/>
    <w:rsid w:val="00A702F1"/>
    <w:rsid w:val="00A7039B"/>
    <w:rsid w:val="00A703D2"/>
    <w:rsid w:val="00A70549"/>
    <w:rsid w:val="00A70561"/>
    <w:rsid w:val="00A706A3"/>
    <w:rsid w:val="00A706B5"/>
    <w:rsid w:val="00A7079D"/>
    <w:rsid w:val="00A70833"/>
    <w:rsid w:val="00A70B23"/>
    <w:rsid w:val="00A70BC5"/>
    <w:rsid w:val="00A70CEA"/>
    <w:rsid w:val="00A70F6D"/>
    <w:rsid w:val="00A710EE"/>
    <w:rsid w:val="00A71175"/>
    <w:rsid w:val="00A711B0"/>
    <w:rsid w:val="00A717ED"/>
    <w:rsid w:val="00A718AA"/>
    <w:rsid w:val="00A71AE6"/>
    <w:rsid w:val="00A71BDD"/>
    <w:rsid w:val="00A71C98"/>
    <w:rsid w:val="00A71E51"/>
    <w:rsid w:val="00A71EB0"/>
    <w:rsid w:val="00A71F82"/>
    <w:rsid w:val="00A7205E"/>
    <w:rsid w:val="00A7209E"/>
    <w:rsid w:val="00A72216"/>
    <w:rsid w:val="00A72451"/>
    <w:rsid w:val="00A72526"/>
    <w:rsid w:val="00A72527"/>
    <w:rsid w:val="00A725BB"/>
    <w:rsid w:val="00A726B5"/>
    <w:rsid w:val="00A72724"/>
    <w:rsid w:val="00A7285D"/>
    <w:rsid w:val="00A72CC1"/>
    <w:rsid w:val="00A72F70"/>
    <w:rsid w:val="00A73103"/>
    <w:rsid w:val="00A73239"/>
    <w:rsid w:val="00A7338B"/>
    <w:rsid w:val="00A734E1"/>
    <w:rsid w:val="00A7350B"/>
    <w:rsid w:val="00A738F8"/>
    <w:rsid w:val="00A73CD1"/>
    <w:rsid w:val="00A73D35"/>
    <w:rsid w:val="00A73D41"/>
    <w:rsid w:val="00A73F18"/>
    <w:rsid w:val="00A74101"/>
    <w:rsid w:val="00A742A4"/>
    <w:rsid w:val="00A74313"/>
    <w:rsid w:val="00A743DC"/>
    <w:rsid w:val="00A745AA"/>
    <w:rsid w:val="00A745ED"/>
    <w:rsid w:val="00A748F5"/>
    <w:rsid w:val="00A74A16"/>
    <w:rsid w:val="00A74DE8"/>
    <w:rsid w:val="00A74E4C"/>
    <w:rsid w:val="00A74FCF"/>
    <w:rsid w:val="00A75061"/>
    <w:rsid w:val="00A752B7"/>
    <w:rsid w:val="00A754C2"/>
    <w:rsid w:val="00A758F1"/>
    <w:rsid w:val="00A75955"/>
    <w:rsid w:val="00A759B6"/>
    <w:rsid w:val="00A75F21"/>
    <w:rsid w:val="00A75F66"/>
    <w:rsid w:val="00A76521"/>
    <w:rsid w:val="00A76531"/>
    <w:rsid w:val="00A76985"/>
    <w:rsid w:val="00A76AFD"/>
    <w:rsid w:val="00A76B9F"/>
    <w:rsid w:val="00A76EBD"/>
    <w:rsid w:val="00A77125"/>
    <w:rsid w:val="00A772DF"/>
    <w:rsid w:val="00A7742B"/>
    <w:rsid w:val="00A77459"/>
    <w:rsid w:val="00A77701"/>
    <w:rsid w:val="00A77727"/>
    <w:rsid w:val="00A777A1"/>
    <w:rsid w:val="00A77DE4"/>
    <w:rsid w:val="00A77E38"/>
    <w:rsid w:val="00A801F7"/>
    <w:rsid w:val="00A80307"/>
    <w:rsid w:val="00A80324"/>
    <w:rsid w:val="00A80344"/>
    <w:rsid w:val="00A803CB"/>
    <w:rsid w:val="00A805AE"/>
    <w:rsid w:val="00A8075A"/>
    <w:rsid w:val="00A808B0"/>
    <w:rsid w:val="00A80A8C"/>
    <w:rsid w:val="00A80BF9"/>
    <w:rsid w:val="00A80DD6"/>
    <w:rsid w:val="00A8136B"/>
    <w:rsid w:val="00A813B8"/>
    <w:rsid w:val="00A8153E"/>
    <w:rsid w:val="00A815B9"/>
    <w:rsid w:val="00A817E5"/>
    <w:rsid w:val="00A8192C"/>
    <w:rsid w:val="00A81DFA"/>
    <w:rsid w:val="00A81FBC"/>
    <w:rsid w:val="00A821A5"/>
    <w:rsid w:val="00A82365"/>
    <w:rsid w:val="00A823A9"/>
    <w:rsid w:val="00A82634"/>
    <w:rsid w:val="00A8293B"/>
    <w:rsid w:val="00A82A6F"/>
    <w:rsid w:val="00A82B3A"/>
    <w:rsid w:val="00A82BED"/>
    <w:rsid w:val="00A82CDF"/>
    <w:rsid w:val="00A82D1A"/>
    <w:rsid w:val="00A83134"/>
    <w:rsid w:val="00A8318F"/>
    <w:rsid w:val="00A833C1"/>
    <w:rsid w:val="00A83425"/>
    <w:rsid w:val="00A83866"/>
    <w:rsid w:val="00A83DF2"/>
    <w:rsid w:val="00A83F26"/>
    <w:rsid w:val="00A84154"/>
    <w:rsid w:val="00A84261"/>
    <w:rsid w:val="00A844EB"/>
    <w:rsid w:val="00A844F7"/>
    <w:rsid w:val="00A844FD"/>
    <w:rsid w:val="00A8461D"/>
    <w:rsid w:val="00A847A4"/>
    <w:rsid w:val="00A847A8"/>
    <w:rsid w:val="00A8481B"/>
    <w:rsid w:val="00A84904"/>
    <w:rsid w:val="00A84C7A"/>
    <w:rsid w:val="00A84CA6"/>
    <w:rsid w:val="00A84D83"/>
    <w:rsid w:val="00A84E4D"/>
    <w:rsid w:val="00A84F13"/>
    <w:rsid w:val="00A85065"/>
    <w:rsid w:val="00A850A4"/>
    <w:rsid w:val="00A851E4"/>
    <w:rsid w:val="00A8521E"/>
    <w:rsid w:val="00A852D1"/>
    <w:rsid w:val="00A8538D"/>
    <w:rsid w:val="00A853B7"/>
    <w:rsid w:val="00A8540D"/>
    <w:rsid w:val="00A85836"/>
    <w:rsid w:val="00A85A93"/>
    <w:rsid w:val="00A85D27"/>
    <w:rsid w:val="00A85E27"/>
    <w:rsid w:val="00A85E90"/>
    <w:rsid w:val="00A85F3A"/>
    <w:rsid w:val="00A861EE"/>
    <w:rsid w:val="00A864DB"/>
    <w:rsid w:val="00A865C5"/>
    <w:rsid w:val="00A8667E"/>
    <w:rsid w:val="00A869D4"/>
    <w:rsid w:val="00A86EDB"/>
    <w:rsid w:val="00A86EE2"/>
    <w:rsid w:val="00A87038"/>
    <w:rsid w:val="00A87041"/>
    <w:rsid w:val="00A8722F"/>
    <w:rsid w:val="00A87355"/>
    <w:rsid w:val="00A873B2"/>
    <w:rsid w:val="00A875FD"/>
    <w:rsid w:val="00A876F2"/>
    <w:rsid w:val="00A876FD"/>
    <w:rsid w:val="00A87CC0"/>
    <w:rsid w:val="00A87D1B"/>
    <w:rsid w:val="00A90173"/>
    <w:rsid w:val="00A903E2"/>
    <w:rsid w:val="00A90404"/>
    <w:rsid w:val="00A90574"/>
    <w:rsid w:val="00A9080D"/>
    <w:rsid w:val="00A909B2"/>
    <w:rsid w:val="00A90E18"/>
    <w:rsid w:val="00A90EE7"/>
    <w:rsid w:val="00A911CE"/>
    <w:rsid w:val="00A91217"/>
    <w:rsid w:val="00A9151E"/>
    <w:rsid w:val="00A9155F"/>
    <w:rsid w:val="00A91799"/>
    <w:rsid w:val="00A918F3"/>
    <w:rsid w:val="00A919D1"/>
    <w:rsid w:val="00A91BBD"/>
    <w:rsid w:val="00A91CD3"/>
    <w:rsid w:val="00A91D37"/>
    <w:rsid w:val="00A91E79"/>
    <w:rsid w:val="00A91EE9"/>
    <w:rsid w:val="00A925B8"/>
    <w:rsid w:val="00A927C7"/>
    <w:rsid w:val="00A92BA2"/>
    <w:rsid w:val="00A92D54"/>
    <w:rsid w:val="00A93003"/>
    <w:rsid w:val="00A93269"/>
    <w:rsid w:val="00A932E3"/>
    <w:rsid w:val="00A9330A"/>
    <w:rsid w:val="00A933F1"/>
    <w:rsid w:val="00A93447"/>
    <w:rsid w:val="00A93560"/>
    <w:rsid w:val="00A935EB"/>
    <w:rsid w:val="00A935F1"/>
    <w:rsid w:val="00A93641"/>
    <w:rsid w:val="00A936B3"/>
    <w:rsid w:val="00A93A4C"/>
    <w:rsid w:val="00A93B84"/>
    <w:rsid w:val="00A93C89"/>
    <w:rsid w:val="00A93CE0"/>
    <w:rsid w:val="00A93E0B"/>
    <w:rsid w:val="00A93ED7"/>
    <w:rsid w:val="00A942F9"/>
    <w:rsid w:val="00A9453B"/>
    <w:rsid w:val="00A94655"/>
    <w:rsid w:val="00A946AC"/>
    <w:rsid w:val="00A94766"/>
    <w:rsid w:val="00A94AD9"/>
    <w:rsid w:val="00A94B3E"/>
    <w:rsid w:val="00A94D16"/>
    <w:rsid w:val="00A94D17"/>
    <w:rsid w:val="00A9531E"/>
    <w:rsid w:val="00A95395"/>
    <w:rsid w:val="00A95473"/>
    <w:rsid w:val="00A95577"/>
    <w:rsid w:val="00A956A5"/>
    <w:rsid w:val="00A95816"/>
    <w:rsid w:val="00A9585B"/>
    <w:rsid w:val="00A95A7C"/>
    <w:rsid w:val="00A95BF6"/>
    <w:rsid w:val="00A95D4B"/>
    <w:rsid w:val="00A95F77"/>
    <w:rsid w:val="00A96033"/>
    <w:rsid w:val="00A960A6"/>
    <w:rsid w:val="00A96163"/>
    <w:rsid w:val="00A96443"/>
    <w:rsid w:val="00A96570"/>
    <w:rsid w:val="00A965F5"/>
    <w:rsid w:val="00A96A23"/>
    <w:rsid w:val="00A96D6C"/>
    <w:rsid w:val="00A96E87"/>
    <w:rsid w:val="00A97089"/>
    <w:rsid w:val="00A970C3"/>
    <w:rsid w:val="00A97356"/>
    <w:rsid w:val="00A97539"/>
    <w:rsid w:val="00A977D8"/>
    <w:rsid w:val="00A979A1"/>
    <w:rsid w:val="00A97CC0"/>
    <w:rsid w:val="00A97D24"/>
    <w:rsid w:val="00A97D65"/>
    <w:rsid w:val="00AA0064"/>
    <w:rsid w:val="00AA00A7"/>
    <w:rsid w:val="00AA010E"/>
    <w:rsid w:val="00AA053C"/>
    <w:rsid w:val="00AA05C3"/>
    <w:rsid w:val="00AA0639"/>
    <w:rsid w:val="00AA079B"/>
    <w:rsid w:val="00AA099D"/>
    <w:rsid w:val="00AA0A4B"/>
    <w:rsid w:val="00AA0B16"/>
    <w:rsid w:val="00AA0B78"/>
    <w:rsid w:val="00AA0C5C"/>
    <w:rsid w:val="00AA1096"/>
    <w:rsid w:val="00AA10CA"/>
    <w:rsid w:val="00AA120C"/>
    <w:rsid w:val="00AA1324"/>
    <w:rsid w:val="00AA1567"/>
    <w:rsid w:val="00AA173E"/>
    <w:rsid w:val="00AA185A"/>
    <w:rsid w:val="00AA1874"/>
    <w:rsid w:val="00AA1995"/>
    <w:rsid w:val="00AA1ACA"/>
    <w:rsid w:val="00AA1F08"/>
    <w:rsid w:val="00AA1F35"/>
    <w:rsid w:val="00AA2131"/>
    <w:rsid w:val="00AA23E5"/>
    <w:rsid w:val="00AA276F"/>
    <w:rsid w:val="00AA2953"/>
    <w:rsid w:val="00AA2DCE"/>
    <w:rsid w:val="00AA2F11"/>
    <w:rsid w:val="00AA3070"/>
    <w:rsid w:val="00AA307D"/>
    <w:rsid w:val="00AA3233"/>
    <w:rsid w:val="00AA323F"/>
    <w:rsid w:val="00AA3242"/>
    <w:rsid w:val="00AA3269"/>
    <w:rsid w:val="00AA3305"/>
    <w:rsid w:val="00AA33F6"/>
    <w:rsid w:val="00AA362D"/>
    <w:rsid w:val="00AA36E0"/>
    <w:rsid w:val="00AA3959"/>
    <w:rsid w:val="00AA39E8"/>
    <w:rsid w:val="00AA3C72"/>
    <w:rsid w:val="00AA3DC9"/>
    <w:rsid w:val="00AA3EFC"/>
    <w:rsid w:val="00AA460E"/>
    <w:rsid w:val="00AA465D"/>
    <w:rsid w:val="00AA4743"/>
    <w:rsid w:val="00AA4AAB"/>
    <w:rsid w:val="00AA4C35"/>
    <w:rsid w:val="00AA4C84"/>
    <w:rsid w:val="00AA4CDA"/>
    <w:rsid w:val="00AA4DD3"/>
    <w:rsid w:val="00AA4E25"/>
    <w:rsid w:val="00AA4E51"/>
    <w:rsid w:val="00AA4F4F"/>
    <w:rsid w:val="00AA51A6"/>
    <w:rsid w:val="00AA5374"/>
    <w:rsid w:val="00AA5441"/>
    <w:rsid w:val="00AA54E5"/>
    <w:rsid w:val="00AA574D"/>
    <w:rsid w:val="00AA5A6B"/>
    <w:rsid w:val="00AA5E78"/>
    <w:rsid w:val="00AA5F89"/>
    <w:rsid w:val="00AA6177"/>
    <w:rsid w:val="00AA61AF"/>
    <w:rsid w:val="00AA62B0"/>
    <w:rsid w:val="00AA62D4"/>
    <w:rsid w:val="00AA6389"/>
    <w:rsid w:val="00AA6412"/>
    <w:rsid w:val="00AA6766"/>
    <w:rsid w:val="00AA6A3B"/>
    <w:rsid w:val="00AA6A79"/>
    <w:rsid w:val="00AA6B06"/>
    <w:rsid w:val="00AA6D9F"/>
    <w:rsid w:val="00AA6E83"/>
    <w:rsid w:val="00AA6EB0"/>
    <w:rsid w:val="00AA6F06"/>
    <w:rsid w:val="00AA6FE7"/>
    <w:rsid w:val="00AA76A7"/>
    <w:rsid w:val="00AA7787"/>
    <w:rsid w:val="00AA77CF"/>
    <w:rsid w:val="00AA7906"/>
    <w:rsid w:val="00AA7A6C"/>
    <w:rsid w:val="00AA7AE9"/>
    <w:rsid w:val="00AA7D1E"/>
    <w:rsid w:val="00AA7EB6"/>
    <w:rsid w:val="00AB024A"/>
    <w:rsid w:val="00AB028B"/>
    <w:rsid w:val="00AB0449"/>
    <w:rsid w:val="00AB0483"/>
    <w:rsid w:val="00AB04F7"/>
    <w:rsid w:val="00AB054C"/>
    <w:rsid w:val="00AB06B1"/>
    <w:rsid w:val="00AB0720"/>
    <w:rsid w:val="00AB0827"/>
    <w:rsid w:val="00AB095E"/>
    <w:rsid w:val="00AB0D37"/>
    <w:rsid w:val="00AB0E36"/>
    <w:rsid w:val="00AB1004"/>
    <w:rsid w:val="00AB103E"/>
    <w:rsid w:val="00AB1806"/>
    <w:rsid w:val="00AB1931"/>
    <w:rsid w:val="00AB1A9A"/>
    <w:rsid w:val="00AB1BE9"/>
    <w:rsid w:val="00AB1D66"/>
    <w:rsid w:val="00AB1EFD"/>
    <w:rsid w:val="00AB1F82"/>
    <w:rsid w:val="00AB24E4"/>
    <w:rsid w:val="00AB2575"/>
    <w:rsid w:val="00AB271E"/>
    <w:rsid w:val="00AB2826"/>
    <w:rsid w:val="00AB28DD"/>
    <w:rsid w:val="00AB2BDC"/>
    <w:rsid w:val="00AB2C11"/>
    <w:rsid w:val="00AB2DB7"/>
    <w:rsid w:val="00AB2FF1"/>
    <w:rsid w:val="00AB3015"/>
    <w:rsid w:val="00AB336B"/>
    <w:rsid w:val="00AB34F0"/>
    <w:rsid w:val="00AB36B4"/>
    <w:rsid w:val="00AB371A"/>
    <w:rsid w:val="00AB3ADB"/>
    <w:rsid w:val="00AB3C9C"/>
    <w:rsid w:val="00AB40D3"/>
    <w:rsid w:val="00AB411E"/>
    <w:rsid w:val="00AB42B7"/>
    <w:rsid w:val="00AB45E4"/>
    <w:rsid w:val="00AB4AEB"/>
    <w:rsid w:val="00AB4B04"/>
    <w:rsid w:val="00AB4B40"/>
    <w:rsid w:val="00AB4DA5"/>
    <w:rsid w:val="00AB4DE4"/>
    <w:rsid w:val="00AB4E81"/>
    <w:rsid w:val="00AB4EA4"/>
    <w:rsid w:val="00AB50FB"/>
    <w:rsid w:val="00AB5222"/>
    <w:rsid w:val="00AB5262"/>
    <w:rsid w:val="00AB5473"/>
    <w:rsid w:val="00AB5559"/>
    <w:rsid w:val="00AB5582"/>
    <w:rsid w:val="00AB56BF"/>
    <w:rsid w:val="00AB5A33"/>
    <w:rsid w:val="00AB5C03"/>
    <w:rsid w:val="00AB5DA8"/>
    <w:rsid w:val="00AB5FE1"/>
    <w:rsid w:val="00AB6286"/>
    <w:rsid w:val="00AB63D1"/>
    <w:rsid w:val="00AB6457"/>
    <w:rsid w:val="00AB64FE"/>
    <w:rsid w:val="00AB6578"/>
    <w:rsid w:val="00AB657D"/>
    <w:rsid w:val="00AB662F"/>
    <w:rsid w:val="00AB6689"/>
    <w:rsid w:val="00AB6815"/>
    <w:rsid w:val="00AB6855"/>
    <w:rsid w:val="00AB69DD"/>
    <w:rsid w:val="00AB6B2F"/>
    <w:rsid w:val="00AB6C5F"/>
    <w:rsid w:val="00AB6E39"/>
    <w:rsid w:val="00AB6FA4"/>
    <w:rsid w:val="00AB704E"/>
    <w:rsid w:val="00AB71BC"/>
    <w:rsid w:val="00AB74D3"/>
    <w:rsid w:val="00AB7532"/>
    <w:rsid w:val="00AB75D0"/>
    <w:rsid w:val="00AB75FB"/>
    <w:rsid w:val="00AB7654"/>
    <w:rsid w:val="00AB7785"/>
    <w:rsid w:val="00AB7875"/>
    <w:rsid w:val="00AB78E1"/>
    <w:rsid w:val="00AB79E3"/>
    <w:rsid w:val="00AB7ACE"/>
    <w:rsid w:val="00AB7B55"/>
    <w:rsid w:val="00AB7C8C"/>
    <w:rsid w:val="00AB7C93"/>
    <w:rsid w:val="00AB7E07"/>
    <w:rsid w:val="00AB7F6C"/>
    <w:rsid w:val="00AC0410"/>
    <w:rsid w:val="00AC04D9"/>
    <w:rsid w:val="00AC0519"/>
    <w:rsid w:val="00AC0E98"/>
    <w:rsid w:val="00AC0FB3"/>
    <w:rsid w:val="00AC101B"/>
    <w:rsid w:val="00AC1261"/>
    <w:rsid w:val="00AC1267"/>
    <w:rsid w:val="00AC12C0"/>
    <w:rsid w:val="00AC144B"/>
    <w:rsid w:val="00AC1810"/>
    <w:rsid w:val="00AC186B"/>
    <w:rsid w:val="00AC1C7D"/>
    <w:rsid w:val="00AC1CC4"/>
    <w:rsid w:val="00AC1EED"/>
    <w:rsid w:val="00AC20EE"/>
    <w:rsid w:val="00AC2226"/>
    <w:rsid w:val="00AC22B1"/>
    <w:rsid w:val="00AC2368"/>
    <w:rsid w:val="00AC2578"/>
    <w:rsid w:val="00AC2625"/>
    <w:rsid w:val="00AC2668"/>
    <w:rsid w:val="00AC26FE"/>
    <w:rsid w:val="00AC271C"/>
    <w:rsid w:val="00AC28AD"/>
    <w:rsid w:val="00AC2B78"/>
    <w:rsid w:val="00AC2E0F"/>
    <w:rsid w:val="00AC2F63"/>
    <w:rsid w:val="00AC2FFC"/>
    <w:rsid w:val="00AC3110"/>
    <w:rsid w:val="00AC315D"/>
    <w:rsid w:val="00AC3172"/>
    <w:rsid w:val="00AC3323"/>
    <w:rsid w:val="00AC3415"/>
    <w:rsid w:val="00AC3B04"/>
    <w:rsid w:val="00AC3B6D"/>
    <w:rsid w:val="00AC3C3B"/>
    <w:rsid w:val="00AC3DB4"/>
    <w:rsid w:val="00AC402D"/>
    <w:rsid w:val="00AC4170"/>
    <w:rsid w:val="00AC417A"/>
    <w:rsid w:val="00AC41D3"/>
    <w:rsid w:val="00AC4248"/>
    <w:rsid w:val="00AC4283"/>
    <w:rsid w:val="00AC43BA"/>
    <w:rsid w:val="00AC44E9"/>
    <w:rsid w:val="00AC4630"/>
    <w:rsid w:val="00AC4811"/>
    <w:rsid w:val="00AC4CA1"/>
    <w:rsid w:val="00AC4D82"/>
    <w:rsid w:val="00AC4F2C"/>
    <w:rsid w:val="00AC4F73"/>
    <w:rsid w:val="00AC4F88"/>
    <w:rsid w:val="00AC51B7"/>
    <w:rsid w:val="00AC538D"/>
    <w:rsid w:val="00AC56AE"/>
    <w:rsid w:val="00AC56BF"/>
    <w:rsid w:val="00AC58AA"/>
    <w:rsid w:val="00AC5A41"/>
    <w:rsid w:val="00AC5B64"/>
    <w:rsid w:val="00AC5BF0"/>
    <w:rsid w:val="00AC5C6F"/>
    <w:rsid w:val="00AC5DE2"/>
    <w:rsid w:val="00AC5E0D"/>
    <w:rsid w:val="00AC5EAD"/>
    <w:rsid w:val="00AC5F10"/>
    <w:rsid w:val="00AC61BE"/>
    <w:rsid w:val="00AC6614"/>
    <w:rsid w:val="00AC67D9"/>
    <w:rsid w:val="00AC67E0"/>
    <w:rsid w:val="00AC68EE"/>
    <w:rsid w:val="00AC6A18"/>
    <w:rsid w:val="00AC6A39"/>
    <w:rsid w:val="00AC6A55"/>
    <w:rsid w:val="00AC6A88"/>
    <w:rsid w:val="00AC6AD7"/>
    <w:rsid w:val="00AC6BA8"/>
    <w:rsid w:val="00AC6BF5"/>
    <w:rsid w:val="00AC6C18"/>
    <w:rsid w:val="00AC6C85"/>
    <w:rsid w:val="00AC6CBD"/>
    <w:rsid w:val="00AC6D5A"/>
    <w:rsid w:val="00AC6DF0"/>
    <w:rsid w:val="00AC6F2A"/>
    <w:rsid w:val="00AC6F71"/>
    <w:rsid w:val="00AC71F9"/>
    <w:rsid w:val="00AC7413"/>
    <w:rsid w:val="00AC7589"/>
    <w:rsid w:val="00AC75F9"/>
    <w:rsid w:val="00AC78BB"/>
    <w:rsid w:val="00AC78FF"/>
    <w:rsid w:val="00AD032F"/>
    <w:rsid w:val="00AD053C"/>
    <w:rsid w:val="00AD05FF"/>
    <w:rsid w:val="00AD0C6F"/>
    <w:rsid w:val="00AD0D3E"/>
    <w:rsid w:val="00AD0D61"/>
    <w:rsid w:val="00AD1005"/>
    <w:rsid w:val="00AD1043"/>
    <w:rsid w:val="00AD10B0"/>
    <w:rsid w:val="00AD10B4"/>
    <w:rsid w:val="00AD1163"/>
    <w:rsid w:val="00AD1168"/>
    <w:rsid w:val="00AD140C"/>
    <w:rsid w:val="00AD156A"/>
    <w:rsid w:val="00AD17A6"/>
    <w:rsid w:val="00AD18E9"/>
    <w:rsid w:val="00AD1908"/>
    <w:rsid w:val="00AD1CD2"/>
    <w:rsid w:val="00AD1D1C"/>
    <w:rsid w:val="00AD1D3D"/>
    <w:rsid w:val="00AD2252"/>
    <w:rsid w:val="00AD2609"/>
    <w:rsid w:val="00AD278D"/>
    <w:rsid w:val="00AD280C"/>
    <w:rsid w:val="00AD28F3"/>
    <w:rsid w:val="00AD2A28"/>
    <w:rsid w:val="00AD2CA0"/>
    <w:rsid w:val="00AD2DF3"/>
    <w:rsid w:val="00AD2E75"/>
    <w:rsid w:val="00AD3531"/>
    <w:rsid w:val="00AD3603"/>
    <w:rsid w:val="00AD3702"/>
    <w:rsid w:val="00AD38EA"/>
    <w:rsid w:val="00AD3BF7"/>
    <w:rsid w:val="00AD3D0D"/>
    <w:rsid w:val="00AD403F"/>
    <w:rsid w:val="00AD45A1"/>
    <w:rsid w:val="00AD4659"/>
    <w:rsid w:val="00AD4BF1"/>
    <w:rsid w:val="00AD4C86"/>
    <w:rsid w:val="00AD4CC4"/>
    <w:rsid w:val="00AD4FBF"/>
    <w:rsid w:val="00AD5357"/>
    <w:rsid w:val="00AD54E8"/>
    <w:rsid w:val="00AD550F"/>
    <w:rsid w:val="00AD55BB"/>
    <w:rsid w:val="00AD55D5"/>
    <w:rsid w:val="00AD55F3"/>
    <w:rsid w:val="00AD5761"/>
    <w:rsid w:val="00AD58A6"/>
    <w:rsid w:val="00AD5C1B"/>
    <w:rsid w:val="00AD5D27"/>
    <w:rsid w:val="00AD5DFF"/>
    <w:rsid w:val="00AD5E53"/>
    <w:rsid w:val="00AD5F82"/>
    <w:rsid w:val="00AD5FF8"/>
    <w:rsid w:val="00AD60EC"/>
    <w:rsid w:val="00AD612D"/>
    <w:rsid w:val="00AD6169"/>
    <w:rsid w:val="00AD61C6"/>
    <w:rsid w:val="00AD63A9"/>
    <w:rsid w:val="00AD6615"/>
    <w:rsid w:val="00AD669C"/>
    <w:rsid w:val="00AD673A"/>
    <w:rsid w:val="00AD6858"/>
    <w:rsid w:val="00AD6AC2"/>
    <w:rsid w:val="00AD6ACF"/>
    <w:rsid w:val="00AD6BEB"/>
    <w:rsid w:val="00AD7078"/>
    <w:rsid w:val="00AD721F"/>
    <w:rsid w:val="00AD7500"/>
    <w:rsid w:val="00AD751F"/>
    <w:rsid w:val="00AD7967"/>
    <w:rsid w:val="00AD7CFA"/>
    <w:rsid w:val="00AD7F7A"/>
    <w:rsid w:val="00AE00BA"/>
    <w:rsid w:val="00AE0233"/>
    <w:rsid w:val="00AE0314"/>
    <w:rsid w:val="00AE033E"/>
    <w:rsid w:val="00AE03D5"/>
    <w:rsid w:val="00AE0440"/>
    <w:rsid w:val="00AE056D"/>
    <w:rsid w:val="00AE063E"/>
    <w:rsid w:val="00AE0750"/>
    <w:rsid w:val="00AE0770"/>
    <w:rsid w:val="00AE0AE0"/>
    <w:rsid w:val="00AE0EF2"/>
    <w:rsid w:val="00AE101A"/>
    <w:rsid w:val="00AE111B"/>
    <w:rsid w:val="00AE1299"/>
    <w:rsid w:val="00AE17D3"/>
    <w:rsid w:val="00AE1BE6"/>
    <w:rsid w:val="00AE1C7C"/>
    <w:rsid w:val="00AE1E18"/>
    <w:rsid w:val="00AE1E99"/>
    <w:rsid w:val="00AE1ECC"/>
    <w:rsid w:val="00AE2318"/>
    <w:rsid w:val="00AE2372"/>
    <w:rsid w:val="00AE241F"/>
    <w:rsid w:val="00AE2495"/>
    <w:rsid w:val="00AE24A4"/>
    <w:rsid w:val="00AE264C"/>
    <w:rsid w:val="00AE27EC"/>
    <w:rsid w:val="00AE2A2F"/>
    <w:rsid w:val="00AE2A5F"/>
    <w:rsid w:val="00AE2CAC"/>
    <w:rsid w:val="00AE2CBA"/>
    <w:rsid w:val="00AE2CED"/>
    <w:rsid w:val="00AE2D85"/>
    <w:rsid w:val="00AE3127"/>
    <w:rsid w:val="00AE31E4"/>
    <w:rsid w:val="00AE3875"/>
    <w:rsid w:val="00AE38EB"/>
    <w:rsid w:val="00AE3ABD"/>
    <w:rsid w:val="00AE3BFA"/>
    <w:rsid w:val="00AE3EC3"/>
    <w:rsid w:val="00AE3F58"/>
    <w:rsid w:val="00AE41F7"/>
    <w:rsid w:val="00AE4333"/>
    <w:rsid w:val="00AE44B5"/>
    <w:rsid w:val="00AE472F"/>
    <w:rsid w:val="00AE4AD1"/>
    <w:rsid w:val="00AE4F5A"/>
    <w:rsid w:val="00AE501F"/>
    <w:rsid w:val="00AE5089"/>
    <w:rsid w:val="00AE518F"/>
    <w:rsid w:val="00AE525D"/>
    <w:rsid w:val="00AE53DE"/>
    <w:rsid w:val="00AE545F"/>
    <w:rsid w:val="00AE5502"/>
    <w:rsid w:val="00AE550D"/>
    <w:rsid w:val="00AE5614"/>
    <w:rsid w:val="00AE569A"/>
    <w:rsid w:val="00AE570C"/>
    <w:rsid w:val="00AE57FD"/>
    <w:rsid w:val="00AE5A11"/>
    <w:rsid w:val="00AE5A8C"/>
    <w:rsid w:val="00AE5E12"/>
    <w:rsid w:val="00AE606A"/>
    <w:rsid w:val="00AE606C"/>
    <w:rsid w:val="00AE609F"/>
    <w:rsid w:val="00AE65AD"/>
    <w:rsid w:val="00AE65C2"/>
    <w:rsid w:val="00AE6621"/>
    <w:rsid w:val="00AE66E6"/>
    <w:rsid w:val="00AE697D"/>
    <w:rsid w:val="00AE6A6D"/>
    <w:rsid w:val="00AE6ADA"/>
    <w:rsid w:val="00AE6C1C"/>
    <w:rsid w:val="00AE6D3B"/>
    <w:rsid w:val="00AE6FB7"/>
    <w:rsid w:val="00AE7225"/>
    <w:rsid w:val="00AE72F7"/>
    <w:rsid w:val="00AE7632"/>
    <w:rsid w:val="00AE7689"/>
    <w:rsid w:val="00AE7711"/>
    <w:rsid w:val="00AE78CF"/>
    <w:rsid w:val="00AE7915"/>
    <w:rsid w:val="00AE7B14"/>
    <w:rsid w:val="00AE7CEC"/>
    <w:rsid w:val="00AE7F5E"/>
    <w:rsid w:val="00AF01D2"/>
    <w:rsid w:val="00AF021D"/>
    <w:rsid w:val="00AF0271"/>
    <w:rsid w:val="00AF0314"/>
    <w:rsid w:val="00AF032C"/>
    <w:rsid w:val="00AF0786"/>
    <w:rsid w:val="00AF07BA"/>
    <w:rsid w:val="00AF0914"/>
    <w:rsid w:val="00AF091D"/>
    <w:rsid w:val="00AF09BA"/>
    <w:rsid w:val="00AF09E0"/>
    <w:rsid w:val="00AF0BBA"/>
    <w:rsid w:val="00AF0CF6"/>
    <w:rsid w:val="00AF0D14"/>
    <w:rsid w:val="00AF0D24"/>
    <w:rsid w:val="00AF0E65"/>
    <w:rsid w:val="00AF0EF5"/>
    <w:rsid w:val="00AF0FCD"/>
    <w:rsid w:val="00AF10ED"/>
    <w:rsid w:val="00AF166B"/>
    <w:rsid w:val="00AF1809"/>
    <w:rsid w:val="00AF18BD"/>
    <w:rsid w:val="00AF1A30"/>
    <w:rsid w:val="00AF1A3C"/>
    <w:rsid w:val="00AF1AB6"/>
    <w:rsid w:val="00AF1ADC"/>
    <w:rsid w:val="00AF1CFE"/>
    <w:rsid w:val="00AF1D40"/>
    <w:rsid w:val="00AF1E11"/>
    <w:rsid w:val="00AF21AD"/>
    <w:rsid w:val="00AF2851"/>
    <w:rsid w:val="00AF28E3"/>
    <w:rsid w:val="00AF2AF7"/>
    <w:rsid w:val="00AF2BCA"/>
    <w:rsid w:val="00AF2BDD"/>
    <w:rsid w:val="00AF2BFA"/>
    <w:rsid w:val="00AF2E7B"/>
    <w:rsid w:val="00AF2F4B"/>
    <w:rsid w:val="00AF2FE0"/>
    <w:rsid w:val="00AF3000"/>
    <w:rsid w:val="00AF304D"/>
    <w:rsid w:val="00AF3073"/>
    <w:rsid w:val="00AF314B"/>
    <w:rsid w:val="00AF31ED"/>
    <w:rsid w:val="00AF3265"/>
    <w:rsid w:val="00AF3436"/>
    <w:rsid w:val="00AF36FF"/>
    <w:rsid w:val="00AF3951"/>
    <w:rsid w:val="00AF3B14"/>
    <w:rsid w:val="00AF3DF0"/>
    <w:rsid w:val="00AF3EE1"/>
    <w:rsid w:val="00AF4109"/>
    <w:rsid w:val="00AF437F"/>
    <w:rsid w:val="00AF43AD"/>
    <w:rsid w:val="00AF44B8"/>
    <w:rsid w:val="00AF475E"/>
    <w:rsid w:val="00AF47BE"/>
    <w:rsid w:val="00AF4871"/>
    <w:rsid w:val="00AF48EE"/>
    <w:rsid w:val="00AF48F3"/>
    <w:rsid w:val="00AF497F"/>
    <w:rsid w:val="00AF4B1A"/>
    <w:rsid w:val="00AF4C30"/>
    <w:rsid w:val="00AF4D3A"/>
    <w:rsid w:val="00AF4D40"/>
    <w:rsid w:val="00AF51CE"/>
    <w:rsid w:val="00AF532B"/>
    <w:rsid w:val="00AF53E2"/>
    <w:rsid w:val="00AF553E"/>
    <w:rsid w:val="00AF5591"/>
    <w:rsid w:val="00AF5626"/>
    <w:rsid w:val="00AF562F"/>
    <w:rsid w:val="00AF57D9"/>
    <w:rsid w:val="00AF57EE"/>
    <w:rsid w:val="00AF5D5A"/>
    <w:rsid w:val="00AF5D90"/>
    <w:rsid w:val="00AF5EA5"/>
    <w:rsid w:val="00AF5EC5"/>
    <w:rsid w:val="00AF5FC7"/>
    <w:rsid w:val="00AF601B"/>
    <w:rsid w:val="00AF6062"/>
    <w:rsid w:val="00AF6068"/>
    <w:rsid w:val="00AF63D5"/>
    <w:rsid w:val="00AF63D8"/>
    <w:rsid w:val="00AF642A"/>
    <w:rsid w:val="00AF66BD"/>
    <w:rsid w:val="00AF6B24"/>
    <w:rsid w:val="00AF6CB1"/>
    <w:rsid w:val="00AF6D73"/>
    <w:rsid w:val="00AF6E6C"/>
    <w:rsid w:val="00AF70AE"/>
    <w:rsid w:val="00AF7112"/>
    <w:rsid w:val="00AF7153"/>
    <w:rsid w:val="00AF7225"/>
    <w:rsid w:val="00AF757C"/>
    <w:rsid w:val="00AF779F"/>
    <w:rsid w:val="00AF78E3"/>
    <w:rsid w:val="00AF797B"/>
    <w:rsid w:val="00AF79D6"/>
    <w:rsid w:val="00AF7B1E"/>
    <w:rsid w:val="00AF7BA7"/>
    <w:rsid w:val="00AF7C0B"/>
    <w:rsid w:val="00AF7CDF"/>
    <w:rsid w:val="00B00187"/>
    <w:rsid w:val="00B001B3"/>
    <w:rsid w:val="00B0022E"/>
    <w:rsid w:val="00B00272"/>
    <w:rsid w:val="00B00277"/>
    <w:rsid w:val="00B004EA"/>
    <w:rsid w:val="00B00546"/>
    <w:rsid w:val="00B00605"/>
    <w:rsid w:val="00B00622"/>
    <w:rsid w:val="00B00C6F"/>
    <w:rsid w:val="00B00C7A"/>
    <w:rsid w:val="00B00C87"/>
    <w:rsid w:val="00B00CDC"/>
    <w:rsid w:val="00B00F59"/>
    <w:rsid w:val="00B00F92"/>
    <w:rsid w:val="00B01003"/>
    <w:rsid w:val="00B01128"/>
    <w:rsid w:val="00B0114A"/>
    <w:rsid w:val="00B01410"/>
    <w:rsid w:val="00B01518"/>
    <w:rsid w:val="00B0181E"/>
    <w:rsid w:val="00B01B2D"/>
    <w:rsid w:val="00B01C1B"/>
    <w:rsid w:val="00B01C95"/>
    <w:rsid w:val="00B01DBD"/>
    <w:rsid w:val="00B01F0B"/>
    <w:rsid w:val="00B01F7E"/>
    <w:rsid w:val="00B020DE"/>
    <w:rsid w:val="00B0217B"/>
    <w:rsid w:val="00B021EC"/>
    <w:rsid w:val="00B0225C"/>
    <w:rsid w:val="00B02343"/>
    <w:rsid w:val="00B02377"/>
    <w:rsid w:val="00B027B4"/>
    <w:rsid w:val="00B0295D"/>
    <w:rsid w:val="00B02BFC"/>
    <w:rsid w:val="00B02DF5"/>
    <w:rsid w:val="00B02EDF"/>
    <w:rsid w:val="00B03044"/>
    <w:rsid w:val="00B0308F"/>
    <w:rsid w:val="00B03107"/>
    <w:rsid w:val="00B03172"/>
    <w:rsid w:val="00B033AA"/>
    <w:rsid w:val="00B034D4"/>
    <w:rsid w:val="00B0356B"/>
    <w:rsid w:val="00B035F6"/>
    <w:rsid w:val="00B03747"/>
    <w:rsid w:val="00B03764"/>
    <w:rsid w:val="00B03770"/>
    <w:rsid w:val="00B03823"/>
    <w:rsid w:val="00B0391A"/>
    <w:rsid w:val="00B0399A"/>
    <w:rsid w:val="00B03E26"/>
    <w:rsid w:val="00B03F9F"/>
    <w:rsid w:val="00B0413A"/>
    <w:rsid w:val="00B041B4"/>
    <w:rsid w:val="00B0423C"/>
    <w:rsid w:val="00B043C4"/>
    <w:rsid w:val="00B043CE"/>
    <w:rsid w:val="00B043D8"/>
    <w:rsid w:val="00B043DD"/>
    <w:rsid w:val="00B045D6"/>
    <w:rsid w:val="00B0478E"/>
    <w:rsid w:val="00B04809"/>
    <w:rsid w:val="00B04887"/>
    <w:rsid w:val="00B04A22"/>
    <w:rsid w:val="00B04BA1"/>
    <w:rsid w:val="00B04C73"/>
    <w:rsid w:val="00B04CD3"/>
    <w:rsid w:val="00B04D4F"/>
    <w:rsid w:val="00B051C5"/>
    <w:rsid w:val="00B0554A"/>
    <w:rsid w:val="00B056BF"/>
    <w:rsid w:val="00B05720"/>
    <w:rsid w:val="00B05F92"/>
    <w:rsid w:val="00B0622D"/>
    <w:rsid w:val="00B066F9"/>
    <w:rsid w:val="00B066FA"/>
    <w:rsid w:val="00B069FB"/>
    <w:rsid w:val="00B06B05"/>
    <w:rsid w:val="00B06B27"/>
    <w:rsid w:val="00B06BB6"/>
    <w:rsid w:val="00B06D6D"/>
    <w:rsid w:val="00B06DC1"/>
    <w:rsid w:val="00B06E4C"/>
    <w:rsid w:val="00B06EAE"/>
    <w:rsid w:val="00B071C5"/>
    <w:rsid w:val="00B07485"/>
    <w:rsid w:val="00B07A7B"/>
    <w:rsid w:val="00B07F58"/>
    <w:rsid w:val="00B1008B"/>
    <w:rsid w:val="00B1033C"/>
    <w:rsid w:val="00B105E2"/>
    <w:rsid w:val="00B10740"/>
    <w:rsid w:val="00B10805"/>
    <w:rsid w:val="00B10A0A"/>
    <w:rsid w:val="00B10CD8"/>
    <w:rsid w:val="00B10DF2"/>
    <w:rsid w:val="00B10E55"/>
    <w:rsid w:val="00B10F6A"/>
    <w:rsid w:val="00B10FE7"/>
    <w:rsid w:val="00B11191"/>
    <w:rsid w:val="00B112A2"/>
    <w:rsid w:val="00B114DD"/>
    <w:rsid w:val="00B1179F"/>
    <w:rsid w:val="00B117EB"/>
    <w:rsid w:val="00B11B63"/>
    <w:rsid w:val="00B11D59"/>
    <w:rsid w:val="00B11DDD"/>
    <w:rsid w:val="00B11ECB"/>
    <w:rsid w:val="00B11ED6"/>
    <w:rsid w:val="00B11FB8"/>
    <w:rsid w:val="00B11FB9"/>
    <w:rsid w:val="00B120A2"/>
    <w:rsid w:val="00B12201"/>
    <w:rsid w:val="00B122B1"/>
    <w:rsid w:val="00B12431"/>
    <w:rsid w:val="00B12482"/>
    <w:rsid w:val="00B124CB"/>
    <w:rsid w:val="00B12675"/>
    <w:rsid w:val="00B127A5"/>
    <w:rsid w:val="00B129C1"/>
    <w:rsid w:val="00B12BDF"/>
    <w:rsid w:val="00B12BF0"/>
    <w:rsid w:val="00B12E2A"/>
    <w:rsid w:val="00B12E7C"/>
    <w:rsid w:val="00B12F2C"/>
    <w:rsid w:val="00B1359A"/>
    <w:rsid w:val="00B136E0"/>
    <w:rsid w:val="00B13742"/>
    <w:rsid w:val="00B13A25"/>
    <w:rsid w:val="00B13C76"/>
    <w:rsid w:val="00B13F1E"/>
    <w:rsid w:val="00B140EA"/>
    <w:rsid w:val="00B14185"/>
    <w:rsid w:val="00B141F3"/>
    <w:rsid w:val="00B1422A"/>
    <w:rsid w:val="00B1461F"/>
    <w:rsid w:val="00B1462E"/>
    <w:rsid w:val="00B147F8"/>
    <w:rsid w:val="00B148E0"/>
    <w:rsid w:val="00B14E06"/>
    <w:rsid w:val="00B14EF2"/>
    <w:rsid w:val="00B1513E"/>
    <w:rsid w:val="00B153C2"/>
    <w:rsid w:val="00B153DD"/>
    <w:rsid w:val="00B15474"/>
    <w:rsid w:val="00B154BA"/>
    <w:rsid w:val="00B156B2"/>
    <w:rsid w:val="00B15A95"/>
    <w:rsid w:val="00B15B4B"/>
    <w:rsid w:val="00B15C77"/>
    <w:rsid w:val="00B15DD5"/>
    <w:rsid w:val="00B15ECB"/>
    <w:rsid w:val="00B1605B"/>
    <w:rsid w:val="00B161A8"/>
    <w:rsid w:val="00B16641"/>
    <w:rsid w:val="00B166C8"/>
    <w:rsid w:val="00B167EA"/>
    <w:rsid w:val="00B16830"/>
    <w:rsid w:val="00B169B5"/>
    <w:rsid w:val="00B16B07"/>
    <w:rsid w:val="00B16C2A"/>
    <w:rsid w:val="00B16CAE"/>
    <w:rsid w:val="00B16D36"/>
    <w:rsid w:val="00B170C8"/>
    <w:rsid w:val="00B1720B"/>
    <w:rsid w:val="00B17349"/>
    <w:rsid w:val="00B17468"/>
    <w:rsid w:val="00B17527"/>
    <w:rsid w:val="00B175A1"/>
    <w:rsid w:val="00B1765D"/>
    <w:rsid w:val="00B17AAB"/>
    <w:rsid w:val="00B17AEC"/>
    <w:rsid w:val="00B17E5F"/>
    <w:rsid w:val="00B17EE6"/>
    <w:rsid w:val="00B17F60"/>
    <w:rsid w:val="00B2008A"/>
    <w:rsid w:val="00B200B3"/>
    <w:rsid w:val="00B20102"/>
    <w:rsid w:val="00B20247"/>
    <w:rsid w:val="00B203C2"/>
    <w:rsid w:val="00B2043C"/>
    <w:rsid w:val="00B2045B"/>
    <w:rsid w:val="00B20557"/>
    <w:rsid w:val="00B20822"/>
    <w:rsid w:val="00B208A9"/>
    <w:rsid w:val="00B20A25"/>
    <w:rsid w:val="00B20B29"/>
    <w:rsid w:val="00B20D22"/>
    <w:rsid w:val="00B20D5F"/>
    <w:rsid w:val="00B211DF"/>
    <w:rsid w:val="00B21904"/>
    <w:rsid w:val="00B21A9F"/>
    <w:rsid w:val="00B21C01"/>
    <w:rsid w:val="00B21D20"/>
    <w:rsid w:val="00B22225"/>
    <w:rsid w:val="00B222B4"/>
    <w:rsid w:val="00B222D7"/>
    <w:rsid w:val="00B224FB"/>
    <w:rsid w:val="00B2253C"/>
    <w:rsid w:val="00B22549"/>
    <w:rsid w:val="00B22600"/>
    <w:rsid w:val="00B226BE"/>
    <w:rsid w:val="00B22796"/>
    <w:rsid w:val="00B2279A"/>
    <w:rsid w:val="00B227A3"/>
    <w:rsid w:val="00B22A26"/>
    <w:rsid w:val="00B22BBD"/>
    <w:rsid w:val="00B22D07"/>
    <w:rsid w:val="00B22E0E"/>
    <w:rsid w:val="00B22E94"/>
    <w:rsid w:val="00B22F6B"/>
    <w:rsid w:val="00B232CF"/>
    <w:rsid w:val="00B2341F"/>
    <w:rsid w:val="00B2351B"/>
    <w:rsid w:val="00B2357C"/>
    <w:rsid w:val="00B23611"/>
    <w:rsid w:val="00B23988"/>
    <w:rsid w:val="00B23A8B"/>
    <w:rsid w:val="00B23AD4"/>
    <w:rsid w:val="00B23ADB"/>
    <w:rsid w:val="00B24014"/>
    <w:rsid w:val="00B24019"/>
    <w:rsid w:val="00B240CF"/>
    <w:rsid w:val="00B2417B"/>
    <w:rsid w:val="00B241A1"/>
    <w:rsid w:val="00B24208"/>
    <w:rsid w:val="00B242B9"/>
    <w:rsid w:val="00B242D5"/>
    <w:rsid w:val="00B243B6"/>
    <w:rsid w:val="00B24602"/>
    <w:rsid w:val="00B24841"/>
    <w:rsid w:val="00B2497A"/>
    <w:rsid w:val="00B24AC4"/>
    <w:rsid w:val="00B24C02"/>
    <w:rsid w:val="00B24D57"/>
    <w:rsid w:val="00B24D6C"/>
    <w:rsid w:val="00B24F96"/>
    <w:rsid w:val="00B24FB0"/>
    <w:rsid w:val="00B24FED"/>
    <w:rsid w:val="00B24FFB"/>
    <w:rsid w:val="00B251D2"/>
    <w:rsid w:val="00B2526C"/>
    <w:rsid w:val="00B25289"/>
    <w:rsid w:val="00B25785"/>
    <w:rsid w:val="00B25853"/>
    <w:rsid w:val="00B258FA"/>
    <w:rsid w:val="00B259C0"/>
    <w:rsid w:val="00B25A92"/>
    <w:rsid w:val="00B25CF4"/>
    <w:rsid w:val="00B25E85"/>
    <w:rsid w:val="00B25EC6"/>
    <w:rsid w:val="00B25EDC"/>
    <w:rsid w:val="00B25F33"/>
    <w:rsid w:val="00B25FF0"/>
    <w:rsid w:val="00B26034"/>
    <w:rsid w:val="00B26344"/>
    <w:rsid w:val="00B26526"/>
    <w:rsid w:val="00B265EE"/>
    <w:rsid w:val="00B265FE"/>
    <w:rsid w:val="00B267A1"/>
    <w:rsid w:val="00B2684C"/>
    <w:rsid w:val="00B26A77"/>
    <w:rsid w:val="00B26BF0"/>
    <w:rsid w:val="00B26C1E"/>
    <w:rsid w:val="00B26D29"/>
    <w:rsid w:val="00B26DD8"/>
    <w:rsid w:val="00B27280"/>
    <w:rsid w:val="00B274B4"/>
    <w:rsid w:val="00B27619"/>
    <w:rsid w:val="00B27670"/>
    <w:rsid w:val="00B27788"/>
    <w:rsid w:val="00B27829"/>
    <w:rsid w:val="00B27882"/>
    <w:rsid w:val="00B278E3"/>
    <w:rsid w:val="00B27938"/>
    <w:rsid w:val="00B27A8F"/>
    <w:rsid w:val="00B27BAA"/>
    <w:rsid w:val="00B300E1"/>
    <w:rsid w:val="00B301D4"/>
    <w:rsid w:val="00B30209"/>
    <w:rsid w:val="00B30380"/>
    <w:rsid w:val="00B3087D"/>
    <w:rsid w:val="00B309D3"/>
    <w:rsid w:val="00B309F6"/>
    <w:rsid w:val="00B30F66"/>
    <w:rsid w:val="00B311E3"/>
    <w:rsid w:val="00B312F4"/>
    <w:rsid w:val="00B31569"/>
    <w:rsid w:val="00B316E9"/>
    <w:rsid w:val="00B316F9"/>
    <w:rsid w:val="00B317F1"/>
    <w:rsid w:val="00B318A6"/>
    <w:rsid w:val="00B318D4"/>
    <w:rsid w:val="00B31B54"/>
    <w:rsid w:val="00B31C18"/>
    <w:rsid w:val="00B31EDA"/>
    <w:rsid w:val="00B31EDF"/>
    <w:rsid w:val="00B3220F"/>
    <w:rsid w:val="00B325A1"/>
    <w:rsid w:val="00B32777"/>
    <w:rsid w:val="00B3282F"/>
    <w:rsid w:val="00B32CC8"/>
    <w:rsid w:val="00B32DC1"/>
    <w:rsid w:val="00B32DC4"/>
    <w:rsid w:val="00B32EB3"/>
    <w:rsid w:val="00B32F32"/>
    <w:rsid w:val="00B32F82"/>
    <w:rsid w:val="00B33062"/>
    <w:rsid w:val="00B3310B"/>
    <w:rsid w:val="00B334C6"/>
    <w:rsid w:val="00B3350D"/>
    <w:rsid w:val="00B33597"/>
    <w:rsid w:val="00B335E4"/>
    <w:rsid w:val="00B335F6"/>
    <w:rsid w:val="00B3386C"/>
    <w:rsid w:val="00B338A6"/>
    <w:rsid w:val="00B33A97"/>
    <w:rsid w:val="00B33AF2"/>
    <w:rsid w:val="00B33BA4"/>
    <w:rsid w:val="00B33C5D"/>
    <w:rsid w:val="00B33E7A"/>
    <w:rsid w:val="00B33F84"/>
    <w:rsid w:val="00B33FC2"/>
    <w:rsid w:val="00B34481"/>
    <w:rsid w:val="00B34517"/>
    <w:rsid w:val="00B34726"/>
    <w:rsid w:val="00B34731"/>
    <w:rsid w:val="00B34794"/>
    <w:rsid w:val="00B348D3"/>
    <w:rsid w:val="00B34904"/>
    <w:rsid w:val="00B349DA"/>
    <w:rsid w:val="00B34C28"/>
    <w:rsid w:val="00B34E43"/>
    <w:rsid w:val="00B351FF"/>
    <w:rsid w:val="00B35439"/>
    <w:rsid w:val="00B3577F"/>
    <w:rsid w:val="00B357F1"/>
    <w:rsid w:val="00B359E8"/>
    <w:rsid w:val="00B35ABA"/>
    <w:rsid w:val="00B35B85"/>
    <w:rsid w:val="00B35BE9"/>
    <w:rsid w:val="00B35D6C"/>
    <w:rsid w:val="00B35DE5"/>
    <w:rsid w:val="00B36033"/>
    <w:rsid w:val="00B363A1"/>
    <w:rsid w:val="00B365C0"/>
    <w:rsid w:val="00B365E9"/>
    <w:rsid w:val="00B36747"/>
    <w:rsid w:val="00B3683F"/>
    <w:rsid w:val="00B36EA1"/>
    <w:rsid w:val="00B3726F"/>
    <w:rsid w:val="00B372F9"/>
    <w:rsid w:val="00B37319"/>
    <w:rsid w:val="00B374F4"/>
    <w:rsid w:val="00B376C1"/>
    <w:rsid w:val="00B37920"/>
    <w:rsid w:val="00B37A8F"/>
    <w:rsid w:val="00B37AB6"/>
    <w:rsid w:val="00B37B14"/>
    <w:rsid w:val="00B37C32"/>
    <w:rsid w:val="00B37D7F"/>
    <w:rsid w:val="00B40246"/>
    <w:rsid w:val="00B40252"/>
    <w:rsid w:val="00B40682"/>
    <w:rsid w:val="00B408FA"/>
    <w:rsid w:val="00B40ADC"/>
    <w:rsid w:val="00B40BB0"/>
    <w:rsid w:val="00B40C6A"/>
    <w:rsid w:val="00B40E0B"/>
    <w:rsid w:val="00B410A0"/>
    <w:rsid w:val="00B410EC"/>
    <w:rsid w:val="00B4127C"/>
    <w:rsid w:val="00B413F3"/>
    <w:rsid w:val="00B415A4"/>
    <w:rsid w:val="00B418A0"/>
    <w:rsid w:val="00B4195E"/>
    <w:rsid w:val="00B41A15"/>
    <w:rsid w:val="00B41A45"/>
    <w:rsid w:val="00B41C73"/>
    <w:rsid w:val="00B41D7F"/>
    <w:rsid w:val="00B4206F"/>
    <w:rsid w:val="00B421A5"/>
    <w:rsid w:val="00B422FD"/>
    <w:rsid w:val="00B42312"/>
    <w:rsid w:val="00B424AF"/>
    <w:rsid w:val="00B425DA"/>
    <w:rsid w:val="00B42609"/>
    <w:rsid w:val="00B4267B"/>
    <w:rsid w:val="00B42698"/>
    <w:rsid w:val="00B4283A"/>
    <w:rsid w:val="00B429CB"/>
    <w:rsid w:val="00B42A2C"/>
    <w:rsid w:val="00B42C27"/>
    <w:rsid w:val="00B42CED"/>
    <w:rsid w:val="00B42D54"/>
    <w:rsid w:val="00B42E05"/>
    <w:rsid w:val="00B431EF"/>
    <w:rsid w:val="00B4359C"/>
    <w:rsid w:val="00B4365F"/>
    <w:rsid w:val="00B43B80"/>
    <w:rsid w:val="00B43BE4"/>
    <w:rsid w:val="00B43C19"/>
    <w:rsid w:val="00B43D3F"/>
    <w:rsid w:val="00B43E0B"/>
    <w:rsid w:val="00B43E6C"/>
    <w:rsid w:val="00B4405C"/>
    <w:rsid w:val="00B440A8"/>
    <w:rsid w:val="00B441D4"/>
    <w:rsid w:val="00B4464B"/>
    <w:rsid w:val="00B447E1"/>
    <w:rsid w:val="00B44D48"/>
    <w:rsid w:val="00B4514B"/>
    <w:rsid w:val="00B45529"/>
    <w:rsid w:val="00B4574D"/>
    <w:rsid w:val="00B4577E"/>
    <w:rsid w:val="00B45941"/>
    <w:rsid w:val="00B45976"/>
    <w:rsid w:val="00B459EC"/>
    <w:rsid w:val="00B45AB1"/>
    <w:rsid w:val="00B45B37"/>
    <w:rsid w:val="00B45C08"/>
    <w:rsid w:val="00B45C9E"/>
    <w:rsid w:val="00B45CC4"/>
    <w:rsid w:val="00B45E32"/>
    <w:rsid w:val="00B460AF"/>
    <w:rsid w:val="00B4664E"/>
    <w:rsid w:val="00B46878"/>
    <w:rsid w:val="00B4699E"/>
    <w:rsid w:val="00B46A49"/>
    <w:rsid w:val="00B46C6B"/>
    <w:rsid w:val="00B46E3E"/>
    <w:rsid w:val="00B47005"/>
    <w:rsid w:val="00B47031"/>
    <w:rsid w:val="00B47173"/>
    <w:rsid w:val="00B4744F"/>
    <w:rsid w:val="00B475FC"/>
    <w:rsid w:val="00B476C4"/>
    <w:rsid w:val="00B47700"/>
    <w:rsid w:val="00B477AA"/>
    <w:rsid w:val="00B4780E"/>
    <w:rsid w:val="00B47818"/>
    <w:rsid w:val="00B478B3"/>
    <w:rsid w:val="00B47966"/>
    <w:rsid w:val="00B479F5"/>
    <w:rsid w:val="00B47B85"/>
    <w:rsid w:val="00B47E15"/>
    <w:rsid w:val="00B47E27"/>
    <w:rsid w:val="00B50226"/>
    <w:rsid w:val="00B5054F"/>
    <w:rsid w:val="00B5062F"/>
    <w:rsid w:val="00B50662"/>
    <w:rsid w:val="00B5073F"/>
    <w:rsid w:val="00B508F9"/>
    <w:rsid w:val="00B50A8D"/>
    <w:rsid w:val="00B50AF8"/>
    <w:rsid w:val="00B50B86"/>
    <w:rsid w:val="00B50B9D"/>
    <w:rsid w:val="00B50F40"/>
    <w:rsid w:val="00B51218"/>
    <w:rsid w:val="00B512FB"/>
    <w:rsid w:val="00B51447"/>
    <w:rsid w:val="00B515E2"/>
    <w:rsid w:val="00B51741"/>
    <w:rsid w:val="00B51A3F"/>
    <w:rsid w:val="00B51A71"/>
    <w:rsid w:val="00B51FCA"/>
    <w:rsid w:val="00B51FD7"/>
    <w:rsid w:val="00B5204C"/>
    <w:rsid w:val="00B521B9"/>
    <w:rsid w:val="00B521F0"/>
    <w:rsid w:val="00B522B9"/>
    <w:rsid w:val="00B52475"/>
    <w:rsid w:val="00B52530"/>
    <w:rsid w:val="00B5266A"/>
    <w:rsid w:val="00B526AF"/>
    <w:rsid w:val="00B526F0"/>
    <w:rsid w:val="00B52775"/>
    <w:rsid w:val="00B527E2"/>
    <w:rsid w:val="00B528D6"/>
    <w:rsid w:val="00B52B29"/>
    <w:rsid w:val="00B52C27"/>
    <w:rsid w:val="00B52D99"/>
    <w:rsid w:val="00B52E58"/>
    <w:rsid w:val="00B52E71"/>
    <w:rsid w:val="00B53155"/>
    <w:rsid w:val="00B5327C"/>
    <w:rsid w:val="00B53357"/>
    <w:rsid w:val="00B53604"/>
    <w:rsid w:val="00B53610"/>
    <w:rsid w:val="00B53613"/>
    <w:rsid w:val="00B5375C"/>
    <w:rsid w:val="00B53917"/>
    <w:rsid w:val="00B5394A"/>
    <w:rsid w:val="00B53ABA"/>
    <w:rsid w:val="00B53D44"/>
    <w:rsid w:val="00B53EE6"/>
    <w:rsid w:val="00B54184"/>
    <w:rsid w:val="00B5418B"/>
    <w:rsid w:val="00B544A1"/>
    <w:rsid w:val="00B54692"/>
    <w:rsid w:val="00B54907"/>
    <w:rsid w:val="00B549B5"/>
    <w:rsid w:val="00B54CC8"/>
    <w:rsid w:val="00B54F55"/>
    <w:rsid w:val="00B54FFF"/>
    <w:rsid w:val="00B5506B"/>
    <w:rsid w:val="00B5509E"/>
    <w:rsid w:val="00B5510F"/>
    <w:rsid w:val="00B55416"/>
    <w:rsid w:val="00B55669"/>
    <w:rsid w:val="00B559DB"/>
    <w:rsid w:val="00B55BB8"/>
    <w:rsid w:val="00B55D1F"/>
    <w:rsid w:val="00B55D6A"/>
    <w:rsid w:val="00B55E50"/>
    <w:rsid w:val="00B55EAD"/>
    <w:rsid w:val="00B560BB"/>
    <w:rsid w:val="00B565D3"/>
    <w:rsid w:val="00B56624"/>
    <w:rsid w:val="00B56741"/>
    <w:rsid w:val="00B5675E"/>
    <w:rsid w:val="00B56A5E"/>
    <w:rsid w:val="00B56B91"/>
    <w:rsid w:val="00B57073"/>
    <w:rsid w:val="00B57110"/>
    <w:rsid w:val="00B57474"/>
    <w:rsid w:val="00B57565"/>
    <w:rsid w:val="00B5775C"/>
    <w:rsid w:val="00B57840"/>
    <w:rsid w:val="00B579BF"/>
    <w:rsid w:val="00B57F2C"/>
    <w:rsid w:val="00B57F5B"/>
    <w:rsid w:val="00B600C0"/>
    <w:rsid w:val="00B60262"/>
    <w:rsid w:val="00B60421"/>
    <w:rsid w:val="00B60454"/>
    <w:rsid w:val="00B606F2"/>
    <w:rsid w:val="00B60707"/>
    <w:rsid w:val="00B608B9"/>
    <w:rsid w:val="00B609F6"/>
    <w:rsid w:val="00B60A95"/>
    <w:rsid w:val="00B60D30"/>
    <w:rsid w:val="00B60D77"/>
    <w:rsid w:val="00B61010"/>
    <w:rsid w:val="00B61222"/>
    <w:rsid w:val="00B612C4"/>
    <w:rsid w:val="00B613DE"/>
    <w:rsid w:val="00B6148B"/>
    <w:rsid w:val="00B6192A"/>
    <w:rsid w:val="00B61AC3"/>
    <w:rsid w:val="00B61D2D"/>
    <w:rsid w:val="00B6200E"/>
    <w:rsid w:val="00B622BC"/>
    <w:rsid w:val="00B622C8"/>
    <w:rsid w:val="00B62474"/>
    <w:rsid w:val="00B6252E"/>
    <w:rsid w:val="00B626A2"/>
    <w:rsid w:val="00B62ACD"/>
    <w:rsid w:val="00B62ADB"/>
    <w:rsid w:val="00B630B5"/>
    <w:rsid w:val="00B630F7"/>
    <w:rsid w:val="00B632AC"/>
    <w:rsid w:val="00B634A6"/>
    <w:rsid w:val="00B634BB"/>
    <w:rsid w:val="00B6352D"/>
    <w:rsid w:val="00B635AB"/>
    <w:rsid w:val="00B6367F"/>
    <w:rsid w:val="00B63733"/>
    <w:rsid w:val="00B63745"/>
    <w:rsid w:val="00B637D5"/>
    <w:rsid w:val="00B6383E"/>
    <w:rsid w:val="00B639B2"/>
    <w:rsid w:val="00B63A6F"/>
    <w:rsid w:val="00B63D51"/>
    <w:rsid w:val="00B63EBA"/>
    <w:rsid w:val="00B63F54"/>
    <w:rsid w:val="00B64384"/>
    <w:rsid w:val="00B643D9"/>
    <w:rsid w:val="00B6445D"/>
    <w:rsid w:val="00B6462C"/>
    <w:rsid w:val="00B64891"/>
    <w:rsid w:val="00B6498A"/>
    <w:rsid w:val="00B64ACE"/>
    <w:rsid w:val="00B64BC5"/>
    <w:rsid w:val="00B64D4E"/>
    <w:rsid w:val="00B64D99"/>
    <w:rsid w:val="00B64DF8"/>
    <w:rsid w:val="00B64F6E"/>
    <w:rsid w:val="00B650DF"/>
    <w:rsid w:val="00B65262"/>
    <w:rsid w:val="00B652F0"/>
    <w:rsid w:val="00B65303"/>
    <w:rsid w:val="00B6581D"/>
    <w:rsid w:val="00B658C4"/>
    <w:rsid w:val="00B658D5"/>
    <w:rsid w:val="00B6591B"/>
    <w:rsid w:val="00B65B21"/>
    <w:rsid w:val="00B65E74"/>
    <w:rsid w:val="00B66037"/>
    <w:rsid w:val="00B66078"/>
    <w:rsid w:val="00B660A3"/>
    <w:rsid w:val="00B6656B"/>
    <w:rsid w:val="00B665A6"/>
    <w:rsid w:val="00B66800"/>
    <w:rsid w:val="00B66941"/>
    <w:rsid w:val="00B66989"/>
    <w:rsid w:val="00B66A70"/>
    <w:rsid w:val="00B66E6A"/>
    <w:rsid w:val="00B67017"/>
    <w:rsid w:val="00B6723A"/>
    <w:rsid w:val="00B673DF"/>
    <w:rsid w:val="00B67444"/>
    <w:rsid w:val="00B67458"/>
    <w:rsid w:val="00B6763E"/>
    <w:rsid w:val="00B67698"/>
    <w:rsid w:val="00B676E6"/>
    <w:rsid w:val="00B6778B"/>
    <w:rsid w:val="00B678B0"/>
    <w:rsid w:val="00B678F3"/>
    <w:rsid w:val="00B67F0A"/>
    <w:rsid w:val="00B70064"/>
    <w:rsid w:val="00B701E3"/>
    <w:rsid w:val="00B70233"/>
    <w:rsid w:val="00B705FF"/>
    <w:rsid w:val="00B7068D"/>
    <w:rsid w:val="00B706AC"/>
    <w:rsid w:val="00B707B7"/>
    <w:rsid w:val="00B70842"/>
    <w:rsid w:val="00B70A84"/>
    <w:rsid w:val="00B70AAE"/>
    <w:rsid w:val="00B70B75"/>
    <w:rsid w:val="00B70C13"/>
    <w:rsid w:val="00B70CC8"/>
    <w:rsid w:val="00B70EFF"/>
    <w:rsid w:val="00B713F7"/>
    <w:rsid w:val="00B71778"/>
    <w:rsid w:val="00B718B2"/>
    <w:rsid w:val="00B71AC8"/>
    <w:rsid w:val="00B71B3E"/>
    <w:rsid w:val="00B71BFB"/>
    <w:rsid w:val="00B71C30"/>
    <w:rsid w:val="00B71E72"/>
    <w:rsid w:val="00B71ECD"/>
    <w:rsid w:val="00B71F68"/>
    <w:rsid w:val="00B71FE6"/>
    <w:rsid w:val="00B72096"/>
    <w:rsid w:val="00B72279"/>
    <w:rsid w:val="00B724FF"/>
    <w:rsid w:val="00B725C9"/>
    <w:rsid w:val="00B7262B"/>
    <w:rsid w:val="00B72671"/>
    <w:rsid w:val="00B72672"/>
    <w:rsid w:val="00B726DB"/>
    <w:rsid w:val="00B7277D"/>
    <w:rsid w:val="00B7289C"/>
    <w:rsid w:val="00B72914"/>
    <w:rsid w:val="00B72AD8"/>
    <w:rsid w:val="00B72B17"/>
    <w:rsid w:val="00B72C80"/>
    <w:rsid w:val="00B72D7E"/>
    <w:rsid w:val="00B72E56"/>
    <w:rsid w:val="00B73072"/>
    <w:rsid w:val="00B7335E"/>
    <w:rsid w:val="00B734B6"/>
    <w:rsid w:val="00B7357E"/>
    <w:rsid w:val="00B737C3"/>
    <w:rsid w:val="00B738C2"/>
    <w:rsid w:val="00B73C35"/>
    <w:rsid w:val="00B73C9C"/>
    <w:rsid w:val="00B73CD2"/>
    <w:rsid w:val="00B73E82"/>
    <w:rsid w:val="00B740C1"/>
    <w:rsid w:val="00B74288"/>
    <w:rsid w:val="00B747E8"/>
    <w:rsid w:val="00B74A80"/>
    <w:rsid w:val="00B74DF6"/>
    <w:rsid w:val="00B74F99"/>
    <w:rsid w:val="00B75308"/>
    <w:rsid w:val="00B753CB"/>
    <w:rsid w:val="00B755D0"/>
    <w:rsid w:val="00B757B1"/>
    <w:rsid w:val="00B75853"/>
    <w:rsid w:val="00B75B36"/>
    <w:rsid w:val="00B75B48"/>
    <w:rsid w:val="00B75E46"/>
    <w:rsid w:val="00B75F4A"/>
    <w:rsid w:val="00B760D8"/>
    <w:rsid w:val="00B7631E"/>
    <w:rsid w:val="00B76371"/>
    <w:rsid w:val="00B765EB"/>
    <w:rsid w:val="00B7663E"/>
    <w:rsid w:val="00B7667C"/>
    <w:rsid w:val="00B766A4"/>
    <w:rsid w:val="00B76734"/>
    <w:rsid w:val="00B767B3"/>
    <w:rsid w:val="00B768EA"/>
    <w:rsid w:val="00B76A76"/>
    <w:rsid w:val="00B76BB3"/>
    <w:rsid w:val="00B76C8B"/>
    <w:rsid w:val="00B76DC7"/>
    <w:rsid w:val="00B770FF"/>
    <w:rsid w:val="00B772CA"/>
    <w:rsid w:val="00B773FE"/>
    <w:rsid w:val="00B7752B"/>
    <w:rsid w:val="00B775D2"/>
    <w:rsid w:val="00B777A6"/>
    <w:rsid w:val="00B7798B"/>
    <w:rsid w:val="00B77DB4"/>
    <w:rsid w:val="00B77DF2"/>
    <w:rsid w:val="00B802CC"/>
    <w:rsid w:val="00B8041F"/>
    <w:rsid w:val="00B8067E"/>
    <w:rsid w:val="00B808C3"/>
    <w:rsid w:val="00B80BAC"/>
    <w:rsid w:val="00B80CB0"/>
    <w:rsid w:val="00B80CE0"/>
    <w:rsid w:val="00B80E63"/>
    <w:rsid w:val="00B80F0F"/>
    <w:rsid w:val="00B810C2"/>
    <w:rsid w:val="00B81150"/>
    <w:rsid w:val="00B8130A"/>
    <w:rsid w:val="00B81367"/>
    <w:rsid w:val="00B814E1"/>
    <w:rsid w:val="00B81554"/>
    <w:rsid w:val="00B81624"/>
    <w:rsid w:val="00B8177B"/>
    <w:rsid w:val="00B81797"/>
    <w:rsid w:val="00B81A6E"/>
    <w:rsid w:val="00B81D3A"/>
    <w:rsid w:val="00B81EB6"/>
    <w:rsid w:val="00B8213A"/>
    <w:rsid w:val="00B821E6"/>
    <w:rsid w:val="00B82389"/>
    <w:rsid w:val="00B825AB"/>
    <w:rsid w:val="00B826A2"/>
    <w:rsid w:val="00B8283A"/>
    <w:rsid w:val="00B82843"/>
    <w:rsid w:val="00B8284C"/>
    <w:rsid w:val="00B8293A"/>
    <w:rsid w:val="00B82B53"/>
    <w:rsid w:val="00B82E0D"/>
    <w:rsid w:val="00B82FA9"/>
    <w:rsid w:val="00B82FB1"/>
    <w:rsid w:val="00B830DE"/>
    <w:rsid w:val="00B831C3"/>
    <w:rsid w:val="00B8327C"/>
    <w:rsid w:val="00B833D2"/>
    <w:rsid w:val="00B833F7"/>
    <w:rsid w:val="00B835EB"/>
    <w:rsid w:val="00B8374D"/>
    <w:rsid w:val="00B8375F"/>
    <w:rsid w:val="00B838F9"/>
    <w:rsid w:val="00B83A01"/>
    <w:rsid w:val="00B83BCA"/>
    <w:rsid w:val="00B83E23"/>
    <w:rsid w:val="00B83EF0"/>
    <w:rsid w:val="00B83F5E"/>
    <w:rsid w:val="00B83F7D"/>
    <w:rsid w:val="00B83F86"/>
    <w:rsid w:val="00B840DF"/>
    <w:rsid w:val="00B84106"/>
    <w:rsid w:val="00B844AF"/>
    <w:rsid w:val="00B8484E"/>
    <w:rsid w:val="00B849A2"/>
    <w:rsid w:val="00B84AC1"/>
    <w:rsid w:val="00B84DA9"/>
    <w:rsid w:val="00B85000"/>
    <w:rsid w:val="00B85531"/>
    <w:rsid w:val="00B856C1"/>
    <w:rsid w:val="00B85730"/>
    <w:rsid w:val="00B85791"/>
    <w:rsid w:val="00B85A30"/>
    <w:rsid w:val="00B85C77"/>
    <w:rsid w:val="00B85D2C"/>
    <w:rsid w:val="00B85DC6"/>
    <w:rsid w:val="00B85E3C"/>
    <w:rsid w:val="00B85FB7"/>
    <w:rsid w:val="00B862DE"/>
    <w:rsid w:val="00B86488"/>
    <w:rsid w:val="00B864AE"/>
    <w:rsid w:val="00B865F8"/>
    <w:rsid w:val="00B86B84"/>
    <w:rsid w:val="00B86BFA"/>
    <w:rsid w:val="00B86C90"/>
    <w:rsid w:val="00B86E25"/>
    <w:rsid w:val="00B86F69"/>
    <w:rsid w:val="00B86FB0"/>
    <w:rsid w:val="00B8709D"/>
    <w:rsid w:val="00B870E6"/>
    <w:rsid w:val="00B872FB"/>
    <w:rsid w:val="00B8730F"/>
    <w:rsid w:val="00B877D1"/>
    <w:rsid w:val="00B87944"/>
    <w:rsid w:val="00B87ABA"/>
    <w:rsid w:val="00B87D14"/>
    <w:rsid w:val="00B87DBF"/>
    <w:rsid w:val="00B87E7D"/>
    <w:rsid w:val="00B87F29"/>
    <w:rsid w:val="00B87F49"/>
    <w:rsid w:val="00B87F70"/>
    <w:rsid w:val="00B87F7B"/>
    <w:rsid w:val="00B90134"/>
    <w:rsid w:val="00B90196"/>
    <w:rsid w:val="00B9029C"/>
    <w:rsid w:val="00B9036E"/>
    <w:rsid w:val="00B904BD"/>
    <w:rsid w:val="00B90585"/>
    <w:rsid w:val="00B90A20"/>
    <w:rsid w:val="00B90A39"/>
    <w:rsid w:val="00B90A53"/>
    <w:rsid w:val="00B90B90"/>
    <w:rsid w:val="00B90F13"/>
    <w:rsid w:val="00B90F27"/>
    <w:rsid w:val="00B90FB3"/>
    <w:rsid w:val="00B91181"/>
    <w:rsid w:val="00B913A1"/>
    <w:rsid w:val="00B9146B"/>
    <w:rsid w:val="00B9188D"/>
    <w:rsid w:val="00B91B52"/>
    <w:rsid w:val="00B91F27"/>
    <w:rsid w:val="00B9212A"/>
    <w:rsid w:val="00B92258"/>
    <w:rsid w:val="00B923AE"/>
    <w:rsid w:val="00B9245E"/>
    <w:rsid w:val="00B92543"/>
    <w:rsid w:val="00B9269E"/>
    <w:rsid w:val="00B92763"/>
    <w:rsid w:val="00B92765"/>
    <w:rsid w:val="00B928BE"/>
    <w:rsid w:val="00B92AC5"/>
    <w:rsid w:val="00B92AEB"/>
    <w:rsid w:val="00B92B6B"/>
    <w:rsid w:val="00B92BB1"/>
    <w:rsid w:val="00B92CF7"/>
    <w:rsid w:val="00B92E4E"/>
    <w:rsid w:val="00B92F3D"/>
    <w:rsid w:val="00B92F62"/>
    <w:rsid w:val="00B93063"/>
    <w:rsid w:val="00B930C1"/>
    <w:rsid w:val="00B93100"/>
    <w:rsid w:val="00B93366"/>
    <w:rsid w:val="00B93784"/>
    <w:rsid w:val="00B93867"/>
    <w:rsid w:val="00B93AE5"/>
    <w:rsid w:val="00B93AE7"/>
    <w:rsid w:val="00B93CC0"/>
    <w:rsid w:val="00B943B5"/>
    <w:rsid w:val="00B947D1"/>
    <w:rsid w:val="00B94807"/>
    <w:rsid w:val="00B948F0"/>
    <w:rsid w:val="00B9491B"/>
    <w:rsid w:val="00B94BDD"/>
    <w:rsid w:val="00B94D7C"/>
    <w:rsid w:val="00B94E35"/>
    <w:rsid w:val="00B95023"/>
    <w:rsid w:val="00B95078"/>
    <w:rsid w:val="00B950DF"/>
    <w:rsid w:val="00B95286"/>
    <w:rsid w:val="00B9557D"/>
    <w:rsid w:val="00B95641"/>
    <w:rsid w:val="00B95AA1"/>
    <w:rsid w:val="00B95AB6"/>
    <w:rsid w:val="00B95AED"/>
    <w:rsid w:val="00B95F7B"/>
    <w:rsid w:val="00B96000"/>
    <w:rsid w:val="00B961F1"/>
    <w:rsid w:val="00B9636D"/>
    <w:rsid w:val="00B96401"/>
    <w:rsid w:val="00B967B8"/>
    <w:rsid w:val="00B967CF"/>
    <w:rsid w:val="00B96971"/>
    <w:rsid w:val="00B969E2"/>
    <w:rsid w:val="00B96B30"/>
    <w:rsid w:val="00B96B80"/>
    <w:rsid w:val="00B96DE3"/>
    <w:rsid w:val="00B96E2C"/>
    <w:rsid w:val="00B96F1B"/>
    <w:rsid w:val="00B970B8"/>
    <w:rsid w:val="00B97181"/>
    <w:rsid w:val="00B972F3"/>
    <w:rsid w:val="00B97781"/>
    <w:rsid w:val="00B97798"/>
    <w:rsid w:val="00B97AE3"/>
    <w:rsid w:val="00B97B5B"/>
    <w:rsid w:val="00B97EFA"/>
    <w:rsid w:val="00B97FC9"/>
    <w:rsid w:val="00BA035E"/>
    <w:rsid w:val="00BA0430"/>
    <w:rsid w:val="00BA04DD"/>
    <w:rsid w:val="00BA0619"/>
    <w:rsid w:val="00BA076C"/>
    <w:rsid w:val="00BA07EA"/>
    <w:rsid w:val="00BA07FA"/>
    <w:rsid w:val="00BA0973"/>
    <w:rsid w:val="00BA09F1"/>
    <w:rsid w:val="00BA0AFB"/>
    <w:rsid w:val="00BA1225"/>
    <w:rsid w:val="00BA12AE"/>
    <w:rsid w:val="00BA12B5"/>
    <w:rsid w:val="00BA1371"/>
    <w:rsid w:val="00BA13D6"/>
    <w:rsid w:val="00BA1684"/>
    <w:rsid w:val="00BA18D7"/>
    <w:rsid w:val="00BA1DBC"/>
    <w:rsid w:val="00BA1F31"/>
    <w:rsid w:val="00BA1F72"/>
    <w:rsid w:val="00BA22A2"/>
    <w:rsid w:val="00BA22F2"/>
    <w:rsid w:val="00BA23B1"/>
    <w:rsid w:val="00BA2433"/>
    <w:rsid w:val="00BA2473"/>
    <w:rsid w:val="00BA24A6"/>
    <w:rsid w:val="00BA26D1"/>
    <w:rsid w:val="00BA26EF"/>
    <w:rsid w:val="00BA2873"/>
    <w:rsid w:val="00BA2898"/>
    <w:rsid w:val="00BA28C1"/>
    <w:rsid w:val="00BA2E6D"/>
    <w:rsid w:val="00BA2EB5"/>
    <w:rsid w:val="00BA2FDA"/>
    <w:rsid w:val="00BA302D"/>
    <w:rsid w:val="00BA3172"/>
    <w:rsid w:val="00BA3322"/>
    <w:rsid w:val="00BA33FB"/>
    <w:rsid w:val="00BA3430"/>
    <w:rsid w:val="00BA344B"/>
    <w:rsid w:val="00BA3511"/>
    <w:rsid w:val="00BA3757"/>
    <w:rsid w:val="00BA388A"/>
    <w:rsid w:val="00BA395A"/>
    <w:rsid w:val="00BA3A95"/>
    <w:rsid w:val="00BA3E51"/>
    <w:rsid w:val="00BA3E7C"/>
    <w:rsid w:val="00BA3ECA"/>
    <w:rsid w:val="00BA40B4"/>
    <w:rsid w:val="00BA417C"/>
    <w:rsid w:val="00BA447F"/>
    <w:rsid w:val="00BA4571"/>
    <w:rsid w:val="00BA46CA"/>
    <w:rsid w:val="00BA47C1"/>
    <w:rsid w:val="00BA48FB"/>
    <w:rsid w:val="00BA498B"/>
    <w:rsid w:val="00BA4C2E"/>
    <w:rsid w:val="00BA4DD0"/>
    <w:rsid w:val="00BA5037"/>
    <w:rsid w:val="00BA50C4"/>
    <w:rsid w:val="00BA50F4"/>
    <w:rsid w:val="00BA5140"/>
    <w:rsid w:val="00BA53B2"/>
    <w:rsid w:val="00BA56F5"/>
    <w:rsid w:val="00BA5782"/>
    <w:rsid w:val="00BA5921"/>
    <w:rsid w:val="00BA5B35"/>
    <w:rsid w:val="00BA5C49"/>
    <w:rsid w:val="00BA5CBD"/>
    <w:rsid w:val="00BA5D1F"/>
    <w:rsid w:val="00BA5D69"/>
    <w:rsid w:val="00BA5FAF"/>
    <w:rsid w:val="00BA6117"/>
    <w:rsid w:val="00BA616C"/>
    <w:rsid w:val="00BA6247"/>
    <w:rsid w:val="00BA6351"/>
    <w:rsid w:val="00BA63BA"/>
    <w:rsid w:val="00BA6578"/>
    <w:rsid w:val="00BA66F8"/>
    <w:rsid w:val="00BA6722"/>
    <w:rsid w:val="00BA672D"/>
    <w:rsid w:val="00BA6799"/>
    <w:rsid w:val="00BA695C"/>
    <w:rsid w:val="00BA6CBE"/>
    <w:rsid w:val="00BA6D3C"/>
    <w:rsid w:val="00BA6EEB"/>
    <w:rsid w:val="00BA6F9C"/>
    <w:rsid w:val="00BA703E"/>
    <w:rsid w:val="00BA7180"/>
    <w:rsid w:val="00BA7596"/>
    <w:rsid w:val="00BA7597"/>
    <w:rsid w:val="00BA7619"/>
    <w:rsid w:val="00BA7634"/>
    <w:rsid w:val="00BA775A"/>
    <w:rsid w:val="00BA7956"/>
    <w:rsid w:val="00BA7CC8"/>
    <w:rsid w:val="00BA7E33"/>
    <w:rsid w:val="00BA7F21"/>
    <w:rsid w:val="00BA7F32"/>
    <w:rsid w:val="00BB0243"/>
    <w:rsid w:val="00BB028B"/>
    <w:rsid w:val="00BB039A"/>
    <w:rsid w:val="00BB0592"/>
    <w:rsid w:val="00BB0998"/>
    <w:rsid w:val="00BB0ABB"/>
    <w:rsid w:val="00BB0B83"/>
    <w:rsid w:val="00BB0C81"/>
    <w:rsid w:val="00BB0F24"/>
    <w:rsid w:val="00BB10C9"/>
    <w:rsid w:val="00BB14CE"/>
    <w:rsid w:val="00BB166F"/>
    <w:rsid w:val="00BB17FD"/>
    <w:rsid w:val="00BB1ABE"/>
    <w:rsid w:val="00BB1B51"/>
    <w:rsid w:val="00BB1BB1"/>
    <w:rsid w:val="00BB1BBF"/>
    <w:rsid w:val="00BB1ED0"/>
    <w:rsid w:val="00BB1F43"/>
    <w:rsid w:val="00BB1FCE"/>
    <w:rsid w:val="00BB201A"/>
    <w:rsid w:val="00BB2182"/>
    <w:rsid w:val="00BB2418"/>
    <w:rsid w:val="00BB2533"/>
    <w:rsid w:val="00BB2581"/>
    <w:rsid w:val="00BB25B2"/>
    <w:rsid w:val="00BB25DD"/>
    <w:rsid w:val="00BB2745"/>
    <w:rsid w:val="00BB2941"/>
    <w:rsid w:val="00BB2958"/>
    <w:rsid w:val="00BB29A5"/>
    <w:rsid w:val="00BB2C07"/>
    <w:rsid w:val="00BB2CD1"/>
    <w:rsid w:val="00BB303D"/>
    <w:rsid w:val="00BB30AE"/>
    <w:rsid w:val="00BB30B6"/>
    <w:rsid w:val="00BB30FC"/>
    <w:rsid w:val="00BB33AD"/>
    <w:rsid w:val="00BB3407"/>
    <w:rsid w:val="00BB3428"/>
    <w:rsid w:val="00BB35B5"/>
    <w:rsid w:val="00BB3715"/>
    <w:rsid w:val="00BB372E"/>
    <w:rsid w:val="00BB3850"/>
    <w:rsid w:val="00BB3899"/>
    <w:rsid w:val="00BB38FE"/>
    <w:rsid w:val="00BB39E5"/>
    <w:rsid w:val="00BB3A96"/>
    <w:rsid w:val="00BB3BF8"/>
    <w:rsid w:val="00BB3CB0"/>
    <w:rsid w:val="00BB3EFF"/>
    <w:rsid w:val="00BB420B"/>
    <w:rsid w:val="00BB440C"/>
    <w:rsid w:val="00BB44EA"/>
    <w:rsid w:val="00BB46DA"/>
    <w:rsid w:val="00BB4738"/>
    <w:rsid w:val="00BB4804"/>
    <w:rsid w:val="00BB4898"/>
    <w:rsid w:val="00BB48EB"/>
    <w:rsid w:val="00BB4EDC"/>
    <w:rsid w:val="00BB5325"/>
    <w:rsid w:val="00BB5465"/>
    <w:rsid w:val="00BB5546"/>
    <w:rsid w:val="00BB575F"/>
    <w:rsid w:val="00BB5921"/>
    <w:rsid w:val="00BB598C"/>
    <w:rsid w:val="00BB5AA1"/>
    <w:rsid w:val="00BB5D33"/>
    <w:rsid w:val="00BB5E4C"/>
    <w:rsid w:val="00BB6135"/>
    <w:rsid w:val="00BB6147"/>
    <w:rsid w:val="00BB61ED"/>
    <w:rsid w:val="00BB621E"/>
    <w:rsid w:val="00BB6413"/>
    <w:rsid w:val="00BB6641"/>
    <w:rsid w:val="00BB66EE"/>
    <w:rsid w:val="00BB6811"/>
    <w:rsid w:val="00BB6A3B"/>
    <w:rsid w:val="00BB6A9F"/>
    <w:rsid w:val="00BB6ADF"/>
    <w:rsid w:val="00BB6B09"/>
    <w:rsid w:val="00BB6B11"/>
    <w:rsid w:val="00BB6B5D"/>
    <w:rsid w:val="00BB6E4C"/>
    <w:rsid w:val="00BB6E55"/>
    <w:rsid w:val="00BB6FBA"/>
    <w:rsid w:val="00BB72CA"/>
    <w:rsid w:val="00BB761B"/>
    <w:rsid w:val="00BB766B"/>
    <w:rsid w:val="00BB782B"/>
    <w:rsid w:val="00BB7889"/>
    <w:rsid w:val="00BB7910"/>
    <w:rsid w:val="00BB7915"/>
    <w:rsid w:val="00BB7B12"/>
    <w:rsid w:val="00BB7C2E"/>
    <w:rsid w:val="00BB7E4E"/>
    <w:rsid w:val="00BC0109"/>
    <w:rsid w:val="00BC021D"/>
    <w:rsid w:val="00BC0231"/>
    <w:rsid w:val="00BC0589"/>
    <w:rsid w:val="00BC05DC"/>
    <w:rsid w:val="00BC086A"/>
    <w:rsid w:val="00BC0A0D"/>
    <w:rsid w:val="00BC0B73"/>
    <w:rsid w:val="00BC0F55"/>
    <w:rsid w:val="00BC1532"/>
    <w:rsid w:val="00BC181B"/>
    <w:rsid w:val="00BC1B7F"/>
    <w:rsid w:val="00BC1C69"/>
    <w:rsid w:val="00BC2030"/>
    <w:rsid w:val="00BC22F3"/>
    <w:rsid w:val="00BC2323"/>
    <w:rsid w:val="00BC23C6"/>
    <w:rsid w:val="00BC24A2"/>
    <w:rsid w:val="00BC2627"/>
    <w:rsid w:val="00BC26FF"/>
    <w:rsid w:val="00BC2709"/>
    <w:rsid w:val="00BC2CEB"/>
    <w:rsid w:val="00BC307E"/>
    <w:rsid w:val="00BC30EE"/>
    <w:rsid w:val="00BC3106"/>
    <w:rsid w:val="00BC3826"/>
    <w:rsid w:val="00BC3A8B"/>
    <w:rsid w:val="00BC3B53"/>
    <w:rsid w:val="00BC3B86"/>
    <w:rsid w:val="00BC3C2C"/>
    <w:rsid w:val="00BC3C38"/>
    <w:rsid w:val="00BC3C9C"/>
    <w:rsid w:val="00BC4072"/>
    <w:rsid w:val="00BC40E7"/>
    <w:rsid w:val="00BC416F"/>
    <w:rsid w:val="00BC433E"/>
    <w:rsid w:val="00BC4465"/>
    <w:rsid w:val="00BC4557"/>
    <w:rsid w:val="00BC4752"/>
    <w:rsid w:val="00BC48E3"/>
    <w:rsid w:val="00BC4B1F"/>
    <w:rsid w:val="00BC4BD5"/>
    <w:rsid w:val="00BC4C03"/>
    <w:rsid w:val="00BC4D53"/>
    <w:rsid w:val="00BC4DB2"/>
    <w:rsid w:val="00BC4DEE"/>
    <w:rsid w:val="00BC4F2F"/>
    <w:rsid w:val="00BC4F88"/>
    <w:rsid w:val="00BC5078"/>
    <w:rsid w:val="00BC528B"/>
    <w:rsid w:val="00BC52A0"/>
    <w:rsid w:val="00BC56A5"/>
    <w:rsid w:val="00BC5723"/>
    <w:rsid w:val="00BC5D5B"/>
    <w:rsid w:val="00BC5FD1"/>
    <w:rsid w:val="00BC60FA"/>
    <w:rsid w:val="00BC633C"/>
    <w:rsid w:val="00BC6515"/>
    <w:rsid w:val="00BC675C"/>
    <w:rsid w:val="00BC67FD"/>
    <w:rsid w:val="00BC6A8D"/>
    <w:rsid w:val="00BC6BE8"/>
    <w:rsid w:val="00BC6D7A"/>
    <w:rsid w:val="00BC6E2E"/>
    <w:rsid w:val="00BC6F35"/>
    <w:rsid w:val="00BC6F67"/>
    <w:rsid w:val="00BC701D"/>
    <w:rsid w:val="00BC7167"/>
    <w:rsid w:val="00BC73B3"/>
    <w:rsid w:val="00BC75FD"/>
    <w:rsid w:val="00BC78BB"/>
    <w:rsid w:val="00BC79CD"/>
    <w:rsid w:val="00BC7F62"/>
    <w:rsid w:val="00BC7F98"/>
    <w:rsid w:val="00BC7FF6"/>
    <w:rsid w:val="00BD001C"/>
    <w:rsid w:val="00BD007A"/>
    <w:rsid w:val="00BD01B5"/>
    <w:rsid w:val="00BD02AE"/>
    <w:rsid w:val="00BD04D0"/>
    <w:rsid w:val="00BD04E9"/>
    <w:rsid w:val="00BD0592"/>
    <w:rsid w:val="00BD065A"/>
    <w:rsid w:val="00BD08F5"/>
    <w:rsid w:val="00BD0A78"/>
    <w:rsid w:val="00BD0B74"/>
    <w:rsid w:val="00BD0CBB"/>
    <w:rsid w:val="00BD0D50"/>
    <w:rsid w:val="00BD12C3"/>
    <w:rsid w:val="00BD156A"/>
    <w:rsid w:val="00BD15DF"/>
    <w:rsid w:val="00BD15E6"/>
    <w:rsid w:val="00BD1A53"/>
    <w:rsid w:val="00BD1ECB"/>
    <w:rsid w:val="00BD1F72"/>
    <w:rsid w:val="00BD2100"/>
    <w:rsid w:val="00BD2218"/>
    <w:rsid w:val="00BD2392"/>
    <w:rsid w:val="00BD257E"/>
    <w:rsid w:val="00BD2704"/>
    <w:rsid w:val="00BD2840"/>
    <w:rsid w:val="00BD2A01"/>
    <w:rsid w:val="00BD2B21"/>
    <w:rsid w:val="00BD2D5D"/>
    <w:rsid w:val="00BD2D9B"/>
    <w:rsid w:val="00BD2E2F"/>
    <w:rsid w:val="00BD3032"/>
    <w:rsid w:val="00BD3727"/>
    <w:rsid w:val="00BD3C6C"/>
    <w:rsid w:val="00BD4100"/>
    <w:rsid w:val="00BD43EA"/>
    <w:rsid w:val="00BD45A1"/>
    <w:rsid w:val="00BD4678"/>
    <w:rsid w:val="00BD4853"/>
    <w:rsid w:val="00BD4A44"/>
    <w:rsid w:val="00BD4C46"/>
    <w:rsid w:val="00BD4D40"/>
    <w:rsid w:val="00BD4D4A"/>
    <w:rsid w:val="00BD4DFE"/>
    <w:rsid w:val="00BD4E61"/>
    <w:rsid w:val="00BD52E7"/>
    <w:rsid w:val="00BD53A2"/>
    <w:rsid w:val="00BD5463"/>
    <w:rsid w:val="00BD54C5"/>
    <w:rsid w:val="00BD566E"/>
    <w:rsid w:val="00BD5916"/>
    <w:rsid w:val="00BD593C"/>
    <w:rsid w:val="00BD5DB4"/>
    <w:rsid w:val="00BD5E4D"/>
    <w:rsid w:val="00BD5EE5"/>
    <w:rsid w:val="00BD610C"/>
    <w:rsid w:val="00BD62DE"/>
    <w:rsid w:val="00BD634A"/>
    <w:rsid w:val="00BD6480"/>
    <w:rsid w:val="00BD656F"/>
    <w:rsid w:val="00BD65F5"/>
    <w:rsid w:val="00BD6935"/>
    <w:rsid w:val="00BD6A6B"/>
    <w:rsid w:val="00BD6C54"/>
    <w:rsid w:val="00BD7000"/>
    <w:rsid w:val="00BD71C5"/>
    <w:rsid w:val="00BD71C7"/>
    <w:rsid w:val="00BD71E8"/>
    <w:rsid w:val="00BD73F8"/>
    <w:rsid w:val="00BD7618"/>
    <w:rsid w:val="00BD7ABF"/>
    <w:rsid w:val="00BD7ACC"/>
    <w:rsid w:val="00BD7CD3"/>
    <w:rsid w:val="00BD7D69"/>
    <w:rsid w:val="00BD7F10"/>
    <w:rsid w:val="00BD7F64"/>
    <w:rsid w:val="00BE042E"/>
    <w:rsid w:val="00BE054E"/>
    <w:rsid w:val="00BE05C8"/>
    <w:rsid w:val="00BE0686"/>
    <w:rsid w:val="00BE075A"/>
    <w:rsid w:val="00BE0763"/>
    <w:rsid w:val="00BE0B98"/>
    <w:rsid w:val="00BE0D73"/>
    <w:rsid w:val="00BE1122"/>
    <w:rsid w:val="00BE137C"/>
    <w:rsid w:val="00BE15E3"/>
    <w:rsid w:val="00BE1681"/>
    <w:rsid w:val="00BE1E26"/>
    <w:rsid w:val="00BE1E5C"/>
    <w:rsid w:val="00BE1F5D"/>
    <w:rsid w:val="00BE1FAA"/>
    <w:rsid w:val="00BE2095"/>
    <w:rsid w:val="00BE218C"/>
    <w:rsid w:val="00BE2590"/>
    <w:rsid w:val="00BE2720"/>
    <w:rsid w:val="00BE2763"/>
    <w:rsid w:val="00BE288B"/>
    <w:rsid w:val="00BE2D75"/>
    <w:rsid w:val="00BE2F76"/>
    <w:rsid w:val="00BE347D"/>
    <w:rsid w:val="00BE362F"/>
    <w:rsid w:val="00BE378C"/>
    <w:rsid w:val="00BE378F"/>
    <w:rsid w:val="00BE3B69"/>
    <w:rsid w:val="00BE419F"/>
    <w:rsid w:val="00BE43E8"/>
    <w:rsid w:val="00BE461A"/>
    <w:rsid w:val="00BE4A0B"/>
    <w:rsid w:val="00BE4D6E"/>
    <w:rsid w:val="00BE4F41"/>
    <w:rsid w:val="00BE4FDE"/>
    <w:rsid w:val="00BE5245"/>
    <w:rsid w:val="00BE53C3"/>
    <w:rsid w:val="00BE57C6"/>
    <w:rsid w:val="00BE5ABF"/>
    <w:rsid w:val="00BE5BA7"/>
    <w:rsid w:val="00BE5BB2"/>
    <w:rsid w:val="00BE5D1A"/>
    <w:rsid w:val="00BE5D6C"/>
    <w:rsid w:val="00BE5ED3"/>
    <w:rsid w:val="00BE5F52"/>
    <w:rsid w:val="00BE617A"/>
    <w:rsid w:val="00BE61E2"/>
    <w:rsid w:val="00BE64A9"/>
    <w:rsid w:val="00BE65B9"/>
    <w:rsid w:val="00BE6616"/>
    <w:rsid w:val="00BE684A"/>
    <w:rsid w:val="00BE6BD4"/>
    <w:rsid w:val="00BE6D3B"/>
    <w:rsid w:val="00BE6D79"/>
    <w:rsid w:val="00BE6DD8"/>
    <w:rsid w:val="00BE6F36"/>
    <w:rsid w:val="00BE6F79"/>
    <w:rsid w:val="00BE7036"/>
    <w:rsid w:val="00BE7063"/>
    <w:rsid w:val="00BE7159"/>
    <w:rsid w:val="00BE733B"/>
    <w:rsid w:val="00BE736A"/>
    <w:rsid w:val="00BE75A4"/>
    <w:rsid w:val="00BE766D"/>
    <w:rsid w:val="00BE7953"/>
    <w:rsid w:val="00BE7E46"/>
    <w:rsid w:val="00BE7EDD"/>
    <w:rsid w:val="00BF01B5"/>
    <w:rsid w:val="00BF02D2"/>
    <w:rsid w:val="00BF0305"/>
    <w:rsid w:val="00BF04F2"/>
    <w:rsid w:val="00BF0583"/>
    <w:rsid w:val="00BF06D5"/>
    <w:rsid w:val="00BF087C"/>
    <w:rsid w:val="00BF0A7E"/>
    <w:rsid w:val="00BF0DF6"/>
    <w:rsid w:val="00BF0EE5"/>
    <w:rsid w:val="00BF0F2B"/>
    <w:rsid w:val="00BF1073"/>
    <w:rsid w:val="00BF1308"/>
    <w:rsid w:val="00BF18F6"/>
    <w:rsid w:val="00BF1A89"/>
    <w:rsid w:val="00BF1C7C"/>
    <w:rsid w:val="00BF1DD6"/>
    <w:rsid w:val="00BF2043"/>
    <w:rsid w:val="00BF2672"/>
    <w:rsid w:val="00BF26EB"/>
    <w:rsid w:val="00BF28DF"/>
    <w:rsid w:val="00BF2A0D"/>
    <w:rsid w:val="00BF2DD0"/>
    <w:rsid w:val="00BF2E1A"/>
    <w:rsid w:val="00BF2ED1"/>
    <w:rsid w:val="00BF31A9"/>
    <w:rsid w:val="00BF3413"/>
    <w:rsid w:val="00BF35D0"/>
    <w:rsid w:val="00BF39B7"/>
    <w:rsid w:val="00BF39CB"/>
    <w:rsid w:val="00BF3AA2"/>
    <w:rsid w:val="00BF3BB2"/>
    <w:rsid w:val="00BF43F9"/>
    <w:rsid w:val="00BF46E2"/>
    <w:rsid w:val="00BF46F2"/>
    <w:rsid w:val="00BF4894"/>
    <w:rsid w:val="00BF4AAB"/>
    <w:rsid w:val="00BF4B6E"/>
    <w:rsid w:val="00BF4BC3"/>
    <w:rsid w:val="00BF4BD1"/>
    <w:rsid w:val="00BF4DBD"/>
    <w:rsid w:val="00BF4E8A"/>
    <w:rsid w:val="00BF4EDC"/>
    <w:rsid w:val="00BF4FA1"/>
    <w:rsid w:val="00BF51B1"/>
    <w:rsid w:val="00BF5241"/>
    <w:rsid w:val="00BF544A"/>
    <w:rsid w:val="00BF545F"/>
    <w:rsid w:val="00BF5477"/>
    <w:rsid w:val="00BF54A1"/>
    <w:rsid w:val="00BF5616"/>
    <w:rsid w:val="00BF570A"/>
    <w:rsid w:val="00BF57FC"/>
    <w:rsid w:val="00BF586F"/>
    <w:rsid w:val="00BF58BD"/>
    <w:rsid w:val="00BF5C84"/>
    <w:rsid w:val="00BF5DA3"/>
    <w:rsid w:val="00BF5DF4"/>
    <w:rsid w:val="00BF5E8F"/>
    <w:rsid w:val="00BF5EC3"/>
    <w:rsid w:val="00BF5F3F"/>
    <w:rsid w:val="00BF5FC5"/>
    <w:rsid w:val="00BF605D"/>
    <w:rsid w:val="00BF6097"/>
    <w:rsid w:val="00BF6268"/>
    <w:rsid w:val="00BF68D6"/>
    <w:rsid w:val="00BF6B01"/>
    <w:rsid w:val="00BF71EE"/>
    <w:rsid w:val="00BF7231"/>
    <w:rsid w:val="00BF73D9"/>
    <w:rsid w:val="00BF74D0"/>
    <w:rsid w:val="00BF752B"/>
    <w:rsid w:val="00BF7671"/>
    <w:rsid w:val="00BF768C"/>
    <w:rsid w:val="00BF77AC"/>
    <w:rsid w:val="00BF7910"/>
    <w:rsid w:val="00BF7959"/>
    <w:rsid w:val="00BF79E4"/>
    <w:rsid w:val="00BF7DFF"/>
    <w:rsid w:val="00BF7E67"/>
    <w:rsid w:val="00BF7EC7"/>
    <w:rsid w:val="00BF7F61"/>
    <w:rsid w:val="00BF7FC6"/>
    <w:rsid w:val="00C000E8"/>
    <w:rsid w:val="00C003C6"/>
    <w:rsid w:val="00C0046A"/>
    <w:rsid w:val="00C0056F"/>
    <w:rsid w:val="00C006E0"/>
    <w:rsid w:val="00C0075D"/>
    <w:rsid w:val="00C0087D"/>
    <w:rsid w:val="00C0096E"/>
    <w:rsid w:val="00C00B9D"/>
    <w:rsid w:val="00C00CA0"/>
    <w:rsid w:val="00C010AF"/>
    <w:rsid w:val="00C0115B"/>
    <w:rsid w:val="00C012E0"/>
    <w:rsid w:val="00C0149D"/>
    <w:rsid w:val="00C01515"/>
    <w:rsid w:val="00C0185F"/>
    <w:rsid w:val="00C018C4"/>
    <w:rsid w:val="00C01A34"/>
    <w:rsid w:val="00C01C16"/>
    <w:rsid w:val="00C01D0F"/>
    <w:rsid w:val="00C01E4B"/>
    <w:rsid w:val="00C0216C"/>
    <w:rsid w:val="00C02580"/>
    <w:rsid w:val="00C02744"/>
    <w:rsid w:val="00C028E6"/>
    <w:rsid w:val="00C029C8"/>
    <w:rsid w:val="00C02AEA"/>
    <w:rsid w:val="00C02C95"/>
    <w:rsid w:val="00C02EE3"/>
    <w:rsid w:val="00C02FAB"/>
    <w:rsid w:val="00C033FD"/>
    <w:rsid w:val="00C035A0"/>
    <w:rsid w:val="00C0367B"/>
    <w:rsid w:val="00C0371E"/>
    <w:rsid w:val="00C03835"/>
    <w:rsid w:val="00C038B8"/>
    <w:rsid w:val="00C03C1F"/>
    <w:rsid w:val="00C0404C"/>
    <w:rsid w:val="00C040F0"/>
    <w:rsid w:val="00C0415C"/>
    <w:rsid w:val="00C04231"/>
    <w:rsid w:val="00C04373"/>
    <w:rsid w:val="00C043DA"/>
    <w:rsid w:val="00C045EC"/>
    <w:rsid w:val="00C04679"/>
    <w:rsid w:val="00C04898"/>
    <w:rsid w:val="00C04D36"/>
    <w:rsid w:val="00C04DF4"/>
    <w:rsid w:val="00C04F0D"/>
    <w:rsid w:val="00C04FC0"/>
    <w:rsid w:val="00C05515"/>
    <w:rsid w:val="00C058B8"/>
    <w:rsid w:val="00C05D78"/>
    <w:rsid w:val="00C0605B"/>
    <w:rsid w:val="00C061C4"/>
    <w:rsid w:val="00C063AE"/>
    <w:rsid w:val="00C0645A"/>
    <w:rsid w:val="00C06489"/>
    <w:rsid w:val="00C0670A"/>
    <w:rsid w:val="00C06735"/>
    <w:rsid w:val="00C06779"/>
    <w:rsid w:val="00C0690D"/>
    <w:rsid w:val="00C06B4E"/>
    <w:rsid w:val="00C06BDA"/>
    <w:rsid w:val="00C06C04"/>
    <w:rsid w:val="00C06EBF"/>
    <w:rsid w:val="00C06F48"/>
    <w:rsid w:val="00C06FD4"/>
    <w:rsid w:val="00C07049"/>
    <w:rsid w:val="00C070F0"/>
    <w:rsid w:val="00C0711D"/>
    <w:rsid w:val="00C072DE"/>
    <w:rsid w:val="00C073C2"/>
    <w:rsid w:val="00C07414"/>
    <w:rsid w:val="00C079B6"/>
    <w:rsid w:val="00C079F6"/>
    <w:rsid w:val="00C07A41"/>
    <w:rsid w:val="00C07A51"/>
    <w:rsid w:val="00C07B95"/>
    <w:rsid w:val="00C07C5D"/>
    <w:rsid w:val="00C07FA7"/>
    <w:rsid w:val="00C100C1"/>
    <w:rsid w:val="00C10180"/>
    <w:rsid w:val="00C103DE"/>
    <w:rsid w:val="00C10688"/>
    <w:rsid w:val="00C10738"/>
    <w:rsid w:val="00C10926"/>
    <w:rsid w:val="00C10AC0"/>
    <w:rsid w:val="00C10B2A"/>
    <w:rsid w:val="00C10B5F"/>
    <w:rsid w:val="00C10C2B"/>
    <w:rsid w:val="00C10DCD"/>
    <w:rsid w:val="00C10F36"/>
    <w:rsid w:val="00C112B7"/>
    <w:rsid w:val="00C11312"/>
    <w:rsid w:val="00C11322"/>
    <w:rsid w:val="00C11335"/>
    <w:rsid w:val="00C11356"/>
    <w:rsid w:val="00C115A4"/>
    <w:rsid w:val="00C115D6"/>
    <w:rsid w:val="00C115DB"/>
    <w:rsid w:val="00C11884"/>
    <w:rsid w:val="00C1195C"/>
    <w:rsid w:val="00C11AC2"/>
    <w:rsid w:val="00C11B1F"/>
    <w:rsid w:val="00C11C1B"/>
    <w:rsid w:val="00C11C56"/>
    <w:rsid w:val="00C11CEF"/>
    <w:rsid w:val="00C11CF5"/>
    <w:rsid w:val="00C11EC9"/>
    <w:rsid w:val="00C11F77"/>
    <w:rsid w:val="00C12148"/>
    <w:rsid w:val="00C121C9"/>
    <w:rsid w:val="00C1225A"/>
    <w:rsid w:val="00C122D2"/>
    <w:rsid w:val="00C1238F"/>
    <w:rsid w:val="00C1241D"/>
    <w:rsid w:val="00C1259D"/>
    <w:rsid w:val="00C12738"/>
    <w:rsid w:val="00C127E8"/>
    <w:rsid w:val="00C128F4"/>
    <w:rsid w:val="00C12BDD"/>
    <w:rsid w:val="00C12EFF"/>
    <w:rsid w:val="00C13017"/>
    <w:rsid w:val="00C1311C"/>
    <w:rsid w:val="00C1344E"/>
    <w:rsid w:val="00C1361B"/>
    <w:rsid w:val="00C139DD"/>
    <w:rsid w:val="00C13B1D"/>
    <w:rsid w:val="00C13C02"/>
    <w:rsid w:val="00C13DC2"/>
    <w:rsid w:val="00C141A1"/>
    <w:rsid w:val="00C141D5"/>
    <w:rsid w:val="00C143E6"/>
    <w:rsid w:val="00C14923"/>
    <w:rsid w:val="00C149B9"/>
    <w:rsid w:val="00C149E9"/>
    <w:rsid w:val="00C14A96"/>
    <w:rsid w:val="00C14ABF"/>
    <w:rsid w:val="00C14AF6"/>
    <w:rsid w:val="00C1505C"/>
    <w:rsid w:val="00C1534C"/>
    <w:rsid w:val="00C15430"/>
    <w:rsid w:val="00C15502"/>
    <w:rsid w:val="00C15534"/>
    <w:rsid w:val="00C156B1"/>
    <w:rsid w:val="00C15B4F"/>
    <w:rsid w:val="00C15CBB"/>
    <w:rsid w:val="00C15EAE"/>
    <w:rsid w:val="00C15F76"/>
    <w:rsid w:val="00C1621B"/>
    <w:rsid w:val="00C16333"/>
    <w:rsid w:val="00C163EF"/>
    <w:rsid w:val="00C164F2"/>
    <w:rsid w:val="00C16516"/>
    <w:rsid w:val="00C1660A"/>
    <w:rsid w:val="00C16841"/>
    <w:rsid w:val="00C16888"/>
    <w:rsid w:val="00C16A17"/>
    <w:rsid w:val="00C1704B"/>
    <w:rsid w:val="00C175F8"/>
    <w:rsid w:val="00C17604"/>
    <w:rsid w:val="00C17645"/>
    <w:rsid w:val="00C17647"/>
    <w:rsid w:val="00C17D85"/>
    <w:rsid w:val="00C2029A"/>
    <w:rsid w:val="00C20719"/>
    <w:rsid w:val="00C207D7"/>
    <w:rsid w:val="00C20FEE"/>
    <w:rsid w:val="00C210C2"/>
    <w:rsid w:val="00C211FF"/>
    <w:rsid w:val="00C219BE"/>
    <w:rsid w:val="00C21A6F"/>
    <w:rsid w:val="00C21B2D"/>
    <w:rsid w:val="00C21D2E"/>
    <w:rsid w:val="00C21FC4"/>
    <w:rsid w:val="00C22260"/>
    <w:rsid w:val="00C2232F"/>
    <w:rsid w:val="00C224BA"/>
    <w:rsid w:val="00C224BE"/>
    <w:rsid w:val="00C22608"/>
    <w:rsid w:val="00C226A4"/>
    <w:rsid w:val="00C228A2"/>
    <w:rsid w:val="00C229CD"/>
    <w:rsid w:val="00C22A21"/>
    <w:rsid w:val="00C22C28"/>
    <w:rsid w:val="00C22C41"/>
    <w:rsid w:val="00C231A6"/>
    <w:rsid w:val="00C235DB"/>
    <w:rsid w:val="00C2364C"/>
    <w:rsid w:val="00C2375A"/>
    <w:rsid w:val="00C23AC9"/>
    <w:rsid w:val="00C241C5"/>
    <w:rsid w:val="00C24277"/>
    <w:rsid w:val="00C242A0"/>
    <w:rsid w:val="00C2453E"/>
    <w:rsid w:val="00C2462A"/>
    <w:rsid w:val="00C247E8"/>
    <w:rsid w:val="00C24A10"/>
    <w:rsid w:val="00C24B11"/>
    <w:rsid w:val="00C24B50"/>
    <w:rsid w:val="00C251AF"/>
    <w:rsid w:val="00C25293"/>
    <w:rsid w:val="00C25495"/>
    <w:rsid w:val="00C256F7"/>
    <w:rsid w:val="00C257F2"/>
    <w:rsid w:val="00C25946"/>
    <w:rsid w:val="00C259AA"/>
    <w:rsid w:val="00C259F3"/>
    <w:rsid w:val="00C25B48"/>
    <w:rsid w:val="00C25CA3"/>
    <w:rsid w:val="00C25D1E"/>
    <w:rsid w:val="00C25E49"/>
    <w:rsid w:val="00C25EC8"/>
    <w:rsid w:val="00C25F65"/>
    <w:rsid w:val="00C26160"/>
    <w:rsid w:val="00C261E7"/>
    <w:rsid w:val="00C26411"/>
    <w:rsid w:val="00C2643C"/>
    <w:rsid w:val="00C264DB"/>
    <w:rsid w:val="00C26655"/>
    <w:rsid w:val="00C26BA5"/>
    <w:rsid w:val="00C26D95"/>
    <w:rsid w:val="00C26F6A"/>
    <w:rsid w:val="00C26F90"/>
    <w:rsid w:val="00C27064"/>
    <w:rsid w:val="00C27129"/>
    <w:rsid w:val="00C27437"/>
    <w:rsid w:val="00C279D4"/>
    <w:rsid w:val="00C27B0D"/>
    <w:rsid w:val="00C27D4A"/>
    <w:rsid w:val="00C27DD5"/>
    <w:rsid w:val="00C27E9E"/>
    <w:rsid w:val="00C27F71"/>
    <w:rsid w:val="00C2A7D8"/>
    <w:rsid w:val="00C3009B"/>
    <w:rsid w:val="00C301D6"/>
    <w:rsid w:val="00C30363"/>
    <w:rsid w:val="00C306C6"/>
    <w:rsid w:val="00C30707"/>
    <w:rsid w:val="00C3088D"/>
    <w:rsid w:val="00C30A17"/>
    <w:rsid w:val="00C30A7E"/>
    <w:rsid w:val="00C30A9D"/>
    <w:rsid w:val="00C30B37"/>
    <w:rsid w:val="00C30C3E"/>
    <w:rsid w:val="00C30C46"/>
    <w:rsid w:val="00C30CC2"/>
    <w:rsid w:val="00C30DB4"/>
    <w:rsid w:val="00C31657"/>
    <w:rsid w:val="00C318A8"/>
    <w:rsid w:val="00C31BAF"/>
    <w:rsid w:val="00C31DCE"/>
    <w:rsid w:val="00C31E4F"/>
    <w:rsid w:val="00C31F83"/>
    <w:rsid w:val="00C31FCF"/>
    <w:rsid w:val="00C32113"/>
    <w:rsid w:val="00C3223E"/>
    <w:rsid w:val="00C32456"/>
    <w:rsid w:val="00C3261A"/>
    <w:rsid w:val="00C3264B"/>
    <w:rsid w:val="00C32662"/>
    <w:rsid w:val="00C3275E"/>
    <w:rsid w:val="00C32B3A"/>
    <w:rsid w:val="00C32CBE"/>
    <w:rsid w:val="00C32F89"/>
    <w:rsid w:val="00C3300C"/>
    <w:rsid w:val="00C33082"/>
    <w:rsid w:val="00C33364"/>
    <w:rsid w:val="00C33889"/>
    <w:rsid w:val="00C339E4"/>
    <w:rsid w:val="00C33A52"/>
    <w:rsid w:val="00C33C0C"/>
    <w:rsid w:val="00C33C2B"/>
    <w:rsid w:val="00C33E1F"/>
    <w:rsid w:val="00C340D4"/>
    <w:rsid w:val="00C34128"/>
    <w:rsid w:val="00C34145"/>
    <w:rsid w:val="00C34223"/>
    <w:rsid w:val="00C343D3"/>
    <w:rsid w:val="00C3442E"/>
    <w:rsid w:val="00C34489"/>
    <w:rsid w:val="00C345F6"/>
    <w:rsid w:val="00C346C9"/>
    <w:rsid w:val="00C34884"/>
    <w:rsid w:val="00C348DF"/>
    <w:rsid w:val="00C348EB"/>
    <w:rsid w:val="00C34989"/>
    <w:rsid w:val="00C34C23"/>
    <w:rsid w:val="00C351C4"/>
    <w:rsid w:val="00C351D6"/>
    <w:rsid w:val="00C351E3"/>
    <w:rsid w:val="00C35381"/>
    <w:rsid w:val="00C35518"/>
    <w:rsid w:val="00C35570"/>
    <w:rsid w:val="00C3561E"/>
    <w:rsid w:val="00C3565D"/>
    <w:rsid w:val="00C35686"/>
    <w:rsid w:val="00C357D5"/>
    <w:rsid w:val="00C3589E"/>
    <w:rsid w:val="00C35A50"/>
    <w:rsid w:val="00C35AEA"/>
    <w:rsid w:val="00C35AF0"/>
    <w:rsid w:val="00C35BF6"/>
    <w:rsid w:val="00C35C3A"/>
    <w:rsid w:val="00C35CB1"/>
    <w:rsid w:val="00C35EA4"/>
    <w:rsid w:val="00C35F14"/>
    <w:rsid w:val="00C35F3B"/>
    <w:rsid w:val="00C36413"/>
    <w:rsid w:val="00C3647B"/>
    <w:rsid w:val="00C366CE"/>
    <w:rsid w:val="00C3691B"/>
    <w:rsid w:val="00C36965"/>
    <w:rsid w:val="00C369C6"/>
    <w:rsid w:val="00C36C21"/>
    <w:rsid w:val="00C36F1D"/>
    <w:rsid w:val="00C36FD0"/>
    <w:rsid w:val="00C3723E"/>
    <w:rsid w:val="00C3733F"/>
    <w:rsid w:val="00C37776"/>
    <w:rsid w:val="00C378EA"/>
    <w:rsid w:val="00C37BA6"/>
    <w:rsid w:val="00C37D3A"/>
    <w:rsid w:val="00C37E41"/>
    <w:rsid w:val="00C4064C"/>
    <w:rsid w:val="00C4065A"/>
    <w:rsid w:val="00C40676"/>
    <w:rsid w:val="00C406E8"/>
    <w:rsid w:val="00C408C1"/>
    <w:rsid w:val="00C4096C"/>
    <w:rsid w:val="00C40A99"/>
    <w:rsid w:val="00C40B37"/>
    <w:rsid w:val="00C40ED7"/>
    <w:rsid w:val="00C412EB"/>
    <w:rsid w:val="00C41504"/>
    <w:rsid w:val="00C415D7"/>
    <w:rsid w:val="00C415EF"/>
    <w:rsid w:val="00C415F5"/>
    <w:rsid w:val="00C417D1"/>
    <w:rsid w:val="00C418B2"/>
    <w:rsid w:val="00C419FB"/>
    <w:rsid w:val="00C41B77"/>
    <w:rsid w:val="00C41E1B"/>
    <w:rsid w:val="00C41E7A"/>
    <w:rsid w:val="00C42317"/>
    <w:rsid w:val="00C42322"/>
    <w:rsid w:val="00C42362"/>
    <w:rsid w:val="00C4238A"/>
    <w:rsid w:val="00C424D0"/>
    <w:rsid w:val="00C42582"/>
    <w:rsid w:val="00C42820"/>
    <w:rsid w:val="00C42AA2"/>
    <w:rsid w:val="00C42C48"/>
    <w:rsid w:val="00C42CC0"/>
    <w:rsid w:val="00C42CEF"/>
    <w:rsid w:val="00C42DBB"/>
    <w:rsid w:val="00C433C6"/>
    <w:rsid w:val="00C4351D"/>
    <w:rsid w:val="00C4354B"/>
    <w:rsid w:val="00C4365F"/>
    <w:rsid w:val="00C4391B"/>
    <w:rsid w:val="00C4391C"/>
    <w:rsid w:val="00C43B6B"/>
    <w:rsid w:val="00C43B72"/>
    <w:rsid w:val="00C43BC8"/>
    <w:rsid w:val="00C43BFB"/>
    <w:rsid w:val="00C43D18"/>
    <w:rsid w:val="00C43D3C"/>
    <w:rsid w:val="00C43EE6"/>
    <w:rsid w:val="00C43F10"/>
    <w:rsid w:val="00C44412"/>
    <w:rsid w:val="00C4456E"/>
    <w:rsid w:val="00C44726"/>
    <w:rsid w:val="00C44A44"/>
    <w:rsid w:val="00C44AC8"/>
    <w:rsid w:val="00C44B72"/>
    <w:rsid w:val="00C44DB4"/>
    <w:rsid w:val="00C44ED5"/>
    <w:rsid w:val="00C44F64"/>
    <w:rsid w:val="00C45071"/>
    <w:rsid w:val="00C45151"/>
    <w:rsid w:val="00C45194"/>
    <w:rsid w:val="00C451C1"/>
    <w:rsid w:val="00C455FE"/>
    <w:rsid w:val="00C4566F"/>
    <w:rsid w:val="00C456A0"/>
    <w:rsid w:val="00C4574D"/>
    <w:rsid w:val="00C45AF0"/>
    <w:rsid w:val="00C45BC6"/>
    <w:rsid w:val="00C45BEE"/>
    <w:rsid w:val="00C45DF5"/>
    <w:rsid w:val="00C45EE5"/>
    <w:rsid w:val="00C45EFB"/>
    <w:rsid w:val="00C45F46"/>
    <w:rsid w:val="00C45F52"/>
    <w:rsid w:val="00C460FC"/>
    <w:rsid w:val="00C464CC"/>
    <w:rsid w:val="00C466F9"/>
    <w:rsid w:val="00C4674A"/>
    <w:rsid w:val="00C468C7"/>
    <w:rsid w:val="00C46CDB"/>
    <w:rsid w:val="00C47005"/>
    <w:rsid w:val="00C4710E"/>
    <w:rsid w:val="00C47272"/>
    <w:rsid w:val="00C47441"/>
    <w:rsid w:val="00C47715"/>
    <w:rsid w:val="00C478BB"/>
    <w:rsid w:val="00C47931"/>
    <w:rsid w:val="00C47CAE"/>
    <w:rsid w:val="00C47F68"/>
    <w:rsid w:val="00C50082"/>
    <w:rsid w:val="00C50094"/>
    <w:rsid w:val="00C500B0"/>
    <w:rsid w:val="00C502E1"/>
    <w:rsid w:val="00C50443"/>
    <w:rsid w:val="00C50786"/>
    <w:rsid w:val="00C5079B"/>
    <w:rsid w:val="00C50900"/>
    <w:rsid w:val="00C50922"/>
    <w:rsid w:val="00C50CED"/>
    <w:rsid w:val="00C50D59"/>
    <w:rsid w:val="00C50EDC"/>
    <w:rsid w:val="00C50EFA"/>
    <w:rsid w:val="00C51036"/>
    <w:rsid w:val="00C51209"/>
    <w:rsid w:val="00C514F5"/>
    <w:rsid w:val="00C51990"/>
    <w:rsid w:val="00C51A74"/>
    <w:rsid w:val="00C51AF1"/>
    <w:rsid w:val="00C51B9F"/>
    <w:rsid w:val="00C51C2E"/>
    <w:rsid w:val="00C51F2C"/>
    <w:rsid w:val="00C520F3"/>
    <w:rsid w:val="00C52111"/>
    <w:rsid w:val="00C521A8"/>
    <w:rsid w:val="00C522C0"/>
    <w:rsid w:val="00C522C7"/>
    <w:rsid w:val="00C523B3"/>
    <w:rsid w:val="00C525DD"/>
    <w:rsid w:val="00C52924"/>
    <w:rsid w:val="00C529F3"/>
    <w:rsid w:val="00C52A02"/>
    <w:rsid w:val="00C52F7B"/>
    <w:rsid w:val="00C52FB0"/>
    <w:rsid w:val="00C53086"/>
    <w:rsid w:val="00C534D2"/>
    <w:rsid w:val="00C53591"/>
    <w:rsid w:val="00C53853"/>
    <w:rsid w:val="00C538D3"/>
    <w:rsid w:val="00C538F9"/>
    <w:rsid w:val="00C53916"/>
    <w:rsid w:val="00C53C79"/>
    <w:rsid w:val="00C54082"/>
    <w:rsid w:val="00C54102"/>
    <w:rsid w:val="00C541C0"/>
    <w:rsid w:val="00C542CD"/>
    <w:rsid w:val="00C542E0"/>
    <w:rsid w:val="00C546AC"/>
    <w:rsid w:val="00C54797"/>
    <w:rsid w:val="00C54893"/>
    <w:rsid w:val="00C548F0"/>
    <w:rsid w:val="00C549A7"/>
    <w:rsid w:val="00C54BB0"/>
    <w:rsid w:val="00C54D34"/>
    <w:rsid w:val="00C54E3D"/>
    <w:rsid w:val="00C54F78"/>
    <w:rsid w:val="00C54FD7"/>
    <w:rsid w:val="00C55357"/>
    <w:rsid w:val="00C5541D"/>
    <w:rsid w:val="00C55794"/>
    <w:rsid w:val="00C5583A"/>
    <w:rsid w:val="00C55858"/>
    <w:rsid w:val="00C558F2"/>
    <w:rsid w:val="00C55A33"/>
    <w:rsid w:val="00C55AA1"/>
    <w:rsid w:val="00C55D9A"/>
    <w:rsid w:val="00C55DE1"/>
    <w:rsid w:val="00C55EAA"/>
    <w:rsid w:val="00C56019"/>
    <w:rsid w:val="00C562D3"/>
    <w:rsid w:val="00C56511"/>
    <w:rsid w:val="00C56623"/>
    <w:rsid w:val="00C56794"/>
    <w:rsid w:val="00C567C1"/>
    <w:rsid w:val="00C56862"/>
    <w:rsid w:val="00C568BF"/>
    <w:rsid w:val="00C5693E"/>
    <w:rsid w:val="00C56A04"/>
    <w:rsid w:val="00C56C3C"/>
    <w:rsid w:val="00C56DDE"/>
    <w:rsid w:val="00C56E6D"/>
    <w:rsid w:val="00C56F88"/>
    <w:rsid w:val="00C574C0"/>
    <w:rsid w:val="00C57649"/>
    <w:rsid w:val="00C577B4"/>
    <w:rsid w:val="00C579AC"/>
    <w:rsid w:val="00C57A07"/>
    <w:rsid w:val="00C57A55"/>
    <w:rsid w:val="00C57B47"/>
    <w:rsid w:val="00C57C50"/>
    <w:rsid w:val="00C57D68"/>
    <w:rsid w:val="00C57E12"/>
    <w:rsid w:val="00C60271"/>
    <w:rsid w:val="00C6032E"/>
    <w:rsid w:val="00C604D2"/>
    <w:rsid w:val="00C60511"/>
    <w:rsid w:val="00C60515"/>
    <w:rsid w:val="00C606C1"/>
    <w:rsid w:val="00C60767"/>
    <w:rsid w:val="00C607C5"/>
    <w:rsid w:val="00C60A83"/>
    <w:rsid w:val="00C60BD7"/>
    <w:rsid w:val="00C60BF2"/>
    <w:rsid w:val="00C60D5D"/>
    <w:rsid w:val="00C60E37"/>
    <w:rsid w:val="00C60EC3"/>
    <w:rsid w:val="00C60F29"/>
    <w:rsid w:val="00C60F7D"/>
    <w:rsid w:val="00C6115E"/>
    <w:rsid w:val="00C61255"/>
    <w:rsid w:val="00C61393"/>
    <w:rsid w:val="00C613FD"/>
    <w:rsid w:val="00C61570"/>
    <w:rsid w:val="00C617ED"/>
    <w:rsid w:val="00C6185B"/>
    <w:rsid w:val="00C6189C"/>
    <w:rsid w:val="00C618C5"/>
    <w:rsid w:val="00C61915"/>
    <w:rsid w:val="00C61BA9"/>
    <w:rsid w:val="00C61C5C"/>
    <w:rsid w:val="00C61D4F"/>
    <w:rsid w:val="00C61D68"/>
    <w:rsid w:val="00C61E74"/>
    <w:rsid w:val="00C61E82"/>
    <w:rsid w:val="00C621E0"/>
    <w:rsid w:val="00C62391"/>
    <w:rsid w:val="00C62422"/>
    <w:rsid w:val="00C6268A"/>
    <w:rsid w:val="00C6271A"/>
    <w:rsid w:val="00C628AC"/>
    <w:rsid w:val="00C62956"/>
    <w:rsid w:val="00C62BBD"/>
    <w:rsid w:val="00C62CBB"/>
    <w:rsid w:val="00C62D6C"/>
    <w:rsid w:val="00C6302D"/>
    <w:rsid w:val="00C631E8"/>
    <w:rsid w:val="00C63781"/>
    <w:rsid w:val="00C63BD8"/>
    <w:rsid w:val="00C63C8B"/>
    <w:rsid w:val="00C63CDB"/>
    <w:rsid w:val="00C63D51"/>
    <w:rsid w:val="00C63E44"/>
    <w:rsid w:val="00C63F6D"/>
    <w:rsid w:val="00C63FE1"/>
    <w:rsid w:val="00C64013"/>
    <w:rsid w:val="00C64093"/>
    <w:rsid w:val="00C64201"/>
    <w:rsid w:val="00C6424B"/>
    <w:rsid w:val="00C64443"/>
    <w:rsid w:val="00C644EB"/>
    <w:rsid w:val="00C64529"/>
    <w:rsid w:val="00C64578"/>
    <w:rsid w:val="00C6480D"/>
    <w:rsid w:val="00C6490C"/>
    <w:rsid w:val="00C64950"/>
    <w:rsid w:val="00C64997"/>
    <w:rsid w:val="00C64B69"/>
    <w:rsid w:val="00C64D2A"/>
    <w:rsid w:val="00C64F25"/>
    <w:rsid w:val="00C64F7E"/>
    <w:rsid w:val="00C64FA4"/>
    <w:rsid w:val="00C65083"/>
    <w:rsid w:val="00C652D1"/>
    <w:rsid w:val="00C653E3"/>
    <w:rsid w:val="00C6545E"/>
    <w:rsid w:val="00C6566B"/>
    <w:rsid w:val="00C65913"/>
    <w:rsid w:val="00C65D83"/>
    <w:rsid w:val="00C65E43"/>
    <w:rsid w:val="00C65F0D"/>
    <w:rsid w:val="00C66007"/>
    <w:rsid w:val="00C66126"/>
    <w:rsid w:val="00C66240"/>
    <w:rsid w:val="00C66255"/>
    <w:rsid w:val="00C66347"/>
    <w:rsid w:val="00C66377"/>
    <w:rsid w:val="00C668BF"/>
    <w:rsid w:val="00C668D8"/>
    <w:rsid w:val="00C668F9"/>
    <w:rsid w:val="00C66935"/>
    <w:rsid w:val="00C66BD9"/>
    <w:rsid w:val="00C66E79"/>
    <w:rsid w:val="00C67238"/>
    <w:rsid w:val="00C6735A"/>
    <w:rsid w:val="00C674F1"/>
    <w:rsid w:val="00C67727"/>
    <w:rsid w:val="00C677A2"/>
    <w:rsid w:val="00C67959"/>
    <w:rsid w:val="00C67A42"/>
    <w:rsid w:val="00C67A8A"/>
    <w:rsid w:val="00C67BB0"/>
    <w:rsid w:val="00C67F5B"/>
    <w:rsid w:val="00C67FFC"/>
    <w:rsid w:val="00C700B9"/>
    <w:rsid w:val="00C70182"/>
    <w:rsid w:val="00C7022C"/>
    <w:rsid w:val="00C70360"/>
    <w:rsid w:val="00C70393"/>
    <w:rsid w:val="00C703B0"/>
    <w:rsid w:val="00C70524"/>
    <w:rsid w:val="00C7060A"/>
    <w:rsid w:val="00C70837"/>
    <w:rsid w:val="00C709C9"/>
    <w:rsid w:val="00C70A6F"/>
    <w:rsid w:val="00C70CED"/>
    <w:rsid w:val="00C70D45"/>
    <w:rsid w:val="00C70E76"/>
    <w:rsid w:val="00C70E88"/>
    <w:rsid w:val="00C70F33"/>
    <w:rsid w:val="00C712DF"/>
    <w:rsid w:val="00C713C7"/>
    <w:rsid w:val="00C715F3"/>
    <w:rsid w:val="00C718C2"/>
    <w:rsid w:val="00C71A67"/>
    <w:rsid w:val="00C71A92"/>
    <w:rsid w:val="00C71B24"/>
    <w:rsid w:val="00C7214F"/>
    <w:rsid w:val="00C721F3"/>
    <w:rsid w:val="00C72239"/>
    <w:rsid w:val="00C724C2"/>
    <w:rsid w:val="00C726C3"/>
    <w:rsid w:val="00C72772"/>
    <w:rsid w:val="00C728D2"/>
    <w:rsid w:val="00C7296F"/>
    <w:rsid w:val="00C72A05"/>
    <w:rsid w:val="00C72AEB"/>
    <w:rsid w:val="00C72F10"/>
    <w:rsid w:val="00C7308A"/>
    <w:rsid w:val="00C73134"/>
    <w:rsid w:val="00C7319A"/>
    <w:rsid w:val="00C731DB"/>
    <w:rsid w:val="00C73228"/>
    <w:rsid w:val="00C7335E"/>
    <w:rsid w:val="00C733D5"/>
    <w:rsid w:val="00C73419"/>
    <w:rsid w:val="00C7362A"/>
    <w:rsid w:val="00C7374F"/>
    <w:rsid w:val="00C7388E"/>
    <w:rsid w:val="00C738D6"/>
    <w:rsid w:val="00C73951"/>
    <w:rsid w:val="00C73A29"/>
    <w:rsid w:val="00C73A7A"/>
    <w:rsid w:val="00C73A97"/>
    <w:rsid w:val="00C73AE5"/>
    <w:rsid w:val="00C73B30"/>
    <w:rsid w:val="00C73F96"/>
    <w:rsid w:val="00C73FF8"/>
    <w:rsid w:val="00C744CF"/>
    <w:rsid w:val="00C744F4"/>
    <w:rsid w:val="00C746E1"/>
    <w:rsid w:val="00C7473C"/>
    <w:rsid w:val="00C74799"/>
    <w:rsid w:val="00C74A31"/>
    <w:rsid w:val="00C74CC3"/>
    <w:rsid w:val="00C74D41"/>
    <w:rsid w:val="00C7504D"/>
    <w:rsid w:val="00C75137"/>
    <w:rsid w:val="00C75371"/>
    <w:rsid w:val="00C755E9"/>
    <w:rsid w:val="00C75760"/>
    <w:rsid w:val="00C7593D"/>
    <w:rsid w:val="00C75AA4"/>
    <w:rsid w:val="00C75C33"/>
    <w:rsid w:val="00C75C9C"/>
    <w:rsid w:val="00C7629F"/>
    <w:rsid w:val="00C76378"/>
    <w:rsid w:val="00C763D4"/>
    <w:rsid w:val="00C7650E"/>
    <w:rsid w:val="00C76719"/>
    <w:rsid w:val="00C76794"/>
    <w:rsid w:val="00C76B89"/>
    <w:rsid w:val="00C76C26"/>
    <w:rsid w:val="00C76EB0"/>
    <w:rsid w:val="00C771F0"/>
    <w:rsid w:val="00C77225"/>
    <w:rsid w:val="00C773B5"/>
    <w:rsid w:val="00C775B2"/>
    <w:rsid w:val="00C775F3"/>
    <w:rsid w:val="00C778C1"/>
    <w:rsid w:val="00C77939"/>
    <w:rsid w:val="00C779F8"/>
    <w:rsid w:val="00C77A0A"/>
    <w:rsid w:val="00C77B08"/>
    <w:rsid w:val="00C77B9F"/>
    <w:rsid w:val="00C77BD9"/>
    <w:rsid w:val="00C77D47"/>
    <w:rsid w:val="00C80057"/>
    <w:rsid w:val="00C800ED"/>
    <w:rsid w:val="00C8017A"/>
    <w:rsid w:val="00C80217"/>
    <w:rsid w:val="00C803F2"/>
    <w:rsid w:val="00C8054A"/>
    <w:rsid w:val="00C80723"/>
    <w:rsid w:val="00C80AFA"/>
    <w:rsid w:val="00C80C4B"/>
    <w:rsid w:val="00C80C72"/>
    <w:rsid w:val="00C80F30"/>
    <w:rsid w:val="00C80FA9"/>
    <w:rsid w:val="00C8107E"/>
    <w:rsid w:val="00C8127D"/>
    <w:rsid w:val="00C81298"/>
    <w:rsid w:val="00C812FA"/>
    <w:rsid w:val="00C8157C"/>
    <w:rsid w:val="00C81592"/>
    <w:rsid w:val="00C816DD"/>
    <w:rsid w:val="00C81804"/>
    <w:rsid w:val="00C8180F"/>
    <w:rsid w:val="00C8189E"/>
    <w:rsid w:val="00C81A8A"/>
    <w:rsid w:val="00C81AAC"/>
    <w:rsid w:val="00C823CB"/>
    <w:rsid w:val="00C8243E"/>
    <w:rsid w:val="00C824BE"/>
    <w:rsid w:val="00C82865"/>
    <w:rsid w:val="00C8292D"/>
    <w:rsid w:val="00C82AF8"/>
    <w:rsid w:val="00C82C86"/>
    <w:rsid w:val="00C82DCD"/>
    <w:rsid w:val="00C82F23"/>
    <w:rsid w:val="00C82F4C"/>
    <w:rsid w:val="00C830B0"/>
    <w:rsid w:val="00C831C8"/>
    <w:rsid w:val="00C8324A"/>
    <w:rsid w:val="00C83267"/>
    <w:rsid w:val="00C83347"/>
    <w:rsid w:val="00C8375F"/>
    <w:rsid w:val="00C837A9"/>
    <w:rsid w:val="00C8383A"/>
    <w:rsid w:val="00C8390A"/>
    <w:rsid w:val="00C83978"/>
    <w:rsid w:val="00C83A3C"/>
    <w:rsid w:val="00C83BF6"/>
    <w:rsid w:val="00C83F68"/>
    <w:rsid w:val="00C84070"/>
    <w:rsid w:val="00C84171"/>
    <w:rsid w:val="00C843CF"/>
    <w:rsid w:val="00C84461"/>
    <w:rsid w:val="00C84496"/>
    <w:rsid w:val="00C84B5A"/>
    <w:rsid w:val="00C85031"/>
    <w:rsid w:val="00C85201"/>
    <w:rsid w:val="00C85347"/>
    <w:rsid w:val="00C856BB"/>
    <w:rsid w:val="00C856C2"/>
    <w:rsid w:val="00C85903"/>
    <w:rsid w:val="00C85A1C"/>
    <w:rsid w:val="00C85B82"/>
    <w:rsid w:val="00C85D6E"/>
    <w:rsid w:val="00C85D9C"/>
    <w:rsid w:val="00C85F0F"/>
    <w:rsid w:val="00C867E4"/>
    <w:rsid w:val="00C86821"/>
    <w:rsid w:val="00C86944"/>
    <w:rsid w:val="00C86AC7"/>
    <w:rsid w:val="00C86BC7"/>
    <w:rsid w:val="00C86C73"/>
    <w:rsid w:val="00C8703C"/>
    <w:rsid w:val="00C8759C"/>
    <w:rsid w:val="00C87647"/>
    <w:rsid w:val="00C878D5"/>
    <w:rsid w:val="00C87AAC"/>
    <w:rsid w:val="00C87F98"/>
    <w:rsid w:val="00C87FE6"/>
    <w:rsid w:val="00C9033B"/>
    <w:rsid w:val="00C905EF"/>
    <w:rsid w:val="00C90721"/>
    <w:rsid w:val="00C9090D"/>
    <w:rsid w:val="00C90E6B"/>
    <w:rsid w:val="00C90F7F"/>
    <w:rsid w:val="00C90FFB"/>
    <w:rsid w:val="00C913A1"/>
    <w:rsid w:val="00C91446"/>
    <w:rsid w:val="00C9150B"/>
    <w:rsid w:val="00C91587"/>
    <w:rsid w:val="00C916C8"/>
    <w:rsid w:val="00C919F0"/>
    <w:rsid w:val="00C91A22"/>
    <w:rsid w:val="00C91A3C"/>
    <w:rsid w:val="00C91A47"/>
    <w:rsid w:val="00C91E49"/>
    <w:rsid w:val="00C91FDE"/>
    <w:rsid w:val="00C92058"/>
    <w:rsid w:val="00C92530"/>
    <w:rsid w:val="00C9263A"/>
    <w:rsid w:val="00C92710"/>
    <w:rsid w:val="00C927D6"/>
    <w:rsid w:val="00C92A46"/>
    <w:rsid w:val="00C92BDF"/>
    <w:rsid w:val="00C92C0A"/>
    <w:rsid w:val="00C92C85"/>
    <w:rsid w:val="00C92FEF"/>
    <w:rsid w:val="00C93128"/>
    <w:rsid w:val="00C93348"/>
    <w:rsid w:val="00C93460"/>
    <w:rsid w:val="00C936C2"/>
    <w:rsid w:val="00C9373F"/>
    <w:rsid w:val="00C93870"/>
    <w:rsid w:val="00C93ACE"/>
    <w:rsid w:val="00C93B5F"/>
    <w:rsid w:val="00C93DE3"/>
    <w:rsid w:val="00C93E69"/>
    <w:rsid w:val="00C93E83"/>
    <w:rsid w:val="00C94094"/>
    <w:rsid w:val="00C941F9"/>
    <w:rsid w:val="00C94461"/>
    <w:rsid w:val="00C9459D"/>
    <w:rsid w:val="00C94B12"/>
    <w:rsid w:val="00C94BD3"/>
    <w:rsid w:val="00C94CDA"/>
    <w:rsid w:val="00C94D24"/>
    <w:rsid w:val="00C94D2A"/>
    <w:rsid w:val="00C94D37"/>
    <w:rsid w:val="00C94EC1"/>
    <w:rsid w:val="00C950B2"/>
    <w:rsid w:val="00C9549E"/>
    <w:rsid w:val="00C954B6"/>
    <w:rsid w:val="00C95588"/>
    <w:rsid w:val="00C95685"/>
    <w:rsid w:val="00C95C3C"/>
    <w:rsid w:val="00C95D55"/>
    <w:rsid w:val="00C95E5B"/>
    <w:rsid w:val="00C96099"/>
    <w:rsid w:val="00C9633C"/>
    <w:rsid w:val="00C963FC"/>
    <w:rsid w:val="00C966B6"/>
    <w:rsid w:val="00C9682A"/>
    <w:rsid w:val="00C96B04"/>
    <w:rsid w:val="00C96B25"/>
    <w:rsid w:val="00C96BD2"/>
    <w:rsid w:val="00C96C3A"/>
    <w:rsid w:val="00C96D90"/>
    <w:rsid w:val="00C96D99"/>
    <w:rsid w:val="00C96E36"/>
    <w:rsid w:val="00C96E73"/>
    <w:rsid w:val="00C96EC2"/>
    <w:rsid w:val="00C97102"/>
    <w:rsid w:val="00C971DB"/>
    <w:rsid w:val="00C972BF"/>
    <w:rsid w:val="00C97339"/>
    <w:rsid w:val="00C973B8"/>
    <w:rsid w:val="00C97609"/>
    <w:rsid w:val="00C976AE"/>
    <w:rsid w:val="00C976DE"/>
    <w:rsid w:val="00C97EAB"/>
    <w:rsid w:val="00C97ED7"/>
    <w:rsid w:val="00CA00B9"/>
    <w:rsid w:val="00CA04BD"/>
    <w:rsid w:val="00CA05B2"/>
    <w:rsid w:val="00CA05F1"/>
    <w:rsid w:val="00CA0660"/>
    <w:rsid w:val="00CA0D86"/>
    <w:rsid w:val="00CA1017"/>
    <w:rsid w:val="00CA1106"/>
    <w:rsid w:val="00CA13E9"/>
    <w:rsid w:val="00CA14CA"/>
    <w:rsid w:val="00CA1523"/>
    <w:rsid w:val="00CA16C5"/>
    <w:rsid w:val="00CA18B3"/>
    <w:rsid w:val="00CA18CA"/>
    <w:rsid w:val="00CA18EF"/>
    <w:rsid w:val="00CA1925"/>
    <w:rsid w:val="00CA1C22"/>
    <w:rsid w:val="00CA1D04"/>
    <w:rsid w:val="00CA1D1F"/>
    <w:rsid w:val="00CA1F67"/>
    <w:rsid w:val="00CA1F72"/>
    <w:rsid w:val="00CA2020"/>
    <w:rsid w:val="00CA2968"/>
    <w:rsid w:val="00CA2994"/>
    <w:rsid w:val="00CA2B60"/>
    <w:rsid w:val="00CA2CDC"/>
    <w:rsid w:val="00CA2D57"/>
    <w:rsid w:val="00CA2F93"/>
    <w:rsid w:val="00CA3191"/>
    <w:rsid w:val="00CA3BCC"/>
    <w:rsid w:val="00CA3BDC"/>
    <w:rsid w:val="00CA3E5F"/>
    <w:rsid w:val="00CA3EAD"/>
    <w:rsid w:val="00CA40AD"/>
    <w:rsid w:val="00CA40F7"/>
    <w:rsid w:val="00CA4128"/>
    <w:rsid w:val="00CA419C"/>
    <w:rsid w:val="00CA41DA"/>
    <w:rsid w:val="00CA423F"/>
    <w:rsid w:val="00CA428E"/>
    <w:rsid w:val="00CA4412"/>
    <w:rsid w:val="00CA45B9"/>
    <w:rsid w:val="00CA462E"/>
    <w:rsid w:val="00CA4676"/>
    <w:rsid w:val="00CA48F2"/>
    <w:rsid w:val="00CA48FC"/>
    <w:rsid w:val="00CA497F"/>
    <w:rsid w:val="00CA4A01"/>
    <w:rsid w:val="00CA4BBB"/>
    <w:rsid w:val="00CA4CCF"/>
    <w:rsid w:val="00CA4F77"/>
    <w:rsid w:val="00CA5154"/>
    <w:rsid w:val="00CA51E5"/>
    <w:rsid w:val="00CA5337"/>
    <w:rsid w:val="00CA5444"/>
    <w:rsid w:val="00CA55BD"/>
    <w:rsid w:val="00CA5698"/>
    <w:rsid w:val="00CA5BBC"/>
    <w:rsid w:val="00CA5BD0"/>
    <w:rsid w:val="00CA5CBD"/>
    <w:rsid w:val="00CA60C6"/>
    <w:rsid w:val="00CA60FA"/>
    <w:rsid w:val="00CA6161"/>
    <w:rsid w:val="00CA63A4"/>
    <w:rsid w:val="00CA6485"/>
    <w:rsid w:val="00CA6AFD"/>
    <w:rsid w:val="00CA6BFE"/>
    <w:rsid w:val="00CA6C2B"/>
    <w:rsid w:val="00CA6EDE"/>
    <w:rsid w:val="00CA71E4"/>
    <w:rsid w:val="00CA73AA"/>
    <w:rsid w:val="00CA7750"/>
    <w:rsid w:val="00CA77C7"/>
    <w:rsid w:val="00CA785E"/>
    <w:rsid w:val="00CA794E"/>
    <w:rsid w:val="00CA7F1B"/>
    <w:rsid w:val="00CA7F6D"/>
    <w:rsid w:val="00CB0423"/>
    <w:rsid w:val="00CB0A02"/>
    <w:rsid w:val="00CB0B94"/>
    <w:rsid w:val="00CB0DE2"/>
    <w:rsid w:val="00CB0F03"/>
    <w:rsid w:val="00CB10A7"/>
    <w:rsid w:val="00CB112A"/>
    <w:rsid w:val="00CB11CA"/>
    <w:rsid w:val="00CB1549"/>
    <w:rsid w:val="00CB1671"/>
    <w:rsid w:val="00CB17B6"/>
    <w:rsid w:val="00CB191A"/>
    <w:rsid w:val="00CB1961"/>
    <w:rsid w:val="00CB1B87"/>
    <w:rsid w:val="00CB1DE2"/>
    <w:rsid w:val="00CB1E24"/>
    <w:rsid w:val="00CB2014"/>
    <w:rsid w:val="00CB227F"/>
    <w:rsid w:val="00CB22B1"/>
    <w:rsid w:val="00CB2660"/>
    <w:rsid w:val="00CB27C1"/>
    <w:rsid w:val="00CB27FD"/>
    <w:rsid w:val="00CB288C"/>
    <w:rsid w:val="00CB2A07"/>
    <w:rsid w:val="00CB2D48"/>
    <w:rsid w:val="00CB2D99"/>
    <w:rsid w:val="00CB2DC6"/>
    <w:rsid w:val="00CB2DD7"/>
    <w:rsid w:val="00CB30FF"/>
    <w:rsid w:val="00CB35F4"/>
    <w:rsid w:val="00CB38EE"/>
    <w:rsid w:val="00CB392D"/>
    <w:rsid w:val="00CB3CFA"/>
    <w:rsid w:val="00CB3DDD"/>
    <w:rsid w:val="00CB40B3"/>
    <w:rsid w:val="00CB4194"/>
    <w:rsid w:val="00CB438C"/>
    <w:rsid w:val="00CB4622"/>
    <w:rsid w:val="00CB466F"/>
    <w:rsid w:val="00CB498D"/>
    <w:rsid w:val="00CB4AF5"/>
    <w:rsid w:val="00CB4E1C"/>
    <w:rsid w:val="00CB5034"/>
    <w:rsid w:val="00CB50A2"/>
    <w:rsid w:val="00CB50AC"/>
    <w:rsid w:val="00CB51B0"/>
    <w:rsid w:val="00CB532B"/>
    <w:rsid w:val="00CB5445"/>
    <w:rsid w:val="00CB5756"/>
    <w:rsid w:val="00CB5940"/>
    <w:rsid w:val="00CB5A0A"/>
    <w:rsid w:val="00CB5EA8"/>
    <w:rsid w:val="00CB5EC3"/>
    <w:rsid w:val="00CB5F14"/>
    <w:rsid w:val="00CB5F19"/>
    <w:rsid w:val="00CB5F97"/>
    <w:rsid w:val="00CB5FE9"/>
    <w:rsid w:val="00CB6059"/>
    <w:rsid w:val="00CB62BF"/>
    <w:rsid w:val="00CB64BB"/>
    <w:rsid w:val="00CB64EE"/>
    <w:rsid w:val="00CB66C2"/>
    <w:rsid w:val="00CB68EC"/>
    <w:rsid w:val="00CB6A4D"/>
    <w:rsid w:val="00CB6AD5"/>
    <w:rsid w:val="00CB6B64"/>
    <w:rsid w:val="00CB6CC5"/>
    <w:rsid w:val="00CB6DE2"/>
    <w:rsid w:val="00CB7089"/>
    <w:rsid w:val="00CB7479"/>
    <w:rsid w:val="00CB764C"/>
    <w:rsid w:val="00CB784C"/>
    <w:rsid w:val="00CB785B"/>
    <w:rsid w:val="00CB785E"/>
    <w:rsid w:val="00CB788D"/>
    <w:rsid w:val="00CB78F6"/>
    <w:rsid w:val="00CB798D"/>
    <w:rsid w:val="00CB7AFB"/>
    <w:rsid w:val="00CB7B1E"/>
    <w:rsid w:val="00CB7BEB"/>
    <w:rsid w:val="00CB7C10"/>
    <w:rsid w:val="00CB7CC1"/>
    <w:rsid w:val="00CB7D9A"/>
    <w:rsid w:val="00CB7DBB"/>
    <w:rsid w:val="00CB7EF4"/>
    <w:rsid w:val="00CB7F65"/>
    <w:rsid w:val="00CC0225"/>
    <w:rsid w:val="00CC03F9"/>
    <w:rsid w:val="00CC04E0"/>
    <w:rsid w:val="00CC0544"/>
    <w:rsid w:val="00CC055A"/>
    <w:rsid w:val="00CC07DE"/>
    <w:rsid w:val="00CC0852"/>
    <w:rsid w:val="00CC089A"/>
    <w:rsid w:val="00CC0ACE"/>
    <w:rsid w:val="00CC0EC5"/>
    <w:rsid w:val="00CC111C"/>
    <w:rsid w:val="00CC114B"/>
    <w:rsid w:val="00CC1323"/>
    <w:rsid w:val="00CC1378"/>
    <w:rsid w:val="00CC1429"/>
    <w:rsid w:val="00CC1448"/>
    <w:rsid w:val="00CC1461"/>
    <w:rsid w:val="00CC1570"/>
    <w:rsid w:val="00CC1586"/>
    <w:rsid w:val="00CC15A5"/>
    <w:rsid w:val="00CC1967"/>
    <w:rsid w:val="00CC1A58"/>
    <w:rsid w:val="00CC1EBB"/>
    <w:rsid w:val="00CC2176"/>
    <w:rsid w:val="00CC23E2"/>
    <w:rsid w:val="00CC2473"/>
    <w:rsid w:val="00CC2662"/>
    <w:rsid w:val="00CC26B7"/>
    <w:rsid w:val="00CC27C0"/>
    <w:rsid w:val="00CC28B6"/>
    <w:rsid w:val="00CC2A52"/>
    <w:rsid w:val="00CC320A"/>
    <w:rsid w:val="00CC3345"/>
    <w:rsid w:val="00CC337F"/>
    <w:rsid w:val="00CC344C"/>
    <w:rsid w:val="00CC3684"/>
    <w:rsid w:val="00CC37DA"/>
    <w:rsid w:val="00CC3A20"/>
    <w:rsid w:val="00CC3AE4"/>
    <w:rsid w:val="00CC40BB"/>
    <w:rsid w:val="00CC4108"/>
    <w:rsid w:val="00CC41E5"/>
    <w:rsid w:val="00CC4528"/>
    <w:rsid w:val="00CC45CB"/>
    <w:rsid w:val="00CC466B"/>
    <w:rsid w:val="00CC47E4"/>
    <w:rsid w:val="00CC4980"/>
    <w:rsid w:val="00CC4E96"/>
    <w:rsid w:val="00CC531F"/>
    <w:rsid w:val="00CC53A5"/>
    <w:rsid w:val="00CC549A"/>
    <w:rsid w:val="00CC5689"/>
    <w:rsid w:val="00CC56F5"/>
    <w:rsid w:val="00CC5746"/>
    <w:rsid w:val="00CC59A7"/>
    <w:rsid w:val="00CC59B4"/>
    <w:rsid w:val="00CC5A3A"/>
    <w:rsid w:val="00CC5B74"/>
    <w:rsid w:val="00CC5D5D"/>
    <w:rsid w:val="00CC5F91"/>
    <w:rsid w:val="00CC6013"/>
    <w:rsid w:val="00CC61A5"/>
    <w:rsid w:val="00CC62E1"/>
    <w:rsid w:val="00CC634B"/>
    <w:rsid w:val="00CC647A"/>
    <w:rsid w:val="00CC652E"/>
    <w:rsid w:val="00CC6843"/>
    <w:rsid w:val="00CC68D4"/>
    <w:rsid w:val="00CC6A99"/>
    <w:rsid w:val="00CC6C4A"/>
    <w:rsid w:val="00CC6CCB"/>
    <w:rsid w:val="00CC7201"/>
    <w:rsid w:val="00CC7229"/>
    <w:rsid w:val="00CC72F8"/>
    <w:rsid w:val="00CC7386"/>
    <w:rsid w:val="00CC7540"/>
    <w:rsid w:val="00CC7603"/>
    <w:rsid w:val="00CC76E0"/>
    <w:rsid w:val="00CC7864"/>
    <w:rsid w:val="00CC7956"/>
    <w:rsid w:val="00CC7964"/>
    <w:rsid w:val="00CC796D"/>
    <w:rsid w:val="00CC7990"/>
    <w:rsid w:val="00CC7C34"/>
    <w:rsid w:val="00CC7D12"/>
    <w:rsid w:val="00CC7F69"/>
    <w:rsid w:val="00CD0096"/>
    <w:rsid w:val="00CD00EF"/>
    <w:rsid w:val="00CD0177"/>
    <w:rsid w:val="00CD050B"/>
    <w:rsid w:val="00CD0535"/>
    <w:rsid w:val="00CD093C"/>
    <w:rsid w:val="00CD0B04"/>
    <w:rsid w:val="00CD0BFD"/>
    <w:rsid w:val="00CD0D1D"/>
    <w:rsid w:val="00CD10A1"/>
    <w:rsid w:val="00CD1135"/>
    <w:rsid w:val="00CD12B4"/>
    <w:rsid w:val="00CD13B8"/>
    <w:rsid w:val="00CD14A5"/>
    <w:rsid w:val="00CD1578"/>
    <w:rsid w:val="00CD15E8"/>
    <w:rsid w:val="00CD165B"/>
    <w:rsid w:val="00CD185B"/>
    <w:rsid w:val="00CD19E0"/>
    <w:rsid w:val="00CD1CA7"/>
    <w:rsid w:val="00CD1FC3"/>
    <w:rsid w:val="00CD2009"/>
    <w:rsid w:val="00CD2025"/>
    <w:rsid w:val="00CD204B"/>
    <w:rsid w:val="00CD21F1"/>
    <w:rsid w:val="00CD2482"/>
    <w:rsid w:val="00CD24E6"/>
    <w:rsid w:val="00CD2629"/>
    <w:rsid w:val="00CD279E"/>
    <w:rsid w:val="00CD2830"/>
    <w:rsid w:val="00CD2907"/>
    <w:rsid w:val="00CD2A1F"/>
    <w:rsid w:val="00CD2D2D"/>
    <w:rsid w:val="00CD3168"/>
    <w:rsid w:val="00CD345E"/>
    <w:rsid w:val="00CD348C"/>
    <w:rsid w:val="00CD35CE"/>
    <w:rsid w:val="00CD3621"/>
    <w:rsid w:val="00CD36D3"/>
    <w:rsid w:val="00CD36E2"/>
    <w:rsid w:val="00CD381E"/>
    <w:rsid w:val="00CD3C0E"/>
    <w:rsid w:val="00CD3E69"/>
    <w:rsid w:val="00CD3FE2"/>
    <w:rsid w:val="00CD401A"/>
    <w:rsid w:val="00CD41E9"/>
    <w:rsid w:val="00CD4302"/>
    <w:rsid w:val="00CD4412"/>
    <w:rsid w:val="00CD44C0"/>
    <w:rsid w:val="00CD456F"/>
    <w:rsid w:val="00CD46E3"/>
    <w:rsid w:val="00CD47C7"/>
    <w:rsid w:val="00CD4947"/>
    <w:rsid w:val="00CD49DC"/>
    <w:rsid w:val="00CD4AFD"/>
    <w:rsid w:val="00CD4B63"/>
    <w:rsid w:val="00CD4BC6"/>
    <w:rsid w:val="00CD4DE6"/>
    <w:rsid w:val="00CD5076"/>
    <w:rsid w:val="00CD537C"/>
    <w:rsid w:val="00CD5837"/>
    <w:rsid w:val="00CD5970"/>
    <w:rsid w:val="00CD5A7F"/>
    <w:rsid w:val="00CD5AA4"/>
    <w:rsid w:val="00CD5C17"/>
    <w:rsid w:val="00CD5CDF"/>
    <w:rsid w:val="00CD5D91"/>
    <w:rsid w:val="00CD61ED"/>
    <w:rsid w:val="00CD6312"/>
    <w:rsid w:val="00CD6424"/>
    <w:rsid w:val="00CD645A"/>
    <w:rsid w:val="00CD64FB"/>
    <w:rsid w:val="00CD66C5"/>
    <w:rsid w:val="00CD67EB"/>
    <w:rsid w:val="00CD69EC"/>
    <w:rsid w:val="00CD6B3B"/>
    <w:rsid w:val="00CD6D51"/>
    <w:rsid w:val="00CD6FC8"/>
    <w:rsid w:val="00CD700B"/>
    <w:rsid w:val="00CD7182"/>
    <w:rsid w:val="00CD73AE"/>
    <w:rsid w:val="00CD73B5"/>
    <w:rsid w:val="00CD749A"/>
    <w:rsid w:val="00CD7B7E"/>
    <w:rsid w:val="00CD7C55"/>
    <w:rsid w:val="00CD7F6D"/>
    <w:rsid w:val="00CD7FDE"/>
    <w:rsid w:val="00CE0027"/>
    <w:rsid w:val="00CE01C3"/>
    <w:rsid w:val="00CE0375"/>
    <w:rsid w:val="00CE0394"/>
    <w:rsid w:val="00CE057E"/>
    <w:rsid w:val="00CE06CD"/>
    <w:rsid w:val="00CE0750"/>
    <w:rsid w:val="00CE09E9"/>
    <w:rsid w:val="00CE0ADE"/>
    <w:rsid w:val="00CE0C68"/>
    <w:rsid w:val="00CE0D3F"/>
    <w:rsid w:val="00CE0D5A"/>
    <w:rsid w:val="00CE0D61"/>
    <w:rsid w:val="00CE0DEB"/>
    <w:rsid w:val="00CE0E26"/>
    <w:rsid w:val="00CE0FC7"/>
    <w:rsid w:val="00CE11AE"/>
    <w:rsid w:val="00CE13E9"/>
    <w:rsid w:val="00CE1559"/>
    <w:rsid w:val="00CE164D"/>
    <w:rsid w:val="00CE1678"/>
    <w:rsid w:val="00CE168F"/>
    <w:rsid w:val="00CE1B2C"/>
    <w:rsid w:val="00CE1BFF"/>
    <w:rsid w:val="00CE1C8D"/>
    <w:rsid w:val="00CE1E28"/>
    <w:rsid w:val="00CE1FCA"/>
    <w:rsid w:val="00CE20A5"/>
    <w:rsid w:val="00CE20B0"/>
    <w:rsid w:val="00CE2134"/>
    <w:rsid w:val="00CE213A"/>
    <w:rsid w:val="00CE230B"/>
    <w:rsid w:val="00CE254A"/>
    <w:rsid w:val="00CE2830"/>
    <w:rsid w:val="00CE2A5D"/>
    <w:rsid w:val="00CE2EC8"/>
    <w:rsid w:val="00CE3090"/>
    <w:rsid w:val="00CE30AD"/>
    <w:rsid w:val="00CE3214"/>
    <w:rsid w:val="00CE3344"/>
    <w:rsid w:val="00CE33A8"/>
    <w:rsid w:val="00CE34CA"/>
    <w:rsid w:val="00CE3617"/>
    <w:rsid w:val="00CE3725"/>
    <w:rsid w:val="00CE37C2"/>
    <w:rsid w:val="00CE38E3"/>
    <w:rsid w:val="00CE396F"/>
    <w:rsid w:val="00CE3C24"/>
    <w:rsid w:val="00CE3CE3"/>
    <w:rsid w:val="00CE3DC1"/>
    <w:rsid w:val="00CE3F02"/>
    <w:rsid w:val="00CE3FEB"/>
    <w:rsid w:val="00CE4180"/>
    <w:rsid w:val="00CE4333"/>
    <w:rsid w:val="00CE4347"/>
    <w:rsid w:val="00CE43A5"/>
    <w:rsid w:val="00CE4505"/>
    <w:rsid w:val="00CE4784"/>
    <w:rsid w:val="00CE493E"/>
    <w:rsid w:val="00CE4B0F"/>
    <w:rsid w:val="00CE4BD3"/>
    <w:rsid w:val="00CE4C66"/>
    <w:rsid w:val="00CE4DAA"/>
    <w:rsid w:val="00CE4FFE"/>
    <w:rsid w:val="00CE54B8"/>
    <w:rsid w:val="00CE56AB"/>
    <w:rsid w:val="00CE57C4"/>
    <w:rsid w:val="00CE58E0"/>
    <w:rsid w:val="00CE5BEE"/>
    <w:rsid w:val="00CE5BEF"/>
    <w:rsid w:val="00CE5C69"/>
    <w:rsid w:val="00CE5D59"/>
    <w:rsid w:val="00CE5F82"/>
    <w:rsid w:val="00CE5FF4"/>
    <w:rsid w:val="00CE602E"/>
    <w:rsid w:val="00CE6100"/>
    <w:rsid w:val="00CE6417"/>
    <w:rsid w:val="00CE65D6"/>
    <w:rsid w:val="00CE65E3"/>
    <w:rsid w:val="00CE666B"/>
    <w:rsid w:val="00CE68E2"/>
    <w:rsid w:val="00CE6970"/>
    <w:rsid w:val="00CE6A0D"/>
    <w:rsid w:val="00CE7054"/>
    <w:rsid w:val="00CE7380"/>
    <w:rsid w:val="00CE74FB"/>
    <w:rsid w:val="00CE754C"/>
    <w:rsid w:val="00CE785C"/>
    <w:rsid w:val="00CE78DD"/>
    <w:rsid w:val="00CE78FC"/>
    <w:rsid w:val="00CE79C3"/>
    <w:rsid w:val="00CE7A22"/>
    <w:rsid w:val="00CE7A42"/>
    <w:rsid w:val="00CE7B83"/>
    <w:rsid w:val="00CE7C04"/>
    <w:rsid w:val="00CE7D00"/>
    <w:rsid w:val="00CE7D2F"/>
    <w:rsid w:val="00CE7E40"/>
    <w:rsid w:val="00CE7EDC"/>
    <w:rsid w:val="00CF0063"/>
    <w:rsid w:val="00CF0234"/>
    <w:rsid w:val="00CF02D2"/>
    <w:rsid w:val="00CF031E"/>
    <w:rsid w:val="00CF0986"/>
    <w:rsid w:val="00CF0AEC"/>
    <w:rsid w:val="00CF0BD7"/>
    <w:rsid w:val="00CF0D41"/>
    <w:rsid w:val="00CF0E90"/>
    <w:rsid w:val="00CF0F4A"/>
    <w:rsid w:val="00CF1025"/>
    <w:rsid w:val="00CF120A"/>
    <w:rsid w:val="00CF1476"/>
    <w:rsid w:val="00CF1601"/>
    <w:rsid w:val="00CF172E"/>
    <w:rsid w:val="00CF17A4"/>
    <w:rsid w:val="00CF1C9A"/>
    <w:rsid w:val="00CF1CA2"/>
    <w:rsid w:val="00CF1DE2"/>
    <w:rsid w:val="00CF1E33"/>
    <w:rsid w:val="00CF1E56"/>
    <w:rsid w:val="00CF20CF"/>
    <w:rsid w:val="00CF2323"/>
    <w:rsid w:val="00CF2410"/>
    <w:rsid w:val="00CF24AE"/>
    <w:rsid w:val="00CF24C2"/>
    <w:rsid w:val="00CF253B"/>
    <w:rsid w:val="00CF25C9"/>
    <w:rsid w:val="00CF2664"/>
    <w:rsid w:val="00CF266F"/>
    <w:rsid w:val="00CF28B9"/>
    <w:rsid w:val="00CF2A7C"/>
    <w:rsid w:val="00CF2C2C"/>
    <w:rsid w:val="00CF2DD5"/>
    <w:rsid w:val="00CF2F9F"/>
    <w:rsid w:val="00CF303D"/>
    <w:rsid w:val="00CF305D"/>
    <w:rsid w:val="00CF306C"/>
    <w:rsid w:val="00CF31CC"/>
    <w:rsid w:val="00CF3242"/>
    <w:rsid w:val="00CF3723"/>
    <w:rsid w:val="00CF379E"/>
    <w:rsid w:val="00CF37EA"/>
    <w:rsid w:val="00CF387B"/>
    <w:rsid w:val="00CF3908"/>
    <w:rsid w:val="00CF3A9F"/>
    <w:rsid w:val="00CF3C25"/>
    <w:rsid w:val="00CF3D46"/>
    <w:rsid w:val="00CF3E1E"/>
    <w:rsid w:val="00CF3E89"/>
    <w:rsid w:val="00CF409E"/>
    <w:rsid w:val="00CF4512"/>
    <w:rsid w:val="00CF45A0"/>
    <w:rsid w:val="00CF46B7"/>
    <w:rsid w:val="00CF4704"/>
    <w:rsid w:val="00CF47AE"/>
    <w:rsid w:val="00CF47E3"/>
    <w:rsid w:val="00CF4A3D"/>
    <w:rsid w:val="00CF4B19"/>
    <w:rsid w:val="00CF4F20"/>
    <w:rsid w:val="00CF500C"/>
    <w:rsid w:val="00CF521C"/>
    <w:rsid w:val="00CF531E"/>
    <w:rsid w:val="00CF53BA"/>
    <w:rsid w:val="00CF55A6"/>
    <w:rsid w:val="00CF55F7"/>
    <w:rsid w:val="00CF5623"/>
    <w:rsid w:val="00CF5A85"/>
    <w:rsid w:val="00CF5FE9"/>
    <w:rsid w:val="00CF6010"/>
    <w:rsid w:val="00CF6338"/>
    <w:rsid w:val="00CF64BB"/>
    <w:rsid w:val="00CF64EA"/>
    <w:rsid w:val="00CF6C72"/>
    <w:rsid w:val="00CF6DDD"/>
    <w:rsid w:val="00CF7204"/>
    <w:rsid w:val="00CF733E"/>
    <w:rsid w:val="00CF73BD"/>
    <w:rsid w:val="00CF73EC"/>
    <w:rsid w:val="00CF77B1"/>
    <w:rsid w:val="00CF7A93"/>
    <w:rsid w:val="00CF7AAF"/>
    <w:rsid w:val="00CF7CF5"/>
    <w:rsid w:val="00CF7EE9"/>
    <w:rsid w:val="00CF7F52"/>
    <w:rsid w:val="00CF7FA8"/>
    <w:rsid w:val="00D00193"/>
    <w:rsid w:val="00D00304"/>
    <w:rsid w:val="00D0037A"/>
    <w:rsid w:val="00D00470"/>
    <w:rsid w:val="00D00694"/>
    <w:rsid w:val="00D00AA3"/>
    <w:rsid w:val="00D00DC8"/>
    <w:rsid w:val="00D00EB1"/>
    <w:rsid w:val="00D00F84"/>
    <w:rsid w:val="00D01065"/>
    <w:rsid w:val="00D014E9"/>
    <w:rsid w:val="00D015C2"/>
    <w:rsid w:val="00D01ADF"/>
    <w:rsid w:val="00D01BBC"/>
    <w:rsid w:val="00D020D0"/>
    <w:rsid w:val="00D021C0"/>
    <w:rsid w:val="00D02231"/>
    <w:rsid w:val="00D0247C"/>
    <w:rsid w:val="00D02496"/>
    <w:rsid w:val="00D02503"/>
    <w:rsid w:val="00D0263E"/>
    <w:rsid w:val="00D02875"/>
    <w:rsid w:val="00D028CE"/>
    <w:rsid w:val="00D034AE"/>
    <w:rsid w:val="00D0357A"/>
    <w:rsid w:val="00D03758"/>
    <w:rsid w:val="00D037AB"/>
    <w:rsid w:val="00D0395B"/>
    <w:rsid w:val="00D039D8"/>
    <w:rsid w:val="00D03BAA"/>
    <w:rsid w:val="00D03D84"/>
    <w:rsid w:val="00D03EEE"/>
    <w:rsid w:val="00D03F3E"/>
    <w:rsid w:val="00D0428F"/>
    <w:rsid w:val="00D044C4"/>
    <w:rsid w:val="00D044F6"/>
    <w:rsid w:val="00D04565"/>
    <w:rsid w:val="00D04771"/>
    <w:rsid w:val="00D047E4"/>
    <w:rsid w:val="00D04810"/>
    <w:rsid w:val="00D049A7"/>
    <w:rsid w:val="00D04A6C"/>
    <w:rsid w:val="00D04C2C"/>
    <w:rsid w:val="00D04EAB"/>
    <w:rsid w:val="00D04EB9"/>
    <w:rsid w:val="00D04F45"/>
    <w:rsid w:val="00D0501B"/>
    <w:rsid w:val="00D0504E"/>
    <w:rsid w:val="00D050A3"/>
    <w:rsid w:val="00D050CF"/>
    <w:rsid w:val="00D052EF"/>
    <w:rsid w:val="00D05325"/>
    <w:rsid w:val="00D054CA"/>
    <w:rsid w:val="00D0552C"/>
    <w:rsid w:val="00D05AAF"/>
    <w:rsid w:val="00D05B52"/>
    <w:rsid w:val="00D05CA2"/>
    <w:rsid w:val="00D05DF0"/>
    <w:rsid w:val="00D062B9"/>
    <w:rsid w:val="00D062F8"/>
    <w:rsid w:val="00D0650B"/>
    <w:rsid w:val="00D06550"/>
    <w:rsid w:val="00D06691"/>
    <w:rsid w:val="00D068D4"/>
    <w:rsid w:val="00D06B64"/>
    <w:rsid w:val="00D06B65"/>
    <w:rsid w:val="00D06BB5"/>
    <w:rsid w:val="00D06C30"/>
    <w:rsid w:val="00D06E3C"/>
    <w:rsid w:val="00D06E61"/>
    <w:rsid w:val="00D06EFD"/>
    <w:rsid w:val="00D06F01"/>
    <w:rsid w:val="00D0706C"/>
    <w:rsid w:val="00D0707D"/>
    <w:rsid w:val="00D07105"/>
    <w:rsid w:val="00D0727A"/>
    <w:rsid w:val="00D0737A"/>
    <w:rsid w:val="00D0752E"/>
    <w:rsid w:val="00D07589"/>
    <w:rsid w:val="00D075C4"/>
    <w:rsid w:val="00D078C4"/>
    <w:rsid w:val="00D07924"/>
    <w:rsid w:val="00D07C82"/>
    <w:rsid w:val="00D07CD5"/>
    <w:rsid w:val="00D07D60"/>
    <w:rsid w:val="00D07F41"/>
    <w:rsid w:val="00D07F73"/>
    <w:rsid w:val="00D1023F"/>
    <w:rsid w:val="00D10252"/>
    <w:rsid w:val="00D1031C"/>
    <w:rsid w:val="00D10D0E"/>
    <w:rsid w:val="00D10DE5"/>
    <w:rsid w:val="00D10E02"/>
    <w:rsid w:val="00D11037"/>
    <w:rsid w:val="00D11114"/>
    <w:rsid w:val="00D11145"/>
    <w:rsid w:val="00D11246"/>
    <w:rsid w:val="00D11302"/>
    <w:rsid w:val="00D1135C"/>
    <w:rsid w:val="00D11405"/>
    <w:rsid w:val="00D11594"/>
    <w:rsid w:val="00D119D7"/>
    <w:rsid w:val="00D11B43"/>
    <w:rsid w:val="00D11EE7"/>
    <w:rsid w:val="00D121A7"/>
    <w:rsid w:val="00D122B5"/>
    <w:rsid w:val="00D1290F"/>
    <w:rsid w:val="00D12AF4"/>
    <w:rsid w:val="00D12C55"/>
    <w:rsid w:val="00D12D19"/>
    <w:rsid w:val="00D12DF4"/>
    <w:rsid w:val="00D13159"/>
    <w:rsid w:val="00D137DA"/>
    <w:rsid w:val="00D137EC"/>
    <w:rsid w:val="00D137FD"/>
    <w:rsid w:val="00D137FF"/>
    <w:rsid w:val="00D13868"/>
    <w:rsid w:val="00D13918"/>
    <w:rsid w:val="00D13BD8"/>
    <w:rsid w:val="00D13BD9"/>
    <w:rsid w:val="00D13E2C"/>
    <w:rsid w:val="00D1409F"/>
    <w:rsid w:val="00D140A2"/>
    <w:rsid w:val="00D141BF"/>
    <w:rsid w:val="00D14303"/>
    <w:rsid w:val="00D14458"/>
    <w:rsid w:val="00D144C4"/>
    <w:rsid w:val="00D14617"/>
    <w:rsid w:val="00D14622"/>
    <w:rsid w:val="00D1480F"/>
    <w:rsid w:val="00D1482F"/>
    <w:rsid w:val="00D14844"/>
    <w:rsid w:val="00D14906"/>
    <w:rsid w:val="00D14A57"/>
    <w:rsid w:val="00D14B90"/>
    <w:rsid w:val="00D14CAA"/>
    <w:rsid w:val="00D14D63"/>
    <w:rsid w:val="00D14DC6"/>
    <w:rsid w:val="00D14DFA"/>
    <w:rsid w:val="00D14F07"/>
    <w:rsid w:val="00D14F69"/>
    <w:rsid w:val="00D150F0"/>
    <w:rsid w:val="00D15148"/>
    <w:rsid w:val="00D153EB"/>
    <w:rsid w:val="00D157C1"/>
    <w:rsid w:val="00D15AC4"/>
    <w:rsid w:val="00D15C14"/>
    <w:rsid w:val="00D15CC7"/>
    <w:rsid w:val="00D15D99"/>
    <w:rsid w:val="00D1609F"/>
    <w:rsid w:val="00D162E2"/>
    <w:rsid w:val="00D164A0"/>
    <w:rsid w:val="00D165CF"/>
    <w:rsid w:val="00D1697A"/>
    <w:rsid w:val="00D1699A"/>
    <w:rsid w:val="00D16A71"/>
    <w:rsid w:val="00D16AD3"/>
    <w:rsid w:val="00D16D54"/>
    <w:rsid w:val="00D16DD2"/>
    <w:rsid w:val="00D16E33"/>
    <w:rsid w:val="00D16EEB"/>
    <w:rsid w:val="00D1700B"/>
    <w:rsid w:val="00D170C2"/>
    <w:rsid w:val="00D1713F"/>
    <w:rsid w:val="00D172AE"/>
    <w:rsid w:val="00D173F0"/>
    <w:rsid w:val="00D174A0"/>
    <w:rsid w:val="00D174CE"/>
    <w:rsid w:val="00D176E6"/>
    <w:rsid w:val="00D177A4"/>
    <w:rsid w:val="00D17B67"/>
    <w:rsid w:val="00D17EAA"/>
    <w:rsid w:val="00D200C8"/>
    <w:rsid w:val="00D2020F"/>
    <w:rsid w:val="00D2024E"/>
    <w:rsid w:val="00D203D2"/>
    <w:rsid w:val="00D2040A"/>
    <w:rsid w:val="00D2041C"/>
    <w:rsid w:val="00D2077B"/>
    <w:rsid w:val="00D20A4B"/>
    <w:rsid w:val="00D20AD6"/>
    <w:rsid w:val="00D20B9D"/>
    <w:rsid w:val="00D20CDF"/>
    <w:rsid w:val="00D20D33"/>
    <w:rsid w:val="00D20F7C"/>
    <w:rsid w:val="00D21103"/>
    <w:rsid w:val="00D21136"/>
    <w:rsid w:val="00D21151"/>
    <w:rsid w:val="00D211A0"/>
    <w:rsid w:val="00D213F0"/>
    <w:rsid w:val="00D21428"/>
    <w:rsid w:val="00D21471"/>
    <w:rsid w:val="00D2157E"/>
    <w:rsid w:val="00D2192D"/>
    <w:rsid w:val="00D21A8E"/>
    <w:rsid w:val="00D21A94"/>
    <w:rsid w:val="00D21D29"/>
    <w:rsid w:val="00D21EA7"/>
    <w:rsid w:val="00D22334"/>
    <w:rsid w:val="00D2243C"/>
    <w:rsid w:val="00D2280E"/>
    <w:rsid w:val="00D2281C"/>
    <w:rsid w:val="00D2282C"/>
    <w:rsid w:val="00D22C73"/>
    <w:rsid w:val="00D22D4F"/>
    <w:rsid w:val="00D22E0D"/>
    <w:rsid w:val="00D22F98"/>
    <w:rsid w:val="00D22FE2"/>
    <w:rsid w:val="00D23159"/>
    <w:rsid w:val="00D2320C"/>
    <w:rsid w:val="00D23398"/>
    <w:rsid w:val="00D23400"/>
    <w:rsid w:val="00D23552"/>
    <w:rsid w:val="00D23A3B"/>
    <w:rsid w:val="00D23AF8"/>
    <w:rsid w:val="00D23C07"/>
    <w:rsid w:val="00D23DC8"/>
    <w:rsid w:val="00D23E66"/>
    <w:rsid w:val="00D23FE4"/>
    <w:rsid w:val="00D24225"/>
    <w:rsid w:val="00D242ED"/>
    <w:rsid w:val="00D24425"/>
    <w:rsid w:val="00D2445F"/>
    <w:rsid w:val="00D247A2"/>
    <w:rsid w:val="00D24B60"/>
    <w:rsid w:val="00D24CAD"/>
    <w:rsid w:val="00D24FF5"/>
    <w:rsid w:val="00D250DC"/>
    <w:rsid w:val="00D25232"/>
    <w:rsid w:val="00D25379"/>
    <w:rsid w:val="00D253B0"/>
    <w:rsid w:val="00D25413"/>
    <w:rsid w:val="00D25424"/>
    <w:rsid w:val="00D25639"/>
    <w:rsid w:val="00D258D1"/>
    <w:rsid w:val="00D25ADE"/>
    <w:rsid w:val="00D25CA6"/>
    <w:rsid w:val="00D25E62"/>
    <w:rsid w:val="00D25F82"/>
    <w:rsid w:val="00D25FE3"/>
    <w:rsid w:val="00D26050"/>
    <w:rsid w:val="00D26062"/>
    <w:rsid w:val="00D262C5"/>
    <w:rsid w:val="00D26312"/>
    <w:rsid w:val="00D2686F"/>
    <w:rsid w:val="00D26946"/>
    <w:rsid w:val="00D269B6"/>
    <w:rsid w:val="00D26A2A"/>
    <w:rsid w:val="00D26E9C"/>
    <w:rsid w:val="00D26EB7"/>
    <w:rsid w:val="00D270F7"/>
    <w:rsid w:val="00D27148"/>
    <w:rsid w:val="00D271DC"/>
    <w:rsid w:val="00D272CF"/>
    <w:rsid w:val="00D272FA"/>
    <w:rsid w:val="00D2735E"/>
    <w:rsid w:val="00D27443"/>
    <w:rsid w:val="00D274EE"/>
    <w:rsid w:val="00D27784"/>
    <w:rsid w:val="00D2784A"/>
    <w:rsid w:val="00D27979"/>
    <w:rsid w:val="00D279D0"/>
    <w:rsid w:val="00D27B48"/>
    <w:rsid w:val="00D27EAD"/>
    <w:rsid w:val="00D303AD"/>
    <w:rsid w:val="00D30757"/>
    <w:rsid w:val="00D3076D"/>
    <w:rsid w:val="00D308D0"/>
    <w:rsid w:val="00D308E1"/>
    <w:rsid w:val="00D309ED"/>
    <w:rsid w:val="00D30BA7"/>
    <w:rsid w:val="00D30CBA"/>
    <w:rsid w:val="00D30D11"/>
    <w:rsid w:val="00D310D9"/>
    <w:rsid w:val="00D3134F"/>
    <w:rsid w:val="00D31526"/>
    <w:rsid w:val="00D3164E"/>
    <w:rsid w:val="00D316CC"/>
    <w:rsid w:val="00D31706"/>
    <w:rsid w:val="00D317F6"/>
    <w:rsid w:val="00D31A0C"/>
    <w:rsid w:val="00D31A87"/>
    <w:rsid w:val="00D31AAC"/>
    <w:rsid w:val="00D31C32"/>
    <w:rsid w:val="00D31C44"/>
    <w:rsid w:val="00D31EF2"/>
    <w:rsid w:val="00D31F42"/>
    <w:rsid w:val="00D3201E"/>
    <w:rsid w:val="00D32136"/>
    <w:rsid w:val="00D32157"/>
    <w:rsid w:val="00D32341"/>
    <w:rsid w:val="00D32442"/>
    <w:rsid w:val="00D32635"/>
    <w:rsid w:val="00D32954"/>
    <w:rsid w:val="00D329A0"/>
    <w:rsid w:val="00D32B97"/>
    <w:rsid w:val="00D32BAB"/>
    <w:rsid w:val="00D32D6C"/>
    <w:rsid w:val="00D32DD1"/>
    <w:rsid w:val="00D32F82"/>
    <w:rsid w:val="00D32FAE"/>
    <w:rsid w:val="00D33042"/>
    <w:rsid w:val="00D33057"/>
    <w:rsid w:val="00D33261"/>
    <w:rsid w:val="00D3331B"/>
    <w:rsid w:val="00D334FA"/>
    <w:rsid w:val="00D335FC"/>
    <w:rsid w:val="00D33841"/>
    <w:rsid w:val="00D338D1"/>
    <w:rsid w:val="00D3397B"/>
    <w:rsid w:val="00D33ABD"/>
    <w:rsid w:val="00D33C97"/>
    <w:rsid w:val="00D33DAC"/>
    <w:rsid w:val="00D33DAF"/>
    <w:rsid w:val="00D33DD5"/>
    <w:rsid w:val="00D33E49"/>
    <w:rsid w:val="00D33EE1"/>
    <w:rsid w:val="00D33F14"/>
    <w:rsid w:val="00D33FC6"/>
    <w:rsid w:val="00D3401C"/>
    <w:rsid w:val="00D340C1"/>
    <w:rsid w:val="00D34193"/>
    <w:rsid w:val="00D342E0"/>
    <w:rsid w:val="00D344B4"/>
    <w:rsid w:val="00D346B5"/>
    <w:rsid w:val="00D34777"/>
    <w:rsid w:val="00D34816"/>
    <w:rsid w:val="00D34EC1"/>
    <w:rsid w:val="00D350BF"/>
    <w:rsid w:val="00D351CF"/>
    <w:rsid w:val="00D35352"/>
    <w:rsid w:val="00D35574"/>
    <w:rsid w:val="00D356BA"/>
    <w:rsid w:val="00D35763"/>
    <w:rsid w:val="00D35AC2"/>
    <w:rsid w:val="00D35B55"/>
    <w:rsid w:val="00D35C21"/>
    <w:rsid w:val="00D35D66"/>
    <w:rsid w:val="00D35F79"/>
    <w:rsid w:val="00D36028"/>
    <w:rsid w:val="00D364D7"/>
    <w:rsid w:val="00D367AF"/>
    <w:rsid w:val="00D36926"/>
    <w:rsid w:val="00D36B45"/>
    <w:rsid w:val="00D36CB4"/>
    <w:rsid w:val="00D36CC9"/>
    <w:rsid w:val="00D36D77"/>
    <w:rsid w:val="00D36DA5"/>
    <w:rsid w:val="00D36E19"/>
    <w:rsid w:val="00D36E95"/>
    <w:rsid w:val="00D36F3E"/>
    <w:rsid w:val="00D37064"/>
    <w:rsid w:val="00D370B3"/>
    <w:rsid w:val="00D3733A"/>
    <w:rsid w:val="00D373D6"/>
    <w:rsid w:val="00D3772F"/>
    <w:rsid w:val="00D37741"/>
    <w:rsid w:val="00D378F3"/>
    <w:rsid w:val="00D3795B"/>
    <w:rsid w:val="00D37968"/>
    <w:rsid w:val="00D379AC"/>
    <w:rsid w:val="00D4006B"/>
    <w:rsid w:val="00D40229"/>
    <w:rsid w:val="00D4072D"/>
    <w:rsid w:val="00D40830"/>
    <w:rsid w:val="00D408E7"/>
    <w:rsid w:val="00D40C80"/>
    <w:rsid w:val="00D40CB8"/>
    <w:rsid w:val="00D40D04"/>
    <w:rsid w:val="00D40D53"/>
    <w:rsid w:val="00D411BB"/>
    <w:rsid w:val="00D41233"/>
    <w:rsid w:val="00D414FD"/>
    <w:rsid w:val="00D415C7"/>
    <w:rsid w:val="00D419AC"/>
    <w:rsid w:val="00D419C2"/>
    <w:rsid w:val="00D42419"/>
    <w:rsid w:val="00D42559"/>
    <w:rsid w:val="00D42787"/>
    <w:rsid w:val="00D42911"/>
    <w:rsid w:val="00D42A4E"/>
    <w:rsid w:val="00D42C28"/>
    <w:rsid w:val="00D42CA4"/>
    <w:rsid w:val="00D42CE6"/>
    <w:rsid w:val="00D42D42"/>
    <w:rsid w:val="00D42DDB"/>
    <w:rsid w:val="00D43175"/>
    <w:rsid w:val="00D43297"/>
    <w:rsid w:val="00D43397"/>
    <w:rsid w:val="00D43417"/>
    <w:rsid w:val="00D43432"/>
    <w:rsid w:val="00D4346A"/>
    <w:rsid w:val="00D43660"/>
    <w:rsid w:val="00D4376B"/>
    <w:rsid w:val="00D437C5"/>
    <w:rsid w:val="00D43954"/>
    <w:rsid w:val="00D43976"/>
    <w:rsid w:val="00D43A69"/>
    <w:rsid w:val="00D43BAD"/>
    <w:rsid w:val="00D43D5E"/>
    <w:rsid w:val="00D43DD6"/>
    <w:rsid w:val="00D43E26"/>
    <w:rsid w:val="00D44050"/>
    <w:rsid w:val="00D441D0"/>
    <w:rsid w:val="00D44209"/>
    <w:rsid w:val="00D4425A"/>
    <w:rsid w:val="00D442BE"/>
    <w:rsid w:val="00D4436C"/>
    <w:rsid w:val="00D44431"/>
    <w:rsid w:val="00D44619"/>
    <w:rsid w:val="00D44720"/>
    <w:rsid w:val="00D44991"/>
    <w:rsid w:val="00D44BE8"/>
    <w:rsid w:val="00D44BED"/>
    <w:rsid w:val="00D44C88"/>
    <w:rsid w:val="00D44D43"/>
    <w:rsid w:val="00D44D5E"/>
    <w:rsid w:val="00D44DB6"/>
    <w:rsid w:val="00D44E59"/>
    <w:rsid w:val="00D45059"/>
    <w:rsid w:val="00D45088"/>
    <w:rsid w:val="00D45129"/>
    <w:rsid w:val="00D451F7"/>
    <w:rsid w:val="00D45239"/>
    <w:rsid w:val="00D453CB"/>
    <w:rsid w:val="00D453DD"/>
    <w:rsid w:val="00D45899"/>
    <w:rsid w:val="00D45A68"/>
    <w:rsid w:val="00D45CCC"/>
    <w:rsid w:val="00D45CE3"/>
    <w:rsid w:val="00D45D60"/>
    <w:rsid w:val="00D46191"/>
    <w:rsid w:val="00D4636B"/>
    <w:rsid w:val="00D465B8"/>
    <w:rsid w:val="00D46924"/>
    <w:rsid w:val="00D46995"/>
    <w:rsid w:val="00D469C4"/>
    <w:rsid w:val="00D46AF9"/>
    <w:rsid w:val="00D46BFB"/>
    <w:rsid w:val="00D46E1C"/>
    <w:rsid w:val="00D47088"/>
    <w:rsid w:val="00D470CC"/>
    <w:rsid w:val="00D47AFD"/>
    <w:rsid w:val="00D47DAE"/>
    <w:rsid w:val="00D50119"/>
    <w:rsid w:val="00D502F7"/>
    <w:rsid w:val="00D50330"/>
    <w:rsid w:val="00D5033B"/>
    <w:rsid w:val="00D50359"/>
    <w:rsid w:val="00D50582"/>
    <w:rsid w:val="00D506DD"/>
    <w:rsid w:val="00D50A82"/>
    <w:rsid w:val="00D50AC3"/>
    <w:rsid w:val="00D50ACE"/>
    <w:rsid w:val="00D50B1B"/>
    <w:rsid w:val="00D50B36"/>
    <w:rsid w:val="00D50C73"/>
    <w:rsid w:val="00D50CD5"/>
    <w:rsid w:val="00D50D53"/>
    <w:rsid w:val="00D50DB3"/>
    <w:rsid w:val="00D50F5E"/>
    <w:rsid w:val="00D511B7"/>
    <w:rsid w:val="00D51432"/>
    <w:rsid w:val="00D515AA"/>
    <w:rsid w:val="00D517D4"/>
    <w:rsid w:val="00D51D0A"/>
    <w:rsid w:val="00D51E2D"/>
    <w:rsid w:val="00D51FA8"/>
    <w:rsid w:val="00D51FF4"/>
    <w:rsid w:val="00D52235"/>
    <w:rsid w:val="00D5226C"/>
    <w:rsid w:val="00D523ED"/>
    <w:rsid w:val="00D52521"/>
    <w:rsid w:val="00D525FB"/>
    <w:rsid w:val="00D5272F"/>
    <w:rsid w:val="00D52BC5"/>
    <w:rsid w:val="00D52C06"/>
    <w:rsid w:val="00D52FC1"/>
    <w:rsid w:val="00D531C4"/>
    <w:rsid w:val="00D536F7"/>
    <w:rsid w:val="00D539A5"/>
    <w:rsid w:val="00D53A57"/>
    <w:rsid w:val="00D53B60"/>
    <w:rsid w:val="00D53C3C"/>
    <w:rsid w:val="00D53D98"/>
    <w:rsid w:val="00D53EDF"/>
    <w:rsid w:val="00D53F18"/>
    <w:rsid w:val="00D5405D"/>
    <w:rsid w:val="00D5413F"/>
    <w:rsid w:val="00D543EC"/>
    <w:rsid w:val="00D5451F"/>
    <w:rsid w:val="00D545AB"/>
    <w:rsid w:val="00D545F6"/>
    <w:rsid w:val="00D54632"/>
    <w:rsid w:val="00D54743"/>
    <w:rsid w:val="00D54928"/>
    <w:rsid w:val="00D54A01"/>
    <w:rsid w:val="00D54CC4"/>
    <w:rsid w:val="00D54D5B"/>
    <w:rsid w:val="00D54D84"/>
    <w:rsid w:val="00D54E0B"/>
    <w:rsid w:val="00D5505A"/>
    <w:rsid w:val="00D550B0"/>
    <w:rsid w:val="00D55188"/>
    <w:rsid w:val="00D55255"/>
    <w:rsid w:val="00D55368"/>
    <w:rsid w:val="00D5537E"/>
    <w:rsid w:val="00D55437"/>
    <w:rsid w:val="00D555A8"/>
    <w:rsid w:val="00D55627"/>
    <w:rsid w:val="00D5570C"/>
    <w:rsid w:val="00D5571D"/>
    <w:rsid w:val="00D559EF"/>
    <w:rsid w:val="00D55A2F"/>
    <w:rsid w:val="00D55A87"/>
    <w:rsid w:val="00D55B79"/>
    <w:rsid w:val="00D55BD4"/>
    <w:rsid w:val="00D55BDC"/>
    <w:rsid w:val="00D55C1B"/>
    <w:rsid w:val="00D55D6D"/>
    <w:rsid w:val="00D55EDB"/>
    <w:rsid w:val="00D5605D"/>
    <w:rsid w:val="00D562DA"/>
    <w:rsid w:val="00D5644A"/>
    <w:rsid w:val="00D566F8"/>
    <w:rsid w:val="00D56737"/>
    <w:rsid w:val="00D5683E"/>
    <w:rsid w:val="00D569BF"/>
    <w:rsid w:val="00D56CDC"/>
    <w:rsid w:val="00D56F5D"/>
    <w:rsid w:val="00D571B5"/>
    <w:rsid w:val="00D574D7"/>
    <w:rsid w:val="00D575C5"/>
    <w:rsid w:val="00D57729"/>
    <w:rsid w:val="00D578E9"/>
    <w:rsid w:val="00D57A8D"/>
    <w:rsid w:val="00D57AC5"/>
    <w:rsid w:val="00D57BCE"/>
    <w:rsid w:val="00D57CA3"/>
    <w:rsid w:val="00D57FF1"/>
    <w:rsid w:val="00D601A1"/>
    <w:rsid w:val="00D60304"/>
    <w:rsid w:val="00D603FE"/>
    <w:rsid w:val="00D605B5"/>
    <w:rsid w:val="00D60638"/>
    <w:rsid w:val="00D606C5"/>
    <w:rsid w:val="00D608C9"/>
    <w:rsid w:val="00D60A81"/>
    <w:rsid w:val="00D60CBE"/>
    <w:rsid w:val="00D60D5D"/>
    <w:rsid w:val="00D60DDC"/>
    <w:rsid w:val="00D60DF6"/>
    <w:rsid w:val="00D60E14"/>
    <w:rsid w:val="00D6101D"/>
    <w:rsid w:val="00D610C1"/>
    <w:rsid w:val="00D612C9"/>
    <w:rsid w:val="00D61459"/>
    <w:rsid w:val="00D6168D"/>
    <w:rsid w:val="00D61697"/>
    <w:rsid w:val="00D616D1"/>
    <w:rsid w:val="00D618FA"/>
    <w:rsid w:val="00D6192C"/>
    <w:rsid w:val="00D61A45"/>
    <w:rsid w:val="00D61AB2"/>
    <w:rsid w:val="00D61B2F"/>
    <w:rsid w:val="00D61B4C"/>
    <w:rsid w:val="00D61C51"/>
    <w:rsid w:val="00D61D7C"/>
    <w:rsid w:val="00D61E42"/>
    <w:rsid w:val="00D62034"/>
    <w:rsid w:val="00D62040"/>
    <w:rsid w:val="00D6214B"/>
    <w:rsid w:val="00D622E1"/>
    <w:rsid w:val="00D624F1"/>
    <w:rsid w:val="00D6250C"/>
    <w:rsid w:val="00D625CC"/>
    <w:rsid w:val="00D626BF"/>
    <w:rsid w:val="00D62739"/>
    <w:rsid w:val="00D6278F"/>
    <w:rsid w:val="00D62957"/>
    <w:rsid w:val="00D62A1C"/>
    <w:rsid w:val="00D62ADA"/>
    <w:rsid w:val="00D62D8F"/>
    <w:rsid w:val="00D62DB1"/>
    <w:rsid w:val="00D62E26"/>
    <w:rsid w:val="00D62F55"/>
    <w:rsid w:val="00D63064"/>
    <w:rsid w:val="00D63395"/>
    <w:rsid w:val="00D6348E"/>
    <w:rsid w:val="00D634E7"/>
    <w:rsid w:val="00D63589"/>
    <w:rsid w:val="00D636F7"/>
    <w:rsid w:val="00D63851"/>
    <w:rsid w:val="00D63AB0"/>
    <w:rsid w:val="00D63BCB"/>
    <w:rsid w:val="00D63C29"/>
    <w:rsid w:val="00D63D08"/>
    <w:rsid w:val="00D63DEB"/>
    <w:rsid w:val="00D63E39"/>
    <w:rsid w:val="00D63EB1"/>
    <w:rsid w:val="00D6436C"/>
    <w:rsid w:val="00D64484"/>
    <w:rsid w:val="00D64583"/>
    <w:rsid w:val="00D6458E"/>
    <w:rsid w:val="00D6460C"/>
    <w:rsid w:val="00D6477C"/>
    <w:rsid w:val="00D648BE"/>
    <w:rsid w:val="00D648CD"/>
    <w:rsid w:val="00D64A27"/>
    <w:rsid w:val="00D64CE8"/>
    <w:rsid w:val="00D64D11"/>
    <w:rsid w:val="00D65082"/>
    <w:rsid w:val="00D65084"/>
    <w:rsid w:val="00D655B3"/>
    <w:rsid w:val="00D65B0E"/>
    <w:rsid w:val="00D65BEF"/>
    <w:rsid w:val="00D65BF3"/>
    <w:rsid w:val="00D65DCE"/>
    <w:rsid w:val="00D65F01"/>
    <w:rsid w:val="00D66209"/>
    <w:rsid w:val="00D66251"/>
    <w:rsid w:val="00D66973"/>
    <w:rsid w:val="00D669F6"/>
    <w:rsid w:val="00D66A7E"/>
    <w:rsid w:val="00D66B15"/>
    <w:rsid w:val="00D66B95"/>
    <w:rsid w:val="00D66C09"/>
    <w:rsid w:val="00D66CD3"/>
    <w:rsid w:val="00D66F6E"/>
    <w:rsid w:val="00D6708F"/>
    <w:rsid w:val="00D670A2"/>
    <w:rsid w:val="00D674E4"/>
    <w:rsid w:val="00D67B25"/>
    <w:rsid w:val="00D70227"/>
    <w:rsid w:val="00D70245"/>
    <w:rsid w:val="00D7084D"/>
    <w:rsid w:val="00D70A66"/>
    <w:rsid w:val="00D70C7A"/>
    <w:rsid w:val="00D70D60"/>
    <w:rsid w:val="00D71149"/>
    <w:rsid w:val="00D712D6"/>
    <w:rsid w:val="00D7141F"/>
    <w:rsid w:val="00D715DB"/>
    <w:rsid w:val="00D718C5"/>
    <w:rsid w:val="00D71B8A"/>
    <w:rsid w:val="00D71BE7"/>
    <w:rsid w:val="00D71EAB"/>
    <w:rsid w:val="00D71ECA"/>
    <w:rsid w:val="00D71EE6"/>
    <w:rsid w:val="00D7233E"/>
    <w:rsid w:val="00D72392"/>
    <w:rsid w:val="00D7252F"/>
    <w:rsid w:val="00D72623"/>
    <w:rsid w:val="00D72795"/>
    <w:rsid w:val="00D727F9"/>
    <w:rsid w:val="00D7291B"/>
    <w:rsid w:val="00D729CF"/>
    <w:rsid w:val="00D72A23"/>
    <w:rsid w:val="00D72A47"/>
    <w:rsid w:val="00D72AC5"/>
    <w:rsid w:val="00D72B2C"/>
    <w:rsid w:val="00D72D68"/>
    <w:rsid w:val="00D7306F"/>
    <w:rsid w:val="00D7309F"/>
    <w:rsid w:val="00D732B5"/>
    <w:rsid w:val="00D73406"/>
    <w:rsid w:val="00D73523"/>
    <w:rsid w:val="00D735B8"/>
    <w:rsid w:val="00D736A9"/>
    <w:rsid w:val="00D73768"/>
    <w:rsid w:val="00D73818"/>
    <w:rsid w:val="00D73BE8"/>
    <w:rsid w:val="00D73C68"/>
    <w:rsid w:val="00D73CCD"/>
    <w:rsid w:val="00D73F4F"/>
    <w:rsid w:val="00D741D6"/>
    <w:rsid w:val="00D742A2"/>
    <w:rsid w:val="00D742EA"/>
    <w:rsid w:val="00D743FA"/>
    <w:rsid w:val="00D7459D"/>
    <w:rsid w:val="00D745AF"/>
    <w:rsid w:val="00D74E02"/>
    <w:rsid w:val="00D74E59"/>
    <w:rsid w:val="00D750D5"/>
    <w:rsid w:val="00D75199"/>
    <w:rsid w:val="00D7547C"/>
    <w:rsid w:val="00D75559"/>
    <w:rsid w:val="00D755DE"/>
    <w:rsid w:val="00D75711"/>
    <w:rsid w:val="00D75A49"/>
    <w:rsid w:val="00D75A95"/>
    <w:rsid w:val="00D75AE8"/>
    <w:rsid w:val="00D75B18"/>
    <w:rsid w:val="00D75B76"/>
    <w:rsid w:val="00D75CB0"/>
    <w:rsid w:val="00D75D8E"/>
    <w:rsid w:val="00D75E97"/>
    <w:rsid w:val="00D76049"/>
    <w:rsid w:val="00D76070"/>
    <w:rsid w:val="00D762BB"/>
    <w:rsid w:val="00D76393"/>
    <w:rsid w:val="00D764F6"/>
    <w:rsid w:val="00D76549"/>
    <w:rsid w:val="00D76879"/>
    <w:rsid w:val="00D76E71"/>
    <w:rsid w:val="00D76ECB"/>
    <w:rsid w:val="00D76EE4"/>
    <w:rsid w:val="00D76F7C"/>
    <w:rsid w:val="00D7724D"/>
    <w:rsid w:val="00D772F4"/>
    <w:rsid w:val="00D77326"/>
    <w:rsid w:val="00D773E5"/>
    <w:rsid w:val="00D77443"/>
    <w:rsid w:val="00D775F5"/>
    <w:rsid w:val="00D7762F"/>
    <w:rsid w:val="00D776A3"/>
    <w:rsid w:val="00D7798E"/>
    <w:rsid w:val="00D779F5"/>
    <w:rsid w:val="00D77AF1"/>
    <w:rsid w:val="00D77D2D"/>
    <w:rsid w:val="00D80224"/>
    <w:rsid w:val="00D80C91"/>
    <w:rsid w:val="00D80D94"/>
    <w:rsid w:val="00D80E80"/>
    <w:rsid w:val="00D81376"/>
    <w:rsid w:val="00D814FE"/>
    <w:rsid w:val="00D8180D"/>
    <w:rsid w:val="00D81897"/>
    <w:rsid w:val="00D8197A"/>
    <w:rsid w:val="00D819A9"/>
    <w:rsid w:val="00D81A3C"/>
    <w:rsid w:val="00D81CAF"/>
    <w:rsid w:val="00D81CCE"/>
    <w:rsid w:val="00D81E1F"/>
    <w:rsid w:val="00D8218F"/>
    <w:rsid w:val="00D82250"/>
    <w:rsid w:val="00D822E8"/>
    <w:rsid w:val="00D823B4"/>
    <w:rsid w:val="00D824BC"/>
    <w:rsid w:val="00D826C1"/>
    <w:rsid w:val="00D8277F"/>
    <w:rsid w:val="00D827F0"/>
    <w:rsid w:val="00D82904"/>
    <w:rsid w:val="00D82929"/>
    <w:rsid w:val="00D82A43"/>
    <w:rsid w:val="00D82BF4"/>
    <w:rsid w:val="00D82EAE"/>
    <w:rsid w:val="00D83093"/>
    <w:rsid w:val="00D83482"/>
    <w:rsid w:val="00D83881"/>
    <w:rsid w:val="00D838DF"/>
    <w:rsid w:val="00D83BA4"/>
    <w:rsid w:val="00D83C07"/>
    <w:rsid w:val="00D83CC9"/>
    <w:rsid w:val="00D83EA6"/>
    <w:rsid w:val="00D842EC"/>
    <w:rsid w:val="00D8431E"/>
    <w:rsid w:val="00D846DD"/>
    <w:rsid w:val="00D8475C"/>
    <w:rsid w:val="00D849FB"/>
    <w:rsid w:val="00D84BE8"/>
    <w:rsid w:val="00D84E2B"/>
    <w:rsid w:val="00D84E5D"/>
    <w:rsid w:val="00D84FB5"/>
    <w:rsid w:val="00D84FEA"/>
    <w:rsid w:val="00D85101"/>
    <w:rsid w:val="00D8518A"/>
    <w:rsid w:val="00D8522B"/>
    <w:rsid w:val="00D853B3"/>
    <w:rsid w:val="00D85444"/>
    <w:rsid w:val="00D85924"/>
    <w:rsid w:val="00D859BC"/>
    <w:rsid w:val="00D86160"/>
    <w:rsid w:val="00D863C7"/>
    <w:rsid w:val="00D8681A"/>
    <w:rsid w:val="00D86B80"/>
    <w:rsid w:val="00D86B8F"/>
    <w:rsid w:val="00D86EA0"/>
    <w:rsid w:val="00D871A7"/>
    <w:rsid w:val="00D872A4"/>
    <w:rsid w:val="00D87353"/>
    <w:rsid w:val="00D874FC"/>
    <w:rsid w:val="00D875F5"/>
    <w:rsid w:val="00D8765B"/>
    <w:rsid w:val="00D879A9"/>
    <w:rsid w:val="00D87D66"/>
    <w:rsid w:val="00D87E2C"/>
    <w:rsid w:val="00D90013"/>
    <w:rsid w:val="00D90082"/>
    <w:rsid w:val="00D90244"/>
    <w:rsid w:val="00D902A5"/>
    <w:rsid w:val="00D9032E"/>
    <w:rsid w:val="00D9063E"/>
    <w:rsid w:val="00D907EB"/>
    <w:rsid w:val="00D908A3"/>
    <w:rsid w:val="00D908B0"/>
    <w:rsid w:val="00D90A91"/>
    <w:rsid w:val="00D90A98"/>
    <w:rsid w:val="00D90B14"/>
    <w:rsid w:val="00D90BD6"/>
    <w:rsid w:val="00D90C82"/>
    <w:rsid w:val="00D90DCA"/>
    <w:rsid w:val="00D91001"/>
    <w:rsid w:val="00D912B8"/>
    <w:rsid w:val="00D912C4"/>
    <w:rsid w:val="00D912DD"/>
    <w:rsid w:val="00D915A7"/>
    <w:rsid w:val="00D916B5"/>
    <w:rsid w:val="00D916C2"/>
    <w:rsid w:val="00D919D8"/>
    <w:rsid w:val="00D91B86"/>
    <w:rsid w:val="00D91E08"/>
    <w:rsid w:val="00D91F9F"/>
    <w:rsid w:val="00D92304"/>
    <w:rsid w:val="00D926E6"/>
    <w:rsid w:val="00D93380"/>
    <w:rsid w:val="00D934E7"/>
    <w:rsid w:val="00D9394D"/>
    <w:rsid w:val="00D93A3D"/>
    <w:rsid w:val="00D93AAC"/>
    <w:rsid w:val="00D93BE5"/>
    <w:rsid w:val="00D93CE0"/>
    <w:rsid w:val="00D941D8"/>
    <w:rsid w:val="00D944CB"/>
    <w:rsid w:val="00D94526"/>
    <w:rsid w:val="00D94C02"/>
    <w:rsid w:val="00D94D30"/>
    <w:rsid w:val="00D94E0E"/>
    <w:rsid w:val="00D94EE5"/>
    <w:rsid w:val="00D94FC5"/>
    <w:rsid w:val="00D9502D"/>
    <w:rsid w:val="00D95084"/>
    <w:rsid w:val="00D950A7"/>
    <w:rsid w:val="00D95199"/>
    <w:rsid w:val="00D952AF"/>
    <w:rsid w:val="00D953D1"/>
    <w:rsid w:val="00D95539"/>
    <w:rsid w:val="00D956C8"/>
    <w:rsid w:val="00D9590D"/>
    <w:rsid w:val="00D95AB0"/>
    <w:rsid w:val="00D95ABC"/>
    <w:rsid w:val="00D95B07"/>
    <w:rsid w:val="00D95E7A"/>
    <w:rsid w:val="00D9623F"/>
    <w:rsid w:val="00D962A9"/>
    <w:rsid w:val="00D96706"/>
    <w:rsid w:val="00D967A2"/>
    <w:rsid w:val="00D9698D"/>
    <w:rsid w:val="00D96CA5"/>
    <w:rsid w:val="00D96E4E"/>
    <w:rsid w:val="00D96E6E"/>
    <w:rsid w:val="00D97049"/>
    <w:rsid w:val="00D9723C"/>
    <w:rsid w:val="00D97468"/>
    <w:rsid w:val="00D9766F"/>
    <w:rsid w:val="00D976BB"/>
    <w:rsid w:val="00D977E6"/>
    <w:rsid w:val="00D97993"/>
    <w:rsid w:val="00D97A93"/>
    <w:rsid w:val="00D97B58"/>
    <w:rsid w:val="00D97B70"/>
    <w:rsid w:val="00D97CCE"/>
    <w:rsid w:val="00D97EBB"/>
    <w:rsid w:val="00D97F98"/>
    <w:rsid w:val="00DA000B"/>
    <w:rsid w:val="00DA0074"/>
    <w:rsid w:val="00DA0107"/>
    <w:rsid w:val="00DA0132"/>
    <w:rsid w:val="00DA0465"/>
    <w:rsid w:val="00DA0484"/>
    <w:rsid w:val="00DA071D"/>
    <w:rsid w:val="00DA0810"/>
    <w:rsid w:val="00DA0861"/>
    <w:rsid w:val="00DA098B"/>
    <w:rsid w:val="00DA09CD"/>
    <w:rsid w:val="00DA0A62"/>
    <w:rsid w:val="00DA0BE1"/>
    <w:rsid w:val="00DA0DF9"/>
    <w:rsid w:val="00DA0E64"/>
    <w:rsid w:val="00DA0E6A"/>
    <w:rsid w:val="00DA0FDA"/>
    <w:rsid w:val="00DA11F3"/>
    <w:rsid w:val="00DA12AF"/>
    <w:rsid w:val="00DA14C2"/>
    <w:rsid w:val="00DA1B39"/>
    <w:rsid w:val="00DA1B73"/>
    <w:rsid w:val="00DA1C43"/>
    <w:rsid w:val="00DA1CB9"/>
    <w:rsid w:val="00DA1D7D"/>
    <w:rsid w:val="00DA1E53"/>
    <w:rsid w:val="00DA1EDB"/>
    <w:rsid w:val="00DA1EEA"/>
    <w:rsid w:val="00DA1FAB"/>
    <w:rsid w:val="00DA2069"/>
    <w:rsid w:val="00DA2440"/>
    <w:rsid w:val="00DA2444"/>
    <w:rsid w:val="00DA2700"/>
    <w:rsid w:val="00DA2880"/>
    <w:rsid w:val="00DA2C49"/>
    <w:rsid w:val="00DA2CD8"/>
    <w:rsid w:val="00DA2EFD"/>
    <w:rsid w:val="00DA2F44"/>
    <w:rsid w:val="00DA2FB8"/>
    <w:rsid w:val="00DA324C"/>
    <w:rsid w:val="00DA3468"/>
    <w:rsid w:val="00DA34AB"/>
    <w:rsid w:val="00DA351B"/>
    <w:rsid w:val="00DA3537"/>
    <w:rsid w:val="00DA3843"/>
    <w:rsid w:val="00DA3A07"/>
    <w:rsid w:val="00DA3D45"/>
    <w:rsid w:val="00DA413E"/>
    <w:rsid w:val="00DA4390"/>
    <w:rsid w:val="00DA43BE"/>
    <w:rsid w:val="00DA43E1"/>
    <w:rsid w:val="00DA4486"/>
    <w:rsid w:val="00DA4547"/>
    <w:rsid w:val="00DA4684"/>
    <w:rsid w:val="00DA47C1"/>
    <w:rsid w:val="00DA481C"/>
    <w:rsid w:val="00DA4824"/>
    <w:rsid w:val="00DA487B"/>
    <w:rsid w:val="00DA496A"/>
    <w:rsid w:val="00DA4AC6"/>
    <w:rsid w:val="00DA4BA9"/>
    <w:rsid w:val="00DA4BFE"/>
    <w:rsid w:val="00DA4D7E"/>
    <w:rsid w:val="00DA4FC1"/>
    <w:rsid w:val="00DA508F"/>
    <w:rsid w:val="00DA5175"/>
    <w:rsid w:val="00DA5216"/>
    <w:rsid w:val="00DA5540"/>
    <w:rsid w:val="00DA55E8"/>
    <w:rsid w:val="00DA562E"/>
    <w:rsid w:val="00DA5683"/>
    <w:rsid w:val="00DA56F6"/>
    <w:rsid w:val="00DA571A"/>
    <w:rsid w:val="00DA57DF"/>
    <w:rsid w:val="00DA5829"/>
    <w:rsid w:val="00DA58CD"/>
    <w:rsid w:val="00DA5983"/>
    <w:rsid w:val="00DA5AD7"/>
    <w:rsid w:val="00DA5D8D"/>
    <w:rsid w:val="00DA5ECD"/>
    <w:rsid w:val="00DA6069"/>
    <w:rsid w:val="00DA619E"/>
    <w:rsid w:val="00DA61A0"/>
    <w:rsid w:val="00DA6435"/>
    <w:rsid w:val="00DA6491"/>
    <w:rsid w:val="00DA65E4"/>
    <w:rsid w:val="00DA683E"/>
    <w:rsid w:val="00DA6A3D"/>
    <w:rsid w:val="00DA6F59"/>
    <w:rsid w:val="00DA7106"/>
    <w:rsid w:val="00DA710C"/>
    <w:rsid w:val="00DA716B"/>
    <w:rsid w:val="00DA7257"/>
    <w:rsid w:val="00DA7406"/>
    <w:rsid w:val="00DA7500"/>
    <w:rsid w:val="00DA75E6"/>
    <w:rsid w:val="00DA77CF"/>
    <w:rsid w:val="00DA79D9"/>
    <w:rsid w:val="00DA79F8"/>
    <w:rsid w:val="00DA7B5D"/>
    <w:rsid w:val="00DA7B85"/>
    <w:rsid w:val="00DA7E54"/>
    <w:rsid w:val="00DB00E1"/>
    <w:rsid w:val="00DB0118"/>
    <w:rsid w:val="00DB0140"/>
    <w:rsid w:val="00DB0348"/>
    <w:rsid w:val="00DB04B9"/>
    <w:rsid w:val="00DB057E"/>
    <w:rsid w:val="00DB06F4"/>
    <w:rsid w:val="00DB0702"/>
    <w:rsid w:val="00DB0833"/>
    <w:rsid w:val="00DB0A0F"/>
    <w:rsid w:val="00DB0BB1"/>
    <w:rsid w:val="00DB0C09"/>
    <w:rsid w:val="00DB10DA"/>
    <w:rsid w:val="00DB11D0"/>
    <w:rsid w:val="00DB1278"/>
    <w:rsid w:val="00DB14A7"/>
    <w:rsid w:val="00DB14BB"/>
    <w:rsid w:val="00DB1526"/>
    <w:rsid w:val="00DB1581"/>
    <w:rsid w:val="00DB15DB"/>
    <w:rsid w:val="00DB1939"/>
    <w:rsid w:val="00DB1AA1"/>
    <w:rsid w:val="00DB1AE1"/>
    <w:rsid w:val="00DB2012"/>
    <w:rsid w:val="00DB2203"/>
    <w:rsid w:val="00DB226E"/>
    <w:rsid w:val="00DB22CC"/>
    <w:rsid w:val="00DB241C"/>
    <w:rsid w:val="00DB2536"/>
    <w:rsid w:val="00DB2837"/>
    <w:rsid w:val="00DB28E3"/>
    <w:rsid w:val="00DB2B67"/>
    <w:rsid w:val="00DB2EC4"/>
    <w:rsid w:val="00DB2F21"/>
    <w:rsid w:val="00DB2F40"/>
    <w:rsid w:val="00DB3029"/>
    <w:rsid w:val="00DB30BF"/>
    <w:rsid w:val="00DB325C"/>
    <w:rsid w:val="00DB32AF"/>
    <w:rsid w:val="00DB353F"/>
    <w:rsid w:val="00DB36C0"/>
    <w:rsid w:val="00DB37B1"/>
    <w:rsid w:val="00DB37B4"/>
    <w:rsid w:val="00DB382B"/>
    <w:rsid w:val="00DB3863"/>
    <w:rsid w:val="00DB3EBC"/>
    <w:rsid w:val="00DB40BD"/>
    <w:rsid w:val="00DB4427"/>
    <w:rsid w:val="00DB457C"/>
    <w:rsid w:val="00DB4669"/>
    <w:rsid w:val="00DB46F4"/>
    <w:rsid w:val="00DB4988"/>
    <w:rsid w:val="00DB4A19"/>
    <w:rsid w:val="00DB4C51"/>
    <w:rsid w:val="00DB4E46"/>
    <w:rsid w:val="00DB5014"/>
    <w:rsid w:val="00DB505F"/>
    <w:rsid w:val="00DB54ED"/>
    <w:rsid w:val="00DB5AF1"/>
    <w:rsid w:val="00DB5B23"/>
    <w:rsid w:val="00DB5CEA"/>
    <w:rsid w:val="00DB6233"/>
    <w:rsid w:val="00DB65A8"/>
    <w:rsid w:val="00DB6632"/>
    <w:rsid w:val="00DB6637"/>
    <w:rsid w:val="00DB672D"/>
    <w:rsid w:val="00DB698E"/>
    <w:rsid w:val="00DB6A99"/>
    <w:rsid w:val="00DB6D28"/>
    <w:rsid w:val="00DB71C2"/>
    <w:rsid w:val="00DB71F4"/>
    <w:rsid w:val="00DB73EF"/>
    <w:rsid w:val="00DB75A0"/>
    <w:rsid w:val="00DB76B4"/>
    <w:rsid w:val="00DB770E"/>
    <w:rsid w:val="00DB7716"/>
    <w:rsid w:val="00DB7875"/>
    <w:rsid w:val="00DB78A6"/>
    <w:rsid w:val="00DB7D15"/>
    <w:rsid w:val="00DC0049"/>
    <w:rsid w:val="00DC019E"/>
    <w:rsid w:val="00DC0410"/>
    <w:rsid w:val="00DC045F"/>
    <w:rsid w:val="00DC0470"/>
    <w:rsid w:val="00DC0637"/>
    <w:rsid w:val="00DC063B"/>
    <w:rsid w:val="00DC0674"/>
    <w:rsid w:val="00DC0D15"/>
    <w:rsid w:val="00DC0D60"/>
    <w:rsid w:val="00DC0EF9"/>
    <w:rsid w:val="00DC0F4B"/>
    <w:rsid w:val="00DC10D8"/>
    <w:rsid w:val="00DC12B5"/>
    <w:rsid w:val="00DC147B"/>
    <w:rsid w:val="00DC14DD"/>
    <w:rsid w:val="00DC1531"/>
    <w:rsid w:val="00DC1673"/>
    <w:rsid w:val="00DC1721"/>
    <w:rsid w:val="00DC1A5B"/>
    <w:rsid w:val="00DC1C08"/>
    <w:rsid w:val="00DC1C1D"/>
    <w:rsid w:val="00DC1D49"/>
    <w:rsid w:val="00DC1E3E"/>
    <w:rsid w:val="00DC201C"/>
    <w:rsid w:val="00DC2195"/>
    <w:rsid w:val="00DC2616"/>
    <w:rsid w:val="00DC2683"/>
    <w:rsid w:val="00DC2A77"/>
    <w:rsid w:val="00DC2CA1"/>
    <w:rsid w:val="00DC2CA8"/>
    <w:rsid w:val="00DC2D2F"/>
    <w:rsid w:val="00DC2DF8"/>
    <w:rsid w:val="00DC2FED"/>
    <w:rsid w:val="00DC30DA"/>
    <w:rsid w:val="00DC32D8"/>
    <w:rsid w:val="00DC3333"/>
    <w:rsid w:val="00DC33DA"/>
    <w:rsid w:val="00DC36C7"/>
    <w:rsid w:val="00DC3CC2"/>
    <w:rsid w:val="00DC3D99"/>
    <w:rsid w:val="00DC3D9A"/>
    <w:rsid w:val="00DC3E7D"/>
    <w:rsid w:val="00DC3F21"/>
    <w:rsid w:val="00DC4054"/>
    <w:rsid w:val="00DC4282"/>
    <w:rsid w:val="00DC4336"/>
    <w:rsid w:val="00DC4451"/>
    <w:rsid w:val="00DC480B"/>
    <w:rsid w:val="00DC4AE3"/>
    <w:rsid w:val="00DC4D04"/>
    <w:rsid w:val="00DC4D6B"/>
    <w:rsid w:val="00DC4D8D"/>
    <w:rsid w:val="00DC505F"/>
    <w:rsid w:val="00DC5081"/>
    <w:rsid w:val="00DC514E"/>
    <w:rsid w:val="00DC5196"/>
    <w:rsid w:val="00DC51B7"/>
    <w:rsid w:val="00DC52F7"/>
    <w:rsid w:val="00DC55CB"/>
    <w:rsid w:val="00DC5639"/>
    <w:rsid w:val="00DC5647"/>
    <w:rsid w:val="00DC5825"/>
    <w:rsid w:val="00DC585F"/>
    <w:rsid w:val="00DC58E2"/>
    <w:rsid w:val="00DC58E7"/>
    <w:rsid w:val="00DC594B"/>
    <w:rsid w:val="00DC5A95"/>
    <w:rsid w:val="00DC5B2D"/>
    <w:rsid w:val="00DC5DDC"/>
    <w:rsid w:val="00DC5F18"/>
    <w:rsid w:val="00DC642A"/>
    <w:rsid w:val="00DC64F6"/>
    <w:rsid w:val="00DC6808"/>
    <w:rsid w:val="00DC685F"/>
    <w:rsid w:val="00DC6874"/>
    <w:rsid w:val="00DC6919"/>
    <w:rsid w:val="00DC6991"/>
    <w:rsid w:val="00DC6A72"/>
    <w:rsid w:val="00DC6DEC"/>
    <w:rsid w:val="00DC6E9D"/>
    <w:rsid w:val="00DC73C4"/>
    <w:rsid w:val="00DC73C6"/>
    <w:rsid w:val="00DC745F"/>
    <w:rsid w:val="00DC758B"/>
    <w:rsid w:val="00DC7676"/>
    <w:rsid w:val="00DC76E5"/>
    <w:rsid w:val="00DC77AC"/>
    <w:rsid w:val="00DC79D9"/>
    <w:rsid w:val="00DC7B92"/>
    <w:rsid w:val="00DC7C3E"/>
    <w:rsid w:val="00DC7C5C"/>
    <w:rsid w:val="00DC7DF4"/>
    <w:rsid w:val="00DD0036"/>
    <w:rsid w:val="00DD0258"/>
    <w:rsid w:val="00DD027D"/>
    <w:rsid w:val="00DD0321"/>
    <w:rsid w:val="00DD04A1"/>
    <w:rsid w:val="00DD0545"/>
    <w:rsid w:val="00DD0574"/>
    <w:rsid w:val="00DD0704"/>
    <w:rsid w:val="00DD07F2"/>
    <w:rsid w:val="00DD0946"/>
    <w:rsid w:val="00DD0980"/>
    <w:rsid w:val="00DD0AA9"/>
    <w:rsid w:val="00DD0E5B"/>
    <w:rsid w:val="00DD1032"/>
    <w:rsid w:val="00DD1081"/>
    <w:rsid w:val="00DD10BC"/>
    <w:rsid w:val="00DD129B"/>
    <w:rsid w:val="00DD12B6"/>
    <w:rsid w:val="00DD1320"/>
    <w:rsid w:val="00DD1678"/>
    <w:rsid w:val="00DD16EA"/>
    <w:rsid w:val="00DD19B9"/>
    <w:rsid w:val="00DD1A01"/>
    <w:rsid w:val="00DD1A83"/>
    <w:rsid w:val="00DD1C0E"/>
    <w:rsid w:val="00DD1E4B"/>
    <w:rsid w:val="00DD1E89"/>
    <w:rsid w:val="00DD20AB"/>
    <w:rsid w:val="00DD2290"/>
    <w:rsid w:val="00DD25A7"/>
    <w:rsid w:val="00DD2A19"/>
    <w:rsid w:val="00DD2A5B"/>
    <w:rsid w:val="00DD2D09"/>
    <w:rsid w:val="00DD2EA0"/>
    <w:rsid w:val="00DD2F48"/>
    <w:rsid w:val="00DD2FEB"/>
    <w:rsid w:val="00DD3052"/>
    <w:rsid w:val="00DD3653"/>
    <w:rsid w:val="00DD36AF"/>
    <w:rsid w:val="00DD37CF"/>
    <w:rsid w:val="00DD397F"/>
    <w:rsid w:val="00DD3B67"/>
    <w:rsid w:val="00DD3B9A"/>
    <w:rsid w:val="00DD3C5A"/>
    <w:rsid w:val="00DD3D6E"/>
    <w:rsid w:val="00DD41FC"/>
    <w:rsid w:val="00DD4223"/>
    <w:rsid w:val="00DD42E1"/>
    <w:rsid w:val="00DD4438"/>
    <w:rsid w:val="00DD450B"/>
    <w:rsid w:val="00DD4780"/>
    <w:rsid w:val="00DD4A7C"/>
    <w:rsid w:val="00DD4CEC"/>
    <w:rsid w:val="00DD4D62"/>
    <w:rsid w:val="00DD53CC"/>
    <w:rsid w:val="00DD53D2"/>
    <w:rsid w:val="00DD54D8"/>
    <w:rsid w:val="00DD550F"/>
    <w:rsid w:val="00DD556D"/>
    <w:rsid w:val="00DD5E62"/>
    <w:rsid w:val="00DD5F50"/>
    <w:rsid w:val="00DD5FBD"/>
    <w:rsid w:val="00DD609F"/>
    <w:rsid w:val="00DD6283"/>
    <w:rsid w:val="00DD62F0"/>
    <w:rsid w:val="00DD6309"/>
    <w:rsid w:val="00DD6463"/>
    <w:rsid w:val="00DD6921"/>
    <w:rsid w:val="00DD6ADB"/>
    <w:rsid w:val="00DD6AEE"/>
    <w:rsid w:val="00DD6F01"/>
    <w:rsid w:val="00DD71E4"/>
    <w:rsid w:val="00DD7275"/>
    <w:rsid w:val="00DD72AD"/>
    <w:rsid w:val="00DD734B"/>
    <w:rsid w:val="00DD73F4"/>
    <w:rsid w:val="00DD73F9"/>
    <w:rsid w:val="00DD78C8"/>
    <w:rsid w:val="00DD79FF"/>
    <w:rsid w:val="00DD7D1F"/>
    <w:rsid w:val="00DD7EF7"/>
    <w:rsid w:val="00DE02E1"/>
    <w:rsid w:val="00DE02F2"/>
    <w:rsid w:val="00DE0306"/>
    <w:rsid w:val="00DE03B8"/>
    <w:rsid w:val="00DE0606"/>
    <w:rsid w:val="00DE0661"/>
    <w:rsid w:val="00DE0689"/>
    <w:rsid w:val="00DE0735"/>
    <w:rsid w:val="00DE0794"/>
    <w:rsid w:val="00DE0913"/>
    <w:rsid w:val="00DE0927"/>
    <w:rsid w:val="00DE0A82"/>
    <w:rsid w:val="00DE0B21"/>
    <w:rsid w:val="00DE0CF3"/>
    <w:rsid w:val="00DE0EFA"/>
    <w:rsid w:val="00DE0FEB"/>
    <w:rsid w:val="00DE1149"/>
    <w:rsid w:val="00DE1166"/>
    <w:rsid w:val="00DE1314"/>
    <w:rsid w:val="00DE133D"/>
    <w:rsid w:val="00DE141D"/>
    <w:rsid w:val="00DE147E"/>
    <w:rsid w:val="00DE1480"/>
    <w:rsid w:val="00DE1604"/>
    <w:rsid w:val="00DE1A6B"/>
    <w:rsid w:val="00DE1D08"/>
    <w:rsid w:val="00DE1DCD"/>
    <w:rsid w:val="00DE2038"/>
    <w:rsid w:val="00DE2095"/>
    <w:rsid w:val="00DE22CD"/>
    <w:rsid w:val="00DE2354"/>
    <w:rsid w:val="00DE23B5"/>
    <w:rsid w:val="00DE244E"/>
    <w:rsid w:val="00DE24DD"/>
    <w:rsid w:val="00DE2A40"/>
    <w:rsid w:val="00DE2B1E"/>
    <w:rsid w:val="00DE2D3F"/>
    <w:rsid w:val="00DE3041"/>
    <w:rsid w:val="00DE3143"/>
    <w:rsid w:val="00DE3443"/>
    <w:rsid w:val="00DE3619"/>
    <w:rsid w:val="00DE373D"/>
    <w:rsid w:val="00DE39D6"/>
    <w:rsid w:val="00DE3B47"/>
    <w:rsid w:val="00DE3CB4"/>
    <w:rsid w:val="00DE3D01"/>
    <w:rsid w:val="00DE3EC8"/>
    <w:rsid w:val="00DE3F44"/>
    <w:rsid w:val="00DE4142"/>
    <w:rsid w:val="00DE433D"/>
    <w:rsid w:val="00DE463E"/>
    <w:rsid w:val="00DE473D"/>
    <w:rsid w:val="00DE47FC"/>
    <w:rsid w:val="00DE481E"/>
    <w:rsid w:val="00DE4AE7"/>
    <w:rsid w:val="00DE4B62"/>
    <w:rsid w:val="00DE4CB9"/>
    <w:rsid w:val="00DE4EF2"/>
    <w:rsid w:val="00DE50CF"/>
    <w:rsid w:val="00DE5126"/>
    <w:rsid w:val="00DE5212"/>
    <w:rsid w:val="00DE5255"/>
    <w:rsid w:val="00DE5462"/>
    <w:rsid w:val="00DE55A0"/>
    <w:rsid w:val="00DE55BE"/>
    <w:rsid w:val="00DE5735"/>
    <w:rsid w:val="00DE57D3"/>
    <w:rsid w:val="00DE57E9"/>
    <w:rsid w:val="00DE5868"/>
    <w:rsid w:val="00DE5A4C"/>
    <w:rsid w:val="00DE5B7F"/>
    <w:rsid w:val="00DE5FF6"/>
    <w:rsid w:val="00DE610F"/>
    <w:rsid w:val="00DE6279"/>
    <w:rsid w:val="00DE63B9"/>
    <w:rsid w:val="00DE64B2"/>
    <w:rsid w:val="00DE6594"/>
    <w:rsid w:val="00DE6665"/>
    <w:rsid w:val="00DE6768"/>
    <w:rsid w:val="00DE6784"/>
    <w:rsid w:val="00DE6A64"/>
    <w:rsid w:val="00DE6AA0"/>
    <w:rsid w:val="00DE6B1F"/>
    <w:rsid w:val="00DE6BD3"/>
    <w:rsid w:val="00DE6CC9"/>
    <w:rsid w:val="00DE6DE8"/>
    <w:rsid w:val="00DE6E49"/>
    <w:rsid w:val="00DE708B"/>
    <w:rsid w:val="00DE7514"/>
    <w:rsid w:val="00DE764E"/>
    <w:rsid w:val="00DE769F"/>
    <w:rsid w:val="00DE791F"/>
    <w:rsid w:val="00DE7BF4"/>
    <w:rsid w:val="00DE7CD3"/>
    <w:rsid w:val="00DE7D2A"/>
    <w:rsid w:val="00DE7DF3"/>
    <w:rsid w:val="00DE7EBC"/>
    <w:rsid w:val="00DE7EEC"/>
    <w:rsid w:val="00DE7F01"/>
    <w:rsid w:val="00DF0154"/>
    <w:rsid w:val="00DF03F2"/>
    <w:rsid w:val="00DF04FA"/>
    <w:rsid w:val="00DF06D8"/>
    <w:rsid w:val="00DF06F4"/>
    <w:rsid w:val="00DF08CD"/>
    <w:rsid w:val="00DF0C28"/>
    <w:rsid w:val="00DF0E38"/>
    <w:rsid w:val="00DF0EF9"/>
    <w:rsid w:val="00DF11E3"/>
    <w:rsid w:val="00DF1419"/>
    <w:rsid w:val="00DF1618"/>
    <w:rsid w:val="00DF17A3"/>
    <w:rsid w:val="00DF189F"/>
    <w:rsid w:val="00DF1A86"/>
    <w:rsid w:val="00DF1B4C"/>
    <w:rsid w:val="00DF1D20"/>
    <w:rsid w:val="00DF1DD9"/>
    <w:rsid w:val="00DF1FBE"/>
    <w:rsid w:val="00DF20D9"/>
    <w:rsid w:val="00DF2466"/>
    <w:rsid w:val="00DF249C"/>
    <w:rsid w:val="00DF2665"/>
    <w:rsid w:val="00DF2898"/>
    <w:rsid w:val="00DF2AE9"/>
    <w:rsid w:val="00DF2C90"/>
    <w:rsid w:val="00DF2E75"/>
    <w:rsid w:val="00DF2EA0"/>
    <w:rsid w:val="00DF3103"/>
    <w:rsid w:val="00DF32C0"/>
    <w:rsid w:val="00DF350F"/>
    <w:rsid w:val="00DF3705"/>
    <w:rsid w:val="00DF3853"/>
    <w:rsid w:val="00DF38F1"/>
    <w:rsid w:val="00DF3C5F"/>
    <w:rsid w:val="00DF3D0B"/>
    <w:rsid w:val="00DF3FEB"/>
    <w:rsid w:val="00DF406C"/>
    <w:rsid w:val="00DF433D"/>
    <w:rsid w:val="00DF4564"/>
    <w:rsid w:val="00DF47B6"/>
    <w:rsid w:val="00DF4966"/>
    <w:rsid w:val="00DF49DA"/>
    <w:rsid w:val="00DF4B83"/>
    <w:rsid w:val="00DF4ED7"/>
    <w:rsid w:val="00DF4F59"/>
    <w:rsid w:val="00DF5279"/>
    <w:rsid w:val="00DF5376"/>
    <w:rsid w:val="00DF53AA"/>
    <w:rsid w:val="00DF55A5"/>
    <w:rsid w:val="00DF58E7"/>
    <w:rsid w:val="00DF5B09"/>
    <w:rsid w:val="00DF5BA5"/>
    <w:rsid w:val="00DF5E85"/>
    <w:rsid w:val="00DF5F78"/>
    <w:rsid w:val="00DF5FB9"/>
    <w:rsid w:val="00DF6060"/>
    <w:rsid w:val="00DF644D"/>
    <w:rsid w:val="00DF6499"/>
    <w:rsid w:val="00DF6674"/>
    <w:rsid w:val="00DF69DF"/>
    <w:rsid w:val="00DF6C75"/>
    <w:rsid w:val="00DF6CCE"/>
    <w:rsid w:val="00DF6CDA"/>
    <w:rsid w:val="00DF6E54"/>
    <w:rsid w:val="00DF7217"/>
    <w:rsid w:val="00DF7660"/>
    <w:rsid w:val="00DF7737"/>
    <w:rsid w:val="00DF7770"/>
    <w:rsid w:val="00DF7773"/>
    <w:rsid w:val="00DF77B3"/>
    <w:rsid w:val="00DF7933"/>
    <w:rsid w:val="00DF795B"/>
    <w:rsid w:val="00DF79BE"/>
    <w:rsid w:val="00DF7A6E"/>
    <w:rsid w:val="00DF7B9D"/>
    <w:rsid w:val="00DF7CA2"/>
    <w:rsid w:val="00DF7D32"/>
    <w:rsid w:val="00E00017"/>
    <w:rsid w:val="00E003BF"/>
    <w:rsid w:val="00E003C6"/>
    <w:rsid w:val="00E005BC"/>
    <w:rsid w:val="00E005DC"/>
    <w:rsid w:val="00E010ED"/>
    <w:rsid w:val="00E013BB"/>
    <w:rsid w:val="00E013E9"/>
    <w:rsid w:val="00E0148B"/>
    <w:rsid w:val="00E01653"/>
    <w:rsid w:val="00E016AA"/>
    <w:rsid w:val="00E01726"/>
    <w:rsid w:val="00E018B6"/>
    <w:rsid w:val="00E019FB"/>
    <w:rsid w:val="00E01B94"/>
    <w:rsid w:val="00E01C87"/>
    <w:rsid w:val="00E01DC2"/>
    <w:rsid w:val="00E01FF8"/>
    <w:rsid w:val="00E02197"/>
    <w:rsid w:val="00E026D4"/>
    <w:rsid w:val="00E027A2"/>
    <w:rsid w:val="00E028EF"/>
    <w:rsid w:val="00E02AD1"/>
    <w:rsid w:val="00E02BCD"/>
    <w:rsid w:val="00E030C7"/>
    <w:rsid w:val="00E03550"/>
    <w:rsid w:val="00E03559"/>
    <w:rsid w:val="00E03710"/>
    <w:rsid w:val="00E03920"/>
    <w:rsid w:val="00E039C8"/>
    <w:rsid w:val="00E03A2C"/>
    <w:rsid w:val="00E03A6F"/>
    <w:rsid w:val="00E03C02"/>
    <w:rsid w:val="00E03DE6"/>
    <w:rsid w:val="00E04277"/>
    <w:rsid w:val="00E04691"/>
    <w:rsid w:val="00E046F0"/>
    <w:rsid w:val="00E047D9"/>
    <w:rsid w:val="00E0485F"/>
    <w:rsid w:val="00E04AA3"/>
    <w:rsid w:val="00E04AF4"/>
    <w:rsid w:val="00E04C47"/>
    <w:rsid w:val="00E04CEF"/>
    <w:rsid w:val="00E04D91"/>
    <w:rsid w:val="00E04D93"/>
    <w:rsid w:val="00E04DDD"/>
    <w:rsid w:val="00E04E3A"/>
    <w:rsid w:val="00E04E4A"/>
    <w:rsid w:val="00E04E6C"/>
    <w:rsid w:val="00E04FC9"/>
    <w:rsid w:val="00E0516B"/>
    <w:rsid w:val="00E052AB"/>
    <w:rsid w:val="00E0530B"/>
    <w:rsid w:val="00E05533"/>
    <w:rsid w:val="00E0583F"/>
    <w:rsid w:val="00E05982"/>
    <w:rsid w:val="00E05C40"/>
    <w:rsid w:val="00E05F08"/>
    <w:rsid w:val="00E06240"/>
    <w:rsid w:val="00E06591"/>
    <w:rsid w:val="00E06680"/>
    <w:rsid w:val="00E066E4"/>
    <w:rsid w:val="00E06AD2"/>
    <w:rsid w:val="00E06B7F"/>
    <w:rsid w:val="00E06BDB"/>
    <w:rsid w:val="00E06CEB"/>
    <w:rsid w:val="00E06D41"/>
    <w:rsid w:val="00E06DB0"/>
    <w:rsid w:val="00E06DDD"/>
    <w:rsid w:val="00E07017"/>
    <w:rsid w:val="00E07038"/>
    <w:rsid w:val="00E07190"/>
    <w:rsid w:val="00E07596"/>
    <w:rsid w:val="00E07A21"/>
    <w:rsid w:val="00E07B9B"/>
    <w:rsid w:val="00E07CD6"/>
    <w:rsid w:val="00E103B1"/>
    <w:rsid w:val="00E1048E"/>
    <w:rsid w:val="00E1056E"/>
    <w:rsid w:val="00E105CC"/>
    <w:rsid w:val="00E105DB"/>
    <w:rsid w:val="00E10677"/>
    <w:rsid w:val="00E10868"/>
    <w:rsid w:val="00E1093E"/>
    <w:rsid w:val="00E10ACE"/>
    <w:rsid w:val="00E10B9D"/>
    <w:rsid w:val="00E10D13"/>
    <w:rsid w:val="00E10D55"/>
    <w:rsid w:val="00E10E1D"/>
    <w:rsid w:val="00E11164"/>
    <w:rsid w:val="00E111E0"/>
    <w:rsid w:val="00E1122A"/>
    <w:rsid w:val="00E1138F"/>
    <w:rsid w:val="00E113DE"/>
    <w:rsid w:val="00E11672"/>
    <w:rsid w:val="00E116C5"/>
    <w:rsid w:val="00E116E1"/>
    <w:rsid w:val="00E117E7"/>
    <w:rsid w:val="00E11863"/>
    <w:rsid w:val="00E11876"/>
    <w:rsid w:val="00E119E4"/>
    <w:rsid w:val="00E11C41"/>
    <w:rsid w:val="00E11D20"/>
    <w:rsid w:val="00E11D97"/>
    <w:rsid w:val="00E11E56"/>
    <w:rsid w:val="00E11FFD"/>
    <w:rsid w:val="00E121B2"/>
    <w:rsid w:val="00E1238F"/>
    <w:rsid w:val="00E12453"/>
    <w:rsid w:val="00E126FB"/>
    <w:rsid w:val="00E127AE"/>
    <w:rsid w:val="00E128BF"/>
    <w:rsid w:val="00E129B0"/>
    <w:rsid w:val="00E129D8"/>
    <w:rsid w:val="00E12B05"/>
    <w:rsid w:val="00E12C6D"/>
    <w:rsid w:val="00E12D17"/>
    <w:rsid w:val="00E12E10"/>
    <w:rsid w:val="00E12E95"/>
    <w:rsid w:val="00E12EE2"/>
    <w:rsid w:val="00E130A5"/>
    <w:rsid w:val="00E1334F"/>
    <w:rsid w:val="00E1340A"/>
    <w:rsid w:val="00E1346F"/>
    <w:rsid w:val="00E13575"/>
    <w:rsid w:val="00E136F9"/>
    <w:rsid w:val="00E1380A"/>
    <w:rsid w:val="00E138CC"/>
    <w:rsid w:val="00E138EE"/>
    <w:rsid w:val="00E13D93"/>
    <w:rsid w:val="00E13DE9"/>
    <w:rsid w:val="00E13EA3"/>
    <w:rsid w:val="00E13F5E"/>
    <w:rsid w:val="00E1414A"/>
    <w:rsid w:val="00E1465C"/>
    <w:rsid w:val="00E14E7A"/>
    <w:rsid w:val="00E14FA6"/>
    <w:rsid w:val="00E1529C"/>
    <w:rsid w:val="00E156CA"/>
    <w:rsid w:val="00E157B2"/>
    <w:rsid w:val="00E158F1"/>
    <w:rsid w:val="00E1598B"/>
    <w:rsid w:val="00E15C74"/>
    <w:rsid w:val="00E15D23"/>
    <w:rsid w:val="00E15EA4"/>
    <w:rsid w:val="00E15F4D"/>
    <w:rsid w:val="00E162F1"/>
    <w:rsid w:val="00E164E8"/>
    <w:rsid w:val="00E16684"/>
    <w:rsid w:val="00E166E8"/>
    <w:rsid w:val="00E1670E"/>
    <w:rsid w:val="00E169CF"/>
    <w:rsid w:val="00E16A59"/>
    <w:rsid w:val="00E16EE6"/>
    <w:rsid w:val="00E16F05"/>
    <w:rsid w:val="00E17263"/>
    <w:rsid w:val="00E17333"/>
    <w:rsid w:val="00E173DD"/>
    <w:rsid w:val="00E1745A"/>
    <w:rsid w:val="00E174A2"/>
    <w:rsid w:val="00E174D1"/>
    <w:rsid w:val="00E17779"/>
    <w:rsid w:val="00E17ACD"/>
    <w:rsid w:val="00E17B40"/>
    <w:rsid w:val="00E17D4C"/>
    <w:rsid w:val="00E17D97"/>
    <w:rsid w:val="00E17FAD"/>
    <w:rsid w:val="00E200A9"/>
    <w:rsid w:val="00E201CE"/>
    <w:rsid w:val="00E202BC"/>
    <w:rsid w:val="00E204DC"/>
    <w:rsid w:val="00E20550"/>
    <w:rsid w:val="00E20B40"/>
    <w:rsid w:val="00E20BD6"/>
    <w:rsid w:val="00E20BEA"/>
    <w:rsid w:val="00E20CCA"/>
    <w:rsid w:val="00E20D65"/>
    <w:rsid w:val="00E20D79"/>
    <w:rsid w:val="00E21044"/>
    <w:rsid w:val="00E21334"/>
    <w:rsid w:val="00E213CA"/>
    <w:rsid w:val="00E213FE"/>
    <w:rsid w:val="00E2157F"/>
    <w:rsid w:val="00E21741"/>
    <w:rsid w:val="00E21746"/>
    <w:rsid w:val="00E21B0D"/>
    <w:rsid w:val="00E21B13"/>
    <w:rsid w:val="00E21BE6"/>
    <w:rsid w:val="00E21D68"/>
    <w:rsid w:val="00E21D75"/>
    <w:rsid w:val="00E21F41"/>
    <w:rsid w:val="00E223F5"/>
    <w:rsid w:val="00E2252D"/>
    <w:rsid w:val="00E2256A"/>
    <w:rsid w:val="00E225ED"/>
    <w:rsid w:val="00E22BCF"/>
    <w:rsid w:val="00E22CA7"/>
    <w:rsid w:val="00E22D27"/>
    <w:rsid w:val="00E22D95"/>
    <w:rsid w:val="00E231A7"/>
    <w:rsid w:val="00E232C2"/>
    <w:rsid w:val="00E23421"/>
    <w:rsid w:val="00E2357B"/>
    <w:rsid w:val="00E23737"/>
    <w:rsid w:val="00E2376C"/>
    <w:rsid w:val="00E23CAC"/>
    <w:rsid w:val="00E23CBB"/>
    <w:rsid w:val="00E23EF6"/>
    <w:rsid w:val="00E2401D"/>
    <w:rsid w:val="00E2429E"/>
    <w:rsid w:val="00E242FF"/>
    <w:rsid w:val="00E24419"/>
    <w:rsid w:val="00E24524"/>
    <w:rsid w:val="00E24552"/>
    <w:rsid w:val="00E24651"/>
    <w:rsid w:val="00E24955"/>
    <w:rsid w:val="00E24A02"/>
    <w:rsid w:val="00E24C0B"/>
    <w:rsid w:val="00E24D2C"/>
    <w:rsid w:val="00E24F6D"/>
    <w:rsid w:val="00E25014"/>
    <w:rsid w:val="00E2528E"/>
    <w:rsid w:val="00E25540"/>
    <w:rsid w:val="00E256BB"/>
    <w:rsid w:val="00E25B84"/>
    <w:rsid w:val="00E25C19"/>
    <w:rsid w:val="00E25FA9"/>
    <w:rsid w:val="00E2600D"/>
    <w:rsid w:val="00E26036"/>
    <w:rsid w:val="00E2605D"/>
    <w:rsid w:val="00E26062"/>
    <w:rsid w:val="00E26155"/>
    <w:rsid w:val="00E264CC"/>
    <w:rsid w:val="00E265A2"/>
    <w:rsid w:val="00E267AF"/>
    <w:rsid w:val="00E268F1"/>
    <w:rsid w:val="00E26A7C"/>
    <w:rsid w:val="00E26B32"/>
    <w:rsid w:val="00E26C59"/>
    <w:rsid w:val="00E26CE4"/>
    <w:rsid w:val="00E27195"/>
    <w:rsid w:val="00E2728D"/>
    <w:rsid w:val="00E27498"/>
    <w:rsid w:val="00E27A44"/>
    <w:rsid w:val="00E27A85"/>
    <w:rsid w:val="00E27B01"/>
    <w:rsid w:val="00E27B21"/>
    <w:rsid w:val="00E302C3"/>
    <w:rsid w:val="00E303EE"/>
    <w:rsid w:val="00E30522"/>
    <w:rsid w:val="00E30712"/>
    <w:rsid w:val="00E307F3"/>
    <w:rsid w:val="00E308C1"/>
    <w:rsid w:val="00E309C7"/>
    <w:rsid w:val="00E30A5F"/>
    <w:rsid w:val="00E30C06"/>
    <w:rsid w:val="00E30F43"/>
    <w:rsid w:val="00E311F3"/>
    <w:rsid w:val="00E312AC"/>
    <w:rsid w:val="00E31458"/>
    <w:rsid w:val="00E315B3"/>
    <w:rsid w:val="00E3162C"/>
    <w:rsid w:val="00E31753"/>
    <w:rsid w:val="00E3196E"/>
    <w:rsid w:val="00E31A28"/>
    <w:rsid w:val="00E31B48"/>
    <w:rsid w:val="00E31BF1"/>
    <w:rsid w:val="00E31CAA"/>
    <w:rsid w:val="00E31FBD"/>
    <w:rsid w:val="00E327E1"/>
    <w:rsid w:val="00E32808"/>
    <w:rsid w:val="00E32816"/>
    <w:rsid w:val="00E32A87"/>
    <w:rsid w:val="00E32BB6"/>
    <w:rsid w:val="00E32CB8"/>
    <w:rsid w:val="00E32DBF"/>
    <w:rsid w:val="00E32EDE"/>
    <w:rsid w:val="00E33002"/>
    <w:rsid w:val="00E33399"/>
    <w:rsid w:val="00E335C9"/>
    <w:rsid w:val="00E335D1"/>
    <w:rsid w:val="00E33799"/>
    <w:rsid w:val="00E33820"/>
    <w:rsid w:val="00E33831"/>
    <w:rsid w:val="00E33C65"/>
    <w:rsid w:val="00E341B9"/>
    <w:rsid w:val="00E3429C"/>
    <w:rsid w:val="00E343E5"/>
    <w:rsid w:val="00E34478"/>
    <w:rsid w:val="00E3473A"/>
    <w:rsid w:val="00E3483D"/>
    <w:rsid w:val="00E34852"/>
    <w:rsid w:val="00E3490E"/>
    <w:rsid w:val="00E34A8C"/>
    <w:rsid w:val="00E34AB2"/>
    <w:rsid w:val="00E34BE1"/>
    <w:rsid w:val="00E34C2A"/>
    <w:rsid w:val="00E34D39"/>
    <w:rsid w:val="00E34DA2"/>
    <w:rsid w:val="00E34DAC"/>
    <w:rsid w:val="00E355F7"/>
    <w:rsid w:val="00E3573E"/>
    <w:rsid w:val="00E3577F"/>
    <w:rsid w:val="00E35855"/>
    <w:rsid w:val="00E358E4"/>
    <w:rsid w:val="00E359BE"/>
    <w:rsid w:val="00E35A56"/>
    <w:rsid w:val="00E35E6F"/>
    <w:rsid w:val="00E3657B"/>
    <w:rsid w:val="00E366E4"/>
    <w:rsid w:val="00E367E9"/>
    <w:rsid w:val="00E36D45"/>
    <w:rsid w:val="00E36D6C"/>
    <w:rsid w:val="00E36DB2"/>
    <w:rsid w:val="00E36E3C"/>
    <w:rsid w:val="00E36EF1"/>
    <w:rsid w:val="00E3700D"/>
    <w:rsid w:val="00E37301"/>
    <w:rsid w:val="00E374E4"/>
    <w:rsid w:val="00E37622"/>
    <w:rsid w:val="00E37654"/>
    <w:rsid w:val="00E376A5"/>
    <w:rsid w:val="00E3779E"/>
    <w:rsid w:val="00E37AF5"/>
    <w:rsid w:val="00E37B59"/>
    <w:rsid w:val="00E37BB1"/>
    <w:rsid w:val="00E37C4E"/>
    <w:rsid w:val="00E37EB2"/>
    <w:rsid w:val="00E37FFB"/>
    <w:rsid w:val="00E400A4"/>
    <w:rsid w:val="00E402E4"/>
    <w:rsid w:val="00E4036E"/>
    <w:rsid w:val="00E404BF"/>
    <w:rsid w:val="00E40777"/>
    <w:rsid w:val="00E40846"/>
    <w:rsid w:val="00E40AA6"/>
    <w:rsid w:val="00E40BEE"/>
    <w:rsid w:val="00E40C61"/>
    <w:rsid w:val="00E40CD7"/>
    <w:rsid w:val="00E40D7B"/>
    <w:rsid w:val="00E40E96"/>
    <w:rsid w:val="00E40E97"/>
    <w:rsid w:val="00E4108F"/>
    <w:rsid w:val="00E410DF"/>
    <w:rsid w:val="00E41166"/>
    <w:rsid w:val="00E41308"/>
    <w:rsid w:val="00E413D7"/>
    <w:rsid w:val="00E4162C"/>
    <w:rsid w:val="00E41AAA"/>
    <w:rsid w:val="00E41B7B"/>
    <w:rsid w:val="00E41C36"/>
    <w:rsid w:val="00E41C43"/>
    <w:rsid w:val="00E41D67"/>
    <w:rsid w:val="00E41E0A"/>
    <w:rsid w:val="00E41E37"/>
    <w:rsid w:val="00E4206F"/>
    <w:rsid w:val="00E42078"/>
    <w:rsid w:val="00E4239D"/>
    <w:rsid w:val="00E423E4"/>
    <w:rsid w:val="00E4248F"/>
    <w:rsid w:val="00E42624"/>
    <w:rsid w:val="00E42629"/>
    <w:rsid w:val="00E426CC"/>
    <w:rsid w:val="00E426FB"/>
    <w:rsid w:val="00E42782"/>
    <w:rsid w:val="00E42917"/>
    <w:rsid w:val="00E42A9C"/>
    <w:rsid w:val="00E42ABC"/>
    <w:rsid w:val="00E42BAF"/>
    <w:rsid w:val="00E42BDB"/>
    <w:rsid w:val="00E42E3F"/>
    <w:rsid w:val="00E42F68"/>
    <w:rsid w:val="00E43091"/>
    <w:rsid w:val="00E4325E"/>
    <w:rsid w:val="00E43399"/>
    <w:rsid w:val="00E43560"/>
    <w:rsid w:val="00E43642"/>
    <w:rsid w:val="00E436D8"/>
    <w:rsid w:val="00E438D7"/>
    <w:rsid w:val="00E439D0"/>
    <w:rsid w:val="00E43FFE"/>
    <w:rsid w:val="00E4403B"/>
    <w:rsid w:val="00E440C4"/>
    <w:rsid w:val="00E441BB"/>
    <w:rsid w:val="00E44475"/>
    <w:rsid w:val="00E44482"/>
    <w:rsid w:val="00E44730"/>
    <w:rsid w:val="00E4486F"/>
    <w:rsid w:val="00E44AB1"/>
    <w:rsid w:val="00E44B87"/>
    <w:rsid w:val="00E44B92"/>
    <w:rsid w:val="00E44C48"/>
    <w:rsid w:val="00E44F94"/>
    <w:rsid w:val="00E45118"/>
    <w:rsid w:val="00E451CC"/>
    <w:rsid w:val="00E45205"/>
    <w:rsid w:val="00E45242"/>
    <w:rsid w:val="00E45A77"/>
    <w:rsid w:val="00E45C11"/>
    <w:rsid w:val="00E45D4A"/>
    <w:rsid w:val="00E45EAB"/>
    <w:rsid w:val="00E45ED3"/>
    <w:rsid w:val="00E45F26"/>
    <w:rsid w:val="00E4612D"/>
    <w:rsid w:val="00E462C7"/>
    <w:rsid w:val="00E463A0"/>
    <w:rsid w:val="00E464B9"/>
    <w:rsid w:val="00E464E2"/>
    <w:rsid w:val="00E46551"/>
    <w:rsid w:val="00E46B0B"/>
    <w:rsid w:val="00E46BEB"/>
    <w:rsid w:val="00E46DD7"/>
    <w:rsid w:val="00E46DF5"/>
    <w:rsid w:val="00E46EDC"/>
    <w:rsid w:val="00E46F67"/>
    <w:rsid w:val="00E46F7A"/>
    <w:rsid w:val="00E470A4"/>
    <w:rsid w:val="00E4716E"/>
    <w:rsid w:val="00E471E2"/>
    <w:rsid w:val="00E47296"/>
    <w:rsid w:val="00E4750B"/>
    <w:rsid w:val="00E475A0"/>
    <w:rsid w:val="00E476CE"/>
    <w:rsid w:val="00E4775A"/>
    <w:rsid w:val="00E479B5"/>
    <w:rsid w:val="00E479C6"/>
    <w:rsid w:val="00E47B29"/>
    <w:rsid w:val="00E47D3A"/>
    <w:rsid w:val="00E47DA5"/>
    <w:rsid w:val="00E47FF5"/>
    <w:rsid w:val="00E50106"/>
    <w:rsid w:val="00E5035D"/>
    <w:rsid w:val="00E505E4"/>
    <w:rsid w:val="00E5080A"/>
    <w:rsid w:val="00E50935"/>
    <w:rsid w:val="00E509E0"/>
    <w:rsid w:val="00E50C17"/>
    <w:rsid w:val="00E50CC7"/>
    <w:rsid w:val="00E50DBB"/>
    <w:rsid w:val="00E50F7E"/>
    <w:rsid w:val="00E50FB3"/>
    <w:rsid w:val="00E51023"/>
    <w:rsid w:val="00E51033"/>
    <w:rsid w:val="00E51146"/>
    <w:rsid w:val="00E5121D"/>
    <w:rsid w:val="00E51249"/>
    <w:rsid w:val="00E51306"/>
    <w:rsid w:val="00E51340"/>
    <w:rsid w:val="00E51364"/>
    <w:rsid w:val="00E513C9"/>
    <w:rsid w:val="00E5145A"/>
    <w:rsid w:val="00E515C8"/>
    <w:rsid w:val="00E51702"/>
    <w:rsid w:val="00E51760"/>
    <w:rsid w:val="00E51822"/>
    <w:rsid w:val="00E51BD0"/>
    <w:rsid w:val="00E51E1F"/>
    <w:rsid w:val="00E51E7C"/>
    <w:rsid w:val="00E5215D"/>
    <w:rsid w:val="00E52293"/>
    <w:rsid w:val="00E52313"/>
    <w:rsid w:val="00E5276C"/>
    <w:rsid w:val="00E5277B"/>
    <w:rsid w:val="00E527E3"/>
    <w:rsid w:val="00E5293F"/>
    <w:rsid w:val="00E52FCA"/>
    <w:rsid w:val="00E52FE3"/>
    <w:rsid w:val="00E5326A"/>
    <w:rsid w:val="00E53422"/>
    <w:rsid w:val="00E53438"/>
    <w:rsid w:val="00E534AB"/>
    <w:rsid w:val="00E535A1"/>
    <w:rsid w:val="00E535F0"/>
    <w:rsid w:val="00E537A5"/>
    <w:rsid w:val="00E5382F"/>
    <w:rsid w:val="00E5387E"/>
    <w:rsid w:val="00E53991"/>
    <w:rsid w:val="00E53A8E"/>
    <w:rsid w:val="00E53C69"/>
    <w:rsid w:val="00E53CF5"/>
    <w:rsid w:val="00E53E17"/>
    <w:rsid w:val="00E54088"/>
    <w:rsid w:val="00E540B0"/>
    <w:rsid w:val="00E540DB"/>
    <w:rsid w:val="00E54200"/>
    <w:rsid w:val="00E5432A"/>
    <w:rsid w:val="00E54340"/>
    <w:rsid w:val="00E545AF"/>
    <w:rsid w:val="00E54903"/>
    <w:rsid w:val="00E54C5E"/>
    <w:rsid w:val="00E54C5F"/>
    <w:rsid w:val="00E54F26"/>
    <w:rsid w:val="00E54F47"/>
    <w:rsid w:val="00E54FBE"/>
    <w:rsid w:val="00E550F7"/>
    <w:rsid w:val="00E55151"/>
    <w:rsid w:val="00E55228"/>
    <w:rsid w:val="00E55306"/>
    <w:rsid w:val="00E553C2"/>
    <w:rsid w:val="00E553CF"/>
    <w:rsid w:val="00E554E2"/>
    <w:rsid w:val="00E555E8"/>
    <w:rsid w:val="00E5562A"/>
    <w:rsid w:val="00E556E9"/>
    <w:rsid w:val="00E558E3"/>
    <w:rsid w:val="00E5591A"/>
    <w:rsid w:val="00E55A3F"/>
    <w:rsid w:val="00E56227"/>
    <w:rsid w:val="00E56348"/>
    <w:rsid w:val="00E563E6"/>
    <w:rsid w:val="00E56403"/>
    <w:rsid w:val="00E564F5"/>
    <w:rsid w:val="00E56C2F"/>
    <w:rsid w:val="00E56CDE"/>
    <w:rsid w:val="00E56E50"/>
    <w:rsid w:val="00E57041"/>
    <w:rsid w:val="00E57145"/>
    <w:rsid w:val="00E571F9"/>
    <w:rsid w:val="00E572A0"/>
    <w:rsid w:val="00E5730E"/>
    <w:rsid w:val="00E5738A"/>
    <w:rsid w:val="00E573E8"/>
    <w:rsid w:val="00E5758B"/>
    <w:rsid w:val="00E577E3"/>
    <w:rsid w:val="00E578C0"/>
    <w:rsid w:val="00E57BDF"/>
    <w:rsid w:val="00E57C2C"/>
    <w:rsid w:val="00E57C57"/>
    <w:rsid w:val="00E57DAD"/>
    <w:rsid w:val="00E57FA3"/>
    <w:rsid w:val="00E60984"/>
    <w:rsid w:val="00E609B4"/>
    <w:rsid w:val="00E60AB8"/>
    <w:rsid w:val="00E60C7D"/>
    <w:rsid w:val="00E60D41"/>
    <w:rsid w:val="00E60F71"/>
    <w:rsid w:val="00E618D2"/>
    <w:rsid w:val="00E61D3A"/>
    <w:rsid w:val="00E61E19"/>
    <w:rsid w:val="00E61F26"/>
    <w:rsid w:val="00E61F87"/>
    <w:rsid w:val="00E62031"/>
    <w:rsid w:val="00E621C3"/>
    <w:rsid w:val="00E6221B"/>
    <w:rsid w:val="00E6227A"/>
    <w:rsid w:val="00E622AA"/>
    <w:rsid w:val="00E623BA"/>
    <w:rsid w:val="00E6264A"/>
    <w:rsid w:val="00E6279F"/>
    <w:rsid w:val="00E627F8"/>
    <w:rsid w:val="00E62872"/>
    <w:rsid w:val="00E62D30"/>
    <w:rsid w:val="00E62D54"/>
    <w:rsid w:val="00E62F69"/>
    <w:rsid w:val="00E630A8"/>
    <w:rsid w:val="00E630AF"/>
    <w:rsid w:val="00E633F1"/>
    <w:rsid w:val="00E6348F"/>
    <w:rsid w:val="00E6359E"/>
    <w:rsid w:val="00E63637"/>
    <w:rsid w:val="00E639C4"/>
    <w:rsid w:val="00E63CEA"/>
    <w:rsid w:val="00E63EB5"/>
    <w:rsid w:val="00E640E0"/>
    <w:rsid w:val="00E640F7"/>
    <w:rsid w:val="00E64335"/>
    <w:rsid w:val="00E644AB"/>
    <w:rsid w:val="00E6460E"/>
    <w:rsid w:val="00E64799"/>
    <w:rsid w:val="00E64DF5"/>
    <w:rsid w:val="00E64F41"/>
    <w:rsid w:val="00E65210"/>
    <w:rsid w:val="00E6536D"/>
    <w:rsid w:val="00E65447"/>
    <w:rsid w:val="00E65524"/>
    <w:rsid w:val="00E65973"/>
    <w:rsid w:val="00E659FD"/>
    <w:rsid w:val="00E65D46"/>
    <w:rsid w:val="00E65D92"/>
    <w:rsid w:val="00E65E64"/>
    <w:rsid w:val="00E65ED9"/>
    <w:rsid w:val="00E65F5C"/>
    <w:rsid w:val="00E66467"/>
    <w:rsid w:val="00E6649A"/>
    <w:rsid w:val="00E6655C"/>
    <w:rsid w:val="00E66865"/>
    <w:rsid w:val="00E66880"/>
    <w:rsid w:val="00E66997"/>
    <w:rsid w:val="00E66A58"/>
    <w:rsid w:val="00E66ACD"/>
    <w:rsid w:val="00E66E3D"/>
    <w:rsid w:val="00E6716A"/>
    <w:rsid w:val="00E67479"/>
    <w:rsid w:val="00E67591"/>
    <w:rsid w:val="00E675A3"/>
    <w:rsid w:val="00E67648"/>
    <w:rsid w:val="00E6779E"/>
    <w:rsid w:val="00E677E5"/>
    <w:rsid w:val="00E67BF2"/>
    <w:rsid w:val="00E701E2"/>
    <w:rsid w:val="00E703A1"/>
    <w:rsid w:val="00E703E8"/>
    <w:rsid w:val="00E70688"/>
    <w:rsid w:val="00E706C2"/>
    <w:rsid w:val="00E706CE"/>
    <w:rsid w:val="00E706F1"/>
    <w:rsid w:val="00E7089D"/>
    <w:rsid w:val="00E70A94"/>
    <w:rsid w:val="00E70AC2"/>
    <w:rsid w:val="00E70BE9"/>
    <w:rsid w:val="00E70D8D"/>
    <w:rsid w:val="00E70E18"/>
    <w:rsid w:val="00E70F4E"/>
    <w:rsid w:val="00E7127F"/>
    <w:rsid w:val="00E7129B"/>
    <w:rsid w:val="00E714CB"/>
    <w:rsid w:val="00E715C7"/>
    <w:rsid w:val="00E71677"/>
    <w:rsid w:val="00E71BFA"/>
    <w:rsid w:val="00E71C5F"/>
    <w:rsid w:val="00E71DF2"/>
    <w:rsid w:val="00E71ED2"/>
    <w:rsid w:val="00E720BB"/>
    <w:rsid w:val="00E723DA"/>
    <w:rsid w:val="00E72417"/>
    <w:rsid w:val="00E72496"/>
    <w:rsid w:val="00E72537"/>
    <w:rsid w:val="00E725FC"/>
    <w:rsid w:val="00E72673"/>
    <w:rsid w:val="00E727D8"/>
    <w:rsid w:val="00E727EE"/>
    <w:rsid w:val="00E728A1"/>
    <w:rsid w:val="00E728F9"/>
    <w:rsid w:val="00E72A31"/>
    <w:rsid w:val="00E72ACB"/>
    <w:rsid w:val="00E72B4D"/>
    <w:rsid w:val="00E72CC4"/>
    <w:rsid w:val="00E72E2D"/>
    <w:rsid w:val="00E72F91"/>
    <w:rsid w:val="00E7306C"/>
    <w:rsid w:val="00E731C9"/>
    <w:rsid w:val="00E732E1"/>
    <w:rsid w:val="00E734D1"/>
    <w:rsid w:val="00E73707"/>
    <w:rsid w:val="00E73742"/>
    <w:rsid w:val="00E73997"/>
    <w:rsid w:val="00E73B6E"/>
    <w:rsid w:val="00E73B9F"/>
    <w:rsid w:val="00E73C05"/>
    <w:rsid w:val="00E73E59"/>
    <w:rsid w:val="00E741F0"/>
    <w:rsid w:val="00E742B3"/>
    <w:rsid w:val="00E7430C"/>
    <w:rsid w:val="00E7434A"/>
    <w:rsid w:val="00E747B8"/>
    <w:rsid w:val="00E7482C"/>
    <w:rsid w:val="00E748BA"/>
    <w:rsid w:val="00E74A33"/>
    <w:rsid w:val="00E75239"/>
    <w:rsid w:val="00E754AD"/>
    <w:rsid w:val="00E754E7"/>
    <w:rsid w:val="00E7554A"/>
    <w:rsid w:val="00E75679"/>
    <w:rsid w:val="00E756D3"/>
    <w:rsid w:val="00E75A7F"/>
    <w:rsid w:val="00E75B36"/>
    <w:rsid w:val="00E76024"/>
    <w:rsid w:val="00E76062"/>
    <w:rsid w:val="00E76101"/>
    <w:rsid w:val="00E7626A"/>
    <w:rsid w:val="00E762A7"/>
    <w:rsid w:val="00E762EF"/>
    <w:rsid w:val="00E765C6"/>
    <w:rsid w:val="00E76A03"/>
    <w:rsid w:val="00E76A1E"/>
    <w:rsid w:val="00E76AF6"/>
    <w:rsid w:val="00E76C27"/>
    <w:rsid w:val="00E76E1C"/>
    <w:rsid w:val="00E76F4D"/>
    <w:rsid w:val="00E774B4"/>
    <w:rsid w:val="00E7752C"/>
    <w:rsid w:val="00E77782"/>
    <w:rsid w:val="00E77A45"/>
    <w:rsid w:val="00E77CEC"/>
    <w:rsid w:val="00E77E1D"/>
    <w:rsid w:val="00E77E68"/>
    <w:rsid w:val="00E77EC8"/>
    <w:rsid w:val="00E801C7"/>
    <w:rsid w:val="00E805F8"/>
    <w:rsid w:val="00E8097F"/>
    <w:rsid w:val="00E80D9D"/>
    <w:rsid w:val="00E80EED"/>
    <w:rsid w:val="00E8120D"/>
    <w:rsid w:val="00E81212"/>
    <w:rsid w:val="00E81311"/>
    <w:rsid w:val="00E81483"/>
    <w:rsid w:val="00E818E0"/>
    <w:rsid w:val="00E81A2A"/>
    <w:rsid w:val="00E81AD8"/>
    <w:rsid w:val="00E81D40"/>
    <w:rsid w:val="00E81F42"/>
    <w:rsid w:val="00E82020"/>
    <w:rsid w:val="00E8213B"/>
    <w:rsid w:val="00E8235A"/>
    <w:rsid w:val="00E824CE"/>
    <w:rsid w:val="00E8275E"/>
    <w:rsid w:val="00E8282F"/>
    <w:rsid w:val="00E828B4"/>
    <w:rsid w:val="00E829E1"/>
    <w:rsid w:val="00E82BDB"/>
    <w:rsid w:val="00E82C01"/>
    <w:rsid w:val="00E82CD0"/>
    <w:rsid w:val="00E82CDA"/>
    <w:rsid w:val="00E8311F"/>
    <w:rsid w:val="00E831FF"/>
    <w:rsid w:val="00E83288"/>
    <w:rsid w:val="00E833E8"/>
    <w:rsid w:val="00E8355E"/>
    <w:rsid w:val="00E83763"/>
    <w:rsid w:val="00E83E56"/>
    <w:rsid w:val="00E8410A"/>
    <w:rsid w:val="00E841BF"/>
    <w:rsid w:val="00E8444B"/>
    <w:rsid w:val="00E84B3F"/>
    <w:rsid w:val="00E84E63"/>
    <w:rsid w:val="00E84EAA"/>
    <w:rsid w:val="00E851EA"/>
    <w:rsid w:val="00E85243"/>
    <w:rsid w:val="00E85474"/>
    <w:rsid w:val="00E8552A"/>
    <w:rsid w:val="00E8558B"/>
    <w:rsid w:val="00E8572F"/>
    <w:rsid w:val="00E857A8"/>
    <w:rsid w:val="00E857D3"/>
    <w:rsid w:val="00E86091"/>
    <w:rsid w:val="00E86138"/>
    <w:rsid w:val="00E8614C"/>
    <w:rsid w:val="00E8617C"/>
    <w:rsid w:val="00E865B4"/>
    <w:rsid w:val="00E869C1"/>
    <w:rsid w:val="00E86A1A"/>
    <w:rsid w:val="00E86A54"/>
    <w:rsid w:val="00E86EF9"/>
    <w:rsid w:val="00E86F05"/>
    <w:rsid w:val="00E87143"/>
    <w:rsid w:val="00E871CB"/>
    <w:rsid w:val="00E872FA"/>
    <w:rsid w:val="00E873E0"/>
    <w:rsid w:val="00E873E3"/>
    <w:rsid w:val="00E874AB"/>
    <w:rsid w:val="00E874F8"/>
    <w:rsid w:val="00E87578"/>
    <w:rsid w:val="00E8760E"/>
    <w:rsid w:val="00E87658"/>
    <w:rsid w:val="00E8779B"/>
    <w:rsid w:val="00E877E0"/>
    <w:rsid w:val="00E878DB"/>
    <w:rsid w:val="00E87942"/>
    <w:rsid w:val="00E87A6E"/>
    <w:rsid w:val="00E87B2E"/>
    <w:rsid w:val="00E87D38"/>
    <w:rsid w:val="00E87EBE"/>
    <w:rsid w:val="00E90011"/>
    <w:rsid w:val="00E90191"/>
    <w:rsid w:val="00E90866"/>
    <w:rsid w:val="00E909C9"/>
    <w:rsid w:val="00E909F4"/>
    <w:rsid w:val="00E90A9A"/>
    <w:rsid w:val="00E90ACB"/>
    <w:rsid w:val="00E90EBC"/>
    <w:rsid w:val="00E90F16"/>
    <w:rsid w:val="00E91022"/>
    <w:rsid w:val="00E9107D"/>
    <w:rsid w:val="00E91118"/>
    <w:rsid w:val="00E9114E"/>
    <w:rsid w:val="00E9146D"/>
    <w:rsid w:val="00E91890"/>
    <w:rsid w:val="00E91C02"/>
    <w:rsid w:val="00E91F2F"/>
    <w:rsid w:val="00E923F2"/>
    <w:rsid w:val="00E924D9"/>
    <w:rsid w:val="00E92725"/>
    <w:rsid w:val="00E92778"/>
    <w:rsid w:val="00E9288D"/>
    <w:rsid w:val="00E92930"/>
    <w:rsid w:val="00E92B6F"/>
    <w:rsid w:val="00E92BCC"/>
    <w:rsid w:val="00E92D86"/>
    <w:rsid w:val="00E92FEB"/>
    <w:rsid w:val="00E93464"/>
    <w:rsid w:val="00E935A6"/>
    <w:rsid w:val="00E937D9"/>
    <w:rsid w:val="00E93AEE"/>
    <w:rsid w:val="00E93C0C"/>
    <w:rsid w:val="00E93D05"/>
    <w:rsid w:val="00E941AE"/>
    <w:rsid w:val="00E94246"/>
    <w:rsid w:val="00E94407"/>
    <w:rsid w:val="00E94448"/>
    <w:rsid w:val="00E9463F"/>
    <w:rsid w:val="00E947CA"/>
    <w:rsid w:val="00E947D4"/>
    <w:rsid w:val="00E94D37"/>
    <w:rsid w:val="00E94D62"/>
    <w:rsid w:val="00E94E33"/>
    <w:rsid w:val="00E94F2D"/>
    <w:rsid w:val="00E94F49"/>
    <w:rsid w:val="00E94FCC"/>
    <w:rsid w:val="00E94FFE"/>
    <w:rsid w:val="00E95072"/>
    <w:rsid w:val="00E95089"/>
    <w:rsid w:val="00E954EF"/>
    <w:rsid w:val="00E959B9"/>
    <w:rsid w:val="00E95B91"/>
    <w:rsid w:val="00E95CD5"/>
    <w:rsid w:val="00E95D0D"/>
    <w:rsid w:val="00E95D47"/>
    <w:rsid w:val="00E961DF"/>
    <w:rsid w:val="00E962B6"/>
    <w:rsid w:val="00E962E3"/>
    <w:rsid w:val="00E96502"/>
    <w:rsid w:val="00E96588"/>
    <w:rsid w:val="00E9693F"/>
    <w:rsid w:val="00E96A6E"/>
    <w:rsid w:val="00E96AFD"/>
    <w:rsid w:val="00E96B55"/>
    <w:rsid w:val="00E96E9A"/>
    <w:rsid w:val="00E96EB4"/>
    <w:rsid w:val="00E96F2C"/>
    <w:rsid w:val="00E97139"/>
    <w:rsid w:val="00E975AB"/>
    <w:rsid w:val="00E979D9"/>
    <w:rsid w:val="00E979F0"/>
    <w:rsid w:val="00E97AD1"/>
    <w:rsid w:val="00E97CAA"/>
    <w:rsid w:val="00EA00A0"/>
    <w:rsid w:val="00EA0136"/>
    <w:rsid w:val="00EA025D"/>
    <w:rsid w:val="00EA0970"/>
    <w:rsid w:val="00EA0B46"/>
    <w:rsid w:val="00EA0DCD"/>
    <w:rsid w:val="00EA0FF5"/>
    <w:rsid w:val="00EA101A"/>
    <w:rsid w:val="00EA12B0"/>
    <w:rsid w:val="00EA12D8"/>
    <w:rsid w:val="00EA13AA"/>
    <w:rsid w:val="00EA13C9"/>
    <w:rsid w:val="00EA16FA"/>
    <w:rsid w:val="00EA1B5B"/>
    <w:rsid w:val="00EA2117"/>
    <w:rsid w:val="00EA21D0"/>
    <w:rsid w:val="00EA21D6"/>
    <w:rsid w:val="00EA24CA"/>
    <w:rsid w:val="00EA2698"/>
    <w:rsid w:val="00EA2873"/>
    <w:rsid w:val="00EA29B0"/>
    <w:rsid w:val="00EA2BE4"/>
    <w:rsid w:val="00EA2D6F"/>
    <w:rsid w:val="00EA322A"/>
    <w:rsid w:val="00EA3230"/>
    <w:rsid w:val="00EA32BF"/>
    <w:rsid w:val="00EA338E"/>
    <w:rsid w:val="00EA3464"/>
    <w:rsid w:val="00EA3506"/>
    <w:rsid w:val="00EA3566"/>
    <w:rsid w:val="00EA35BC"/>
    <w:rsid w:val="00EA36C6"/>
    <w:rsid w:val="00EA38B8"/>
    <w:rsid w:val="00EA38DF"/>
    <w:rsid w:val="00EA3A58"/>
    <w:rsid w:val="00EA3C23"/>
    <w:rsid w:val="00EA3D07"/>
    <w:rsid w:val="00EA3D5E"/>
    <w:rsid w:val="00EA3FEE"/>
    <w:rsid w:val="00EA400F"/>
    <w:rsid w:val="00EA40E3"/>
    <w:rsid w:val="00EA422F"/>
    <w:rsid w:val="00EA430A"/>
    <w:rsid w:val="00EA4A0E"/>
    <w:rsid w:val="00EA4B0E"/>
    <w:rsid w:val="00EA4D86"/>
    <w:rsid w:val="00EA4F1C"/>
    <w:rsid w:val="00EA4FDD"/>
    <w:rsid w:val="00EA5014"/>
    <w:rsid w:val="00EA5028"/>
    <w:rsid w:val="00EA5053"/>
    <w:rsid w:val="00EA5249"/>
    <w:rsid w:val="00EA540C"/>
    <w:rsid w:val="00EA555B"/>
    <w:rsid w:val="00EA5DD2"/>
    <w:rsid w:val="00EA5DDE"/>
    <w:rsid w:val="00EA5F23"/>
    <w:rsid w:val="00EA5F77"/>
    <w:rsid w:val="00EA60CA"/>
    <w:rsid w:val="00EA6107"/>
    <w:rsid w:val="00EA61C7"/>
    <w:rsid w:val="00EA628E"/>
    <w:rsid w:val="00EA630E"/>
    <w:rsid w:val="00EA640D"/>
    <w:rsid w:val="00EA658B"/>
    <w:rsid w:val="00EA6617"/>
    <w:rsid w:val="00EA6A60"/>
    <w:rsid w:val="00EA6AF8"/>
    <w:rsid w:val="00EA6BD2"/>
    <w:rsid w:val="00EA702B"/>
    <w:rsid w:val="00EA70A9"/>
    <w:rsid w:val="00EA70F0"/>
    <w:rsid w:val="00EA71D7"/>
    <w:rsid w:val="00EA7214"/>
    <w:rsid w:val="00EA7560"/>
    <w:rsid w:val="00EA76D1"/>
    <w:rsid w:val="00EA77B8"/>
    <w:rsid w:val="00EA7861"/>
    <w:rsid w:val="00EA79BA"/>
    <w:rsid w:val="00EA79EA"/>
    <w:rsid w:val="00EA7A51"/>
    <w:rsid w:val="00EA7CED"/>
    <w:rsid w:val="00EA7D55"/>
    <w:rsid w:val="00EA7D83"/>
    <w:rsid w:val="00EA7E7B"/>
    <w:rsid w:val="00EA7FC4"/>
    <w:rsid w:val="00EB0505"/>
    <w:rsid w:val="00EB054F"/>
    <w:rsid w:val="00EB06FA"/>
    <w:rsid w:val="00EB0824"/>
    <w:rsid w:val="00EB09A0"/>
    <w:rsid w:val="00EB0D09"/>
    <w:rsid w:val="00EB0D1B"/>
    <w:rsid w:val="00EB0E12"/>
    <w:rsid w:val="00EB0F2F"/>
    <w:rsid w:val="00EB107D"/>
    <w:rsid w:val="00EB10A1"/>
    <w:rsid w:val="00EB10B6"/>
    <w:rsid w:val="00EB11ED"/>
    <w:rsid w:val="00EB1292"/>
    <w:rsid w:val="00EB150A"/>
    <w:rsid w:val="00EB167D"/>
    <w:rsid w:val="00EB16E8"/>
    <w:rsid w:val="00EB16FC"/>
    <w:rsid w:val="00EB1724"/>
    <w:rsid w:val="00EB19A1"/>
    <w:rsid w:val="00EB1CFE"/>
    <w:rsid w:val="00EB1D84"/>
    <w:rsid w:val="00EB1DBC"/>
    <w:rsid w:val="00EB1E33"/>
    <w:rsid w:val="00EB1E4B"/>
    <w:rsid w:val="00EB2180"/>
    <w:rsid w:val="00EB21C5"/>
    <w:rsid w:val="00EB21E5"/>
    <w:rsid w:val="00EB228A"/>
    <w:rsid w:val="00EB2355"/>
    <w:rsid w:val="00EB2418"/>
    <w:rsid w:val="00EB29AE"/>
    <w:rsid w:val="00EB2A1D"/>
    <w:rsid w:val="00EB2E8B"/>
    <w:rsid w:val="00EB31C8"/>
    <w:rsid w:val="00EB36AC"/>
    <w:rsid w:val="00EB376A"/>
    <w:rsid w:val="00EB3A27"/>
    <w:rsid w:val="00EB3C17"/>
    <w:rsid w:val="00EB3CC5"/>
    <w:rsid w:val="00EB3F1F"/>
    <w:rsid w:val="00EB42FD"/>
    <w:rsid w:val="00EB47BC"/>
    <w:rsid w:val="00EB47C7"/>
    <w:rsid w:val="00EB4928"/>
    <w:rsid w:val="00EB4EF8"/>
    <w:rsid w:val="00EB5285"/>
    <w:rsid w:val="00EB5389"/>
    <w:rsid w:val="00EB5471"/>
    <w:rsid w:val="00EB549E"/>
    <w:rsid w:val="00EB5610"/>
    <w:rsid w:val="00EB567B"/>
    <w:rsid w:val="00EB567E"/>
    <w:rsid w:val="00EB59A3"/>
    <w:rsid w:val="00EB5CE6"/>
    <w:rsid w:val="00EB5D44"/>
    <w:rsid w:val="00EB5DDF"/>
    <w:rsid w:val="00EB5E89"/>
    <w:rsid w:val="00EB607C"/>
    <w:rsid w:val="00EB615F"/>
    <w:rsid w:val="00EB6296"/>
    <w:rsid w:val="00EB632D"/>
    <w:rsid w:val="00EB64C7"/>
    <w:rsid w:val="00EB666D"/>
    <w:rsid w:val="00EB68BC"/>
    <w:rsid w:val="00EB6BB7"/>
    <w:rsid w:val="00EB6C87"/>
    <w:rsid w:val="00EB6D09"/>
    <w:rsid w:val="00EB6D54"/>
    <w:rsid w:val="00EB6F53"/>
    <w:rsid w:val="00EB7245"/>
    <w:rsid w:val="00EB73F9"/>
    <w:rsid w:val="00EB7602"/>
    <w:rsid w:val="00EB7627"/>
    <w:rsid w:val="00EB7672"/>
    <w:rsid w:val="00EB7BE7"/>
    <w:rsid w:val="00EB7CC6"/>
    <w:rsid w:val="00EC006F"/>
    <w:rsid w:val="00EC00B8"/>
    <w:rsid w:val="00EC016A"/>
    <w:rsid w:val="00EC0522"/>
    <w:rsid w:val="00EC057D"/>
    <w:rsid w:val="00EC0784"/>
    <w:rsid w:val="00EC07F6"/>
    <w:rsid w:val="00EC0870"/>
    <w:rsid w:val="00EC089C"/>
    <w:rsid w:val="00EC0A74"/>
    <w:rsid w:val="00EC0ABE"/>
    <w:rsid w:val="00EC0B3A"/>
    <w:rsid w:val="00EC0C51"/>
    <w:rsid w:val="00EC0EA7"/>
    <w:rsid w:val="00EC10EF"/>
    <w:rsid w:val="00EC1123"/>
    <w:rsid w:val="00EC1227"/>
    <w:rsid w:val="00EC1262"/>
    <w:rsid w:val="00EC12D0"/>
    <w:rsid w:val="00EC179E"/>
    <w:rsid w:val="00EC1B80"/>
    <w:rsid w:val="00EC1E2E"/>
    <w:rsid w:val="00EC1E7A"/>
    <w:rsid w:val="00EC1F3C"/>
    <w:rsid w:val="00EC1FD9"/>
    <w:rsid w:val="00EC20BD"/>
    <w:rsid w:val="00EC213B"/>
    <w:rsid w:val="00EC2148"/>
    <w:rsid w:val="00EC219E"/>
    <w:rsid w:val="00EC2375"/>
    <w:rsid w:val="00EC270F"/>
    <w:rsid w:val="00EC293F"/>
    <w:rsid w:val="00EC2CE7"/>
    <w:rsid w:val="00EC2E7F"/>
    <w:rsid w:val="00EC306F"/>
    <w:rsid w:val="00EC3073"/>
    <w:rsid w:val="00EC30F9"/>
    <w:rsid w:val="00EC3118"/>
    <w:rsid w:val="00EC34A7"/>
    <w:rsid w:val="00EC3616"/>
    <w:rsid w:val="00EC3638"/>
    <w:rsid w:val="00EC38A3"/>
    <w:rsid w:val="00EC3B8A"/>
    <w:rsid w:val="00EC3C34"/>
    <w:rsid w:val="00EC3CB8"/>
    <w:rsid w:val="00EC3DFF"/>
    <w:rsid w:val="00EC4154"/>
    <w:rsid w:val="00EC4272"/>
    <w:rsid w:val="00EC42AD"/>
    <w:rsid w:val="00EC4364"/>
    <w:rsid w:val="00EC454C"/>
    <w:rsid w:val="00EC45EB"/>
    <w:rsid w:val="00EC495E"/>
    <w:rsid w:val="00EC4DD0"/>
    <w:rsid w:val="00EC4E9A"/>
    <w:rsid w:val="00EC4FA8"/>
    <w:rsid w:val="00EC501A"/>
    <w:rsid w:val="00EC51F5"/>
    <w:rsid w:val="00EC5501"/>
    <w:rsid w:val="00EC556F"/>
    <w:rsid w:val="00EC57A2"/>
    <w:rsid w:val="00EC57AC"/>
    <w:rsid w:val="00EC5B29"/>
    <w:rsid w:val="00EC5B9E"/>
    <w:rsid w:val="00EC5C9B"/>
    <w:rsid w:val="00EC5C9E"/>
    <w:rsid w:val="00EC5CAC"/>
    <w:rsid w:val="00EC5F2F"/>
    <w:rsid w:val="00EC601E"/>
    <w:rsid w:val="00EC6637"/>
    <w:rsid w:val="00EC6A46"/>
    <w:rsid w:val="00EC6AB5"/>
    <w:rsid w:val="00EC6BD4"/>
    <w:rsid w:val="00EC6C0C"/>
    <w:rsid w:val="00EC6E30"/>
    <w:rsid w:val="00EC6EEB"/>
    <w:rsid w:val="00EC70B2"/>
    <w:rsid w:val="00EC728F"/>
    <w:rsid w:val="00EC72A5"/>
    <w:rsid w:val="00EC7417"/>
    <w:rsid w:val="00EC7652"/>
    <w:rsid w:val="00EC76C6"/>
    <w:rsid w:val="00EC7D05"/>
    <w:rsid w:val="00EC7D39"/>
    <w:rsid w:val="00EC7D70"/>
    <w:rsid w:val="00EC7F23"/>
    <w:rsid w:val="00EC7F82"/>
    <w:rsid w:val="00EC7F8F"/>
    <w:rsid w:val="00ED02D9"/>
    <w:rsid w:val="00ED033D"/>
    <w:rsid w:val="00ED0702"/>
    <w:rsid w:val="00ED076E"/>
    <w:rsid w:val="00ED0810"/>
    <w:rsid w:val="00ED0C00"/>
    <w:rsid w:val="00ED0D3A"/>
    <w:rsid w:val="00ED0DDC"/>
    <w:rsid w:val="00ED0F4F"/>
    <w:rsid w:val="00ED106E"/>
    <w:rsid w:val="00ED110D"/>
    <w:rsid w:val="00ED1118"/>
    <w:rsid w:val="00ED11E0"/>
    <w:rsid w:val="00ED13F1"/>
    <w:rsid w:val="00ED143D"/>
    <w:rsid w:val="00ED15C7"/>
    <w:rsid w:val="00ED163F"/>
    <w:rsid w:val="00ED16C6"/>
    <w:rsid w:val="00ED19FC"/>
    <w:rsid w:val="00ED1BBE"/>
    <w:rsid w:val="00ED1C30"/>
    <w:rsid w:val="00ED1D53"/>
    <w:rsid w:val="00ED1D55"/>
    <w:rsid w:val="00ED1F5F"/>
    <w:rsid w:val="00ED1F77"/>
    <w:rsid w:val="00ED20EA"/>
    <w:rsid w:val="00ED2176"/>
    <w:rsid w:val="00ED22A4"/>
    <w:rsid w:val="00ED251D"/>
    <w:rsid w:val="00ED26CA"/>
    <w:rsid w:val="00ED272A"/>
    <w:rsid w:val="00ED29D1"/>
    <w:rsid w:val="00ED2BF7"/>
    <w:rsid w:val="00ED2D26"/>
    <w:rsid w:val="00ED2D78"/>
    <w:rsid w:val="00ED303A"/>
    <w:rsid w:val="00ED32D5"/>
    <w:rsid w:val="00ED34C2"/>
    <w:rsid w:val="00ED38B2"/>
    <w:rsid w:val="00ED3907"/>
    <w:rsid w:val="00ED3A37"/>
    <w:rsid w:val="00ED3E4A"/>
    <w:rsid w:val="00ED3E90"/>
    <w:rsid w:val="00ED40DA"/>
    <w:rsid w:val="00ED4316"/>
    <w:rsid w:val="00ED462B"/>
    <w:rsid w:val="00ED4687"/>
    <w:rsid w:val="00ED469A"/>
    <w:rsid w:val="00ED47AB"/>
    <w:rsid w:val="00ED4870"/>
    <w:rsid w:val="00ED4BB6"/>
    <w:rsid w:val="00ED4D2C"/>
    <w:rsid w:val="00ED4DCB"/>
    <w:rsid w:val="00ED4DFD"/>
    <w:rsid w:val="00ED4F1D"/>
    <w:rsid w:val="00ED5022"/>
    <w:rsid w:val="00ED511D"/>
    <w:rsid w:val="00ED520C"/>
    <w:rsid w:val="00ED5290"/>
    <w:rsid w:val="00ED545B"/>
    <w:rsid w:val="00ED5522"/>
    <w:rsid w:val="00ED568F"/>
    <w:rsid w:val="00ED5725"/>
    <w:rsid w:val="00ED576A"/>
    <w:rsid w:val="00ED5ABF"/>
    <w:rsid w:val="00ED5AD9"/>
    <w:rsid w:val="00ED5EB2"/>
    <w:rsid w:val="00ED5F54"/>
    <w:rsid w:val="00ED603A"/>
    <w:rsid w:val="00ED6072"/>
    <w:rsid w:val="00ED61D1"/>
    <w:rsid w:val="00ED6201"/>
    <w:rsid w:val="00ED6214"/>
    <w:rsid w:val="00ED62E4"/>
    <w:rsid w:val="00ED633C"/>
    <w:rsid w:val="00ED6643"/>
    <w:rsid w:val="00ED6788"/>
    <w:rsid w:val="00ED6AF9"/>
    <w:rsid w:val="00ED6B44"/>
    <w:rsid w:val="00ED6B49"/>
    <w:rsid w:val="00ED6D46"/>
    <w:rsid w:val="00ED6DA1"/>
    <w:rsid w:val="00ED6E49"/>
    <w:rsid w:val="00ED6EA8"/>
    <w:rsid w:val="00ED7031"/>
    <w:rsid w:val="00ED73A7"/>
    <w:rsid w:val="00ED73E4"/>
    <w:rsid w:val="00ED74EB"/>
    <w:rsid w:val="00ED7556"/>
    <w:rsid w:val="00ED75FD"/>
    <w:rsid w:val="00ED793A"/>
    <w:rsid w:val="00ED7A9E"/>
    <w:rsid w:val="00ED7C3C"/>
    <w:rsid w:val="00ED7D0C"/>
    <w:rsid w:val="00ED7D69"/>
    <w:rsid w:val="00ED7DE5"/>
    <w:rsid w:val="00ED7E97"/>
    <w:rsid w:val="00ED7F20"/>
    <w:rsid w:val="00ED7F6D"/>
    <w:rsid w:val="00EE0032"/>
    <w:rsid w:val="00EE004E"/>
    <w:rsid w:val="00EE01B5"/>
    <w:rsid w:val="00EE01E6"/>
    <w:rsid w:val="00EE0255"/>
    <w:rsid w:val="00EE03F6"/>
    <w:rsid w:val="00EE04E0"/>
    <w:rsid w:val="00EE05F0"/>
    <w:rsid w:val="00EE0998"/>
    <w:rsid w:val="00EE0D24"/>
    <w:rsid w:val="00EE0D97"/>
    <w:rsid w:val="00EE0DF2"/>
    <w:rsid w:val="00EE0DF7"/>
    <w:rsid w:val="00EE0E39"/>
    <w:rsid w:val="00EE0E3E"/>
    <w:rsid w:val="00EE10DF"/>
    <w:rsid w:val="00EE1328"/>
    <w:rsid w:val="00EE153F"/>
    <w:rsid w:val="00EE15F2"/>
    <w:rsid w:val="00EE15FE"/>
    <w:rsid w:val="00EE1710"/>
    <w:rsid w:val="00EE1751"/>
    <w:rsid w:val="00EE184B"/>
    <w:rsid w:val="00EE186A"/>
    <w:rsid w:val="00EE19B9"/>
    <w:rsid w:val="00EE19C9"/>
    <w:rsid w:val="00EE1CC6"/>
    <w:rsid w:val="00EE1E58"/>
    <w:rsid w:val="00EE21FC"/>
    <w:rsid w:val="00EE22DB"/>
    <w:rsid w:val="00EE258E"/>
    <w:rsid w:val="00EE27E7"/>
    <w:rsid w:val="00EE2899"/>
    <w:rsid w:val="00EE2B13"/>
    <w:rsid w:val="00EE2B38"/>
    <w:rsid w:val="00EE2C21"/>
    <w:rsid w:val="00EE2D01"/>
    <w:rsid w:val="00EE2DE7"/>
    <w:rsid w:val="00EE3060"/>
    <w:rsid w:val="00EE30AB"/>
    <w:rsid w:val="00EE313B"/>
    <w:rsid w:val="00EE3328"/>
    <w:rsid w:val="00EE3584"/>
    <w:rsid w:val="00EE37AD"/>
    <w:rsid w:val="00EE37D7"/>
    <w:rsid w:val="00EE39A1"/>
    <w:rsid w:val="00EE3AC0"/>
    <w:rsid w:val="00EE3AD9"/>
    <w:rsid w:val="00EE3B33"/>
    <w:rsid w:val="00EE3C78"/>
    <w:rsid w:val="00EE3D5A"/>
    <w:rsid w:val="00EE3F3A"/>
    <w:rsid w:val="00EE3F8B"/>
    <w:rsid w:val="00EE4315"/>
    <w:rsid w:val="00EE4540"/>
    <w:rsid w:val="00EE47DE"/>
    <w:rsid w:val="00EE4CA6"/>
    <w:rsid w:val="00EE5028"/>
    <w:rsid w:val="00EE5207"/>
    <w:rsid w:val="00EE533A"/>
    <w:rsid w:val="00EE5412"/>
    <w:rsid w:val="00EE54A0"/>
    <w:rsid w:val="00EE5899"/>
    <w:rsid w:val="00EE5969"/>
    <w:rsid w:val="00EE5C02"/>
    <w:rsid w:val="00EE5CE5"/>
    <w:rsid w:val="00EE5D12"/>
    <w:rsid w:val="00EE6053"/>
    <w:rsid w:val="00EE6138"/>
    <w:rsid w:val="00EE63E3"/>
    <w:rsid w:val="00EE642E"/>
    <w:rsid w:val="00EE648C"/>
    <w:rsid w:val="00EE6576"/>
    <w:rsid w:val="00EE662F"/>
    <w:rsid w:val="00EE663E"/>
    <w:rsid w:val="00EE66F8"/>
    <w:rsid w:val="00EE6A80"/>
    <w:rsid w:val="00EE6AF2"/>
    <w:rsid w:val="00EE6B4E"/>
    <w:rsid w:val="00EE6BD4"/>
    <w:rsid w:val="00EE6C03"/>
    <w:rsid w:val="00EE6C82"/>
    <w:rsid w:val="00EE6F01"/>
    <w:rsid w:val="00EE6F1A"/>
    <w:rsid w:val="00EE70B3"/>
    <w:rsid w:val="00EE70F9"/>
    <w:rsid w:val="00EE753E"/>
    <w:rsid w:val="00EE7643"/>
    <w:rsid w:val="00EE7690"/>
    <w:rsid w:val="00EE776D"/>
    <w:rsid w:val="00EE786C"/>
    <w:rsid w:val="00EE7872"/>
    <w:rsid w:val="00EE788F"/>
    <w:rsid w:val="00EE7998"/>
    <w:rsid w:val="00EE79EF"/>
    <w:rsid w:val="00EE7A5A"/>
    <w:rsid w:val="00EE7B3E"/>
    <w:rsid w:val="00EE7E73"/>
    <w:rsid w:val="00EE7F1B"/>
    <w:rsid w:val="00EE7FB9"/>
    <w:rsid w:val="00EF03E9"/>
    <w:rsid w:val="00EF0555"/>
    <w:rsid w:val="00EF06CE"/>
    <w:rsid w:val="00EF0834"/>
    <w:rsid w:val="00EF093E"/>
    <w:rsid w:val="00EF095B"/>
    <w:rsid w:val="00EF0A0F"/>
    <w:rsid w:val="00EF118F"/>
    <w:rsid w:val="00EF1191"/>
    <w:rsid w:val="00EF1202"/>
    <w:rsid w:val="00EF1265"/>
    <w:rsid w:val="00EF1283"/>
    <w:rsid w:val="00EF12AA"/>
    <w:rsid w:val="00EF13F0"/>
    <w:rsid w:val="00EF14AC"/>
    <w:rsid w:val="00EF14B5"/>
    <w:rsid w:val="00EF14F6"/>
    <w:rsid w:val="00EF1532"/>
    <w:rsid w:val="00EF154C"/>
    <w:rsid w:val="00EF180C"/>
    <w:rsid w:val="00EF1A76"/>
    <w:rsid w:val="00EF1C7F"/>
    <w:rsid w:val="00EF1F2F"/>
    <w:rsid w:val="00EF209D"/>
    <w:rsid w:val="00EF218D"/>
    <w:rsid w:val="00EF2640"/>
    <w:rsid w:val="00EF2682"/>
    <w:rsid w:val="00EF2731"/>
    <w:rsid w:val="00EF2770"/>
    <w:rsid w:val="00EF2C19"/>
    <w:rsid w:val="00EF2C33"/>
    <w:rsid w:val="00EF2EDF"/>
    <w:rsid w:val="00EF30F1"/>
    <w:rsid w:val="00EF3127"/>
    <w:rsid w:val="00EF32BC"/>
    <w:rsid w:val="00EF340C"/>
    <w:rsid w:val="00EF3BC4"/>
    <w:rsid w:val="00EF3D98"/>
    <w:rsid w:val="00EF3FE0"/>
    <w:rsid w:val="00EF4494"/>
    <w:rsid w:val="00EF46E2"/>
    <w:rsid w:val="00EF4806"/>
    <w:rsid w:val="00EF4CE6"/>
    <w:rsid w:val="00EF4D6F"/>
    <w:rsid w:val="00EF4DA9"/>
    <w:rsid w:val="00EF4DE2"/>
    <w:rsid w:val="00EF5228"/>
    <w:rsid w:val="00EF5238"/>
    <w:rsid w:val="00EF52B7"/>
    <w:rsid w:val="00EF53CE"/>
    <w:rsid w:val="00EF54DE"/>
    <w:rsid w:val="00EF55E6"/>
    <w:rsid w:val="00EF5998"/>
    <w:rsid w:val="00EF59C2"/>
    <w:rsid w:val="00EF5A7D"/>
    <w:rsid w:val="00EF5E46"/>
    <w:rsid w:val="00EF5EA1"/>
    <w:rsid w:val="00EF5F3E"/>
    <w:rsid w:val="00EF5F55"/>
    <w:rsid w:val="00EF5F87"/>
    <w:rsid w:val="00EF6212"/>
    <w:rsid w:val="00EF62C3"/>
    <w:rsid w:val="00EF67D4"/>
    <w:rsid w:val="00EF6925"/>
    <w:rsid w:val="00EF6A9C"/>
    <w:rsid w:val="00EF6B51"/>
    <w:rsid w:val="00EF6DFF"/>
    <w:rsid w:val="00EF6EB3"/>
    <w:rsid w:val="00EF6F70"/>
    <w:rsid w:val="00EF6FE5"/>
    <w:rsid w:val="00EF7103"/>
    <w:rsid w:val="00EF7119"/>
    <w:rsid w:val="00EF7517"/>
    <w:rsid w:val="00EF7798"/>
    <w:rsid w:val="00EF7938"/>
    <w:rsid w:val="00EF7B30"/>
    <w:rsid w:val="00EF7BB9"/>
    <w:rsid w:val="00EF7D11"/>
    <w:rsid w:val="00EF7E62"/>
    <w:rsid w:val="00EF7E72"/>
    <w:rsid w:val="00EF7F17"/>
    <w:rsid w:val="00F00188"/>
    <w:rsid w:val="00F00448"/>
    <w:rsid w:val="00F00630"/>
    <w:rsid w:val="00F0068B"/>
    <w:rsid w:val="00F006C2"/>
    <w:rsid w:val="00F00C1F"/>
    <w:rsid w:val="00F00C88"/>
    <w:rsid w:val="00F01037"/>
    <w:rsid w:val="00F010B2"/>
    <w:rsid w:val="00F0146F"/>
    <w:rsid w:val="00F0147D"/>
    <w:rsid w:val="00F01698"/>
    <w:rsid w:val="00F0171E"/>
    <w:rsid w:val="00F0179E"/>
    <w:rsid w:val="00F019F5"/>
    <w:rsid w:val="00F01A4D"/>
    <w:rsid w:val="00F01A7C"/>
    <w:rsid w:val="00F01B9C"/>
    <w:rsid w:val="00F0200D"/>
    <w:rsid w:val="00F021AD"/>
    <w:rsid w:val="00F022B7"/>
    <w:rsid w:val="00F022F9"/>
    <w:rsid w:val="00F023F3"/>
    <w:rsid w:val="00F0246D"/>
    <w:rsid w:val="00F02657"/>
    <w:rsid w:val="00F0267F"/>
    <w:rsid w:val="00F0286C"/>
    <w:rsid w:val="00F0293B"/>
    <w:rsid w:val="00F029BE"/>
    <w:rsid w:val="00F02A01"/>
    <w:rsid w:val="00F02A13"/>
    <w:rsid w:val="00F02C21"/>
    <w:rsid w:val="00F02CD8"/>
    <w:rsid w:val="00F02CF3"/>
    <w:rsid w:val="00F03215"/>
    <w:rsid w:val="00F03267"/>
    <w:rsid w:val="00F03570"/>
    <w:rsid w:val="00F035B7"/>
    <w:rsid w:val="00F03A0E"/>
    <w:rsid w:val="00F03CB2"/>
    <w:rsid w:val="00F03F5A"/>
    <w:rsid w:val="00F0401F"/>
    <w:rsid w:val="00F0417B"/>
    <w:rsid w:val="00F041A8"/>
    <w:rsid w:val="00F0429A"/>
    <w:rsid w:val="00F0438C"/>
    <w:rsid w:val="00F043CC"/>
    <w:rsid w:val="00F046D2"/>
    <w:rsid w:val="00F047BA"/>
    <w:rsid w:val="00F049AA"/>
    <w:rsid w:val="00F04BB8"/>
    <w:rsid w:val="00F04DCF"/>
    <w:rsid w:val="00F054EE"/>
    <w:rsid w:val="00F05820"/>
    <w:rsid w:val="00F05839"/>
    <w:rsid w:val="00F0584A"/>
    <w:rsid w:val="00F05F75"/>
    <w:rsid w:val="00F0614A"/>
    <w:rsid w:val="00F06248"/>
    <w:rsid w:val="00F062A5"/>
    <w:rsid w:val="00F063C1"/>
    <w:rsid w:val="00F06587"/>
    <w:rsid w:val="00F06656"/>
    <w:rsid w:val="00F066D2"/>
    <w:rsid w:val="00F0689E"/>
    <w:rsid w:val="00F0695E"/>
    <w:rsid w:val="00F06AB8"/>
    <w:rsid w:val="00F06AD5"/>
    <w:rsid w:val="00F06B10"/>
    <w:rsid w:val="00F06E4B"/>
    <w:rsid w:val="00F06F35"/>
    <w:rsid w:val="00F0700C"/>
    <w:rsid w:val="00F07158"/>
    <w:rsid w:val="00F0719A"/>
    <w:rsid w:val="00F0720E"/>
    <w:rsid w:val="00F072A5"/>
    <w:rsid w:val="00F07409"/>
    <w:rsid w:val="00F07686"/>
    <w:rsid w:val="00F07847"/>
    <w:rsid w:val="00F079E1"/>
    <w:rsid w:val="00F07A85"/>
    <w:rsid w:val="00F07C59"/>
    <w:rsid w:val="00F07FB5"/>
    <w:rsid w:val="00F1009F"/>
    <w:rsid w:val="00F10211"/>
    <w:rsid w:val="00F102BC"/>
    <w:rsid w:val="00F1031B"/>
    <w:rsid w:val="00F1057D"/>
    <w:rsid w:val="00F105AB"/>
    <w:rsid w:val="00F106FB"/>
    <w:rsid w:val="00F107A0"/>
    <w:rsid w:val="00F10AA3"/>
    <w:rsid w:val="00F10B8F"/>
    <w:rsid w:val="00F10C0A"/>
    <w:rsid w:val="00F10CC7"/>
    <w:rsid w:val="00F10DA4"/>
    <w:rsid w:val="00F10E9D"/>
    <w:rsid w:val="00F11011"/>
    <w:rsid w:val="00F11649"/>
    <w:rsid w:val="00F1175F"/>
    <w:rsid w:val="00F11773"/>
    <w:rsid w:val="00F11947"/>
    <w:rsid w:val="00F11B82"/>
    <w:rsid w:val="00F11D5E"/>
    <w:rsid w:val="00F11F59"/>
    <w:rsid w:val="00F12080"/>
    <w:rsid w:val="00F12118"/>
    <w:rsid w:val="00F12502"/>
    <w:rsid w:val="00F1278F"/>
    <w:rsid w:val="00F1293A"/>
    <w:rsid w:val="00F129E7"/>
    <w:rsid w:val="00F12C87"/>
    <w:rsid w:val="00F12D9F"/>
    <w:rsid w:val="00F12DCB"/>
    <w:rsid w:val="00F12DD9"/>
    <w:rsid w:val="00F12E53"/>
    <w:rsid w:val="00F13934"/>
    <w:rsid w:val="00F13B66"/>
    <w:rsid w:val="00F13C26"/>
    <w:rsid w:val="00F13CAE"/>
    <w:rsid w:val="00F13E89"/>
    <w:rsid w:val="00F13EFF"/>
    <w:rsid w:val="00F1421B"/>
    <w:rsid w:val="00F1449C"/>
    <w:rsid w:val="00F144DC"/>
    <w:rsid w:val="00F144EE"/>
    <w:rsid w:val="00F14A64"/>
    <w:rsid w:val="00F14A97"/>
    <w:rsid w:val="00F14AAB"/>
    <w:rsid w:val="00F14B93"/>
    <w:rsid w:val="00F14C38"/>
    <w:rsid w:val="00F14D28"/>
    <w:rsid w:val="00F14DC7"/>
    <w:rsid w:val="00F14E13"/>
    <w:rsid w:val="00F14F81"/>
    <w:rsid w:val="00F14F9A"/>
    <w:rsid w:val="00F1514F"/>
    <w:rsid w:val="00F1529B"/>
    <w:rsid w:val="00F152AD"/>
    <w:rsid w:val="00F155EF"/>
    <w:rsid w:val="00F158D1"/>
    <w:rsid w:val="00F1593B"/>
    <w:rsid w:val="00F15CCC"/>
    <w:rsid w:val="00F15F0D"/>
    <w:rsid w:val="00F16022"/>
    <w:rsid w:val="00F1620C"/>
    <w:rsid w:val="00F163F0"/>
    <w:rsid w:val="00F1667E"/>
    <w:rsid w:val="00F1671D"/>
    <w:rsid w:val="00F16744"/>
    <w:rsid w:val="00F1688F"/>
    <w:rsid w:val="00F168FD"/>
    <w:rsid w:val="00F16FCA"/>
    <w:rsid w:val="00F17131"/>
    <w:rsid w:val="00F171D6"/>
    <w:rsid w:val="00F171DA"/>
    <w:rsid w:val="00F171F4"/>
    <w:rsid w:val="00F1742B"/>
    <w:rsid w:val="00F17739"/>
    <w:rsid w:val="00F177DD"/>
    <w:rsid w:val="00F177DE"/>
    <w:rsid w:val="00F17907"/>
    <w:rsid w:val="00F17AD8"/>
    <w:rsid w:val="00F17F82"/>
    <w:rsid w:val="00F17F85"/>
    <w:rsid w:val="00F203A2"/>
    <w:rsid w:val="00F204C0"/>
    <w:rsid w:val="00F2050D"/>
    <w:rsid w:val="00F20911"/>
    <w:rsid w:val="00F20B8C"/>
    <w:rsid w:val="00F20D9E"/>
    <w:rsid w:val="00F20F33"/>
    <w:rsid w:val="00F21233"/>
    <w:rsid w:val="00F21235"/>
    <w:rsid w:val="00F2139F"/>
    <w:rsid w:val="00F215AB"/>
    <w:rsid w:val="00F215F8"/>
    <w:rsid w:val="00F216C2"/>
    <w:rsid w:val="00F21994"/>
    <w:rsid w:val="00F21C51"/>
    <w:rsid w:val="00F21D8E"/>
    <w:rsid w:val="00F22134"/>
    <w:rsid w:val="00F22588"/>
    <w:rsid w:val="00F226E4"/>
    <w:rsid w:val="00F2295E"/>
    <w:rsid w:val="00F22B41"/>
    <w:rsid w:val="00F22CFF"/>
    <w:rsid w:val="00F22E27"/>
    <w:rsid w:val="00F22E9F"/>
    <w:rsid w:val="00F23011"/>
    <w:rsid w:val="00F23227"/>
    <w:rsid w:val="00F23350"/>
    <w:rsid w:val="00F23606"/>
    <w:rsid w:val="00F237FF"/>
    <w:rsid w:val="00F2391F"/>
    <w:rsid w:val="00F23A6D"/>
    <w:rsid w:val="00F23A70"/>
    <w:rsid w:val="00F23E4F"/>
    <w:rsid w:val="00F2428D"/>
    <w:rsid w:val="00F2438B"/>
    <w:rsid w:val="00F2441E"/>
    <w:rsid w:val="00F2446E"/>
    <w:rsid w:val="00F24568"/>
    <w:rsid w:val="00F249A1"/>
    <w:rsid w:val="00F24B91"/>
    <w:rsid w:val="00F24D45"/>
    <w:rsid w:val="00F24D6A"/>
    <w:rsid w:val="00F24F03"/>
    <w:rsid w:val="00F24F69"/>
    <w:rsid w:val="00F24F6B"/>
    <w:rsid w:val="00F25067"/>
    <w:rsid w:val="00F2518A"/>
    <w:rsid w:val="00F251C2"/>
    <w:rsid w:val="00F2521E"/>
    <w:rsid w:val="00F255E6"/>
    <w:rsid w:val="00F2564E"/>
    <w:rsid w:val="00F256D2"/>
    <w:rsid w:val="00F2594A"/>
    <w:rsid w:val="00F259FF"/>
    <w:rsid w:val="00F25CD8"/>
    <w:rsid w:val="00F25DC6"/>
    <w:rsid w:val="00F26005"/>
    <w:rsid w:val="00F26014"/>
    <w:rsid w:val="00F263B4"/>
    <w:rsid w:val="00F266F2"/>
    <w:rsid w:val="00F267FF"/>
    <w:rsid w:val="00F269AF"/>
    <w:rsid w:val="00F269DF"/>
    <w:rsid w:val="00F26E0A"/>
    <w:rsid w:val="00F26ED3"/>
    <w:rsid w:val="00F27132"/>
    <w:rsid w:val="00F27241"/>
    <w:rsid w:val="00F27397"/>
    <w:rsid w:val="00F2755E"/>
    <w:rsid w:val="00F27908"/>
    <w:rsid w:val="00F279BC"/>
    <w:rsid w:val="00F27BA5"/>
    <w:rsid w:val="00F27BB6"/>
    <w:rsid w:val="00F27E35"/>
    <w:rsid w:val="00F3005B"/>
    <w:rsid w:val="00F300B5"/>
    <w:rsid w:val="00F300CD"/>
    <w:rsid w:val="00F30200"/>
    <w:rsid w:val="00F30205"/>
    <w:rsid w:val="00F304B8"/>
    <w:rsid w:val="00F304F2"/>
    <w:rsid w:val="00F30662"/>
    <w:rsid w:val="00F30961"/>
    <w:rsid w:val="00F30966"/>
    <w:rsid w:val="00F30E5E"/>
    <w:rsid w:val="00F31022"/>
    <w:rsid w:val="00F310E9"/>
    <w:rsid w:val="00F31158"/>
    <w:rsid w:val="00F312B1"/>
    <w:rsid w:val="00F313A0"/>
    <w:rsid w:val="00F314BB"/>
    <w:rsid w:val="00F31689"/>
    <w:rsid w:val="00F316BC"/>
    <w:rsid w:val="00F3174C"/>
    <w:rsid w:val="00F31C16"/>
    <w:rsid w:val="00F31C33"/>
    <w:rsid w:val="00F31F2C"/>
    <w:rsid w:val="00F32207"/>
    <w:rsid w:val="00F32385"/>
    <w:rsid w:val="00F323B2"/>
    <w:rsid w:val="00F323E7"/>
    <w:rsid w:val="00F324AE"/>
    <w:rsid w:val="00F32634"/>
    <w:rsid w:val="00F32639"/>
    <w:rsid w:val="00F326CA"/>
    <w:rsid w:val="00F32715"/>
    <w:rsid w:val="00F32A1A"/>
    <w:rsid w:val="00F32B0F"/>
    <w:rsid w:val="00F32BBC"/>
    <w:rsid w:val="00F32C03"/>
    <w:rsid w:val="00F32D4D"/>
    <w:rsid w:val="00F32EC2"/>
    <w:rsid w:val="00F3317A"/>
    <w:rsid w:val="00F33228"/>
    <w:rsid w:val="00F337A4"/>
    <w:rsid w:val="00F33918"/>
    <w:rsid w:val="00F33A98"/>
    <w:rsid w:val="00F33B8D"/>
    <w:rsid w:val="00F33C02"/>
    <w:rsid w:val="00F33CB5"/>
    <w:rsid w:val="00F33FC4"/>
    <w:rsid w:val="00F342F4"/>
    <w:rsid w:val="00F34300"/>
    <w:rsid w:val="00F34382"/>
    <w:rsid w:val="00F343D8"/>
    <w:rsid w:val="00F3455F"/>
    <w:rsid w:val="00F34579"/>
    <w:rsid w:val="00F34597"/>
    <w:rsid w:val="00F34917"/>
    <w:rsid w:val="00F34920"/>
    <w:rsid w:val="00F3497D"/>
    <w:rsid w:val="00F34EBF"/>
    <w:rsid w:val="00F3518C"/>
    <w:rsid w:val="00F352D2"/>
    <w:rsid w:val="00F35351"/>
    <w:rsid w:val="00F3548D"/>
    <w:rsid w:val="00F3549F"/>
    <w:rsid w:val="00F356AF"/>
    <w:rsid w:val="00F357F8"/>
    <w:rsid w:val="00F35C30"/>
    <w:rsid w:val="00F35DAA"/>
    <w:rsid w:val="00F35E46"/>
    <w:rsid w:val="00F35F91"/>
    <w:rsid w:val="00F3603D"/>
    <w:rsid w:val="00F36045"/>
    <w:rsid w:val="00F36093"/>
    <w:rsid w:val="00F361BC"/>
    <w:rsid w:val="00F362AD"/>
    <w:rsid w:val="00F36568"/>
    <w:rsid w:val="00F36749"/>
    <w:rsid w:val="00F36A31"/>
    <w:rsid w:val="00F36A35"/>
    <w:rsid w:val="00F36A84"/>
    <w:rsid w:val="00F36A94"/>
    <w:rsid w:val="00F36C88"/>
    <w:rsid w:val="00F36DB5"/>
    <w:rsid w:val="00F36EB3"/>
    <w:rsid w:val="00F37077"/>
    <w:rsid w:val="00F37155"/>
    <w:rsid w:val="00F374BF"/>
    <w:rsid w:val="00F376DC"/>
    <w:rsid w:val="00F37965"/>
    <w:rsid w:val="00F37FA6"/>
    <w:rsid w:val="00F40162"/>
    <w:rsid w:val="00F407EF"/>
    <w:rsid w:val="00F40A12"/>
    <w:rsid w:val="00F40A37"/>
    <w:rsid w:val="00F40DC3"/>
    <w:rsid w:val="00F40F3C"/>
    <w:rsid w:val="00F41120"/>
    <w:rsid w:val="00F412AB"/>
    <w:rsid w:val="00F41603"/>
    <w:rsid w:val="00F41654"/>
    <w:rsid w:val="00F41818"/>
    <w:rsid w:val="00F4195F"/>
    <w:rsid w:val="00F419B5"/>
    <w:rsid w:val="00F41B4E"/>
    <w:rsid w:val="00F41C32"/>
    <w:rsid w:val="00F41CF6"/>
    <w:rsid w:val="00F41D6B"/>
    <w:rsid w:val="00F41DE9"/>
    <w:rsid w:val="00F41E2B"/>
    <w:rsid w:val="00F41EB5"/>
    <w:rsid w:val="00F41F7D"/>
    <w:rsid w:val="00F42013"/>
    <w:rsid w:val="00F421D3"/>
    <w:rsid w:val="00F424CF"/>
    <w:rsid w:val="00F4255A"/>
    <w:rsid w:val="00F428BC"/>
    <w:rsid w:val="00F42A06"/>
    <w:rsid w:val="00F42DBA"/>
    <w:rsid w:val="00F42FAC"/>
    <w:rsid w:val="00F43192"/>
    <w:rsid w:val="00F43237"/>
    <w:rsid w:val="00F4353E"/>
    <w:rsid w:val="00F43583"/>
    <w:rsid w:val="00F435A7"/>
    <w:rsid w:val="00F4370B"/>
    <w:rsid w:val="00F43850"/>
    <w:rsid w:val="00F438B6"/>
    <w:rsid w:val="00F43A27"/>
    <w:rsid w:val="00F43CA4"/>
    <w:rsid w:val="00F43D7C"/>
    <w:rsid w:val="00F43E24"/>
    <w:rsid w:val="00F44076"/>
    <w:rsid w:val="00F44172"/>
    <w:rsid w:val="00F44271"/>
    <w:rsid w:val="00F4437B"/>
    <w:rsid w:val="00F44505"/>
    <w:rsid w:val="00F4467C"/>
    <w:rsid w:val="00F44885"/>
    <w:rsid w:val="00F44912"/>
    <w:rsid w:val="00F44A05"/>
    <w:rsid w:val="00F44FF5"/>
    <w:rsid w:val="00F4500A"/>
    <w:rsid w:val="00F45156"/>
    <w:rsid w:val="00F45194"/>
    <w:rsid w:val="00F451BB"/>
    <w:rsid w:val="00F454BE"/>
    <w:rsid w:val="00F4557E"/>
    <w:rsid w:val="00F45636"/>
    <w:rsid w:val="00F45648"/>
    <w:rsid w:val="00F456A0"/>
    <w:rsid w:val="00F458CD"/>
    <w:rsid w:val="00F45A04"/>
    <w:rsid w:val="00F45C27"/>
    <w:rsid w:val="00F45C56"/>
    <w:rsid w:val="00F45C80"/>
    <w:rsid w:val="00F45F22"/>
    <w:rsid w:val="00F45FEA"/>
    <w:rsid w:val="00F460DB"/>
    <w:rsid w:val="00F4613B"/>
    <w:rsid w:val="00F46398"/>
    <w:rsid w:val="00F463AF"/>
    <w:rsid w:val="00F463B8"/>
    <w:rsid w:val="00F464C1"/>
    <w:rsid w:val="00F4657B"/>
    <w:rsid w:val="00F46592"/>
    <w:rsid w:val="00F46668"/>
    <w:rsid w:val="00F46725"/>
    <w:rsid w:val="00F46884"/>
    <w:rsid w:val="00F46C1A"/>
    <w:rsid w:val="00F46E75"/>
    <w:rsid w:val="00F471CC"/>
    <w:rsid w:val="00F47303"/>
    <w:rsid w:val="00F47410"/>
    <w:rsid w:val="00F47416"/>
    <w:rsid w:val="00F47626"/>
    <w:rsid w:val="00F4765C"/>
    <w:rsid w:val="00F47739"/>
    <w:rsid w:val="00F4773A"/>
    <w:rsid w:val="00F47887"/>
    <w:rsid w:val="00F478B2"/>
    <w:rsid w:val="00F47929"/>
    <w:rsid w:val="00F47B9E"/>
    <w:rsid w:val="00F47E17"/>
    <w:rsid w:val="00F47E80"/>
    <w:rsid w:val="00F47EB4"/>
    <w:rsid w:val="00F47F56"/>
    <w:rsid w:val="00F47FD8"/>
    <w:rsid w:val="00F50084"/>
    <w:rsid w:val="00F500AF"/>
    <w:rsid w:val="00F50316"/>
    <w:rsid w:val="00F505D2"/>
    <w:rsid w:val="00F5078A"/>
    <w:rsid w:val="00F507B7"/>
    <w:rsid w:val="00F509AC"/>
    <w:rsid w:val="00F50B57"/>
    <w:rsid w:val="00F50BBA"/>
    <w:rsid w:val="00F50D2E"/>
    <w:rsid w:val="00F51062"/>
    <w:rsid w:val="00F51067"/>
    <w:rsid w:val="00F5114C"/>
    <w:rsid w:val="00F5115E"/>
    <w:rsid w:val="00F512C6"/>
    <w:rsid w:val="00F5156D"/>
    <w:rsid w:val="00F517AE"/>
    <w:rsid w:val="00F519D6"/>
    <w:rsid w:val="00F51A55"/>
    <w:rsid w:val="00F51A61"/>
    <w:rsid w:val="00F51BD1"/>
    <w:rsid w:val="00F51BE7"/>
    <w:rsid w:val="00F51CBB"/>
    <w:rsid w:val="00F51D5A"/>
    <w:rsid w:val="00F51DE0"/>
    <w:rsid w:val="00F51EDB"/>
    <w:rsid w:val="00F51FB0"/>
    <w:rsid w:val="00F52265"/>
    <w:rsid w:val="00F52332"/>
    <w:rsid w:val="00F5246D"/>
    <w:rsid w:val="00F52505"/>
    <w:rsid w:val="00F52565"/>
    <w:rsid w:val="00F52848"/>
    <w:rsid w:val="00F52943"/>
    <w:rsid w:val="00F529A5"/>
    <w:rsid w:val="00F52A79"/>
    <w:rsid w:val="00F52ACA"/>
    <w:rsid w:val="00F52D17"/>
    <w:rsid w:val="00F53360"/>
    <w:rsid w:val="00F533CA"/>
    <w:rsid w:val="00F53516"/>
    <w:rsid w:val="00F5358A"/>
    <w:rsid w:val="00F53611"/>
    <w:rsid w:val="00F53758"/>
    <w:rsid w:val="00F53A50"/>
    <w:rsid w:val="00F53A72"/>
    <w:rsid w:val="00F53A94"/>
    <w:rsid w:val="00F53A95"/>
    <w:rsid w:val="00F53A9B"/>
    <w:rsid w:val="00F53CE8"/>
    <w:rsid w:val="00F53E73"/>
    <w:rsid w:val="00F54135"/>
    <w:rsid w:val="00F54204"/>
    <w:rsid w:val="00F5421E"/>
    <w:rsid w:val="00F543CE"/>
    <w:rsid w:val="00F545B6"/>
    <w:rsid w:val="00F546B7"/>
    <w:rsid w:val="00F54C34"/>
    <w:rsid w:val="00F54CCE"/>
    <w:rsid w:val="00F550B1"/>
    <w:rsid w:val="00F551A1"/>
    <w:rsid w:val="00F552A3"/>
    <w:rsid w:val="00F55303"/>
    <w:rsid w:val="00F55456"/>
    <w:rsid w:val="00F55467"/>
    <w:rsid w:val="00F5579F"/>
    <w:rsid w:val="00F55A2F"/>
    <w:rsid w:val="00F55B80"/>
    <w:rsid w:val="00F55E09"/>
    <w:rsid w:val="00F55E90"/>
    <w:rsid w:val="00F55FC4"/>
    <w:rsid w:val="00F56020"/>
    <w:rsid w:val="00F56056"/>
    <w:rsid w:val="00F560CE"/>
    <w:rsid w:val="00F5642C"/>
    <w:rsid w:val="00F56576"/>
    <w:rsid w:val="00F565EF"/>
    <w:rsid w:val="00F567B0"/>
    <w:rsid w:val="00F5685F"/>
    <w:rsid w:val="00F5687B"/>
    <w:rsid w:val="00F56CAD"/>
    <w:rsid w:val="00F56D2D"/>
    <w:rsid w:val="00F56DCF"/>
    <w:rsid w:val="00F56E18"/>
    <w:rsid w:val="00F56E56"/>
    <w:rsid w:val="00F56F60"/>
    <w:rsid w:val="00F56F9A"/>
    <w:rsid w:val="00F57005"/>
    <w:rsid w:val="00F570D6"/>
    <w:rsid w:val="00F57366"/>
    <w:rsid w:val="00F57477"/>
    <w:rsid w:val="00F57602"/>
    <w:rsid w:val="00F57627"/>
    <w:rsid w:val="00F57663"/>
    <w:rsid w:val="00F57785"/>
    <w:rsid w:val="00F57A70"/>
    <w:rsid w:val="00F57ABF"/>
    <w:rsid w:val="00F57F29"/>
    <w:rsid w:val="00F57FEC"/>
    <w:rsid w:val="00F60177"/>
    <w:rsid w:val="00F601BD"/>
    <w:rsid w:val="00F6058C"/>
    <w:rsid w:val="00F60694"/>
    <w:rsid w:val="00F6070D"/>
    <w:rsid w:val="00F6088A"/>
    <w:rsid w:val="00F6092E"/>
    <w:rsid w:val="00F60E64"/>
    <w:rsid w:val="00F60FC1"/>
    <w:rsid w:val="00F61002"/>
    <w:rsid w:val="00F61140"/>
    <w:rsid w:val="00F61188"/>
    <w:rsid w:val="00F61282"/>
    <w:rsid w:val="00F61583"/>
    <w:rsid w:val="00F6164F"/>
    <w:rsid w:val="00F61760"/>
    <w:rsid w:val="00F61861"/>
    <w:rsid w:val="00F61893"/>
    <w:rsid w:val="00F619F4"/>
    <w:rsid w:val="00F61A94"/>
    <w:rsid w:val="00F61EDC"/>
    <w:rsid w:val="00F6233F"/>
    <w:rsid w:val="00F62460"/>
    <w:rsid w:val="00F62532"/>
    <w:rsid w:val="00F6284F"/>
    <w:rsid w:val="00F62A9F"/>
    <w:rsid w:val="00F62B7A"/>
    <w:rsid w:val="00F62C37"/>
    <w:rsid w:val="00F62EDF"/>
    <w:rsid w:val="00F62FE2"/>
    <w:rsid w:val="00F63097"/>
    <w:rsid w:val="00F632BC"/>
    <w:rsid w:val="00F6341D"/>
    <w:rsid w:val="00F63500"/>
    <w:rsid w:val="00F635CB"/>
    <w:rsid w:val="00F6397D"/>
    <w:rsid w:val="00F639E9"/>
    <w:rsid w:val="00F63A6C"/>
    <w:rsid w:val="00F63ADE"/>
    <w:rsid w:val="00F63E67"/>
    <w:rsid w:val="00F640AE"/>
    <w:rsid w:val="00F6420C"/>
    <w:rsid w:val="00F6447B"/>
    <w:rsid w:val="00F646E1"/>
    <w:rsid w:val="00F647FC"/>
    <w:rsid w:val="00F64897"/>
    <w:rsid w:val="00F648A3"/>
    <w:rsid w:val="00F649FA"/>
    <w:rsid w:val="00F64A59"/>
    <w:rsid w:val="00F64AAB"/>
    <w:rsid w:val="00F64D1C"/>
    <w:rsid w:val="00F64E3D"/>
    <w:rsid w:val="00F64E5D"/>
    <w:rsid w:val="00F6526B"/>
    <w:rsid w:val="00F65296"/>
    <w:rsid w:val="00F65343"/>
    <w:rsid w:val="00F65354"/>
    <w:rsid w:val="00F65403"/>
    <w:rsid w:val="00F6540E"/>
    <w:rsid w:val="00F6562A"/>
    <w:rsid w:val="00F656C8"/>
    <w:rsid w:val="00F656E5"/>
    <w:rsid w:val="00F6574C"/>
    <w:rsid w:val="00F657D1"/>
    <w:rsid w:val="00F659B0"/>
    <w:rsid w:val="00F65A02"/>
    <w:rsid w:val="00F65A91"/>
    <w:rsid w:val="00F65B1E"/>
    <w:rsid w:val="00F65D70"/>
    <w:rsid w:val="00F65E0B"/>
    <w:rsid w:val="00F66340"/>
    <w:rsid w:val="00F664D9"/>
    <w:rsid w:val="00F6686C"/>
    <w:rsid w:val="00F669A1"/>
    <w:rsid w:val="00F66BBE"/>
    <w:rsid w:val="00F66CAC"/>
    <w:rsid w:val="00F66D89"/>
    <w:rsid w:val="00F66E44"/>
    <w:rsid w:val="00F6721F"/>
    <w:rsid w:val="00F67241"/>
    <w:rsid w:val="00F67474"/>
    <w:rsid w:val="00F67AD2"/>
    <w:rsid w:val="00F67B91"/>
    <w:rsid w:val="00F67BCC"/>
    <w:rsid w:val="00F67EE4"/>
    <w:rsid w:val="00F67EEE"/>
    <w:rsid w:val="00F701AA"/>
    <w:rsid w:val="00F70384"/>
    <w:rsid w:val="00F7038D"/>
    <w:rsid w:val="00F7041A"/>
    <w:rsid w:val="00F7061D"/>
    <w:rsid w:val="00F70E4C"/>
    <w:rsid w:val="00F70F16"/>
    <w:rsid w:val="00F70FAD"/>
    <w:rsid w:val="00F71050"/>
    <w:rsid w:val="00F71190"/>
    <w:rsid w:val="00F712A6"/>
    <w:rsid w:val="00F71A98"/>
    <w:rsid w:val="00F71B46"/>
    <w:rsid w:val="00F71B75"/>
    <w:rsid w:val="00F71F9C"/>
    <w:rsid w:val="00F72189"/>
    <w:rsid w:val="00F722DB"/>
    <w:rsid w:val="00F72472"/>
    <w:rsid w:val="00F726D3"/>
    <w:rsid w:val="00F7271B"/>
    <w:rsid w:val="00F7277B"/>
    <w:rsid w:val="00F7293E"/>
    <w:rsid w:val="00F72960"/>
    <w:rsid w:val="00F72971"/>
    <w:rsid w:val="00F72A2E"/>
    <w:rsid w:val="00F72A57"/>
    <w:rsid w:val="00F72AB9"/>
    <w:rsid w:val="00F73203"/>
    <w:rsid w:val="00F73435"/>
    <w:rsid w:val="00F734EB"/>
    <w:rsid w:val="00F73610"/>
    <w:rsid w:val="00F736E8"/>
    <w:rsid w:val="00F73762"/>
    <w:rsid w:val="00F7387D"/>
    <w:rsid w:val="00F73987"/>
    <w:rsid w:val="00F73BA0"/>
    <w:rsid w:val="00F73C27"/>
    <w:rsid w:val="00F73C96"/>
    <w:rsid w:val="00F73CF1"/>
    <w:rsid w:val="00F73FB6"/>
    <w:rsid w:val="00F7403B"/>
    <w:rsid w:val="00F740D0"/>
    <w:rsid w:val="00F74155"/>
    <w:rsid w:val="00F74370"/>
    <w:rsid w:val="00F74563"/>
    <w:rsid w:val="00F747AA"/>
    <w:rsid w:val="00F7488E"/>
    <w:rsid w:val="00F74A88"/>
    <w:rsid w:val="00F74C24"/>
    <w:rsid w:val="00F74D08"/>
    <w:rsid w:val="00F74DE1"/>
    <w:rsid w:val="00F74DF4"/>
    <w:rsid w:val="00F74EBD"/>
    <w:rsid w:val="00F74F33"/>
    <w:rsid w:val="00F75256"/>
    <w:rsid w:val="00F75261"/>
    <w:rsid w:val="00F752C4"/>
    <w:rsid w:val="00F7549D"/>
    <w:rsid w:val="00F756B9"/>
    <w:rsid w:val="00F75C7B"/>
    <w:rsid w:val="00F75F01"/>
    <w:rsid w:val="00F75FA5"/>
    <w:rsid w:val="00F76261"/>
    <w:rsid w:val="00F76274"/>
    <w:rsid w:val="00F7649C"/>
    <w:rsid w:val="00F76650"/>
    <w:rsid w:val="00F769B1"/>
    <w:rsid w:val="00F76C1B"/>
    <w:rsid w:val="00F76CC8"/>
    <w:rsid w:val="00F76F09"/>
    <w:rsid w:val="00F76F5F"/>
    <w:rsid w:val="00F76F8A"/>
    <w:rsid w:val="00F77046"/>
    <w:rsid w:val="00F770AC"/>
    <w:rsid w:val="00F770C2"/>
    <w:rsid w:val="00F770F0"/>
    <w:rsid w:val="00F77203"/>
    <w:rsid w:val="00F77395"/>
    <w:rsid w:val="00F775B2"/>
    <w:rsid w:val="00F775B8"/>
    <w:rsid w:val="00F77834"/>
    <w:rsid w:val="00F77AD8"/>
    <w:rsid w:val="00F77BCA"/>
    <w:rsid w:val="00F77C9B"/>
    <w:rsid w:val="00F77D41"/>
    <w:rsid w:val="00F77DE3"/>
    <w:rsid w:val="00F77FC7"/>
    <w:rsid w:val="00F80425"/>
    <w:rsid w:val="00F805DC"/>
    <w:rsid w:val="00F8081A"/>
    <w:rsid w:val="00F80893"/>
    <w:rsid w:val="00F809A6"/>
    <w:rsid w:val="00F80A1B"/>
    <w:rsid w:val="00F80CBA"/>
    <w:rsid w:val="00F8103C"/>
    <w:rsid w:val="00F81073"/>
    <w:rsid w:val="00F81149"/>
    <w:rsid w:val="00F8114F"/>
    <w:rsid w:val="00F813BB"/>
    <w:rsid w:val="00F813D2"/>
    <w:rsid w:val="00F817AE"/>
    <w:rsid w:val="00F8197A"/>
    <w:rsid w:val="00F81BDF"/>
    <w:rsid w:val="00F81C64"/>
    <w:rsid w:val="00F81DD5"/>
    <w:rsid w:val="00F82273"/>
    <w:rsid w:val="00F822C8"/>
    <w:rsid w:val="00F8231C"/>
    <w:rsid w:val="00F82516"/>
    <w:rsid w:val="00F82651"/>
    <w:rsid w:val="00F826BB"/>
    <w:rsid w:val="00F826D0"/>
    <w:rsid w:val="00F82724"/>
    <w:rsid w:val="00F82CF7"/>
    <w:rsid w:val="00F82DDC"/>
    <w:rsid w:val="00F82E27"/>
    <w:rsid w:val="00F82E60"/>
    <w:rsid w:val="00F82EF7"/>
    <w:rsid w:val="00F831DD"/>
    <w:rsid w:val="00F832E8"/>
    <w:rsid w:val="00F83366"/>
    <w:rsid w:val="00F8349E"/>
    <w:rsid w:val="00F8356F"/>
    <w:rsid w:val="00F835F8"/>
    <w:rsid w:val="00F83697"/>
    <w:rsid w:val="00F8386F"/>
    <w:rsid w:val="00F83D78"/>
    <w:rsid w:val="00F83DAA"/>
    <w:rsid w:val="00F83E3E"/>
    <w:rsid w:val="00F83E73"/>
    <w:rsid w:val="00F83F41"/>
    <w:rsid w:val="00F83FE7"/>
    <w:rsid w:val="00F84043"/>
    <w:rsid w:val="00F84045"/>
    <w:rsid w:val="00F844D3"/>
    <w:rsid w:val="00F8466D"/>
    <w:rsid w:val="00F84679"/>
    <w:rsid w:val="00F8484A"/>
    <w:rsid w:val="00F848E7"/>
    <w:rsid w:val="00F84945"/>
    <w:rsid w:val="00F849C7"/>
    <w:rsid w:val="00F84A60"/>
    <w:rsid w:val="00F84DBB"/>
    <w:rsid w:val="00F84EA4"/>
    <w:rsid w:val="00F8542F"/>
    <w:rsid w:val="00F85437"/>
    <w:rsid w:val="00F85506"/>
    <w:rsid w:val="00F8555A"/>
    <w:rsid w:val="00F855EB"/>
    <w:rsid w:val="00F857D5"/>
    <w:rsid w:val="00F85B7E"/>
    <w:rsid w:val="00F85D98"/>
    <w:rsid w:val="00F85ED2"/>
    <w:rsid w:val="00F85FEE"/>
    <w:rsid w:val="00F8606F"/>
    <w:rsid w:val="00F8645C"/>
    <w:rsid w:val="00F867B8"/>
    <w:rsid w:val="00F86843"/>
    <w:rsid w:val="00F86C00"/>
    <w:rsid w:val="00F86C34"/>
    <w:rsid w:val="00F86CAB"/>
    <w:rsid w:val="00F86F28"/>
    <w:rsid w:val="00F86FD7"/>
    <w:rsid w:val="00F871C6"/>
    <w:rsid w:val="00F8721A"/>
    <w:rsid w:val="00F876BA"/>
    <w:rsid w:val="00F8772C"/>
    <w:rsid w:val="00F87821"/>
    <w:rsid w:val="00F878F7"/>
    <w:rsid w:val="00F8791C"/>
    <w:rsid w:val="00F87B3B"/>
    <w:rsid w:val="00F87C88"/>
    <w:rsid w:val="00F87C8B"/>
    <w:rsid w:val="00F900B7"/>
    <w:rsid w:val="00F90377"/>
    <w:rsid w:val="00F9038E"/>
    <w:rsid w:val="00F90450"/>
    <w:rsid w:val="00F90681"/>
    <w:rsid w:val="00F909F1"/>
    <w:rsid w:val="00F90B72"/>
    <w:rsid w:val="00F90CA9"/>
    <w:rsid w:val="00F90E79"/>
    <w:rsid w:val="00F91206"/>
    <w:rsid w:val="00F9120F"/>
    <w:rsid w:val="00F91264"/>
    <w:rsid w:val="00F91313"/>
    <w:rsid w:val="00F9144F"/>
    <w:rsid w:val="00F91627"/>
    <w:rsid w:val="00F9166A"/>
    <w:rsid w:val="00F91701"/>
    <w:rsid w:val="00F9187B"/>
    <w:rsid w:val="00F919B3"/>
    <w:rsid w:val="00F91ABF"/>
    <w:rsid w:val="00F91B89"/>
    <w:rsid w:val="00F91E0E"/>
    <w:rsid w:val="00F91F52"/>
    <w:rsid w:val="00F92008"/>
    <w:rsid w:val="00F9208E"/>
    <w:rsid w:val="00F92207"/>
    <w:rsid w:val="00F92231"/>
    <w:rsid w:val="00F92375"/>
    <w:rsid w:val="00F92385"/>
    <w:rsid w:val="00F923B7"/>
    <w:rsid w:val="00F925F4"/>
    <w:rsid w:val="00F926EC"/>
    <w:rsid w:val="00F9273C"/>
    <w:rsid w:val="00F92956"/>
    <w:rsid w:val="00F92A9F"/>
    <w:rsid w:val="00F92D56"/>
    <w:rsid w:val="00F92DA4"/>
    <w:rsid w:val="00F92DC0"/>
    <w:rsid w:val="00F93148"/>
    <w:rsid w:val="00F93179"/>
    <w:rsid w:val="00F93718"/>
    <w:rsid w:val="00F937F2"/>
    <w:rsid w:val="00F938AD"/>
    <w:rsid w:val="00F938F2"/>
    <w:rsid w:val="00F93A63"/>
    <w:rsid w:val="00F94016"/>
    <w:rsid w:val="00F941BD"/>
    <w:rsid w:val="00F941DA"/>
    <w:rsid w:val="00F94343"/>
    <w:rsid w:val="00F94417"/>
    <w:rsid w:val="00F9482B"/>
    <w:rsid w:val="00F94994"/>
    <w:rsid w:val="00F94AD3"/>
    <w:rsid w:val="00F94D35"/>
    <w:rsid w:val="00F94D39"/>
    <w:rsid w:val="00F94DC6"/>
    <w:rsid w:val="00F94E05"/>
    <w:rsid w:val="00F94F64"/>
    <w:rsid w:val="00F94FA0"/>
    <w:rsid w:val="00F953B8"/>
    <w:rsid w:val="00F9553E"/>
    <w:rsid w:val="00F956F0"/>
    <w:rsid w:val="00F95876"/>
    <w:rsid w:val="00F958BC"/>
    <w:rsid w:val="00F9594C"/>
    <w:rsid w:val="00F95AF0"/>
    <w:rsid w:val="00F95CC4"/>
    <w:rsid w:val="00F95E8F"/>
    <w:rsid w:val="00F95EC6"/>
    <w:rsid w:val="00F9623E"/>
    <w:rsid w:val="00F962E4"/>
    <w:rsid w:val="00F96444"/>
    <w:rsid w:val="00F96460"/>
    <w:rsid w:val="00F9675C"/>
    <w:rsid w:val="00F9678C"/>
    <w:rsid w:val="00F967A5"/>
    <w:rsid w:val="00F96B45"/>
    <w:rsid w:val="00F96CC0"/>
    <w:rsid w:val="00F96F04"/>
    <w:rsid w:val="00F96F2B"/>
    <w:rsid w:val="00F970B9"/>
    <w:rsid w:val="00F971A7"/>
    <w:rsid w:val="00F972D0"/>
    <w:rsid w:val="00F97398"/>
    <w:rsid w:val="00F97470"/>
    <w:rsid w:val="00F974D9"/>
    <w:rsid w:val="00F97589"/>
    <w:rsid w:val="00F97605"/>
    <w:rsid w:val="00F9776D"/>
    <w:rsid w:val="00F977D3"/>
    <w:rsid w:val="00F979A4"/>
    <w:rsid w:val="00F97A20"/>
    <w:rsid w:val="00F97C1B"/>
    <w:rsid w:val="00F97CB2"/>
    <w:rsid w:val="00F97D6E"/>
    <w:rsid w:val="00F97D87"/>
    <w:rsid w:val="00F97E1F"/>
    <w:rsid w:val="00F97FC0"/>
    <w:rsid w:val="00FA001D"/>
    <w:rsid w:val="00FA03F3"/>
    <w:rsid w:val="00FA047B"/>
    <w:rsid w:val="00FA05BF"/>
    <w:rsid w:val="00FA0623"/>
    <w:rsid w:val="00FA067E"/>
    <w:rsid w:val="00FA0747"/>
    <w:rsid w:val="00FA093C"/>
    <w:rsid w:val="00FA0CBB"/>
    <w:rsid w:val="00FA0F27"/>
    <w:rsid w:val="00FA0F71"/>
    <w:rsid w:val="00FA1123"/>
    <w:rsid w:val="00FA12A6"/>
    <w:rsid w:val="00FA14E7"/>
    <w:rsid w:val="00FA17BC"/>
    <w:rsid w:val="00FA1B4F"/>
    <w:rsid w:val="00FA1F5E"/>
    <w:rsid w:val="00FA225A"/>
    <w:rsid w:val="00FA2657"/>
    <w:rsid w:val="00FA2841"/>
    <w:rsid w:val="00FA288A"/>
    <w:rsid w:val="00FA28AB"/>
    <w:rsid w:val="00FA299D"/>
    <w:rsid w:val="00FA2A27"/>
    <w:rsid w:val="00FA2AD6"/>
    <w:rsid w:val="00FA2B89"/>
    <w:rsid w:val="00FA2BB5"/>
    <w:rsid w:val="00FA2F4D"/>
    <w:rsid w:val="00FA2F5A"/>
    <w:rsid w:val="00FA3052"/>
    <w:rsid w:val="00FA319F"/>
    <w:rsid w:val="00FA31D1"/>
    <w:rsid w:val="00FA31F7"/>
    <w:rsid w:val="00FA33DD"/>
    <w:rsid w:val="00FA34A7"/>
    <w:rsid w:val="00FA34C2"/>
    <w:rsid w:val="00FA34E2"/>
    <w:rsid w:val="00FA3647"/>
    <w:rsid w:val="00FA3826"/>
    <w:rsid w:val="00FA3972"/>
    <w:rsid w:val="00FA3B05"/>
    <w:rsid w:val="00FA3B46"/>
    <w:rsid w:val="00FA3DF1"/>
    <w:rsid w:val="00FA3E8D"/>
    <w:rsid w:val="00FA3FFE"/>
    <w:rsid w:val="00FA402B"/>
    <w:rsid w:val="00FA4030"/>
    <w:rsid w:val="00FA410D"/>
    <w:rsid w:val="00FA4197"/>
    <w:rsid w:val="00FA42FD"/>
    <w:rsid w:val="00FA46F1"/>
    <w:rsid w:val="00FA4A5F"/>
    <w:rsid w:val="00FA4DBF"/>
    <w:rsid w:val="00FA4DC2"/>
    <w:rsid w:val="00FA4F99"/>
    <w:rsid w:val="00FA5010"/>
    <w:rsid w:val="00FA51A4"/>
    <w:rsid w:val="00FA531D"/>
    <w:rsid w:val="00FA536A"/>
    <w:rsid w:val="00FA5447"/>
    <w:rsid w:val="00FA54EE"/>
    <w:rsid w:val="00FA553E"/>
    <w:rsid w:val="00FA57AE"/>
    <w:rsid w:val="00FA59B8"/>
    <w:rsid w:val="00FA5AFF"/>
    <w:rsid w:val="00FA5E61"/>
    <w:rsid w:val="00FA6036"/>
    <w:rsid w:val="00FA6142"/>
    <w:rsid w:val="00FA61C7"/>
    <w:rsid w:val="00FA6543"/>
    <w:rsid w:val="00FA659A"/>
    <w:rsid w:val="00FA67E2"/>
    <w:rsid w:val="00FA6832"/>
    <w:rsid w:val="00FA6872"/>
    <w:rsid w:val="00FA6FAA"/>
    <w:rsid w:val="00FA72D6"/>
    <w:rsid w:val="00FA731E"/>
    <w:rsid w:val="00FA7361"/>
    <w:rsid w:val="00FA7585"/>
    <w:rsid w:val="00FA75DD"/>
    <w:rsid w:val="00FA77FD"/>
    <w:rsid w:val="00FA7946"/>
    <w:rsid w:val="00FA7BED"/>
    <w:rsid w:val="00FA7D78"/>
    <w:rsid w:val="00FA7E41"/>
    <w:rsid w:val="00FA7F86"/>
    <w:rsid w:val="00FB0335"/>
    <w:rsid w:val="00FB052D"/>
    <w:rsid w:val="00FB0822"/>
    <w:rsid w:val="00FB0A5F"/>
    <w:rsid w:val="00FB0AA8"/>
    <w:rsid w:val="00FB0AF2"/>
    <w:rsid w:val="00FB1677"/>
    <w:rsid w:val="00FB188D"/>
    <w:rsid w:val="00FB197C"/>
    <w:rsid w:val="00FB1A0C"/>
    <w:rsid w:val="00FB1A45"/>
    <w:rsid w:val="00FB1BE1"/>
    <w:rsid w:val="00FB1CF2"/>
    <w:rsid w:val="00FB1D40"/>
    <w:rsid w:val="00FB1EBB"/>
    <w:rsid w:val="00FB1F45"/>
    <w:rsid w:val="00FB200E"/>
    <w:rsid w:val="00FB205F"/>
    <w:rsid w:val="00FB223A"/>
    <w:rsid w:val="00FB223D"/>
    <w:rsid w:val="00FB2417"/>
    <w:rsid w:val="00FB2538"/>
    <w:rsid w:val="00FB2652"/>
    <w:rsid w:val="00FB2731"/>
    <w:rsid w:val="00FB2772"/>
    <w:rsid w:val="00FB27A3"/>
    <w:rsid w:val="00FB2844"/>
    <w:rsid w:val="00FB28CC"/>
    <w:rsid w:val="00FB28E9"/>
    <w:rsid w:val="00FB2A7F"/>
    <w:rsid w:val="00FB2AF6"/>
    <w:rsid w:val="00FB2CFA"/>
    <w:rsid w:val="00FB2D06"/>
    <w:rsid w:val="00FB2E43"/>
    <w:rsid w:val="00FB2EC2"/>
    <w:rsid w:val="00FB3362"/>
    <w:rsid w:val="00FB3509"/>
    <w:rsid w:val="00FB362D"/>
    <w:rsid w:val="00FB3651"/>
    <w:rsid w:val="00FB3977"/>
    <w:rsid w:val="00FB3A4D"/>
    <w:rsid w:val="00FB3AB6"/>
    <w:rsid w:val="00FB3F1D"/>
    <w:rsid w:val="00FB44A4"/>
    <w:rsid w:val="00FB45A7"/>
    <w:rsid w:val="00FB49D5"/>
    <w:rsid w:val="00FB4B2E"/>
    <w:rsid w:val="00FB4BA3"/>
    <w:rsid w:val="00FB4BB3"/>
    <w:rsid w:val="00FB4BF2"/>
    <w:rsid w:val="00FB4F74"/>
    <w:rsid w:val="00FB50DB"/>
    <w:rsid w:val="00FB5176"/>
    <w:rsid w:val="00FB52F4"/>
    <w:rsid w:val="00FB53C0"/>
    <w:rsid w:val="00FB540E"/>
    <w:rsid w:val="00FB5854"/>
    <w:rsid w:val="00FB59B8"/>
    <w:rsid w:val="00FB59DC"/>
    <w:rsid w:val="00FB5B47"/>
    <w:rsid w:val="00FB5DC5"/>
    <w:rsid w:val="00FB5FB2"/>
    <w:rsid w:val="00FB61EB"/>
    <w:rsid w:val="00FB681D"/>
    <w:rsid w:val="00FB6820"/>
    <w:rsid w:val="00FB6830"/>
    <w:rsid w:val="00FB68FA"/>
    <w:rsid w:val="00FB6ADA"/>
    <w:rsid w:val="00FB6C1F"/>
    <w:rsid w:val="00FB6C68"/>
    <w:rsid w:val="00FB6C9A"/>
    <w:rsid w:val="00FB6E5C"/>
    <w:rsid w:val="00FB717F"/>
    <w:rsid w:val="00FB737E"/>
    <w:rsid w:val="00FB73CF"/>
    <w:rsid w:val="00FB7462"/>
    <w:rsid w:val="00FB761F"/>
    <w:rsid w:val="00FB7B1F"/>
    <w:rsid w:val="00FB7C73"/>
    <w:rsid w:val="00FB7F70"/>
    <w:rsid w:val="00FC01C9"/>
    <w:rsid w:val="00FC0428"/>
    <w:rsid w:val="00FC0444"/>
    <w:rsid w:val="00FC0738"/>
    <w:rsid w:val="00FC0767"/>
    <w:rsid w:val="00FC07C8"/>
    <w:rsid w:val="00FC0C6D"/>
    <w:rsid w:val="00FC0D07"/>
    <w:rsid w:val="00FC0E29"/>
    <w:rsid w:val="00FC0E81"/>
    <w:rsid w:val="00FC0EB2"/>
    <w:rsid w:val="00FC142F"/>
    <w:rsid w:val="00FC1487"/>
    <w:rsid w:val="00FC1494"/>
    <w:rsid w:val="00FC1763"/>
    <w:rsid w:val="00FC178B"/>
    <w:rsid w:val="00FC1B11"/>
    <w:rsid w:val="00FC1B3B"/>
    <w:rsid w:val="00FC1B5A"/>
    <w:rsid w:val="00FC1E84"/>
    <w:rsid w:val="00FC1E9D"/>
    <w:rsid w:val="00FC1F63"/>
    <w:rsid w:val="00FC1FB0"/>
    <w:rsid w:val="00FC2106"/>
    <w:rsid w:val="00FC247C"/>
    <w:rsid w:val="00FC2730"/>
    <w:rsid w:val="00FC2791"/>
    <w:rsid w:val="00FC2841"/>
    <w:rsid w:val="00FC2875"/>
    <w:rsid w:val="00FC29DB"/>
    <w:rsid w:val="00FC2DFB"/>
    <w:rsid w:val="00FC2F27"/>
    <w:rsid w:val="00FC34C9"/>
    <w:rsid w:val="00FC3A40"/>
    <w:rsid w:val="00FC3C55"/>
    <w:rsid w:val="00FC3FC3"/>
    <w:rsid w:val="00FC43C6"/>
    <w:rsid w:val="00FC456D"/>
    <w:rsid w:val="00FC45E5"/>
    <w:rsid w:val="00FC4756"/>
    <w:rsid w:val="00FC47F9"/>
    <w:rsid w:val="00FC4833"/>
    <w:rsid w:val="00FC4892"/>
    <w:rsid w:val="00FC4FCB"/>
    <w:rsid w:val="00FC5192"/>
    <w:rsid w:val="00FC524C"/>
    <w:rsid w:val="00FC55EF"/>
    <w:rsid w:val="00FC5D77"/>
    <w:rsid w:val="00FC5F06"/>
    <w:rsid w:val="00FC6591"/>
    <w:rsid w:val="00FC66D0"/>
    <w:rsid w:val="00FC67F8"/>
    <w:rsid w:val="00FC6952"/>
    <w:rsid w:val="00FC6DF4"/>
    <w:rsid w:val="00FC6E57"/>
    <w:rsid w:val="00FC6F1B"/>
    <w:rsid w:val="00FC6F60"/>
    <w:rsid w:val="00FC710E"/>
    <w:rsid w:val="00FC74E7"/>
    <w:rsid w:val="00FC75A0"/>
    <w:rsid w:val="00FC768A"/>
    <w:rsid w:val="00FC76B9"/>
    <w:rsid w:val="00FC788F"/>
    <w:rsid w:val="00FC7A3C"/>
    <w:rsid w:val="00FC7BC8"/>
    <w:rsid w:val="00FC7C2C"/>
    <w:rsid w:val="00FC7C4B"/>
    <w:rsid w:val="00FC7C7D"/>
    <w:rsid w:val="00FC7E3D"/>
    <w:rsid w:val="00FC7EEE"/>
    <w:rsid w:val="00FD0412"/>
    <w:rsid w:val="00FD0428"/>
    <w:rsid w:val="00FD043D"/>
    <w:rsid w:val="00FD04DE"/>
    <w:rsid w:val="00FD0532"/>
    <w:rsid w:val="00FD065C"/>
    <w:rsid w:val="00FD0665"/>
    <w:rsid w:val="00FD06A8"/>
    <w:rsid w:val="00FD07F1"/>
    <w:rsid w:val="00FD116C"/>
    <w:rsid w:val="00FD13DF"/>
    <w:rsid w:val="00FD1453"/>
    <w:rsid w:val="00FD181C"/>
    <w:rsid w:val="00FD18A1"/>
    <w:rsid w:val="00FD18E6"/>
    <w:rsid w:val="00FD19F2"/>
    <w:rsid w:val="00FD1C02"/>
    <w:rsid w:val="00FD1C16"/>
    <w:rsid w:val="00FD1C54"/>
    <w:rsid w:val="00FD1F92"/>
    <w:rsid w:val="00FD1FBC"/>
    <w:rsid w:val="00FD20D2"/>
    <w:rsid w:val="00FD2131"/>
    <w:rsid w:val="00FD218B"/>
    <w:rsid w:val="00FD240E"/>
    <w:rsid w:val="00FD2866"/>
    <w:rsid w:val="00FD2A4D"/>
    <w:rsid w:val="00FD2AF6"/>
    <w:rsid w:val="00FD2BC5"/>
    <w:rsid w:val="00FD2C44"/>
    <w:rsid w:val="00FD2CDC"/>
    <w:rsid w:val="00FD2CF2"/>
    <w:rsid w:val="00FD2E8C"/>
    <w:rsid w:val="00FD2F0A"/>
    <w:rsid w:val="00FD3098"/>
    <w:rsid w:val="00FD30B8"/>
    <w:rsid w:val="00FD351B"/>
    <w:rsid w:val="00FD36A9"/>
    <w:rsid w:val="00FD39C9"/>
    <w:rsid w:val="00FD3A8B"/>
    <w:rsid w:val="00FD3C3C"/>
    <w:rsid w:val="00FD3D19"/>
    <w:rsid w:val="00FD43F7"/>
    <w:rsid w:val="00FD45E1"/>
    <w:rsid w:val="00FD477E"/>
    <w:rsid w:val="00FD47A2"/>
    <w:rsid w:val="00FD47BE"/>
    <w:rsid w:val="00FD4A32"/>
    <w:rsid w:val="00FD4DCE"/>
    <w:rsid w:val="00FD4EC6"/>
    <w:rsid w:val="00FD4F44"/>
    <w:rsid w:val="00FD5095"/>
    <w:rsid w:val="00FD5218"/>
    <w:rsid w:val="00FD5C84"/>
    <w:rsid w:val="00FD5D70"/>
    <w:rsid w:val="00FD5EED"/>
    <w:rsid w:val="00FD6140"/>
    <w:rsid w:val="00FD63FD"/>
    <w:rsid w:val="00FD6554"/>
    <w:rsid w:val="00FD65FB"/>
    <w:rsid w:val="00FD6638"/>
    <w:rsid w:val="00FD66BF"/>
    <w:rsid w:val="00FD6705"/>
    <w:rsid w:val="00FD6727"/>
    <w:rsid w:val="00FD6A1C"/>
    <w:rsid w:val="00FD6E3B"/>
    <w:rsid w:val="00FD713A"/>
    <w:rsid w:val="00FD7356"/>
    <w:rsid w:val="00FD785A"/>
    <w:rsid w:val="00FD7BF7"/>
    <w:rsid w:val="00FD7DCE"/>
    <w:rsid w:val="00FE0028"/>
    <w:rsid w:val="00FE0118"/>
    <w:rsid w:val="00FE01D1"/>
    <w:rsid w:val="00FE0394"/>
    <w:rsid w:val="00FE0413"/>
    <w:rsid w:val="00FE05E8"/>
    <w:rsid w:val="00FE0665"/>
    <w:rsid w:val="00FE0899"/>
    <w:rsid w:val="00FE099E"/>
    <w:rsid w:val="00FE09D8"/>
    <w:rsid w:val="00FE0C15"/>
    <w:rsid w:val="00FE0CBC"/>
    <w:rsid w:val="00FE0D64"/>
    <w:rsid w:val="00FE0ED5"/>
    <w:rsid w:val="00FE0F29"/>
    <w:rsid w:val="00FE0FD0"/>
    <w:rsid w:val="00FE0FEF"/>
    <w:rsid w:val="00FE10DA"/>
    <w:rsid w:val="00FE11C2"/>
    <w:rsid w:val="00FE12C6"/>
    <w:rsid w:val="00FE13FE"/>
    <w:rsid w:val="00FE1557"/>
    <w:rsid w:val="00FE1781"/>
    <w:rsid w:val="00FE1805"/>
    <w:rsid w:val="00FE1977"/>
    <w:rsid w:val="00FE1A89"/>
    <w:rsid w:val="00FE1FC6"/>
    <w:rsid w:val="00FE2017"/>
    <w:rsid w:val="00FE2124"/>
    <w:rsid w:val="00FE212D"/>
    <w:rsid w:val="00FE2351"/>
    <w:rsid w:val="00FE25C8"/>
    <w:rsid w:val="00FE25DE"/>
    <w:rsid w:val="00FE2705"/>
    <w:rsid w:val="00FE2D7D"/>
    <w:rsid w:val="00FE2DFB"/>
    <w:rsid w:val="00FE2E60"/>
    <w:rsid w:val="00FE2FFC"/>
    <w:rsid w:val="00FE3039"/>
    <w:rsid w:val="00FE3079"/>
    <w:rsid w:val="00FE30A6"/>
    <w:rsid w:val="00FE31C6"/>
    <w:rsid w:val="00FE337D"/>
    <w:rsid w:val="00FE349D"/>
    <w:rsid w:val="00FE350E"/>
    <w:rsid w:val="00FE3695"/>
    <w:rsid w:val="00FE37C7"/>
    <w:rsid w:val="00FE37EB"/>
    <w:rsid w:val="00FE3A06"/>
    <w:rsid w:val="00FE3C22"/>
    <w:rsid w:val="00FE4209"/>
    <w:rsid w:val="00FE4334"/>
    <w:rsid w:val="00FE462A"/>
    <w:rsid w:val="00FE4723"/>
    <w:rsid w:val="00FE472F"/>
    <w:rsid w:val="00FE474D"/>
    <w:rsid w:val="00FE4978"/>
    <w:rsid w:val="00FE4B07"/>
    <w:rsid w:val="00FE4B11"/>
    <w:rsid w:val="00FE4BBE"/>
    <w:rsid w:val="00FE4BED"/>
    <w:rsid w:val="00FE4C6D"/>
    <w:rsid w:val="00FE4CBA"/>
    <w:rsid w:val="00FE506A"/>
    <w:rsid w:val="00FE5084"/>
    <w:rsid w:val="00FE5171"/>
    <w:rsid w:val="00FE5173"/>
    <w:rsid w:val="00FE52E4"/>
    <w:rsid w:val="00FE5560"/>
    <w:rsid w:val="00FE5580"/>
    <w:rsid w:val="00FE55F6"/>
    <w:rsid w:val="00FE5795"/>
    <w:rsid w:val="00FE58C7"/>
    <w:rsid w:val="00FE5A14"/>
    <w:rsid w:val="00FE5B55"/>
    <w:rsid w:val="00FE5B7F"/>
    <w:rsid w:val="00FE5BE7"/>
    <w:rsid w:val="00FE603C"/>
    <w:rsid w:val="00FE6135"/>
    <w:rsid w:val="00FE65E1"/>
    <w:rsid w:val="00FE6632"/>
    <w:rsid w:val="00FE6999"/>
    <w:rsid w:val="00FE6ADB"/>
    <w:rsid w:val="00FE6BAD"/>
    <w:rsid w:val="00FE6F67"/>
    <w:rsid w:val="00FE7011"/>
    <w:rsid w:val="00FE728F"/>
    <w:rsid w:val="00FE730B"/>
    <w:rsid w:val="00FE744C"/>
    <w:rsid w:val="00FE752C"/>
    <w:rsid w:val="00FE753A"/>
    <w:rsid w:val="00FE7571"/>
    <w:rsid w:val="00FE7797"/>
    <w:rsid w:val="00FE7929"/>
    <w:rsid w:val="00FE7BCE"/>
    <w:rsid w:val="00FE7D41"/>
    <w:rsid w:val="00FE7D81"/>
    <w:rsid w:val="00FE7E24"/>
    <w:rsid w:val="00FF004B"/>
    <w:rsid w:val="00FF013B"/>
    <w:rsid w:val="00FF01F5"/>
    <w:rsid w:val="00FF0455"/>
    <w:rsid w:val="00FF05E9"/>
    <w:rsid w:val="00FF0923"/>
    <w:rsid w:val="00FF0B4A"/>
    <w:rsid w:val="00FF0C03"/>
    <w:rsid w:val="00FF0D76"/>
    <w:rsid w:val="00FF0D9E"/>
    <w:rsid w:val="00FF0DFA"/>
    <w:rsid w:val="00FF0F7C"/>
    <w:rsid w:val="00FF10B2"/>
    <w:rsid w:val="00FF110C"/>
    <w:rsid w:val="00FF1160"/>
    <w:rsid w:val="00FF121B"/>
    <w:rsid w:val="00FF1297"/>
    <w:rsid w:val="00FF1336"/>
    <w:rsid w:val="00FF14DE"/>
    <w:rsid w:val="00FF168F"/>
    <w:rsid w:val="00FF1818"/>
    <w:rsid w:val="00FF199A"/>
    <w:rsid w:val="00FF1A1C"/>
    <w:rsid w:val="00FF1A78"/>
    <w:rsid w:val="00FF1C1D"/>
    <w:rsid w:val="00FF1F60"/>
    <w:rsid w:val="00FF1FBF"/>
    <w:rsid w:val="00FF1FF3"/>
    <w:rsid w:val="00FF2114"/>
    <w:rsid w:val="00FF2131"/>
    <w:rsid w:val="00FF2212"/>
    <w:rsid w:val="00FF2348"/>
    <w:rsid w:val="00FF241F"/>
    <w:rsid w:val="00FF2654"/>
    <w:rsid w:val="00FF28AB"/>
    <w:rsid w:val="00FF294F"/>
    <w:rsid w:val="00FF29C5"/>
    <w:rsid w:val="00FF2B77"/>
    <w:rsid w:val="00FF2D4E"/>
    <w:rsid w:val="00FF2E38"/>
    <w:rsid w:val="00FF2E9F"/>
    <w:rsid w:val="00FF2EB2"/>
    <w:rsid w:val="00FF2F16"/>
    <w:rsid w:val="00FF2F22"/>
    <w:rsid w:val="00FF2FBF"/>
    <w:rsid w:val="00FF34B5"/>
    <w:rsid w:val="00FF384F"/>
    <w:rsid w:val="00FF38AD"/>
    <w:rsid w:val="00FF3BD2"/>
    <w:rsid w:val="00FF3C7F"/>
    <w:rsid w:val="00FF3CA8"/>
    <w:rsid w:val="00FF3DB0"/>
    <w:rsid w:val="00FF405E"/>
    <w:rsid w:val="00FF40FE"/>
    <w:rsid w:val="00FF42C7"/>
    <w:rsid w:val="00FF43B2"/>
    <w:rsid w:val="00FF4588"/>
    <w:rsid w:val="00FF4646"/>
    <w:rsid w:val="00FF4724"/>
    <w:rsid w:val="00FF47FD"/>
    <w:rsid w:val="00FF480F"/>
    <w:rsid w:val="00FF4B61"/>
    <w:rsid w:val="00FF4C90"/>
    <w:rsid w:val="00FF4EFB"/>
    <w:rsid w:val="00FF4FBA"/>
    <w:rsid w:val="00FF50D9"/>
    <w:rsid w:val="00FF50F6"/>
    <w:rsid w:val="00FF51CA"/>
    <w:rsid w:val="00FF5304"/>
    <w:rsid w:val="00FF54CD"/>
    <w:rsid w:val="00FF580D"/>
    <w:rsid w:val="00FF5949"/>
    <w:rsid w:val="00FF5A3D"/>
    <w:rsid w:val="00FF60BD"/>
    <w:rsid w:val="00FF6143"/>
    <w:rsid w:val="00FF63D7"/>
    <w:rsid w:val="00FF65F5"/>
    <w:rsid w:val="00FF68D2"/>
    <w:rsid w:val="00FF6930"/>
    <w:rsid w:val="00FF6983"/>
    <w:rsid w:val="00FF69B7"/>
    <w:rsid w:val="00FF6F46"/>
    <w:rsid w:val="00FF6F49"/>
    <w:rsid w:val="00FF6FC6"/>
    <w:rsid w:val="00FF70CD"/>
    <w:rsid w:val="00FF723D"/>
    <w:rsid w:val="00FF7397"/>
    <w:rsid w:val="00FF74FD"/>
    <w:rsid w:val="00FF7923"/>
    <w:rsid w:val="00FF7945"/>
    <w:rsid w:val="00FF7B59"/>
    <w:rsid w:val="00FF7BDE"/>
    <w:rsid w:val="00FF7ED5"/>
    <w:rsid w:val="00FF7FA3"/>
    <w:rsid w:val="0115062C"/>
    <w:rsid w:val="014C80EA"/>
    <w:rsid w:val="031B7CD1"/>
    <w:rsid w:val="03312580"/>
    <w:rsid w:val="03D09AE3"/>
    <w:rsid w:val="03FF8E9D"/>
    <w:rsid w:val="0404176F"/>
    <w:rsid w:val="054FDD28"/>
    <w:rsid w:val="06B39069"/>
    <w:rsid w:val="07017054"/>
    <w:rsid w:val="08D88948"/>
    <w:rsid w:val="0A564F61"/>
    <w:rsid w:val="0A5780D9"/>
    <w:rsid w:val="0A6AFE51"/>
    <w:rsid w:val="0B26A56E"/>
    <w:rsid w:val="0B5FD070"/>
    <w:rsid w:val="0C00E2DA"/>
    <w:rsid w:val="0C65433A"/>
    <w:rsid w:val="0CEF0963"/>
    <w:rsid w:val="0D173FAA"/>
    <w:rsid w:val="0D7FF509"/>
    <w:rsid w:val="0DB97205"/>
    <w:rsid w:val="0DBBB33F"/>
    <w:rsid w:val="0DEDF76B"/>
    <w:rsid w:val="0E3DA8FF"/>
    <w:rsid w:val="0E7FD2CF"/>
    <w:rsid w:val="0F0A6D55"/>
    <w:rsid w:val="0F531757"/>
    <w:rsid w:val="0F5DB2BD"/>
    <w:rsid w:val="0F73565C"/>
    <w:rsid w:val="0FA4213C"/>
    <w:rsid w:val="104624D5"/>
    <w:rsid w:val="10490FF1"/>
    <w:rsid w:val="10DC4088"/>
    <w:rsid w:val="111C180B"/>
    <w:rsid w:val="11291839"/>
    <w:rsid w:val="11448524"/>
    <w:rsid w:val="11F61B29"/>
    <w:rsid w:val="1245EAA5"/>
    <w:rsid w:val="14431213"/>
    <w:rsid w:val="147626FE"/>
    <w:rsid w:val="14AC0B4D"/>
    <w:rsid w:val="16DF336C"/>
    <w:rsid w:val="18289F67"/>
    <w:rsid w:val="18B125C4"/>
    <w:rsid w:val="18C765B2"/>
    <w:rsid w:val="1970DBA4"/>
    <w:rsid w:val="19E96672"/>
    <w:rsid w:val="1A135B8F"/>
    <w:rsid w:val="1A1F1253"/>
    <w:rsid w:val="1AAC62A5"/>
    <w:rsid w:val="1B062CFB"/>
    <w:rsid w:val="1B634E05"/>
    <w:rsid w:val="1B977910"/>
    <w:rsid w:val="1BB5AB93"/>
    <w:rsid w:val="1BEABD6F"/>
    <w:rsid w:val="1BEFD631"/>
    <w:rsid w:val="1C1169CA"/>
    <w:rsid w:val="1C3D21C2"/>
    <w:rsid w:val="1C77DE68"/>
    <w:rsid w:val="1C7F1370"/>
    <w:rsid w:val="1D656FEE"/>
    <w:rsid w:val="1ED2220D"/>
    <w:rsid w:val="1EDDA34B"/>
    <w:rsid w:val="1F3011D8"/>
    <w:rsid w:val="1F46F844"/>
    <w:rsid w:val="1FD05942"/>
    <w:rsid w:val="203AAFA4"/>
    <w:rsid w:val="2098AB85"/>
    <w:rsid w:val="20AAE6B6"/>
    <w:rsid w:val="218B5F2D"/>
    <w:rsid w:val="220BA5A2"/>
    <w:rsid w:val="2234DEDD"/>
    <w:rsid w:val="23861B51"/>
    <w:rsid w:val="239561FF"/>
    <w:rsid w:val="23D90070"/>
    <w:rsid w:val="23E573C7"/>
    <w:rsid w:val="2420E999"/>
    <w:rsid w:val="254F295D"/>
    <w:rsid w:val="25718B54"/>
    <w:rsid w:val="2612406C"/>
    <w:rsid w:val="266C8096"/>
    <w:rsid w:val="277DBC15"/>
    <w:rsid w:val="27A36B42"/>
    <w:rsid w:val="27A52853"/>
    <w:rsid w:val="29C420B3"/>
    <w:rsid w:val="2A2B62E8"/>
    <w:rsid w:val="2A947941"/>
    <w:rsid w:val="2AA9BA44"/>
    <w:rsid w:val="2C27CFBC"/>
    <w:rsid w:val="2C78DFF3"/>
    <w:rsid w:val="2D5CE998"/>
    <w:rsid w:val="2DB6EC2D"/>
    <w:rsid w:val="2E45F730"/>
    <w:rsid w:val="2F9BE8C2"/>
    <w:rsid w:val="309A229E"/>
    <w:rsid w:val="30B0C5DD"/>
    <w:rsid w:val="30CD6B28"/>
    <w:rsid w:val="30EF76E5"/>
    <w:rsid w:val="318BF5C8"/>
    <w:rsid w:val="32778108"/>
    <w:rsid w:val="32F9F1C9"/>
    <w:rsid w:val="332EAE20"/>
    <w:rsid w:val="33395D32"/>
    <w:rsid w:val="3380F6E4"/>
    <w:rsid w:val="339C705D"/>
    <w:rsid w:val="33D88A3E"/>
    <w:rsid w:val="341A50BC"/>
    <w:rsid w:val="35256B8B"/>
    <w:rsid w:val="354AD711"/>
    <w:rsid w:val="360229C3"/>
    <w:rsid w:val="36F32CCE"/>
    <w:rsid w:val="37853320"/>
    <w:rsid w:val="3815A3C9"/>
    <w:rsid w:val="385528F3"/>
    <w:rsid w:val="39BE90FE"/>
    <w:rsid w:val="3B27F62B"/>
    <w:rsid w:val="3C213197"/>
    <w:rsid w:val="3C5D341A"/>
    <w:rsid w:val="3D3A93EC"/>
    <w:rsid w:val="3D5CDFA7"/>
    <w:rsid w:val="3D720D73"/>
    <w:rsid w:val="3D833812"/>
    <w:rsid w:val="3DEABF75"/>
    <w:rsid w:val="3E7DF0B3"/>
    <w:rsid w:val="3EC9822D"/>
    <w:rsid w:val="3FDCCAC0"/>
    <w:rsid w:val="4003FFA2"/>
    <w:rsid w:val="402918FF"/>
    <w:rsid w:val="407A0532"/>
    <w:rsid w:val="40FD570B"/>
    <w:rsid w:val="414FBBF7"/>
    <w:rsid w:val="41B4294A"/>
    <w:rsid w:val="4313D40A"/>
    <w:rsid w:val="437C2CE4"/>
    <w:rsid w:val="43A368EA"/>
    <w:rsid w:val="43AB3731"/>
    <w:rsid w:val="4472AA12"/>
    <w:rsid w:val="44DEA912"/>
    <w:rsid w:val="44EE2914"/>
    <w:rsid w:val="44F597A8"/>
    <w:rsid w:val="45A857A9"/>
    <w:rsid w:val="460D02BA"/>
    <w:rsid w:val="46E33F33"/>
    <w:rsid w:val="474C66A5"/>
    <w:rsid w:val="47C8A7A4"/>
    <w:rsid w:val="488AD98E"/>
    <w:rsid w:val="49440C04"/>
    <w:rsid w:val="4BDACC2D"/>
    <w:rsid w:val="4BFE9F25"/>
    <w:rsid w:val="4C1BBD87"/>
    <w:rsid w:val="4CC5BA27"/>
    <w:rsid w:val="4D485D8A"/>
    <w:rsid w:val="4E1EE448"/>
    <w:rsid w:val="4E562ECE"/>
    <w:rsid w:val="4E6660C2"/>
    <w:rsid w:val="4FF39F81"/>
    <w:rsid w:val="4FF864DE"/>
    <w:rsid w:val="50AEFF9F"/>
    <w:rsid w:val="511A3AC4"/>
    <w:rsid w:val="515DAB2C"/>
    <w:rsid w:val="51EF3ECC"/>
    <w:rsid w:val="52211557"/>
    <w:rsid w:val="524D6F2B"/>
    <w:rsid w:val="524E0C66"/>
    <w:rsid w:val="5256F409"/>
    <w:rsid w:val="528BE9A9"/>
    <w:rsid w:val="5363D0EC"/>
    <w:rsid w:val="540FC09D"/>
    <w:rsid w:val="55C08469"/>
    <w:rsid w:val="5677099B"/>
    <w:rsid w:val="56E36718"/>
    <w:rsid w:val="571787D7"/>
    <w:rsid w:val="576BD54A"/>
    <w:rsid w:val="5778F045"/>
    <w:rsid w:val="580BF99E"/>
    <w:rsid w:val="583DBC7D"/>
    <w:rsid w:val="58A99FFB"/>
    <w:rsid w:val="590E860A"/>
    <w:rsid w:val="596E41CA"/>
    <w:rsid w:val="5A3A3894"/>
    <w:rsid w:val="5A97A705"/>
    <w:rsid w:val="5AD74927"/>
    <w:rsid w:val="5B9280B0"/>
    <w:rsid w:val="5C5E9A81"/>
    <w:rsid w:val="5C6CAC07"/>
    <w:rsid w:val="5CC2949B"/>
    <w:rsid w:val="5D22F557"/>
    <w:rsid w:val="5D5EB922"/>
    <w:rsid w:val="5D600A53"/>
    <w:rsid w:val="5E13076F"/>
    <w:rsid w:val="5F4EF964"/>
    <w:rsid w:val="5FDBF0E8"/>
    <w:rsid w:val="6114E833"/>
    <w:rsid w:val="62180616"/>
    <w:rsid w:val="6284D338"/>
    <w:rsid w:val="63C9AE87"/>
    <w:rsid w:val="64046FD7"/>
    <w:rsid w:val="657CE517"/>
    <w:rsid w:val="65D78326"/>
    <w:rsid w:val="66763ED5"/>
    <w:rsid w:val="674D57E0"/>
    <w:rsid w:val="67DF32A9"/>
    <w:rsid w:val="681788D0"/>
    <w:rsid w:val="68673B95"/>
    <w:rsid w:val="68AA78D7"/>
    <w:rsid w:val="68AECCD2"/>
    <w:rsid w:val="68C6C63F"/>
    <w:rsid w:val="6A31CDB4"/>
    <w:rsid w:val="6A523B42"/>
    <w:rsid w:val="6B3F041C"/>
    <w:rsid w:val="6B6C1841"/>
    <w:rsid w:val="6B8EC974"/>
    <w:rsid w:val="6B8FF29C"/>
    <w:rsid w:val="6C00B81D"/>
    <w:rsid w:val="6D3CFD7A"/>
    <w:rsid w:val="6D85332D"/>
    <w:rsid w:val="6DF26F1C"/>
    <w:rsid w:val="6E32C39D"/>
    <w:rsid w:val="6E421D92"/>
    <w:rsid w:val="6EB8E5D5"/>
    <w:rsid w:val="6F94F280"/>
    <w:rsid w:val="6FE48D4A"/>
    <w:rsid w:val="70C286C3"/>
    <w:rsid w:val="7111C9C0"/>
    <w:rsid w:val="71904D23"/>
    <w:rsid w:val="71E35600"/>
    <w:rsid w:val="7265C692"/>
    <w:rsid w:val="73052F7D"/>
    <w:rsid w:val="735FB96E"/>
    <w:rsid w:val="74161722"/>
    <w:rsid w:val="743F5F12"/>
    <w:rsid w:val="74DF163E"/>
    <w:rsid w:val="75796DF1"/>
    <w:rsid w:val="75A90A10"/>
    <w:rsid w:val="75BAD128"/>
    <w:rsid w:val="7697506A"/>
    <w:rsid w:val="77565B26"/>
    <w:rsid w:val="775A4C9D"/>
    <w:rsid w:val="781BE70F"/>
    <w:rsid w:val="783BE332"/>
    <w:rsid w:val="7915BF0F"/>
    <w:rsid w:val="79B18876"/>
    <w:rsid w:val="7AD9922E"/>
    <w:rsid w:val="7B1E3EB4"/>
    <w:rsid w:val="7B346592"/>
    <w:rsid w:val="7B9C47FE"/>
    <w:rsid w:val="7BC8A370"/>
    <w:rsid w:val="7C4CDF5A"/>
    <w:rsid w:val="7C526B38"/>
    <w:rsid w:val="7D0DC3AF"/>
    <w:rsid w:val="7D569421"/>
    <w:rsid w:val="7E1F91AD"/>
    <w:rsid w:val="7F68200E"/>
    <w:rsid w:val="7FB5E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83764"/>
  <w15:chartTrackingRefBased/>
  <w15:docId w15:val="{D89A8336-DB2E-49C4-9543-A87AD58C189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476643"/>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5375D5"/>
    <w:pPr>
      <w:numPr>
        <w:ilvl w:val="1"/>
        <w:numId w:val="10"/>
      </w:numPr>
      <w:ind w:right="2160"/>
      <w:outlineLvl w:val="1"/>
    </w:pPr>
  </w:style>
  <w:style w:type="paragraph" w:styleId="Heading3">
    <w:name w:val="heading 3"/>
    <w:basedOn w:val="Heading2"/>
    <w:next w:val="Standard"/>
    <w:link w:val="Heading3Char"/>
    <w:uiPriority w:val="4"/>
    <w:qFormat/>
    <w:rsid w:val="00A83866"/>
    <w:pPr>
      <w:numPr>
        <w:ilvl w:val="2"/>
      </w:numPr>
      <w:outlineLvl w:val="2"/>
    </w:pPr>
  </w:style>
  <w:style w:type="paragraph" w:styleId="Heading4">
    <w:name w:val="heading 4"/>
    <w:basedOn w:val="Dummy"/>
    <w:next w:val="Standard"/>
    <w:link w:val="Heading4Char"/>
    <w:uiPriority w:val="4"/>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702F6F"/>
    <w:rPr>
      <w:rFonts w:ascii="Arial" w:hAnsi="Arial" w:cs="Arial"/>
      <w:b/>
      <w:sz w:val="26"/>
      <w:szCs w:val="26"/>
    </w:rPr>
  </w:style>
  <w:style w:type="character" w:customStyle="1" w:styleId="Heading3Char">
    <w:name w:val="Heading 3 Char"/>
    <w:basedOn w:val="DefaultParagraphFont"/>
    <w:link w:val="Heading3"/>
    <w:uiPriority w:val="4"/>
    <w:rsid w:val="00A83866"/>
    <w:rPr>
      <w:rFonts w:ascii="Arial" w:hAnsi="Arial" w:cs="Arial"/>
      <w:b/>
      <w:sz w:val="26"/>
      <w:szCs w:val="26"/>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Normal"/>
    <w:uiPriority w:val="6"/>
    <w:qFormat/>
    <w:rsid w:val="00521DCF"/>
    <w:pPr>
      <w:numPr>
        <w:numId w:val="7"/>
      </w:numPr>
      <w:ind w:left="0"/>
    </w:pPr>
  </w:style>
  <w:style w:type="paragraph" w:customStyle="1" w:styleId="CoL">
    <w:name w:val="CoL"/>
    <w:basedOn w:val="FoF"/>
    <w:uiPriority w:val="7"/>
    <w:qFormat/>
    <w:rsid w:val="00515B4F"/>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FoF"/>
    <w:uiPriority w:val="8"/>
    <w:qFormat/>
    <w:rsid w:val="00B87F29"/>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3"/>
      </w:numPr>
    </w:pPr>
  </w:style>
  <w:style w:type="paragraph" w:customStyle="1" w:styleId="Standard">
    <w:name w:val="Standard"/>
    <w:basedOn w:val="Normal"/>
    <w:qFormat/>
    <w:rsid w:val="007A406D"/>
  </w:style>
  <w:style w:type="paragraph" w:customStyle="1" w:styleId="ListAlpha">
    <w:name w:val="List Alpha"/>
    <w:basedOn w:val="Normal"/>
    <w:uiPriority w:val="4"/>
    <w:qFormat/>
    <w:rsid w:val="005A4667"/>
    <w:pPr>
      <w:numPr>
        <w:ilvl w:val="7"/>
        <w:numId w:val="10"/>
      </w:numPr>
      <w:spacing w:after="120" w:line="240" w:lineRule="auto"/>
    </w:pPr>
  </w:style>
  <w:style w:type="paragraph" w:styleId="ListBullet">
    <w:name w:val="List Bullet"/>
    <w:basedOn w:val="Standard"/>
    <w:uiPriority w:val="4"/>
    <w:qFormat/>
    <w:rsid w:val="001F2819"/>
    <w:pPr>
      <w:numPr>
        <w:numId w:val="4"/>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character" w:styleId="CommentReference">
    <w:name w:val="annotation reference"/>
    <w:basedOn w:val="DefaultParagraphFont"/>
    <w:uiPriority w:val="99"/>
    <w:semiHidden/>
    <w:unhideWhenUsed/>
    <w:rsid w:val="00C468C7"/>
    <w:rPr>
      <w:sz w:val="16"/>
      <w:szCs w:val="16"/>
    </w:rPr>
  </w:style>
  <w:style w:type="paragraph" w:styleId="CommentText">
    <w:name w:val="annotation text"/>
    <w:basedOn w:val="Normal"/>
    <w:link w:val="CommentTextChar"/>
    <w:uiPriority w:val="99"/>
    <w:unhideWhenUsed/>
    <w:rsid w:val="00C468C7"/>
    <w:pPr>
      <w:spacing w:line="240" w:lineRule="auto"/>
    </w:pPr>
    <w:rPr>
      <w:sz w:val="20"/>
      <w:szCs w:val="20"/>
    </w:rPr>
  </w:style>
  <w:style w:type="character" w:customStyle="1" w:styleId="CommentTextChar">
    <w:name w:val="Comment Text Char"/>
    <w:basedOn w:val="DefaultParagraphFont"/>
    <w:link w:val="CommentText"/>
    <w:uiPriority w:val="99"/>
    <w:rsid w:val="00C468C7"/>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C468C7"/>
    <w:rPr>
      <w:b/>
      <w:bCs/>
    </w:rPr>
  </w:style>
  <w:style w:type="character" w:customStyle="1" w:styleId="CommentSubjectChar">
    <w:name w:val="Comment Subject Char"/>
    <w:basedOn w:val="CommentTextChar"/>
    <w:link w:val="CommentSubject"/>
    <w:uiPriority w:val="99"/>
    <w:semiHidden/>
    <w:rsid w:val="00C468C7"/>
    <w:rPr>
      <w:rFonts w:ascii="Book Antiqua" w:hAnsi="Book Antiqua"/>
      <w:b/>
      <w:bCs/>
      <w:sz w:val="20"/>
      <w:szCs w:val="20"/>
    </w:rPr>
  </w:style>
  <w:style w:type="paragraph" w:styleId="ListParagraph">
    <w:name w:val="List Paragraph"/>
    <w:basedOn w:val="Normal"/>
    <w:uiPriority w:val="34"/>
    <w:qFormat/>
    <w:rsid w:val="00623612"/>
    <w:pPr>
      <w:spacing w:after="160" w:line="259" w:lineRule="auto"/>
      <w:ind w:left="720" w:firstLine="0"/>
      <w:contextualSpacing/>
    </w:pPr>
    <w:rPr>
      <w:rFonts w:asciiTheme="minorHAnsi" w:hAnsiTheme="minorHAnsi"/>
      <w:kern w:val="2"/>
      <w:sz w:val="22"/>
      <w14:ligatures w14:val="standardContextual"/>
    </w:rPr>
  </w:style>
  <w:style w:type="character" w:styleId="Mention">
    <w:name w:val="Mention"/>
    <w:basedOn w:val="DefaultParagraphFont"/>
    <w:uiPriority w:val="99"/>
    <w:unhideWhenUsed/>
    <w:rsid w:val="00EF2C33"/>
    <w:rPr>
      <w:color w:val="2B579A"/>
      <w:shd w:val="clear" w:color="auto" w:fill="E1DFDD"/>
    </w:rPr>
  </w:style>
  <w:style w:type="paragraph" w:styleId="Revision">
    <w:name w:val="Revision"/>
    <w:hidden/>
    <w:uiPriority w:val="99"/>
    <w:semiHidden/>
    <w:rsid w:val="00AF07BA"/>
    <w:pPr>
      <w:spacing w:after="0" w:line="240" w:lineRule="auto"/>
    </w:pPr>
    <w:rPr>
      <w:rFonts w:ascii="Book Antiqua" w:hAnsi="Book Antiqua"/>
      <w:sz w:val="26"/>
    </w:rPr>
  </w:style>
  <w:style w:type="character" w:styleId="UnresolvedMention">
    <w:name w:val="Unresolved Mention"/>
    <w:basedOn w:val="DefaultParagraphFont"/>
    <w:uiPriority w:val="99"/>
    <w:semiHidden/>
    <w:unhideWhenUsed/>
    <w:rsid w:val="00DD4A7C"/>
    <w:rPr>
      <w:color w:val="605E5C"/>
      <w:shd w:val="clear" w:color="auto" w:fill="E1DFDD"/>
    </w:rPr>
  </w:style>
  <w:style w:type="character" w:styleId="FollowedHyperlink">
    <w:name w:val="FollowedHyperlink"/>
    <w:basedOn w:val="DefaultParagraphFont"/>
    <w:uiPriority w:val="99"/>
    <w:semiHidden/>
    <w:unhideWhenUsed/>
    <w:rsid w:val="00F14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822">
      <w:bodyDiv w:val="1"/>
      <w:marLeft w:val="0"/>
      <w:marRight w:val="0"/>
      <w:marTop w:val="0"/>
      <w:marBottom w:val="0"/>
      <w:divBdr>
        <w:top w:val="none" w:sz="0" w:space="0" w:color="auto"/>
        <w:left w:val="none" w:sz="0" w:space="0" w:color="auto"/>
        <w:bottom w:val="none" w:sz="0" w:space="0" w:color="auto"/>
        <w:right w:val="none" w:sz="0" w:space="0" w:color="auto"/>
      </w:divBdr>
      <w:divsChild>
        <w:div w:id="1056584771">
          <w:marLeft w:val="0"/>
          <w:marRight w:val="0"/>
          <w:marTop w:val="0"/>
          <w:marBottom w:val="240"/>
          <w:divBdr>
            <w:top w:val="none" w:sz="0" w:space="0" w:color="auto"/>
            <w:left w:val="none" w:sz="0" w:space="0" w:color="auto"/>
            <w:bottom w:val="none" w:sz="0" w:space="0" w:color="auto"/>
            <w:right w:val="none" w:sz="0" w:space="0" w:color="auto"/>
          </w:divBdr>
        </w:div>
        <w:div w:id="1515146707">
          <w:marLeft w:val="0"/>
          <w:marRight w:val="0"/>
          <w:marTop w:val="0"/>
          <w:marBottom w:val="240"/>
          <w:divBdr>
            <w:top w:val="none" w:sz="0" w:space="0" w:color="auto"/>
            <w:left w:val="none" w:sz="0" w:space="0" w:color="auto"/>
            <w:bottom w:val="none" w:sz="0" w:space="0" w:color="auto"/>
            <w:right w:val="none" w:sz="0" w:space="0" w:color="auto"/>
          </w:divBdr>
        </w:div>
      </w:divsChild>
    </w:div>
    <w:div w:id="105662363">
      <w:bodyDiv w:val="1"/>
      <w:marLeft w:val="0"/>
      <w:marRight w:val="0"/>
      <w:marTop w:val="0"/>
      <w:marBottom w:val="0"/>
      <w:divBdr>
        <w:top w:val="none" w:sz="0" w:space="0" w:color="auto"/>
        <w:left w:val="none" w:sz="0" w:space="0" w:color="auto"/>
        <w:bottom w:val="none" w:sz="0" w:space="0" w:color="auto"/>
        <w:right w:val="none" w:sz="0" w:space="0" w:color="auto"/>
      </w:divBdr>
    </w:div>
    <w:div w:id="155344677">
      <w:bodyDiv w:val="1"/>
      <w:marLeft w:val="0"/>
      <w:marRight w:val="0"/>
      <w:marTop w:val="0"/>
      <w:marBottom w:val="0"/>
      <w:divBdr>
        <w:top w:val="none" w:sz="0" w:space="0" w:color="auto"/>
        <w:left w:val="none" w:sz="0" w:space="0" w:color="auto"/>
        <w:bottom w:val="none" w:sz="0" w:space="0" w:color="auto"/>
        <w:right w:val="none" w:sz="0" w:space="0" w:color="auto"/>
      </w:divBdr>
    </w:div>
    <w:div w:id="162747506">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171652057">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35283042">
      <w:bodyDiv w:val="1"/>
      <w:marLeft w:val="0"/>
      <w:marRight w:val="0"/>
      <w:marTop w:val="0"/>
      <w:marBottom w:val="0"/>
      <w:divBdr>
        <w:top w:val="none" w:sz="0" w:space="0" w:color="auto"/>
        <w:left w:val="none" w:sz="0" w:space="0" w:color="auto"/>
        <w:bottom w:val="none" w:sz="0" w:space="0" w:color="auto"/>
        <w:right w:val="none" w:sz="0" w:space="0" w:color="auto"/>
      </w:divBdr>
    </w:div>
    <w:div w:id="282811550">
      <w:bodyDiv w:val="1"/>
      <w:marLeft w:val="0"/>
      <w:marRight w:val="0"/>
      <w:marTop w:val="0"/>
      <w:marBottom w:val="0"/>
      <w:divBdr>
        <w:top w:val="none" w:sz="0" w:space="0" w:color="auto"/>
        <w:left w:val="none" w:sz="0" w:space="0" w:color="auto"/>
        <w:bottom w:val="none" w:sz="0" w:space="0" w:color="auto"/>
        <w:right w:val="none" w:sz="0" w:space="0" w:color="auto"/>
      </w:divBdr>
    </w:div>
    <w:div w:id="343702985">
      <w:bodyDiv w:val="1"/>
      <w:marLeft w:val="0"/>
      <w:marRight w:val="0"/>
      <w:marTop w:val="0"/>
      <w:marBottom w:val="0"/>
      <w:divBdr>
        <w:top w:val="none" w:sz="0" w:space="0" w:color="auto"/>
        <w:left w:val="none" w:sz="0" w:space="0" w:color="auto"/>
        <w:bottom w:val="none" w:sz="0" w:space="0" w:color="auto"/>
        <w:right w:val="none" w:sz="0" w:space="0" w:color="auto"/>
      </w:divBdr>
    </w:div>
    <w:div w:id="378363808">
      <w:bodyDiv w:val="1"/>
      <w:marLeft w:val="0"/>
      <w:marRight w:val="0"/>
      <w:marTop w:val="0"/>
      <w:marBottom w:val="0"/>
      <w:divBdr>
        <w:top w:val="none" w:sz="0" w:space="0" w:color="auto"/>
        <w:left w:val="none" w:sz="0" w:space="0" w:color="auto"/>
        <w:bottom w:val="none" w:sz="0" w:space="0" w:color="auto"/>
        <w:right w:val="none" w:sz="0" w:space="0" w:color="auto"/>
      </w:divBdr>
    </w:div>
    <w:div w:id="417756285">
      <w:bodyDiv w:val="1"/>
      <w:marLeft w:val="0"/>
      <w:marRight w:val="0"/>
      <w:marTop w:val="0"/>
      <w:marBottom w:val="0"/>
      <w:divBdr>
        <w:top w:val="none" w:sz="0" w:space="0" w:color="auto"/>
        <w:left w:val="none" w:sz="0" w:space="0" w:color="auto"/>
        <w:bottom w:val="none" w:sz="0" w:space="0" w:color="auto"/>
        <w:right w:val="none" w:sz="0" w:space="0" w:color="auto"/>
      </w:divBdr>
    </w:div>
    <w:div w:id="426081651">
      <w:bodyDiv w:val="1"/>
      <w:marLeft w:val="0"/>
      <w:marRight w:val="0"/>
      <w:marTop w:val="0"/>
      <w:marBottom w:val="0"/>
      <w:divBdr>
        <w:top w:val="none" w:sz="0" w:space="0" w:color="auto"/>
        <w:left w:val="none" w:sz="0" w:space="0" w:color="auto"/>
        <w:bottom w:val="none" w:sz="0" w:space="0" w:color="auto"/>
        <w:right w:val="none" w:sz="0" w:space="0" w:color="auto"/>
      </w:divBdr>
    </w:div>
    <w:div w:id="474958637">
      <w:bodyDiv w:val="1"/>
      <w:marLeft w:val="0"/>
      <w:marRight w:val="0"/>
      <w:marTop w:val="0"/>
      <w:marBottom w:val="0"/>
      <w:divBdr>
        <w:top w:val="none" w:sz="0" w:space="0" w:color="auto"/>
        <w:left w:val="none" w:sz="0" w:space="0" w:color="auto"/>
        <w:bottom w:val="none" w:sz="0" w:space="0" w:color="auto"/>
        <w:right w:val="none" w:sz="0" w:space="0" w:color="auto"/>
      </w:divBdr>
    </w:div>
    <w:div w:id="478619172">
      <w:bodyDiv w:val="1"/>
      <w:marLeft w:val="0"/>
      <w:marRight w:val="0"/>
      <w:marTop w:val="0"/>
      <w:marBottom w:val="0"/>
      <w:divBdr>
        <w:top w:val="none" w:sz="0" w:space="0" w:color="auto"/>
        <w:left w:val="none" w:sz="0" w:space="0" w:color="auto"/>
        <w:bottom w:val="none" w:sz="0" w:space="0" w:color="auto"/>
        <w:right w:val="none" w:sz="0" w:space="0" w:color="auto"/>
      </w:divBdr>
      <w:divsChild>
        <w:div w:id="326398724">
          <w:marLeft w:val="0"/>
          <w:marRight w:val="0"/>
          <w:marTop w:val="0"/>
          <w:marBottom w:val="240"/>
          <w:divBdr>
            <w:top w:val="none" w:sz="0" w:space="0" w:color="auto"/>
            <w:left w:val="none" w:sz="0" w:space="0" w:color="auto"/>
            <w:bottom w:val="none" w:sz="0" w:space="0" w:color="auto"/>
            <w:right w:val="none" w:sz="0" w:space="0" w:color="auto"/>
          </w:divBdr>
        </w:div>
        <w:div w:id="1828520487">
          <w:marLeft w:val="0"/>
          <w:marRight w:val="0"/>
          <w:marTop w:val="0"/>
          <w:marBottom w:val="240"/>
          <w:divBdr>
            <w:top w:val="none" w:sz="0" w:space="0" w:color="auto"/>
            <w:left w:val="none" w:sz="0" w:space="0" w:color="auto"/>
            <w:bottom w:val="none" w:sz="0" w:space="0" w:color="auto"/>
            <w:right w:val="none" w:sz="0" w:space="0" w:color="auto"/>
          </w:divBdr>
        </w:div>
      </w:divsChild>
    </w:div>
    <w:div w:id="522210113">
      <w:bodyDiv w:val="1"/>
      <w:marLeft w:val="0"/>
      <w:marRight w:val="0"/>
      <w:marTop w:val="0"/>
      <w:marBottom w:val="0"/>
      <w:divBdr>
        <w:top w:val="none" w:sz="0" w:space="0" w:color="auto"/>
        <w:left w:val="none" w:sz="0" w:space="0" w:color="auto"/>
        <w:bottom w:val="none" w:sz="0" w:space="0" w:color="auto"/>
        <w:right w:val="none" w:sz="0" w:space="0" w:color="auto"/>
      </w:divBdr>
      <w:divsChild>
        <w:div w:id="167714866">
          <w:marLeft w:val="0"/>
          <w:marRight w:val="0"/>
          <w:marTop w:val="0"/>
          <w:marBottom w:val="0"/>
          <w:divBdr>
            <w:top w:val="none" w:sz="0" w:space="0" w:color="auto"/>
            <w:left w:val="none" w:sz="0" w:space="0" w:color="auto"/>
            <w:bottom w:val="none" w:sz="0" w:space="0" w:color="auto"/>
            <w:right w:val="none" w:sz="0" w:space="0" w:color="auto"/>
          </w:divBdr>
        </w:div>
        <w:div w:id="258946715">
          <w:marLeft w:val="0"/>
          <w:marRight w:val="0"/>
          <w:marTop w:val="0"/>
          <w:marBottom w:val="0"/>
          <w:divBdr>
            <w:top w:val="none" w:sz="0" w:space="0" w:color="auto"/>
            <w:left w:val="none" w:sz="0" w:space="0" w:color="auto"/>
            <w:bottom w:val="none" w:sz="0" w:space="0" w:color="auto"/>
            <w:right w:val="none" w:sz="0" w:space="0" w:color="auto"/>
          </w:divBdr>
        </w:div>
        <w:div w:id="378088999">
          <w:marLeft w:val="0"/>
          <w:marRight w:val="0"/>
          <w:marTop w:val="0"/>
          <w:marBottom w:val="0"/>
          <w:divBdr>
            <w:top w:val="none" w:sz="0" w:space="0" w:color="auto"/>
            <w:left w:val="none" w:sz="0" w:space="0" w:color="auto"/>
            <w:bottom w:val="none" w:sz="0" w:space="0" w:color="auto"/>
            <w:right w:val="none" w:sz="0" w:space="0" w:color="auto"/>
          </w:divBdr>
        </w:div>
        <w:div w:id="789781295">
          <w:marLeft w:val="0"/>
          <w:marRight w:val="0"/>
          <w:marTop w:val="0"/>
          <w:marBottom w:val="0"/>
          <w:divBdr>
            <w:top w:val="none" w:sz="0" w:space="0" w:color="auto"/>
            <w:left w:val="none" w:sz="0" w:space="0" w:color="auto"/>
            <w:bottom w:val="none" w:sz="0" w:space="0" w:color="auto"/>
            <w:right w:val="none" w:sz="0" w:space="0" w:color="auto"/>
          </w:divBdr>
        </w:div>
        <w:div w:id="988558473">
          <w:marLeft w:val="0"/>
          <w:marRight w:val="0"/>
          <w:marTop w:val="0"/>
          <w:marBottom w:val="0"/>
          <w:divBdr>
            <w:top w:val="none" w:sz="0" w:space="0" w:color="auto"/>
            <w:left w:val="none" w:sz="0" w:space="0" w:color="auto"/>
            <w:bottom w:val="none" w:sz="0" w:space="0" w:color="auto"/>
            <w:right w:val="none" w:sz="0" w:space="0" w:color="auto"/>
          </w:divBdr>
        </w:div>
        <w:div w:id="1943611939">
          <w:marLeft w:val="0"/>
          <w:marRight w:val="0"/>
          <w:marTop w:val="0"/>
          <w:marBottom w:val="0"/>
          <w:divBdr>
            <w:top w:val="none" w:sz="0" w:space="0" w:color="auto"/>
            <w:left w:val="none" w:sz="0" w:space="0" w:color="auto"/>
            <w:bottom w:val="none" w:sz="0" w:space="0" w:color="auto"/>
            <w:right w:val="none" w:sz="0" w:space="0" w:color="auto"/>
          </w:divBdr>
        </w:div>
        <w:div w:id="2004042954">
          <w:marLeft w:val="0"/>
          <w:marRight w:val="0"/>
          <w:marTop w:val="0"/>
          <w:marBottom w:val="0"/>
          <w:divBdr>
            <w:top w:val="none" w:sz="0" w:space="0" w:color="auto"/>
            <w:left w:val="none" w:sz="0" w:space="0" w:color="auto"/>
            <w:bottom w:val="none" w:sz="0" w:space="0" w:color="auto"/>
            <w:right w:val="none" w:sz="0" w:space="0" w:color="auto"/>
          </w:divBdr>
        </w:div>
      </w:divsChild>
    </w:div>
    <w:div w:id="527451814">
      <w:bodyDiv w:val="1"/>
      <w:marLeft w:val="0"/>
      <w:marRight w:val="0"/>
      <w:marTop w:val="0"/>
      <w:marBottom w:val="0"/>
      <w:divBdr>
        <w:top w:val="none" w:sz="0" w:space="0" w:color="auto"/>
        <w:left w:val="none" w:sz="0" w:space="0" w:color="auto"/>
        <w:bottom w:val="none" w:sz="0" w:space="0" w:color="auto"/>
        <w:right w:val="none" w:sz="0" w:space="0" w:color="auto"/>
      </w:divBdr>
      <w:divsChild>
        <w:div w:id="48846548">
          <w:marLeft w:val="0"/>
          <w:marRight w:val="0"/>
          <w:marTop w:val="0"/>
          <w:marBottom w:val="0"/>
          <w:divBdr>
            <w:top w:val="none" w:sz="0" w:space="0" w:color="auto"/>
            <w:left w:val="none" w:sz="0" w:space="0" w:color="auto"/>
            <w:bottom w:val="none" w:sz="0" w:space="0" w:color="auto"/>
            <w:right w:val="none" w:sz="0" w:space="0" w:color="auto"/>
          </w:divBdr>
        </w:div>
        <w:div w:id="205683394">
          <w:marLeft w:val="0"/>
          <w:marRight w:val="0"/>
          <w:marTop w:val="0"/>
          <w:marBottom w:val="0"/>
          <w:divBdr>
            <w:top w:val="none" w:sz="0" w:space="0" w:color="auto"/>
            <w:left w:val="none" w:sz="0" w:space="0" w:color="auto"/>
            <w:bottom w:val="none" w:sz="0" w:space="0" w:color="auto"/>
            <w:right w:val="none" w:sz="0" w:space="0" w:color="auto"/>
          </w:divBdr>
        </w:div>
        <w:div w:id="238447823">
          <w:marLeft w:val="0"/>
          <w:marRight w:val="0"/>
          <w:marTop w:val="0"/>
          <w:marBottom w:val="0"/>
          <w:divBdr>
            <w:top w:val="none" w:sz="0" w:space="0" w:color="auto"/>
            <w:left w:val="none" w:sz="0" w:space="0" w:color="auto"/>
            <w:bottom w:val="none" w:sz="0" w:space="0" w:color="auto"/>
            <w:right w:val="none" w:sz="0" w:space="0" w:color="auto"/>
          </w:divBdr>
        </w:div>
        <w:div w:id="281110717">
          <w:marLeft w:val="0"/>
          <w:marRight w:val="0"/>
          <w:marTop w:val="0"/>
          <w:marBottom w:val="0"/>
          <w:divBdr>
            <w:top w:val="none" w:sz="0" w:space="0" w:color="auto"/>
            <w:left w:val="none" w:sz="0" w:space="0" w:color="auto"/>
            <w:bottom w:val="none" w:sz="0" w:space="0" w:color="auto"/>
            <w:right w:val="none" w:sz="0" w:space="0" w:color="auto"/>
          </w:divBdr>
        </w:div>
        <w:div w:id="1165895361">
          <w:marLeft w:val="0"/>
          <w:marRight w:val="0"/>
          <w:marTop w:val="0"/>
          <w:marBottom w:val="0"/>
          <w:divBdr>
            <w:top w:val="none" w:sz="0" w:space="0" w:color="auto"/>
            <w:left w:val="none" w:sz="0" w:space="0" w:color="auto"/>
            <w:bottom w:val="none" w:sz="0" w:space="0" w:color="auto"/>
            <w:right w:val="none" w:sz="0" w:space="0" w:color="auto"/>
          </w:divBdr>
        </w:div>
        <w:div w:id="1490051329">
          <w:marLeft w:val="0"/>
          <w:marRight w:val="0"/>
          <w:marTop w:val="0"/>
          <w:marBottom w:val="0"/>
          <w:divBdr>
            <w:top w:val="none" w:sz="0" w:space="0" w:color="auto"/>
            <w:left w:val="none" w:sz="0" w:space="0" w:color="auto"/>
            <w:bottom w:val="none" w:sz="0" w:space="0" w:color="auto"/>
            <w:right w:val="none" w:sz="0" w:space="0" w:color="auto"/>
          </w:divBdr>
        </w:div>
        <w:div w:id="2091729835">
          <w:marLeft w:val="0"/>
          <w:marRight w:val="0"/>
          <w:marTop w:val="0"/>
          <w:marBottom w:val="0"/>
          <w:divBdr>
            <w:top w:val="none" w:sz="0" w:space="0" w:color="auto"/>
            <w:left w:val="none" w:sz="0" w:space="0" w:color="auto"/>
            <w:bottom w:val="none" w:sz="0" w:space="0" w:color="auto"/>
            <w:right w:val="none" w:sz="0" w:space="0" w:color="auto"/>
          </w:divBdr>
        </w:div>
      </w:divsChild>
    </w:div>
    <w:div w:id="538981794">
      <w:bodyDiv w:val="1"/>
      <w:marLeft w:val="0"/>
      <w:marRight w:val="0"/>
      <w:marTop w:val="0"/>
      <w:marBottom w:val="0"/>
      <w:divBdr>
        <w:top w:val="none" w:sz="0" w:space="0" w:color="auto"/>
        <w:left w:val="none" w:sz="0" w:space="0" w:color="auto"/>
        <w:bottom w:val="none" w:sz="0" w:space="0" w:color="auto"/>
        <w:right w:val="none" w:sz="0" w:space="0" w:color="auto"/>
      </w:divBdr>
      <w:divsChild>
        <w:div w:id="462768286">
          <w:marLeft w:val="240"/>
          <w:marRight w:val="0"/>
          <w:marTop w:val="0"/>
          <w:marBottom w:val="240"/>
          <w:divBdr>
            <w:top w:val="none" w:sz="0" w:space="0" w:color="auto"/>
            <w:left w:val="none" w:sz="0" w:space="0" w:color="auto"/>
            <w:bottom w:val="none" w:sz="0" w:space="0" w:color="auto"/>
            <w:right w:val="none" w:sz="0" w:space="0" w:color="auto"/>
          </w:divBdr>
        </w:div>
        <w:div w:id="473644565">
          <w:marLeft w:val="240"/>
          <w:marRight w:val="0"/>
          <w:marTop w:val="0"/>
          <w:marBottom w:val="240"/>
          <w:divBdr>
            <w:top w:val="none" w:sz="0" w:space="0" w:color="auto"/>
            <w:left w:val="none" w:sz="0" w:space="0" w:color="auto"/>
            <w:bottom w:val="none" w:sz="0" w:space="0" w:color="auto"/>
            <w:right w:val="none" w:sz="0" w:space="0" w:color="auto"/>
          </w:divBdr>
        </w:div>
        <w:div w:id="890653852">
          <w:marLeft w:val="240"/>
          <w:marRight w:val="0"/>
          <w:marTop w:val="0"/>
          <w:marBottom w:val="240"/>
          <w:divBdr>
            <w:top w:val="none" w:sz="0" w:space="0" w:color="auto"/>
            <w:left w:val="none" w:sz="0" w:space="0" w:color="auto"/>
            <w:bottom w:val="none" w:sz="0" w:space="0" w:color="auto"/>
            <w:right w:val="none" w:sz="0" w:space="0" w:color="auto"/>
          </w:divBdr>
        </w:div>
        <w:div w:id="1796369086">
          <w:marLeft w:val="240"/>
          <w:marRight w:val="0"/>
          <w:marTop w:val="0"/>
          <w:marBottom w:val="240"/>
          <w:divBdr>
            <w:top w:val="none" w:sz="0" w:space="0" w:color="auto"/>
            <w:left w:val="none" w:sz="0" w:space="0" w:color="auto"/>
            <w:bottom w:val="none" w:sz="0" w:space="0" w:color="auto"/>
            <w:right w:val="none" w:sz="0" w:space="0" w:color="auto"/>
          </w:divBdr>
        </w:div>
        <w:div w:id="1872499671">
          <w:marLeft w:val="0"/>
          <w:marRight w:val="0"/>
          <w:marTop w:val="0"/>
          <w:marBottom w:val="240"/>
          <w:divBdr>
            <w:top w:val="none" w:sz="0" w:space="0" w:color="auto"/>
            <w:left w:val="none" w:sz="0" w:space="0" w:color="auto"/>
            <w:bottom w:val="none" w:sz="0" w:space="0" w:color="auto"/>
            <w:right w:val="none" w:sz="0" w:space="0" w:color="auto"/>
          </w:divBdr>
        </w:div>
      </w:divsChild>
    </w:div>
    <w:div w:id="540165068">
      <w:bodyDiv w:val="1"/>
      <w:marLeft w:val="0"/>
      <w:marRight w:val="0"/>
      <w:marTop w:val="0"/>
      <w:marBottom w:val="0"/>
      <w:divBdr>
        <w:top w:val="none" w:sz="0" w:space="0" w:color="auto"/>
        <w:left w:val="none" w:sz="0" w:space="0" w:color="auto"/>
        <w:bottom w:val="none" w:sz="0" w:space="0" w:color="auto"/>
        <w:right w:val="none" w:sz="0" w:space="0" w:color="auto"/>
      </w:divBdr>
    </w:div>
    <w:div w:id="568074896">
      <w:bodyDiv w:val="1"/>
      <w:marLeft w:val="0"/>
      <w:marRight w:val="0"/>
      <w:marTop w:val="0"/>
      <w:marBottom w:val="0"/>
      <w:divBdr>
        <w:top w:val="none" w:sz="0" w:space="0" w:color="auto"/>
        <w:left w:val="none" w:sz="0" w:space="0" w:color="auto"/>
        <w:bottom w:val="none" w:sz="0" w:space="0" w:color="auto"/>
        <w:right w:val="none" w:sz="0" w:space="0" w:color="auto"/>
      </w:divBdr>
    </w:div>
    <w:div w:id="600189711">
      <w:bodyDiv w:val="1"/>
      <w:marLeft w:val="0"/>
      <w:marRight w:val="0"/>
      <w:marTop w:val="0"/>
      <w:marBottom w:val="0"/>
      <w:divBdr>
        <w:top w:val="none" w:sz="0" w:space="0" w:color="auto"/>
        <w:left w:val="none" w:sz="0" w:space="0" w:color="auto"/>
        <w:bottom w:val="none" w:sz="0" w:space="0" w:color="auto"/>
        <w:right w:val="none" w:sz="0" w:space="0" w:color="auto"/>
      </w:divBdr>
    </w:div>
    <w:div w:id="605424328">
      <w:bodyDiv w:val="1"/>
      <w:marLeft w:val="0"/>
      <w:marRight w:val="0"/>
      <w:marTop w:val="0"/>
      <w:marBottom w:val="0"/>
      <w:divBdr>
        <w:top w:val="none" w:sz="0" w:space="0" w:color="auto"/>
        <w:left w:val="none" w:sz="0" w:space="0" w:color="auto"/>
        <w:bottom w:val="none" w:sz="0" w:space="0" w:color="auto"/>
        <w:right w:val="none" w:sz="0" w:space="0" w:color="auto"/>
      </w:divBdr>
    </w:div>
    <w:div w:id="616913920">
      <w:bodyDiv w:val="1"/>
      <w:marLeft w:val="0"/>
      <w:marRight w:val="0"/>
      <w:marTop w:val="0"/>
      <w:marBottom w:val="0"/>
      <w:divBdr>
        <w:top w:val="none" w:sz="0" w:space="0" w:color="auto"/>
        <w:left w:val="none" w:sz="0" w:space="0" w:color="auto"/>
        <w:bottom w:val="none" w:sz="0" w:space="0" w:color="auto"/>
        <w:right w:val="none" w:sz="0" w:space="0" w:color="auto"/>
      </w:divBdr>
    </w:div>
    <w:div w:id="641691912">
      <w:bodyDiv w:val="1"/>
      <w:marLeft w:val="0"/>
      <w:marRight w:val="0"/>
      <w:marTop w:val="0"/>
      <w:marBottom w:val="0"/>
      <w:divBdr>
        <w:top w:val="none" w:sz="0" w:space="0" w:color="auto"/>
        <w:left w:val="none" w:sz="0" w:space="0" w:color="auto"/>
        <w:bottom w:val="none" w:sz="0" w:space="0" w:color="auto"/>
        <w:right w:val="none" w:sz="0" w:space="0" w:color="auto"/>
      </w:divBdr>
    </w:div>
    <w:div w:id="670840329">
      <w:bodyDiv w:val="1"/>
      <w:marLeft w:val="0"/>
      <w:marRight w:val="0"/>
      <w:marTop w:val="0"/>
      <w:marBottom w:val="0"/>
      <w:divBdr>
        <w:top w:val="none" w:sz="0" w:space="0" w:color="auto"/>
        <w:left w:val="none" w:sz="0" w:space="0" w:color="auto"/>
        <w:bottom w:val="none" w:sz="0" w:space="0" w:color="auto"/>
        <w:right w:val="none" w:sz="0" w:space="0" w:color="auto"/>
      </w:divBdr>
      <w:divsChild>
        <w:div w:id="183059228">
          <w:marLeft w:val="240"/>
          <w:marRight w:val="0"/>
          <w:marTop w:val="0"/>
          <w:marBottom w:val="240"/>
          <w:divBdr>
            <w:top w:val="none" w:sz="0" w:space="0" w:color="auto"/>
            <w:left w:val="none" w:sz="0" w:space="0" w:color="auto"/>
            <w:bottom w:val="none" w:sz="0" w:space="0" w:color="auto"/>
            <w:right w:val="none" w:sz="0" w:space="0" w:color="auto"/>
          </w:divBdr>
        </w:div>
        <w:div w:id="507138598">
          <w:marLeft w:val="240"/>
          <w:marRight w:val="0"/>
          <w:marTop w:val="0"/>
          <w:marBottom w:val="240"/>
          <w:divBdr>
            <w:top w:val="none" w:sz="0" w:space="0" w:color="auto"/>
            <w:left w:val="none" w:sz="0" w:space="0" w:color="auto"/>
            <w:bottom w:val="none" w:sz="0" w:space="0" w:color="auto"/>
            <w:right w:val="none" w:sz="0" w:space="0" w:color="auto"/>
          </w:divBdr>
        </w:div>
      </w:divsChild>
    </w:div>
    <w:div w:id="676422137">
      <w:bodyDiv w:val="1"/>
      <w:marLeft w:val="0"/>
      <w:marRight w:val="0"/>
      <w:marTop w:val="0"/>
      <w:marBottom w:val="0"/>
      <w:divBdr>
        <w:top w:val="none" w:sz="0" w:space="0" w:color="auto"/>
        <w:left w:val="none" w:sz="0" w:space="0" w:color="auto"/>
        <w:bottom w:val="none" w:sz="0" w:space="0" w:color="auto"/>
        <w:right w:val="none" w:sz="0" w:space="0" w:color="auto"/>
      </w:divBdr>
    </w:div>
    <w:div w:id="735057392">
      <w:bodyDiv w:val="1"/>
      <w:marLeft w:val="0"/>
      <w:marRight w:val="0"/>
      <w:marTop w:val="0"/>
      <w:marBottom w:val="0"/>
      <w:divBdr>
        <w:top w:val="none" w:sz="0" w:space="0" w:color="auto"/>
        <w:left w:val="none" w:sz="0" w:space="0" w:color="auto"/>
        <w:bottom w:val="none" w:sz="0" w:space="0" w:color="auto"/>
        <w:right w:val="none" w:sz="0" w:space="0" w:color="auto"/>
      </w:divBdr>
      <w:divsChild>
        <w:div w:id="108624658">
          <w:marLeft w:val="0"/>
          <w:marRight w:val="0"/>
          <w:marTop w:val="0"/>
          <w:marBottom w:val="0"/>
          <w:divBdr>
            <w:top w:val="none" w:sz="0" w:space="0" w:color="auto"/>
            <w:left w:val="none" w:sz="0" w:space="0" w:color="auto"/>
            <w:bottom w:val="none" w:sz="0" w:space="0" w:color="auto"/>
            <w:right w:val="none" w:sz="0" w:space="0" w:color="auto"/>
          </w:divBdr>
        </w:div>
        <w:div w:id="151458652">
          <w:marLeft w:val="0"/>
          <w:marRight w:val="0"/>
          <w:marTop w:val="0"/>
          <w:marBottom w:val="0"/>
          <w:divBdr>
            <w:top w:val="none" w:sz="0" w:space="0" w:color="auto"/>
            <w:left w:val="none" w:sz="0" w:space="0" w:color="auto"/>
            <w:bottom w:val="none" w:sz="0" w:space="0" w:color="auto"/>
            <w:right w:val="none" w:sz="0" w:space="0" w:color="auto"/>
          </w:divBdr>
        </w:div>
        <w:div w:id="854270591">
          <w:marLeft w:val="0"/>
          <w:marRight w:val="0"/>
          <w:marTop w:val="0"/>
          <w:marBottom w:val="0"/>
          <w:divBdr>
            <w:top w:val="none" w:sz="0" w:space="0" w:color="auto"/>
            <w:left w:val="none" w:sz="0" w:space="0" w:color="auto"/>
            <w:bottom w:val="none" w:sz="0" w:space="0" w:color="auto"/>
            <w:right w:val="none" w:sz="0" w:space="0" w:color="auto"/>
          </w:divBdr>
        </w:div>
      </w:divsChild>
    </w:div>
    <w:div w:id="792286492">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840896875">
      <w:bodyDiv w:val="1"/>
      <w:marLeft w:val="0"/>
      <w:marRight w:val="0"/>
      <w:marTop w:val="0"/>
      <w:marBottom w:val="0"/>
      <w:divBdr>
        <w:top w:val="none" w:sz="0" w:space="0" w:color="auto"/>
        <w:left w:val="none" w:sz="0" w:space="0" w:color="auto"/>
        <w:bottom w:val="none" w:sz="0" w:space="0" w:color="auto"/>
        <w:right w:val="none" w:sz="0" w:space="0" w:color="auto"/>
      </w:divBdr>
    </w:div>
    <w:div w:id="842210664">
      <w:bodyDiv w:val="1"/>
      <w:marLeft w:val="0"/>
      <w:marRight w:val="0"/>
      <w:marTop w:val="0"/>
      <w:marBottom w:val="0"/>
      <w:divBdr>
        <w:top w:val="none" w:sz="0" w:space="0" w:color="auto"/>
        <w:left w:val="none" w:sz="0" w:space="0" w:color="auto"/>
        <w:bottom w:val="none" w:sz="0" w:space="0" w:color="auto"/>
        <w:right w:val="none" w:sz="0" w:space="0" w:color="auto"/>
      </w:divBdr>
    </w:div>
    <w:div w:id="879977393">
      <w:bodyDiv w:val="1"/>
      <w:marLeft w:val="0"/>
      <w:marRight w:val="0"/>
      <w:marTop w:val="0"/>
      <w:marBottom w:val="0"/>
      <w:divBdr>
        <w:top w:val="none" w:sz="0" w:space="0" w:color="auto"/>
        <w:left w:val="none" w:sz="0" w:space="0" w:color="auto"/>
        <w:bottom w:val="none" w:sz="0" w:space="0" w:color="auto"/>
        <w:right w:val="none" w:sz="0" w:space="0" w:color="auto"/>
      </w:divBdr>
    </w:div>
    <w:div w:id="885024534">
      <w:bodyDiv w:val="1"/>
      <w:marLeft w:val="0"/>
      <w:marRight w:val="0"/>
      <w:marTop w:val="0"/>
      <w:marBottom w:val="0"/>
      <w:divBdr>
        <w:top w:val="none" w:sz="0" w:space="0" w:color="auto"/>
        <w:left w:val="none" w:sz="0" w:space="0" w:color="auto"/>
        <w:bottom w:val="none" w:sz="0" w:space="0" w:color="auto"/>
        <w:right w:val="none" w:sz="0" w:space="0" w:color="auto"/>
      </w:divBdr>
    </w:div>
    <w:div w:id="904070316">
      <w:bodyDiv w:val="1"/>
      <w:marLeft w:val="0"/>
      <w:marRight w:val="0"/>
      <w:marTop w:val="0"/>
      <w:marBottom w:val="0"/>
      <w:divBdr>
        <w:top w:val="none" w:sz="0" w:space="0" w:color="auto"/>
        <w:left w:val="none" w:sz="0" w:space="0" w:color="auto"/>
        <w:bottom w:val="none" w:sz="0" w:space="0" w:color="auto"/>
        <w:right w:val="none" w:sz="0" w:space="0" w:color="auto"/>
      </w:divBdr>
      <w:divsChild>
        <w:div w:id="742261091">
          <w:marLeft w:val="240"/>
          <w:marRight w:val="0"/>
          <w:marTop w:val="0"/>
          <w:marBottom w:val="240"/>
          <w:divBdr>
            <w:top w:val="none" w:sz="0" w:space="0" w:color="auto"/>
            <w:left w:val="none" w:sz="0" w:space="0" w:color="auto"/>
            <w:bottom w:val="none" w:sz="0" w:space="0" w:color="auto"/>
            <w:right w:val="none" w:sz="0" w:space="0" w:color="auto"/>
          </w:divBdr>
        </w:div>
        <w:div w:id="970329098">
          <w:marLeft w:val="240"/>
          <w:marRight w:val="0"/>
          <w:marTop w:val="0"/>
          <w:marBottom w:val="240"/>
          <w:divBdr>
            <w:top w:val="none" w:sz="0" w:space="0" w:color="auto"/>
            <w:left w:val="none" w:sz="0" w:space="0" w:color="auto"/>
            <w:bottom w:val="none" w:sz="0" w:space="0" w:color="auto"/>
            <w:right w:val="none" w:sz="0" w:space="0" w:color="auto"/>
          </w:divBdr>
        </w:div>
        <w:div w:id="1679886755">
          <w:marLeft w:val="240"/>
          <w:marRight w:val="0"/>
          <w:marTop w:val="0"/>
          <w:marBottom w:val="240"/>
          <w:divBdr>
            <w:top w:val="none" w:sz="0" w:space="0" w:color="auto"/>
            <w:left w:val="none" w:sz="0" w:space="0" w:color="auto"/>
            <w:bottom w:val="none" w:sz="0" w:space="0" w:color="auto"/>
            <w:right w:val="none" w:sz="0" w:space="0" w:color="auto"/>
          </w:divBdr>
        </w:div>
      </w:divsChild>
    </w:div>
    <w:div w:id="910505587">
      <w:bodyDiv w:val="1"/>
      <w:marLeft w:val="0"/>
      <w:marRight w:val="0"/>
      <w:marTop w:val="0"/>
      <w:marBottom w:val="0"/>
      <w:divBdr>
        <w:top w:val="none" w:sz="0" w:space="0" w:color="auto"/>
        <w:left w:val="none" w:sz="0" w:space="0" w:color="auto"/>
        <w:bottom w:val="none" w:sz="0" w:space="0" w:color="auto"/>
        <w:right w:val="none" w:sz="0" w:space="0" w:color="auto"/>
      </w:divBdr>
    </w:div>
    <w:div w:id="921255324">
      <w:bodyDiv w:val="1"/>
      <w:marLeft w:val="0"/>
      <w:marRight w:val="0"/>
      <w:marTop w:val="0"/>
      <w:marBottom w:val="0"/>
      <w:divBdr>
        <w:top w:val="none" w:sz="0" w:space="0" w:color="auto"/>
        <w:left w:val="none" w:sz="0" w:space="0" w:color="auto"/>
        <w:bottom w:val="none" w:sz="0" w:space="0" w:color="auto"/>
        <w:right w:val="none" w:sz="0" w:space="0" w:color="auto"/>
      </w:divBdr>
      <w:divsChild>
        <w:div w:id="381560567">
          <w:marLeft w:val="240"/>
          <w:marRight w:val="0"/>
          <w:marTop w:val="0"/>
          <w:marBottom w:val="240"/>
          <w:divBdr>
            <w:top w:val="none" w:sz="0" w:space="0" w:color="auto"/>
            <w:left w:val="none" w:sz="0" w:space="0" w:color="auto"/>
            <w:bottom w:val="none" w:sz="0" w:space="0" w:color="auto"/>
            <w:right w:val="none" w:sz="0" w:space="0" w:color="auto"/>
          </w:divBdr>
        </w:div>
        <w:div w:id="538129716">
          <w:marLeft w:val="240"/>
          <w:marRight w:val="0"/>
          <w:marTop w:val="0"/>
          <w:marBottom w:val="240"/>
          <w:divBdr>
            <w:top w:val="none" w:sz="0" w:space="0" w:color="auto"/>
            <w:left w:val="none" w:sz="0" w:space="0" w:color="auto"/>
            <w:bottom w:val="none" w:sz="0" w:space="0" w:color="auto"/>
            <w:right w:val="none" w:sz="0" w:space="0" w:color="auto"/>
          </w:divBdr>
        </w:div>
        <w:div w:id="650714352">
          <w:marLeft w:val="240"/>
          <w:marRight w:val="0"/>
          <w:marTop w:val="0"/>
          <w:marBottom w:val="240"/>
          <w:divBdr>
            <w:top w:val="none" w:sz="0" w:space="0" w:color="auto"/>
            <w:left w:val="none" w:sz="0" w:space="0" w:color="auto"/>
            <w:bottom w:val="none" w:sz="0" w:space="0" w:color="auto"/>
            <w:right w:val="none" w:sz="0" w:space="0" w:color="auto"/>
          </w:divBdr>
        </w:div>
        <w:div w:id="1423212193">
          <w:marLeft w:val="240"/>
          <w:marRight w:val="0"/>
          <w:marTop w:val="0"/>
          <w:marBottom w:val="240"/>
          <w:divBdr>
            <w:top w:val="none" w:sz="0" w:space="0" w:color="auto"/>
            <w:left w:val="none" w:sz="0" w:space="0" w:color="auto"/>
            <w:bottom w:val="none" w:sz="0" w:space="0" w:color="auto"/>
            <w:right w:val="none" w:sz="0" w:space="0" w:color="auto"/>
          </w:divBdr>
        </w:div>
        <w:div w:id="1630739035">
          <w:marLeft w:val="0"/>
          <w:marRight w:val="0"/>
          <w:marTop w:val="0"/>
          <w:marBottom w:val="240"/>
          <w:divBdr>
            <w:top w:val="none" w:sz="0" w:space="0" w:color="auto"/>
            <w:left w:val="none" w:sz="0" w:space="0" w:color="auto"/>
            <w:bottom w:val="none" w:sz="0" w:space="0" w:color="auto"/>
            <w:right w:val="none" w:sz="0" w:space="0" w:color="auto"/>
          </w:divBdr>
        </w:div>
      </w:divsChild>
    </w:div>
    <w:div w:id="940453354">
      <w:bodyDiv w:val="1"/>
      <w:marLeft w:val="0"/>
      <w:marRight w:val="0"/>
      <w:marTop w:val="0"/>
      <w:marBottom w:val="0"/>
      <w:divBdr>
        <w:top w:val="none" w:sz="0" w:space="0" w:color="auto"/>
        <w:left w:val="none" w:sz="0" w:space="0" w:color="auto"/>
        <w:bottom w:val="none" w:sz="0" w:space="0" w:color="auto"/>
        <w:right w:val="none" w:sz="0" w:space="0" w:color="auto"/>
      </w:divBdr>
    </w:div>
    <w:div w:id="988243252">
      <w:bodyDiv w:val="1"/>
      <w:marLeft w:val="0"/>
      <w:marRight w:val="0"/>
      <w:marTop w:val="0"/>
      <w:marBottom w:val="0"/>
      <w:divBdr>
        <w:top w:val="none" w:sz="0" w:space="0" w:color="auto"/>
        <w:left w:val="none" w:sz="0" w:space="0" w:color="auto"/>
        <w:bottom w:val="none" w:sz="0" w:space="0" w:color="auto"/>
        <w:right w:val="none" w:sz="0" w:space="0" w:color="auto"/>
      </w:divBdr>
      <w:divsChild>
        <w:div w:id="1303540016">
          <w:marLeft w:val="240"/>
          <w:marRight w:val="0"/>
          <w:marTop w:val="0"/>
          <w:marBottom w:val="240"/>
          <w:divBdr>
            <w:top w:val="none" w:sz="0" w:space="0" w:color="auto"/>
            <w:left w:val="none" w:sz="0" w:space="0" w:color="auto"/>
            <w:bottom w:val="none" w:sz="0" w:space="0" w:color="auto"/>
            <w:right w:val="none" w:sz="0" w:space="0" w:color="auto"/>
          </w:divBdr>
        </w:div>
        <w:div w:id="1506555359">
          <w:marLeft w:val="240"/>
          <w:marRight w:val="0"/>
          <w:marTop w:val="0"/>
          <w:marBottom w:val="240"/>
          <w:divBdr>
            <w:top w:val="none" w:sz="0" w:space="0" w:color="auto"/>
            <w:left w:val="none" w:sz="0" w:space="0" w:color="auto"/>
            <w:bottom w:val="none" w:sz="0" w:space="0" w:color="auto"/>
            <w:right w:val="none" w:sz="0" w:space="0" w:color="auto"/>
          </w:divBdr>
        </w:div>
      </w:divsChild>
    </w:div>
    <w:div w:id="1048796485">
      <w:bodyDiv w:val="1"/>
      <w:marLeft w:val="0"/>
      <w:marRight w:val="0"/>
      <w:marTop w:val="0"/>
      <w:marBottom w:val="0"/>
      <w:divBdr>
        <w:top w:val="none" w:sz="0" w:space="0" w:color="auto"/>
        <w:left w:val="none" w:sz="0" w:space="0" w:color="auto"/>
        <w:bottom w:val="none" w:sz="0" w:space="0" w:color="auto"/>
        <w:right w:val="none" w:sz="0" w:space="0" w:color="auto"/>
      </w:divBdr>
    </w:div>
    <w:div w:id="1062561663">
      <w:bodyDiv w:val="1"/>
      <w:marLeft w:val="0"/>
      <w:marRight w:val="0"/>
      <w:marTop w:val="0"/>
      <w:marBottom w:val="0"/>
      <w:divBdr>
        <w:top w:val="none" w:sz="0" w:space="0" w:color="auto"/>
        <w:left w:val="none" w:sz="0" w:space="0" w:color="auto"/>
        <w:bottom w:val="none" w:sz="0" w:space="0" w:color="auto"/>
        <w:right w:val="none" w:sz="0" w:space="0" w:color="auto"/>
      </w:divBdr>
    </w:div>
    <w:div w:id="1065838007">
      <w:bodyDiv w:val="1"/>
      <w:marLeft w:val="0"/>
      <w:marRight w:val="0"/>
      <w:marTop w:val="0"/>
      <w:marBottom w:val="0"/>
      <w:divBdr>
        <w:top w:val="none" w:sz="0" w:space="0" w:color="auto"/>
        <w:left w:val="none" w:sz="0" w:space="0" w:color="auto"/>
        <w:bottom w:val="none" w:sz="0" w:space="0" w:color="auto"/>
        <w:right w:val="none" w:sz="0" w:space="0" w:color="auto"/>
      </w:divBdr>
    </w:div>
    <w:div w:id="1087843798">
      <w:bodyDiv w:val="1"/>
      <w:marLeft w:val="0"/>
      <w:marRight w:val="0"/>
      <w:marTop w:val="0"/>
      <w:marBottom w:val="0"/>
      <w:divBdr>
        <w:top w:val="none" w:sz="0" w:space="0" w:color="auto"/>
        <w:left w:val="none" w:sz="0" w:space="0" w:color="auto"/>
        <w:bottom w:val="none" w:sz="0" w:space="0" w:color="auto"/>
        <w:right w:val="none" w:sz="0" w:space="0" w:color="auto"/>
      </w:divBdr>
    </w:div>
    <w:div w:id="1102799527">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47937010">
      <w:bodyDiv w:val="1"/>
      <w:marLeft w:val="0"/>
      <w:marRight w:val="0"/>
      <w:marTop w:val="0"/>
      <w:marBottom w:val="0"/>
      <w:divBdr>
        <w:top w:val="none" w:sz="0" w:space="0" w:color="auto"/>
        <w:left w:val="none" w:sz="0" w:space="0" w:color="auto"/>
        <w:bottom w:val="none" w:sz="0" w:space="0" w:color="auto"/>
        <w:right w:val="none" w:sz="0" w:space="0" w:color="auto"/>
      </w:divBdr>
    </w:div>
    <w:div w:id="1148399345">
      <w:bodyDiv w:val="1"/>
      <w:marLeft w:val="0"/>
      <w:marRight w:val="0"/>
      <w:marTop w:val="0"/>
      <w:marBottom w:val="0"/>
      <w:divBdr>
        <w:top w:val="none" w:sz="0" w:space="0" w:color="auto"/>
        <w:left w:val="none" w:sz="0" w:space="0" w:color="auto"/>
        <w:bottom w:val="none" w:sz="0" w:space="0" w:color="auto"/>
        <w:right w:val="none" w:sz="0" w:space="0" w:color="auto"/>
      </w:divBdr>
    </w:div>
    <w:div w:id="1297102560">
      <w:bodyDiv w:val="1"/>
      <w:marLeft w:val="0"/>
      <w:marRight w:val="0"/>
      <w:marTop w:val="0"/>
      <w:marBottom w:val="0"/>
      <w:divBdr>
        <w:top w:val="none" w:sz="0" w:space="0" w:color="auto"/>
        <w:left w:val="none" w:sz="0" w:space="0" w:color="auto"/>
        <w:bottom w:val="none" w:sz="0" w:space="0" w:color="auto"/>
        <w:right w:val="none" w:sz="0" w:space="0" w:color="auto"/>
      </w:divBdr>
      <w:divsChild>
        <w:div w:id="185942954">
          <w:marLeft w:val="240"/>
          <w:marRight w:val="0"/>
          <w:marTop w:val="0"/>
          <w:marBottom w:val="240"/>
          <w:divBdr>
            <w:top w:val="none" w:sz="0" w:space="0" w:color="auto"/>
            <w:left w:val="none" w:sz="0" w:space="0" w:color="auto"/>
            <w:bottom w:val="none" w:sz="0" w:space="0" w:color="auto"/>
            <w:right w:val="none" w:sz="0" w:space="0" w:color="auto"/>
          </w:divBdr>
        </w:div>
        <w:div w:id="1485124674">
          <w:marLeft w:val="240"/>
          <w:marRight w:val="0"/>
          <w:marTop w:val="0"/>
          <w:marBottom w:val="240"/>
          <w:divBdr>
            <w:top w:val="none" w:sz="0" w:space="0" w:color="auto"/>
            <w:left w:val="none" w:sz="0" w:space="0" w:color="auto"/>
            <w:bottom w:val="none" w:sz="0" w:space="0" w:color="auto"/>
            <w:right w:val="none" w:sz="0" w:space="0" w:color="auto"/>
          </w:divBdr>
        </w:div>
        <w:div w:id="1671787980">
          <w:marLeft w:val="240"/>
          <w:marRight w:val="0"/>
          <w:marTop w:val="0"/>
          <w:marBottom w:val="240"/>
          <w:divBdr>
            <w:top w:val="none" w:sz="0" w:space="0" w:color="auto"/>
            <w:left w:val="none" w:sz="0" w:space="0" w:color="auto"/>
            <w:bottom w:val="none" w:sz="0" w:space="0" w:color="auto"/>
            <w:right w:val="none" w:sz="0" w:space="0" w:color="auto"/>
          </w:divBdr>
        </w:div>
        <w:div w:id="1772162449">
          <w:marLeft w:val="240"/>
          <w:marRight w:val="0"/>
          <w:marTop w:val="0"/>
          <w:marBottom w:val="240"/>
          <w:divBdr>
            <w:top w:val="none" w:sz="0" w:space="0" w:color="auto"/>
            <w:left w:val="none" w:sz="0" w:space="0" w:color="auto"/>
            <w:bottom w:val="none" w:sz="0" w:space="0" w:color="auto"/>
            <w:right w:val="none" w:sz="0" w:space="0" w:color="auto"/>
          </w:divBdr>
        </w:div>
      </w:divsChild>
    </w:div>
    <w:div w:id="1374961092">
      <w:bodyDiv w:val="1"/>
      <w:marLeft w:val="0"/>
      <w:marRight w:val="0"/>
      <w:marTop w:val="0"/>
      <w:marBottom w:val="0"/>
      <w:divBdr>
        <w:top w:val="none" w:sz="0" w:space="0" w:color="auto"/>
        <w:left w:val="none" w:sz="0" w:space="0" w:color="auto"/>
        <w:bottom w:val="none" w:sz="0" w:space="0" w:color="auto"/>
        <w:right w:val="none" w:sz="0" w:space="0" w:color="auto"/>
      </w:divBdr>
    </w:div>
    <w:div w:id="1407267280">
      <w:bodyDiv w:val="1"/>
      <w:marLeft w:val="0"/>
      <w:marRight w:val="0"/>
      <w:marTop w:val="0"/>
      <w:marBottom w:val="0"/>
      <w:divBdr>
        <w:top w:val="none" w:sz="0" w:space="0" w:color="auto"/>
        <w:left w:val="none" w:sz="0" w:space="0" w:color="auto"/>
        <w:bottom w:val="none" w:sz="0" w:space="0" w:color="auto"/>
        <w:right w:val="none" w:sz="0" w:space="0" w:color="auto"/>
      </w:divBdr>
    </w:div>
    <w:div w:id="1431241703">
      <w:bodyDiv w:val="1"/>
      <w:marLeft w:val="0"/>
      <w:marRight w:val="0"/>
      <w:marTop w:val="0"/>
      <w:marBottom w:val="0"/>
      <w:divBdr>
        <w:top w:val="none" w:sz="0" w:space="0" w:color="auto"/>
        <w:left w:val="none" w:sz="0" w:space="0" w:color="auto"/>
        <w:bottom w:val="none" w:sz="0" w:space="0" w:color="auto"/>
        <w:right w:val="none" w:sz="0" w:space="0" w:color="auto"/>
      </w:divBdr>
      <w:divsChild>
        <w:div w:id="519243402">
          <w:marLeft w:val="0"/>
          <w:marRight w:val="0"/>
          <w:marTop w:val="0"/>
          <w:marBottom w:val="0"/>
          <w:divBdr>
            <w:top w:val="none" w:sz="0" w:space="0" w:color="auto"/>
            <w:left w:val="none" w:sz="0" w:space="0" w:color="auto"/>
            <w:bottom w:val="none" w:sz="0" w:space="0" w:color="auto"/>
            <w:right w:val="none" w:sz="0" w:space="0" w:color="auto"/>
          </w:divBdr>
        </w:div>
        <w:div w:id="1421027823">
          <w:marLeft w:val="0"/>
          <w:marRight w:val="0"/>
          <w:marTop w:val="0"/>
          <w:marBottom w:val="0"/>
          <w:divBdr>
            <w:top w:val="none" w:sz="0" w:space="0" w:color="auto"/>
            <w:left w:val="none" w:sz="0" w:space="0" w:color="auto"/>
            <w:bottom w:val="none" w:sz="0" w:space="0" w:color="auto"/>
            <w:right w:val="none" w:sz="0" w:space="0" w:color="auto"/>
          </w:divBdr>
        </w:div>
      </w:divsChild>
    </w:div>
    <w:div w:id="1447114600">
      <w:bodyDiv w:val="1"/>
      <w:marLeft w:val="0"/>
      <w:marRight w:val="0"/>
      <w:marTop w:val="0"/>
      <w:marBottom w:val="0"/>
      <w:divBdr>
        <w:top w:val="none" w:sz="0" w:space="0" w:color="auto"/>
        <w:left w:val="none" w:sz="0" w:space="0" w:color="auto"/>
        <w:bottom w:val="none" w:sz="0" w:space="0" w:color="auto"/>
        <w:right w:val="none" w:sz="0" w:space="0" w:color="auto"/>
      </w:divBdr>
    </w:div>
    <w:div w:id="1452089451">
      <w:bodyDiv w:val="1"/>
      <w:marLeft w:val="0"/>
      <w:marRight w:val="0"/>
      <w:marTop w:val="0"/>
      <w:marBottom w:val="0"/>
      <w:divBdr>
        <w:top w:val="none" w:sz="0" w:space="0" w:color="auto"/>
        <w:left w:val="none" w:sz="0" w:space="0" w:color="auto"/>
        <w:bottom w:val="none" w:sz="0" w:space="0" w:color="auto"/>
        <w:right w:val="none" w:sz="0" w:space="0" w:color="auto"/>
      </w:divBdr>
    </w:div>
    <w:div w:id="1462920861">
      <w:bodyDiv w:val="1"/>
      <w:marLeft w:val="0"/>
      <w:marRight w:val="0"/>
      <w:marTop w:val="0"/>
      <w:marBottom w:val="0"/>
      <w:divBdr>
        <w:top w:val="none" w:sz="0" w:space="0" w:color="auto"/>
        <w:left w:val="none" w:sz="0" w:space="0" w:color="auto"/>
        <w:bottom w:val="none" w:sz="0" w:space="0" w:color="auto"/>
        <w:right w:val="none" w:sz="0" w:space="0" w:color="auto"/>
      </w:divBdr>
    </w:div>
    <w:div w:id="1478065380">
      <w:bodyDiv w:val="1"/>
      <w:marLeft w:val="0"/>
      <w:marRight w:val="0"/>
      <w:marTop w:val="0"/>
      <w:marBottom w:val="0"/>
      <w:divBdr>
        <w:top w:val="none" w:sz="0" w:space="0" w:color="auto"/>
        <w:left w:val="none" w:sz="0" w:space="0" w:color="auto"/>
        <w:bottom w:val="none" w:sz="0" w:space="0" w:color="auto"/>
        <w:right w:val="none" w:sz="0" w:space="0" w:color="auto"/>
      </w:divBdr>
    </w:div>
    <w:div w:id="1493911863">
      <w:bodyDiv w:val="1"/>
      <w:marLeft w:val="0"/>
      <w:marRight w:val="0"/>
      <w:marTop w:val="0"/>
      <w:marBottom w:val="0"/>
      <w:divBdr>
        <w:top w:val="none" w:sz="0" w:space="0" w:color="auto"/>
        <w:left w:val="none" w:sz="0" w:space="0" w:color="auto"/>
        <w:bottom w:val="none" w:sz="0" w:space="0" w:color="auto"/>
        <w:right w:val="none" w:sz="0" w:space="0" w:color="auto"/>
      </w:divBdr>
    </w:div>
    <w:div w:id="1523325273">
      <w:bodyDiv w:val="1"/>
      <w:marLeft w:val="0"/>
      <w:marRight w:val="0"/>
      <w:marTop w:val="0"/>
      <w:marBottom w:val="0"/>
      <w:divBdr>
        <w:top w:val="none" w:sz="0" w:space="0" w:color="auto"/>
        <w:left w:val="none" w:sz="0" w:space="0" w:color="auto"/>
        <w:bottom w:val="none" w:sz="0" w:space="0" w:color="auto"/>
        <w:right w:val="none" w:sz="0" w:space="0" w:color="auto"/>
      </w:divBdr>
    </w:div>
    <w:div w:id="1642614829">
      <w:bodyDiv w:val="1"/>
      <w:marLeft w:val="0"/>
      <w:marRight w:val="0"/>
      <w:marTop w:val="0"/>
      <w:marBottom w:val="0"/>
      <w:divBdr>
        <w:top w:val="none" w:sz="0" w:space="0" w:color="auto"/>
        <w:left w:val="none" w:sz="0" w:space="0" w:color="auto"/>
        <w:bottom w:val="none" w:sz="0" w:space="0" w:color="auto"/>
        <w:right w:val="none" w:sz="0" w:space="0" w:color="auto"/>
      </w:divBdr>
    </w:div>
    <w:div w:id="1661108114">
      <w:bodyDiv w:val="1"/>
      <w:marLeft w:val="0"/>
      <w:marRight w:val="0"/>
      <w:marTop w:val="0"/>
      <w:marBottom w:val="0"/>
      <w:divBdr>
        <w:top w:val="none" w:sz="0" w:space="0" w:color="auto"/>
        <w:left w:val="none" w:sz="0" w:space="0" w:color="auto"/>
        <w:bottom w:val="none" w:sz="0" w:space="0" w:color="auto"/>
        <w:right w:val="none" w:sz="0" w:space="0" w:color="auto"/>
      </w:divBdr>
    </w:div>
    <w:div w:id="1715733667">
      <w:bodyDiv w:val="1"/>
      <w:marLeft w:val="0"/>
      <w:marRight w:val="0"/>
      <w:marTop w:val="0"/>
      <w:marBottom w:val="0"/>
      <w:divBdr>
        <w:top w:val="none" w:sz="0" w:space="0" w:color="auto"/>
        <w:left w:val="none" w:sz="0" w:space="0" w:color="auto"/>
        <w:bottom w:val="none" w:sz="0" w:space="0" w:color="auto"/>
        <w:right w:val="none" w:sz="0" w:space="0" w:color="auto"/>
      </w:divBdr>
    </w:div>
    <w:div w:id="1720517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058">
          <w:marLeft w:val="240"/>
          <w:marRight w:val="0"/>
          <w:marTop w:val="0"/>
          <w:marBottom w:val="240"/>
          <w:divBdr>
            <w:top w:val="none" w:sz="0" w:space="0" w:color="auto"/>
            <w:left w:val="none" w:sz="0" w:space="0" w:color="auto"/>
            <w:bottom w:val="none" w:sz="0" w:space="0" w:color="auto"/>
            <w:right w:val="none" w:sz="0" w:space="0" w:color="auto"/>
          </w:divBdr>
        </w:div>
        <w:div w:id="1109010971">
          <w:marLeft w:val="240"/>
          <w:marRight w:val="0"/>
          <w:marTop w:val="0"/>
          <w:marBottom w:val="240"/>
          <w:divBdr>
            <w:top w:val="none" w:sz="0" w:space="0" w:color="auto"/>
            <w:left w:val="none" w:sz="0" w:space="0" w:color="auto"/>
            <w:bottom w:val="none" w:sz="0" w:space="0" w:color="auto"/>
            <w:right w:val="none" w:sz="0" w:space="0" w:color="auto"/>
          </w:divBdr>
        </w:div>
        <w:div w:id="1589120076">
          <w:marLeft w:val="240"/>
          <w:marRight w:val="0"/>
          <w:marTop w:val="0"/>
          <w:marBottom w:val="240"/>
          <w:divBdr>
            <w:top w:val="none" w:sz="0" w:space="0" w:color="auto"/>
            <w:left w:val="none" w:sz="0" w:space="0" w:color="auto"/>
            <w:bottom w:val="none" w:sz="0" w:space="0" w:color="auto"/>
            <w:right w:val="none" w:sz="0" w:space="0" w:color="auto"/>
          </w:divBdr>
        </w:div>
        <w:div w:id="1713116901">
          <w:marLeft w:val="240"/>
          <w:marRight w:val="0"/>
          <w:marTop w:val="0"/>
          <w:marBottom w:val="240"/>
          <w:divBdr>
            <w:top w:val="none" w:sz="0" w:space="0" w:color="auto"/>
            <w:left w:val="none" w:sz="0" w:space="0" w:color="auto"/>
            <w:bottom w:val="none" w:sz="0" w:space="0" w:color="auto"/>
            <w:right w:val="none" w:sz="0" w:space="0" w:color="auto"/>
          </w:divBdr>
        </w:div>
      </w:divsChild>
    </w:div>
    <w:div w:id="1731342639">
      <w:bodyDiv w:val="1"/>
      <w:marLeft w:val="0"/>
      <w:marRight w:val="0"/>
      <w:marTop w:val="0"/>
      <w:marBottom w:val="0"/>
      <w:divBdr>
        <w:top w:val="none" w:sz="0" w:space="0" w:color="auto"/>
        <w:left w:val="none" w:sz="0" w:space="0" w:color="auto"/>
        <w:bottom w:val="none" w:sz="0" w:space="0" w:color="auto"/>
        <w:right w:val="none" w:sz="0" w:space="0" w:color="auto"/>
      </w:divBdr>
    </w:div>
    <w:div w:id="1785074298">
      <w:bodyDiv w:val="1"/>
      <w:marLeft w:val="0"/>
      <w:marRight w:val="0"/>
      <w:marTop w:val="0"/>
      <w:marBottom w:val="0"/>
      <w:divBdr>
        <w:top w:val="none" w:sz="0" w:space="0" w:color="auto"/>
        <w:left w:val="none" w:sz="0" w:space="0" w:color="auto"/>
        <w:bottom w:val="none" w:sz="0" w:space="0" w:color="auto"/>
        <w:right w:val="none" w:sz="0" w:space="0" w:color="auto"/>
      </w:divBdr>
      <w:divsChild>
        <w:div w:id="446702443">
          <w:marLeft w:val="240"/>
          <w:marRight w:val="0"/>
          <w:marTop w:val="0"/>
          <w:marBottom w:val="240"/>
          <w:divBdr>
            <w:top w:val="none" w:sz="0" w:space="0" w:color="auto"/>
            <w:left w:val="none" w:sz="0" w:space="0" w:color="auto"/>
            <w:bottom w:val="none" w:sz="0" w:space="0" w:color="auto"/>
            <w:right w:val="none" w:sz="0" w:space="0" w:color="auto"/>
          </w:divBdr>
        </w:div>
        <w:div w:id="1250190059">
          <w:marLeft w:val="240"/>
          <w:marRight w:val="0"/>
          <w:marTop w:val="0"/>
          <w:marBottom w:val="240"/>
          <w:divBdr>
            <w:top w:val="none" w:sz="0" w:space="0" w:color="auto"/>
            <w:left w:val="none" w:sz="0" w:space="0" w:color="auto"/>
            <w:bottom w:val="none" w:sz="0" w:space="0" w:color="auto"/>
            <w:right w:val="none" w:sz="0" w:space="0" w:color="auto"/>
          </w:divBdr>
        </w:div>
      </w:divsChild>
    </w:div>
    <w:div w:id="1796946348">
      <w:bodyDiv w:val="1"/>
      <w:marLeft w:val="0"/>
      <w:marRight w:val="0"/>
      <w:marTop w:val="0"/>
      <w:marBottom w:val="0"/>
      <w:divBdr>
        <w:top w:val="none" w:sz="0" w:space="0" w:color="auto"/>
        <w:left w:val="none" w:sz="0" w:space="0" w:color="auto"/>
        <w:bottom w:val="none" w:sz="0" w:space="0" w:color="auto"/>
        <w:right w:val="none" w:sz="0" w:space="0" w:color="auto"/>
      </w:divBdr>
    </w:div>
    <w:div w:id="1798597074">
      <w:bodyDiv w:val="1"/>
      <w:marLeft w:val="0"/>
      <w:marRight w:val="0"/>
      <w:marTop w:val="0"/>
      <w:marBottom w:val="0"/>
      <w:divBdr>
        <w:top w:val="none" w:sz="0" w:space="0" w:color="auto"/>
        <w:left w:val="none" w:sz="0" w:space="0" w:color="auto"/>
        <w:bottom w:val="none" w:sz="0" w:space="0" w:color="auto"/>
        <w:right w:val="none" w:sz="0" w:space="0" w:color="auto"/>
      </w:divBdr>
      <w:divsChild>
        <w:div w:id="92361181">
          <w:marLeft w:val="0"/>
          <w:marRight w:val="0"/>
          <w:marTop w:val="0"/>
          <w:marBottom w:val="0"/>
          <w:divBdr>
            <w:top w:val="none" w:sz="0" w:space="0" w:color="auto"/>
            <w:left w:val="none" w:sz="0" w:space="0" w:color="auto"/>
            <w:bottom w:val="none" w:sz="0" w:space="0" w:color="auto"/>
            <w:right w:val="none" w:sz="0" w:space="0" w:color="auto"/>
          </w:divBdr>
        </w:div>
        <w:div w:id="844826841">
          <w:marLeft w:val="0"/>
          <w:marRight w:val="0"/>
          <w:marTop w:val="0"/>
          <w:marBottom w:val="0"/>
          <w:divBdr>
            <w:top w:val="none" w:sz="0" w:space="0" w:color="auto"/>
            <w:left w:val="none" w:sz="0" w:space="0" w:color="auto"/>
            <w:bottom w:val="none" w:sz="0" w:space="0" w:color="auto"/>
            <w:right w:val="none" w:sz="0" w:space="0" w:color="auto"/>
          </w:divBdr>
        </w:div>
        <w:div w:id="941035371">
          <w:marLeft w:val="0"/>
          <w:marRight w:val="0"/>
          <w:marTop w:val="0"/>
          <w:marBottom w:val="0"/>
          <w:divBdr>
            <w:top w:val="none" w:sz="0" w:space="0" w:color="auto"/>
            <w:left w:val="none" w:sz="0" w:space="0" w:color="auto"/>
            <w:bottom w:val="none" w:sz="0" w:space="0" w:color="auto"/>
            <w:right w:val="none" w:sz="0" w:space="0" w:color="auto"/>
          </w:divBdr>
        </w:div>
      </w:divsChild>
    </w:div>
    <w:div w:id="1840534662">
      <w:bodyDiv w:val="1"/>
      <w:marLeft w:val="0"/>
      <w:marRight w:val="0"/>
      <w:marTop w:val="0"/>
      <w:marBottom w:val="0"/>
      <w:divBdr>
        <w:top w:val="none" w:sz="0" w:space="0" w:color="auto"/>
        <w:left w:val="none" w:sz="0" w:space="0" w:color="auto"/>
        <w:bottom w:val="none" w:sz="0" w:space="0" w:color="auto"/>
        <w:right w:val="none" w:sz="0" w:space="0" w:color="auto"/>
      </w:divBdr>
      <w:divsChild>
        <w:div w:id="640815164">
          <w:marLeft w:val="240"/>
          <w:marRight w:val="0"/>
          <w:marTop w:val="0"/>
          <w:marBottom w:val="240"/>
          <w:divBdr>
            <w:top w:val="none" w:sz="0" w:space="0" w:color="auto"/>
            <w:left w:val="none" w:sz="0" w:space="0" w:color="auto"/>
            <w:bottom w:val="none" w:sz="0" w:space="0" w:color="auto"/>
            <w:right w:val="none" w:sz="0" w:space="0" w:color="auto"/>
          </w:divBdr>
        </w:div>
        <w:div w:id="1792431119">
          <w:marLeft w:val="240"/>
          <w:marRight w:val="0"/>
          <w:marTop w:val="0"/>
          <w:marBottom w:val="240"/>
          <w:divBdr>
            <w:top w:val="none" w:sz="0" w:space="0" w:color="auto"/>
            <w:left w:val="none" w:sz="0" w:space="0" w:color="auto"/>
            <w:bottom w:val="none" w:sz="0" w:space="0" w:color="auto"/>
            <w:right w:val="none" w:sz="0" w:space="0" w:color="auto"/>
          </w:divBdr>
        </w:div>
        <w:div w:id="2006664356">
          <w:marLeft w:val="240"/>
          <w:marRight w:val="0"/>
          <w:marTop w:val="0"/>
          <w:marBottom w:val="240"/>
          <w:divBdr>
            <w:top w:val="none" w:sz="0" w:space="0" w:color="auto"/>
            <w:left w:val="none" w:sz="0" w:space="0" w:color="auto"/>
            <w:bottom w:val="none" w:sz="0" w:space="0" w:color="auto"/>
            <w:right w:val="none" w:sz="0" w:space="0" w:color="auto"/>
          </w:divBdr>
        </w:div>
      </w:divsChild>
    </w:div>
    <w:div w:id="1907378236">
      <w:bodyDiv w:val="1"/>
      <w:marLeft w:val="0"/>
      <w:marRight w:val="0"/>
      <w:marTop w:val="0"/>
      <w:marBottom w:val="0"/>
      <w:divBdr>
        <w:top w:val="none" w:sz="0" w:space="0" w:color="auto"/>
        <w:left w:val="none" w:sz="0" w:space="0" w:color="auto"/>
        <w:bottom w:val="none" w:sz="0" w:space="0" w:color="auto"/>
        <w:right w:val="none" w:sz="0" w:space="0" w:color="auto"/>
      </w:divBdr>
      <w:divsChild>
        <w:div w:id="238560968">
          <w:marLeft w:val="0"/>
          <w:marRight w:val="0"/>
          <w:marTop w:val="0"/>
          <w:marBottom w:val="0"/>
          <w:divBdr>
            <w:top w:val="none" w:sz="0" w:space="0" w:color="auto"/>
            <w:left w:val="none" w:sz="0" w:space="0" w:color="auto"/>
            <w:bottom w:val="none" w:sz="0" w:space="0" w:color="auto"/>
            <w:right w:val="none" w:sz="0" w:space="0" w:color="auto"/>
          </w:divBdr>
        </w:div>
        <w:div w:id="1312639194">
          <w:marLeft w:val="0"/>
          <w:marRight w:val="0"/>
          <w:marTop w:val="0"/>
          <w:marBottom w:val="0"/>
          <w:divBdr>
            <w:top w:val="none" w:sz="0" w:space="0" w:color="auto"/>
            <w:left w:val="none" w:sz="0" w:space="0" w:color="auto"/>
            <w:bottom w:val="none" w:sz="0" w:space="0" w:color="auto"/>
            <w:right w:val="none" w:sz="0" w:space="0" w:color="auto"/>
          </w:divBdr>
        </w:div>
      </w:divsChild>
    </w:div>
    <w:div w:id="1937706609">
      <w:bodyDiv w:val="1"/>
      <w:marLeft w:val="0"/>
      <w:marRight w:val="0"/>
      <w:marTop w:val="0"/>
      <w:marBottom w:val="0"/>
      <w:divBdr>
        <w:top w:val="none" w:sz="0" w:space="0" w:color="auto"/>
        <w:left w:val="none" w:sz="0" w:space="0" w:color="auto"/>
        <w:bottom w:val="none" w:sz="0" w:space="0" w:color="auto"/>
        <w:right w:val="none" w:sz="0" w:space="0" w:color="auto"/>
      </w:divBdr>
      <w:divsChild>
        <w:div w:id="1013797198">
          <w:marLeft w:val="240"/>
          <w:marRight w:val="0"/>
          <w:marTop w:val="0"/>
          <w:marBottom w:val="240"/>
          <w:divBdr>
            <w:top w:val="none" w:sz="0" w:space="0" w:color="auto"/>
            <w:left w:val="none" w:sz="0" w:space="0" w:color="auto"/>
            <w:bottom w:val="none" w:sz="0" w:space="0" w:color="auto"/>
            <w:right w:val="none" w:sz="0" w:space="0" w:color="auto"/>
          </w:divBdr>
        </w:div>
        <w:div w:id="1277104759">
          <w:marLeft w:val="240"/>
          <w:marRight w:val="0"/>
          <w:marTop w:val="0"/>
          <w:marBottom w:val="240"/>
          <w:divBdr>
            <w:top w:val="none" w:sz="0" w:space="0" w:color="auto"/>
            <w:left w:val="none" w:sz="0" w:space="0" w:color="auto"/>
            <w:bottom w:val="none" w:sz="0" w:space="0" w:color="auto"/>
            <w:right w:val="none" w:sz="0" w:space="0" w:color="auto"/>
          </w:divBdr>
        </w:div>
      </w:divsChild>
    </w:div>
    <w:div w:id="1961524092">
      <w:bodyDiv w:val="1"/>
      <w:marLeft w:val="0"/>
      <w:marRight w:val="0"/>
      <w:marTop w:val="0"/>
      <w:marBottom w:val="0"/>
      <w:divBdr>
        <w:top w:val="none" w:sz="0" w:space="0" w:color="auto"/>
        <w:left w:val="none" w:sz="0" w:space="0" w:color="auto"/>
        <w:bottom w:val="none" w:sz="0" w:space="0" w:color="auto"/>
        <w:right w:val="none" w:sz="0" w:space="0" w:color="auto"/>
      </w:divBdr>
    </w:div>
    <w:div w:id="206166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docs.cpuc.ca.gov/PublishedDocs/Published/G000/M531/K686/531686022.pdf" TargetMode="External" Id="R3166ae1686004d3f" /></Relationships>
</file>

<file path=word/_rels/footnotes.xml.rels><?xml version="1.0" encoding="UTF-8" standalone="yes"?>
<Relationships xmlns="http://schemas.openxmlformats.org/package/2006/relationships"><Relationship Id="rId3" Type="http://schemas.openxmlformats.org/officeDocument/2006/relationships/hyperlink" Target="https://www.smud.org/-/media/Documents/Rate-Information/Rates/1-R.ashx" TargetMode="External"/><Relationship Id="rId2" Type="http://schemas.openxmlformats.org/officeDocument/2006/relationships/hyperlink" Target="https://www.next10.org/publications/electricity-rates-2" TargetMode="External"/><Relationship Id="rId1" Type="http://schemas.openxmlformats.org/officeDocument/2006/relationships/hyperlink" Target="http://www.propertytaxproject.uchicago.edu" TargetMode="External"/><Relationship Id="rId4" Type="http://schemas.openxmlformats.org/officeDocument/2006/relationships/hyperlink" Target="https://www.smud.org/-/media/Documents/Rate-Information/Rates/01_EAPR.ashx" TargetMode="External"/></Relationships>
</file>

<file path=word/documenttasks/documenttasks1.xml><?xml version="1.0" encoding="utf-8"?>
<t:Tasks xmlns:t="http://schemas.microsoft.com/office/tasks/2019/documenttasks" xmlns:oel="http://schemas.microsoft.com/office/2019/extlst">
  <t:Task id="{793CBF4D-3A0C-46FE-A068-FC60BA38F3BA}">
    <t:Anchor>
      <t:Comment id="1793575652"/>
    </t:Anchor>
    <t:History>
      <t:Event id="{929D6BDA-4F1B-45BB-A1AD-91D9D192D3B5}" time="2024-03-13T15:50:11.203Z">
        <t:Attribution userId="S::Stephanie.Wang@cpuc.ca.gov::03e85a3f-3c80-4fe7-b44b-0d4457483638" userProvider="AD" userName="Wang, Stephanie"/>
        <t:Anchor>
          <t:Comment id="1793575652"/>
        </t:Anchor>
        <t:Create/>
      </t:Event>
      <t:Event id="{B5E87C16-C23C-405F-AD16-FDCD5F6A1BCB}" time="2024-03-13T15:50:11.203Z">
        <t:Attribution userId="S::Stephanie.Wang@cpuc.ca.gov::03e85a3f-3c80-4fe7-b44b-0d4457483638" userProvider="AD" userName="Wang, Stephanie"/>
        <t:Anchor>
          <t:Comment id="1793575652"/>
        </t:Anchor>
        <t:Assign userId="S::Ankit.Jain@cpuc.ca.gov::e0e450ee-1f1b-4dfd-af0e-2b138ac12923" userProvider="AD" userName="Jain, Ankit"/>
      </t:Event>
      <t:Event id="{3B47D4B8-E625-490E-BFEC-9ACB3BFA95A6}" time="2024-03-13T15:50:11.203Z">
        <t:Attribution userId="S::Stephanie.Wang@cpuc.ca.gov::03e85a3f-3c80-4fe7-b44b-0d4457483638" userProvider="AD" userName="Wang, Stephanie"/>
        <t:Anchor>
          <t:Comment id="1793575652"/>
        </t:Anchor>
        <t:SetTitle title="@Jain, Ankit Here’s the draft revised paragraph. Please confirm which IOU to direct to issue the RFP and the deadline for entering into a contract with the Design Contractor."/>
      </t:Event>
      <t:Event id="{B73F9203-B7E4-4E75-8779-38AF7E7DBB2B}" time="2024-03-13T15:59:53.338Z">
        <t:Attribution userId="S::Stephanie.Wang@cpuc.ca.gov::03e85a3f-3c80-4fe7-b44b-0d4457483638" userProvider="AD" userName="Wang, Stephani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b9ac0d-b6a3-4a32-b50d-dc0009f94407">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_activity xmlns="f005b2f6-6f63-4b7b-9c64-78afe9860e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6BA35D19F3574388E70A223FF3CAAE" ma:contentTypeVersion="15" ma:contentTypeDescription="Create a new document." ma:contentTypeScope="" ma:versionID="14854b389e632205f4aeda74b273b0bd">
  <xsd:schema xmlns:xsd="http://www.w3.org/2001/XMLSchema" xmlns:xs="http://www.w3.org/2001/XMLSchema" xmlns:p="http://schemas.microsoft.com/office/2006/metadata/properties" xmlns:ns3="f005b2f6-6f63-4b7b-9c64-78afe9860e57" xmlns:ns4="f0b9ac0d-b6a3-4a32-b50d-dc0009f94407" targetNamespace="http://schemas.microsoft.com/office/2006/metadata/properties" ma:root="true" ma:fieldsID="7ef4f1db9adb02f75f8f6626e6d827c3" ns3:_="" ns4:_="">
    <xsd:import namespace="f005b2f6-6f63-4b7b-9c64-78afe9860e57"/>
    <xsd:import namespace="f0b9ac0d-b6a3-4a32-b50d-dc0009f944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b2f6-6f63-4b7b-9c64-78afe9860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9ac0d-b6a3-4a32-b50d-dc0009f944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f0b9ac0d-b6a3-4a32-b50d-dc0009f94407"/>
    <ds:schemaRef ds:uri="f005b2f6-6f63-4b7b-9c64-78afe9860e57"/>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E6067145-1B72-4AE9-AAEF-CB94E0988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b2f6-6f63-4b7b-9c64-78afe9860e57"/>
    <ds:schemaRef ds:uri="f0b9ac0d-b6a3-4a32-b50d-dc0009f94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156</ap:Pages>
  <ap:Words>41571</ap:Words>
  <ap:Characters>236955</ap:Characters>
  <ap:Application>Microsoft Office Word</ap:Application>
  <ap:DocSecurity>0</ap:DocSecurity>
  <ap:Lines>1974</ap:Lines>
  <ap:Paragraphs>555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277971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2024-05-07T15:28:00Z</cp:lastPrinted>
  <dcterms:created xsi:type="dcterms:W3CDTF">2024-05-15T10:39:19Z</dcterms:created>
  <dcterms:modified xsi:type="dcterms:W3CDTF">2024-05-15T10:39:19Z</dcterms:modified>
</cp:coreProperties>
</file>