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241C" w:rsidP="006217D6" w:rsidRDefault="008D7C6D" w14:paraId="494A2561" w14:textId="7D0EE9CD">
      <w:pPr>
        <w:tabs>
          <w:tab w:val="right" w:pos="9360"/>
        </w:tabs>
        <w:spacing w:line="240" w:lineRule="auto"/>
        <w:ind w:firstLine="0"/>
        <w:jc w:val="both"/>
        <w:rPr>
          <w:b/>
        </w:rPr>
      </w:pPr>
      <w:r w:rsidRPr="00C6625C">
        <w:t>ALJ</w:t>
      </w:r>
      <w:r w:rsidRPr="00C6625C" w:rsidR="00DA7B5D">
        <w:t>/</w:t>
      </w:r>
      <w:r w:rsidRPr="00C6625C" w:rsidR="0089241C">
        <w:t>KHY/</w:t>
      </w:r>
      <w:proofErr w:type="spellStart"/>
      <w:r w:rsidRPr="00C6625C" w:rsidR="00993744">
        <w:t>DBB</w:t>
      </w:r>
      <w:proofErr w:type="spellEnd"/>
      <w:r w:rsidRPr="00C6625C" w:rsidR="00DA7B5D">
        <w:t>/</w:t>
      </w:r>
      <w:r w:rsidRPr="00C6625C" w:rsidR="0089241C">
        <w:t>nd3</w:t>
      </w:r>
      <w:r w:rsidRPr="00C6625C" w:rsidR="007E0FEE">
        <w:tab/>
      </w:r>
      <w:r w:rsidRPr="00F24375" w:rsidR="00F24375">
        <w:rPr>
          <w:b/>
          <w:bCs/>
        </w:rPr>
        <w:t>Date of Issuance 6/7/2024</w:t>
      </w:r>
    </w:p>
    <w:p w:rsidR="00616201" w:rsidP="0089241C" w:rsidRDefault="00616201" w14:paraId="306613DB" w14:textId="77777777">
      <w:pPr>
        <w:spacing w:line="240" w:lineRule="auto"/>
        <w:ind w:firstLine="0"/>
      </w:pPr>
    </w:p>
    <w:p w:rsidR="00D86295" w:rsidP="0089241C" w:rsidRDefault="00D86295" w14:paraId="1061C7D7" w14:textId="77777777">
      <w:pPr>
        <w:spacing w:line="240" w:lineRule="auto"/>
        <w:ind w:firstLine="0"/>
      </w:pPr>
    </w:p>
    <w:p w:rsidRPr="00EE3060" w:rsidR="00DA7B5D" w:rsidP="0089241C" w:rsidRDefault="00DA7B5D" w14:paraId="7AC87D07" w14:textId="5AEE987C">
      <w:pPr>
        <w:spacing w:line="240" w:lineRule="auto"/>
        <w:ind w:firstLine="0"/>
      </w:pPr>
      <w:r>
        <w:t>Decision</w:t>
      </w:r>
      <w:r w:rsidR="00F24375">
        <w:t xml:space="preserve"> </w:t>
      </w:r>
      <w:r w:rsidRPr="00F24375" w:rsidR="00F24375">
        <w:t>24-05-065</w:t>
      </w:r>
      <w:r w:rsidR="00F24375">
        <w:t xml:space="preserve">  May 30, 2024</w:t>
      </w:r>
    </w:p>
    <w:p w:rsidR="00DA7B5D" w:rsidP="0089241C" w:rsidRDefault="00DA7B5D" w14:paraId="78717944" w14:textId="77777777">
      <w:pPr>
        <w:spacing w:line="240" w:lineRule="auto"/>
        <w:ind w:firstLine="0"/>
        <w:rPr>
          <w:u w:val="single"/>
        </w:rPr>
      </w:pPr>
    </w:p>
    <w:p w:rsidR="0089241C" w:rsidP="0089241C" w:rsidRDefault="0089241C" w14:paraId="48D7F873" w14:textId="77777777">
      <w:pPr>
        <w:spacing w:line="240" w:lineRule="auto"/>
        <w:ind w:firstLine="0"/>
        <w:rPr>
          <w:u w:val="single"/>
        </w:rPr>
      </w:pPr>
    </w:p>
    <w:p w:rsidR="00DA7B5D" w:rsidP="00BB0243" w:rsidRDefault="00DA7B5D" w14:paraId="34460C22"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E4C3383" w14:textId="77777777">
      <w:pPr>
        <w:spacing w:line="240" w:lineRule="auto"/>
        <w:ind w:firstLine="0"/>
        <w:rPr>
          <w:rFonts w:ascii="Arial" w:hAnsi="Arial" w:cs="Arial"/>
          <w:sz w:val="24"/>
          <w:szCs w:val="24"/>
        </w:rPr>
      </w:pPr>
    </w:p>
    <w:tbl>
      <w:tblPr>
        <w:tblStyle w:val="TableGrid"/>
        <w:tblW w:w="9360" w:type="dxa"/>
        <w:tblLayout w:type="fixed"/>
        <w:tblLook w:val="04A0" w:firstRow="1" w:lastRow="0" w:firstColumn="1" w:lastColumn="0" w:noHBand="0" w:noVBand="1"/>
      </w:tblPr>
      <w:tblGrid>
        <w:gridCol w:w="5130"/>
        <w:gridCol w:w="4230"/>
      </w:tblGrid>
      <w:tr w:rsidR="00DA7B5D" w:rsidTr="00515C33" w14:paraId="130A421E" w14:textId="77777777">
        <w:tc>
          <w:tcPr>
            <w:tcW w:w="5130" w:type="dxa"/>
            <w:tcBorders>
              <w:top w:val="nil"/>
              <w:left w:val="nil"/>
              <w:bottom w:val="single" w:color="auto" w:sz="4" w:space="0"/>
              <w:right w:val="single" w:color="auto" w:sz="4" w:space="0"/>
            </w:tcBorders>
          </w:tcPr>
          <w:p w:rsidR="00DA7B5D" w:rsidP="00C10B5F" w:rsidRDefault="004D0828" w14:paraId="3E3DA37C" w14:textId="0899BC9B">
            <w:pPr>
              <w:spacing w:line="240" w:lineRule="auto"/>
              <w:ind w:firstLine="0"/>
              <w:rPr>
                <w:rFonts w:cs="Arial"/>
                <w:szCs w:val="26"/>
              </w:rPr>
            </w:pPr>
            <w:r w:rsidRPr="004D0828">
              <w:rPr>
                <w:rFonts w:cs="Arial"/>
                <w:szCs w:val="26"/>
              </w:rPr>
              <w:t>Application of PACIFIC GAS AND ELECTRIC COMPANY (U39E) for Review of the Disadvantaged Communities</w:t>
            </w:r>
            <w:r w:rsidR="001C43E7">
              <w:rPr>
                <w:rFonts w:cs="Arial"/>
                <w:szCs w:val="26"/>
              </w:rPr>
              <w:t xml:space="preserve"> — </w:t>
            </w:r>
            <w:r w:rsidRPr="004D0828">
              <w:rPr>
                <w:rFonts w:cs="Arial"/>
                <w:szCs w:val="26"/>
              </w:rPr>
              <w:t>Green Tariff, Community Solar Green Tariff and Green Tariff Shared Renewables Programs.</w:t>
            </w:r>
          </w:p>
          <w:p w:rsidRPr="00DA7B5D" w:rsidR="004D0828" w:rsidP="00C10B5F" w:rsidRDefault="004D0828" w14:paraId="4C612D83" w14:textId="18BF5F51">
            <w:pPr>
              <w:spacing w:line="240" w:lineRule="auto"/>
              <w:ind w:firstLine="0"/>
              <w:rPr>
                <w:rFonts w:cs="Arial"/>
                <w:szCs w:val="26"/>
              </w:rPr>
            </w:pPr>
          </w:p>
        </w:tc>
        <w:tc>
          <w:tcPr>
            <w:tcW w:w="4230" w:type="dxa"/>
            <w:tcBorders>
              <w:top w:val="nil"/>
              <w:left w:val="single" w:color="auto" w:sz="4" w:space="0"/>
              <w:bottom w:val="nil"/>
              <w:right w:val="nil"/>
            </w:tcBorders>
            <w:vAlign w:val="center"/>
          </w:tcPr>
          <w:p w:rsidRPr="00DA7B5D" w:rsidR="00DA7B5D" w:rsidP="00412C83" w:rsidRDefault="008D7C6D" w14:paraId="471BDD6C" w14:textId="19105939">
            <w:pPr>
              <w:spacing w:line="240" w:lineRule="auto"/>
              <w:ind w:firstLine="0"/>
              <w:jc w:val="center"/>
              <w:rPr>
                <w:rFonts w:cs="Arial"/>
                <w:szCs w:val="26"/>
              </w:rPr>
            </w:pPr>
            <w:r>
              <w:rPr>
                <w:rFonts w:cs="Arial"/>
                <w:szCs w:val="26"/>
              </w:rPr>
              <w:t>Application 22</w:t>
            </w:r>
            <w:r w:rsidR="003D6EF8">
              <w:rPr>
                <w:rFonts w:cs="Arial"/>
                <w:szCs w:val="26"/>
              </w:rPr>
              <w:noBreakHyphen/>
            </w:r>
            <w:r>
              <w:rPr>
                <w:rFonts w:cs="Arial"/>
                <w:szCs w:val="26"/>
              </w:rPr>
              <w:t>05</w:t>
            </w:r>
            <w:r w:rsidR="003D6EF8">
              <w:rPr>
                <w:rFonts w:cs="Arial"/>
                <w:szCs w:val="26"/>
              </w:rPr>
              <w:noBreakHyphen/>
            </w:r>
            <w:r>
              <w:rPr>
                <w:rFonts w:cs="Arial"/>
                <w:szCs w:val="26"/>
              </w:rPr>
              <w:t>022</w:t>
            </w:r>
          </w:p>
        </w:tc>
      </w:tr>
      <w:tr w:rsidR="008D7C6D" w:rsidTr="008B1FF8" w14:paraId="3991E558" w14:textId="77777777">
        <w:tc>
          <w:tcPr>
            <w:tcW w:w="5130" w:type="dxa"/>
            <w:tcBorders>
              <w:left w:val="nil"/>
            </w:tcBorders>
            <w:vAlign w:val="center"/>
          </w:tcPr>
          <w:p w:rsidRPr="00DA7B5D" w:rsidR="004D0828" w:rsidP="008B1FF8" w:rsidRDefault="008D7C6D" w14:paraId="421DEA15" w14:textId="5B52EC3F">
            <w:pPr>
              <w:spacing w:line="240" w:lineRule="auto"/>
              <w:ind w:firstLine="0"/>
              <w:rPr>
                <w:rFonts w:cs="Arial"/>
                <w:szCs w:val="26"/>
              </w:rPr>
            </w:pPr>
            <w:r w:rsidRPr="008D7C6D">
              <w:rPr>
                <w:rFonts w:cs="Arial"/>
                <w:szCs w:val="26"/>
              </w:rPr>
              <w:t>A</w:t>
            </w:r>
            <w:r>
              <w:rPr>
                <w:rFonts w:cs="Arial"/>
                <w:szCs w:val="26"/>
              </w:rPr>
              <w:t>nd Related Matters</w:t>
            </w:r>
            <w:r w:rsidRPr="008D7C6D">
              <w:rPr>
                <w:rFonts w:cs="Arial"/>
                <w:szCs w:val="26"/>
              </w:rPr>
              <w:t>.</w:t>
            </w:r>
          </w:p>
        </w:tc>
        <w:tc>
          <w:tcPr>
            <w:tcW w:w="4230" w:type="dxa"/>
            <w:tcBorders>
              <w:top w:val="nil"/>
              <w:bottom w:val="nil"/>
              <w:right w:val="nil"/>
            </w:tcBorders>
          </w:tcPr>
          <w:p w:rsidR="008D7C6D" w:rsidP="00D41593" w:rsidRDefault="008D7C6D" w14:paraId="10A9F2C9" w14:textId="77777777">
            <w:pPr>
              <w:spacing w:line="240" w:lineRule="auto"/>
              <w:ind w:firstLine="0"/>
              <w:jc w:val="center"/>
              <w:rPr>
                <w:rFonts w:cs="Arial"/>
                <w:szCs w:val="26"/>
              </w:rPr>
            </w:pPr>
          </w:p>
          <w:p w:rsidR="008D7C6D" w:rsidP="00D41593" w:rsidRDefault="008D7C6D" w14:paraId="62D3C39D" w14:textId="63E1E70E">
            <w:pPr>
              <w:spacing w:line="240" w:lineRule="auto"/>
              <w:ind w:firstLine="0"/>
              <w:jc w:val="center"/>
              <w:rPr>
                <w:rFonts w:cs="Arial"/>
                <w:szCs w:val="26"/>
              </w:rPr>
            </w:pPr>
            <w:r>
              <w:rPr>
                <w:rFonts w:cs="Arial"/>
                <w:szCs w:val="26"/>
              </w:rPr>
              <w:t>Application 22</w:t>
            </w:r>
            <w:r w:rsidR="003D6EF8">
              <w:rPr>
                <w:rFonts w:cs="Arial"/>
                <w:szCs w:val="26"/>
              </w:rPr>
              <w:noBreakHyphen/>
            </w:r>
            <w:r>
              <w:rPr>
                <w:rFonts w:cs="Arial"/>
                <w:szCs w:val="26"/>
              </w:rPr>
              <w:t>05</w:t>
            </w:r>
            <w:r w:rsidR="003D6EF8">
              <w:rPr>
                <w:rFonts w:cs="Arial"/>
                <w:szCs w:val="26"/>
              </w:rPr>
              <w:noBreakHyphen/>
            </w:r>
            <w:r>
              <w:rPr>
                <w:rFonts w:cs="Arial"/>
                <w:szCs w:val="26"/>
              </w:rPr>
              <w:t>023</w:t>
            </w:r>
          </w:p>
          <w:p w:rsidR="008D7C6D" w:rsidP="00D41593" w:rsidRDefault="008D7C6D" w14:paraId="71043985" w14:textId="0BFECD53">
            <w:pPr>
              <w:spacing w:line="240" w:lineRule="auto"/>
              <w:ind w:firstLine="0"/>
              <w:jc w:val="center"/>
              <w:rPr>
                <w:rFonts w:cs="Arial"/>
                <w:szCs w:val="26"/>
              </w:rPr>
            </w:pPr>
            <w:r>
              <w:rPr>
                <w:rFonts w:cs="Arial"/>
                <w:szCs w:val="26"/>
              </w:rPr>
              <w:t>Application 22</w:t>
            </w:r>
            <w:r w:rsidR="003D6EF8">
              <w:rPr>
                <w:rFonts w:cs="Arial"/>
                <w:szCs w:val="26"/>
              </w:rPr>
              <w:noBreakHyphen/>
            </w:r>
            <w:r>
              <w:rPr>
                <w:rFonts w:cs="Arial"/>
                <w:szCs w:val="26"/>
              </w:rPr>
              <w:t>05</w:t>
            </w:r>
            <w:r w:rsidR="003D6EF8">
              <w:rPr>
                <w:rFonts w:cs="Arial"/>
                <w:szCs w:val="26"/>
              </w:rPr>
              <w:noBreakHyphen/>
            </w:r>
            <w:r>
              <w:rPr>
                <w:rFonts w:cs="Arial"/>
                <w:szCs w:val="26"/>
              </w:rPr>
              <w:t>024</w:t>
            </w:r>
          </w:p>
          <w:p w:rsidRPr="00DA7B5D" w:rsidR="008D7C6D" w:rsidP="00D41593" w:rsidRDefault="008D7C6D" w14:paraId="4A1F9B34" w14:textId="77777777">
            <w:pPr>
              <w:spacing w:line="240" w:lineRule="auto"/>
              <w:ind w:firstLine="0"/>
              <w:jc w:val="center"/>
              <w:rPr>
                <w:rFonts w:cs="Arial"/>
                <w:szCs w:val="26"/>
              </w:rPr>
            </w:pPr>
          </w:p>
        </w:tc>
      </w:tr>
    </w:tbl>
    <w:p w:rsidR="00DA7B5D" w:rsidP="008F0116" w:rsidRDefault="00DA7B5D" w14:paraId="2D183770" w14:textId="77777777">
      <w:pPr>
        <w:spacing w:line="240" w:lineRule="auto"/>
        <w:ind w:firstLine="0"/>
        <w:rPr>
          <w:rFonts w:ascii="Arial" w:hAnsi="Arial" w:cs="Arial"/>
          <w:sz w:val="24"/>
          <w:szCs w:val="24"/>
        </w:rPr>
      </w:pPr>
    </w:p>
    <w:p w:rsidR="00DA7B5D" w:rsidP="008F0116" w:rsidRDefault="00DA7B5D" w14:paraId="15138EB2" w14:textId="77777777">
      <w:pPr>
        <w:spacing w:line="240" w:lineRule="auto"/>
        <w:ind w:firstLine="0"/>
        <w:rPr>
          <w:rFonts w:ascii="Arial" w:hAnsi="Arial" w:cs="Arial"/>
          <w:sz w:val="24"/>
          <w:szCs w:val="24"/>
        </w:rPr>
      </w:pPr>
    </w:p>
    <w:p w:rsidR="00954AAA" w:rsidP="00954AAA" w:rsidRDefault="00954AAA" w14:paraId="3AE350AA" w14:textId="4A329BD2">
      <w:pPr>
        <w:pStyle w:val="Dummy"/>
        <w:jc w:val="center"/>
      </w:pPr>
      <w:r>
        <w:fldChar w:fldCharType="begin"/>
      </w:r>
      <w:r>
        <w:instrText xml:space="preserve"> REF Title \h </w:instrText>
      </w:r>
      <w:r>
        <w:fldChar w:fldCharType="separate"/>
      </w:r>
      <w:bookmarkStart w:name="_Toc168559251" w:id="0"/>
      <w:bookmarkStart w:name="_Toc159551131" w:id="1"/>
      <w:r w:rsidR="00634405">
        <w:t>DECISION MODIFYING GREEN ACCESS PROGRAM TARIFFS</w:t>
      </w:r>
      <w:r w:rsidR="00634405">
        <w:br/>
        <w:t>AND ADOPTING A COMMUNITY RENEWABLE ENERGY PROGRAM</w:t>
      </w:r>
      <w:bookmarkEnd w:id="0"/>
      <w:bookmarkEnd w:id="1"/>
      <w:r>
        <w:fldChar w:fldCharType="end"/>
      </w:r>
    </w:p>
    <w:p w:rsidR="009026CF" w:rsidP="009026CF" w:rsidRDefault="009026CF" w14:paraId="681836D5" w14:textId="77777777"/>
    <w:p w:rsidR="009026CF" w:rsidP="009026CF" w:rsidRDefault="009026CF" w14:paraId="61A2A860" w14:textId="77777777"/>
    <w:p w:rsidRPr="009026CF" w:rsidR="009026CF" w:rsidP="009026CF" w:rsidRDefault="009026CF" w14:paraId="2A55EF53" w14:textId="056210DC">
      <w:pPr>
        <w:sectPr w:rsidRPr="009026CF" w:rsidR="009026CF" w:rsidSect="00C73908">
          <w:headerReference w:type="default" r:id="rId11"/>
          <w:footerReference w:type="default" r:id="rId12"/>
          <w:headerReference w:type="first" r:id="rId13"/>
          <w:footerReference w:type="first" r:id="rId14"/>
          <w:pgSz w:w="12240" w:h="15840"/>
          <w:pgMar w:top="1728" w:right="1440" w:bottom="1440" w:left="1440" w:header="720" w:footer="720" w:gutter="0"/>
          <w:pgNumType w:start="1"/>
          <w:cols w:space="720"/>
          <w:titlePg/>
          <w:docGrid w:linePitch="360"/>
        </w:sectPr>
      </w:pPr>
    </w:p>
    <w:p w:rsidRPr="001E2A62" w:rsidR="00D50119" w:rsidP="000B5282" w:rsidRDefault="00D50119" w14:paraId="3DCB0085" w14:textId="77777777">
      <w:pPr>
        <w:pStyle w:val="TOCHeading"/>
      </w:pPr>
      <w:r w:rsidRPr="001E2A62">
        <w:lastRenderedPageBreak/>
        <w:t>TABLE OF CONTENTS</w:t>
      </w:r>
    </w:p>
    <w:p w:rsidRPr="00D50119" w:rsidR="00D50119" w:rsidP="000B5282" w:rsidRDefault="00D50119" w14:paraId="2FDFBF17" w14:textId="77777777">
      <w:pPr>
        <w:tabs>
          <w:tab w:val="right" w:pos="9360"/>
        </w:tabs>
        <w:spacing w:line="240" w:lineRule="auto"/>
        <w:ind w:firstLine="0"/>
      </w:pPr>
      <w:r w:rsidRPr="00D50119">
        <w:rPr>
          <w:b/>
        </w:rPr>
        <w:t>Title</w:t>
      </w:r>
      <w:r>
        <w:tab/>
      </w:r>
      <w:r w:rsidRPr="00D50119">
        <w:rPr>
          <w:b/>
        </w:rPr>
        <w:t>Page</w:t>
      </w:r>
    </w:p>
    <w:bookmarkStart w:name="_Hlk144302320" w:displacedByCustomXml="next" w:id="2"/>
    <w:sdt>
      <w:sdtPr>
        <w:id w:val="-1224440197"/>
        <w:docPartObj>
          <w:docPartGallery w:val="Table of Contents"/>
          <w:docPartUnique/>
        </w:docPartObj>
      </w:sdtPr>
      <w:sdtEndPr>
        <w:rPr>
          <w:b/>
          <w:bCs/>
          <w:noProof/>
        </w:rPr>
      </w:sdtEndPr>
      <w:sdtContent>
        <w:p w:rsidR="00C30A87" w:rsidP="00C30A87" w:rsidRDefault="008C7413" w14:paraId="512B7181" w14:textId="5439E15D">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68559251">
            <w:r w:rsidRPr="00151BDE" w:rsidR="00C30A87">
              <w:rPr>
                <w:rStyle w:val="Hyperlink"/>
                <w:noProof/>
              </w:rPr>
              <w:t>DECISION MODIFYING GREEN ACCESS PROGRAM TARIFFS AND ADOPTING A COMMUNITY RENEWABLE ENERGY PROGRAM</w:t>
            </w:r>
            <w:r w:rsidR="00C30A87">
              <w:rPr>
                <w:noProof/>
                <w:webHidden/>
              </w:rPr>
              <w:tab/>
            </w:r>
            <w:r w:rsidR="00C30A87">
              <w:rPr>
                <w:noProof/>
                <w:webHidden/>
              </w:rPr>
              <w:fldChar w:fldCharType="begin"/>
            </w:r>
            <w:r w:rsidR="00C30A87">
              <w:rPr>
                <w:noProof/>
                <w:webHidden/>
              </w:rPr>
              <w:instrText xml:space="preserve"> PAGEREF _Toc168559251 \h </w:instrText>
            </w:r>
            <w:r w:rsidR="00C30A87">
              <w:rPr>
                <w:noProof/>
                <w:webHidden/>
              </w:rPr>
            </w:r>
            <w:r w:rsidR="00C30A87">
              <w:rPr>
                <w:noProof/>
                <w:webHidden/>
              </w:rPr>
              <w:fldChar w:fldCharType="separate"/>
            </w:r>
            <w:r w:rsidR="00634405">
              <w:rPr>
                <w:noProof/>
                <w:webHidden/>
              </w:rPr>
              <w:t>1</w:t>
            </w:r>
            <w:r w:rsidR="00C30A87">
              <w:rPr>
                <w:noProof/>
                <w:webHidden/>
              </w:rPr>
              <w:fldChar w:fldCharType="end"/>
            </w:r>
          </w:hyperlink>
        </w:p>
        <w:p w:rsidR="00C30A87" w:rsidRDefault="00DB6A3D" w14:paraId="0AAE3796" w14:textId="2938FA51">
          <w:pPr>
            <w:pStyle w:val="TOC1"/>
            <w:tabs>
              <w:tab w:val="right" w:leader="dot" w:pos="9350"/>
            </w:tabs>
            <w:rPr>
              <w:rFonts w:asciiTheme="minorHAnsi" w:hAnsiTheme="minorHAnsi" w:cstheme="minorBidi"/>
              <w:noProof/>
              <w:kern w:val="2"/>
              <w:sz w:val="24"/>
              <w:szCs w:val="24"/>
              <w14:ligatures w14:val="standardContextual"/>
            </w:rPr>
          </w:pPr>
          <w:hyperlink w:history="1" w:anchor="_Toc168559252">
            <w:r w:rsidRPr="00151BDE" w:rsidR="00C30A87">
              <w:rPr>
                <w:rStyle w:val="Hyperlink"/>
                <w:noProof/>
              </w:rPr>
              <w:t>Summary</w:t>
            </w:r>
            <w:r w:rsidR="00C30A87">
              <w:rPr>
                <w:noProof/>
                <w:webHidden/>
              </w:rPr>
              <w:tab/>
            </w:r>
            <w:r w:rsidR="00C30A87">
              <w:rPr>
                <w:noProof/>
                <w:webHidden/>
              </w:rPr>
              <w:fldChar w:fldCharType="begin"/>
            </w:r>
            <w:r w:rsidR="00C30A87">
              <w:rPr>
                <w:noProof/>
                <w:webHidden/>
              </w:rPr>
              <w:instrText xml:space="preserve"> PAGEREF _Toc168559252 \h </w:instrText>
            </w:r>
            <w:r w:rsidR="00C30A87">
              <w:rPr>
                <w:noProof/>
                <w:webHidden/>
              </w:rPr>
            </w:r>
            <w:r w:rsidR="00C30A87">
              <w:rPr>
                <w:noProof/>
                <w:webHidden/>
              </w:rPr>
              <w:fldChar w:fldCharType="separate"/>
            </w:r>
            <w:r w:rsidR="00634405">
              <w:rPr>
                <w:noProof/>
                <w:webHidden/>
              </w:rPr>
              <w:t>2</w:t>
            </w:r>
            <w:r w:rsidR="00C30A87">
              <w:rPr>
                <w:noProof/>
                <w:webHidden/>
              </w:rPr>
              <w:fldChar w:fldCharType="end"/>
            </w:r>
          </w:hyperlink>
        </w:p>
        <w:p w:rsidR="00C30A87" w:rsidRDefault="00DB6A3D" w14:paraId="5897212D" w14:textId="19AE9BEB">
          <w:pPr>
            <w:pStyle w:val="TOC1"/>
            <w:tabs>
              <w:tab w:val="right" w:leader="dot" w:pos="9350"/>
            </w:tabs>
            <w:rPr>
              <w:rFonts w:asciiTheme="minorHAnsi" w:hAnsiTheme="minorHAnsi" w:cstheme="minorBidi"/>
              <w:noProof/>
              <w:kern w:val="2"/>
              <w:sz w:val="24"/>
              <w:szCs w:val="24"/>
              <w14:ligatures w14:val="standardContextual"/>
            </w:rPr>
          </w:pPr>
          <w:hyperlink w:history="1" w:anchor="_Toc168559253">
            <w:r w:rsidRPr="00151BDE" w:rsidR="00C30A87">
              <w:rPr>
                <w:rStyle w:val="Hyperlink"/>
                <w:noProof/>
              </w:rPr>
              <w:t>1.</w:t>
            </w:r>
            <w:r w:rsidR="00C30A87">
              <w:rPr>
                <w:rFonts w:asciiTheme="minorHAnsi" w:hAnsiTheme="minorHAnsi" w:cstheme="minorBidi"/>
                <w:noProof/>
                <w:kern w:val="2"/>
                <w:sz w:val="24"/>
                <w:szCs w:val="24"/>
                <w14:ligatures w14:val="standardContextual"/>
              </w:rPr>
              <w:tab/>
            </w:r>
            <w:r w:rsidRPr="00151BDE" w:rsidR="00C30A87">
              <w:rPr>
                <w:rStyle w:val="Hyperlink"/>
                <w:noProof/>
              </w:rPr>
              <w:t>Background</w:t>
            </w:r>
            <w:r w:rsidR="00C30A87">
              <w:rPr>
                <w:noProof/>
                <w:webHidden/>
              </w:rPr>
              <w:tab/>
            </w:r>
            <w:r w:rsidR="00C30A87">
              <w:rPr>
                <w:noProof/>
                <w:webHidden/>
              </w:rPr>
              <w:fldChar w:fldCharType="begin"/>
            </w:r>
            <w:r w:rsidR="00C30A87">
              <w:rPr>
                <w:noProof/>
                <w:webHidden/>
              </w:rPr>
              <w:instrText xml:space="preserve"> PAGEREF _Toc168559253 \h </w:instrText>
            </w:r>
            <w:r w:rsidR="00C30A87">
              <w:rPr>
                <w:noProof/>
                <w:webHidden/>
              </w:rPr>
            </w:r>
            <w:r w:rsidR="00C30A87">
              <w:rPr>
                <w:noProof/>
                <w:webHidden/>
              </w:rPr>
              <w:fldChar w:fldCharType="separate"/>
            </w:r>
            <w:r w:rsidR="00634405">
              <w:rPr>
                <w:noProof/>
                <w:webHidden/>
              </w:rPr>
              <w:t>2</w:t>
            </w:r>
            <w:r w:rsidR="00C30A87">
              <w:rPr>
                <w:noProof/>
                <w:webHidden/>
              </w:rPr>
              <w:fldChar w:fldCharType="end"/>
            </w:r>
          </w:hyperlink>
        </w:p>
        <w:p w:rsidR="00C30A87" w:rsidRDefault="00DB6A3D" w14:paraId="38E09137" w14:textId="4FD80B8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54">
            <w:r w:rsidRPr="00151BDE" w:rsidR="00C30A87">
              <w:rPr>
                <w:rStyle w:val="Hyperlink"/>
                <w:noProof/>
              </w:rPr>
              <w:t>1.1.</w:t>
            </w:r>
            <w:r w:rsidR="00C30A87">
              <w:rPr>
                <w:rFonts w:asciiTheme="minorHAnsi" w:hAnsiTheme="minorHAnsi" w:cstheme="minorBidi"/>
                <w:noProof/>
                <w:kern w:val="2"/>
                <w:sz w:val="24"/>
                <w:szCs w:val="24"/>
                <w14:ligatures w14:val="standardContextual"/>
              </w:rPr>
              <w:tab/>
            </w:r>
            <w:r w:rsidRPr="00151BDE" w:rsidR="00C30A87">
              <w:rPr>
                <w:rStyle w:val="Hyperlink"/>
                <w:noProof/>
              </w:rPr>
              <w:t>Legislative Background</w:t>
            </w:r>
            <w:r w:rsidR="00C30A87">
              <w:rPr>
                <w:noProof/>
                <w:webHidden/>
              </w:rPr>
              <w:tab/>
            </w:r>
            <w:r w:rsidR="00C30A87">
              <w:rPr>
                <w:noProof/>
                <w:webHidden/>
              </w:rPr>
              <w:fldChar w:fldCharType="begin"/>
            </w:r>
            <w:r w:rsidR="00C30A87">
              <w:rPr>
                <w:noProof/>
                <w:webHidden/>
              </w:rPr>
              <w:instrText xml:space="preserve"> PAGEREF _Toc168559254 \h </w:instrText>
            </w:r>
            <w:r w:rsidR="00C30A87">
              <w:rPr>
                <w:noProof/>
                <w:webHidden/>
              </w:rPr>
            </w:r>
            <w:r w:rsidR="00C30A87">
              <w:rPr>
                <w:noProof/>
                <w:webHidden/>
              </w:rPr>
              <w:fldChar w:fldCharType="separate"/>
            </w:r>
            <w:r w:rsidR="00634405">
              <w:rPr>
                <w:noProof/>
                <w:webHidden/>
              </w:rPr>
              <w:t>3</w:t>
            </w:r>
            <w:r w:rsidR="00C30A87">
              <w:rPr>
                <w:noProof/>
                <w:webHidden/>
              </w:rPr>
              <w:fldChar w:fldCharType="end"/>
            </w:r>
          </w:hyperlink>
        </w:p>
        <w:p w:rsidR="00C30A87" w:rsidRDefault="00DB6A3D" w14:paraId="1A2FCAF7" w14:textId="225AE4D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55">
            <w:r w:rsidRPr="00151BDE" w:rsidR="00C30A87">
              <w:rPr>
                <w:rStyle w:val="Hyperlink"/>
                <w:noProof/>
              </w:rPr>
              <w:t>1.1.1.</w:t>
            </w:r>
            <w:r w:rsidR="00C30A87">
              <w:rPr>
                <w:rFonts w:asciiTheme="minorHAnsi" w:hAnsiTheme="minorHAnsi" w:cstheme="minorBidi"/>
                <w:noProof/>
                <w:kern w:val="2"/>
                <w:sz w:val="24"/>
                <w:szCs w:val="24"/>
                <w14:ligatures w14:val="standardContextual"/>
              </w:rPr>
              <w:tab/>
            </w:r>
            <w:r w:rsidRPr="00151BDE" w:rsidR="00C30A87">
              <w:rPr>
                <w:rStyle w:val="Hyperlink"/>
                <w:noProof/>
              </w:rPr>
              <w:t>Senate Bill 43</w:t>
            </w:r>
            <w:r w:rsidR="00C30A87">
              <w:rPr>
                <w:noProof/>
                <w:webHidden/>
              </w:rPr>
              <w:tab/>
            </w:r>
            <w:r w:rsidR="00C30A87">
              <w:rPr>
                <w:noProof/>
                <w:webHidden/>
              </w:rPr>
              <w:fldChar w:fldCharType="begin"/>
            </w:r>
            <w:r w:rsidR="00C30A87">
              <w:rPr>
                <w:noProof/>
                <w:webHidden/>
              </w:rPr>
              <w:instrText xml:space="preserve"> PAGEREF _Toc168559255 \h </w:instrText>
            </w:r>
            <w:r w:rsidR="00C30A87">
              <w:rPr>
                <w:noProof/>
                <w:webHidden/>
              </w:rPr>
            </w:r>
            <w:r w:rsidR="00C30A87">
              <w:rPr>
                <w:noProof/>
                <w:webHidden/>
              </w:rPr>
              <w:fldChar w:fldCharType="separate"/>
            </w:r>
            <w:r w:rsidR="00634405">
              <w:rPr>
                <w:noProof/>
                <w:webHidden/>
              </w:rPr>
              <w:t>3</w:t>
            </w:r>
            <w:r w:rsidR="00C30A87">
              <w:rPr>
                <w:noProof/>
                <w:webHidden/>
              </w:rPr>
              <w:fldChar w:fldCharType="end"/>
            </w:r>
          </w:hyperlink>
        </w:p>
        <w:p w:rsidR="00C30A87" w:rsidRDefault="00DB6A3D" w14:paraId="368A335B" w14:textId="58AADEE6">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56">
            <w:r w:rsidRPr="00151BDE" w:rsidR="00C30A87">
              <w:rPr>
                <w:rStyle w:val="Hyperlink"/>
                <w:noProof/>
              </w:rPr>
              <w:t>1.1.2.</w:t>
            </w:r>
            <w:r w:rsidR="00C30A87">
              <w:rPr>
                <w:rFonts w:asciiTheme="minorHAnsi" w:hAnsiTheme="minorHAnsi" w:cstheme="minorBidi"/>
                <w:noProof/>
                <w:kern w:val="2"/>
                <w:sz w:val="24"/>
                <w:szCs w:val="24"/>
                <w14:ligatures w14:val="standardContextual"/>
              </w:rPr>
              <w:tab/>
            </w:r>
            <w:r w:rsidRPr="00151BDE" w:rsidR="00C30A87">
              <w:rPr>
                <w:rStyle w:val="Hyperlink"/>
                <w:noProof/>
              </w:rPr>
              <w:t>Assembly Bill 327</w:t>
            </w:r>
            <w:r w:rsidR="00C30A87">
              <w:rPr>
                <w:noProof/>
                <w:webHidden/>
              </w:rPr>
              <w:tab/>
            </w:r>
            <w:r w:rsidR="00C30A87">
              <w:rPr>
                <w:noProof/>
                <w:webHidden/>
              </w:rPr>
              <w:fldChar w:fldCharType="begin"/>
            </w:r>
            <w:r w:rsidR="00C30A87">
              <w:rPr>
                <w:noProof/>
                <w:webHidden/>
              </w:rPr>
              <w:instrText xml:space="preserve"> PAGEREF _Toc168559256 \h </w:instrText>
            </w:r>
            <w:r w:rsidR="00C30A87">
              <w:rPr>
                <w:noProof/>
                <w:webHidden/>
              </w:rPr>
            </w:r>
            <w:r w:rsidR="00C30A87">
              <w:rPr>
                <w:noProof/>
                <w:webHidden/>
              </w:rPr>
              <w:fldChar w:fldCharType="separate"/>
            </w:r>
            <w:r w:rsidR="00634405">
              <w:rPr>
                <w:noProof/>
                <w:webHidden/>
              </w:rPr>
              <w:t>5</w:t>
            </w:r>
            <w:r w:rsidR="00C30A87">
              <w:rPr>
                <w:noProof/>
                <w:webHidden/>
              </w:rPr>
              <w:fldChar w:fldCharType="end"/>
            </w:r>
          </w:hyperlink>
        </w:p>
        <w:p w:rsidR="00C30A87" w:rsidRDefault="00DB6A3D" w14:paraId="6EE10ACA" w14:textId="686EE334">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57">
            <w:r w:rsidRPr="00151BDE" w:rsidR="00C30A87">
              <w:rPr>
                <w:rStyle w:val="Hyperlink"/>
                <w:noProof/>
              </w:rPr>
              <w:t>1.1.3.</w:t>
            </w:r>
            <w:r w:rsidR="00C30A87">
              <w:rPr>
                <w:rFonts w:asciiTheme="minorHAnsi" w:hAnsiTheme="minorHAnsi" w:cstheme="minorBidi"/>
                <w:noProof/>
                <w:kern w:val="2"/>
                <w:sz w:val="24"/>
                <w:szCs w:val="24"/>
                <w14:ligatures w14:val="standardContextual"/>
              </w:rPr>
              <w:tab/>
            </w:r>
            <w:r w:rsidRPr="00151BDE" w:rsidR="00C30A87">
              <w:rPr>
                <w:rStyle w:val="Hyperlink"/>
                <w:noProof/>
              </w:rPr>
              <w:t>Assembly Bill 2316</w:t>
            </w:r>
            <w:r w:rsidR="00C30A87">
              <w:rPr>
                <w:noProof/>
                <w:webHidden/>
              </w:rPr>
              <w:tab/>
            </w:r>
            <w:r w:rsidR="00C30A87">
              <w:rPr>
                <w:noProof/>
                <w:webHidden/>
              </w:rPr>
              <w:fldChar w:fldCharType="begin"/>
            </w:r>
            <w:r w:rsidR="00C30A87">
              <w:rPr>
                <w:noProof/>
                <w:webHidden/>
              </w:rPr>
              <w:instrText xml:space="preserve"> PAGEREF _Toc168559257 \h </w:instrText>
            </w:r>
            <w:r w:rsidR="00C30A87">
              <w:rPr>
                <w:noProof/>
                <w:webHidden/>
              </w:rPr>
            </w:r>
            <w:r w:rsidR="00C30A87">
              <w:rPr>
                <w:noProof/>
                <w:webHidden/>
              </w:rPr>
              <w:fldChar w:fldCharType="separate"/>
            </w:r>
            <w:r w:rsidR="00634405">
              <w:rPr>
                <w:noProof/>
                <w:webHidden/>
              </w:rPr>
              <w:t>5</w:t>
            </w:r>
            <w:r w:rsidR="00C30A87">
              <w:rPr>
                <w:noProof/>
                <w:webHidden/>
              </w:rPr>
              <w:fldChar w:fldCharType="end"/>
            </w:r>
          </w:hyperlink>
        </w:p>
        <w:p w:rsidR="00C30A87" w:rsidRDefault="00DB6A3D" w14:paraId="4A67D454" w14:textId="40C66BA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58">
            <w:r w:rsidRPr="00151BDE" w:rsidR="00C30A87">
              <w:rPr>
                <w:rStyle w:val="Hyperlink"/>
                <w:noProof/>
              </w:rPr>
              <w:t>1.2.</w:t>
            </w:r>
            <w:r w:rsidR="00C30A87">
              <w:rPr>
                <w:rFonts w:asciiTheme="minorHAnsi" w:hAnsiTheme="minorHAnsi" w:cstheme="minorBidi"/>
                <w:noProof/>
                <w:kern w:val="2"/>
                <w:sz w:val="24"/>
                <w:szCs w:val="24"/>
                <w14:ligatures w14:val="standardContextual"/>
              </w:rPr>
              <w:tab/>
            </w:r>
            <w:r w:rsidRPr="00151BDE" w:rsidR="00C30A87">
              <w:rPr>
                <w:rStyle w:val="Hyperlink"/>
                <w:noProof/>
              </w:rPr>
              <w:t>Commission Actions to Implement Senate Bill 43 and Assembly Bill 327</w:t>
            </w:r>
            <w:r w:rsidR="00C30A87">
              <w:rPr>
                <w:noProof/>
                <w:webHidden/>
              </w:rPr>
              <w:tab/>
            </w:r>
            <w:r w:rsidR="00C30A87">
              <w:rPr>
                <w:noProof/>
                <w:webHidden/>
              </w:rPr>
              <w:fldChar w:fldCharType="begin"/>
            </w:r>
            <w:r w:rsidR="00C30A87">
              <w:rPr>
                <w:noProof/>
                <w:webHidden/>
              </w:rPr>
              <w:instrText xml:space="preserve"> PAGEREF _Toc168559258 \h </w:instrText>
            </w:r>
            <w:r w:rsidR="00C30A87">
              <w:rPr>
                <w:noProof/>
                <w:webHidden/>
              </w:rPr>
            </w:r>
            <w:r w:rsidR="00C30A87">
              <w:rPr>
                <w:noProof/>
                <w:webHidden/>
              </w:rPr>
              <w:fldChar w:fldCharType="separate"/>
            </w:r>
            <w:r w:rsidR="00634405">
              <w:rPr>
                <w:noProof/>
                <w:webHidden/>
              </w:rPr>
              <w:t>7</w:t>
            </w:r>
            <w:r w:rsidR="00C30A87">
              <w:rPr>
                <w:noProof/>
                <w:webHidden/>
              </w:rPr>
              <w:fldChar w:fldCharType="end"/>
            </w:r>
          </w:hyperlink>
        </w:p>
        <w:p w:rsidR="00C30A87" w:rsidRDefault="00DB6A3D" w14:paraId="0C49788E" w14:textId="2832C62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59">
            <w:r w:rsidRPr="00151BDE" w:rsidR="00C30A87">
              <w:rPr>
                <w:rStyle w:val="Hyperlink"/>
                <w:noProof/>
              </w:rPr>
              <w:t>1.2.1.</w:t>
            </w:r>
            <w:r w:rsidR="00C30A87">
              <w:rPr>
                <w:rFonts w:asciiTheme="minorHAnsi" w:hAnsiTheme="minorHAnsi" w:cstheme="minorBidi"/>
                <w:noProof/>
                <w:kern w:val="2"/>
                <w:sz w:val="24"/>
                <w:szCs w:val="24"/>
                <w14:ligatures w14:val="standardContextual"/>
              </w:rPr>
              <w:tab/>
            </w:r>
            <w:r w:rsidRPr="00151BDE" w:rsidR="00C30A87">
              <w:rPr>
                <w:rStyle w:val="Hyperlink"/>
                <w:noProof/>
              </w:rPr>
              <w:t>Implementation of Senate Bill 43 through Decision 15</w:t>
            </w:r>
            <w:r w:rsidRPr="00151BDE" w:rsidR="00C30A87">
              <w:rPr>
                <w:rStyle w:val="Hyperlink"/>
                <w:noProof/>
              </w:rPr>
              <w:noBreakHyphen/>
              <w:t>01</w:t>
            </w:r>
            <w:r w:rsidRPr="00151BDE" w:rsidR="00C30A87">
              <w:rPr>
                <w:rStyle w:val="Hyperlink"/>
                <w:noProof/>
              </w:rPr>
              <w:noBreakHyphen/>
              <w:t>051 and Decision 16</w:t>
            </w:r>
            <w:r w:rsidRPr="00151BDE" w:rsidR="00C30A87">
              <w:rPr>
                <w:rStyle w:val="Hyperlink"/>
                <w:noProof/>
              </w:rPr>
              <w:noBreakHyphen/>
              <w:t>05</w:t>
            </w:r>
            <w:r w:rsidRPr="00151BDE" w:rsidR="00C30A87">
              <w:rPr>
                <w:rStyle w:val="Hyperlink"/>
                <w:noProof/>
              </w:rPr>
              <w:noBreakHyphen/>
              <w:t>031</w:t>
            </w:r>
            <w:r w:rsidR="00C30A87">
              <w:rPr>
                <w:noProof/>
                <w:webHidden/>
              </w:rPr>
              <w:tab/>
            </w:r>
            <w:r w:rsidR="00C30A87">
              <w:rPr>
                <w:noProof/>
                <w:webHidden/>
              </w:rPr>
              <w:fldChar w:fldCharType="begin"/>
            </w:r>
            <w:r w:rsidR="00C30A87">
              <w:rPr>
                <w:noProof/>
                <w:webHidden/>
              </w:rPr>
              <w:instrText xml:space="preserve"> PAGEREF _Toc168559259 \h </w:instrText>
            </w:r>
            <w:r w:rsidR="00C30A87">
              <w:rPr>
                <w:noProof/>
                <w:webHidden/>
              </w:rPr>
            </w:r>
            <w:r w:rsidR="00C30A87">
              <w:rPr>
                <w:noProof/>
                <w:webHidden/>
              </w:rPr>
              <w:fldChar w:fldCharType="separate"/>
            </w:r>
            <w:r w:rsidR="00634405">
              <w:rPr>
                <w:noProof/>
                <w:webHidden/>
              </w:rPr>
              <w:t>7</w:t>
            </w:r>
            <w:r w:rsidR="00C30A87">
              <w:rPr>
                <w:noProof/>
                <w:webHidden/>
              </w:rPr>
              <w:fldChar w:fldCharType="end"/>
            </w:r>
          </w:hyperlink>
        </w:p>
        <w:p w:rsidR="00C30A87" w:rsidRDefault="00DB6A3D" w14:paraId="79A2917C" w14:textId="230C6BBC">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60">
            <w:r w:rsidRPr="00151BDE" w:rsidR="00C30A87">
              <w:rPr>
                <w:rStyle w:val="Hyperlink"/>
                <w:noProof/>
              </w:rPr>
              <w:t>1.2.2.</w:t>
            </w:r>
            <w:r w:rsidR="00C30A87">
              <w:rPr>
                <w:rFonts w:asciiTheme="minorHAnsi" w:hAnsiTheme="minorHAnsi" w:cstheme="minorBidi"/>
                <w:noProof/>
                <w:kern w:val="2"/>
                <w:sz w:val="24"/>
                <w:szCs w:val="24"/>
                <w14:ligatures w14:val="standardContextual"/>
              </w:rPr>
              <w:tab/>
            </w:r>
            <w:r w:rsidRPr="00151BDE" w:rsidR="00C30A87">
              <w:rPr>
                <w:rStyle w:val="Hyperlink"/>
                <w:noProof/>
              </w:rPr>
              <w:t>Implementation of Assembly Bill 327 Through Decision 18</w:t>
            </w:r>
            <w:r w:rsidRPr="00151BDE" w:rsidR="00C30A87">
              <w:rPr>
                <w:rStyle w:val="Hyperlink"/>
                <w:noProof/>
              </w:rPr>
              <w:noBreakHyphen/>
              <w:t>06</w:t>
            </w:r>
            <w:r w:rsidRPr="00151BDE" w:rsidR="00C30A87">
              <w:rPr>
                <w:rStyle w:val="Hyperlink"/>
                <w:noProof/>
              </w:rPr>
              <w:noBreakHyphen/>
              <w:t>027</w:t>
            </w:r>
            <w:r w:rsidR="00C30A87">
              <w:rPr>
                <w:noProof/>
                <w:webHidden/>
              </w:rPr>
              <w:tab/>
            </w:r>
            <w:r w:rsidR="00C30A87">
              <w:rPr>
                <w:noProof/>
                <w:webHidden/>
              </w:rPr>
              <w:fldChar w:fldCharType="begin"/>
            </w:r>
            <w:r w:rsidR="00C30A87">
              <w:rPr>
                <w:noProof/>
                <w:webHidden/>
              </w:rPr>
              <w:instrText xml:space="preserve"> PAGEREF _Toc168559260 \h </w:instrText>
            </w:r>
            <w:r w:rsidR="00C30A87">
              <w:rPr>
                <w:noProof/>
                <w:webHidden/>
              </w:rPr>
            </w:r>
            <w:r w:rsidR="00C30A87">
              <w:rPr>
                <w:noProof/>
                <w:webHidden/>
              </w:rPr>
              <w:fldChar w:fldCharType="separate"/>
            </w:r>
            <w:r w:rsidR="00634405">
              <w:rPr>
                <w:noProof/>
                <w:webHidden/>
              </w:rPr>
              <w:t>10</w:t>
            </w:r>
            <w:r w:rsidR="00C30A87">
              <w:rPr>
                <w:noProof/>
                <w:webHidden/>
              </w:rPr>
              <w:fldChar w:fldCharType="end"/>
            </w:r>
          </w:hyperlink>
        </w:p>
        <w:p w:rsidR="00C30A87" w:rsidRDefault="00DB6A3D" w14:paraId="6CB44133" w14:textId="1448E524">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61">
            <w:r w:rsidRPr="00151BDE" w:rsidR="00C30A87">
              <w:rPr>
                <w:rStyle w:val="Hyperlink"/>
                <w:noProof/>
              </w:rPr>
              <w:t>1.3.</w:t>
            </w:r>
            <w:r w:rsidR="00C30A87">
              <w:rPr>
                <w:rFonts w:asciiTheme="minorHAnsi" w:hAnsiTheme="minorHAnsi" w:cstheme="minorBidi"/>
                <w:noProof/>
                <w:kern w:val="2"/>
                <w:sz w:val="24"/>
                <w:szCs w:val="24"/>
                <w14:ligatures w14:val="standardContextual"/>
              </w:rPr>
              <w:tab/>
            </w:r>
            <w:r w:rsidRPr="00151BDE" w:rsidR="00C30A87">
              <w:rPr>
                <w:rStyle w:val="Hyperlink"/>
                <w:noProof/>
              </w:rPr>
              <w:t>Related Work in Application 12</w:t>
            </w:r>
            <w:r w:rsidRPr="00151BDE" w:rsidR="00C30A87">
              <w:rPr>
                <w:rStyle w:val="Hyperlink"/>
                <w:noProof/>
              </w:rPr>
              <w:noBreakHyphen/>
              <w:t>01</w:t>
            </w:r>
            <w:r w:rsidRPr="00151BDE" w:rsidR="00C30A87">
              <w:rPr>
                <w:rStyle w:val="Hyperlink"/>
                <w:noProof/>
              </w:rPr>
              <w:noBreakHyphen/>
              <w:t xml:space="preserve">008, </w:t>
            </w:r>
            <w:r w:rsidRPr="00151BDE" w:rsidR="00C30A87">
              <w:rPr>
                <w:rStyle w:val="Hyperlink"/>
                <w:i/>
                <w:iCs/>
                <w:noProof/>
              </w:rPr>
              <w:t>et al.</w:t>
            </w:r>
            <w:r w:rsidR="00C30A87">
              <w:rPr>
                <w:noProof/>
                <w:webHidden/>
              </w:rPr>
              <w:tab/>
            </w:r>
            <w:r w:rsidR="00C30A87">
              <w:rPr>
                <w:noProof/>
                <w:webHidden/>
              </w:rPr>
              <w:fldChar w:fldCharType="begin"/>
            </w:r>
            <w:r w:rsidR="00C30A87">
              <w:rPr>
                <w:noProof/>
                <w:webHidden/>
              </w:rPr>
              <w:instrText xml:space="preserve"> PAGEREF _Toc168559261 \h </w:instrText>
            </w:r>
            <w:r w:rsidR="00C30A87">
              <w:rPr>
                <w:noProof/>
                <w:webHidden/>
              </w:rPr>
            </w:r>
            <w:r w:rsidR="00C30A87">
              <w:rPr>
                <w:noProof/>
                <w:webHidden/>
              </w:rPr>
              <w:fldChar w:fldCharType="separate"/>
            </w:r>
            <w:r w:rsidR="00634405">
              <w:rPr>
                <w:noProof/>
                <w:webHidden/>
              </w:rPr>
              <w:t>11</w:t>
            </w:r>
            <w:r w:rsidR="00C30A87">
              <w:rPr>
                <w:noProof/>
                <w:webHidden/>
              </w:rPr>
              <w:fldChar w:fldCharType="end"/>
            </w:r>
          </w:hyperlink>
        </w:p>
        <w:p w:rsidR="00C30A87" w:rsidRDefault="00DB6A3D" w14:paraId="5A3624CE" w14:textId="3A29F767">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62">
            <w:r w:rsidRPr="00151BDE" w:rsidR="00C30A87">
              <w:rPr>
                <w:rStyle w:val="Hyperlink"/>
                <w:noProof/>
              </w:rPr>
              <w:t>1.4.</w:t>
            </w:r>
            <w:r w:rsidR="00C30A87">
              <w:rPr>
                <w:rFonts w:asciiTheme="minorHAnsi" w:hAnsiTheme="minorHAnsi" w:cstheme="minorBidi"/>
                <w:noProof/>
                <w:kern w:val="2"/>
                <w:sz w:val="24"/>
                <w:szCs w:val="24"/>
                <w14:ligatures w14:val="standardContextual"/>
              </w:rPr>
              <w:tab/>
            </w:r>
            <w:r w:rsidRPr="00151BDE" w:rsidR="00C30A87">
              <w:rPr>
                <w:rStyle w:val="Hyperlink"/>
                <w:noProof/>
              </w:rPr>
              <w:t>Related Work in Rulemaking 20</w:t>
            </w:r>
            <w:r w:rsidRPr="00151BDE" w:rsidR="00C30A87">
              <w:rPr>
                <w:rStyle w:val="Hyperlink"/>
                <w:noProof/>
              </w:rPr>
              <w:noBreakHyphen/>
              <w:t>08</w:t>
            </w:r>
            <w:r w:rsidRPr="00151BDE" w:rsidR="00C30A87">
              <w:rPr>
                <w:rStyle w:val="Hyperlink"/>
                <w:noProof/>
              </w:rPr>
              <w:noBreakHyphen/>
              <w:t>020</w:t>
            </w:r>
            <w:r w:rsidR="00C30A87">
              <w:rPr>
                <w:noProof/>
                <w:webHidden/>
              </w:rPr>
              <w:tab/>
            </w:r>
            <w:r w:rsidR="00C30A87">
              <w:rPr>
                <w:noProof/>
                <w:webHidden/>
              </w:rPr>
              <w:fldChar w:fldCharType="begin"/>
            </w:r>
            <w:r w:rsidR="00C30A87">
              <w:rPr>
                <w:noProof/>
                <w:webHidden/>
              </w:rPr>
              <w:instrText xml:space="preserve"> PAGEREF _Toc168559262 \h </w:instrText>
            </w:r>
            <w:r w:rsidR="00C30A87">
              <w:rPr>
                <w:noProof/>
                <w:webHidden/>
              </w:rPr>
            </w:r>
            <w:r w:rsidR="00C30A87">
              <w:rPr>
                <w:noProof/>
                <w:webHidden/>
              </w:rPr>
              <w:fldChar w:fldCharType="separate"/>
            </w:r>
            <w:r w:rsidR="00634405">
              <w:rPr>
                <w:noProof/>
                <w:webHidden/>
              </w:rPr>
              <w:t>12</w:t>
            </w:r>
            <w:r w:rsidR="00C30A87">
              <w:rPr>
                <w:noProof/>
                <w:webHidden/>
              </w:rPr>
              <w:fldChar w:fldCharType="end"/>
            </w:r>
          </w:hyperlink>
        </w:p>
        <w:p w:rsidR="00C30A87" w:rsidRDefault="00DB6A3D" w14:paraId="6A2EE699" w14:textId="1833361F">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63">
            <w:r w:rsidRPr="00151BDE" w:rsidR="00C30A87">
              <w:rPr>
                <w:rStyle w:val="Hyperlink"/>
                <w:noProof/>
              </w:rPr>
              <w:t>1.5.</w:t>
            </w:r>
            <w:r w:rsidR="00C30A87">
              <w:rPr>
                <w:rFonts w:asciiTheme="minorHAnsi" w:hAnsiTheme="minorHAnsi" w:cstheme="minorBidi"/>
                <w:noProof/>
                <w:kern w:val="2"/>
                <w:sz w:val="24"/>
                <w:szCs w:val="24"/>
                <w14:ligatures w14:val="standardContextual"/>
              </w:rPr>
              <w:tab/>
            </w:r>
            <w:r w:rsidRPr="00151BDE" w:rsidR="00C30A87">
              <w:rPr>
                <w:rStyle w:val="Hyperlink"/>
                <w:noProof/>
              </w:rPr>
              <w:t>The Avoided Cost Calculator</w:t>
            </w:r>
            <w:r w:rsidR="00C30A87">
              <w:rPr>
                <w:noProof/>
                <w:webHidden/>
              </w:rPr>
              <w:tab/>
            </w:r>
            <w:r w:rsidR="00C30A87">
              <w:rPr>
                <w:noProof/>
                <w:webHidden/>
              </w:rPr>
              <w:fldChar w:fldCharType="begin"/>
            </w:r>
            <w:r w:rsidR="00C30A87">
              <w:rPr>
                <w:noProof/>
                <w:webHidden/>
              </w:rPr>
              <w:instrText xml:space="preserve"> PAGEREF _Toc168559263 \h </w:instrText>
            </w:r>
            <w:r w:rsidR="00C30A87">
              <w:rPr>
                <w:noProof/>
                <w:webHidden/>
              </w:rPr>
            </w:r>
            <w:r w:rsidR="00C30A87">
              <w:rPr>
                <w:noProof/>
                <w:webHidden/>
              </w:rPr>
              <w:fldChar w:fldCharType="separate"/>
            </w:r>
            <w:r w:rsidR="00634405">
              <w:rPr>
                <w:noProof/>
                <w:webHidden/>
              </w:rPr>
              <w:t>13</w:t>
            </w:r>
            <w:r w:rsidR="00C30A87">
              <w:rPr>
                <w:noProof/>
                <w:webHidden/>
              </w:rPr>
              <w:fldChar w:fldCharType="end"/>
            </w:r>
          </w:hyperlink>
        </w:p>
        <w:p w:rsidR="00C30A87" w:rsidRDefault="00DB6A3D" w14:paraId="24516DC6" w14:textId="21060F61">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64">
            <w:r w:rsidRPr="00151BDE" w:rsidR="00C30A87">
              <w:rPr>
                <w:rStyle w:val="Hyperlink"/>
                <w:noProof/>
              </w:rPr>
              <w:t>1.6.</w:t>
            </w:r>
            <w:r w:rsidR="00C30A87">
              <w:rPr>
                <w:rFonts w:asciiTheme="minorHAnsi" w:hAnsiTheme="minorHAnsi" w:cstheme="minorBidi"/>
                <w:noProof/>
                <w:kern w:val="2"/>
                <w:sz w:val="24"/>
                <w:szCs w:val="24"/>
                <w14:ligatures w14:val="standardContextual"/>
              </w:rPr>
              <w:tab/>
            </w:r>
            <w:r w:rsidRPr="00151BDE" w:rsidR="00C30A87">
              <w:rPr>
                <w:rStyle w:val="Hyperlink"/>
                <w:noProof/>
              </w:rPr>
              <w:t>Procedural Background</w:t>
            </w:r>
            <w:r w:rsidR="00C30A87">
              <w:rPr>
                <w:noProof/>
                <w:webHidden/>
              </w:rPr>
              <w:tab/>
            </w:r>
            <w:r w:rsidR="00C30A87">
              <w:rPr>
                <w:noProof/>
                <w:webHidden/>
              </w:rPr>
              <w:fldChar w:fldCharType="begin"/>
            </w:r>
            <w:r w:rsidR="00C30A87">
              <w:rPr>
                <w:noProof/>
                <w:webHidden/>
              </w:rPr>
              <w:instrText xml:space="preserve"> PAGEREF _Toc168559264 \h </w:instrText>
            </w:r>
            <w:r w:rsidR="00C30A87">
              <w:rPr>
                <w:noProof/>
                <w:webHidden/>
              </w:rPr>
            </w:r>
            <w:r w:rsidR="00C30A87">
              <w:rPr>
                <w:noProof/>
                <w:webHidden/>
              </w:rPr>
              <w:fldChar w:fldCharType="separate"/>
            </w:r>
            <w:r w:rsidR="00634405">
              <w:rPr>
                <w:noProof/>
                <w:webHidden/>
              </w:rPr>
              <w:t>15</w:t>
            </w:r>
            <w:r w:rsidR="00C30A87">
              <w:rPr>
                <w:noProof/>
                <w:webHidden/>
              </w:rPr>
              <w:fldChar w:fldCharType="end"/>
            </w:r>
          </w:hyperlink>
        </w:p>
        <w:p w:rsidR="00C30A87" w:rsidRDefault="00DB6A3D" w14:paraId="62ED17E0" w14:textId="1A9B252F">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65">
            <w:r w:rsidRPr="00151BDE" w:rsidR="00C30A87">
              <w:rPr>
                <w:rStyle w:val="Hyperlink"/>
                <w:noProof/>
              </w:rPr>
              <w:t>1.7.</w:t>
            </w:r>
            <w:r w:rsidR="00C30A87">
              <w:rPr>
                <w:rFonts w:asciiTheme="minorHAnsi" w:hAnsiTheme="minorHAnsi" w:cstheme="minorBidi"/>
                <w:noProof/>
                <w:kern w:val="2"/>
                <w:sz w:val="24"/>
                <w:szCs w:val="24"/>
                <w14:ligatures w14:val="standardContextual"/>
              </w:rPr>
              <w:tab/>
            </w:r>
            <w:r w:rsidRPr="00151BDE" w:rsidR="00C30A87">
              <w:rPr>
                <w:rStyle w:val="Hyperlink"/>
                <w:noProof/>
              </w:rPr>
              <w:t>Submission Date</w:t>
            </w:r>
            <w:r w:rsidR="00C30A87">
              <w:rPr>
                <w:noProof/>
                <w:webHidden/>
              </w:rPr>
              <w:tab/>
            </w:r>
            <w:r w:rsidR="00C30A87">
              <w:rPr>
                <w:noProof/>
                <w:webHidden/>
              </w:rPr>
              <w:fldChar w:fldCharType="begin"/>
            </w:r>
            <w:r w:rsidR="00C30A87">
              <w:rPr>
                <w:noProof/>
                <w:webHidden/>
              </w:rPr>
              <w:instrText xml:space="preserve"> PAGEREF _Toc168559265 \h </w:instrText>
            </w:r>
            <w:r w:rsidR="00C30A87">
              <w:rPr>
                <w:noProof/>
                <w:webHidden/>
              </w:rPr>
            </w:r>
            <w:r w:rsidR="00C30A87">
              <w:rPr>
                <w:noProof/>
                <w:webHidden/>
              </w:rPr>
              <w:fldChar w:fldCharType="separate"/>
            </w:r>
            <w:r w:rsidR="00634405">
              <w:rPr>
                <w:noProof/>
                <w:webHidden/>
              </w:rPr>
              <w:t>17</w:t>
            </w:r>
            <w:r w:rsidR="00C30A87">
              <w:rPr>
                <w:noProof/>
                <w:webHidden/>
              </w:rPr>
              <w:fldChar w:fldCharType="end"/>
            </w:r>
          </w:hyperlink>
        </w:p>
        <w:p w:rsidR="00C30A87" w:rsidRDefault="00DB6A3D" w14:paraId="3CB9C923" w14:textId="6B4F329D">
          <w:pPr>
            <w:pStyle w:val="TOC1"/>
            <w:tabs>
              <w:tab w:val="right" w:leader="dot" w:pos="9350"/>
            </w:tabs>
            <w:rPr>
              <w:rFonts w:asciiTheme="minorHAnsi" w:hAnsiTheme="minorHAnsi" w:cstheme="minorBidi"/>
              <w:noProof/>
              <w:kern w:val="2"/>
              <w:sz w:val="24"/>
              <w:szCs w:val="24"/>
              <w14:ligatures w14:val="standardContextual"/>
            </w:rPr>
          </w:pPr>
          <w:hyperlink w:history="1" w:anchor="_Toc168559266">
            <w:r w:rsidRPr="00151BDE" w:rsidR="00C30A87">
              <w:rPr>
                <w:rStyle w:val="Hyperlink"/>
                <w:noProof/>
              </w:rPr>
              <w:t>2.</w:t>
            </w:r>
            <w:r w:rsidR="00C30A87">
              <w:rPr>
                <w:rFonts w:asciiTheme="minorHAnsi" w:hAnsiTheme="minorHAnsi" w:cstheme="minorBidi"/>
                <w:noProof/>
                <w:kern w:val="2"/>
                <w:sz w:val="24"/>
                <w:szCs w:val="24"/>
                <w14:ligatures w14:val="standardContextual"/>
              </w:rPr>
              <w:tab/>
            </w:r>
            <w:r w:rsidRPr="00151BDE" w:rsidR="00C30A87">
              <w:rPr>
                <w:rStyle w:val="Hyperlink"/>
                <w:noProof/>
              </w:rPr>
              <w:t>Issues Before the Commission</w:t>
            </w:r>
            <w:r w:rsidR="00C30A87">
              <w:rPr>
                <w:noProof/>
                <w:webHidden/>
              </w:rPr>
              <w:tab/>
            </w:r>
            <w:r w:rsidR="00C30A87">
              <w:rPr>
                <w:noProof/>
                <w:webHidden/>
              </w:rPr>
              <w:fldChar w:fldCharType="begin"/>
            </w:r>
            <w:r w:rsidR="00C30A87">
              <w:rPr>
                <w:noProof/>
                <w:webHidden/>
              </w:rPr>
              <w:instrText xml:space="preserve"> PAGEREF _Toc168559266 \h </w:instrText>
            </w:r>
            <w:r w:rsidR="00C30A87">
              <w:rPr>
                <w:noProof/>
                <w:webHidden/>
              </w:rPr>
            </w:r>
            <w:r w:rsidR="00C30A87">
              <w:rPr>
                <w:noProof/>
                <w:webHidden/>
              </w:rPr>
              <w:fldChar w:fldCharType="separate"/>
            </w:r>
            <w:r w:rsidR="00634405">
              <w:rPr>
                <w:noProof/>
                <w:webHidden/>
              </w:rPr>
              <w:t>17</w:t>
            </w:r>
            <w:r w:rsidR="00C30A87">
              <w:rPr>
                <w:noProof/>
                <w:webHidden/>
              </w:rPr>
              <w:fldChar w:fldCharType="end"/>
            </w:r>
          </w:hyperlink>
        </w:p>
        <w:p w:rsidR="00C30A87" w:rsidRDefault="00DB6A3D" w14:paraId="3E66189C" w14:textId="695AF00B">
          <w:pPr>
            <w:pStyle w:val="TOC1"/>
            <w:tabs>
              <w:tab w:val="right" w:leader="dot" w:pos="9350"/>
            </w:tabs>
            <w:rPr>
              <w:rFonts w:asciiTheme="minorHAnsi" w:hAnsiTheme="minorHAnsi" w:cstheme="minorBidi"/>
              <w:noProof/>
              <w:kern w:val="2"/>
              <w:sz w:val="24"/>
              <w:szCs w:val="24"/>
              <w14:ligatures w14:val="standardContextual"/>
            </w:rPr>
          </w:pPr>
          <w:hyperlink w:history="1" w:anchor="_Toc168559267">
            <w:r w:rsidRPr="00151BDE" w:rsidR="00C30A87">
              <w:rPr>
                <w:rStyle w:val="Hyperlink"/>
                <w:noProof/>
              </w:rPr>
              <w:t>3.</w:t>
            </w:r>
            <w:r w:rsidR="00C30A87">
              <w:rPr>
                <w:rFonts w:asciiTheme="minorHAnsi" w:hAnsiTheme="minorHAnsi" w:cstheme="minorBidi"/>
                <w:noProof/>
                <w:kern w:val="2"/>
                <w:sz w:val="24"/>
                <w:szCs w:val="24"/>
                <w14:ligatures w14:val="standardContextual"/>
              </w:rPr>
              <w:tab/>
            </w:r>
            <w:r w:rsidRPr="00151BDE" w:rsidR="00C30A87">
              <w:rPr>
                <w:rStyle w:val="Hyperlink"/>
                <w:noProof/>
              </w:rPr>
              <w:t>Future of Green Access Program Tariffs</w:t>
            </w:r>
            <w:r w:rsidR="00C30A87">
              <w:rPr>
                <w:noProof/>
                <w:webHidden/>
              </w:rPr>
              <w:tab/>
            </w:r>
            <w:r w:rsidR="00C30A87">
              <w:rPr>
                <w:noProof/>
                <w:webHidden/>
              </w:rPr>
              <w:fldChar w:fldCharType="begin"/>
            </w:r>
            <w:r w:rsidR="00C30A87">
              <w:rPr>
                <w:noProof/>
                <w:webHidden/>
              </w:rPr>
              <w:instrText xml:space="preserve"> PAGEREF _Toc168559267 \h </w:instrText>
            </w:r>
            <w:r w:rsidR="00C30A87">
              <w:rPr>
                <w:noProof/>
                <w:webHidden/>
              </w:rPr>
            </w:r>
            <w:r w:rsidR="00C30A87">
              <w:rPr>
                <w:noProof/>
                <w:webHidden/>
              </w:rPr>
              <w:fldChar w:fldCharType="separate"/>
            </w:r>
            <w:r w:rsidR="00634405">
              <w:rPr>
                <w:noProof/>
                <w:webHidden/>
              </w:rPr>
              <w:t>18</w:t>
            </w:r>
            <w:r w:rsidR="00C30A87">
              <w:rPr>
                <w:noProof/>
                <w:webHidden/>
              </w:rPr>
              <w:fldChar w:fldCharType="end"/>
            </w:r>
          </w:hyperlink>
        </w:p>
        <w:p w:rsidR="00C30A87" w:rsidRDefault="00DB6A3D" w14:paraId="6DCAEACA" w14:textId="0309891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68">
            <w:r w:rsidRPr="00151BDE" w:rsidR="00C30A87">
              <w:rPr>
                <w:rStyle w:val="Hyperlink"/>
                <w:noProof/>
              </w:rPr>
              <w:t>3.1.</w:t>
            </w:r>
            <w:r w:rsidR="00C30A87">
              <w:rPr>
                <w:rFonts w:asciiTheme="minorHAnsi" w:hAnsiTheme="minorHAnsi" w:cstheme="minorBidi"/>
                <w:noProof/>
                <w:kern w:val="2"/>
                <w:sz w:val="24"/>
                <w:szCs w:val="24"/>
                <w14:ligatures w14:val="standardContextual"/>
              </w:rPr>
              <w:tab/>
            </w:r>
            <w:r w:rsidRPr="00151BDE" w:rsidR="00C30A87">
              <w:rPr>
                <w:rStyle w:val="Hyperlink"/>
                <w:noProof/>
              </w:rPr>
              <w:t>Objectives of the Green Access Program Tariffs</w:t>
            </w:r>
            <w:r w:rsidR="00C30A87">
              <w:rPr>
                <w:noProof/>
                <w:webHidden/>
              </w:rPr>
              <w:tab/>
            </w:r>
            <w:r w:rsidR="00C30A87">
              <w:rPr>
                <w:noProof/>
                <w:webHidden/>
              </w:rPr>
              <w:fldChar w:fldCharType="begin"/>
            </w:r>
            <w:r w:rsidR="00C30A87">
              <w:rPr>
                <w:noProof/>
                <w:webHidden/>
              </w:rPr>
              <w:instrText xml:space="preserve"> PAGEREF _Toc168559268 \h </w:instrText>
            </w:r>
            <w:r w:rsidR="00C30A87">
              <w:rPr>
                <w:noProof/>
                <w:webHidden/>
              </w:rPr>
            </w:r>
            <w:r w:rsidR="00C30A87">
              <w:rPr>
                <w:noProof/>
                <w:webHidden/>
              </w:rPr>
              <w:fldChar w:fldCharType="separate"/>
            </w:r>
            <w:r w:rsidR="00634405">
              <w:rPr>
                <w:noProof/>
                <w:webHidden/>
              </w:rPr>
              <w:t>19</w:t>
            </w:r>
            <w:r w:rsidR="00C30A87">
              <w:rPr>
                <w:noProof/>
                <w:webHidden/>
              </w:rPr>
              <w:fldChar w:fldCharType="end"/>
            </w:r>
          </w:hyperlink>
        </w:p>
        <w:p w:rsidR="00C30A87" w:rsidRDefault="00DB6A3D" w14:paraId="1C9E4A96" w14:textId="04391FAC">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69">
            <w:r w:rsidRPr="00151BDE" w:rsidR="00C30A87">
              <w:rPr>
                <w:rStyle w:val="Hyperlink"/>
                <w:noProof/>
              </w:rPr>
              <w:t>3.1.1.</w:t>
            </w:r>
            <w:r w:rsidR="00C30A87">
              <w:rPr>
                <w:rFonts w:asciiTheme="minorHAnsi" w:hAnsiTheme="minorHAnsi" w:cstheme="minorBidi"/>
                <w:noProof/>
                <w:kern w:val="2"/>
                <w:sz w:val="24"/>
                <w:szCs w:val="24"/>
                <w14:ligatures w14:val="standardContextual"/>
              </w:rPr>
              <w:tab/>
            </w:r>
            <w:r w:rsidRPr="00151BDE" w:rsidR="00C30A87">
              <w:rPr>
                <w:rStyle w:val="Hyperlink"/>
                <w:noProof/>
              </w:rPr>
              <w:t>Summary of Party Comments</w:t>
            </w:r>
            <w:r w:rsidR="00C30A87">
              <w:rPr>
                <w:noProof/>
                <w:webHidden/>
              </w:rPr>
              <w:tab/>
            </w:r>
            <w:r w:rsidR="00C30A87">
              <w:rPr>
                <w:noProof/>
                <w:webHidden/>
              </w:rPr>
              <w:fldChar w:fldCharType="begin"/>
            </w:r>
            <w:r w:rsidR="00C30A87">
              <w:rPr>
                <w:noProof/>
                <w:webHidden/>
              </w:rPr>
              <w:instrText xml:space="preserve"> PAGEREF _Toc168559269 \h </w:instrText>
            </w:r>
            <w:r w:rsidR="00C30A87">
              <w:rPr>
                <w:noProof/>
                <w:webHidden/>
              </w:rPr>
            </w:r>
            <w:r w:rsidR="00C30A87">
              <w:rPr>
                <w:noProof/>
                <w:webHidden/>
              </w:rPr>
              <w:fldChar w:fldCharType="separate"/>
            </w:r>
            <w:r w:rsidR="00634405">
              <w:rPr>
                <w:noProof/>
                <w:webHidden/>
              </w:rPr>
              <w:t>21</w:t>
            </w:r>
            <w:r w:rsidR="00C30A87">
              <w:rPr>
                <w:noProof/>
                <w:webHidden/>
              </w:rPr>
              <w:fldChar w:fldCharType="end"/>
            </w:r>
          </w:hyperlink>
        </w:p>
        <w:p w:rsidR="00C30A87" w:rsidRDefault="00DB6A3D" w14:paraId="7FA01210" w14:textId="4A9649C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70">
            <w:r w:rsidRPr="00151BDE" w:rsidR="00C30A87">
              <w:rPr>
                <w:rStyle w:val="Hyperlink"/>
                <w:noProof/>
              </w:rPr>
              <w:t>3.1.2.</w:t>
            </w:r>
            <w:r w:rsidR="00C30A87">
              <w:rPr>
                <w:rFonts w:asciiTheme="minorHAnsi" w:hAnsiTheme="minorHAnsi" w:cstheme="minorBidi"/>
                <w:noProof/>
                <w:kern w:val="2"/>
                <w:sz w:val="24"/>
                <w:szCs w:val="24"/>
                <w14:ligatures w14:val="standardContextual"/>
              </w:rPr>
              <w:tab/>
            </w:r>
            <w:r w:rsidRPr="00151BDE" w:rsidR="00C30A87">
              <w:rPr>
                <w:rStyle w:val="Hyperlink"/>
                <w:noProof/>
              </w:rPr>
              <w:t>Discussion</w:t>
            </w:r>
            <w:r w:rsidR="00C30A87">
              <w:rPr>
                <w:noProof/>
                <w:webHidden/>
              </w:rPr>
              <w:tab/>
            </w:r>
            <w:r w:rsidR="00C30A87">
              <w:rPr>
                <w:noProof/>
                <w:webHidden/>
              </w:rPr>
              <w:fldChar w:fldCharType="begin"/>
            </w:r>
            <w:r w:rsidR="00C30A87">
              <w:rPr>
                <w:noProof/>
                <w:webHidden/>
              </w:rPr>
              <w:instrText xml:space="preserve"> PAGEREF _Toc168559270 \h </w:instrText>
            </w:r>
            <w:r w:rsidR="00C30A87">
              <w:rPr>
                <w:noProof/>
                <w:webHidden/>
              </w:rPr>
            </w:r>
            <w:r w:rsidR="00C30A87">
              <w:rPr>
                <w:noProof/>
                <w:webHidden/>
              </w:rPr>
              <w:fldChar w:fldCharType="separate"/>
            </w:r>
            <w:r w:rsidR="00634405">
              <w:rPr>
                <w:noProof/>
                <w:webHidden/>
              </w:rPr>
              <w:t>25</w:t>
            </w:r>
            <w:r w:rsidR="00C30A87">
              <w:rPr>
                <w:noProof/>
                <w:webHidden/>
              </w:rPr>
              <w:fldChar w:fldCharType="end"/>
            </w:r>
          </w:hyperlink>
        </w:p>
        <w:p w:rsidR="00C30A87" w:rsidRDefault="00DB6A3D" w14:paraId="3AE1EB25" w14:textId="5117654A">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71">
            <w:r w:rsidRPr="00151BDE" w:rsidR="00C30A87">
              <w:rPr>
                <w:rStyle w:val="Hyperlink"/>
                <w:noProof/>
              </w:rPr>
              <w:t>3.2.</w:t>
            </w:r>
            <w:r w:rsidR="00C30A87">
              <w:rPr>
                <w:rFonts w:asciiTheme="minorHAnsi" w:hAnsiTheme="minorHAnsi" w:cstheme="minorBidi"/>
                <w:noProof/>
                <w:kern w:val="2"/>
                <w:sz w:val="24"/>
                <w:szCs w:val="24"/>
                <w14:ligatures w14:val="standardContextual"/>
              </w:rPr>
              <w:tab/>
            </w:r>
            <w:r w:rsidRPr="00151BDE" w:rsidR="00C30A87">
              <w:rPr>
                <w:rStyle w:val="Hyperlink"/>
                <w:noProof/>
              </w:rPr>
              <w:t>Foundation for Evaluating Green Access Program Tariffs</w:t>
            </w:r>
            <w:r w:rsidR="00C30A87">
              <w:rPr>
                <w:noProof/>
                <w:webHidden/>
              </w:rPr>
              <w:tab/>
            </w:r>
            <w:r w:rsidR="00C30A87">
              <w:rPr>
                <w:noProof/>
                <w:webHidden/>
              </w:rPr>
              <w:fldChar w:fldCharType="begin"/>
            </w:r>
            <w:r w:rsidR="00C30A87">
              <w:rPr>
                <w:noProof/>
                <w:webHidden/>
              </w:rPr>
              <w:instrText xml:space="preserve"> PAGEREF _Toc168559271 \h </w:instrText>
            </w:r>
            <w:r w:rsidR="00C30A87">
              <w:rPr>
                <w:noProof/>
                <w:webHidden/>
              </w:rPr>
            </w:r>
            <w:r w:rsidR="00C30A87">
              <w:rPr>
                <w:noProof/>
                <w:webHidden/>
              </w:rPr>
              <w:fldChar w:fldCharType="separate"/>
            </w:r>
            <w:r w:rsidR="00634405">
              <w:rPr>
                <w:noProof/>
                <w:webHidden/>
              </w:rPr>
              <w:t>28</w:t>
            </w:r>
            <w:r w:rsidR="00C30A87">
              <w:rPr>
                <w:noProof/>
                <w:webHidden/>
              </w:rPr>
              <w:fldChar w:fldCharType="end"/>
            </w:r>
          </w:hyperlink>
        </w:p>
        <w:p w:rsidR="00C30A87" w:rsidRDefault="00DB6A3D" w14:paraId="0806C3AF" w14:textId="4CF9D86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72">
            <w:r w:rsidRPr="00151BDE" w:rsidR="00C30A87">
              <w:rPr>
                <w:rStyle w:val="Hyperlink"/>
                <w:noProof/>
              </w:rPr>
              <w:t>3.2.1.</w:t>
            </w:r>
            <w:r w:rsidR="00C30A87">
              <w:rPr>
                <w:rFonts w:asciiTheme="minorHAnsi" w:hAnsiTheme="minorHAnsi" w:cstheme="minorBidi"/>
                <w:noProof/>
                <w:kern w:val="2"/>
                <w:sz w:val="24"/>
                <w:szCs w:val="24"/>
                <w14:ligatures w14:val="standardContextual"/>
              </w:rPr>
              <w:tab/>
            </w:r>
            <w:r w:rsidRPr="00151BDE" w:rsidR="00C30A87">
              <w:rPr>
                <w:rStyle w:val="Hyperlink"/>
                <w:noProof/>
              </w:rPr>
              <w:t>Efficiently Serves Distinct Customer Groups</w:t>
            </w:r>
            <w:r w:rsidR="00C30A87">
              <w:rPr>
                <w:noProof/>
                <w:webHidden/>
              </w:rPr>
              <w:tab/>
            </w:r>
            <w:r w:rsidR="00C30A87">
              <w:rPr>
                <w:noProof/>
                <w:webHidden/>
              </w:rPr>
              <w:fldChar w:fldCharType="begin"/>
            </w:r>
            <w:r w:rsidR="00C30A87">
              <w:rPr>
                <w:noProof/>
                <w:webHidden/>
              </w:rPr>
              <w:instrText xml:space="preserve"> PAGEREF _Toc168559272 \h </w:instrText>
            </w:r>
            <w:r w:rsidR="00C30A87">
              <w:rPr>
                <w:noProof/>
                <w:webHidden/>
              </w:rPr>
            </w:r>
            <w:r w:rsidR="00C30A87">
              <w:rPr>
                <w:noProof/>
                <w:webHidden/>
              </w:rPr>
              <w:fldChar w:fldCharType="separate"/>
            </w:r>
            <w:r w:rsidR="00634405">
              <w:rPr>
                <w:noProof/>
                <w:webHidden/>
              </w:rPr>
              <w:t>28</w:t>
            </w:r>
            <w:r w:rsidR="00C30A87">
              <w:rPr>
                <w:noProof/>
                <w:webHidden/>
              </w:rPr>
              <w:fldChar w:fldCharType="end"/>
            </w:r>
          </w:hyperlink>
        </w:p>
        <w:p w:rsidR="00C30A87" w:rsidP="00DB6A3D" w:rsidRDefault="00DB6A3D" w14:paraId="068DD0DE" w14:textId="474592C9">
          <w:pPr>
            <w:pStyle w:val="TOC4"/>
            <w:tabs>
              <w:tab w:val="clear" w:pos="4291"/>
            </w:tabs>
            <w:rPr>
              <w:rFonts w:asciiTheme="minorHAnsi" w:hAnsiTheme="minorHAnsi" w:eastAsiaTheme="minorEastAsia"/>
              <w:kern w:val="2"/>
              <w:sz w:val="24"/>
              <w:szCs w:val="24"/>
              <w14:ligatures w14:val="standardContextual"/>
            </w:rPr>
          </w:pPr>
          <w:hyperlink w:history="1" w:anchor="_Toc168559273">
            <w:r w:rsidRPr="00151BDE" w:rsidR="00C30A87">
              <w:rPr>
                <w:rStyle w:val="Hyperlink"/>
              </w:rPr>
              <w:t>3.2.1.1.</w:t>
            </w:r>
            <w:r w:rsidR="00C30A87">
              <w:rPr>
                <w:rFonts w:asciiTheme="minorHAnsi" w:hAnsiTheme="minorHAnsi" w:eastAsiaTheme="minorEastAsia"/>
                <w:kern w:val="2"/>
                <w:sz w:val="24"/>
                <w:szCs w:val="24"/>
                <w14:ligatures w14:val="standardContextual"/>
              </w:rPr>
              <w:tab/>
            </w:r>
            <w:r w:rsidRPr="00151BDE" w:rsidR="00C30A87">
              <w:rPr>
                <w:rStyle w:val="Hyperlink"/>
              </w:rPr>
              <w:t>Discussion</w:t>
            </w:r>
            <w:r w:rsidR="00C30A87">
              <w:rPr>
                <w:webHidden/>
              </w:rPr>
              <w:tab/>
            </w:r>
            <w:r w:rsidR="00C30A87">
              <w:rPr>
                <w:webHidden/>
              </w:rPr>
              <w:fldChar w:fldCharType="begin"/>
            </w:r>
            <w:r w:rsidR="00C30A87">
              <w:rPr>
                <w:webHidden/>
              </w:rPr>
              <w:instrText xml:space="preserve"> PAGEREF _Toc168559273 \h </w:instrText>
            </w:r>
            <w:r w:rsidR="00C30A87">
              <w:rPr>
                <w:webHidden/>
              </w:rPr>
            </w:r>
            <w:r w:rsidR="00C30A87">
              <w:rPr>
                <w:webHidden/>
              </w:rPr>
              <w:fldChar w:fldCharType="separate"/>
            </w:r>
            <w:r w:rsidR="00634405">
              <w:rPr>
                <w:webHidden/>
              </w:rPr>
              <w:t>31</w:t>
            </w:r>
            <w:r w:rsidR="00C30A87">
              <w:rPr>
                <w:webHidden/>
              </w:rPr>
              <w:fldChar w:fldCharType="end"/>
            </w:r>
          </w:hyperlink>
        </w:p>
        <w:p w:rsidR="00C30A87" w:rsidRDefault="00DB6A3D" w14:paraId="09928249" w14:textId="1B3FE0E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74">
            <w:r w:rsidRPr="00151BDE" w:rsidR="00C30A87">
              <w:rPr>
                <w:rStyle w:val="Hyperlink"/>
                <w:noProof/>
              </w:rPr>
              <w:t>3.2.2.</w:t>
            </w:r>
            <w:r w:rsidR="00C30A87">
              <w:rPr>
                <w:rFonts w:asciiTheme="minorHAnsi" w:hAnsiTheme="minorHAnsi" w:cstheme="minorBidi"/>
                <w:noProof/>
                <w:kern w:val="2"/>
                <w:sz w:val="24"/>
                <w:szCs w:val="24"/>
                <w14:ligatures w14:val="standardContextual"/>
              </w:rPr>
              <w:tab/>
            </w:r>
            <w:r w:rsidRPr="00151BDE" w:rsidR="00C30A87">
              <w:rPr>
                <w:rStyle w:val="Hyperlink"/>
                <w:noProof/>
              </w:rPr>
              <w:t>Minimizes Duplicative Offerings</w:t>
            </w:r>
            <w:r w:rsidR="00C30A87">
              <w:rPr>
                <w:noProof/>
                <w:webHidden/>
              </w:rPr>
              <w:tab/>
            </w:r>
            <w:r w:rsidR="00C30A87">
              <w:rPr>
                <w:noProof/>
                <w:webHidden/>
              </w:rPr>
              <w:fldChar w:fldCharType="begin"/>
            </w:r>
            <w:r w:rsidR="00C30A87">
              <w:rPr>
                <w:noProof/>
                <w:webHidden/>
              </w:rPr>
              <w:instrText xml:space="preserve"> PAGEREF _Toc168559274 \h </w:instrText>
            </w:r>
            <w:r w:rsidR="00C30A87">
              <w:rPr>
                <w:noProof/>
                <w:webHidden/>
              </w:rPr>
            </w:r>
            <w:r w:rsidR="00C30A87">
              <w:rPr>
                <w:noProof/>
                <w:webHidden/>
              </w:rPr>
              <w:fldChar w:fldCharType="separate"/>
            </w:r>
            <w:r w:rsidR="00634405">
              <w:rPr>
                <w:noProof/>
                <w:webHidden/>
              </w:rPr>
              <w:t>32</w:t>
            </w:r>
            <w:r w:rsidR="00C30A87">
              <w:rPr>
                <w:noProof/>
                <w:webHidden/>
              </w:rPr>
              <w:fldChar w:fldCharType="end"/>
            </w:r>
          </w:hyperlink>
        </w:p>
        <w:p w:rsidR="00C30A87" w:rsidRDefault="00DB6A3D" w14:paraId="549CCF62" w14:textId="1090BE29">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75">
            <w:r w:rsidRPr="00151BDE" w:rsidR="00C30A87">
              <w:rPr>
                <w:rStyle w:val="Hyperlink"/>
                <w:noProof/>
              </w:rPr>
              <w:t>3.2.3.</w:t>
            </w:r>
            <w:r w:rsidR="00C30A87">
              <w:rPr>
                <w:rFonts w:asciiTheme="minorHAnsi" w:hAnsiTheme="minorHAnsi" w:cstheme="minorBidi"/>
                <w:noProof/>
                <w:kern w:val="2"/>
                <w:sz w:val="24"/>
                <w:szCs w:val="24"/>
                <w14:ligatures w14:val="standardContextual"/>
              </w:rPr>
              <w:tab/>
            </w:r>
            <w:r w:rsidRPr="00151BDE" w:rsidR="00C30A87">
              <w:rPr>
                <w:rStyle w:val="Hyperlink"/>
                <w:noProof/>
              </w:rPr>
              <w:t>Promotes Robust Participation by Low</w:t>
            </w:r>
            <w:r w:rsidRPr="00151BDE" w:rsidR="00C30A87">
              <w:rPr>
                <w:rStyle w:val="Hyperlink"/>
                <w:noProof/>
              </w:rPr>
              <w:noBreakHyphen/>
              <w:t>Income Customers</w:t>
            </w:r>
            <w:r w:rsidR="00C30A87">
              <w:rPr>
                <w:noProof/>
                <w:webHidden/>
              </w:rPr>
              <w:tab/>
            </w:r>
            <w:r w:rsidR="00C30A87">
              <w:rPr>
                <w:noProof/>
                <w:webHidden/>
              </w:rPr>
              <w:fldChar w:fldCharType="begin"/>
            </w:r>
            <w:r w:rsidR="00C30A87">
              <w:rPr>
                <w:noProof/>
                <w:webHidden/>
              </w:rPr>
              <w:instrText xml:space="preserve"> PAGEREF _Toc168559275 \h </w:instrText>
            </w:r>
            <w:r w:rsidR="00C30A87">
              <w:rPr>
                <w:noProof/>
                <w:webHidden/>
              </w:rPr>
            </w:r>
            <w:r w:rsidR="00C30A87">
              <w:rPr>
                <w:noProof/>
                <w:webHidden/>
              </w:rPr>
              <w:fldChar w:fldCharType="separate"/>
            </w:r>
            <w:r w:rsidR="00634405">
              <w:rPr>
                <w:noProof/>
                <w:webHidden/>
              </w:rPr>
              <w:t>33</w:t>
            </w:r>
            <w:r w:rsidR="00C30A87">
              <w:rPr>
                <w:noProof/>
                <w:webHidden/>
              </w:rPr>
              <w:fldChar w:fldCharType="end"/>
            </w:r>
          </w:hyperlink>
        </w:p>
        <w:p w:rsidR="00C30A87" w:rsidP="00DB6A3D" w:rsidRDefault="00DB6A3D" w14:paraId="1ECCCA88" w14:textId="5B3F8795">
          <w:pPr>
            <w:pStyle w:val="TOC4"/>
            <w:tabs>
              <w:tab w:val="clear" w:pos="4291"/>
            </w:tabs>
            <w:rPr>
              <w:rFonts w:asciiTheme="minorHAnsi" w:hAnsiTheme="minorHAnsi" w:eastAsiaTheme="minorEastAsia"/>
              <w:kern w:val="2"/>
              <w:sz w:val="24"/>
              <w:szCs w:val="24"/>
              <w14:ligatures w14:val="standardContextual"/>
            </w:rPr>
          </w:pPr>
          <w:hyperlink w:history="1" w:anchor="_Toc168559276">
            <w:r w:rsidRPr="00151BDE" w:rsidR="00C30A87">
              <w:rPr>
                <w:rStyle w:val="Hyperlink"/>
              </w:rPr>
              <w:t>3.2.3.1.</w:t>
            </w:r>
            <w:r w:rsidR="00C30A87">
              <w:rPr>
                <w:rFonts w:asciiTheme="minorHAnsi" w:hAnsiTheme="minorHAnsi" w:eastAsiaTheme="minorEastAsia"/>
                <w:kern w:val="2"/>
                <w:sz w:val="24"/>
                <w:szCs w:val="24"/>
                <w14:ligatures w14:val="standardContextual"/>
              </w:rPr>
              <w:tab/>
            </w:r>
            <w:r w:rsidRPr="00151BDE" w:rsidR="00C30A87">
              <w:rPr>
                <w:rStyle w:val="Hyperlink"/>
              </w:rPr>
              <w:t>Discussion</w:t>
            </w:r>
            <w:r w:rsidR="00C30A87">
              <w:rPr>
                <w:webHidden/>
              </w:rPr>
              <w:tab/>
            </w:r>
            <w:r w:rsidR="00C30A87">
              <w:rPr>
                <w:webHidden/>
              </w:rPr>
              <w:fldChar w:fldCharType="begin"/>
            </w:r>
            <w:r w:rsidR="00C30A87">
              <w:rPr>
                <w:webHidden/>
              </w:rPr>
              <w:instrText xml:space="preserve"> PAGEREF _Toc168559276 \h </w:instrText>
            </w:r>
            <w:r w:rsidR="00C30A87">
              <w:rPr>
                <w:webHidden/>
              </w:rPr>
            </w:r>
            <w:r w:rsidR="00C30A87">
              <w:rPr>
                <w:webHidden/>
              </w:rPr>
              <w:fldChar w:fldCharType="separate"/>
            </w:r>
            <w:r w:rsidR="00634405">
              <w:rPr>
                <w:webHidden/>
              </w:rPr>
              <w:t>35</w:t>
            </w:r>
            <w:r w:rsidR="00C30A87">
              <w:rPr>
                <w:webHidden/>
              </w:rPr>
              <w:fldChar w:fldCharType="end"/>
            </w:r>
          </w:hyperlink>
        </w:p>
        <w:p w:rsidR="00C30A87" w:rsidRDefault="00DB6A3D" w14:paraId="31827469" w14:textId="74C8CD0A">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77">
            <w:r w:rsidRPr="00151BDE" w:rsidR="00C30A87">
              <w:rPr>
                <w:rStyle w:val="Hyperlink"/>
                <w:noProof/>
              </w:rPr>
              <w:t>3.3.</w:t>
            </w:r>
            <w:r w:rsidR="00C30A87">
              <w:rPr>
                <w:rFonts w:asciiTheme="minorHAnsi" w:hAnsiTheme="minorHAnsi" w:cstheme="minorBidi"/>
                <w:noProof/>
                <w:kern w:val="2"/>
                <w:sz w:val="24"/>
                <w:szCs w:val="24"/>
                <w14:ligatures w14:val="standardContextual"/>
              </w:rPr>
              <w:tab/>
            </w:r>
            <w:r w:rsidRPr="00151BDE" w:rsidR="00C30A87">
              <w:rPr>
                <w:rStyle w:val="Hyperlink"/>
                <w:noProof/>
              </w:rPr>
              <w:t>Evaluation of Current Green Access Program Offerings</w:t>
            </w:r>
            <w:r w:rsidR="00C30A87">
              <w:rPr>
                <w:noProof/>
                <w:webHidden/>
              </w:rPr>
              <w:tab/>
            </w:r>
            <w:r w:rsidR="00C30A87">
              <w:rPr>
                <w:noProof/>
                <w:webHidden/>
              </w:rPr>
              <w:fldChar w:fldCharType="begin"/>
            </w:r>
            <w:r w:rsidR="00C30A87">
              <w:rPr>
                <w:noProof/>
                <w:webHidden/>
              </w:rPr>
              <w:instrText xml:space="preserve"> PAGEREF _Toc168559277 \h </w:instrText>
            </w:r>
            <w:r w:rsidR="00C30A87">
              <w:rPr>
                <w:noProof/>
                <w:webHidden/>
              </w:rPr>
            </w:r>
            <w:r w:rsidR="00C30A87">
              <w:rPr>
                <w:noProof/>
                <w:webHidden/>
              </w:rPr>
              <w:fldChar w:fldCharType="separate"/>
            </w:r>
            <w:r w:rsidR="00634405">
              <w:rPr>
                <w:noProof/>
                <w:webHidden/>
              </w:rPr>
              <w:t>37</w:t>
            </w:r>
            <w:r w:rsidR="00C30A87">
              <w:rPr>
                <w:noProof/>
                <w:webHidden/>
              </w:rPr>
              <w:fldChar w:fldCharType="end"/>
            </w:r>
          </w:hyperlink>
        </w:p>
        <w:p w:rsidR="00C30A87" w:rsidRDefault="00DB6A3D" w14:paraId="74B8B20A" w14:textId="76DD630F">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78">
            <w:r w:rsidRPr="00151BDE" w:rsidR="00C30A87">
              <w:rPr>
                <w:rStyle w:val="Hyperlink"/>
                <w:noProof/>
              </w:rPr>
              <w:t>3.3.1.</w:t>
            </w:r>
            <w:r w:rsidR="00C30A87">
              <w:rPr>
                <w:rFonts w:asciiTheme="minorHAnsi" w:hAnsiTheme="minorHAnsi" w:cstheme="minorBidi"/>
                <w:noProof/>
                <w:kern w:val="2"/>
                <w:sz w:val="24"/>
                <w:szCs w:val="24"/>
                <w14:ligatures w14:val="standardContextual"/>
              </w:rPr>
              <w:tab/>
            </w:r>
            <w:r w:rsidRPr="00151BDE" w:rsidR="00C30A87">
              <w:rPr>
                <w:rStyle w:val="Hyperlink"/>
                <w:noProof/>
              </w:rPr>
              <w:t>Green Tariff and Enhanced Community Renewables Programs</w:t>
            </w:r>
            <w:r w:rsidR="00C30A87">
              <w:rPr>
                <w:noProof/>
                <w:webHidden/>
              </w:rPr>
              <w:tab/>
            </w:r>
            <w:r w:rsidR="00C30A87">
              <w:rPr>
                <w:noProof/>
                <w:webHidden/>
              </w:rPr>
              <w:fldChar w:fldCharType="begin"/>
            </w:r>
            <w:r w:rsidR="00C30A87">
              <w:rPr>
                <w:noProof/>
                <w:webHidden/>
              </w:rPr>
              <w:instrText xml:space="preserve"> PAGEREF _Toc168559278 \h </w:instrText>
            </w:r>
            <w:r w:rsidR="00C30A87">
              <w:rPr>
                <w:noProof/>
                <w:webHidden/>
              </w:rPr>
            </w:r>
            <w:r w:rsidR="00C30A87">
              <w:rPr>
                <w:noProof/>
                <w:webHidden/>
              </w:rPr>
              <w:fldChar w:fldCharType="separate"/>
            </w:r>
            <w:r w:rsidR="00634405">
              <w:rPr>
                <w:noProof/>
                <w:webHidden/>
              </w:rPr>
              <w:t>37</w:t>
            </w:r>
            <w:r w:rsidR="00C30A87">
              <w:rPr>
                <w:noProof/>
                <w:webHidden/>
              </w:rPr>
              <w:fldChar w:fldCharType="end"/>
            </w:r>
          </w:hyperlink>
        </w:p>
        <w:p w:rsidR="00C30A87" w:rsidRDefault="00DB6A3D" w14:paraId="6C9317ED" w14:textId="562FD39F">
          <w:pPr>
            <w:pStyle w:val="TOC4"/>
            <w:rPr>
              <w:rFonts w:asciiTheme="minorHAnsi" w:hAnsiTheme="minorHAnsi" w:eastAsiaTheme="minorEastAsia"/>
              <w:kern w:val="2"/>
              <w:sz w:val="24"/>
              <w:szCs w:val="24"/>
              <w14:ligatures w14:val="standardContextual"/>
            </w:rPr>
          </w:pPr>
          <w:hyperlink w:history="1" w:anchor="_Toc168559279">
            <w:r w:rsidRPr="00151BDE" w:rsidR="00C30A87">
              <w:rPr>
                <w:rStyle w:val="Hyperlink"/>
              </w:rPr>
              <w:t>3.3.1.1.</w:t>
            </w:r>
            <w:r w:rsidR="00C30A87">
              <w:rPr>
                <w:rFonts w:asciiTheme="minorHAnsi" w:hAnsiTheme="minorHAnsi" w:eastAsiaTheme="minorEastAsia"/>
                <w:kern w:val="2"/>
                <w:sz w:val="24"/>
                <w:szCs w:val="24"/>
                <w14:ligatures w14:val="standardContextual"/>
              </w:rPr>
              <w:tab/>
            </w:r>
            <w:r w:rsidRPr="00151BDE" w:rsidR="00C30A87">
              <w:rPr>
                <w:rStyle w:val="Hyperlink"/>
              </w:rPr>
              <w:t>Efficiently Serves Distinct Customer Groups</w:t>
            </w:r>
            <w:r w:rsidR="00C30A87">
              <w:rPr>
                <w:webHidden/>
              </w:rPr>
              <w:tab/>
            </w:r>
            <w:r w:rsidR="00C30A87">
              <w:rPr>
                <w:webHidden/>
              </w:rPr>
              <w:fldChar w:fldCharType="begin"/>
            </w:r>
            <w:r w:rsidR="00C30A87">
              <w:rPr>
                <w:webHidden/>
              </w:rPr>
              <w:instrText xml:space="preserve"> PAGEREF _Toc168559279 \h </w:instrText>
            </w:r>
            <w:r w:rsidR="00C30A87">
              <w:rPr>
                <w:webHidden/>
              </w:rPr>
            </w:r>
            <w:r w:rsidR="00C30A87">
              <w:rPr>
                <w:webHidden/>
              </w:rPr>
              <w:fldChar w:fldCharType="separate"/>
            </w:r>
            <w:r w:rsidR="00634405">
              <w:rPr>
                <w:webHidden/>
              </w:rPr>
              <w:t>37</w:t>
            </w:r>
            <w:r w:rsidR="00C30A87">
              <w:rPr>
                <w:webHidden/>
              </w:rPr>
              <w:fldChar w:fldCharType="end"/>
            </w:r>
          </w:hyperlink>
        </w:p>
        <w:p w:rsidR="00C30A87" w:rsidRDefault="00DB6A3D" w14:paraId="6209C752" w14:textId="54AE591E">
          <w:pPr>
            <w:pStyle w:val="TOC4"/>
            <w:rPr>
              <w:rFonts w:asciiTheme="minorHAnsi" w:hAnsiTheme="minorHAnsi" w:eastAsiaTheme="minorEastAsia"/>
              <w:kern w:val="2"/>
              <w:sz w:val="24"/>
              <w:szCs w:val="24"/>
              <w14:ligatures w14:val="standardContextual"/>
            </w:rPr>
          </w:pPr>
          <w:hyperlink w:history="1" w:anchor="_Toc168559280">
            <w:r w:rsidRPr="00151BDE" w:rsidR="00C30A87">
              <w:rPr>
                <w:rStyle w:val="Hyperlink"/>
              </w:rPr>
              <w:t>3.3.1.2.</w:t>
            </w:r>
            <w:r w:rsidR="00C30A87">
              <w:rPr>
                <w:rFonts w:asciiTheme="minorHAnsi" w:hAnsiTheme="minorHAnsi" w:eastAsiaTheme="minorEastAsia"/>
                <w:kern w:val="2"/>
                <w:sz w:val="24"/>
                <w:szCs w:val="24"/>
                <w14:ligatures w14:val="standardContextual"/>
              </w:rPr>
              <w:tab/>
            </w:r>
            <w:r w:rsidRPr="00151BDE" w:rsidR="00C30A87">
              <w:rPr>
                <w:rStyle w:val="Hyperlink"/>
              </w:rPr>
              <w:t>Minimize Duplicative Offerings</w:t>
            </w:r>
            <w:r w:rsidR="00C30A87">
              <w:rPr>
                <w:webHidden/>
              </w:rPr>
              <w:tab/>
            </w:r>
            <w:r w:rsidR="00C30A87">
              <w:rPr>
                <w:webHidden/>
              </w:rPr>
              <w:fldChar w:fldCharType="begin"/>
            </w:r>
            <w:r w:rsidR="00C30A87">
              <w:rPr>
                <w:webHidden/>
              </w:rPr>
              <w:instrText xml:space="preserve"> PAGEREF _Toc168559280 \h </w:instrText>
            </w:r>
            <w:r w:rsidR="00C30A87">
              <w:rPr>
                <w:webHidden/>
              </w:rPr>
            </w:r>
            <w:r w:rsidR="00C30A87">
              <w:rPr>
                <w:webHidden/>
              </w:rPr>
              <w:fldChar w:fldCharType="separate"/>
            </w:r>
            <w:r w:rsidR="00634405">
              <w:rPr>
                <w:webHidden/>
              </w:rPr>
              <w:t>40</w:t>
            </w:r>
            <w:r w:rsidR="00C30A87">
              <w:rPr>
                <w:webHidden/>
              </w:rPr>
              <w:fldChar w:fldCharType="end"/>
            </w:r>
          </w:hyperlink>
        </w:p>
        <w:p w:rsidR="00C30A87" w:rsidRDefault="00DB6A3D" w14:paraId="2C30881B" w14:textId="232CAEA6">
          <w:pPr>
            <w:pStyle w:val="TOC4"/>
            <w:rPr>
              <w:rFonts w:asciiTheme="minorHAnsi" w:hAnsiTheme="minorHAnsi" w:eastAsiaTheme="minorEastAsia"/>
              <w:kern w:val="2"/>
              <w:sz w:val="24"/>
              <w:szCs w:val="24"/>
              <w14:ligatures w14:val="standardContextual"/>
            </w:rPr>
          </w:pPr>
          <w:hyperlink w:history="1" w:anchor="_Toc168559281">
            <w:r w:rsidRPr="00151BDE" w:rsidR="00C30A87">
              <w:rPr>
                <w:rStyle w:val="Hyperlink"/>
              </w:rPr>
              <w:t>3.3.1.3.</w:t>
            </w:r>
            <w:r w:rsidR="00C30A87">
              <w:rPr>
                <w:rFonts w:asciiTheme="minorHAnsi" w:hAnsiTheme="minorHAnsi" w:eastAsiaTheme="minorEastAsia"/>
                <w:kern w:val="2"/>
                <w:sz w:val="24"/>
                <w:szCs w:val="24"/>
                <w14:ligatures w14:val="standardContextual"/>
              </w:rPr>
              <w:tab/>
            </w:r>
            <w:r w:rsidRPr="00151BDE" w:rsidR="00C30A87">
              <w:rPr>
                <w:rStyle w:val="Hyperlink"/>
              </w:rPr>
              <w:t>Promotes Robust Low</w:t>
            </w:r>
            <w:r w:rsidRPr="00151BDE" w:rsidR="00C30A87">
              <w:rPr>
                <w:rStyle w:val="Hyperlink"/>
              </w:rPr>
              <w:noBreakHyphen/>
              <w:t>Income Participation</w:t>
            </w:r>
            <w:r w:rsidR="00C30A87">
              <w:rPr>
                <w:webHidden/>
              </w:rPr>
              <w:tab/>
            </w:r>
            <w:r w:rsidR="00C30A87">
              <w:rPr>
                <w:webHidden/>
              </w:rPr>
              <w:fldChar w:fldCharType="begin"/>
            </w:r>
            <w:r w:rsidR="00C30A87">
              <w:rPr>
                <w:webHidden/>
              </w:rPr>
              <w:instrText xml:space="preserve"> PAGEREF _Toc168559281 \h </w:instrText>
            </w:r>
            <w:r w:rsidR="00C30A87">
              <w:rPr>
                <w:webHidden/>
              </w:rPr>
            </w:r>
            <w:r w:rsidR="00C30A87">
              <w:rPr>
                <w:webHidden/>
              </w:rPr>
              <w:fldChar w:fldCharType="separate"/>
            </w:r>
            <w:r w:rsidR="00634405">
              <w:rPr>
                <w:webHidden/>
              </w:rPr>
              <w:t>41</w:t>
            </w:r>
            <w:r w:rsidR="00C30A87">
              <w:rPr>
                <w:webHidden/>
              </w:rPr>
              <w:fldChar w:fldCharType="end"/>
            </w:r>
          </w:hyperlink>
        </w:p>
        <w:p w:rsidR="00C30A87" w:rsidRDefault="00DB6A3D" w14:paraId="5CE23C30" w14:textId="7961617D">
          <w:pPr>
            <w:pStyle w:val="TOC4"/>
            <w:rPr>
              <w:rFonts w:asciiTheme="minorHAnsi" w:hAnsiTheme="minorHAnsi" w:eastAsiaTheme="minorEastAsia"/>
              <w:kern w:val="2"/>
              <w:sz w:val="24"/>
              <w:szCs w:val="24"/>
              <w14:ligatures w14:val="standardContextual"/>
            </w:rPr>
          </w:pPr>
          <w:hyperlink w:history="1" w:anchor="_Toc168559282">
            <w:r w:rsidRPr="00151BDE" w:rsidR="00C30A87">
              <w:rPr>
                <w:rStyle w:val="Hyperlink"/>
              </w:rPr>
              <w:t>3.3.1.4.</w:t>
            </w:r>
            <w:r w:rsidR="00C30A87">
              <w:rPr>
                <w:rFonts w:asciiTheme="minorHAnsi" w:hAnsiTheme="minorHAnsi" w:eastAsiaTheme="minorEastAsia"/>
                <w:kern w:val="2"/>
                <w:sz w:val="24"/>
                <w:szCs w:val="24"/>
                <w14:ligatures w14:val="standardContextual"/>
              </w:rPr>
              <w:tab/>
            </w:r>
            <w:r w:rsidRPr="00151BDE" w:rsidR="00C30A87">
              <w:rPr>
                <w:rStyle w:val="Hyperlink"/>
              </w:rPr>
              <w:t>Impact of Departing Load from Community Choice Aggregators</w:t>
            </w:r>
            <w:r w:rsidR="00C30A87">
              <w:rPr>
                <w:webHidden/>
              </w:rPr>
              <w:tab/>
            </w:r>
            <w:r w:rsidR="00C30A87">
              <w:rPr>
                <w:webHidden/>
              </w:rPr>
              <w:fldChar w:fldCharType="begin"/>
            </w:r>
            <w:r w:rsidR="00C30A87">
              <w:rPr>
                <w:webHidden/>
              </w:rPr>
              <w:instrText xml:space="preserve"> PAGEREF _Toc168559282 \h </w:instrText>
            </w:r>
            <w:r w:rsidR="00C30A87">
              <w:rPr>
                <w:webHidden/>
              </w:rPr>
            </w:r>
            <w:r w:rsidR="00C30A87">
              <w:rPr>
                <w:webHidden/>
              </w:rPr>
              <w:fldChar w:fldCharType="separate"/>
            </w:r>
            <w:r w:rsidR="00634405">
              <w:rPr>
                <w:webHidden/>
              </w:rPr>
              <w:t>42</w:t>
            </w:r>
            <w:r w:rsidR="00C30A87">
              <w:rPr>
                <w:webHidden/>
              </w:rPr>
              <w:fldChar w:fldCharType="end"/>
            </w:r>
          </w:hyperlink>
        </w:p>
        <w:p w:rsidR="00C30A87" w:rsidP="00DB6A3D" w:rsidRDefault="00DB6A3D" w14:paraId="6E2BE91B" w14:textId="3996F234">
          <w:pPr>
            <w:pStyle w:val="TOC4"/>
            <w:tabs>
              <w:tab w:val="clear" w:pos="4291"/>
            </w:tabs>
            <w:rPr>
              <w:rFonts w:asciiTheme="minorHAnsi" w:hAnsiTheme="minorHAnsi" w:eastAsiaTheme="minorEastAsia"/>
              <w:kern w:val="2"/>
              <w:sz w:val="24"/>
              <w:szCs w:val="24"/>
              <w14:ligatures w14:val="standardContextual"/>
            </w:rPr>
          </w:pPr>
          <w:hyperlink w:history="1" w:anchor="_Toc168559283">
            <w:r w:rsidRPr="00151BDE" w:rsidR="00C30A87">
              <w:rPr>
                <w:rStyle w:val="Hyperlink"/>
              </w:rPr>
              <w:t>3.3.1.5.</w:t>
            </w:r>
            <w:r w:rsidR="00C30A87">
              <w:rPr>
                <w:rFonts w:asciiTheme="minorHAnsi" w:hAnsiTheme="minorHAnsi" w:eastAsiaTheme="minorEastAsia"/>
                <w:kern w:val="2"/>
                <w:sz w:val="24"/>
                <w:szCs w:val="24"/>
                <w14:ligatures w14:val="standardContextual"/>
              </w:rPr>
              <w:tab/>
            </w:r>
            <w:r w:rsidRPr="00151BDE" w:rsidR="00C30A87">
              <w:rPr>
                <w:rStyle w:val="Hyperlink"/>
              </w:rPr>
              <w:t>Discussion</w:t>
            </w:r>
            <w:r w:rsidR="00C30A87">
              <w:rPr>
                <w:webHidden/>
              </w:rPr>
              <w:tab/>
            </w:r>
            <w:r w:rsidR="00C30A87">
              <w:rPr>
                <w:webHidden/>
              </w:rPr>
              <w:fldChar w:fldCharType="begin"/>
            </w:r>
            <w:r w:rsidR="00C30A87">
              <w:rPr>
                <w:webHidden/>
              </w:rPr>
              <w:instrText xml:space="preserve"> PAGEREF _Toc168559283 \h </w:instrText>
            </w:r>
            <w:r w:rsidR="00C30A87">
              <w:rPr>
                <w:webHidden/>
              </w:rPr>
            </w:r>
            <w:r w:rsidR="00C30A87">
              <w:rPr>
                <w:webHidden/>
              </w:rPr>
              <w:fldChar w:fldCharType="separate"/>
            </w:r>
            <w:r w:rsidR="00634405">
              <w:rPr>
                <w:webHidden/>
              </w:rPr>
              <w:t>43</w:t>
            </w:r>
            <w:r w:rsidR="00C30A87">
              <w:rPr>
                <w:webHidden/>
              </w:rPr>
              <w:fldChar w:fldCharType="end"/>
            </w:r>
          </w:hyperlink>
        </w:p>
        <w:p w:rsidR="00C30A87" w:rsidRDefault="00DB6A3D" w14:paraId="259AB1B0" w14:textId="37179A2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84">
            <w:r w:rsidRPr="00151BDE" w:rsidR="00C30A87">
              <w:rPr>
                <w:rStyle w:val="Hyperlink"/>
                <w:noProof/>
              </w:rPr>
              <w:t>3.3.2.</w:t>
            </w:r>
            <w:r w:rsidR="00C30A87">
              <w:rPr>
                <w:rFonts w:asciiTheme="minorHAnsi" w:hAnsiTheme="minorHAnsi" w:cstheme="minorBidi"/>
                <w:noProof/>
                <w:kern w:val="2"/>
                <w:sz w:val="24"/>
                <w:szCs w:val="24"/>
                <w14:ligatures w14:val="standardContextual"/>
              </w:rPr>
              <w:tab/>
            </w:r>
            <w:r w:rsidRPr="00151BDE" w:rsidR="00C30A87">
              <w:rPr>
                <w:rStyle w:val="Hyperlink"/>
                <w:noProof/>
              </w:rPr>
              <w:t>Disadvantaged Communities</w:t>
            </w:r>
            <w:r w:rsidRPr="00151BDE" w:rsidR="00C30A87">
              <w:rPr>
                <w:rStyle w:val="Hyperlink"/>
                <w:noProof/>
              </w:rPr>
              <w:noBreakHyphen/>
              <w:t>Green Tariff</w:t>
            </w:r>
            <w:r w:rsidR="00C30A87">
              <w:rPr>
                <w:noProof/>
                <w:webHidden/>
              </w:rPr>
              <w:tab/>
            </w:r>
            <w:r w:rsidR="00C30A87">
              <w:rPr>
                <w:noProof/>
                <w:webHidden/>
              </w:rPr>
              <w:fldChar w:fldCharType="begin"/>
            </w:r>
            <w:r w:rsidR="00C30A87">
              <w:rPr>
                <w:noProof/>
                <w:webHidden/>
              </w:rPr>
              <w:instrText xml:space="preserve"> PAGEREF _Toc168559284 \h </w:instrText>
            </w:r>
            <w:r w:rsidR="00C30A87">
              <w:rPr>
                <w:noProof/>
                <w:webHidden/>
              </w:rPr>
            </w:r>
            <w:r w:rsidR="00C30A87">
              <w:rPr>
                <w:noProof/>
                <w:webHidden/>
              </w:rPr>
              <w:fldChar w:fldCharType="separate"/>
            </w:r>
            <w:r w:rsidR="00634405">
              <w:rPr>
                <w:noProof/>
                <w:webHidden/>
              </w:rPr>
              <w:t>45</w:t>
            </w:r>
            <w:r w:rsidR="00C30A87">
              <w:rPr>
                <w:noProof/>
                <w:webHidden/>
              </w:rPr>
              <w:fldChar w:fldCharType="end"/>
            </w:r>
          </w:hyperlink>
        </w:p>
        <w:p w:rsidR="00C30A87" w:rsidRDefault="00DB6A3D" w14:paraId="3A9F7099" w14:textId="48199974">
          <w:pPr>
            <w:pStyle w:val="TOC4"/>
            <w:rPr>
              <w:rFonts w:asciiTheme="minorHAnsi" w:hAnsiTheme="minorHAnsi" w:eastAsiaTheme="minorEastAsia"/>
              <w:kern w:val="2"/>
              <w:sz w:val="24"/>
              <w:szCs w:val="24"/>
              <w14:ligatures w14:val="standardContextual"/>
            </w:rPr>
          </w:pPr>
          <w:hyperlink w:history="1" w:anchor="_Toc168559285">
            <w:r w:rsidRPr="00151BDE" w:rsidR="00C30A87">
              <w:rPr>
                <w:rStyle w:val="Hyperlink"/>
              </w:rPr>
              <w:t>3.3.2.1.</w:t>
            </w:r>
            <w:r w:rsidR="00C30A87">
              <w:rPr>
                <w:rFonts w:asciiTheme="minorHAnsi" w:hAnsiTheme="minorHAnsi" w:eastAsiaTheme="minorEastAsia"/>
                <w:kern w:val="2"/>
                <w:sz w:val="24"/>
                <w:szCs w:val="24"/>
                <w14:ligatures w14:val="standardContextual"/>
              </w:rPr>
              <w:tab/>
            </w:r>
            <w:r w:rsidRPr="00151BDE" w:rsidR="00C30A87">
              <w:rPr>
                <w:rStyle w:val="Hyperlink"/>
              </w:rPr>
              <w:t>Efficiently Serves Distinct Customer Groups</w:t>
            </w:r>
            <w:r w:rsidR="00C30A87">
              <w:rPr>
                <w:webHidden/>
              </w:rPr>
              <w:tab/>
            </w:r>
            <w:r w:rsidR="00C30A87">
              <w:rPr>
                <w:webHidden/>
              </w:rPr>
              <w:fldChar w:fldCharType="begin"/>
            </w:r>
            <w:r w:rsidR="00C30A87">
              <w:rPr>
                <w:webHidden/>
              </w:rPr>
              <w:instrText xml:space="preserve"> PAGEREF _Toc168559285 \h </w:instrText>
            </w:r>
            <w:r w:rsidR="00C30A87">
              <w:rPr>
                <w:webHidden/>
              </w:rPr>
            </w:r>
            <w:r w:rsidR="00C30A87">
              <w:rPr>
                <w:webHidden/>
              </w:rPr>
              <w:fldChar w:fldCharType="separate"/>
            </w:r>
            <w:r w:rsidR="00634405">
              <w:rPr>
                <w:webHidden/>
              </w:rPr>
              <w:t>45</w:t>
            </w:r>
            <w:r w:rsidR="00C30A87">
              <w:rPr>
                <w:webHidden/>
              </w:rPr>
              <w:fldChar w:fldCharType="end"/>
            </w:r>
          </w:hyperlink>
        </w:p>
        <w:p w:rsidR="00C30A87" w:rsidRDefault="00DB6A3D" w14:paraId="11AF7840" w14:textId="1D766268">
          <w:pPr>
            <w:pStyle w:val="TOC4"/>
            <w:rPr>
              <w:rFonts w:asciiTheme="minorHAnsi" w:hAnsiTheme="minorHAnsi" w:eastAsiaTheme="minorEastAsia"/>
              <w:kern w:val="2"/>
              <w:sz w:val="24"/>
              <w:szCs w:val="24"/>
              <w14:ligatures w14:val="standardContextual"/>
            </w:rPr>
          </w:pPr>
          <w:hyperlink w:history="1" w:anchor="_Toc168559286">
            <w:r w:rsidRPr="00151BDE" w:rsidR="00C30A87">
              <w:rPr>
                <w:rStyle w:val="Hyperlink"/>
              </w:rPr>
              <w:t>3.3.2.2.</w:t>
            </w:r>
            <w:r w:rsidR="00C30A87">
              <w:rPr>
                <w:rFonts w:asciiTheme="minorHAnsi" w:hAnsiTheme="minorHAnsi" w:eastAsiaTheme="minorEastAsia"/>
                <w:kern w:val="2"/>
                <w:sz w:val="24"/>
                <w:szCs w:val="24"/>
                <w14:ligatures w14:val="standardContextual"/>
              </w:rPr>
              <w:tab/>
            </w:r>
            <w:r w:rsidRPr="00151BDE" w:rsidR="00C30A87">
              <w:rPr>
                <w:rStyle w:val="Hyperlink"/>
              </w:rPr>
              <w:t>Minimizes Duplicative Offerings</w:t>
            </w:r>
            <w:r w:rsidR="00C30A87">
              <w:rPr>
                <w:webHidden/>
              </w:rPr>
              <w:tab/>
            </w:r>
            <w:r w:rsidR="00C30A87">
              <w:rPr>
                <w:webHidden/>
              </w:rPr>
              <w:fldChar w:fldCharType="begin"/>
            </w:r>
            <w:r w:rsidR="00C30A87">
              <w:rPr>
                <w:webHidden/>
              </w:rPr>
              <w:instrText xml:space="preserve"> PAGEREF _Toc168559286 \h </w:instrText>
            </w:r>
            <w:r w:rsidR="00C30A87">
              <w:rPr>
                <w:webHidden/>
              </w:rPr>
            </w:r>
            <w:r w:rsidR="00C30A87">
              <w:rPr>
                <w:webHidden/>
              </w:rPr>
              <w:fldChar w:fldCharType="separate"/>
            </w:r>
            <w:r w:rsidR="00634405">
              <w:rPr>
                <w:webHidden/>
              </w:rPr>
              <w:t>47</w:t>
            </w:r>
            <w:r w:rsidR="00C30A87">
              <w:rPr>
                <w:webHidden/>
              </w:rPr>
              <w:fldChar w:fldCharType="end"/>
            </w:r>
          </w:hyperlink>
        </w:p>
        <w:p w:rsidR="00C30A87" w:rsidRDefault="00DB6A3D" w14:paraId="13A4DA7D" w14:textId="4F8B551C">
          <w:pPr>
            <w:pStyle w:val="TOC4"/>
            <w:rPr>
              <w:rFonts w:asciiTheme="minorHAnsi" w:hAnsiTheme="minorHAnsi" w:eastAsiaTheme="minorEastAsia"/>
              <w:kern w:val="2"/>
              <w:sz w:val="24"/>
              <w:szCs w:val="24"/>
              <w14:ligatures w14:val="standardContextual"/>
            </w:rPr>
          </w:pPr>
          <w:hyperlink w:history="1" w:anchor="_Toc168559287">
            <w:r w:rsidRPr="00151BDE" w:rsidR="00C30A87">
              <w:rPr>
                <w:rStyle w:val="Hyperlink"/>
              </w:rPr>
              <w:t>3.3.2.3.</w:t>
            </w:r>
            <w:r w:rsidR="00C30A87">
              <w:rPr>
                <w:rFonts w:asciiTheme="minorHAnsi" w:hAnsiTheme="minorHAnsi" w:eastAsiaTheme="minorEastAsia"/>
                <w:kern w:val="2"/>
                <w:sz w:val="24"/>
                <w:szCs w:val="24"/>
                <w14:ligatures w14:val="standardContextual"/>
              </w:rPr>
              <w:tab/>
            </w:r>
            <w:r w:rsidRPr="00151BDE" w:rsidR="00C30A87">
              <w:rPr>
                <w:rStyle w:val="Hyperlink"/>
              </w:rPr>
              <w:t>Promotes Robust Low</w:t>
            </w:r>
            <w:r w:rsidRPr="00151BDE" w:rsidR="00C30A87">
              <w:rPr>
                <w:rStyle w:val="Hyperlink"/>
              </w:rPr>
              <w:noBreakHyphen/>
              <w:t>Income Participation</w:t>
            </w:r>
            <w:r w:rsidR="00C30A87">
              <w:rPr>
                <w:webHidden/>
              </w:rPr>
              <w:tab/>
            </w:r>
            <w:r w:rsidR="00C30A87">
              <w:rPr>
                <w:webHidden/>
              </w:rPr>
              <w:fldChar w:fldCharType="begin"/>
            </w:r>
            <w:r w:rsidR="00C30A87">
              <w:rPr>
                <w:webHidden/>
              </w:rPr>
              <w:instrText xml:space="preserve"> PAGEREF _Toc168559287 \h </w:instrText>
            </w:r>
            <w:r w:rsidR="00C30A87">
              <w:rPr>
                <w:webHidden/>
              </w:rPr>
            </w:r>
            <w:r w:rsidR="00C30A87">
              <w:rPr>
                <w:webHidden/>
              </w:rPr>
              <w:fldChar w:fldCharType="separate"/>
            </w:r>
            <w:r w:rsidR="00634405">
              <w:rPr>
                <w:webHidden/>
              </w:rPr>
              <w:t>49</w:t>
            </w:r>
            <w:r w:rsidR="00C30A87">
              <w:rPr>
                <w:webHidden/>
              </w:rPr>
              <w:fldChar w:fldCharType="end"/>
            </w:r>
          </w:hyperlink>
        </w:p>
        <w:p w:rsidR="00C30A87" w:rsidRDefault="00DB6A3D" w14:paraId="365E9978" w14:textId="37B140CB">
          <w:pPr>
            <w:pStyle w:val="TOC4"/>
            <w:rPr>
              <w:rFonts w:asciiTheme="minorHAnsi" w:hAnsiTheme="minorHAnsi" w:eastAsiaTheme="minorEastAsia"/>
              <w:kern w:val="2"/>
              <w:sz w:val="24"/>
              <w:szCs w:val="24"/>
              <w14:ligatures w14:val="standardContextual"/>
            </w:rPr>
          </w:pPr>
          <w:hyperlink w:history="1" w:anchor="_Toc168559288">
            <w:r w:rsidRPr="00151BDE" w:rsidR="00C30A87">
              <w:rPr>
                <w:rStyle w:val="Hyperlink"/>
              </w:rPr>
              <w:t>3.3.2.4.</w:t>
            </w:r>
            <w:r w:rsidR="00C30A87">
              <w:rPr>
                <w:rFonts w:asciiTheme="minorHAnsi" w:hAnsiTheme="minorHAnsi" w:eastAsiaTheme="minorEastAsia"/>
                <w:kern w:val="2"/>
                <w:sz w:val="24"/>
                <w:szCs w:val="24"/>
                <w14:ligatures w14:val="standardContextual"/>
              </w:rPr>
              <w:tab/>
            </w:r>
            <w:r w:rsidRPr="00151BDE" w:rsidR="00C30A87">
              <w:rPr>
                <w:rStyle w:val="Hyperlink"/>
              </w:rPr>
              <w:t>Impact of Departing Load from Community Choice Aggregators</w:t>
            </w:r>
            <w:r w:rsidR="00C30A87">
              <w:rPr>
                <w:webHidden/>
              </w:rPr>
              <w:tab/>
            </w:r>
            <w:r w:rsidR="00C30A87">
              <w:rPr>
                <w:webHidden/>
              </w:rPr>
              <w:fldChar w:fldCharType="begin"/>
            </w:r>
            <w:r w:rsidR="00C30A87">
              <w:rPr>
                <w:webHidden/>
              </w:rPr>
              <w:instrText xml:space="preserve"> PAGEREF _Toc168559288 \h </w:instrText>
            </w:r>
            <w:r w:rsidR="00C30A87">
              <w:rPr>
                <w:webHidden/>
              </w:rPr>
            </w:r>
            <w:r w:rsidR="00C30A87">
              <w:rPr>
                <w:webHidden/>
              </w:rPr>
              <w:fldChar w:fldCharType="separate"/>
            </w:r>
            <w:r w:rsidR="00634405">
              <w:rPr>
                <w:webHidden/>
              </w:rPr>
              <w:t>50</w:t>
            </w:r>
            <w:r w:rsidR="00C30A87">
              <w:rPr>
                <w:webHidden/>
              </w:rPr>
              <w:fldChar w:fldCharType="end"/>
            </w:r>
          </w:hyperlink>
        </w:p>
        <w:p w:rsidR="00C30A87" w:rsidP="00DB6A3D" w:rsidRDefault="00DB6A3D" w14:paraId="663262F0" w14:textId="3C176214">
          <w:pPr>
            <w:pStyle w:val="TOC4"/>
            <w:tabs>
              <w:tab w:val="clear" w:pos="4291"/>
            </w:tabs>
            <w:rPr>
              <w:rFonts w:asciiTheme="minorHAnsi" w:hAnsiTheme="minorHAnsi" w:eastAsiaTheme="minorEastAsia"/>
              <w:kern w:val="2"/>
              <w:sz w:val="24"/>
              <w:szCs w:val="24"/>
              <w14:ligatures w14:val="standardContextual"/>
            </w:rPr>
          </w:pPr>
          <w:hyperlink w:history="1" w:anchor="_Toc168559289">
            <w:r w:rsidRPr="00151BDE" w:rsidR="00C30A87">
              <w:rPr>
                <w:rStyle w:val="Hyperlink"/>
              </w:rPr>
              <w:t>3.3.2.5.</w:t>
            </w:r>
            <w:r w:rsidR="00C30A87">
              <w:rPr>
                <w:rFonts w:asciiTheme="minorHAnsi" w:hAnsiTheme="minorHAnsi" w:eastAsiaTheme="minorEastAsia"/>
                <w:kern w:val="2"/>
                <w:sz w:val="24"/>
                <w:szCs w:val="24"/>
                <w14:ligatures w14:val="standardContextual"/>
              </w:rPr>
              <w:tab/>
            </w:r>
            <w:r w:rsidRPr="00151BDE" w:rsidR="00C30A87">
              <w:rPr>
                <w:rStyle w:val="Hyperlink"/>
              </w:rPr>
              <w:t>Discussion</w:t>
            </w:r>
            <w:r w:rsidR="00C30A87">
              <w:rPr>
                <w:webHidden/>
              </w:rPr>
              <w:tab/>
            </w:r>
            <w:r w:rsidR="00C30A87">
              <w:rPr>
                <w:webHidden/>
              </w:rPr>
              <w:fldChar w:fldCharType="begin"/>
            </w:r>
            <w:r w:rsidR="00C30A87">
              <w:rPr>
                <w:webHidden/>
              </w:rPr>
              <w:instrText xml:space="preserve"> PAGEREF _Toc168559289 \h </w:instrText>
            </w:r>
            <w:r w:rsidR="00C30A87">
              <w:rPr>
                <w:webHidden/>
              </w:rPr>
            </w:r>
            <w:r w:rsidR="00C30A87">
              <w:rPr>
                <w:webHidden/>
              </w:rPr>
              <w:fldChar w:fldCharType="separate"/>
            </w:r>
            <w:r w:rsidR="00634405">
              <w:rPr>
                <w:webHidden/>
              </w:rPr>
              <w:t>50</w:t>
            </w:r>
            <w:r w:rsidR="00C30A87">
              <w:rPr>
                <w:webHidden/>
              </w:rPr>
              <w:fldChar w:fldCharType="end"/>
            </w:r>
          </w:hyperlink>
        </w:p>
        <w:p w:rsidR="00C30A87" w:rsidRDefault="00DB6A3D" w14:paraId="360A82EE" w14:textId="5A261FD3">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90">
            <w:r w:rsidRPr="00151BDE" w:rsidR="00C30A87">
              <w:rPr>
                <w:rStyle w:val="Hyperlink"/>
                <w:noProof/>
              </w:rPr>
              <w:t>3.3.3.</w:t>
            </w:r>
            <w:r w:rsidR="00C30A87">
              <w:rPr>
                <w:rFonts w:asciiTheme="minorHAnsi" w:hAnsiTheme="minorHAnsi" w:cstheme="minorBidi"/>
                <w:noProof/>
                <w:kern w:val="2"/>
                <w:sz w:val="24"/>
                <w:szCs w:val="24"/>
                <w14:ligatures w14:val="standardContextual"/>
              </w:rPr>
              <w:tab/>
            </w:r>
            <w:r w:rsidRPr="00151BDE" w:rsidR="00C30A87">
              <w:rPr>
                <w:rStyle w:val="Hyperlink"/>
                <w:noProof/>
              </w:rPr>
              <w:t>Community Solar Green Tariff</w:t>
            </w:r>
            <w:r w:rsidR="00C30A87">
              <w:rPr>
                <w:noProof/>
                <w:webHidden/>
              </w:rPr>
              <w:tab/>
            </w:r>
            <w:r w:rsidR="00C30A87">
              <w:rPr>
                <w:noProof/>
                <w:webHidden/>
              </w:rPr>
              <w:fldChar w:fldCharType="begin"/>
            </w:r>
            <w:r w:rsidR="00C30A87">
              <w:rPr>
                <w:noProof/>
                <w:webHidden/>
              </w:rPr>
              <w:instrText xml:space="preserve"> PAGEREF _Toc168559290 \h </w:instrText>
            </w:r>
            <w:r w:rsidR="00C30A87">
              <w:rPr>
                <w:noProof/>
                <w:webHidden/>
              </w:rPr>
            </w:r>
            <w:r w:rsidR="00C30A87">
              <w:rPr>
                <w:noProof/>
                <w:webHidden/>
              </w:rPr>
              <w:fldChar w:fldCharType="separate"/>
            </w:r>
            <w:r w:rsidR="00634405">
              <w:rPr>
                <w:noProof/>
                <w:webHidden/>
              </w:rPr>
              <w:t>53</w:t>
            </w:r>
            <w:r w:rsidR="00C30A87">
              <w:rPr>
                <w:noProof/>
                <w:webHidden/>
              </w:rPr>
              <w:fldChar w:fldCharType="end"/>
            </w:r>
          </w:hyperlink>
        </w:p>
        <w:p w:rsidR="00C30A87" w:rsidRDefault="00DB6A3D" w14:paraId="4C4DB3F6" w14:textId="229ADA6E">
          <w:pPr>
            <w:pStyle w:val="TOC4"/>
            <w:rPr>
              <w:rFonts w:asciiTheme="minorHAnsi" w:hAnsiTheme="minorHAnsi" w:eastAsiaTheme="minorEastAsia"/>
              <w:kern w:val="2"/>
              <w:sz w:val="24"/>
              <w:szCs w:val="24"/>
              <w14:ligatures w14:val="standardContextual"/>
            </w:rPr>
          </w:pPr>
          <w:hyperlink w:history="1" w:anchor="_Toc168559291">
            <w:r w:rsidRPr="00151BDE" w:rsidR="00C30A87">
              <w:rPr>
                <w:rStyle w:val="Hyperlink"/>
              </w:rPr>
              <w:t>3.3.3.1.</w:t>
            </w:r>
            <w:r w:rsidR="00C30A87">
              <w:rPr>
                <w:rFonts w:asciiTheme="minorHAnsi" w:hAnsiTheme="minorHAnsi" w:eastAsiaTheme="minorEastAsia"/>
                <w:kern w:val="2"/>
                <w:sz w:val="24"/>
                <w:szCs w:val="24"/>
                <w14:ligatures w14:val="standardContextual"/>
              </w:rPr>
              <w:tab/>
            </w:r>
            <w:r w:rsidRPr="00151BDE" w:rsidR="00C30A87">
              <w:rPr>
                <w:rStyle w:val="Hyperlink"/>
              </w:rPr>
              <w:t>Efficiently Serves Distinct Customer Groups</w:t>
            </w:r>
            <w:r w:rsidR="00C30A87">
              <w:rPr>
                <w:webHidden/>
              </w:rPr>
              <w:tab/>
            </w:r>
            <w:r w:rsidR="00C30A87">
              <w:rPr>
                <w:webHidden/>
              </w:rPr>
              <w:fldChar w:fldCharType="begin"/>
            </w:r>
            <w:r w:rsidR="00C30A87">
              <w:rPr>
                <w:webHidden/>
              </w:rPr>
              <w:instrText xml:space="preserve"> PAGEREF _Toc168559291 \h </w:instrText>
            </w:r>
            <w:r w:rsidR="00C30A87">
              <w:rPr>
                <w:webHidden/>
              </w:rPr>
            </w:r>
            <w:r w:rsidR="00C30A87">
              <w:rPr>
                <w:webHidden/>
              </w:rPr>
              <w:fldChar w:fldCharType="separate"/>
            </w:r>
            <w:r w:rsidR="00634405">
              <w:rPr>
                <w:webHidden/>
              </w:rPr>
              <w:t>53</w:t>
            </w:r>
            <w:r w:rsidR="00C30A87">
              <w:rPr>
                <w:webHidden/>
              </w:rPr>
              <w:fldChar w:fldCharType="end"/>
            </w:r>
          </w:hyperlink>
        </w:p>
        <w:p w:rsidR="00C30A87" w:rsidRDefault="00DB6A3D" w14:paraId="5BFDB37D" w14:textId="701BC1A1">
          <w:pPr>
            <w:pStyle w:val="TOC4"/>
            <w:rPr>
              <w:rFonts w:asciiTheme="minorHAnsi" w:hAnsiTheme="minorHAnsi" w:eastAsiaTheme="minorEastAsia"/>
              <w:kern w:val="2"/>
              <w:sz w:val="24"/>
              <w:szCs w:val="24"/>
              <w14:ligatures w14:val="standardContextual"/>
            </w:rPr>
          </w:pPr>
          <w:hyperlink w:history="1" w:anchor="_Toc168559292">
            <w:r w:rsidRPr="00151BDE" w:rsidR="00C30A87">
              <w:rPr>
                <w:rStyle w:val="Hyperlink"/>
              </w:rPr>
              <w:t>3.3.3.2.</w:t>
            </w:r>
            <w:r w:rsidR="00C30A87">
              <w:rPr>
                <w:rFonts w:asciiTheme="minorHAnsi" w:hAnsiTheme="minorHAnsi" w:eastAsiaTheme="minorEastAsia"/>
                <w:kern w:val="2"/>
                <w:sz w:val="24"/>
                <w:szCs w:val="24"/>
                <w14:ligatures w14:val="standardContextual"/>
              </w:rPr>
              <w:tab/>
            </w:r>
            <w:r w:rsidRPr="00151BDE" w:rsidR="00C30A87">
              <w:rPr>
                <w:rStyle w:val="Hyperlink"/>
              </w:rPr>
              <w:t>Minimize Duplicative Offerings</w:t>
            </w:r>
            <w:r w:rsidR="00C30A87">
              <w:rPr>
                <w:webHidden/>
              </w:rPr>
              <w:tab/>
            </w:r>
            <w:r w:rsidR="00C30A87">
              <w:rPr>
                <w:webHidden/>
              </w:rPr>
              <w:fldChar w:fldCharType="begin"/>
            </w:r>
            <w:r w:rsidR="00C30A87">
              <w:rPr>
                <w:webHidden/>
              </w:rPr>
              <w:instrText xml:space="preserve"> PAGEREF _Toc168559292 \h </w:instrText>
            </w:r>
            <w:r w:rsidR="00C30A87">
              <w:rPr>
                <w:webHidden/>
              </w:rPr>
            </w:r>
            <w:r w:rsidR="00C30A87">
              <w:rPr>
                <w:webHidden/>
              </w:rPr>
              <w:fldChar w:fldCharType="separate"/>
            </w:r>
            <w:r w:rsidR="00634405">
              <w:rPr>
                <w:webHidden/>
              </w:rPr>
              <w:t>55</w:t>
            </w:r>
            <w:r w:rsidR="00C30A87">
              <w:rPr>
                <w:webHidden/>
              </w:rPr>
              <w:fldChar w:fldCharType="end"/>
            </w:r>
          </w:hyperlink>
        </w:p>
        <w:p w:rsidR="00C30A87" w:rsidRDefault="00DB6A3D" w14:paraId="2EDBBB6C" w14:textId="7C5544ED">
          <w:pPr>
            <w:pStyle w:val="TOC4"/>
            <w:rPr>
              <w:rFonts w:asciiTheme="minorHAnsi" w:hAnsiTheme="minorHAnsi" w:eastAsiaTheme="minorEastAsia"/>
              <w:kern w:val="2"/>
              <w:sz w:val="24"/>
              <w:szCs w:val="24"/>
              <w14:ligatures w14:val="standardContextual"/>
            </w:rPr>
          </w:pPr>
          <w:hyperlink w:history="1" w:anchor="_Toc168559293">
            <w:r w:rsidRPr="00151BDE" w:rsidR="00C30A87">
              <w:rPr>
                <w:rStyle w:val="Hyperlink"/>
              </w:rPr>
              <w:t>3.3.3.3.</w:t>
            </w:r>
            <w:r w:rsidR="00C30A87">
              <w:rPr>
                <w:rFonts w:asciiTheme="minorHAnsi" w:hAnsiTheme="minorHAnsi" w:eastAsiaTheme="minorEastAsia"/>
                <w:kern w:val="2"/>
                <w:sz w:val="24"/>
                <w:szCs w:val="24"/>
                <w14:ligatures w14:val="standardContextual"/>
              </w:rPr>
              <w:tab/>
            </w:r>
            <w:r w:rsidRPr="00151BDE" w:rsidR="00C30A87">
              <w:rPr>
                <w:rStyle w:val="Hyperlink"/>
              </w:rPr>
              <w:t>Promotes Robust Low</w:t>
            </w:r>
            <w:r w:rsidRPr="00151BDE" w:rsidR="00C30A87">
              <w:rPr>
                <w:rStyle w:val="Hyperlink"/>
              </w:rPr>
              <w:noBreakHyphen/>
              <w:t>Income Participation</w:t>
            </w:r>
            <w:r w:rsidR="00C30A87">
              <w:rPr>
                <w:webHidden/>
              </w:rPr>
              <w:tab/>
            </w:r>
            <w:r w:rsidR="00C30A87">
              <w:rPr>
                <w:webHidden/>
              </w:rPr>
              <w:fldChar w:fldCharType="begin"/>
            </w:r>
            <w:r w:rsidR="00C30A87">
              <w:rPr>
                <w:webHidden/>
              </w:rPr>
              <w:instrText xml:space="preserve"> PAGEREF _Toc168559293 \h </w:instrText>
            </w:r>
            <w:r w:rsidR="00C30A87">
              <w:rPr>
                <w:webHidden/>
              </w:rPr>
            </w:r>
            <w:r w:rsidR="00C30A87">
              <w:rPr>
                <w:webHidden/>
              </w:rPr>
              <w:fldChar w:fldCharType="separate"/>
            </w:r>
            <w:r w:rsidR="00634405">
              <w:rPr>
                <w:webHidden/>
              </w:rPr>
              <w:t>55</w:t>
            </w:r>
            <w:r w:rsidR="00C30A87">
              <w:rPr>
                <w:webHidden/>
              </w:rPr>
              <w:fldChar w:fldCharType="end"/>
            </w:r>
          </w:hyperlink>
        </w:p>
        <w:p w:rsidR="00C30A87" w:rsidRDefault="00DB6A3D" w14:paraId="3EB1DF1F" w14:textId="79FB9BCF">
          <w:pPr>
            <w:pStyle w:val="TOC4"/>
            <w:rPr>
              <w:rFonts w:asciiTheme="minorHAnsi" w:hAnsiTheme="minorHAnsi" w:eastAsiaTheme="minorEastAsia"/>
              <w:kern w:val="2"/>
              <w:sz w:val="24"/>
              <w:szCs w:val="24"/>
              <w14:ligatures w14:val="standardContextual"/>
            </w:rPr>
          </w:pPr>
          <w:hyperlink w:history="1" w:anchor="_Toc168559294">
            <w:r w:rsidRPr="00151BDE" w:rsidR="00C30A87">
              <w:rPr>
                <w:rStyle w:val="Hyperlink"/>
              </w:rPr>
              <w:t>3.3.3.4.</w:t>
            </w:r>
            <w:r w:rsidR="00C30A87">
              <w:rPr>
                <w:rFonts w:asciiTheme="minorHAnsi" w:hAnsiTheme="minorHAnsi" w:eastAsiaTheme="minorEastAsia"/>
                <w:kern w:val="2"/>
                <w:sz w:val="24"/>
                <w:szCs w:val="24"/>
                <w14:ligatures w14:val="standardContextual"/>
              </w:rPr>
              <w:tab/>
            </w:r>
            <w:r w:rsidRPr="00151BDE" w:rsidR="00C30A87">
              <w:rPr>
                <w:rStyle w:val="Hyperlink"/>
              </w:rPr>
              <w:t>Impact of Departing Load from Community Choice Aggregators</w:t>
            </w:r>
            <w:r w:rsidR="00C30A87">
              <w:rPr>
                <w:webHidden/>
              </w:rPr>
              <w:tab/>
            </w:r>
            <w:r w:rsidR="00C30A87">
              <w:rPr>
                <w:webHidden/>
              </w:rPr>
              <w:fldChar w:fldCharType="begin"/>
            </w:r>
            <w:r w:rsidR="00C30A87">
              <w:rPr>
                <w:webHidden/>
              </w:rPr>
              <w:instrText xml:space="preserve"> PAGEREF _Toc168559294 \h </w:instrText>
            </w:r>
            <w:r w:rsidR="00C30A87">
              <w:rPr>
                <w:webHidden/>
              </w:rPr>
            </w:r>
            <w:r w:rsidR="00C30A87">
              <w:rPr>
                <w:webHidden/>
              </w:rPr>
              <w:fldChar w:fldCharType="separate"/>
            </w:r>
            <w:r w:rsidR="00634405">
              <w:rPr>
                <w:webHidden/>
              </w:rPr>
              <w:t>56</w:t>
            </w:r>
            <w:r w:rsidR="00C30A87">
              <w:rPr>
                <w:webHidden/>
              </w:rPr>
              <w:fldChar w:fldCharType="end"/>
            </w:r>
          </w:hyperlink>
        </w:p>
        <w:p w:rsidR="00C30A87" w:rsidP="00DB6A3D" w:rsidRDefault="00DB6A3D" w14:paraId="48C98DA4" w14:textId="2CCBA816">
          <w:pPr>
            <w:pStyle w:val="TOC4"/>
            <w:tabs>
              <w:tab w:val="clear" w:pos="4291"/>
            </w:tabs>
            <w:rPr>
              <w:rFonts w:asciiTheme="minorHAnsi" w:hAnsiTheme="minorHAnsi" w:eastAsiaTheme="minorEastAsia"/>
              <w:kern w:val="2"/>
              <w:sz w:val="24"/>
              <w:szCs w:val="24"/>
              <w14:ligatures w14:val="standardContextual"/>
            </w:rPr>
          </w:pPr>
          <w:hyperlink w:history="1" w:anchor="_Toc168559295">
            <w:r w:rsidRPr="00151BDE" w:rsidR="00C30A87">
              <w:rPr>
                <w:rStyle w:val="Hyperlink"/>
              </w:rPr>
              <w:t>3.3.3.5.</w:t>
            </w:r>
            <w:r w:rsidR="00C30A87">
              <w:rPr>
                <w:rFonts w:asciiTheme="minorHAnsi" w:hAnsiTheme="minorHAnsi" w:eastAsiaTheme="minorEastAsia"/>
                <w:kern w:val="2"/>
                <w:sz w:val="24"/>
                <w:szCs w:val="24"/>
                <w14:ligatures w14:val="standardContextual"/>
              </w:rPr>
              <w:tab/>
            </w:r>
            <w:r w:rsidRPr="00151BDE" w:rsidR="00C30A87">
              <w:rPr>
                <w:rStyle w:val="Hyperlink"/>
              </w:rPr>
              <w:t>Discussion</w:t>
            </w:r>
            <w:r w:rsidR="00C30A87">
              <w:rPr>
                <w:webHidden/>
              </w:rPr>
              <w:tab/>
            </w:r>
            <w:r w:rsidR="00C30A87">
              <w:rPr>
                <w:webHidden/>
              </w:rPr>
              <w:fldChar w:fldCharType="begin"/>
            </w:r>
            <w:r w:rsidR="00C30A87">
              <w:rPr>
                <w:webHidden/>
              </w:rPr>
              <w:instrText xml:space="preserve"> PAGEREF _Toc168559295 \h </w:instrText>
            </w:r>
            <w:r w:rsidR="00C30A87">
              <w:rPr>
                <w:webHidden/>
              </w:rPr>
            </w:r>
            <w:r w:rsidR="00C30A87">
              <w:rPr>
                <w:webHidden/>
              </w:rPr>
              <w:fldChar w:fldCharType="separate"/>
            </w:r>
            <w:r w:rsidR="00634405">
              <w:rPr>
                <w:webHidden/>
              </w:rPr>
              <w:t>57</w:t>
            </w:r>
            <w:r w:rsidR="00C30A87">
              <w:rPr>
                <w:webHidden/>
              </w:rPr>
              <w:fldChar w:fldCharType="end"/>
            </w:r>
          </w:hyperlink>
        </w:p>
        <w:p w:rsidR="00C30A87" w:rsidRDefault="00DB6A3D" w14:paraId="774B9D33" w14:textId="2FB72CC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68559296">
            <w:r w:rsidRPr="00151BDE" w:rsidR="00C30A87">
              <w:rPr>
                <w:rStyle w:val="Hyperlink"/>
                <w:noProof/>
              </w:rPr>
              <w:t>3.4.</w:t>
            </w:r>
            <w:r w:rsidR="00C30A87">
              <w:rPr>
                <w:rFonts w:asciiTheme="minorHAnsi" w:hAnsiTheme="minorHAnsi" w:cstheme="minorBidi"/>
                <w:noProof/>
                <w:kern w:val="2"/>
                <w:sz w:val="24"/>
                <w:szCs w:val="24"/>
                <w14:ligatures w14:val="standardContextual"/>
              </w:rPr>
              <w:tab/>
            </w:r>
            <w:r w:rsidRPr="00151BDE" w:rsidR="00C30A87">
              <w:rPr>
                <w:rStyle w:val="Hyperlink"/>
                <w:noProof/>
              </w:rPr>
              <w:t>The California Shared Renewables Portfolio</w:t>
            </w:r>
            <w:r w:rsidR="00C30A87">
              <w:rPr>
                <w:noProof/>
                <w:webHidden/>
              </w:rPr>
              <w:tab/>
            </w:r>
            <w:r w:rsidR="00C30A87">
              <w:rPr>
                <w:noProof/>
                <w:webHidden/>
              </w:rPr>
              <w:fldChar w:fldCharType="begin"/>
            </w:r>
            <w:r w:rsidR="00C30A87">
              <w:rPr>
                <w:noProof/>
                <w:webHidden/>
              </w:rPr>
              <w:instrText xml:space="preserve"> PAGEREF _Toc168559296 \h </w:instrText>
            </w:r>
            <w:r w:rsidR="00C30A87">
              <w:rPr>
                <w:noProof/>
                <w:webHidden/>
              </w:rPr>
            </w:r>
            <w:r w:rsidR="00C30A87">
              <w:rPr>
                <w:noProof/>
                <w:webHidden/>
              </w:rPr>
              <w:fldChar w:fldCharType="separate"/>
            </w:r>
            <w:r w:rsidR="00634405">
              <w:rPr>
                <w:noProof/>
                <w:webHidden/>
              </w:rPr>
              <w:t>58</w:t>
            </w:r>
            <w:r w:rsidR="00C30A87">
              <w:rPr>
                <w:noProof/>
                <w:webHidden/>
              </w:rPr>
              <w:fldChar w:fldCharType="end"/>
            </w:r>
          </w:hyperlink>
        </w:p>
        <w:p w:rsidR="00C30A87" w:rsidRDefault="00DB6A3D" w14:paraId="2ADA9874" w14:textId="355F02F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297">
            <w:r w:rsidRPr="00151BDE" w:rsidR="00C30A87">
              <w:rPr>
                <w:rStyle w:val="Hyperlink"/>
                <w:noProof/>
              </w:rPr>
              <w:t>3.4.1.</w:t>
            </w:r>
            <w:r w:rsidR="00C30A87">
              <w:rPr>
                <w:rFonts w:asciiTheme="minorHAnsi" w:hAnsiTheme="minorHAnsi" w:cstheme="minorBidi"/>
                <w:noProof/>
                <w:kern w:val="2"/>
                <w:sz w:val="24"/>
                <w:szCs w:val="24"/>
                <w14:ligatures w14:val="standardContextual"/>
              </w:rPr>
              <w:tab/>
            </w:r>
            <w:r w:rsidRPr="00151BDE" w:rsidR="00C30A87">
              <w:rPr>
                <w:rStyle w:val="Hyperlink"/>
                <w:noProof/>
              </w:rPr>
              <w:t>Party Recommendations to Modify Existing Green Access Program Tariff Options</w:t>
            </w:r>
            <w:r w:rsidR="00C30A87">
              <w:rPr>
                <w:noProof/>
                <w:webHidden/>
              </w:rPr>
              <w:tab/>
            </w:r>
            <w:r w:rsidR="00C30A87">
              <w:rPr>
                <w:noProof/>
                <w:webHidden/>
              </w:rPr>
              <w:fldChar w:fldCharType="begin"/>
            </w:r>
            <w:r w:rsidR="00C30A87">
              <w:rPr>
                <w:noProof/>
                <w:webHidden/>
              </w:rPr>
              <w:instrText xml:space="preserve"> PAGEREF _Toc168559297 \h </w:instrText>
            </w:r>
            <w:r w:rsidR="00C30A87">
              <w:rPr>
                <w:noProof/>
                <w:webHidden/>
              </w:rPr>
            </w:r>
            <w:r w:rsidR="00C30A87">
              <w:rPr>
                <w:noProof/>
                <w:webHidden/>
              </w:rPr>
              <w:fldChar w:fldCharType="separate"/>
            </w:r>
            <w:r w:rsidR="00634405">
              <w:rPr>
                <w:noProof/>
                <w:webHidden/>
              </w:rPr>
              <w:t>59</w:t>
            </w:r>
            <w:r w:rsidR="00C30A87">
              <w:rPr>
                <w:noProof/>
                <w:webHidden/>
              </w:rPr>
              <w:fldChar w:fldCharType="end"/>
            </w:r>
          </w:hyperlink>
        </w:p>
        <w:p w:rsidR="00C30A87" w:rsidRDefault="00DB6A3D" w14:paraId="1F175569" w14:textId="124841C6">
          <w:pPr>
            <w:pStyle w:val="TOC4"/>
            <w:rPr>
              <w:rFonts w:asciiTheme="minorHAnsi" w:hAnsiTheme="minorHAnsi" w:eastAsiaTheme="minorEastAsia"/>
              <w:kern w:val="2"/>
              <w:sz w:val="24"/>
              <w:szCs w:val="24"/>
              <w14:ligatures w14:val="standardContextual"/>
            </w:rPr>
          </w:pPr>
          <w:hyperlink w:history="1" w:anchor="_Toc168559298">
            <w:r w:rsidRPr="00151BDE" w:rsidR="00C30A87">
              <w:rPr>
                <w:rStyle w:val="Hyperlink"/>
              </w:rPr>
              <w:t>3.4.1.1.</w:t>
            </w:r>
            <w:r w:rsidR="00C30A87">
              <w:rPr>
                <w:rFonts w:asciiTheme="minorHAnsi" w:hAnsiTheme="minorHAnsi" w:eastAsiaTheme="minorEastAsia"/>
                <w:kern w:val="2"/>
                <w:sz w:val="24"/>
                <w:szCs w:val="24"/>
                <w14:ligatures w14:val="standardContextual"/>
              </w:rPr>
              <w:tab/>
            </w:r>
            <w:r w:rsidRPr="00151BDE" w:rsidR="00C30A87">
              <w:rPr>
                <w:rStyle w:val="Hyperlink"/>
              </w:rPr>
              <w:t>Southern California Edison Company’s Proposed Green Share Program Tariff</w:t>
            </w:r>
            <w:r w:rsidR="00C30A87">
              <w:rPr>
                <w:webHidden/>
              </w:rPr>
              <w:tab/>
            </w:r>
            <w:r w:rsidR="00C30A87">
              <w:rPr>
                <w:webHidden/>
              </w:rPr>
              <w:fldChar w:fldCharType="begin"/>
            </w:r>
            <w:r w:rsidR="00C30A87">
              <w:rPr>
                <w:webHidden/>
              </w:rPr>
              <w:instrText xml:space="preserve"> PAGEREF _Toc168559298 \h </w:instrText>
            </w:r>
            <w:r w:rsidR="00C30A87">
              <w:rPr>
                <w:webHidden/>
              </w:rPr>
            </w:r>
            <w:r w:rsidR="00C30A87">
              <w:rPr>
                <w:webHidden/>
              </w:rPr>
              <w:fldChar w:fldCharType="separate"/>
            </w:r>
            <w:r w:rsidR="00634405">
              <w:rPr>
                <w:webHidden/>
              </w:rPr>
              <w:t>63</w:t>
            </w:r>
            <w:r w:rsidR="00C30A87">
              <w:rPr>
                <w:webHidden/>
              </w:rPr>
              <w:fldChar w:fldCharType="end"/>
            </w:r>
          </w:hyperlink>
        </w:p>
        <w:p w:rsidR="00C30A87" w:rsidRDefault="00DB6A3D" w14:paraId="5D346A9E" w14:textId="785DF067">
          <w:pPr>
            <w:pStyle w:val="TOC4"/>
            <w:rPr>
              <w:rFonts w:asciiTheme="minorHAnsi" w:hAnsiTheme="minorHAnsi" w:eastAsiaTheme="minorEastAsia"/>
              <w:kern w:val="2"/>
              <w:sz w:val="24"/>
              <w:szCs w:val="24"/>
              <w14:ligatures w14:val="standardContextual"/>
            </w:rPr>
          </w:pPr>
          <w:hyperlink w:history="1" w:anchor="_Toc168559299">
            <w:r w:rsidRPr="00151BDE" w:rsidR="00C30A87">
              <w:rPr>
                <w:rStyle w:val="Hyperlink"/>
              </w:rPr>
              <w:t>3.4.1.2.</w:t>
            </w:r>
            <w:r w:rsidR="00C30A87">
              <w:rPr>
                <w:rFonts w:asciiTheme="minorHAnsi" w:hAnsiTheme="minorHAnsi" w:eastAsiaTheme="minorEastAsia"/>
                <w:kern w:val="2"/>
                <w:sz w:val="24"/>
                <w:szCs w:val="24"/>
                <w14:ligatures w14:val="standardContextual"/>
              </w:rPr>
              <w:tab/>
            </w:r>
            <w:r w:rsidRPr="00151BDE" w:rsidR="00C30A87">
              <w:rPr>
                <w:rStyle w:val="Hyperlink"/>
              </w:rPr>
              <w:t>Pacific Gas and Electric Company’s Proposed Green Tariff Shared Renewables Successor Tariff</w:t>
            </w:r>
            <w:r w:rsidR="00C30A87">
              <w:rPr>
                <w:webHidden/>
              </w:rPr>
              <w:tab/>
            </w:r>
            <w:r w:rsidR="00C30A87">
              <w:rPr>
                <w:webHidden/>
              </w:rPr>
              <w:fldChar w:fldCharType="begin"/>
            </w:r>
            <w:r w:rsidR="00C30A87">
              <w:rPr>
                <w:webHidden/>
              </w:rPr>
              <w:instrText xml:space="preserve"> PAGEREF _Toc168559299 \h </w:instrText>
            </w:r>
            <w:r w:rsidR="00C30A87">
              <w:rPr>
                <w:webHidden/>
              </w:rPr>
            </w:r>
            <w:r w:rsidR="00C30A87">
              <w:rPr>
                <w:webHidden/>
              </w:rPr>
              <w:fldChar w:fldCharType="separate"/>
            </w:r>
            <w:r w:rsidR="00634405">
              <w:rPr>
                <w:webHidden/>
              </w:rPr>
              <w:t>66</w:t>
            </w:r>
            <w:r w:rsidR="00C30A87">
              <w:rPr>
                <w:webHidden/>
              </w:rPr>
              <w:fldChar w:fldCharType="end"/>
            </w:r>
          </w:hyperlink>
        </w:p>
        <w:p w:rsidR="00C30A87" w:rsidRDefault="00DB6A3D" w14:paraId="3EEB288F" w14:textId="1832308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00">
            <w:r w:rsidRPr="00151BDE" w:rsidR="00C30A87">
              <w:rPr>
                <w:rStyle w:val="Hyperlink"/>
                <w:noProof/>
              </w:rPr>
              <w:t>3.4.2.</w:t>
            </w:r>
            <w:r w:rsidR="00C30A87">
              <w:rPr>
                <w:rFonts w:asciiTheme="minorHAnsi" w:hAnsiTheme="minorHAnsi" w:cstheme="minorBidi"/>
                <w:noProof/>
                <w:kern w:val="2"/>
                <w:sz w:val="24"/>
                <w:szCs w:val="24"/>
                <w14:ligatures w14:val="standardContextual"/>
              </w:rPr>
              <w:tab/>
            </w:r>
            <w:r w:rsidRPr="00151BDE" w:rsidR="00C30A87">
              <w:rPr>
                <w:rStyle w:val="Hyperlink"/>
                <w:noProof/>
              </w:rPr>
              <w:t>Party Recommendations for a New Community Renewable Energy Program</w:t>
            </w:r>
            <w:r w:rsidR="00C30A87">
              <w:rPr>
                <w:noProof/>
                <w:webHidden/>
              </w:rPr>
              <w:tab/>
            </w:r>
            <w:r w:rsidR="00C30A87">
              <w:rPr>
                <w:noProof/>
                <w:webHidden/>
              </w:rPr>
              <w:fldChar w:fldCharType="begin"/>
            </w:r>
            <w:r w:rsidR="00C30A87">
              <w:rPr>
                <w:noProof/>
                <w:webHidden/>
              </w:rPr>
              <w:instrText xml:space="preserve"> PAGEREF _Toc168559300 \h </w:instrText>
            </w:r>
            <w:r w:rsidR="00C30A87">
              <w:rPr>
                <w:noProof/>
                <w:webHidden/>
              </w:rPr>
            </w:r>
            <w:r w:rsidR="00C30A87">
              <w:rPr>
                <w:noProof/>
                <w:webHidden/>
              </w:rPr>
              <w:fldChar w:fldCharType="separate"/>
            </w:r>
            <w:r w:rsidR="00634405">
              <w:rPr>
                <w:noProof/>
                <w:webHidden/>
              </w:rPr>
              <w:t>67</w:t>
            </w:r>
            <w:r w:rsidR="00C30A87">
              <w:rPr>
                <w:noProof/>
                <w:webHidden/>
              </w:rPr>
              <w:fldChar w:fldCharType="end"/>
            </w:r>
          </w:hyperlink>
        </w:p>
        <w:p w:rsidR="00C30A87" w:rsidRDefault="00DB6A3D" w14:paraId="5E7FC4C6" w14:textId="3B088F06">
          <w:pPr>
            <w:pStyle w:val="TOC4"/>
            <w:rPr>
              <w:rFonts w:asciiTheme="minorHAnsi" w:hAnsiTheme="minorHAnsi" w:eastAsiaTheme="minorEastAsia"/>
              <w:kern w:val="2"/>
              <w:sz w:val="24"/>
              <w:szCs w:val="24"/>
              <w14:ligatures w14:val="standardContextual"/>
            </w:rPr>
          </w:pPr>
          <w:hyperlink w:history="1" w:anchor="_Toc168559301">
            <w:r w:rsidRPr="00151BDE" w:rsidR="00C30A87">
              <w:rPr>
                <w:rStyle w:val="Hyperlink"/>
              </w:rPr>
              <w:t>3.4.2.1.</w:t>
            </w:r>
            <w:r w:rsidR="00C30A87">
              <w:rPr>
                <w:rFonts w:asciiTheme="minorHAnsi" w:hAnsiTheme="minorHAnsi" w:eastAsiaTheme="minorEastAsia"/>
                <w:kern w:val="2"/>
                <w:sz w:val="24"/>
                <w:szCs w:val="24"/>
                <w14:ligatures w14:val="standardContextual"/>
              </w:rPr>
              <w:tab/>
            </w:r>
            <w:r w:rsidRPr="00151BDE" w:rsidR="00C30A87">
              <w:rPr>
                <w:rStyle w:val="Hyperlink"/>
              </w:rPr>
              <w:t>Coalition for Community Solar Access’ Net Value Billing Tariff Proposal</w:t>
            </w:r>
            <w:r w:rsidR="00C30A87">
              <w:rPr>
                <w:webHidden/>
              </w:rPr>
              <w:tab/>
            </w:r>
            <w:r w:rsidR="00C30A87">
              <w:rPr>
                <w:webHidden/>
              </w:rPr>
              <w:fldChar w:fldCharType="begin"/>
            </w:r>
            <w:r w:rsidR="00C30A87">
              <w:rPr>
                <w:webHidden/>
              </w:rPr>
              <w:instrText xml:space="preserve"> PAGEREF _Toc168559301 \h </w:instrText>
            </w:r>
            <w:r w:rsidR="00C30A87">
              <w:rPr>
                <w:webHidden/>
              </w:rPr>
            </w:r>
            <w:r w:rsidR="00C30A87">
              <w:rPr>
                <w:webHidden/>
              </w:rPr>
              <w:fldChar w:fldCharType="separate"/>
            </w:r>
            <w:r w:rsidR="00634405">
              <w:rPr>
                <w:webHidden/>
              </w:rPr>
              <w:t>67</w:t>
            </w:r>
            <w:r w:rsidR="00C30A87">
              <w:rPr>
                <w:webHidden/>
              </w:rPr>
              <w:fldChar w:fldCharType="end"/>
            </w:r>
          </w:hyperlink>
        </w:p>
        <w:p w:rsidR="00C30A87" w:rsidRDefault="00DB6A3D" w14:paraId="66ACBD10" w14:textId="57C3225F">
          <w:pPr>
            <w:pStyle w:val="TOC4"/>
            <w:rPr>
              <w:rFonts w:asciiTheme="minorHAnsi" w:hAnsiTheme="minorHAnsi" w:eastAsiaTheme="minorEastAsia"/>
              <w:kern w:val="2"/>
              <w:sz w:val="24"/>
              <w:szCs w:val="24"/>
              <w14:ligatures w14:val="standardContextual"/>
            </w:rPr>
          </w:pPr>
          <w:hyperlink w:history="1" w:anchor="_Toc168559302">
            <w:r w:rsidRPr="00151BDE" w:rsidR="00C30A87">
              <w:rPr>
                <w:rStyle w:val="Hyperlink"/>
              </w:rPr>
              <w:t>3.4.2.2.</w:t>
            </w:r>
            <w:r w:rsidR="00C30A87">
              <w:rPr>
                <w:rFonts w:asciiTheme="minorHAnsi" w:hAnsiTheme="minorHAnsi" w:eastAsiaTheme="minorEastAsia"/>
                <w:kern w:val="2"/>
                <w:sz w:val="24"/>
                <w:szCs w:val="24"/>
                <w14:ligatures w14:val="standardContextual"/>
              </w:rPr>
              <w:tab/>
            </w:r>
            <w:r w:rsidRPr="00151BDE" w:rsidR="00C30A87">
              <w:rPr>
                <w:rStyle w:val="Hyperlink"/>
              </w:rPr>
              <w:t>Cal Advocates’ Proposed Modifications to the Net Value Billing Tariff Proposal</w:t>
            </w:r>
            <w:r w:rsidR="00C30A87">
              <w:rPr>
                <w:webHidden/>
              </w:rPr>
              <w:tab/>
            </w:r>
            <w:r w:rsidR="00C30A87">
              <w:rPr>
                <w:webHidden/>
              </w:rPr>
              <w:fldChar w:fldCharType="begin"/>
            </w:r>
            <w:r w:rsidR="00C30A87">
              <w:rPr>
                <w:webHidden/>
              </w:rPr>
              <w:instrText xml:space="preserve"> PAGEREF _Toc168559302 \h </w:instrText>
            </w:r>
            <w:r w:rsidR="00C30A87">
              <w:rPr>
                <w:webHidden/>
              </w:rPr>
            </w:r>
            <w:r w:rsidR="00C30A87">
              <w:rPr>
                <w:webHidden/>
              </w:rPr>
              <w:fldChar w:fldCharType="separate"/>
            </w:r>
            <w:r w:rsidR="00634405">
              <w:rPr>
                <w:webHidden/>
              </w:rPr>
              <w:t>73</w:t>
            </w:r>
            <w:r w:rsidR="00C30A87">
              <w:rPr>
                <w:webHidden/>
              </w:rPr>
              <w:fldChar w:fldCharType="end"/>
            </w:r>
          </w:hyperlink>
        </w:p>
        <w:p w:rsidR="00C30A87" w:rsidP="00DB6A3D" w:rsidRDefault="00DB6A3D" w14:paraId="0BDE068D" w14:textId="5314355F">
          <w:pPr>
            <w:pStyle w:val="TOC4"/>
            <w:tabs>
              <w:tab w:val="clear" w:pos="4291"/>
            </w:tabs>
            <w:rPr>
              <w:rFonts w:asciiTheme="minorHAnsi" w:hAnsiTheme="minorHAnsi" w:eastAsiaTheme="minorEastAsia"/>
              <w:kern w:val="2"/>
              <w:sz w:val="24"/>
              <w:szCs w:val="24"/>
              <w14:ligatures w14:val="standardContextual"/>
            </w:rPr>
          </w:pPr>
          <w:hyperlink w:history="1" w:anchor="_Toc168559303">
            <w:r w:rsidRPr="00151BDE" w:rsidR="00C30A87">
              <w:rPr>
                <w:rStyle w:val="Hyperlink"/>
              </w:rPr>
              <w:t>3.4.2.3.</w:t>
            </w:r>
            <w:r w:rsidR="00C30A87">
              <w:rPr>
                <w:rFonts w:asciiTheme="minorHAnsi" w:hAnsiTheme="minorHAnsi" w:eastAsiaTheme="minorEastAsia"/>
                <w:kern w:val="2"/>
                <w:sz w:val="24"/>
                <w:szCs w:val="24"/>
                <w14:ligatures w14:val="standardContextual"/>
              </w:rPr>
              <w:tab/>
            </w:r>
            <w:r w:rsidRPr="00151BDE" w:rsidR="00C30A87">
              <w:rPr>
                <w:rStyle w:val="Hyperlink"/>
              </w:rPr>
              <w:t>The Utility Reform Network’s Proposed Modifications to the Net Value Billing Tariff Proposal</w:t>
            </w:r>
            <w:r w:rsidR="00C30A87">
              <w:rPr>
                <w:webHidden/>
              </w:rPr>
              <w:tab/>
            </w:r>
            <w:r w:rsidR="00C30A87">
              <w:rPr>
                <w:webHidden/>
              </w:rPr>
              <w:fldChar w:fldCharType="begin"/>
            </w:r>
            <w:r w:rsidR="00C30A87">
              <w:rPr>
                <w:webHidden/>
              </w:rPr>
              <w:instrText xml:space="preserve"> PAGEREF _Toc168559303 \h </w:instrText>
            </w:r>
            <w:r w:rsidR="00C30A87">
              <w:rPr>
                <w:webHidden/>
              </w:rPr>
            </w:r>
            <w:r w:rsidR="00C30A87">
              <w:rPr>
                <w:webHidden/>
              </w:rPr>
              <w:fldChar w:fldCharType="separate"/>
            </w:r>
            <w:r w:rsidR="00634405">
              <w:rPr>
                <w:webHidden/>
              </w:rPr>
              <w:t>75</w:t>
            </w:r>
            <w:r w:rsidR="00C30A87">
              <w:rPr>
                <w:webHidden/>
              </w:rPr>
              <w:fldChar w:fldCharType="end"/>
            </w:r>
          </w:hyperlink>
        </w:p>
        <w:p w:rsidR="00C30A87" w:rsidRDefault="00DB6A3D" w14:paraId="5FAE0CBD" w14:textId="29D7ED82">
          <w:pPr>
            <w:pStyle w:val="TOC4"/>
            <w:rPr>
              <w:rFonts w:asciiTheme="minorHAnsi" w:hAnsiTheme="minorHAnsi" w:eastAsiaTheme="minorEastAsia"/>
              <w:kern w:val="2"/>
              <w:sz w:val="24"/>
              <w:szCs w:val="24"/>
              <w14:ligatures w14:val="standardContextual"/>
            </w:rPr>
          </w:pPr>
          <w:hyperlink w:history="1" w:anchor="_Toc168559304">
            <w:r w:rsidRPr="00151BDE" w:rsidR="00C30A87">
              <w:rPr>
                <w:rStyle w:val="Hyperlink"/>
              </w:rPr>
              <w:t>3.4.2.4.</w:t>
            </w:r>
            <w:r w:rsidR="00C30A87">
              <w:rPr>
                <w:rFonts w:asciiTheme="minorHAnsi" w:hAnsiTheme="minorHAnsi" w:eastAsiaTheme="minorEastAsia"/>
                <w:kern w:val="2"/>
                <w:sz w:val="24"/>
                <w:szCs w:val="24"/>
                <w14:ligatures w14:val="standardContextual"/>
              </w:rPr>
              <w:tab/>
            </w:r>
            <w:r w:rsidRPr="00151BDE" w:rsidR="00C30A87">
              <w:rPr>
                <w:rStyle w:val="Hyperlink"/>
              </w:rPr>
              <w:t>Southern California Edison Company’s Community Renewable Energy Proposal</w:t>
            </w:r>
            <w:r w:rsidR="00C30A87">
              <w:rPr>
                <w:webHidden/>
              </w:rPr>
              <w:tab/>
            </w:r>
            <w:r w:rsidR="00C30A87">
              <w:rPr>
                <w:webHidden/>
              </w:rPr>
              <w:fldChar w:fldCharType="begin"/>
            </w:r>
            <w:r w:rsidR="00C30A87">
              <w:rPr>
                <w:webHidden/>
              </w:rPr>
              <w:instrText xml:space="preserve"> PAGEREF _Toc168559304 \h </w:instrText>
            </w:r>
            <w:r w:rsidR="00C30A87">
              <w:rPr>
                <w:webHidden/>
              </w:rPr>
            </w:r>
            <w:r w:rsidR="00C30A87">
              <w:rPr>
                <w:webHidden/>
              </w:rPr>
              <w:fldChar w:fldCharType="separate"/>
            </w:r>
            <w:r w:rsidR="00634405">
              <w:rPr>
                <w:webHidden/>
              </w:rPr>
              <w:t>78</w:t>
            </w:r>
            <w:r w:rsidR="00C30A87">
              <w:rPr>
                <w:webHidden/>
              </w:rPr>
              <w:fldChar w:fldCharType="end"/>
            </w:r>
          </w:hyperlink>
        </w:p>
        <w:p w:rsidR="00C30A87" w:rsidRDefault="00DB6A3D" w14:paraId="332B8D5F" w14:textId="56A139DE">
          <w:pPr>
            <w:pStyle w:val="TOC4"/>
            <w:rPr>
              <w:rFonts w:asciiTheme="minorHAnsi" w:hAnsiTheme="minorHAnsi" w:eastAsiaTheme="minorEastAsia"/>
              <w:kern w:val="2"/>
              <w:sz w:val="24"/>
              <w:szCs w:val="24"/>
              <w14:ligatures w14:val="standardContextual"/>
            </w:rPr>
          </w:pPr>
          <w:hyperlink w:history="1" w:anchor="_Toc168559305">
            <w:r w:rsidRPr="00151BDE" w:rsidR="00C30A87">
              <w:rPr>
                <w:rStyle w:val="Hyperlink"/>
              </w:rPr>
              <w:t>3.4.2.5.</w:t>
            </w:r>
            <w:r w:rsidR="00C30A87">
              <w:rPr>
                <w:rFonts w:asciiTheme="minorHAnsi" w:hAnsiTheme="minorHAnsi" w:eastAsiaTheme="minorEastAsia"/>
                <w:kern w:val="2"/>
                <w:sz w:val="24"/>
                <w:szCs w:val="24"/>
                <w14:ligatures w14:val="standardContextual"/>
              </w:rPr>
              <w:tab/>
            </w:r>
            <w:r w:rsidRPr="00151BDE" w:rsidR="00C30A87">
              <w:rPr>
                <w:rStyle w:val="Hyperlink"/>
              </w:rPr>
              <w:t>Adding to the Proceeding Record</w:t>
            </w:r>
            <w:r w:rsidR="00C30A87">
              <w:rPr>
                <w:webHidden/>
              </w:rPr>
              <w:tab/>
            </w:r>
            <w:r w:rsidR="00C30A87">
              <w:rPr>
                <w:webHidden/>
              </w:rPr>
              <w:fldChar w:fldCharType="begin"/>
            </w:r>
            <w:r w:rsidR="00C30A87">
              <w:rPr>
                <w:webHidden/>
              </w:rPr>
              <w:instrText xml:space="preserve"> PAGEREF _Toc168559305 \h </w:instrText>
            </w:r>
            <w:r w:rsidR="00C30A87">
              <w:rPr>
                <w:webHidden/>
              </w:rPr>
            </w:r>
            <w:r w:rsidR="00C30A87">
              <w:rPr>
                <w:webHidden/>
              </w:rPr>
              <w:fldChar w:fldCharType="separate"/>
            </w:r>
            <w:r w:rsidR="00634405">
              <w:rPr>
                <w:webHidden/>
              </w:rPr>
              <w:t>80</w:t>
            </w:r>
            <w:r w:rsidR="00C30A87">
              <w:rPr>
                <w:webHidden/>
              </w:rPr>
              <w:fldChar w:fldCharType="end"/>
            </w:r>
          </w:hyperlink>
        </w:p>
        <w:p w:rsidR="00C30A87" w:rsidRDefault="00DB6A3D" w14:paraId="28DB3FC4" w14:textId="69468E5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06">
            <w:r w:rsidRPr="00151BDE" w:rsidR="00C30A87">
              <w:rPr>
                <w:rStyle w:val="Hyperlink"/>
                <w:noProof/>
              </w:rPr>
              <w:t>3.4.3.</w:t>
            </w:r>
            <w:r w:rsidR="00C30A87">
              <w:rPr>
                <w:rFonts w:asciiTheme="minorHAnsi" w:hAnsiTheme="minorHAnsi" w:cstheme="minorBidi"/>
                <w:noProof/>
                <w:kern w:val="2"/>
                <w:sz w:val="24"/>
                <w:szCs w:val="24"/>
                <w14:ligatures w14:val="standardContextual"/>
              </w:rPr>
              <w:tab/>
            </w:r>
            <w:r w:rsidRPr="00151BDE" w:rsidR="00C30A87">
              <w:rPr>
                <w:rStyle w:val="Hyperlink"/>
                <w:noProof/>
              </w:rPr>
              <w:t>Overview of NY VDER</w:t>
            </w:r>
            <w:r w:rsidR="00C30A87">
              <w:rPr>
                <w:noProof/>
                <w:webHidden/>
              </w:rPr>
              <w:tab/>
            </w:r>
            <w:r w:rsidR="00C30A87">
              <w:rPr>
                <w:noProof/>
                <w:webHidden/>
              </w:rPr>
              <w:fldChar w:fldCharType="begin"/>
            </w:r>
            <w:r w:rsidR="00C30A87">
              <w:rPr>
                <w:noProof/>
                <w:webHidden/>
              </w:rPr>
              <w:instrText xml:space="preserve"> PAGEREF _Toc168559306 \h </w:instrText>
            </w:r>
            <w:r w:rsidR="00C30A87">
              <w:rPr>
                <w:noProof/>
                <w:webHidden/>
              </w:rPr>
            </w:r>
            <w:r w:rsidR="00C30A87">
              <w:rPr>
                <w:noProof/>
                <w:webHidden/>
              </w:rPr>
              <w:fldChar w:fldCharType="separate"/>
            </w:r>
            <w:r w:rsidR="00634405">
              <w:rPr>
                <w:noProof/>
                <w:webHidden/>
              </w:rPr>
              <w:t>83</w:t>
            </w:r>
            <w:r w:rsidR="00C30A87">
              <w:rPr>
                <w:noProof/>
                <w:webHidden/>
              </w:rPr>
              <w:fldChar w:fldCharType="end"/>
            </w:r>
          </w:hyperlink>
        </w:p>
        <w:p w:rsidR="00C30A87" w:rsidRDefault="00DB6A3D" w14:paraId="7E2A1C43" w14:textId="5D86974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07">
            <w:r w:rsidRPr="00151BDE" w:rsidR="00C30A87">
              <w:rPr>
                <w:rStyle w:val="Hyperlink"/>
                <w:noProof/>
              </w:rPr>
              <w:t>3.4.4.</w:t>
            </w:r>
            <w:r w:rsidR="00C30A87">
              <w:rPr>
                <w:rFonts w:asciiTheme="minorHAnsi" w:hAnsiTheme="minorHAnsi" w:cstheme="minorBidi"/>
                <w:noProof/>
                <w:kern w:val="2"/>
                <w:sz w:val="24"/>
                <w:szCs w:val="24"/>
                <w14:ligatures w14:val="standardContextual"/>
              </w:rPr>
              <w:tab/>
            </w:r>
            <w:r w:rsidRPr="00151BDE" w:rsidR="00C30A87">
              <w:rPr>
                <w:rStyle w:val="Hyperlink"/>
                <w:noProof/>
              </w:rPr>
              <w:t xml:space="preserve">Compliance with Assembly Bill 2316 and Public Utilities Code </w:t>
            </w:r>
            <w:r w:rsidRPr="00151BDE" w:rsidR="00C30A87">
              <w:rPr>
                <w:rStyle w:val="Hyperlink"/>
                <w:rFonts w:cs="Arial"/>
                <w:noProof/>
              </w:rPr>
              <w:t>Section </w:t>
            </w:r>
            <w:r w:rsidRPr="00151BDE" w:rsidR="00C30A87">
              <w:rPr>
                <w:rStyle w:val="Hyperlink"/>
                <w:noProof/>
              </w:rPr>
              <w:t>769.3(c)</w:t>
            </w:r>
            <w:r w:rsidR="00C30A87">
              <w:rPr>
                <w:noProof/>
                <w:webHidden/>
              </w:rPr>
              <w:tab/>
            </w:r>
            <w:r w:rsidR="00C30A87">
              <w:rPr>
                <w:noProof/>
                <w:webHidden/>
              </w:rPr>
              <w:fldChar w:fldCharType="begin"/>
            </w:r>
            <w:r w:rsidR="00C30A87">
              <w:rPr>
                <w:noProof/>
                <w:webHidden/>
              </w:rPr>
              <w:instrText xml:space="preserve"> PAGEREF _Toc168559307 \h </w:instrText>
            </w:r>
            <w:r w:rsidR="00C30A87">
              <w:rPr>
                <w:noProof/>
                <w:webHidden/>
              </w:rPr>
            </w:r>
            <w:r w:rsidR="00C30A87">
              <w:rPr>
                <w:noProof/>
                <w:webHidden/>
              </w:rPr>
              <w:fldChar w:fldCharType="separate"/>
            </w:r>
            <w:r w:rsidR="00634405">
              <w:rPr>
                <w:noProof/>
                <w:webHidden/>
              </w:rPr>
              <w:t>85</w:t>
            </w:r>
            <w:r w:rsidR="00C30A87">
              <w:rPr>
                <w:noProof/>
                <w:webHidden/>
              </w:rPr>
              <w:fldChar w:fldCharType="end"/>
            </w:r>
          </w:hyperlink>
        </w:p>
        <w:p w:rsidR="00C30A87" w:rsidRDefault="00DB6A3D" w14:paraId="308B4348" w14:textId="3F8BD8D8">
          <w:pPr>
            <w:pStyle w:val="TOC4"/>
            <w:rPr>
              <w:rFonts w:asciiTheme="minorHAnsi" w:hAnsiTheme="minorHAnsi" w:eastAsiaTheme="minorEastAsia"/>
              <w:kern w:val="2"/>
              <w:sz w:val="24"/>
              <w:szCs w:val="24"/>
              <w14:ligatures w14:val="standardContextual"/>
            </w:rPr>
          </w:pPr>
          <w:hyperlink w:history="1" w:anchor="_Toc168559308">
            <w:r w:rsidRPr="00151BDE" w:rsidR="00C30A87">
              <w:rPr>
                <w:rStyle w:val="Hyperlink"/>
              </w:rPr>
              <w:t>3.4.4.1.</w:t>
            </w:r>
            <w:r w:rsidR="00C30A87">
              <w:rPr>
                <w:rFonts w:asciiTheme="minorHAnsi" w:hAnsiTheme="minorHAnsi" w:eastAsiaTheme="minorEastAsia"/>
                <w:kern w:val="2"/>
                <w:sz w:val="24"/>
                <w:szCs w:val="24"/>
                <w14:ligatures w14:val="standardContextual"/>
              </w:rPr>
              <w:tab/>
            </w:r>
            <w:r w:rsidRPr="00151BDE" w:rsidR="00C30A87">
              <w:rPr>
                <w:rStyle w:val="Hyperlink"/>
              </w:rPr>
              <w:t>Assembly Bill 2316 Does Not Require the Commission to Adopt a New Community Renewable Energy Program</w:t>
            </w:r>
            <w:r w:rsidR="00C30A87">
              <w:rPr>
                <w:webHidden/>
              </w:rPr>
              <w:tab/>
            </w:r>
            <w:r w:rsidR="00C30A87">
              <w:rPr>
                <w:webHidden/>
              </w:rPr>
              <w:fldChar w:fldCharType="begin"/>
            </w:r>
            <w:r w:rsidR="00C30A87">
              <w:rPr>
                <w:webHidden/>
              </w:rPr>
              <w:instrText xml:space="preserve"> PAGEREF _Toc168559308 \h </w:instrText>
            </w:r>
            <w:r w:rsidR="00C30A87">
              <w:rPr>
                <w:webHidden/>
              </w:rPr>
            </w:r>
            <w:r w:rsidR="00C30A87">
              <w:rPr>
                <w:webHidden/>
              </w:rPr>
              <w:fldChar w:fldCharType="separate"/>
            </w:r>
            <w:r w:rsidR="00634405">
              <w:rPr>
                <w:webHidden/>
              </w:rPr>
              <w:t>85</w:t>
            </w:r>
            <w:r w:rsidR="00C30A87">
              <w:rPr>
                <w:webHidden/>
              </w:rPr>
              <w:fldChar w:fldCharType="end"/>
            </w:r>
          </w:hyperlink>
        </w:p>
        <w:p w:rsidR="00C30A87" w:rsidRDefault="00DB6A3D" w14:paraId="69A0EE41" w14:textId="78E19D7C">
          <w:pPr>
            <w:pStyle w:val="TOC4"/>
            <w:rPr>
              <w:rFonts w:asciiTheme="minorHAnsi" w:hAnsiTheme="minorHAnsi" w:eastAsiaTheme="minorEastAsia"/>
              <w:kern w:val="2"/>
              <w:sz w:val="24"/>
              <w:szCs w:val="24"/>
              <w14:ligatures w14:val="standardContextual"/>
            </w:rPr>
          </w:pPr>
          <w:hyperlink w:history="1" w:anchor="_Toc168559309">
            <w:r w:rsidRPr="00151BDE" w:rsidR="00C30A87">
              <w:rPr>
                <w:rStyle w:val="Hyperlink"/>
              </w:rPr>
              <w:t>3.4.4.2.</w:t>
            </w:r>
            <w:r w:rsidR="00C30A87">
              <w:rPr>
                <w:rFonts w:asciiTheme="minorHAnsi" w:hAnsiTheme="minorHAnsi" w:eastAsiaTheme="minorEastAsia"/>
                <w:kern w:val="2"/>
                <w:sz w:val="24"/>
                <w:szCs w:val="24"/>
                <w14:ligatures w14:val="standardContextual"/>
              </w:rPr>
              <w:tab/>
            </w:r>
            <w:r w:rsidRPr="00151BDE" w:rsidR="00C30A87">
              <w:rPr>
                <w:rStyle w:val="Hyperlink"/>
              </w:rPr>
              <w:t>Net Value Billing Tariff Proposals Conflict With Assembly Bill 2316</w:t>
            </w:r>
            <w:r w:rsidR="00C30A87">
              <w:rPr>
                <w:webHidden/>
              </w:rPr>
              <w:tab/>
            </w:r>
            <w:r w:rsidR="00C30A87">
              <w:rPr>
                <w:webHidden/>
              </w:rPr>
              <w:fldChar w:fldCharType="begin"/>
            </w:r>
            <w:r w:rsidR="00C30A87">
              <w:rPr>
                <w:webHidden/>
              </w:rPr>
              <w:instrText xml:space="preserve"> PAGEREF _Toc168559309 \h </w:instrText>
            </w:r>
            <w:r w:rsidR="00C30A87">
              <w:rPr>
                <w:webHidden/>
              </w:rPr>
            </w:r>
            <w:r w:rsidR="00C30A87">
              <w:rPr>
                <w:webHidden/>
              </w:rPr>
              <w:fldChar w:fldCharType="separate"/>
            </w:r>
            <w:r w:rsidR="00634405">
              <w:rPr>
                <w:webHidden/>
              </w:rPr>
              <w:t>86</w:t>
            </w:r>
            <w:r w:rsidR="00C30A87">
              <w:rPr>
                <w:webHidden/>
              </w:rPr>
              <w:fldChar w:fldCharType="end"/>
            </w:r>
          </w:hyperlink>
        </w:p>
        <w:p w:rsidR="00C30A87" w:rsidRDefault="00DB6A3D" w14:paraId="5DE1304B" w14:textId="41B25AE5">
          <w:pPr>
            <w:pStyle w:val="TOC5"/>
            <w:tabs>
              <w:tab w:val="left" w:pos="4291"/>
            </w:tabs>
            <w:rPr>
              <w:rFonts w:asciiTheme="minorHAnsi" w:hAnsiTheme="minorHAnsi" w:eastAsiaTheme="minorEastAsia"/>
              <w:noProof/>
              <w:kern w:val="2"/>
              <w:sz w:val="24"/>
              <w:szCs w:val="24"/>
              <w14:ligatures w14:val="standardContextual"/>
            </w:rPr>
          </w:pPr>
          <w:hyperlink w:history="1" w:anchor="_Toc168559310">
            <w:r w:rsidRPr="00151BDE" w:rsidR="00C30A87">
              <w:rPr>
                <w:rStyle w:val="Hyperlink"/>
                <w:noProof/>
              </w:rPr>
              <w:t>3.4.4.2.1.</w:t>
            </w:r>
            <w:r w:rsidR="00C30A87">
              <w:rPr>
                <w:rFonts w:asciiTheme="minorHAnsi" w:hAnsiTheme="minorHAnsi" w:eastAsiaTheme="minorEastAsia"/>
                <w:noProof/>
                <w:kern w:val="2"/>
                <w:sz w:val="24"/>
                <w:szCs w:val="24"/>
                <w14:ligatures w14:val="standardContextual"/>
              </w:rPr>
              <w:tab/>
            </w:r>
            <w:r w:rsidRPr="00151BDE" w:rsidR="00C30A87">
              <w:rPr>
                <w:rStyle w:val="Hyperlink"/>
                <w:noProof/>
              </w:rPr>
              <w:t>The Net Value Billing Tariff Results in Ratepayers Paying More Than the True Avoided Costs</w:t>
            </w:r>
            <w:r w:rsidR="00C30A87">
              <w:rPr>
                <w:noProof/>
                <w:webHidden/>
              </w:rPr>
              <w:tab/>
            </w:r>
            <w:r w:rsidR="00C30A87">
              <w:rPr>
                <w:noProof/>
                <w:webHidden/>
              </w:rPr>
              <w:fldChar w:fldCharType="begin"/>
            </w:r>
            <w:r w:rsidR="00C30A87">
              <w:rPr>
                <w:noProof/>
                <w:webHidden/>
              </w:rPr>
              <w:instrText xml:space="preserve"> PAGEREF _Toc168559310 \h </w:instrText>
            </w:r>
            <w:r w:rsidR="00C30A87">
              <w:rPr>
                <w:noProof/>
                <w:webHidden/>
              </w:rPr>
            </w:r>
            <w:r w:rsidR="00C30A87">
              <w:rPr>
                <w:noProof/>
                <w:webHidden/>
              </w:rPr>
              <w:fldChar w:fldCharType="separate"/>
            </w:r>
            <w:r w:rsidR="00634405">
              <w:rPr>
                <w:noProof/>
                <w:webHidden/>
              </w:rPr>
              <w:t>86</w:t>
            </w:r>
            <w:r w:rsidR="00C30A87">
              <w:rPr>
                <w:noProof/>
                <w:webHidden/>
              </w:rPr>
              <w:fldChar w:fldCharType="end"/>
            </w:r>
          </w:hyperlink>
        </w:p>
        <w:p w:rsidR="00C30A87" w:rsidRDefault="00DB6A3D" w14:paraId="230690AE" w14:textId="635B0116">
          <w:pPr>
            <w:pStyle w:val="TOC5"/>
            <w:tabs>
              <w:tab w:val="left" w:pos="4291"/>
            </w:tabs>
            <w:rPr>
              <w:rFonts w:asciiTheme="minorHAnsi" w:hAnsiTheme="minorHAnsi" w:eastAsiaTheme="minorEastAsia"/>
              <w:noProof/>
              <w:kern w:val="2"/>
              <w:sz w:val="24"/>
              <w:szCs w:val="24"/>
              <w14:ligatures w14:val="standardContextual"/>
            </w:rPr>
          </w:pPr>
          <w:hyperlink w:history="1" w:anchor="_Toc168559311">
            <w:r w:rsidRPr="00151BDE" w:rsidR="00C30A87">
              <w:rPr>
                <w:rStyle w:val="Hyperlink"/>
                <w:noProof/>
              </w:rPr>
              <w:t>3.4.4.2.2.</w:t>
            </w:r>
            <w:r w:rsidR="00C30A87">
              <w:rPr>
                <w:rFonts w:asciiTheme="minorHAnsi" w:hAnsiTheme="minorHAnsi" w:eastAsiaTheme="minorEastAsia"/>
                <w:noProof/>
                <w:kern w:val="2"/>
                <w:sz w:val="24"/>
                <w:szCs w:val="24"/>
                <w14:ligatures w14:val="standardContextual"/>
              </w:rPr>
              <w:tab/>
            </w:r>
            <w:r w:rsidRPr="00151BDE" w:rsidR="00C30A87">
              <w:rPr>
                <w:rStyle w:val="Hyperlink"/>
                <w:noProof/>
              </w:rPr>
              <w:t>The Net Value Billing Tariff Proposal Creates a Cost Shift</w:t>
            </w:r>
            <w:r w:rsidR="00C30A87">
              <w:rPr>
                <w:noProof/>
                <w:webHidden/>
              </w:rPr>
              <w:tab/>
            </w:r>
            <w:r w:rsidR="00C30A87">
              <w:rPr>
                <w:noProof/>
                <w:webHidden/>
              </w:rPr>
              <w:fldChar w:fldCharType="begin"/>
            </w:r>
            <w:r w:rsidR="00C30A87">
              <w:rPr>
                <w:noProof/>
                <w:webHidden/>
              </w:rPr>
              <w:instrText xml:space="preserve"> PAGEREF _Toc168559311 \h </w:instrText>
            </w:r>
            <w:r w:rsidR="00C30A87">
              <w:rPr>
                <w:noProof/>
                <w:webHidden/>
              </w:rPr>
            </w:r>
            <w:r w:rsidR="00C30A87">
              <w:rPr>
                <w:noProof/>
                <w:webHidden/>
              </w:rPr>
              <w:fldChar w:fldCharType="separate"/>
            </w:r>
            <w:r w:rsidR="00634405">
              <w:rPr>
                <w:noProof/>
                <w:webHidden/>
              </w:rPr>
              <w:t>99</w:t>
            </w:r>
            <w:r w:rsidR="00C30A87">
              <w:rPr>
                <w:noProof/>
                <w:webHidden/>
              </w:rPr>
              <w:fldChar w:fldCharType="end"/>
            </w:r>
          </w:hyperlink>
        </w:p>
        <w:p w:rsidR="00C30A87" w:rsidRDefault="00DB6A3D" w14:paraId="4DE9181C" w14:textId="4B9E3EAA">
          <w:pPr>
            <w:pStyle w:val="TOC4"/>
            <w:rPr>
              <w:rFonts w:asciiTheme="minorHAnsi" w:hAnsiTheme="minorHAnsi" w:eastAsiaTheme="minorEastAsia"/>
              <w:kern w:val="2"/>
              <w:sz w:val="24"/>
              <w:szCs w:val="24"/>
              <w14:ligatures w14:val="standardContextual"/>
            </w:rPr>
          </w:pPr>
          <w:hyperlink w:history="1" w:anchor="_Toc168559312">
            <w:r w:rsidRPr="00151BDE" w:rsidR="00C30A87">
              <w:rPr>
                <w:rStyle w:val="Hyperlink"/>
              </w:rPr>
              <w:t>3.4.4.3.</w:t>
            </w:r>
            <w:r w:rsidR="00C30A87">
              <w:rPr>
                <w:rFonts w:asciiTheme="minorHAnsi" w:hAnsiTheme="minorHAnsi" w:eastAsiaTheme="minorEastAsia"/>
                <w:kern w:val="2"/>
                <w:sz w:val="24"/>
                <w:szCs w:val="24"/>
                <w14:ligatures w14:val="standardContextual"/>
              </w:rPr>
              <w:tab/>
            </w:r>
            <w:r w:rsidRPr="00151BDE" w:rsidR="00C30A87">
              <w:rPr>
                <w:rStyle w:val="Hyperlink"/>
              </w:rPr>
              <w:t>Assembly Bill 2316 and Public Utilities Code Section 769.3 Do Not Require Use of the Avoided Cost Calculator</w:t>
            </w:r>
            <w:r w:rsidR="00C30A87">
              <w:rPr>
                <w:webHidden/>
              </w:rPr>
              <w:tab/>
            </w:r>
            <w:r w:rsidR="00C30A87">
              <w:rPr>
                <w:webHidden/>
              </w:rPr>
              <w:fldChar w:fldCharType="begin"/>
            </w:r>
            <w:r w:rsidR="00C30A87">
              <w:rPr>
                <w:webHidden/>
              </w:rPr>
              <w:instrText xml:space="preserve"> PAGEREF _Toc168559312 \h </w:instrText>
            </w:r>
            <w:r w:rsidR="00C30A87">
              <w:rPr>
                <w:webHidden/>
              </w:rPr>
            </w:r>
            <w:r w:rsidR="00C30A87">
              <w:rPr>
                <w:webHidden/>
              </w:rPr>
              <w:fldChar w:fldCharType="separate"/>
            </w:r>
            <w:r w:rsidR="00634405">
              <w:rPr>
                <w:webHidden/>
              </w:rPr>
              <w:t>103</w:t>
            </w:r>
            <w:r w:rsidR="00C30A87">
              <w:rPr>
                <w:webHidden/>
              </w:rPr>
              <w:fldChar w:fldCharType="end"/>
            </w:r>
          </w:hyperlink>
        </w:p>
        <w:p w:rsidR="00C30A87" w:rsidRDefault="00DB6A3D" w14:paraId="024ECD28" w14:textId="1E46CA2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13">
            <w:r w:rsidRPr="00151BDE" w:rsidR="00C30A87">
              <w:rPr>
                <w:rStyle w:val="Hyperlink"/>
                <w:noProof/>
              </w:rPr>
              <w:t>3.4.5.</w:t>
            </w:r>
            <w:r w:rsidR="00C30A87">
              <w:rPr>
                <w:rFonts w:asciiTheme="minorHAnsi" w:hAnsiTheme="minorHAnsi" w:cstheme="minorBidi"/>
                <w:noProof/>
                <w:kern w:val="2"/>
                <w:sz w:val="24"/>
                <w:szCs w:val="24"/>
                <w14:ligatures w14:val="standardContextual"/>
              </w:rPr>
              <w:tab/>
            </w:r>
            <w:r w:rsidRPr="00151BDE" w:rsidR="00C30A87">
              <w:rPr>
                <w:rStyle w:val="Hyperlink"/>
                <w:noProof/>
              </w:rPr>
              <w:t>Consistency with Federal Law</w:t>
            </w:r>
            <w:r w:rsidR="00C30A87">
              <w:rPr>
                <w:noProof/>
                <w:webHidden/>
              </w:rPr>
              <w:tab/>
            </w:r>
            <w:r w:rsidR="00C30A87">
              <w:rPr>
                <w:noProof/>
                <w:webHidden/>
              </w:rPr>
              <w:fldChar w:fldCharType="begin"/>
            </w:r>
            <w:r w:rsidR="00C30A87">
              <w:rPr>
                <w:noProof/>
                <w:webHidden/>
              </w:rPr>
              <w:instrText xml:space="preserve"> PAGEREF _Toc168559313 \h </w:instrText>
            </w:r>
            <w:r w:rsidR="00C30A87">
              <w:rPr>
                <w:noProof/>
                <w:webHidden/>
              </w:rPr>
            </w:r>
            <w:r w:rsidR="00C30A87">
              <w:rPr>
                <w:noProof/>
                <w:webHidden/>
              </w:rPr>
              <w:fldChar w:fldCharType="separate"/>
            </w:r>
            <w:r w:rsidR="00634405">
              <w:rPr>
                <w:noProof/>
                <w:webHidden/>
              </w:rPr>
              <w:t>106</w:t>
            </w:r>
            <w:r w:rsidR="00C30A87">
              <w:rPr>
                <w:noProof/>
                <w:webHidden/>
              </w:rPr>
              <w:fldChar w:fldCharType="end"/>
            </w:r>
          </w:hyperlink>
        </w:p>
        <w:p w:rsidR="00C30A87" w:rsidRDefault="00DB6A3D" w14:paraId="242128FC" w14:textId="0ABA736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14">
            <w:r w:rsidRPr="00151BDE" w:rsidR="00C30A87">
              <w:rPr>
                <w:rStyle w:val="Hyperlink"/>
                <w:noProof/>
              </w:rPr>
              <w:t>3.4.6.</w:t>
            </w:r>
            <w:r w:rsidR="00C30A87">
              <w:rPr>
                <w:rFonts w:asciiTheme="minorHAnsi" w:hAnsiTheme="minorHAnsi" w:cstheme="minorBidi"/>
                <w:noProof/>
                <w:kern w:val="2"/>
                <w:sz w:val="24"/>
                <w:szCs w:val="24"/>
                <w14:ligatures w14:val="standardContextual"/>
              </w:rPr>
              <w:tab/>
            </w:r>
            <w:r w:rsidRPr="00151BDE" w:rsidR="00C30A87">
              <w:rPr>
                <w:rStyle w:val="Hyperlink"/>
                <w:noProof/>
              </w:rPr>
              <w:t>Adoption of a Community Renewable Energy Program</w:t>
            </w:r>
            <w:r w:rsidR="00C30A87">
              <w:rPr>
                <w:noProof/>
                <w:webHidden/>
              </w:rPr>
              <w:tab/>
            </w:r>
            <w:r w:rsidR="00C30A87">
              <w:rPr>
                <w:noProof/>
                <w:webHidden/>
              </w:rPr>
              <w:fldChar w:fldCharType="begin"/>
            </w:r>
            <w:r w:rsidR="00C30A87">
              <w:rPr>
                <w:noProof/>
                <w:webHidden/>
              </w:rPr>
              <w:instrText xml:space="preserve"> PAGEREF _Toc168559314 \h </w:instrText>
            </w:r>
            <w:r w:rsidR="00C30A87">
              <w:rPr>
                <w:noProof/>
                <w:webHidden/>
              </w:rPr>
            </w:r>
            <w:r w:rsidR="00C30A87">
              <w:rPr>
                <w:noProof/>
                <w:webHidden/>
              </w:rPr>
              <w:fldChar w:fldCharType="separate"/>
            </w:r>
            <w:r w:rsidR="00634405">
              <w:rPr>
                <w:noProof/>
                <w:webHidden/>
              </w:rPr>
              <w:t>110</w:t>
            </w:r>
            <w:r w:rsidR="00C30A87">
              <w:rPr>
                <w:noProof/>
                <w:webHidden/>
              </w:rPr>
              <w:fldChar w:fldCharType="end"/>
            </w:r>
          </w:hyperlink>
        </w:p>
        <w:p w:rsidR="00C30A87" w:rsidRDefault="00DB6A3D" w14:paraId="272E20E5" w14:textId="0A36265B">
          <w:pPr>
            <w:pStyle w:val="TOC4"/>
            <w:rPr>
              <w:rFonts w:asciiTheme="minorHAnsi" w:hAnsiTheme="minorHAnsi" w:eastAsiaTheme="minorEastAsia"/>
              <w:kern w:val="2"/>
              <w:sz w:val="24"/>
              <w:szCs w:val="24"/>
              <w14:ligatures w14:val="standardContextual"/>
            </w:rPr>
          </w:pPr>
          <w:hyperlink w:history="1" w:anchor="_Toc168559315">
            <w:r w:rsidRPr="00151BDE" w:rsidR="00C30A87">
              <w:rPr>
                <w:rStyle w:val="Hyperlink"/>
              </w:rPr>
              <w:t>3.4.6.1.</w:t>
            </w:r>
            <w:r w:rsidR="00C30A87">
              <w:rPr>
                <w:rFonts w:asciiTheme="minorHAnsi" w:hAnsiTheme="minorHAnsi" w:eastAsiaTheme="minorEastAsia"/>
                <w:kern w:val="2"/>
                <w:sz w:val="24"/>
                <w:szCs w:val="24"/>
                <w14:ligatures w14:val="standardContextual"/>
              </w:rPr>
              <w:tab/>
            </w:r>
            <w:r w:rsidRPr="00151BDE" w:rsidR="00C30A87">
              <w:rPr>
                <w:rStyle w:val="Hyperlink"/>
              </w:rPr>
              <w:t>It Is Reasonable to Adopt a Public Utility Regulatory Policies Act Compliant Feed</w:t>
            </w:r>
            <w:r w:rsidRPr="00151BDE" w:rsidR="00C30A87">
              <w:rPr>
                <w:rStyle w:val="Hyperlink"/>
              </w:rPr>
              <w:noBreakHyphen/>
              <w:t>In Tariff</w:t>
            </w:r>
            <w:r w:rsidR="00C30A87">
              <w:rPr>
                <w:webHidden/>
              </w:rPr>
              <w:tab/>
            </w:r>
            <w:r w:rsidR="00C30A87">
              <w:rPr>
                <w:webHidden/>
              </w:rPr>
              <w:fldChar w:fldCharType="begin"/>
            </w:r>
            <w:r w:rsidR="00C30A87">
              <w:rPr>
                <w:webHidden/>
              </w:rPr>
              <w:instrText xml:space="preserve"> PAGEREF _Toc168559315 \h </w:instrText>
            </w:r>
            <w:r w:rsidR="00C30A87">
              <w:rPr>
                <w:webHidden/>
              </w:rPr>
            </w:r>
            <w:r w:rsidR="00C30A87">
              <w:rPr>
                <w:webHidden/>
              </w:rPr>
              <w:fldChar w:fldCharType="separate"/>
            </w:r>
            <w:r w:rsidR="00634405">
              <w:rPr>
                <w:webHidden/>
              </w:rPr>
              <w:t>111</w:t>
            </w:r>
            <w:r w:rsidR="00C30A87">
              <w:rPr>
                <w:webHidden/>
              </w:rPr>
              <w:fldChar w:fldCharType="end"/>
            </w:r>
          </w:hyperlink>
        </w:p>
        <w:p w:rsidR="00C30A87" w:rsidRDefault="00DB6A3D" w14:paraId="2FB0B767" w14:textId="34FCEDF6">
          <w:pPr>
            <w:pStyle w:val="TOC4"/>
            <w:rPr>
              <w:rFonts w:asciiTheme="minorHAnsi" w:hAnsiTheme="minorHAnsi" w:eastAsiaTheme="minorEastAsia"/>
              <w:kern w:val="2"/>
              <w:sz w:val="24"/>
              <w:szCs w:val="24"/>
              <w14:ligatures w14:val="standardContextual"/>
            </w:rPr>
          </w:pPr>
          <w:hyperlink w:history="1" w:anchor="_Toc168559316">
            <w:r w:rsidRPr="00151BDE" w:rsidR="00C30A87">
              <w:rPr>
                <w:rStyle w:val="Hyperlink"/>
              </w:rPr>
              <w:t>3.4.6.2.</w:t>
            </w:r>
            <w:r w:rsidR="00C30A87">
              <w:rPr>
                <w:rFonts w:asciiTheme="minorHAnsi" w:hAnsiTheme="minorHAnsi" w:eastAsiaTheme="minorEastAsia"/>
                <w:kern w:val="2"/>
                <w:sz w:val="24"/>
                <w:szCs w:val="24"/>
                <w14:ligatures w14:val="standardContextual"/>
              </w:rPr>
              <w:tab/>
            </w:r>
            <w:r w:rsidRPr="00151BDE" w:rsidR="00C30A87">
              <w:rPr>
                <w:rStyle w:val="Hyperlink"/>
              </w:rPr>
              <w:t>Adopted Elements of the Community Renewable Energy Program</w:t>
            </w:r>
            <w:r w:rsidR="00C30A87">
              <w:rPr>
                <w:webHidden/>
              </w:rPr>
              <w:tab/>
            </w:r>
            <w:r w:rsidR="00C30A87">
              <w:rPr>
                <w:webHidden/>
              </w:rPr>
              <w:fldChar w:fldCharType="begin"/>
            </w:r>
            <w:r w:rsidR="00C30A87">
              <w:rPr>
                <w:webHidden/>
              </w:rPr>
              <w:instrText xml:space="preserve"> PAGEREF _Toc168559316 \h </w:instrText>
            </w:r>
            <w:r w:rsidR="00C30A87">
              <w:rPr>
                <w:webHidden/>
              </w:rPr>
            </w:r>
            <w:r w:rsidR="00C30A87">
              <w:rPr>
                <w:webHidden/>
              </w:rPr>
              <w:fldChar w:fldCharType="separate"/>
            </w:r>
            <w:r w:rsidR="00634405">
              <w:rPr>
                <w:webHidden/>
              </w:rPr>
              <w:t>117</w:t>
            </w:r>
            <w:r w:rsidR="00C30A87">
              <w:rPr>
                <w:webHidden/>
              </w:rPr>
              <w:fldChar w:fldCharType="end"/>
            </w:r>
          </w:hyperlink>
        </w:p>
        <w:p w:rsidR="00C30A87" w:rsidRDefault="00DB6A3D" w14:paraId="2978A577" w14:textId="0284B978">
          <w:pPr>
            <w:pStyle w:val="TOC4"/>
            <w:rPr>
              <w:rFonts w:asciiTheme="minorHAnsi" w:hAnsiTheme="minorHAnsi" w:eastAsiaTheme="minorEastAsia"/>
              <w:kern w:val="2"/>
              <w:sz w:val="24"/>
              <w:szCs w:val="24"/>
              <w14:ligatures w14:val="standardContextual"/>
            </w:rPr>
          </w:pPr>
          <w:hyperlink w:history="1" w:anchor="_Toc168559317">
            <w:r w:rsidRPr="00151BDE" w:rsidR="00C30A87">
              <w:rPr>
                <w:rStyle w:val="Hyperlink"/>
              </w:rPr>
              <w:t>3.4.6.3.</w:t>
            </w:r>
            <w:r w:rsidR="00C30A87">
              <w:rPr>
                <w:rFonts w:asciiTheme="minorHAnsi" w:hAnsiTheme="minorHAnsi" w:eastAsiaTheme="minorEastAsia"/>
                <w:kern w:val="2"/>
                <w:sz w:val="24"/>
                <w:szCs w:val="24"/>
                <w14:ligatures w14:val="standardContextual"/>
              </w:rPr>
              <w:tab/>
            </w:r>
            <w:r w:rsidRPr="00151BDE" w:rsidR="00C30A87">
              <w:rPr>
                <w:rStyle w:val="Hyperlink"/>
              </w:rPr>
              <w:t>Adopted Community Renewable Energy Program Meets the Requirements of Public Utilities Code Section 769.3(c)</w:t>
            </w:r>
            <w:r w:rsidR="00C30A87">
              <w:rPr>
                <w:webHidden/>
              </w:rPr>
              <w:tab/>
            </w:r>
            <w:r w:rsidR="00C30A87">
              <w:rPr>
                <w:webHidden/>
              </w:rPr>
              <w:fldChar w:fldCharType="begin"/>
            </w:r>
            <w:r w:rsidR="00C30A87">
              <w:rPr>
                <w:webHidden/>
              </w:rPr>
              <w:instrText xml:space="preserve"> PAGEREF _Toc168559317 \h </w:instrText>
            </w:r>
            <w:r w:rsidR="00C30A87">
              <w:rPr>
                <w:webHidden/>
              </w:rPr>
            </w:r>
            <w:r w:rsidR="00C30A87">
              <w:rPr>
                <w:webHidden/>
              </w:rPr>
              <w:fldChar w:fldCharType="separate"/>
            </w:r>
            <w:r w:rsidR="00634405">
              <w:rPr>
                <w:webHidden/>
              </w:rPr>
              <w:t>121</w:t>
            </w:r>
            <w:r w:rsidR="00C30A87">
              <w:rPr>
                <w:webHidden/>
              </w:rPr>
              <w:fldChar w:fldCharType="end"/>
            </w:r>
          </w:hyperlink>
        </w:p>
        <w:p w:rsidR="00C30A87" w:rsidRDefault="00DB6A3D" w14:paraId="14707ECE" w14:textId="00F9583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18">
            <w:r w:rsidRPr="00151BDE" w:rsidR="00C30A87">
              <w:rPr>
                <w:rStyle w:val="Hyperlink"/>
                <w:noProof/>
              </w:rPr>
              <w:t>3.4.7.</w:t>
            </w:r>
            <w:r w:rsidR="00C30A87">
              <w:rPr>
                <w:rFonts w:asciiTheme="minorHAnsi" w:hAnsiTheme="minorHAnsi" w:cstheme="minorBidi"/>
                <w:noProof/>
                <w:kern w:val="2"/>
                <w:sz w:val="24"/>
                <w:szCs w:val="24"/>
                <w14:ligatures w14:val="standardContextual"/>
              </w:rPr>
              <w:tab/>
            </w:r>
            <w:r w:rsidRPr="00151BDE" w:rsidR="00C30A87">
              <w:rPr>
                <w:rStyle w:val="Hyperlink"/>
                <w:noProof/>
              </w:rPr>
              <w:t>Modification of Existing Green Access Program Tariff Options</w:t>
            </w:r>
            <w:r w:rsidR="00C30A87">
              <w:rPr>
                <w:noProof/>
                <w:webHidden/>
              </w:rPr>
              <w:tab/>
            </w:r>
            <w:r w:rsidR="00C30A87">
              <w:rPr>
                <w:noProof/>
                <w:webHidden/>
              </w:rPr>
              <w:fldChar w:fldCharType="begin"/>
            </w:r>
            <w:r w:rsidR="00C30A87">
              <w:rPr>
                <w:noProof/>
                <w:webHidden/>
              </w:rPr>
              <w:instrText xml:space="preserve"> PAGEREF _Toc168559318 \h </w:instrText>
            </w:r>
            <w:r w:rsidR="00C30A87">
              <w:rPr>
                <w:noProof/>
                <w:webHidden/>
              </w:rPr>
            </w:r>
            <w:r w:rsidR="00C30A87">
              <w:rPr>
                <w:noProof/>
                <w:webHidden/>
              </w:rPr>
              <w:fldChar w:fldCharType="separate"/>
            </w:r>
            <w:r w:rsidR="00634405">
              <w:rPr>
                <w:noProof/>
                <w:webHidden/>
              </w:rPr>
              <w:t>126</w:t>
            </w:r>
            <w:r w:rsidR="00C30A87">
              <w:rPr>
                <w:noProof/>
                <w:webHidden/>
              </w:rPr>
              <w:fldChar w:fldCharType="end"/>
            </w:r>
          </w:hyperlink>
        </w:p>
        <w:p w:rsidR="00C30A87" w:rsidRDefault="00DB6A3D" w14:paraId="3ABD5DA2" w14:textId="129F3841">
          <w:pPr>
            <w:pStyle w:val="TOC4"/>
            <w:rPr>
              <w:rFonts w:asciiTheme="minorHAnsi" w:hAnsiTheme="minorHAnsi" w:eastAsiaTheme="minorEastAsia"/>
              <w:kern w:val="2"/>
              <w:sz w:val="24"/>
              <w:szCs w:val="24"/>
              <w14:ligatures w14:val="standardContextual"/>
            </w:rPr>
          </w:pPr>
          <w:hyperlink w:history="1" w:anchor="_Toc168559319">
            <w:r w:rsidRPr="00151BDE" w:rsidR="00C30A87">
              <w:rPr>
                <w:rStyle w:val="Hyperlink"/>
              </w:rPr>
              <w:t>3.4.7.1.</w:t>
            </w:r>
            <w:r w:rsidR="00C30A87">
              <w:rPr>
                <w:rFonts w:asciiTheme="minorHAnsi" w:hAnsiTheme="minorHAnsi" w:eastAsiaTheme="minorEastAsia"/>
                <w:kern w:val="2"/>
                <w:sz w:val="24"/>
                <w:szCs w:val="24"/>
                <w14:ligatures w14:val="standardContextual"/>
              </w:rPr>
              <w:tab/>
            </w:r>
            <w:r w:rsidRPr="00151BDE" w:rsidR="00C30A87">
              <w:rPr>
                <w:rStyle w:val="Hyperlink"/>
              </w:rPr>
              <w:t>Green Access Program Tariff Modifications</w:t>
            </w:r>
            <w:r w:rsidR="00C30A87">
              <w:rPr>
                <w:webHidden/>
              </w:rPr>
              <w:tab/>
            </w:r>
            <w:r w:rsidR="00C30A87">
              <w:rPr>
                <w:webHidden/>
              </w:rPr>
              <w:fldChar w:fldCharType="begin"/>
            </w:r>
            <w:r w:rsidR="00C30A87">
              <w:rPr>
                <w:webHidden/>
              </w:rPr>
              <w:instrText xml:space="preserve"> PAGEREF _Toc168559319 \h </w:instrText>
            </w:r>
            <w:r w:rsidR="00C30A87">
              <w:rPr>
                <w:webHidden/>
              </w:rPr>
            </w:r>
            <w:r w:rsidR="00C30A87">
              <w:rPr>
                <w:webHidden/>
              </w:rPr>
              <w:fldChar w:fldCharType="separate"/>
            </w:r>
            <w:r w:rsidR="00634405">
              <w:rPr>
                <w:webHidden/>
              </w:rPr>
              <w:t>127</w:t>
            </w:r>
            <w:r w:rsidR="00C30A87">
              <w:rPr>
                <w:webHidden/>
              </w:rPr>
              <w:fldChar w:fldCharType="end"/>
            </w:r>
          </w:hyperlink>
        </w:p>
        <w:p w:rsidR="00C30A87" w:rsidP="00DB6A3D" w:rsidRDefault="00DB6A3D" w14:paraId="0DBDDD8E" w14:textId="3A190BE0">
          <w:pPr>
            <w:pStyle w:val="TOC4"/>
            <w:tabs>
              <w:tab w:val="clear" w:pos="4291"/>
            </w:tabs>
            <w:rPr>
              <w:rFonts w:asciiTheme="minorHAnsi" w:hAnsiTheme="minorHAnsi" w:eastAsiaTheme="minorEastAsia"/>
              <w:kern w:val="2"/>
              <w:sz w:val="24"/>
              <w:szCs w:val="24"/>
              <w14:ligatures w14:val="standardContextual"/>
            </w:rPr>
          </w:pPr>
          <w:hyperlink w:history="1" w:anchor="_Toc168559320">
            <w:r w:rsidRPr="00151BDE" w:rsidR="00C30A87">
              <w:rPr>
                <w:rStyle w:val="Hyperlink"/>
              </w:rPr>
              <w:t>3.4.7.2.</w:t>
            </w:r>
            <w:r w:rsidR="00C30A87">
              <w:rPr>
                <w:rFonts w:asciiTheme="minorHAnsi" w:hAnsiTheme="minorHAnsi" w:eastAsiaTheme="minorEastAsia"/>
                <w:kern w:val="2"/>
                <w:sz w:val="24"/>
                <w:szCs w:val="24"/>
                <w14:ligatures w14:val="standardContextual"/>
              </w:rPr>
              <w:tab/>
            </w:r>
            <w:r w:rsidRPr="00151BDE" w:rsidR="00C30A87">
              <w:rPr>
                <w:rStyle w:val="Hyperlink"/>
              </w:rPr>
              <w:t>Modified Disadvantaged Communities Green Tariff</w:t>
            </w:r>
            <w:r w:rsidR="00C30A87">
              <w:rPr>
                <w:webHidden/>
              </w:rPr>
              <w:tab/>
            </w:r>
            <w:r w:rsidR="00C30A87">
              <w:rPr>
                <w:webHidden/>
              </w:rPr>
              <w:fldChar w:fldCharType="begin"/>
            </w:r>
            <w:r w:rsidR="00C30A87">
              <w:rPr>
                <w:webHidden/>
              </w:rPr>
              <w:instrText xml:space="preserve"> PAGEREF _Toc168559320 \h </w:instrText>
            </w:r>
            <w:r w:rsidR="00C30A87">
              <w:rPr>
                <w:webHidden/>
              </w:rPr>
            </w:r>
            <w:r w:rsidR="00C30A87">
              <w:rPr>
                <w:webHidden/>
              </w:rPr>
              <w:fldChar w:fldCharType="separate"/>
            </w:r>
            <w:r w:rsidR="00634405">
              <w:rPr>
                <w:webHidden/>
              </w:rPr>
              <w:t>131</w:t>
            </w:r>
            <w:r w:rsidR="00C30A87">
              <w:rPr>
                <w:webHidden/>
              </w:rPr>
              <w:fldChar w:fldCharType="end"/>
            </w:r>
          </w:hyperlink>
        </w:p>
        <w:p w:rsidR="00C30A87" w:rsidRDefault="00DB6A3D" w14:paraId="47E951EC" w14:textId="2AE2480E">
          <w:pPr>
            <w:pStyle w:val="TOC4"/>
            <w:rPr>
              <w:rFonts w:asciiTheme="minorHAnsi" w:hAnsiTheme="minorHAnsi" w:eastAsiaTheme="minorEastAsia"/>
              <w:kern w:val="2"/>
              <w:sz w:val="24"/>
              <w:szCs w:val="24"/>
              <w14:ligatures w14:val="standardContextual"/>
            </w:rPr>
          </w:pPr>
          <w:hyperlink w:history="1" w:anchor="_Toc168559321">
            <w:r w:rsidRPr="00151BDE" w:rsidR="00C30A87">
              <w:rPr>
                <w:rStyle w:val="Hyperlink"/>
              </w:rPr>
              <w:t>3.4.7.3.</w:t>
            </w:r>
            <w:r w:rsidR="00C30A87">
              <w:rPr>
                <w:rFonts w:asciiTheme="minorHAnsi" w:hAnsiTheme="minorHAnsi" w:eastAsiaTheme="minorEastAsia"/>
                <w:kern w:val="2"/>
                <w:sz w:val="24"/>
                <w:szCs w:val="24"/>
                <w14:ligatures w14:val="standardContextual"/>
              </w:rPr>
              <w:tab/>
            </w:r>
            <w:r w:rsidRPr="00151BDE" w:rsidR="00C30A87">
              <w:rPr>
                <w:rStyle w:val="Hyperlink"/>
              </w:rPr>
              <w:t>Modified Green Tariff</w:t>
            </w:r>
            <w:r w:rsidR="00C30A87">
              <w:rPr>
                <w:webHidden/>
              </w:rPr>
              <w:tab/>
            </w:r>
            <w:r w:rsidR="00C30A87">
              <w:rPr>
                <w:webHidden/>
              </w:rPr>
              <w:fldChar w:fldCharType="begin"/>
            </w:r>
            <w:r w:rsidR="00C30A87">
              <w:rPr>
                <w:webHidden/>
              </w:rPr>
              <w:instrText xml:space="preserve"> PAGEREF _Toc168559321 \h </w:instrText>
            </w:r>
            <w:r w:rsidR="00C30A87">
              <w:rPr>
                <w:webHidden/>
              </w:rPr>
            </w:r>
            <w:r w:rsidR="00C30A87">
              <w:rPr>
                <w:webHidden/>
              </w:rPr>
              <w:fldChar w:fldCharType="separate"/>
            </w:r>
            <w:r w:rsidR="00634405">
              <w:rPr>
                <w:webHidden/>
              </w:rPr>
              <w:t>141</w:t>
            </w:r>
            <w:r w:rsidR="00C30A87">
              <w:rPr>
                <w:webHidden/>
              </w:rPr>
              <w:fldChar w:fldCharType="end"/>
            </w:r>
          </w:hyperlink>
        </w:p>
        <w:p w:rsidR="00C30A87" w:rsidRDefault="00DB6A3D" w14:paraId="5CF8B38F" w14:textId="172C6C80">
          <w:pPr>
            <w:pStyle w:val="TOC4"/>
            <w:rPr>
              <w:rFonts w:asciiTheme="minorHAnsi" w:hAnsiTheme="minorHAnsi" w:eastAsiaTheme="minorEastAsia"/>
              <w:kern w:val="2"/>
              <w:sz w:val="24"/>
              <w:szCs w:val="24"/>
              <w14:ligatures w14:val="standardContextual"/>
            </w:rPr>
          </w:pPr>
          <w:hyperlink w:history="1" w:anchor="_Toc168559322">
            <w:r w:rsidRPr="00151BDE" w:rsidR="00C30A87">
              <w:rPr>
                <w:rStyle w:val="Hyperlink"/>
              </w:rPr>
              <w:t>3.4.7.4.</w:t>
            </w:r>
            <w:r w:rsidR="00C30A87">
              <w:rPr>
                <w:rFonts w:asciiTheme="minorHAnsi" w:hAnsiTheme="minorHAnsi" w:eastAsiaTheme="minorEastAsia"/>
                <w:kern w:val="2"/>
                <w:sz w:val="24"/>
                <w:szCs w:val="24"/>
                <w14:ligatures w14:val="standardContextual"/>
              </w:rPr>
              <w:tab/>
            </w:r>
            <w:r w:rsidRPr="00151BDE" w:rsidR="00C30A87">
              <w:rPr>
                <w:rStyle w:val="Hyperlink"/>
              </w:rPr>
              <w:t>Implementation of Modified and New Tariffs</w:t>
            </w:r>
            <w:r w:rsidR="00C30A87">
              <w:rPr>
                <w:webHidden/>
              </w:rPr>
              <w:tab/>
            </w:r>
            <w:r w:rsidR="00C30A87">
              <w:rPr>
                <w:webHidden/>
              </w:rPr>
              <w:fldChar w:fldCharType="begin"/>
            </w:r>
            <w:r w:rsidR="00C30A87">
              <w:rPr>
                <w:webHidden/>
              </w:rPr>
              <w:instrText xml:space="preserve"> PAGEREF _Toc168559322 \h </w:instrText>
            </w:r>
            <w:r w:rsidR="00C30A87">
              <w:rPr>
                <w:webHidden/>
              </w:rPr>
            </w:r>
            <w:r w:rsidR="00C30A87">
              <w:rPr>
                <w:webHidden/>
              </w:rPr>
              <w:fldChar w:fldCharType="separate"/>
            </w:r>
            <w:r w:rsidR="00634405">
              <w:rPr>
                <w:webHidden/>
              </w:rPr>
              <w:t>147</w:t>
            </w:r>
            <w:r w:rsidR="00C30A87">
              <w:rPr>
                <w:webHidden/>
              </w:rPr>
              <w:fldChar w:fldCharType="end"/>
            </w:r>
          </w:hyperlink>
        </w:p>
        <w:p w:rsidR="00C30A87" w:rsidRDefault="00DB6A3D" w14:paraId="4C0D5335" w14:textId="45A3F0A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68559323">
            <w:r w:rsidRPr="00151BDE" w:rsidR="00C30A87">
              <w:rPr>
                <w:rStyle w:val="Hyperlink"/>
                <w:noProof/>
              </w:rPr>
              <w:t>3.4.8.</w:t>
            </w:r>
            <w:r w:rsidR="00C30A87">
              <w:rPr>
                <w:rFonts w:asciiTheme="minorHAnsi" w:hAnsiTheme="minorHAnsi" w:cstheme="minorBidi"/>
                <w:noProof/>
                <w:kern w:val="2"/>
                <w:sz w:val="24"/>
                <w:szCs w:val="24"/>
                <w14:ligatures w14:val="standardContextual"/>
              </w:rPr>
              <w:tab/>
            </w:r>
            <w:r w:rsidRPr="00151BDE" w:rsidR="00C30A87">
              <w:rPr>
                <w:rStyle w:val="Hyperlink"/>
                <w:noProof/>
              </w:rPr>
              <w:t>Next Steps</w:t>
            </w:r>
            <w:r w:rsidR="00C30A87">
              <w:rPr>
                <w:noProof/>
                <w:webHidden/>
              </w:rPr>
              <w:tab/>
            </w:r>
            <w:r w:rsidR="00C30A87">
              <w:rPr>
                <w:noProof/>
                <w:webHidden/>
              </w:rPr>
              <w:fldChar w:fldCharType="begin"/>
            </w:r>
            <w:r w:rsidR="00C30A87">
              <w:rPr>
                <w:noProof/>
                <w:webHidden/>
              </w:rPr>
              <w:instrText xml:space="preserve"> PAGEREF _Toc168559323 \h </w:instrText>
            </w:r>
            <w:r w:rsidR="00C30A87">
              <w:rPr>
                <w:noProof/>
                <w:webHidden/>
              </w:rPr>
            </w:r>
            <w:r w:rsidR="00C30A87">
              <w:rPr>
                <w:noProof/>
                <w:webHidden/>
              </w:rPr>
              <w:fldChar w:fldCharType="separate"/>
            </w:r>
            <w:r w:rsidR="00634405">
              <w:rPr>
                <w:noProof/>
                <w:webHidden/>
              </w:rPr>
              <w:t>147</w:t>
            </w:r>
            <w:r w:rsidR="00C30A87">
              <w:rPr>
                <w:noProof/>
                <w:webHidden/>
              </w:rPr>
              <w:fldChar w:fldCharType="end"/>
            </w:r>
          </w:hyperlink>
        </w:p>
        <w:p w:rsidR="00C30A87" w:rsidRDefault="00DB6A3D" w14:paraId="363E056D" w14:textId="4FD5B4FC">
          <w:pPr>
            <w:pStyle w:val="TOC1"/>
            <w:tabs>
              <w:tab w:val="right" w:leader="dot" w:pos="9350"/>
            </w:tabs>
            <w:rPr>
              <w:rFonts w:asciiTheme="minorHAnsi" w:hAnsiTheme="minorHAnsi" w:cstheme="minorBidi"/>
              <w:noProof/>
              <w:kern w:val="2"/>
              <w:sz w:val="24"/>
              <w:szCs w:val="24"/>
              <w14:ligatures w14:val="standardContextual"/>
            </w:rPr>
          </w:pPr>
          <w:hyperlink w:history="1" w:anchor="_Toc168559324">
            <w:r w:rsidRPr="00151BDE" w:rsidR="00C30A87">
              <w:rPr>
                <w:rStyle w:val="Hyperlink"/>
                <w:noProof/>
              </w:rPr>
              <w:t>4.</w:t>
            </w:r>
            <w:r w:rsidR="00C30A87">
              <w:rPr>
                <w:rFonts w:asciiTheme="minorHAnsi" w:hAnsiTheme="minorHAnsi" w:cstheme="minorBidi"/>
                <w:noProof/>
                <w:kern w:val="2"/>
                <w:sz w:val="24"/>
                <w:szCs w:val="24"/>
                <w14:ligatures w14:val="standardContextual"/>
              </w:rPr>
              <w:tab/>
            </w:r>
            <w:r w:rsidRPr="00151BDE" w:rsidR="00C30A87">
              <w:rPr>
                <w:rStyle w:val="Hyperlink"/>
                <w:noProof/>
              </w:rPr>
              <w:t>Summary of Public Comment</w:t>
            </w:r>
            <w:r w:rsidR="00C30A87">
              <w:rPr>
                <w:noProof/>
                <w:webHidden/>
              </w:rPr>
              <w:tab/>
            </w:r>
            <w:r w:rsidR="00C30A87">
              <w:rPr>
                <w:noProof/>
                <w:webHidden/>
              </w:rPr>
              <w:fldChar w:fldCharType="begin"/>
            </w:r>
            <w:r w:rsidR="00C30A87">
              <w:rPr>
                <w:noProof/>
                <w:webHidden/>
              </w:rPr>
              <w:instrText xml:space="preserve"> PAGEREF _Toc168559324 \h </w:instrText>
            </w:r>
            <w:r w:rsidR="00C30A87">
              <w:rPr>
                <w:noProof/>
                <w:webHidden/>
              </w:rPr>
            </w:r>
            <w:r w:rsidR="00C30A87">
              <w:rPr>
                <w:noProof/>
                <w:webHidden/>
              </w:rPr>
              <w:fldChar w:fldCharType="separate"/>
            </w:r>
            <w:r w:rsidR="00634405">
              <w:rPr>
                <w:noProof/>
                <w:webHidden/>
              </w:rPr>
              <w:t>151</w:t>
            </w:r>
            <w:r w:rsidR="00C30A87">
              <w:rPr>
                <w:noProof/>
                <w:webHidden/>
              </w:rPr>
              <w:fldChar w:fldCharType="end"/>
            </w:r>
          </w:hyperlink>
        </w:p>
        <w:p w:rsidR="00C30A87" w:rsidRDefault="00DB6A3D" w14:paraId="0462F307" w14:textId="424CAFB0">
          <w:pPr>
            <w:pStyle w:val="TOC1"/>
            <w:tabs>
              <w:tab w:val="right" w:leader="dot" w:pos="9350"/>
            </w:tabs>
            <w:rPr>
              <w:rFonts w:asciiTheme="minorHAnsi" w:hAnsiTheme="minorHAnsi" w:cstheme="minorBidi"/>
              <w:noProof/>
              <w:kern w:val="2"/>
              <w:sz w:val="24"/>
              <w:szCs w:val="24"/>
              <w14:ligatures w14:val="standardContextual"/>
            </w:rPr>
          </w:pPr>
          <w:hyperlink w:history="1" w:anchor="_Toc168559325">
            <w:r w:rsidRPr="00151BDE" w:rsidR="00C30A87">
              <w:rPr>
                <w:rStyle w:val="Hyperlink"/>
                <w:noProof/>
              </w:rPr>
              <w:t>5.</w:t>
            </w:r>
            <w:r w:rsidR="00C30A87">
              <w:rPr>
                <w:rFonts w:asciiTheme="minorHAnsi" w:hAnsiTheme="minorHAnsi" w:cstheme="minorBidi"/>
                <w:noProof/>
                <w:kern w:val="2"/>
                <w:sz w:val="24"/>
                <w:szCs w:val="24"/>
                <w14:ligatures w14:val="standardContextual"/>
              </w:rPr>
              <w:tab/>
            </w:r>
            <w:r w:rsidRPr="00151BDE" w:rsidR="00C30A87">
              <w:rPr>
                <w:rStyle w:val="Hyperlink"/>
                <w:noProof/>
              </w:rPr>
              <w:t>Comments on Proposed Decision</w:t>
            </w:r>
            <w:r w:rsidR="00C30A87">
              <w:rPr>
                <w:noProof/>
                <w:webHidden/>
              </w:rPr>
              <w:tab/>
            </w:r>
            <w:r w:rsidR="00C30A87">
              <w:rPr>
                <w:noProof/>
                <w:webHidden/>
              </w:rPr>
              <w:fldChar w:fldCharType="begin"/>
            </w:r>
            <w:r w:rsidR="00C30A87">
              <w:rPr>
                <w:noProof/>
                <w:webHidden/>
              </w:rPr>
              <w:instrText xml:space="preserve"> PAGEREF _Toc168559325 \h </w:instrText>
            </w:r>
            <w:r w:rsidR="00C30A87">
              <w:rPr>
                <w:noProof/>
                <w:webHidden/>
              </w:rPr>
            </w:r>
            <w:r w:rsidR="00C30A87">
              <w:rPr>
                <w:noProof/>
                <w:webHidden/>
              </w:rPr>
              <w:fldChar w:fldCharType="separate"/>
            </w:r>
            <w:r w:rsidR="00634405">
              <w:rPr>
                <w:noProof/>
                <w:webHidden/>
              </w:rPr>
              <w:t>152</w:t>
            </w:r>
            <w:r w:rsidR="00C30A87">
              <w:rPr>
                <w:noProof/>
                <w:webHidden/>
              </w:rPr>
              <w:fldChar w:fldCharType="end"/>
            </w:r>
          </w:hyperlink>
        </w:p>
        <w:p w:rsidR="00C30A87" w:rsidRDefault="00DB6A3D" w14:paraId="63121182" w14:textId="04E75B63">
          <w:pPr>
            <w:pStyle w:val="TOC1"/>
            <w:tabs>
              <w:tab w:val="right" w:leader="dot" w:pos="9350"/>
            </w:tabs>
            <w:rPr>
              <w:rFonts w:asciiTheme="minorHAnsi" w:hAnsiTheme="minorHAnsi" w:cstheme="minorBidi"/>
              <w:noProof/>
              <w:kern w:val="2"/>
              <w:sz w:val="24"/>
              <w:szCs w:val="24"/>
              <w14:ligatures w14:val="standardContextual"/>
            </w:rPr>
          </w:pPr>
          <w:hyperlink w:history="1" w:anchor="_Toc168559326">
            <w:r w:rsidRPr="00151BDE" w:rsidR="00C30A87">
              <w:rPr>
                <w:rStyle w:val="Hyperlink"/>
                <w:noProof/>
              </w:rPr>
              <w:t>6.</w:t>
            </w:r>
            <w:r w:rsidR="00C30A87">
              <w:rPr>
                <w:rFonts w:asciiTheme="minorHAnsi" w:hAnsiTheme="minorHAnsi" w:cstheme="minorBidi"/>
                <w:noProof/>
                <w:kern w:val="2"/>
                <w:sz w:val="24"/>
                <w:szCs w:val="24"/>
                <w14:ligatures w14:val="standardContextual"/>
              </w:rPr>
              <w:tab/>
            </w:r>
            <w:r w:rsidRPr="00151BDE" w:rsidR="00C30A87">
              <w:rPr>
                <w:rStyle w:val="Hyperlink"/>
                <w:noProof/>
              </w:rPr>
              <w:t>Assignment of Proceeding</w:t>
            </w:r>
            <w:r w:rsidR="00C30A87">
              <w:rPr>
                <w:noProof/>
                <w:webHidden/>
              </w:rPr>
              <w:tab/>
            </w:r>
            <w:r w:rsidR="00C30A87">
              <w:rPr>
                <w:noProof/>
                <w:webHidden/>
              </w:rPr>
              <w:fldChar w:fldCharType="begin"/>
            </w:r>
            <w:r w:rsidR="00C30A87">
              <w:rPr>
                <w:noProof/>
                <w:webHidden/>
              </w:rPr>
              <w:instrText xml:space="preserve"> PAGEREF _Toc168559326 \h </w:instrText>
            </w:r>
            <w:r w:rsidR="00C30A87">
              <w:rPr>
                <w:noProof/>
                <w:webHidden/>
              </w:rPr>
            </w:r>
            <w:r w:rsidR="00C30A87">
              <w:rPr>
                <w:noProof/>
                <w:webHidden/>
              </w:rPr>
              <w:fldChar w:fldCharType="separate"/>
            </w:r>
            <w:r w:rsidR="00634405">
              <w:rPr>
                <w:noProof/>
                <w:webHidden/>
              </w:rPr>
              <w:t>153</w:t>
            </w:r>
            <w:r w:rsidR="00C30A87">
              <w:rPr>
                <w:noProof/>
                <w:webHidden/>
              </w:rPr>
              <w:fldChar w:fldCharType="end"/>
            </w:r>
          </w:hyperlink>
        </w:p>
        <w:p w:rsidR="00C30A87" w:rsidRDefault="00DB6A3D" w14:paraId="47368A62" w14:textId="15EB4881">
          <w:pPr>
            <w:pStyle w:val="TOC1"/>
            <w:tabs>
              <w:tab w:val="right" w:leader="dot" w:pos="9350"/>
            </w:tabs>
            <w:rPr>
              <w:rFonts w:asciiTheme="minorHAnsi" w:hAnsiTheme="minorHAnsi" w:cstheme="minorBidi"/>
              <w:noProof/>
              <w:kern w:val="2"/>
              <w:sz w:val="24"/>
              <w:szCs w:val="24"/>
              <w14:ligatures w14:val="standardContextual"/>
            </w:rPr>
          </w:pPr>
          <w:hyperlink w:history="1" w:anchor="_Toc168559327">
            <w:r w:rsidRPr="00151BDE" w:rsidR="00C30A87">
              <w:rPr>
                <w:rStyle w:val="Hyperlink"/>
                <w:noProof/>
              </w:rPr>
              <w:t>Findings of Fact</w:t>
            </w:r>
            <w:r w:rsidR="00C30A87">
              <w:rPr>
                <w:noProof/>
                <w:webHidden/>
              </w:rPr>
              <w:tab/>
            </w:r>
            <w:r w:rsidR="00C30A87">
              <w:rPr>
                <w:noProof/>
                <w:webHidden/>
              </w:rPr>
              <w:fldChar w:fldCharType="begin"/>
            </w:r>
            <w:r w:rsidR="00C30A87">
              <w:rPr>
                <w:noProof/>
                <w:webHidden/>
              </w:rPr>
              <w:instrText xml:space="preserve"> PAGEREF _Toc168559327 \h </w:instrText>
            </w:r>
            <w:r w:rsidR="00C30A87">
              <w:rPr>
                <w:noProof/>
                <w:webHidden/>
              </w:rPr>
            </w:r>
            <w:r w:rsidR="00C30A87">
              <w:rPr>
                <w:noProof/>
                <w:webHidden/>
              </w:rPr>
              <w:fldChar w:fldCharType="separate"/>
            </w:r>
            <w:r w:rsidR="00634405">
              <w:rPr>
                <w:noProof/>
                <w:webHidden/>
              </w:rPr>
              <w:t>153</w:t>
            </w:r>
            <w:r w:rsidR="00C30A87">
              <w:rPr>
                <w:noProof/>
                <w:webHidden/>
              </w:rPr>
              <w:fldChar w:fldCharType="end"/>
            </w:r>
          </w:hyperlink>
        </w:p>
        <w:p w:rsidR="00C30A87" w:rsidRDefault="00DB6A3D" w14:paraId="1267A97F" w14:textId="595A4512">
          <w:pPr>
            <w:pStyle w:val="TOC1"/>
            <w:tabs>
              <w:tab w:val="right" w:leader="dot" w:pos="9350"/>
            </w:tabs>
            <w:rPr>
              <w:rFonts w:asciiTheme="minorHAnsi" w:hAnsiTheme="minorHAnsi" w:cstheme="minorBidi"/>
              <w:noProof/>
              <w:kern w:val="2"/>
              <w:sz w:val="24"/>
              <w:szCs w:val="24"/>
              <w14:ligatures w14:val="standardContextual"/>
            </w:rPr>
          </w:pPr>
          <w:hyperlink w:history="1" w:anchor="_Toc168559328">
            <w:r w:rsidRPr="00151BDE" w:rsidR="00C30A87">
              <w:rPr>
                <w:rStyle w:val="Hyperlink"/>
                <w:noProof/>
              </w:rPr>
              <w:t>Conclusions of Law</w:t>
            </w:r>
            <w:r w:rsidR="00C30A87">
              <w:rPr>
                <w:noProof/>
                <w:webHidden/>
              </w:rPr>
              <w:tab/>
            </w:r>
            <w:r w:rsidR="00C30A87">
              <w:rPr>
                <w:noProof/>
                <w:webHidden/>
              </w:rPr>
              <w:fldChar w:fldCharType="begin"/>
            </w:r>
            <w:r w:rsidR="00C30A87">
              <w:rPr>
                <w:noProof/>
                <w:webHidden/>
              </w:rPr>
              <w:instrText xml:space="preserve"> PAGEREF _Toc168559328 \h </w:instrText>
            </w:r>
            <w:r w:rsidR="00C30A87">
              <w:rPr>
                <w:noProof/>
                <w:webHidden/>
              </w:rPr>
            </w:r>
            <w:r w:rsidR="00C30A87">
              <w:rPr>
                <w:noProof/>
                <w:webHidden/>
              </w:rPr>
              <w:fldChar w:fldCharType="separate"/>
            </w:r>
            <w:r w:rsidR="00634405">
              <w:rPr>
                <w:noProof/>
                <w:webHidden/>
              </w:rPr>
              <w:t>164</w:t>
            </w:r>
            <w:r w:rsidR="00C30A87">
              <w:rPr>
                <w:noProof/>
                <w:webHidden/>
              </w:rPr>
              <w:fldChar w:fldCharType="end"/>
            </w:r>
          </w:hyperlink>
        </w:p>
        <w:p w:rsidR="00C30A87" w:rsidRDefault="00DB6A3D" w14:paraId="2DDE2316" w14:textId="0568EEC7">
          <w:pPr>
            <w:pStyle w:val="TOC1"/>
            <w:tabs>
              <w:tab w:val="right" w:leader="dot" w:pos="9350"/>
            </w:tabs>
            <w:rPr>
              <w:rFonts w:asciiTheme="minorHAnsi" w:hAnsiTheme="minorHAnsi" w:cstheme="minorBidi"/>
              <w:noProof/>
              <w:kern w:val="2"/>
              <w:sz w:val="24"/>
              <w:szCs w:val="24"/>
              <w14:ligatures w14:val="standardContextual"/>
            </w:rPr>
          </w:pPr>
          <w:hyperlink w:history="1" w:anchor="_Toc168559329">
            <w:r w:rsidRPr="00151BDE" w:rsidR="00C30A87">
              <w:rPr>
                <w:rStyle w:val="Hyperlink"/>
                <w:noProof/>
              </w:rPr>
              <w:t>ORDER</w:t>
            </w:r>
            <w:r w:rsidR="00C30A87">
              <w:rPr>
                <w:noProof/>
                <w:webHidden/>
              </w:rPr>
              <w:tab/>
            </w:r>
            <w:r w:rsidR="00C30A87">
              <w:rPr>
                <w:noProof/>
                <w:webHidden/>
              </w:rPr>
              <w:fldChar w:fldCharType="begin"/>
            </w:r>
            <w:r w:rsidR="00C30A87">
              <w:rPr>
                <w:noProof/>
                <w:webHidden/>
              </w:rPr>
              <w:instrText xml:space="preserve"> PAGEREF _Toc168559329 \h </w:instrText>
            </w:r>
            <w:r w:rsidR="00C30A87">
              <w:rPr>
                <w:noProof/>
                <w:webHidden/>
              </w:rPr>
            </w:r>
            <w:r w:rsidR="00C30A87">
              <w:rPr>
                <w:noProof/>
                <w:webHidden/>
              </w:rPr>
              <w:fldChar w:fldCharType="separate"/>
            </w:r>
            <w:r w:rsidR="00634405">
              <w:rPr>
                <w:noProof/>
                <w:webHidden/>
              </w:rPr>
              <w:t>168</w:t>
            </w:r>
            <w:r w:rsidR="00C30A87">
              <w:rPr>
                <w:noProof/>
                <w:webHidden/>
              </w:rPr>
              <w:fldChar w:fldCharType="end"/>
            </w:r>
          </w:hyperlink>
        </w:p>
        <w:p w:rsidR="00D82A43" w:rsidP="008C7413" w:rsidRDefault="008C7413" w14:paraId="314405E0" w14:textId="3DF4D471">
          <w:pPr>
            <w:pStyle w:val="TOC1"/>
            <w:tabs>
              <w:tab w:val="right" w:leader="dot" w:pos="9350"/>
            </w:tabs>
          </w:pPr>
          <w:r>
            <w:rPr>
              <w:rFonts w:asciiTheme="minorHAnsi" w:hAnsiTheme="minorHAnsi"/>
              <w:sz w:val="22"/>
            </w:rPr>
            <w:fldChar w:fldCharType="end"/>
          </w:r>
        </w:p>
      </w:sdtContent>
    </w:sdt>
    <w:bookmarkEnd w:id="2"/>
    <w:p w:rsidR="0098655A" w:rsidP="00561970" w:rsidRDefault="00B94F97" w14:paraId="19A22464" w14:textId="6C553D40">
      <w:pPr>
        <w:spacing w:line="240" w:lineRule="auto"/>
        <w:ind w:left="1843" w:hanging="1843"/>
        <w:rPr>
          <w:rFonts w:cs="Arial"/>
          <w:szCs w:val="26"/>
        </w:rPr>
      </w:pPr>
      <w:r>
        <w:rPr>
          <w:rFonts w:cs="Arial"/>
          <w:b/>
          <w:szCs w:val="26"/>
        </w:rPr>
        <w:lastRenderedPageBreak/>
        <w:t>Appendix </w:t>
      </w:r>
      <w:r w:rsidRPr="0098655A" w:rsidR="0098655A">
        <w:rPr>
          <w:rFonts w:cs="Arial"/>
          <w:b/>
          <w:szCs w:val="26"/>
        </w:rPr>
        <w:t>A</w:t>
      </w:r>
      <w:r w:rsidR="001C43E7">
        <w:rPr>
          <w:rFonts w:cs="Arial"/>
          <w:szCs w:val="26"/>
        </w:rPr>
        <w:t> —</w:t>
      </w:r>
      <w:bookmarkStart w:name="_Hlk158904495" w:id="3"/>
      <w:r w:rsidR="00561970">
        <w:rPr>
          <w:rFonts w:cs="Arial"/>
          <w:szCs w:val="26"/>
        </w:rPr>
        <w:tab/>
      </w:r>
      <w:r w:rsidR="00F00728">
        <w:rPr>
          <w:rFonts w:cs="Arial"/>
          <w:szCs w:val="26"/>
        </w:rPr>
        <w:t>P</w:t>
      </w:r>
      <w:r w:rsidR="008F6A60">
        <w:rPr>
          <w:rFonts w:cs="Arial"/>
          <w:szCs w:val="26"/>
        </w:rPr>
        <w:t xml:space="preserve">acific </w:t>
      </w:r>
      <w:r w:rsidR="00F00728">
        <w:rPr>
          <w:rFonts w:cs="Arial"/>
          <w:szCs w:val="26"/>
        </w:rPr>
        <w:t>G</w:t>
      </w:r>
      <w:r w:rsidR="008F6A60">
        <w:rPr>
          <w:rFonts w:cs="Arial"/>
          <w:szCs w:val="26"/>
        </w:rPr>
        <w:t>as and Electric Company</w:t>
      </w:r>
      <w:r w:rsidR="00440785">
        <w:rPr>
          <w:rFonts w:cs="Arial"/>
          <w:szCs w:val="26"/>
        </w:rPr>
        <w:t>’</w:t>
      </w:r>
      <w:r w:rsidR="00F00728">
        <w:rPr>
          <w:rFonts w:cs="Arial"/>
          <w:szCs w:val="26"/>
        </w:rPr>
        <w:t xml:space="preserve">s Cost Comparison of the </w:t>
      </w:r>
      <w:r w:rsidRPr="008F6A60" w:rsidR="008F6A60">
        <w:rPr>
          <w:rFonts w:cs="Arial"/>
          <w:szCs w:val="26"/>
        </w:rPr>
        <w:t>Net Value Billing Tariff</w:t>
      </w:r>
      <w:r w:rsidR="008F6A60">
        <w:rPr>
          <w:rFonts w:cs="Arial"/>
          <w:szCs w:val="26"/>
        </w:rPr>
        <w:t xml:space="preserve"> </w:t>
      </w:r>
      <w:r w:rsidR="00F00728">
        <w:rPr>
          <w:rFonts w:cs="Arial"/>
          <w:szCs w:val="26"/>
        </w:rPr>
        <w:t>and a Wholesale Resource</w:t>
      </w:r>
      <w:bookmarkEnd w:id="3"/>
    </w:p>
    <w:p w:rsidRPr="0098655A" w:rsidR="00561970" w:rsidP="00D50119" w:rsidRDefault="00561970" w14:paraId="2C5A6DE6" w14:textId="77777777">
      <w:pPr>
        <w:spacing w:line="240" w:lineRule="auto"/>
        <w:ind w:firstLine="0"/>
        <w:rPr>
          <w:rFonts w:cs="Arial"/>
          <w:szCs w:val="26"/>
        </w:rPr>
      </w:pPr>
    </w:p>
    <w:p w:rsidRPr="00D44DB6" w:rsidR="00D44DB6" w:rsidP="00D44DB6" w:rsidRDefault="00D44DB6" w14:paraId="6298F121" w14:textId="306AFC4B">
      <w:pPr>
        <w:spacing w:line="240" w:lineRule="auto"/>
        <w:ind w:firstLine="0"/>
        <w:rPr>
          <w:rFonts w:cs="Arial"/>
          <w:i/>
          <w:szCs w:val="26"/>
        </w:rPr>
        <w:sectPr w:rsidRPr="00D44DB6" w:rsidR="00D44DB6" w:rsidSect="00C73908">
          <w:pgSz w:w="12240" w:h="15840"/>
          <w:pgMar w:top="1728" w:right="1440" w:bottom="1440" w:left="1440" w:header="720" w:footer="720" w:gutter="0"/>
          <w:pgNumType w:fmt="lowerRoman" w:start="1"/>
          <w:cols w:space="720"/>
          <w:docGrid w:linePitch="360"/>
        </w:sectPr>
      </w:pPr>
    </w:p>
    <w:p w:rsidR="0098655A" w:rsidP="002D4EBF" w:rsidRDefault="008D7C6D" w14:paraId="20676591" w14:textId="462E98EF">
      <w:pPr>
        <w:pStyle w:val="Main"/>
      </w:pPr>
      <w:bookmarkStart w:name="Title" w:id="4"/>
      <w:r>
        <w:lastRenderedPageBreak/>
        <w:t xml:space="preserve">DECISION MODIFYING GREEN ACCESS </w:t>
      </w:r>
      <w:r w:rsidR="00574740">
        <w:t>PROGRAM TARIFFS</w:t>
      </w:r>
      <w:r w:rsidR="00954AAA">
        <w:br/>
      </w:r>
      <w:r>
        <w:t xml:space="preserve">AND </w:t>
      </w:r>
      <w:r w:rsidR="00B3556A">
        <w:t xml:space="preserve">ADOPTING A COMMUNITY </w:t>
      </w:r>
      <w:r w:rsidR="00574740">
        <w:t>RENEWABLE ENERGY PROGRAM</w:t>
      </w:r>
      <w:bookmarkEnd w:id="4"/>
    </w:p>
    <w:p w:rsidRPr="002D4EBF" w:rsidR="002D4EBF" w:rsidP="002D4EBF" w:rsidRDefault="002D4EBF" w14:paraId="0F53F571" w14:textId="77777777">
      <w:pPr>
        <w:spacing w:line="240" w:lineRule="auto"/>
        <w:ind w:firstLine="0"/>
      </w:pPr>
    </w:p>
    <w:p w:rsidRPr="005D1068" w:rsidR="005A148C" w:rsidP="005D1068" w:rsidRDefault="005A148C" w14:paraId="39B038B4" w14:textId="77777777">
      <w:pPr>
        <w:pStyle w:val="Dummy"/>
      </w:pPr>
      <w:bookmarkStart w:name="_Toc8123714" w:id="5"/>
      <w:bookmarkStart w:name="_Toc159551132" w:id="6"/>
      <w:bookmarkStart w:name="_Toc168559252" w:id="7"/>
      <w:r>
        <w:t>Summary</w:t>
      </w:r>
      <w:bookmarkEnd w:id="5"/>
      <w:bookmarkEnd w:id="6"/>
      <w:bookmarkEnd w:id="7"/>
    </w:p>
    <w:p w:rsidR="00E72AEA" w:rsidP="006E6574" w:rsidRDefault="00E55CEF" w14:paraId="01EFF8D5" w14:textId="4238B651">
      <w:pPr>
        <w:pStyle w:val="Standard"/>
      </w:pPr>
      <w:r>
        <w:t xml:space="preserve">Pursuant to </w:t>
      </w:r>
      <w:r w:rsidRPr="00FD66C0" w:rsidR="00E72AEA">
        <w:t>Assembly Bill</w:t>
      </w:r>
      <w:r w:rsidR="00E72AEA">
        <w:t xml:space="preserve"> </w:t>
      </w:r>
      <w:r w:rsidR="00FC3608">
        <w:t>(</w:t>
      </w:r>
      <w:r w:rsidRPr="00FD66C0" w:rsidR="00FC3608">
        <w:t>AB</w:t>
      </w:r>
      <w:r w:rsidR="00FC3608">
        <w:t>)</w:t>
      </w:r>
      <w:r w:rsidR="003627A8">
        <w:t> </w:t>
      </w:r>
      <w:r w:rsidR="00E72AEA">
        <w:t>2316 (</w:t>
      </w:r>
      <w:r w:rsidRPr="00FD66C0" w:rsidR="00E72AEA">
        <w:t>Ward</w:t>
      </w:r>
      <w:r w:rsidR="00E72AEA">
        <w:t xml:space="preserve">) </w:t>
      </w:r>
      <w:r w:rsidR="00EE35B1">
        <w:t>Stats. </w:t>
      </w:r>
      <w:r w:rsidR="00E72AEA">
        <w:t xml:space="preserve">2022 and </w:t>
      </w:r>
      <w:r w:rsidRPr="00FD66C0">
        <w:t>Public Utilities</w:t>
      </w:r>
      <w:r w:rsidRPr="008C12C9">
        <w:t xml:space="preserve"> </w:t>
      </w:r>
      <w:r w:rsidR="008C12C9">
        <w:t>(</w:t>
      </w:r>
      <w:r w:rsidR="00440785">
        <w:t>Pub. Util.</w:t>
      </w:r>
      <w:r w:rsidR="008C12C9">
        <w:t xml:space="preserve">) </w:t>
      </w:r>
      <w:r w:rsidRPr="008C12C9">
        <w:t>Code</w:t>
      </w:r>
      <w:r w:rsidRPr="008C12C9" w:rsidR="008344EF">
        <w:t xml:space="preserve"> </w:t>
      </w:r>
      <w:r w:rsidR="003627A8">
        <w:t>Section </w:t>
      </w:r>
      <w:r>
        <w:t>769.3, this decision presents the culmination of an evaluation of current customer renewable energy subscription programs</w:t>
      </w:r>
      <w:r w:rsidR="00D61CF7">
        <w:t>,</w:t>
      </w:r>
      <w:r>
        <w:t xml:space="preserve"> also known as Green Access Program tariffs</w:t>
      </w:r>
      <w:r w:rsidR="00715C73">
        <w:t>,</w:t>
      </w:r>
      <w:r w:rsidR="00E72AEA">
        <w:t xml:space="preserve"> and the consideration of </w:t>
      </w:r>
      <w:r w:rsidR="00E00633">
        <w:t xml:space="preserve">adoption of </w:t>
      </w:r>
      <w:r w:rsidR="00E72AEA">
        <w:t>a community renewable energy program</w:t>
      </w:r>
      <w:r>
        <w:t>.</w:t>
      </w:r>
    </w:p>
    <w:p w:rsidR="008A079A" w:rsidP="00877203" w:rsidRDefault="00076A36" w14:paraId="0C7E3CDE" w14:textId="18E80A1D">
      <w:pPr>
        <w:pStyle w:val="Standard"/>
      </w:pPr>
      <w:r>
        <w:t xml:space="preserve">As described herein, </w:t>
      </w:r>
      <w:r w:rsidR="00E72AEA">
        <w:t>while the current Green Access Program tariff options do not me</w:t>
      </w:r>
      <w:r w:rsidR="00237E56">
        <w:t>et al</w:t>
      </w:r>
      <w:r w:rsidR="00E72AEA">
        <w:t xml:space="preserve">l the evaluation goals described in </w:t>
      </w:r>
      <w:r w:rsidR="003627A8">
        <w:t>AB </w:t>
      </w:r>
      <w:r w:rsidR="00E72AEA">
        <w:t xml:space="preserve">2316, the </w:t>
      </w:r>
      <w:r w:rsidRPr="00FD66C0" w:rsidR="006D312B">
        <w:t xml:space="preserve">California Public Utilities </w:t>
      </w:r>
      <w:r w:rsidRPr="00FD66C0" w:rsidR="00E72AEA">
        <w:t xml:space="preserve">Commission </w:t>
      </w:r>
      <w:r w:rsidR="006D312B">
        <w:t>(</w:t>
      </w:r>
      <w:r w:rsidRPr="00FD66C0" w:rsidR="006D312B">
        <w:t>Commission</w:t>
      </w:r>
      <w:r w:rsidR="006D312B">
        <w:t xml:space="preserve">) </w:t>
      </w:r>
      <w:r w:rsidR="00E72AEA">
        <w:t>finds it efficient</w:t>
      </w:r>
      <w:r w:rsidR="00E32626">
        <w:t xml:space="preserve"> — </w:t>
      </w:r>
      <w:r w:rsidR="00E72AEA">
        <w:t>in terms of costs and resources</w:t>
      </w:r>
      <w:r w:rsidR="00E32626">
        <w:t xml:space="preserve"> — </w:t>
      </w:r>
      <w:r w:rsidR="00E72AEA">
        <w:t>to modify and streamline existing Green Access Program tariffs</w:t>
      </w:r>
      <w:r w:rsidR="00E00633">
        <w:t xml:space="preserve"> to better meet these goals</w:t>
      </w:r>
      <w:r w:rsidR="008A079A">
        <w:t xml:space="preserve">. Further, the Commission finds that it is beneficial to ratepayers to </w:t>
      </w:r>
      <w:r w:rsidR="00E72AEA">
        <w:t xml:space="preserve">adopt a </w:t>
      </w:r>
      <w:r w:rsidR="00E00633">
        <w:t>c</w:t>
      </w:r>
      <w:r w:rsidR="11BE35DF">
        <w:t xml:space="preserve">ommunity </w:t>
      </w:r>
      <w:r w:rsidR="00E00633">
        <w:t>r</w:t>
      </w:r>
      <w:r w:rsidR="11BE35DF">
        <w:t xml:space="preserve">enewable </w:t>
      </w:r>
      <w:r w:rsidR="00E00633">
        <w:t>e</w:t>
      </w:r>
      <w:r w:rsidR="11BE35DF">
        <w:t xml:space="preserve">nergy </w:t>
      </w:r>
      <w:r w:rsidR="00E00633">
        <w:t>p</w:t>
      </w:r>
      <w:r w:rsidR="11BE35DF">
        <w:t xml:space="preserve">rogram by layering a customer subscription model </w:t>
      </w:r>
      <w:r w:rsidR="001E3520">
        <w:t>and</w:t>
      </w:r>
      <w:r w:rsidR="11BE35DF">
        <w:t xml:space="preserve"> a non</w:t>
      </w:r>
      <w:r w:rsidR="003D6EF8">
        <w:noBreakHyphen/>
      </w:r>
      <w:r w:rsidR="11BE35DF">
        <w:t>ratepayer</w:t>
      </w:r>
      <w:r w:rsidR="003D6EF8">
        <w:noBreakHyphen/>
      </w:r>
      <w:r w:rsidR="11BE35DF">
        <w:t xml:space="preserve">funded adder onto </w:t>
      </w:r>
      <w:r w:rsidR="1798043F">
        <w:t>identified standard supply</w:t>
      </w:r>
      <w:r w:rsidR="003D6EF8">
        <w:noBreakHyphen/>
      </w:r>
      <w:r w:rsidR="1798043F">
        <w:t xml:space="preserve">side tariffs and contract mechanisms that </w:t>
      </w:r>
      <w:r w:rsidR="002D03C8">
        <w:t xml:space="preserve">meet the requirements of </w:t>
      </w:r>
      <w:r w:rsidR="003627A8">
        <w:t>AB </w:t>
      </w:r>
      <w:r w:rsidR="002D03C8">
        <w:t>2316</w:t>
      </w:r>
      <w:r w:rsidR="00E87F82">
        <w:t xml:space="preserve"> and </w:t>
      </w:r>
      <w:r w:rsidR="00440785">
        <w:t>Pub. Util.</w:t>
      </w:r>
      <w:r w:rsidR="002D03C8">
        <w:t xml:space="preserve"> Code </w:t>
      </w:r>
      <w:r w:rsidR="003627A8">
        <w:t>Section </w:t>
      </w:r>
      <w:r w:rsidR="002D03C8">
        <w:t>7</w:t>
      </w:r>
      <w:r w:rsidR="00E87F82">
        <w:t>6</w:t>
      </w:r>
      <w:r w:rsidR="002D03C8">
        <w:t>9.</w:t>
      </w:r>
      <w:r w:rsidR="00E87F82">
        <w:t>3</w:t>
      </w:r>
      <w:r w:rsidR="00E72AEA">
        <w:t>.</w:t>
      </w:r>
    </w:p>
    <w:p w:rsidR="005A148C" w:rsidP="001B1E90" w:rsidRDefault="002C7FE9" w14:paraId="0A454F5E" w14:textId="77777777">
      <w:pPr>
        <w:pStyle w:val="Heading1"/>
      </w:pPr>
      <w:bookmarkStart w:name="_Toc8123715" w:id="8"/>
      <w:bookmarkStart w:name="_Toc159551133" w:id="9"/>
      <w:bookmarkStart w:name="_Toc168559253" w:id="10"/>
      <w:r w:rsidRPr="00121089">
        <w:t>Background</w:t>
      </w:r>
      <w:bookmarkEnd w:id="8"/>
      <w:bookmarkEnd w:id="9"/>
      <w:bookmarkEnd w:id="10"/>
    </w:p>
    <w:p w:rsidR="002C7FE9" w:rsidP="006E6574" w:rsidRDefault="007B0819" w14:paraId="20028F35" w14:textId="72378A04">
      <w:pPr>
        <w:pStyle w:val="Standard"/>
      </w:pPr>
      <w:r>
        <w:t xml:space="preserve">The following subsections describe the legislation associated with </w:t>
      </w:r>
      <w:r w:rsidR="00ED773B">
        <w:t xml:space="preserve">three filed </w:t>
      </w:r>
      <w:r>
        <w:t>applications</w:t>
      </w:r>
      <w:r w:rsidR="00ED773B">
        <w:t xml:space="preserve"> to review </w:t>
      </w:r>
      <w:r w:rsidR="00BB2D53">
        <w:t xml:space="preserve">existing </w:t>
      </w:r>
      <w:r w:rsidR="00ED773B">
        <w:t>Green Access Program tariff programs</w:t>
      </w:r>
      <w:r w:rsidR="00283515">
        <w:t xml:space="preserve"> that are the subject of this proceeding</w:t>
      </w:r>
      <w:r w:rsidR="00FC3608">
        <w:t>,</w:t>
      </w:r>
      <w:r w:rsidR="00ED773B">
        <w:rPr>
          <w:rStyle w:val="FootnoteReference"/>
        </w:rPr>
        <w:footnoteReference w:id="2"/>
      </w:r>
      <w:r>
        <w:t xml:space="preserve"> previous </w:t>
      </w:r>
      <w:r w:rsidRPr="00FD66C0" w:rsidR="006D312B">
        <w:t xml:space="preserve">California Public Utilities </w:t>
      </w:r>
      <w:r w:rsidRPr="00FD66C0">
        <w:t xml:space="preserve">Commission </w:t>
      </w:r>
      <w:r w:rsidR="006D312B">
        <w:t>(</w:t>
      </w:r>
      <w:r w:rsidRPr="00FD66C0" w:rsidR="006D312B">
        <w:t>Commission</w:t>
      </w:r>
      <w:r w:rsidR="006D312B">
        <w:t xml:space="preserve">) </w:t>
      </w:r>
      <w:r w:rsidR="00AB42C7">
        <w:t xml:space="preserve">actions </w:t>
      </w:r>
      <w:r>
        <w:t xml:space="preserve">leading to </w:t>
      </w:r>
      <w:r w:rsidR="00FC3608">
        <w:t>the filing of the applications</w:t>
      </w:r>
      <w:r>
        <w:t>, and the procedural background of the three applications</w:t>
      </w:r>
      <w:r w:rsidR="0063491C">
        <w:t>.</w:t>
      </w:r>
    </w:p>
    <w:p w:rsidRPr="006D25F6" w:rsidR="0063491C" w:rsidP="001B1E90" w:rsidRDefault="008D7C6D" w14:paraId="1D3CB7BA" w14:textId="77777777">
      <w:pPr>
        <w:pStyle w:val="Heading2"/>
      </w:pPr>
      <w:bookmarkStart w:name="_Toc8123716" w:id="11"/>
      <w:bookmarkStart w:name="_Toc159551134" w:id="12"/>
      <w:bookmarkStart w:name="_Toc168559254" w:id="13"/>
      <w:r w:rsidRPr="006D25F6">
        <w:lastRenderedPageBreak/>
        <w:t>Legislative</w:t>
      </w:r>
      <w:r w:rsidRPr="006D25F6" w:rsidR="0063491C">
        <w:t xml:space="preserve"> Background</w:t>
      </w:r>
      <w:bookmarkEnd w:id="11"/>
      <w:bookmarkEnd w:id="12"/>
      <w:bookmarkEnd w:id="13"/>
    </w:p>
    <w:p w:rsidR="00F25AB6" w:rsidP="006E6574" w:rsidRDefault="00B96C81" w14:paraId="3D611B62" w14:textId="4F07C1F2">
      <w:pPr>
        <w:pStyle w:val="Standard"/>
      </w:pPr>
      <w:r>
        <w:t xml:space="preserve">Three California </w:t>
      </w:r>
      <w:r w:rsidR="0004209D">
        <w:t>bills signed into law</w:t>
      </w:r>
      <w:r>
        <w:t xml:space="preserve"> </w:t>
      </w:r>
      <w:r w:rsidR="0004209D">
        <w:t>provide the statutory framework for this proceeding</w:t>
      </w:r>
      <w:r w:rsidR="005D30D7">
        <w:t xml:space="preserve">: </w:t>
      </w:r>
      <w:r w:rsidRPr="00FD66C0" w:rsidR="0004209D">
        <w:t xml:space="preserve">Senate Bill </w:t>
      </w:r>
      <w:r w:rsidR="0004209D">
        <w:t>(</w:t>
      </w:r>
      <w:r w:rsidRPr="00FD66C0" w:rsidR="0004209D">
        <w:t>SB</w:t>
      </w:r>
      <w:r w:rsidR="0004209D">
        <w:t>)</w:t>
      </w:r>
      <w:r w:rsidR="00BB39FF">
        <w:t> </w:t>
      </w:r>
      <w:r w:rsidR="0004209D">
        <w:t>43 (</w:t>
      </w:r>
      <w:r w:rsidRPr="00FD66C0" w:rsidR="0004209D">
        <w:t>Wolk</w:t>
      </w:r>
      <w:r w:rsidR="0004209D">
        <w:t xml:space="preserve">) </w:t>
      </w:r>
      <w:r w:rsidR="00EE35B1">
        <w:t>Stats. </w:t>
      </w:r>
      <w:r w:rsidR="0004209D">
        <w:t xml:space="preserve">2013, </w:t>
      </w:r>
      <w:r w:rsidR="00EE35B1">
        <w:t>ch. </w:t>
      </w:r>
      <w:r w:rsidR="0004209D">
        <w:t xml:space="preserve">413; </w:t>
      </w:r>
      <w:r w:rsidRPr="00FD66C0" w:rsidR="0004209D">
        <w:t xml:space="preserve">Assembly Bill </w:t>
      </w:r>
      <w:r w:rsidR="0004209D">
        <w:t>(</w:t>
      </w:r>
      <w:r w:rsidRPr="00FD66C0" w:rsidR="0004209D">
        <w:t>AB</w:t>
      </w:r>
      <w:r w:rsidR="0004209D">
        <w:t>)</w:t>
      </w:r>
      <w:r w:rsidR="00BB39FF">
        <w:t> </w:t>
      </w:r>
      <w:r w:rsidR="0004209D">
        <w:t>327 (</w:t>
      </w:r>
      <w:r w:rsidRPr="00FD66C0" w:rsidR="0004209D">
        <w:t>Perea</w:t>
      </w:r>
      <w:r w:rsidR="0004209D">
        <w:t xml:space="preserve">) </w:t>
      </w:r>
      <w:r w:rsidR="00EE35B1">
        <w:t>Stats. </w:t>
      </w:r>
      <w:r w:rsidR="0004209D">
        <w:t xml:space="preserve">2013, </w:t>
      </w:r>
      <w:r w:rsidR="00EE35B1">
        <w:t>ch. </w:t>
      </w:r>
      <w:r w:rsidR="0004209D">
        <w:t xml:space="preserve">611; and </w:t>
      </w:r>
      <w:r w:rsidR="003627A8">
        <w:t>AB </w:t>
      </w:r>
      <w:r w:rsidR="0004209D">
        <w:t>2316 (</w:t>
      </w:r>
      <w:r w:rsidRPr="00FD66C0" w:rsidR="0004209D">
        <w:t>Ward</w:t>
      </w:r>
      <w:r w:rsidR="0004209D">
        <w:t xml:space="preserve">) </w:t>
      </w:r>
      <w:r w:rsidR="00EE35B1">
        <w:t>Stats. </w:t>
      </w:r>
      <w:r w:rsidR="0004209D">
        <w:t xml:space="preserve">2022, </w:t>
      </w:r>
      <w:r w:rsidR="00EE35B1">
        <w:t>ch. </w:t>
      </w:r>
      <w:r w:rsidR="00F25AB6">
        <w:t>350. The subsections below present a description of each piece of legislation.</w:t>
      </w:r>
    </w:p>
    <w:p w:rsidR="00F25AB6" w:rsidP="001B1E90" w:rsidRDefault="001B1E90" w14:paraId="51645D03" w14:textId="0A906416">
      <w:pPr>
        <w:pStyle w:val="Heading3"/>
      </w:pPr>
      <w:bookmarkStart w:name="_Toc159551135" w:id="14"/>
      <w:bookmarkStart w:name="_Toc168559255" w:id="15"/>
      <w:r>
        <w:t>Senate Bill </w:t>
      </w:r>
      <w:r w:rsidR="00F25AB6">
        <w:t>43</w:t>
      </w:r>
      <w:bookmarkEnd w:id="14"/>
      <w:bookmarkEnd w:id="15"/>
    </w:p>
    <w:p w:rsidR="00B96C81" w:rsidP="006E6574" w:rsidRDefault="00F25AB6" w14:paraId="125110D6" w14:textId="7F60C3F2">
      <w:pPr>
        <w:pStyle w:val="Standard"/>
      </w:pPr>
      <w:r>
        <w:t xml:space="preserve">On </w:t>
      </w:r>
      <w:r w:rsidR="0013526D">
        <w:t>September </w:t>
      </w:r>
      <w:r>
        <w:t xml:space="preserve">28, 2013, </w:t>
      </w:r>
      <w:r w:rsidR="00AA2B48">
        <w:t xml:space="preserve">California </w:t>
      </w:r>
      <w:r w:rsidR="00EE35B1">
        <w:t>Governor Edmund G.</w:t>
      </w:r>
      <w:r>
        <w:t xml:space="preserve"> Brown approved </w:t>
      </w:r>
      <w:r w:rsidR="003627A8">
        <w:t>SB </w:t>
      </w:r>
      <w:r>
        <w:t xml:space="preserve">43 which added </w:t>
      </w:r>
      <w:r w:rsidR="00EE35B1">
        <w:t>Chapter </w:t>
      </w:r>
      <w:r>
        <w:t xml:space="preserve">7.6 </w:t>
      </w:r>
      <w:r w:rsidR="00940513">
        <w:t xml:space="preserve">(beginning with </w:t>
      </w:r>
      <w:r w:rsidR="003627A8">
        <w:t>Section </w:t>
      </w:r>
      <w:r w:rsidR="00940513">
        <w:t xml:space="preserve">2831) </w:t>
      </w:r>
      <w:r>
        <w:t xml:space="preserve">to </w:t>
      </w:r>
      <w:r w:rsidR="00F62BB9">
        <w:t>Part </w:t>
      </w:r>
      <w:r>
        <w:t xml:space="preserve">2 of </w:t>
      </w:r>
      <w:r w:rsidR="00F62BB9">
        <w:t>Division </w:t>
      </w:r>
      <w:r>
        <w:t xml:space="preserve">1 of the Public Utilities </w:t>
      </w:r>
      <w:r w:rsidR="00D62E6A">
        <w:t>(Pub.</w:t>
      </w:r>
      <w:r w:rsidR="00262A4B">
        <w:t> </w:t>
      </w:r>
      <w:r w:rsidR="00D62E6A">
        <w:t xml:space="preserve">Util.) </w:t>
      </w:r>
      <w:r>
        <w:t xml:space="preserve">Code, creating the </w:t>
      </w:r>
      <w:r w:rsidRPr="00FD66C0" w:rsidR="00B9594D">
        <w:t xml:space="preserve">Green Tariff Shared Renewables </w:t>
      </w:r>
      <w:r w:rsidR="00B9594D">
        <w:t>(</w:t>
      </w:r>
      <w:r w:rsidRPr="00FD66C0" w:rsidR="00B9594D">
        <w:t>GTSR</w:t>
      </w:r>
      <w:r w:rsidR="00B9594D">
        <w:t>) Program</w:t>
      </w:r>
      <w:r>
        <w:t xml:space="preserve">. </w:t>
      </w:r>
      <w:r w:rsidR="00940513">
        <w:t xml:space="preserve">The intention of the Legislature in creating this program was to implement a program </w:t>
      </w:r>
      <w:r w:rsidR="00440785">
        <w:t>“</w:t>
      </w:r>
      <w:r w:rsidRPr="00940513" w:rsidR="00940513">
        <w:t>in such a manner that facilitates a large, sustainable market for offsite electrical generation from facilities that are eligible renewable energy resources, while fairly compensating electrical corporations for the services they provide, without affecting nonparticipating ratepayers.</w:t>
      </w:r>
      <w:r w:rsidR="00440785">
        <w:t>”</w:t>
      </w:r>
      <w:r w:rsidR="00940513">
        <w:rPr>
          <w:rStyle w:val="FootnoteReference"/>
        </w:rPr>
        <w:footnoteReference w:id="3"/>
      </w:r>
      <w:r w:rsidR="00F53811">
        <w:t xml:space="preserve"> The Legislature also intended </w:t>
      </w:r>
      <w:r w:rsidR="00297F24">
        <w:t xml:space="preserve">that the </w:t>
      </w:r>
      <w:r w:rsidR="00440785">
        <w:t>“</w:t>
      </w:r>
      <w:r w:rsidR="00297F24">
        <w:t>program be implemented in a manner that ensures nonparticipating ratepayer indifference for the remaining bundled service, direct access, and community choice aggregat</w:t>
      </w:r>
      <w:r w:rsidR="00FA0994">
        <w:t xml:space="preserve">or </w:t>
      </w:r>
      <w:r w:rsidR="00297F24">
        <w:t>customers.</w:t>
      </w:r>
      <w:r w:rsidR="00440785">
        <w:t>”</w:t>
      </w:r>
      <w:r w:rsidR="00297F24">
        <w:rPr>
          <w:rStyle w:val="FootnoteReference"/>
        </w:rPr>
        <w:footnoteReference w:id="4"/>
      </w:r>
    </w:p>
    <w:p w:rsidR="00F53811" w:rsidP="0086261C" w:rsidRDefault="003627A8" w14:paraId="4AFFA5ED" w14:textId="4E98032D">
      <w:pPr>
        <w:pStyle w:val="Standard"/>
      </w:pPr>
      <w:r>
        <w:t>SB </w:t>
      </w:r>
      <w:r w:rsidR="00297F24">
        <w:t>43 directed the Commission to require participating utilities</w:t>
      </w:r>
      <w:r w:rsidR="00523243">
        <w:rPr>
          <w:rStyle w:val="FootnoteReference"/>
        </w:rPr>
        <w:footnoteReference w:id="5"/>
      </w:r>
      <w:r w:rsidR="00297F24">
        <w:t xml:space="preserve"> to administer a </w:t>
      </w:r>
      <w:r w:rsidR="002D4E0C">
        <w:t xml:space="preserve">GTSR Program </w:t>
      </w:r>
      <w:r w:rsidR="00871DD1">
        <w:t>that includes</w:t>
      </w:r>
      <w:r w:rsidR="003E614E">
        <w:t xml:space="preserve"> the following criteria</w:t>
      </w:r>
      <w:r w:rsidR="009F5702">
        <w:t xml:space="preserve">: </w:t>
      </w:r>
      <w:r w:rsidR="003E614E">
        <w:t>(1</w:t>
      </w:r>
      <w:r w:rsidR="006257AE">
        <w:t>) </w:t>
      </w:r>
      <w:r w:rsidR="003E614E">
        <w:t>the participating generating facilities shall be eligible renewable energy resources with a generating capacity less than or equal to 20</w:t>
      </w:r>
      <w:r w:rsidR="00ED70F0">
        <w:t> </w:t>
      </w:r>
      <w:r w:rsidR="00613871">
        <w:t>megawatts (</w:t>
      </w:r>
      <w:r w:rsidR="00ED70F0">
        <w:t>MW</w:t>
      </w:r>
      <w:r w:rsidR="00613871">
        <w:t>)</w:t>
      </w:r>
      <w:r w:rsidR="003E614E">
        <w:t>; (2</w:t>
      </w:r>
      <w:r w:rsidR="006257AE">
        <w:t>) </w:t>
      </w:r>
      <w:r w:rsidR="003E614E">
        <w:t xml:space="preserve">using </w:t>
      </w:r>
      <w:r w:rsidR="003E614E">
        <w:lastRenderedPageBreak/>
        <w:t>Commission</w:t>
      </w:r>
      <w:r w:rsidR="003D6EF8">
        <w:noBreakHyphen/>
      </w:r>
      <w:r w:rsidR="003E614E">
        <w:t>approved tools and mechanisms,</w:t>
      </w:r>
      <w:r w:rsidR="00F90089">
        <w:rPr>
          <w:rStyle w:val="FootnoteReference"/>
        </w:rPr>
        <w:footnoteReference w:id="6"/>
      </w:r>
      <w:r w:rsidR="003E614E">
        <w:t xml:space="preserve"> utilities shall procure eligible renewable energy resources that are in addition to those required by the California Renewables Portfolio Standard </w:t>
      </w:r>
      <w:r w:rsidR="007C191C">
        <w:t xml:space="preserve">(RPS) </w:t>
      </w:r>
      <w:r w:rsidR="003E614E">
        <w:t>Program; (3</w:t>
      </w:r>
      <w:r w:rsidR="006257AE">
        <w:t>) </w:t>
      </w:r>
      <w:r w:rsidR="003E614E">
        <w:t xml:space="preserve">utilities shall permit </w:t>
      </w:r>
      <w:r w:rsidR="00954DF2">
        <w:t xml:space="preserve">their </w:t>
      </w:r>
      <w:r w:rsidR="003E614E">
        <w:t xml:space="preserve">service area customers to purchase electricity pursuant to the Commission approved tariff </w:t>
      </w:r>
      <w:r w:rsidR="0086261C">
        <w:t>(</w:t>
      </w:r>
      <w:r w:rsidR="003E614E">
        <w:t>up to the utility</w:t>
      </w:r>
      <w:r w:rsidR="00440785">
        <w:t>’</w:t>
      </w:r>
      <w:r w:rsidR="003E614E">
        <w:t>s share of the 600</w:t>
      </w:r>
      <w:r w:rsidR="00571590">
        <w:t> </w:t>
      </w:r>
      <w:r w:rsidR="00613871">
        <w:t xml:space="preserve">MW </w:t>
      </w:r>
      <w:r w:rsidR="003E614E">
        <w:t>limit</w:t>
      </w:r>
      <w:r w:rsidR="0086261C">
        <w:t>)</w:t>
      </w:r>
      <w:r w:rsidR="003E614E">
        <w:t xml:space="preserve"> </w:t>
      </w:r>
      <w:r w:rsidR="00871DD1">
        <w:t>but</w:t>
      </w:r>
      <w:r w:rsidR="003E614E">
        <w:t xml:space="preserve"> with a per customer limitation of no more than 100</w:t>
      </w:r>
      <w:r w:rsidR="00405FF8">
        <w:t> percent</w:t>
      </w:r>
      <w:r w:rsidR="003E614E">
        <w:t xml:space="preserve"> of a customer</w:t>
      </w:r>
      <w:r w:rsidR="00440785">
        <w:t>’</w:t>
      </w:r>
      <w:r w:rsidR="003E614E">
        <w:t xml:space="preserve">s usage </w:t>
      </w:r>
      <w:r w:rsidR="0086261C">
        <w:t>and no more than</w:t>
      </w:r>
      <w:r w:rsidR="003E614E">
        <w:t xml:space="preserve"> two megawatts of the nameplate generating capacity</w:t>
      </w:r>
      <w:r w:rsidR="00871DD1">
        <w:t>; (4</w:t>
      </w:r>
      <w:r w:rsidR="006257AE">
        <w:t>) </w:t>
      </w:r>
      <w:r w:rsidR="00871DD1">
        <w:t>participating customers shall pay a renewable generation rate established by the Commission as well as utilities</w:t>
      </w:r>
      <w:r w:rsidR="00440785">
        <w:t>’</w:t>
      </w:r>
      <w:r w:rsidR="00871DD1">
        <w:t xml:space="preserve"> administrative costs and other cha</w:t>
      </w:r>
      <w:r w:rsidR="00E4708C">
        <w:t>r</w:t>
      </w:r>
      <w:r w:rsidR="00871DD1">
        <w:t>ges determined to be just and reasonable; (5</w:t>
      </w:r>
      <w:r w:rsidR="006257AE">
        <w:t>) </w:t>
      </w:r>
      <w:r w:rsidR="00871DD1">
        <w:t>participating customer</w:t>
      </w:r>
      <w:r w:rsidR="00440785">
        <w:t>’</w:t>
      </w:r>
      <w:r w:rsidR="00871DD1">
        <w:t>s rates shall be debited or credited with other costs; (6</w:t>
      </w:r>
      <w:r w:rsidR="006257AE">
        <w:t>) </w:t>
      </w:r>
      <w:r w:rsidR="0086261C">
        <w:t>to the extent possible, u</w:t>
      </w:r>
      <w:r w:rsidR="003E614E">
        <w:t>tilitie</w:t>
      </w:r>
      <w:r w:rsidR="00F51A9C">
        <w:t xml:space="preserve">s </w:t>
      </w:r>
      <w:r w:rsidR="0086261C">
        <w:t>shall</w:t>
      </w:r>
      <w:r w:rsidR="003E614E">
        <w:t xml:space="preserve"> procure resources located in reasonable proximity to enrolled participants</w:t>
      </w:r>
      <w:r w:rsidR="00871DD1">
        <w:t xml:space="preserve"> and actively market the program to low</w:t>
      </w:r>
      <w:r w:rsidR="003D6EF8">
        <w:noBreakHyphen/>
      </w:r>
      <w:r w:rsidR="00871DD1">
        <w:t>income and minority communities and customers</w:t>
      </w:r>
      <w:r w:rsidR="0086261C">
        <w:t>; (7</w:t>
      </w:r>
      <w:r w:rsidR="006257AE">
        <w:t>) </w:t>
      </w:r>
      <w:r w:rsidR="0086261C">
        <w:t>utilities shall not allow any single entity to subscribe to more than 20</w:t>
      </w:r>
      <w:r w:rsidR="00405FF8">
        <w:t> percent</w:t>
      </w:r>
      <w:r w:rsidR="0086261C">
        <w:t xml:space="preserve"> of any single calendar year</w:t>
      </w:r>
      <w:r w:rsidR="00440785">
        <w:t>’</w:t>
      </w:r>
      <w:r w:rsidR="0086261C">
        <w:t>s capacity; (8</w:t>
      </w:r>
      <w:r w:rsidR="006257AE">
        <w:t>) </w:t>
      </w:r>
      <w:r w:rsidR="0086261C">
        <w:t>customers shall receive bill credits for generation using the class average retail generation cost plus a renewables adjustment value; (9</w:t>
      </w:r>
      <w:r w:rsidR="006257AE">
        <w:t>) </w:t>
      </w:r>
      <w:r w:rsidR="0086261C">
        <w:t xml:space="preserve">utilities shall provide support for </w:t>
      </w:r>
      <w:r w:rsidRPr="00FD66C0" w:rsidR="0086261C">
        <w:t>enhanced community renewables</w:t>
      </w:r>
      <w:r w:rsidR="0086261C">
        <w:t xml:space="preserve"> </w:t>
      </w:r>
      <w:r w:rsidR="00E73D2C">
        <w:t>(</w:t>
      </w:r>
      <w:r w:rsidRPr="00FD66C0" w:rsidR="00E73D2C">
        <w:t>ECR</w:t>
      </w:r>
      <w:r w:rsidR="00E73D2C">
        <w:t xml:space="preserve">) </w:t>
      </w:r>
      <w:r w:rsidR="0086261C">
        <w:t>programs; (10</w:t>
      </w:r>
      <w:r w:rsidR="006257AE">
        <w:t>) </w:t>
      </w:r>
      <w:r w:rsidR="0086261C">
        <w:t>utilities shall track and account for all revenues and costs to ensure recovery of actual costs</w:t>
      </w:r>
      <w:r w:rsidR="00F90089">
        <w:t xml:space="preserve">; </w:t>
      </w:r>
      <w:r w:rsidR="006257AE">
        <w:t>(</w:t>
      </w:r>
      <w:r w:rsidR="00F90089">
        <w:t>11</w:t>
      </w:r>
      <w:r w:rsidR="006257AE">
        <w:t>) </w:t>
      </w:r>
      <w:r w:rsidR="00F90089">
        <w:t xml:space="preserve">utilities shall retire renewable energy credits utilized by a participating customer; </w:t>
      </w:r>
      <w:r w:rsidR="006257AE">
        <w:t>(</w:t>
      </w:r>
      <w:r w:rsidR="00F90089">
        <w:t>12</w:t>
      </w:r>
      <w:r w:rsidR="006257AE">
        <w:t>) </w:t>
      </w:r>
      <w:r w:rsidR="00F90089">
        <w:t xml:space="preserve">utilities shall ensure that renewable energy resources procured on behalf of customers participating in this program comply with the </w:t>
      </w:r>
      <w:r w:rsidR="00AA2B48">
        <w:t xml:space="preserve">California </w:t>
      </w:r>
      <w:r w:rsidR="00F90089">
        <w:t>Air Resources Board</w:t>
      </w:r>
      <w:r w:rsidR="00440785">
        <w:t>’</w:t>
      </w:r>
      <w:r w:rsidR="00F90089">
        <w:t xml:space="preserve">s </w:t>
      </w:r>
      <w:r w:rsidR="00F90089">
        <w:lastRenderedPageBreak/>
        <w:t>Voluntary Renewables Electricity Program</w:t>
      </w:r>
      <w:r w:rsidR="00737DFC">
        <w:t>;</w:t>
      </w:r>
      <w:r w:rsidR="0086261C">
        <w:t xml:space="preserve"> and </w:t>
      </w:r>
      <w:r w:rsidR="00737DFC">
        <w:t>(</w:t>
      </w:r>
      <w:r w:rsidR="00F90089">
        <w:t>1</w:t>
      </w:r>
      <w:r w:rsidR="008B6F41">
        <w:t>3</w:t>
      </w:r>
      <w:r w:rsidR="006257AE">
        <w:t>) </w:t>
      </w:r>
      <w:r w:rsidR="00F90089">
        <w:t xml:space="preserve">the Commission shall </w:t>
      </w:r>
      <w:r w:rsidR="0086261C">
        <w:t>ensure no costs are shifted from participating customers to nonparticipating customers</w:t>
      </w:r>
      <w:r w:rsidR="00F90089">
        <w:t>.</w:t>
      </w:r>
    </w:p>
    <w:p w:rsidR="00F90089" w:rsidP="0086261C" w:rsidRDefault="003627A8" w14:paraId="4C8D5A2D" w14:textId="41715518">
      <w:pPr>
        <w:pStyle w:val="Standard"/>
      </w:pPr>
      <w:r>
        <w:t>SB </w:t>
      </w:r>
      <w:r w:rsidR="00F90089">
        <w:t xml:space="preserve">43 originally included a termination clause that was </w:t>
      </w:r>
      <w:r w:rsidR="001166A3">
        <w:t>removed</w:t>
      </w:r>
      <w:r w:rsidR="00F90089">
        <w:t xml:space="preserve"> by </w:t>
      </w:r>
      <w:r>
        <w:t>SB </w:t>
      </w:r>
      <w:r w:rsidR="00BD0A4B">
        <w:t xml:space="preserve">840 </w:t>
      </w:r>
      <w:r w:rsidR="00EE35B1">
        <w:t>Stats. </w:t>
      </w:r>
      <w:r w:rsidR="00F90089">
        <w:t xml:space="preserve">2016, </w:t>
      </w:r>
      <w:r w:rsidR="00974D5D">
        <w:t>ch. </w:t>
      </w:r>
      <w:r w:rsidR="00F90089">
        <w:t xml:space="preserve">341, </w:t>
      </w:r>
      <w:r w:rsidR="007A39AB">
        <w:t>Sec. </w:t>
      </w:r>
      <w:r w:rsidR="00F90089">
        <w:t>12.</w:t>
      </w:r>
      <w:r w:rsidR="008B6F41">
        <w:t xml:space="preserve"> Further, </w:t>
      </w:r>
      <w:r>
        <w:t>AB </w:t>
      </w:r>
      <w:r w:rsidR="008B6F41">
        <w:t>2838 (</w:t>
      </w:r>
      <w:r w:rsidRPr="00FD66C0" w:rsidR="008B6F41">
        <w:t>O</w:t>
      </w:r>
      <w:r w:rsidR="00440785">
        <w:t>’</w:t>
      </w:r>
      <w:r w:rsidRPr="00FD66C0" w:rsidR="008B6F41">
        <w:t>Donnell</w:t>
      </w:r>
      <w:r w:rsidR="008B6F41">
        <w:t xml:space="preserve">) </w:t>
      </w:r>
      <w:r w:rsidR="00EE35B1">
        <w:t>Stats. </w:t>
      </w:r>
      <w:r w:rsidR="008B6F41">
        <w:t xml:space="preserve">2022, </w:t>
      </w:r>
      <w:r w:rsidR="00EE35B1">
        <w:t>ch. </w:t>
      </w:r>
      <w:r w:rsidR="008B6F41">
        <w:t xml:space="preserve">418 authorized the Commission, on and after </w:t>
      </w:r>
      <w:r w:rsidR="0013526D">
        <w:t>April </w:t>
      </w:r>
      <w:r w:rsidR="008B6F41">
        <w:t xml:space="preserve">1, 2023, to allow electrical corporations of 100,000 or more customer accounts to terminate a </w:t>
      </w:r>
      <w:r w:rsidR="002D4E0C">
        <w:t>GTSR P</w:t>
      </w:r>
      <w:r w:rsidR="008B6F41">
        <w:t>rogram through an advice letter.</w:t>
      </w:r>
    </w:p>
    <w:p w:rsidR="00320DBC" w:rsidP="001B1E90" w:rsidRDefault="001B1E90" w14:paraId="65C94B75" w14:textId="69541B59">
      <w:pPr>
        <w:pStyle w:val="Heading3"/>
      </w:pPr>
      <w:bookmarkStart w:name="_Toc159551136" w:id="16"/>
      <w:bookmarkStart w:name="_Toc168559256" w:id="17"/>
      <w:r>
        <w:t>Assembly Bill </w:t>
      </w:r>
      <w:r w:rsidR="00320DBC">
        <w:t>327</w:t>
      </w:r>
      <w:bookmarkEnd w:id="16"/>
      <w:bookmarkEnd w:id="17"/>
    </w:p>
    <w:p w:rsidR="00320DBC" w:rsidP="00320DBC" w:rsidRDefault="00320DBC" w14:paraId="7660C2E8" w14:textId="3B497154">
      <w:pPr>
        <w:pStyle w:val="Standard"/>
      </w:pPr>
      <w:r>
        <w:t xml:space="preserve">On </w:t>
      </w:r>
      <w:r w:rsidR="0013526D">
        <w:t>October </w:t>
      </w:r>
      <w:r>
        <w:t>7, 2013, California Governor</w:t>
      </w:r>
      <w:r w:rsidR="00EE35B1">
        <w:t> </w:t>
      </w:r>
      <w:r>
        <w:t xml:space="preserve">Brown approved </w:t>
      </w:r>
      <w:r w:rsidR="003627A8">
        <w:t>AB </w:t>
      </w:r>
      <w:r>
        <w:t xml:space="preserve">327. Relevant to this proceeding and decision, </w:t>
      </w:r>
      <w:r w:rsidR="003627A8">
        <w:t>AB </w:t>
      </w:r>
      <w:r>
        <w:t xml:space="preserve">327 added </w:t>
      </w:r>
      <w:r w:rsidR="003627A8">
        <w:t>Section </w:t>
      </w:r>
      <w:r>
        <w:t>2827.1 to the Public Utilities Code requiring the Commission to</w:t>
      </w:r>
      <w:r w:rsidR="00605FD3">
        <w:t>:</w:t>
      </w:r>
      <w:r>
        <w:t xml:space="preserve"> (1</w:t>
      </w:r>
      <w:r w:rsidR="00350A01">
        <w:t>) </w:t>
      </w:r>
      <w:r>
        <w:t>develop a standard contract or tariff for eligible customer</w:t>
      </w:r>
      <w:r w:rsidR="003D6EF8">
        <w:noBreakHyphen/>
      </w:r>
      <w:r>
        <w:t>generators with a renewable electrical generation facility</w:t>
      </w:r>
      <w:r w:rsidR="00350A01">
        <w:t>;</w:t>
      </w:r>
      <w:r>
        <w:t xml:space="preserve"> and (2</w:t>
      </w:r>
      <w:r w:rsidR="00350A01">
        <w:t>) </w:t>
      </w:r>
      <w:r>
        <w:t xml:space="preserve">require large electrical corporations that have reached the net energy metering program limit described in </w:t>
      </w:r>
      <w:r w:rsidR="00440785">
        <w:t>Pub. Util.</w:t>
      </w:r>
      <w:r>
        <w:t xml:space="preserve"> Code </w:t>
      </w:r>
      <w:r w:rsidR="003627A8">
        <w:t>Section </w:t>
      </w:r>
      <w:r>
        <w:t>2827 to offer the standard contract or tariff to eligible customer</w:t>
      </w:r>
      <w:r w:rsidR="003D6EF8">
        <w:noBreakHyphen/>
      </w:r>
      <w:r>
        <w:t>generators.</w:t>
      </w:r>
      <w:r w:rsidR="00522467">
        <w:t xml:space="preserve"> Most relevant to this proceeding and decision, </w:t>
      </w:r>
      <w:r w:rsidR="003627A8">
        <w:t>AB </w:t>
      </w:r>
      <w:r w:rsidR="00522467">
        <w:t xml:space="preserve">327 required that the Commission ensure that the standard contract or tariff </w:t>
      </w:r>
      <w:r w:rsidR="00440785">
        <w:t>“</w:t>
      </w:r>
      <w:r w:rsidR="00522467">
        <w:t>includes specific alternatives designed for growth among residential customers in disadvantaged communities.</w:t>
      </w:r>
      <w:r w:rsidR="00440785">
        <w:t>”</w:t>
      </w:r>
      <w:r w:rsidR="00522467">
        <w:rPr>
          <w:rStyle w:val="FootnoteReference"/>
        </w:rPr>
        <w:footnoteReference w:id="7"/>
      </w:r>
    </w:p>
    <w:p w:rsidR="00F53811" w:rsidP="001B1E90" w:rsidRDefault="001B1E90" w14:paraId="792244B3" w14:textId="4780E337">
      <w:pPr>
        <w:pStyle w:val="Heading3"/>
      </w:pPr>
      <w:bookmarkStart w:name="_Toc159551137" w:id="18"/>
      <w:bookmarkStart w:name="_Toc168559257" w:id="19"/>
      <w:r>
        <w:t>Assembly Bill </w:t>
      </w:r>
      <w:r w:rsidR="00F53811">
        <w:t>2316</w:t>
      </w:r>
      <w:bookmarkEnd w:id="18"/>
      <w:bookmarkEnd w:id="19"/>
    </w:p>
    <w:p w:rsidR="00055F19" w:rsidP="006E6574" w:rsidRDefault="00D12428" w14:paraId="32B28223" w14:textId="4B03E0C7">
      <w:pPr>
        <w:pStyle w:val="Standard"/>
      </w:pPr>
      <w:r>
        <w:t xml:space="preserve">On </w:t>
      </w:r>
      <w:r w:rsidR="0013526D">
        <w:t>September </w:t>
      </w:r>
      <w:r>
        <w:t>16, 2022, California Governor</w:t>
      </w:r>
      <w:r w:rsidR="00EE35B1">
        <w:t> </w:t>
      </w:r>
      <w:r>
        <w:t xml:space="preserve">Gavin Newsom approved </w:t>
      </w:r>
      <w:r w:rsidR="003627A8">
        <w:t>AB </w:t>
      </w:r>
      <w:r>
        <w:t xml:space="preserve">2316. </w:t>
      </w:r>
      <w:r w:rsidR="003627A8">
        <w:t>AB </w:t>
      </w:r>
      <w:r w:rsidR="00300343">
        <w:t xml:space="preserve">2316 added </w:t>
      </w:r>
      <w:r w:rsidR="00EE35B1">
        <w:t>S</w:t>
      </w:r>
      <w:r w:rsidR="00300343">
        <w:t>ection</w:t>
      </w:r>
      <w:r w:rsidR="00EE35B1">
        <w:t> </w:t>
      </w:r>
      <w:r w:rsidR="00300343">
        <w:t xml:space="preserve">769.3 to the Public Utilities Code. </w:t>
      </w:r>
      <w:r w:rsidR="00055F19">
        <w:t xml:space="preserve">The intention </w:t>
      </w:r>
      <w:r w:rsidR="00300343">
        <w:t xml:space="preserve">of the new code section </w:t>
      </w:r>
      <w:r w:rsidR="00055F19">
        <w:t xml:space="preserve">is </w:t>
      </w:r>
      <w:r w:rsidR="00440785">
        <w:t>“</w:t>
      </w:r>
      <w:r w:rsidR="00055F19">
        <w:t xml:space="preserve">to create a community renewable energy program so that all Californians, especially those unable to host a rooftop solar system, </w:t>
      </w:r>
      <w:r w:rsidR="00055F19">
        <w:lastRenderedPageBreak/>
        <w:t>realize the benefits of distributed generation through a cost</w:t>
      </w:r>
      <w:r w:rsidR="003D6EF8">
        <w:noBreakHyphen/>
      </w:r>
      <w:r w:rsidR="00055F19">
        <w:t>effective program that provides benefits to all ratepayers.</w:t>
      </w:r>
      <w:r w:rsidR="00440785">
        <w:t>”</w:t>
      </w:r>
      <w:r w:rsidR="00055F19">
        <w:t xml:space="preserve"> As further detailed below, </w:t>
      </w:r>
      <w:r w:rsidR="003627A8">
        <w:t>AB </w:t>
      </w:r>
      <w:r>
        <w:t>2316 requires the Commission to</w:t>
      </w:r>
      <w:r w:rsidR="00605FD3">
        <w:t>:</w:t>
      </w:r>
      <w:r>
        <w:t xml:space="preserve"> </w:t>
      </w:r>
      <w:r w:rsidR="00055F19">
        <w:t>(1)</w:t>
      </w:r>
      <w:r w:rsidR="00433E87">
        <w:t> </w:t>
      </w:r>
      <w:r>
        <w:t xml:space="preserve">evaluate </w:t>
      </w:r>
      <w:r w:rsidR="00055F19">
        <w:t xml:space="preserve">by </w:t>
      </w:r>
      <w:r w:rsidR="001B0C0E">
        <w:t>March </w:t>
      </w:r>
      <w:r w:rsidR="00055F19">
        <w:t xml:space="preserve">31, 2024, </w:t>
      </w:r>
      <w:r>
        <w:t xml:space="preserve">each </w:t>
      </w:r>
      <w:r w:rsidR="00055F19">
        <w:t xml:space="preserve">existing </w:t>
      </w:r>
      <w:bookmarkStart w:name="_Hlk163662651" w:id="20"/>
      <w:r w:rsidR="00B04199">
        <w:t xml:space="preserve">customer renewable energy subscription program </w:t>
      </w:r>
      <w:bookmarkEnd w:id="20"/>
      <w:r>
        <w:t xml:space="preserve">(pursuant to </w:t>
      </w:r>
      <w:r w:rsidR="00440785">
        <w:t>Pub. Util.</w:t>
      </w:r>
      <w:r w:rsidR="00714C8B">
        <w:t xml:space="preserve"> </w:t>
      </w:r>
      <w:r>
        <w:t xml:space="preserve">Code </w:t>
      </w:r>
      <w:r w:rsidR="003627A8">
        <w:t>Section </w:t>
      </w:r>
      <w:r>
        <w:t>2827.1</w:t>
      </w:r>
      <w:r w:rsidR="00714C8B">
        <w:t>)</w:t>
      </w:r>
      <w:r w:rsidR="00433E87">
        <w:t>;</w:t>
      </w:r>
      <w:r w:rsidR="00055F19">
        <w:t xml:space="preserve"> and (2)</w:t>
      </w:r>
      <w:r w:rsidR="00433E87">
        <w:t> </w:t>
      </w:r>
      <w:r w:rsidR="00055F19">
        <w:t xml:space="preserve">determine whether it would be beneficial to ratepayers to establish a new </w:t>
      </w:r>
      <w:r w:rsidR="00B04199">
        <w:t xml:space="preserve">community renewable energy </w:t>
      </w:r>
      <w:r w:rsidR="00055F19">
        <w:t xml:space="preserve">program </w:t>
      </w:r>
      <w:r w:rsidR="00B04199">
        <w:t xml:space="preserve">or tariff </w:t>
      </w:r>
      <w:r w:rsidR="00055F19">
        <w:t xml:space="preserve">or modify the existing </w:t>
      </w:r>
      <w:r w:rsidR="00B04199">
        <w:t xml:space="preserve">customer renewable energy subscription programs (referred to from here onward as </w:t>
      </w:r>
      <w:r w:rsidR="00055F19">
        <w:t>Green Access Program</w:t>
      </w:r>
      <w:r w:rsidR="00B04199">
        <w:t xml:space="preserve"> tariffs</w:t>
      </w:r>
      <w:r w:rsidR="00055F19">
        <w:t>.</w:t>
      </w:r>
      <w:r w:rsidR="00B04199">
        <w:t>)</w:t>
      </w:r>
    </w:p>
    <w:p w:rsidR="0063491C" w:rsidP="006E6574" w:rsidRDefault="00055F19" w14:paraId="05373CFA" w14:textId="3217DF6E">
      <w:pPr>
        <w:pStyle w:val="Standard"/>
      </w:pPr>
      <w:r>
        <w:t>With the evaluation of the existing Green Access Program</w:t>
      </w:r>
      <w:r w:rsidR="00B04199">
        <w:t xml:space="preserve"> tariffs</w:t>
      </w:r>
      <w:r>
        <w:t xml:space="preserve">, the Commission is required to </w:t>
      </w:r>
      <w:r w:rsidR="00D12428">
        <w:t xml:space="preserve">determine whether </w:t>
      </w:r>
      <w:r>
        <w:t>each</w:t>
      </w:r>
      <w:r w:rsidR="00D12428">
        <w:t xml:space="preserve"> </w:t>
      </w:r>
      <w:r w:rsidR="00B04199">
        <w:t>tariff</w:t>
      </w:r>
      <w:r w:rsidR="00B21954">
        <w:t>: (1)</w:t>
      </w:r>
      <w:r w:rsidR="008C545B">
        <w:t> </w:t>
      </w:r>
      <w:r w:rsidR="00D12428">
        <w:t>efficiently serves distinct customer groups; (2</w:t>
      </w:r>
      <w:r w:rsidR="008C545B">
        <w:t>) </w:t>
      </w:r>
      <w:r w:rsidR="00D12428">
        <w:t>minimizes duplicative offerings; and (3</w:t>
      </w:r>
      <w:r w:rsidR="008C545B">
        <w:t>) </w:t>
      </w:r>
      <w:r w:rsidR="00D12428">
        <w:t>promotes robust participation by low</w:t>
      </w:r>
      <w:r w:rsidR="003D6EF8">
        <w:noBreakHyphen/>
      </w:r>
      <w:r w:rsidR="00D12428">
        <w:t>income customers.</w:t>
      </w:r>
      <w:r>
        <w:t xml:space="preserve"> The Commission is also required to consider the energy load migration trends among bundled and nonbundled customers and any associated risks with maintaining or creating a renewable energy subscription program. Further, the </w:t>
      </w:r>
      <w:r w:rsidR="00BD0A4B">
        <w:t xml:space="preserve">legislation requires the </w:t>
      </w:r>
      <w:r>
        <w:t xml:space="preserve">Commission </w:t>
      </w:r>
      <w:r w:rsidR="00440785">
        <w:t>“</w:t>
      </w:r>
      <w:r w:rsidR="00BA038F">
        <w:t xml:space="preserve">to authorize the </w:t>
      </w:r>
      <w:r>
        <w:t>terminat</w:t>
      </w:r>
      <w:r w:rsidR="00BA038F">
        <w:t>ion</w:t>
      </w:r>
      <w:r>
        <w:t xml:space="preserve"> or </w:t>
      </w:r>
      <w:r w:rsidR="00BA038F">
        <w:t>modification</w:t>
      </w:r>
      <w:r w:rsidR="00440785">
        <w:t>”</w:t>
      </w:r>
      <w:r w:rsidR="00BA038F">
        <w:t xml:space="preserve"> of </w:t>
      </w:r>
      <w:r>
        <w:t>existing Green Access Program</w:t>
      </w:r>
      <w:r w:rsidR="00B04199">
        <w:t xml:space="preserve"> tariffs</w:t>
      </w:r>
      <w:r>
        <w:t xml:space="preserve"> should a </w:t>
      </w:r>
      <w:r w:rsidR="00B04199">
        <w:t>tariff</w:t>
      </w:r>
      <w:r>
        <w:t xml:space="preserve"> not meet the three criteria.</w:t>
      </w:r>
    </w:p>
    <w:p w:rsidR="00C63D8A" w:rsidP="006E6574" w:rsidRDefault="003627A8" w14:paraId="332B0881" w14:textId="3B2EDA72">
      <w:pPr>
        <w:pStyle w:val="Standard"/>
      </w:pPr>
      <w:r>
        <w:t>AB </w:t>
      </w:r>
      <w:r w:rsidR="008627C0">
        <w:t xml:space="preserve">2316 also provides the </w:t>
      </w:r>
      <w:r w:rsidR="00B8530A">
        <w:t>Commission with</w:t>
      </w:r>
      <w:r w:rsidR="008627C0">
        <w:t xml:space="preserve"> the option to establish a community renewable energy program if it determines that such a program would be beneficial to ratepayers. The community renewable energy program, if established, shall do the following</w:t>
      </w:r>
      <w:r w:rsidR="009F5702">
        <w:t xml:space="preserve">: </w:t>
      </w:r>
      <w:r w:rsidR="008627C0">
        <w:t>(1</w:t>
      </w:r>
      <w:r w:rsidR="003C302A">
        <w:t>) </w:t>
      </w:r>
      <w:r w:rsidR="008627C0">
        <w:t xml:space="preserve">be complementary to and consistent with the requirements of </w:t>
      </w:r>
      <w:r>
        <w:t>Section </w:t>
      </w:r>
      <w:r w:rsidR="008627C0">
        <w:t>10</w:t>
      </w:r>
      <w:r w:rsidR="003D6EF8">
        <w:noBreakHyphen/>
      </w:r>
      <w:r w:rsidR="008627C0">
        <w:t xml:space="preserve">115 of the California Building Standards Code, </w:t>
      </w:r>
      <w:r w:rsidRPr="00150E4C" w:rsidR="008627C0">
        <w:rPr>
          <w:i/>
          <w:iCs/>
        </w:rPr>
        <w:t>i.e.</w:t>
      </w:r>
      <w:r w:rsidR="008627C0">
        <w:t xml:space="preserve">, </w:t>
      </w:r>
      <w:r w:rsidR="00E67CA9">
        <w:t>Title </w:t>
      </w:r>
      <w:r w:rsidR="008627C0">
        <w:t>24 of the California Code of Regulations; (2</w:t>
      </w:r>
      <w:r w:rsidR="003C302A">
        <w:t>) </w:t>
      </w:r>
      <w:r w:rsidR="008627C0">
        <w:t>ensure at least 51</w:t>
      </w:r>
      <w:r w:rsidR="00405FF8">
        <w:t> percent</w:t>
      </w:r>
      <w:r w:rsidR="008627C0">
        <w:t xml:space="preserve"> of the program</w:t>
      </w:r>
      <w:r w:rsidR="00440785">
        <w:t>’</w:t>
      </w:r>
      <w:r w:rsidR="008627C0">
        <w:t>s capacity serves low</w:t>
      </w:r>
      <w:r w:rsidR="003D6EF8">
        <w:noBreakHyphen/>
      </w:r>
      <w:r w:rsidR="008627C0">
        <w:t>income customers; (3</w:t>
      </w:r>
      <w:r w:rsidR="003C302A">
        <w:t>) </w:t>
      </w:r>
      <w:r w:rsidR="008627C0">
        <w:t>minimize impacts to nonparticipating customers by prohibiting the program</w:t>
      </w:r>
      <w:r w:rsidR="00440785">
        <w:t>’</w:t>
      </w:r>
      <w:r w:rsidR="008627C0">
        <w:t>s costs from being paid by nonparticipating customers in excess of the avoided costs; (4</w:t>
      </w:r>
      <w:r w:rsidR="003C302A">
        <w:t>) </w:t>
      </w:r>
      <w:r w:rsidR="008627C0">
        <w:t xml:space="preserve">ensure </w:t>
      </w:r>
      <w:r w:rsidR="00300343">
        <w:lastRenderedPageBreak/>
        <w:t>compliance</w:t>
      </w:r>
      <w:r w:rsidR="008627C0">
        <w:t xml:space="preserve"> with Section</w:t>
      </w:r>
      <w:r w:rsidR="00BB39FF">
        <w:t> </w:t>
      </w:r>
      <w:r w:rsidR="008627C0">
        <w:t xml:space="preserve">1773 and </w:t>
      </w:r>
      <w:r w:rsidR="00BB39FF">
        <w:t>Section </w:t>
      </w:r>
      <w:r w:rsidR="008627C0">
        <w:t xml:space="preserve">1773.9 of the Labor Code, </w:t>
      </w:r>
      <w:r w:rsidRPr="00150E4C" w:rsidR="00150E4C">
        <w:rPr>
          <w:i/>
          <w:iCs/>
        </w:rPr>
        <w:t>i.e.</w:t>
      </w:r>
      <w:r w:rsidR="008627C0">
        <w:t>, prevailing wages requirement; (5</w:t>
      </w:r>
      <w:r w:rsidR="003C302A">
        <w:t>) </w:t>
      </w:r>
      <w:r w:rsidR="008627C0">
        <w:t>provide bill credits to subscribers based on the avoided costs of program</w:t>
      </w:r>
      <w:r w:rsidR="00440785">
        <w:t>’</w:t>
      </w:r>
      <w:r w:rsidR="008627C0">
        <w:t>s facilities; and (6</w:t>
      </w:r>
      <w:r w:rsidR="003C302A">
        <w:t>) </w:t>
      </w:r>
      <w:r w:rsidR="008627C0">
        <w:t>prioritize the maximum use of state and federal incentives and accelerate implementation of the program to ensure that time</w:t>
      </w:r>
      <w:r w:rsidR="003D6EF8">
        <w:noBreakHyphen/>
      </w:r>
      <w:r w:rsidR="008627C0">
        <w:t xml:space="preserve"> or quality</w:t>
      </w:r>
      <w:r w:rsidR="003D6EF8">
        <w:noBreakHyphen/>
      </w:r>
      <w:r w:rsidR="008627C0">
        <w:t>limited federal incentives can be obtained for the benefit of subscribers.</w:t>
      </w:r>
    </w:p>
    <w:p w:rsidR="00300343" w:rsidP="006E6574" w:rsidRDefault="00300343" w14:paraId="14F213DC" w14:textId="50EFC9CF">
      <w:pPr>
        <w:pStyle w:val="Standard"/>
      </w:pPr>
      <w:r>
        <w:t>The legislation required</w:t>
      </w:r>
      <w:r w:rsidR="00E81DD5">
        <w:t xml:space="preserve"> </w:t>
      </w:r>
      <w:r>
        <w:t>that</w:t>
      </w:r>
      <w:r w:rsidR="00E81DD5">
        <w:t xml:space="preserve">, </w:t>
      </w:r>
      <w:r>
        <w:t xml:space="preserve">by </w:t>
      </w:r>
      <w:r w:rsidR="001B0C0E">
        <w:t>March </w:t>
      </w:r>
      <w:r>
        <w:t>31, 202</w:t>
      </w:r>
      <w:r w:rsidR="00BA038F">
        <w:t>4</w:t>
      </w:r>
      <w:r>
        <w:t>, the Commission shall complete the evaluation</w:t>
      </w:r>
      <w:r w:rsidR="00E81DD5">
        <w:t xml:space="preserve"> of the </w:t>
      </w:r>
      <w:r w:rsidR="00F90080">
        <w:t xml:space="preserve">existing </w:t>
      </w:r>
      <w:r w:rsidR="00B04199">
        <w:t xml:space="preserve">Green Access Program tariffs </w:t>
      </w:r>
      <w:r w:rsidR="00E81DD5">
        <w:t xml:space="preserve">and determine whether to authorize the termination or modification of existing </w:t>
      </w:r>
      <w:r w:rsidR="00B04199">
        <w:t>tariffs</w:t>
      </w:r>
      <w:r>
        <w:t xml:space="preserve"> </w:t>
      </w:r>
      <w:r w:rsidR="00E81DD5">
        <w:t xml:space="preserve">and/or determine whether to develop a new </w:t>
      </w:r>
      <w:r w:rsidR="00B04199">
        <w:t xml:space="preserve">community renewable energy program </w:t>
      </w:r>
      <w:r w:rsidR="00E81DD5">
        <w:t xml:space="preserve">tariff to be established on or before </w:t>
      </w:r>
      <w:r w:rsidR="0013526D">
        <w:t>July </w:t>
      </w:r>
      <w:r w:rsidR="00E81DD5">
        <w:t>1, 2024.</w:t>
      </w:r>
      <w:r w:rsidR="00E81DD5">
        <w:rPr>
          <w:rStyle w:val="FootnoteReference"/>
        </w:rPr>
        <w:footnoteReference w:id="8"/>
      </w:r>
    </w:p>
    <w:p w:rsidR="00D91AC8" w:rsidP="001B1E90" w:rsidRDefault="0044198E" w14:paraId="25F08DFB" w14:textId="5900129D">
      <w:pPr>
        <w:pStyle w:val="Heading2"/>
      </w:pPr>
      <w:bookmarkStart w:name="_Toc159551138" w:id="21"/>
      <w:bookmarkStart w:name="_Toc168559258" w:id="22"/>
      <w:r>
        <w:t xml:space="preserve">Commission Actions to </w:t>
      </w:r>
      <w:r w:rsidR="00D91AC8">
        <w:t>Implement</w:t>
      </w:r>
      <w:r w:rsidR="006F1EDB">
        <w:br/>
      </w:r>
      <w:r w:rsidR="001B1E90">
        <w:t>Senate Bill </w:t>
      </w:r>
      <w:r w:rsidR="00D91AC8">
        <w:t xml:space="preserve">43 and </w:t>
      </w:r>
      <w:r w:rsidR="001B1E90">
        <w:t>Assembly Bill </w:t>
      </w:r>
      <w:r w:rsidR="00D91AC8">
        <w:t>327</w:t>
      </w:r>
      <w:bookmarkEnd w:id="21"/>
      <w:bookmarkEnd w:id="22"/>
    </w:p>
    <w:p w:rsidR="00D91AC8" w:rsidP="00D91AC8" w:rsidRDefault="00D91AC8" w14:paraId="18838C5C" w14:textId="496BBD73">
      <w:pPr>
        <w:pStyle w:val="Standard"/>
      </w:pPr>
      <w:r>
        <w:t>The following subsections describe the Commission</w:t>
      </w:r>
      <w:r w:rsidR="00440785">
        <w:t>’</w:t>
      </w:r>
      <w:r>
        <w:t xml:space="preserve">s actions in implementing </w:t>
      </w:r>
      <w:r w:rsidR="003627A8">
        <w:t>SB </w:t>
      </w:r>
      <w:r>
        <w:t xml:space="preserve">43 and </w:t>
      </w:r>
      <w:r w:rsidR="003627A8">
        <w:t>AB </w:t>
      </w:r>
      <w:r>
        <w:t>327</w:t>
      </w:r>
      <w:r w:rsidR="0044198E">
        <w:t>.</w:t>
      </w:r>
    </w:p>
    <w:p w:rsidR="00D91AC8" w:rsidP="001B1E90" w:rsidRDefault="00D91AC8" w14:paraId="09AC656A" w14:textId="06D2E1D3">
      <w:pPr>
        <w:pStyle w:val="Heading3"/>
      </w:pPr>
      <w:bookmarkStart w:name="_Toc159551139" w:id="23"/>
      <w:bookmarkStart w:name="_Toc168559259" w:id="24"/>
      <w:r>
        <w:t xml:space="preserve">Implementation of </w:t>
      </w:r>
      <w:r w:rsidR="001B1E90">
        <w:t>Senate Bill </w:t>
      </w:r>
      <w:r>
        <w:t xml:space="preserve">43 through </w:t>
      </w:r>
      <w:r w:rsidR="001B1E90">
        <w:t>Decision </w:t>
      </w:r>
      <w:r w:rsidR="008E120F">
        <w:t>15</w:t>
      </w:r>
      <w:r w:rsidR="003D6EF8">
        <w:noBreakHyphen/>
      </w:r>
      <w:r w:rsidR="008E120F">
        <w:t>01</w:t>
      </w:r>
      <w:r w:rsidR="003D6EF8">
        <w:noBreakHyphen/>
      </w:r>
      <w:r w:rsidR="008E120F">
        <w:t>051</w:t>
      </w:r>
      <w:r w:rsidR="006F1EDB">
        <w:br/>
      </w:r>
      <w:r w:rsidR="00EC18D8">
        <w:t xml:space="preserve">and </w:t>
      </w:r>
      <w:r w:rsidR="001B1E90">
        <w:t>Decision </w:t>
      </w:r>
      <w:r w:rsidR="00EC18D8">
        <w:t>16</w:t>
      </w:r>
      <w:r w:rsidR="003D6EF8">
        <w:noBreakHyphen/>
      </w:r>
      <w:r w:rsidR="00EC18D8">
        <w:t>05</w:t>
      </w:r>
      <w:r w:rsidR="003D6EF8">
        <w:noBreakHyphen/>
      </w:r>
      <w:r w:rsidR="00EC18D8">
        <w:t>031</w:t>
      </w:r>
      <w:bookmarkEnd w:id="23"/>
      <w:bookmarkEnd w:id="24"/>
    </w:p>
    <w:p w:rsidR="00D91AC8" w:rsidP="00D91AC8" w:rsidRDefault="008E120F" w14:paraId="35BB4BA1" w14:textId="71570F95">
      <w:pPr>
        <w:pStyle w:val="Standard"/>
      </w:pPr>
      <w:r>
        <w:t xml:space="preserve">On </w:t>
      </w:r>
      <w:r w:rsidR="001B0C0E">
        <w:t>January </w:t>
      </w:r>
      <w:r>
        <w:t xml:space="preserve">29, 2015, the Commission approved </w:t>
      </w:r>
      <w:r w:rsidRPr="00FD66C0">
        <w:t>D</w:t>
      </w:r>
      <w:r w:rsidRPr="00FD66C0" w:rsidR="001202CC">
        <w:t>ecision</w:t>
      </w:r>
      <w:r w:rsidR="001202CC">
        <w:t xml:space="preserve"> (</w:t>
      </w:r>
      <w:r w:rsidRPr="00FD66C0" w:rsidR="001202CC">
        <w:t>D</w:t>
      </w:r>
      <w:r w:rsidRPr="00FD66C0">
        <w:t>.</w:t>
      </w:r>
      <w:r w:rsidR="001202CC">
        <w:t>) </w:t>
      </w:r>
      <w:r>
        <w:t>15</w:t>
      </w:r>
      <w:r w:rsidR="003D6EF8">
        <w:noBreakHyphen/>
      </w:r>
      <w:r>
        <w:t>01</w:t>
      </w:r>
      <w:r w:rsidR="003D6EF8">
        <w:noBreakHyphen/>
      </w:r>
      <w:r>
        <w:t xml:space="preserve">051, which implemented </w:t>
      </w:r>
      <w:r w:rsidR="003627A8">
        <w:t>SB </w:t>
      </w:r>
      <w:r>
        <w:t xml:space="preserve">43 by creating the </w:t>
      </w:r>
      <w:r w:rsidRPr="00B9594D">
        <w:t>GTSR</w:t>
      </w:r>
      <w:r>
        <w:t xml:space="preserve"> Program </w:t>
      </w:r>
      <w:r w:rsidR="0047664A">
        <w:t>administered by</w:t>
      </w:r>
      <w:r>
        <w:t xml:space="preserve"> </w:t>
      </w:r>
      <w:r w:rsidRPr="00FD66C0" w:rsidR="00FD5602">
        <w:t xml:space="preserve">Pacific Gas and Electric Company </w:t>
      </w:r>
      <w:r w:rsidR="00FD5602">
        <w:t>(</w:t>
      </w:r>
      <w:r w:rsidRPr="00FD66C0" w:rsidR="00FD5602">
        <w:t>PG&amp;E</w:t>
      </w:r>
      <w:r w:rsidR="00FD5602">
        <w:t xml:space="preserve">), </w:t>
      </w:r>
      <w:r w:rsidRPr="00FD66C0" w:rsidR="00D463F5">
        <w:t>San </w:t>
      </w:r>
      <w:r w:rsidRPr="00FD66C0" w:rsidR="00FD5602">
        <w:t>Diego Gas</w:t>
      </w:r>
      <w:r w:rsidRPr="00FD66C0" w:rsidR="0038077D">
        <w:t xml:space="preserve"> &amp; </w:t>
      </w:r>
      <w:r w:rsidRPr="00FD66C0" w:rsidR="00FD5602">
        <w:t xml:space="preserve">Electric Company </w:t>
      </w:r>
      <w:r w:rsidR="00FD5602">
        <w:t>(</w:t>
      </w:r>
      <w:r w:rsidRPr="00FD66C0">
        <w:t>SDG&amp;E</w:t>
      </w:r>
      <w:r w:rsidR="00FD5602">
        <w:t>)</w:t>
      </w:r>
      <w:r>
        <w:t xml:space="preserve">, and </w:t>
      </w:r>
      <w:r w:rsidRPr="00FD66C0" w:rsidR="00FD5602">
        <w:t xml:space="preserve">Southern California Edison Company </w:t>
      </w:r>
      <w:r w:rsidR="00FD5602">
        <w:t>(</w:t>
      </w:r>
      <w:r w:rsidRPr="00FD66C0">
        <w:t>SCE</w:t>
      </w:r>
      <w:r w:rsidR="00FD5602">
        <w:t>) (</w:t>
      </w:r>
      <w:r w:rsidRPr="00FD66C0" w:rsidR="004E597B">
        <w:t>collectively</w:t>
      </w:r>
      <w:r w:rsidR="00FD5602">
        <w:t xml:space="preserve">, </w:t>
      </w:r>
      <w:r w:rsidRPr="00FD66C0" w:rsidR="00FD5602">
        <w:t>Utilities</w:t>
      </w:r>
      <w:r w:rsidR="00FD5602">
        <w:t>)</w:t>
      </w:r>
      <w:r>
        <w:t xml:space="preserve">. The program consists of a </w:t>
      </w:r>
      <w:r w:rsidRPr="00FD66C0">
        <w:t xml:space="preserve">green tariff option </w:t>
      </w:r>
      <w:r>
        <w:t>(</w:t>
      </w:r>
      <w:r w:rsidRPr="00FD66C0">
        <w:t>GTSR</w:t>
      </w:r>
      <w:r w:rsidR="003D6EF8">
        <w:noBreakHyphen/>
      </w:r>
      <w:r w:rsidRPr="00FD66C0">
        <w:t>G</w:t>
      </w:r>
      <w:r w:rsidRPr="00FD66C0" w:rsidR="0013243A">
        <w:t>T</w:t>
      </w:r>
      <w:r>
        <w:t>)</w:t>
      </w:r>
      <w:r w:rsidR="0047664A">
        <w:t xml:space="preserve">, which allows customers to purchase energy with a greater share of renewables, </w:t>
      </w:r>
      <w:r>
        <w:t xml:space="preserve">and an </w:t>
      </w:r>
      <w:r w:rsidRPr="00FD66C0" w:rsidR="00E73D2C">
        <w:t xml:space="preserve">ECR </w:t>
      </w:r>
      <w:r w:rsidRPr="00FD66C0">
        <w:t xml:space="preserve">option </w:t>
      </w:r>
      <w:r w:rsidR="0047664A">
        <w:t>(</w:t>
      </w:r>
      <w:r w:rsidRPr="00FD66C0">
        <w:t>GTSR</w:t>
      </w:r>
      <w:r w:rsidR="003D6EF8">
        <w:noBreakHyphen/>
      </w:r>
      <w:r w:rsidRPr="00FD66C0" w:rsidR="0047664A">
        <w:t>ECR</w:t>
      </w:r>
      <w:r w:rsidR="0047664A">
        <w:t>), which allows customers to purchase renewable energy from community</w:t>
      </w:r>
      <w:r w:rsidR="003D6EF8">
        <w:noBreakHyphen/>
      </w:r>
      <w:r w:rsidR="0047664A">
        <w:t>based projects.</w:t>
      </w:r>
    </w:p>
    <w:p w:rsidR="002F78B0" w:rsidP="00D91AC8" w:rsidRDefault="002F78B0" w14:paraId="1E7EC0AF" w14:textId="29C6F759">
      <w:pPr>
        <w:pStyle w:val="Standard"/>
      </w:pPr>
      <w:r>
        <w:lastRenderedPageBreak/>
        <w:t>Pertinent to this decision, D.15</w:t>
      </w:r>
      <w:r w:rsidR="003D6EF8">
        <w:noBreakHyphen/>
      </w:r>
      <w:r>
        <w:t>01</w:t>
      </w:r>
      <w:r w:rsidR="003D6EF8">
        <w:noBreakHyphen/>
      </w:r>
      <w:r>
        <w:t>051 create</w:t>
      </w:r>
      <w:r w:rsidR="000422DC">
        <w:t>d</w:t>
      </w:r>
      <w:r>
        <w:t xml:space="preserve"> the GTSR</w:t>
      </w:r>
      <w:r w:rsidR="003D6EF8">
        <w:noBreakHyphen/>
      </w:r>
      <w:r>
        <w:t>GT and GTSR</w:t>
      </w:r>
      <w:r w:rsidR="003D6EF8">
        <w:noBreakHyphen/>
      </w:r>
      <w:r>
        <w:t xml:space="preserve">ECR </w:t>
      </w:r>
      <w:r w:rsidR="00EC18D8">
        <w:t xml:space="preserve">programs </w:t>
      </w:r>
      <w:r>
        <w:t xml:space="preserve">to align with the requirements of </w:t>
      </w:r>
      <w:r w:rsidR="003627A8">
        <w:t>SB </w:t>
      </w:r>
      <w:r>
        <w:t>43. Among those requirements is a capacity limitation of 600</w:t>
      </w:r>
      <w:r w:rsidR="0096488E">
        <w:t> MW</w:t>
      </w:r>
      <w:r>
        <w:t xml:space="preserve"> of customer participation, which is </w:t>
      </w:r>
      <w:r w:rsidR="00440785">
        <w:t>“</w:t>
      </w:r>
      <w:r>
        <w:t>measured by nameplate rated generating capacity of facilities either used to supply, or bult to supply, G</w:t>
      </w:r>
      <w:r w:rsidR="00EC18D8">
        <w:t>T</w:t>
      </w:r>
      <w:r>
        <w:t>SR customers.</w:t>
      </w:r>
      <w:r w:rsidR="00440785">
        <w:t>”</w:t>
      </w:r>
      <w:r>
        <w:rPr>
          <w:rStyle w:val="FootnoteReference"/>
        </w:rPr>
        <w:footnoteReference w:id="9"/>
      </w:r>
      <w:r>
        <w:t xml:space="preserve"> Additionally, the</w:t>
      </w:r>
      <w:r w:rsidR="0013243A">
        <w:t xml:space="preserve"> decision reiterated that </w:t>
      </w:r>
      <w:r w:rsidR="00440785">
        <w:t>“</w:t>
      </w:r>
      <w:r w:rsidR="0013243A">
        <w:t xml:space="preserve">each utility shall be responsible for its proportionate share </w:t>
      </w:r>
      <w:r w:rsidR="00440785">
        <w:t>‘</w:t>
      </w:r>
      <w:r w:rsidR="0013243A">
        <w:t>calculated based on the ratio of each participating utility</w:t>
      </w:r>
      <w:r w:rsidR="00440785">
        <w:t>’</w:t>
      </w:r>
      <w:r w:rsidR="0013243A">
        <w:t>s retail sales to total retails sales of electricity by all participating utilities.</w:t>
      </w:r>
      <w:r w:rsidR="00440785">
        <w:t>’”</w:t>
      </w:r>
      <w:r w:rsidR="0013243A">
        <w:rPr>
          <w:rStyle w:val="FootnoteReference"/>
        </w:rPr>
        <w:footnoteReference w:id="10"/>
      </w:r>
      <w:r w:rsidR="0013243A">
        <w:t xml:space="preserve"> Noting that the statute does not place restrictions on the portion of the 600</w:t>
      </w:r>
      <w:r w:rsidR="0096488E">
        <w:t> MW</w:t>
      </w:r>
      <w:r w:rsidR="0013243A">
        <w:t xml:space="preserve"> delineated to either the Green Tariff or the ECR options, D.15</w:t>
      </w:r>
      <w:r w:rsidR="003D6EF8">
        <w:noBreakHyphen/>
      </w:r>
      <w:r w:rsidR="0013243A">
        <w:t>01</w:t>
      </w:r>
      <w:r w:rsidR="003D6EF8">
        <w:noBreakHyphen/>
      </w:r>
      <w:r w:rsidR="0013243A">
        <w:t xml:space="preserve">051 </w:t>
      </w:r>
      <w:r w:rsidR="00984DEC">
        <w:t>formally adopts the reservation requirements from the statute</w:t>
      </w:r>
      <w:r w:rsidR="005D30D7">
        <w:t xml:space="preserve">: </w:t>
      </w:r>
      <w:r w:rsidR="00984DEC">
        <w:t>(1</w:t>
      </w:r>
      <w:r w:rsidR="00C81BE2">
        <w:t>) </w:t>
      </w:r>
      <w:r w:rsidR="00984DEC">
        <w:t>100</w:t>
      </w:r>
      <w:r w:rsidR="0096488E">
        <w:t> MW</w:t>
      </w:r>
      <w:r w:rsidR="00984DEC">
        <w:t xml:space="preserve"> for facilities less than or equal to </w:t>
      </w:r>
      <w:r w:rsidR="0096488E">
        <w:t>one</w:t>
      </w:r>
      <w:r w:rsidR="00984DEC">
        <w:t xml:space="preserve"> </w:t>
      </w:r>
      <w:r w:rsidR="0096488E">
        <w:t xml:space="preserve">megawatt </w:t>
      </w:r>
      <w:r w:rsidR="00984DEC">
        <w:t>located in the most impacted and disadvantaged communities are identified by the California Environmental Protection Agency, which D.15</w:t>
      </w:r>
      <w:r w:rsidR="003D6EF8">
        <w:noBreakHyphen/>
      </w:r>
      <w:r w:rsidR="00984DEC">
        <w:t>01</w:t>
      </w:r>
      <w:r w:rsidR="003D6EF8">
        <w:noBreakHyphen/>
      </w:r>
      <w:r w:rsidR="00984DEC">
        <w:t xml:space="preserve">051 names the </w:t>
      </w:r>
      <w:r w:rsidRPr="00FD66C0" w:rsidR="00984DEC">
        <w:t xml:space="preserve">Environmental Justice </w:t>
      </w:r>
      <w:r w:rsidR="00D5766C">
        <w:t>(</w:t>
      </w:r>
      <w:r w:rsidRPr="00FD66C0" w:rsidR="00D5766C">
        <w:t>EJ</w:t>
      </w:r>
      <w:r w:rsidR="00C81BE2">
        <w:t xml:space="preserve">) </w:t>
      </w:r>
      <w:r w:rsidR="001166A3">
        <w:t>r</w:t>
      </w:r>
      <w:r w:rsidR="00984DEC">
        <w:t>eservation;</w:t>
      </w:r>
      <w:r w:rsidR="00984DEC">
        <w:rPr>
          <w:rStyle w:val="FootnoteReference"/>
        </w:rPr>
        <w:footnoteReference w:id="11"/>
      </w:r>
      <w:r w:rsidR="00984DEC">
        <w:t xml:space="preserve"> (2</w:t>
      </w:r>
      <w:r w:rsidR="00C81BE2">
        <w:t>) </w:t>
      </w:r>
      <w:r w:rsidR="00984DEC">
        <w:t>100</w:t>
      </w:r>
      <w:r w:rsidR="0096488E">
        <w:t> MW</w:t>
      </w:r>
      <w:r w:rsidR="00984DEC">
        <w:t xml:space="preserve"> for residential customers;</w:t>
      </w:r>
      <w:r w:rsidR="00984DEC">
        <w:rPr>
          <w:rStyle w:val="FootnoteReference"/>
        </w:rPr>
        <w:footnoteReference w:id="12"/>
      </w:r>
      <w:r w:rsidR="00984DEC">
        <w:t xml:space="preserve"> and (3</w:t>
      </w:r>
      <w:r w:rsidR="00C81BE2">
        <w:t>) </w:t>
      </w:r>
      <w:r w:rsidR="00984DEC">
        <w:t>20</w:t>
      </w:r>
      <w:r w:rsidR="0096488E">
        <w:t> MW</w:t>
      </w:r>
      <w:r w:rsidR="00984DEC">
        <w:t xml:space="preserve"> for the City of Davis</w:t>
      </w:r>
      <w:r w:rsidR="0013243A">
        <w:t>.</w:t>
      </w:r>
      <w:r w:rsidR="00984DEC">
        <w:rPr>
          <w:rStyle w:val="FootnoteReference"/>
        </w:rPr>
        <w:footnoteReference w:id="13"/>
      </w:r>
    </w:p>
    <w:p w:rsidR="003A1F78" w:rsidP="00D91AC8" w:rsidRDefault="00EC18D8" w14:paraId="2388AFC3" w14:textId="4E14C1F0">
      <w:pPr>
        <w:pStyle w:val="Standard"/>
      </w:pPr>
      <w:r>
        <w:t>T</w:t>
      </w:r>
      <w:r w:rsidR="003A1F78">
        <w:t xml:space="preserve">he Commission found that it would be fair to allocate the required megawatts to </w:t>
      </w:r>
      <w:r w:rsidR="00AA2B48">
        <w:t xml:space="preserve">the </w:t>
      </w:r>
      <w:r w:rsidR="00C66E00">
        <w:t>EJ</w:t>
      </w:r>
      <w:r w:rsidR="003A1F78">
        <w:t xml:space="preserve"> </w:t>
      </w:r>
      <w:r w:rsidR="001166A3">
        <w:t xml:space="preserve">reservation </w:t>
      </w:r>
      <w:r w:rsidR="003A1F78">
        <w:t>and residential facilities using the same retail sales proportion calculation used for the overall 600</w:t>
      </w:r>
      <w:r w:rsidR="0096488E">
        <w:t> MW</w:t>
      </w:r>
      <w:r w:rsidR="003A1F78">
        <w:t xml:space="preserve"> limitation</w:t>
      </w:r>
      <w:r>
        <w:t>; although using this calculation is not required by statute</w:t>
      </w:r>
      <w:r w:rsidR="003A1F78">
        <w:t xml:space="preserve">. Accordingly, the Commission adopted the following allocation of capacity as </w:t>
      </w:r>
      <w:r w:rsidRPr="00A761D0" w:rsidR="003A1F78">
        <w:t xml:space="preserve">shown in </w:t>
      </w:r>
      <w:r w:rsidR="005674F9">
        <w:t>Table 1</w:t>
      </w:r>
      <w:r w:rsidRPr="00A761D0" w:rsidR="003A1F78">
        <w:t xml:space="preserve"> below.</w:t>
      </w:r>
    </w:p>
    <w:p w:rsidRPr="00E62DA2" w:rsidR="003A1F78" w:rsidP="00AF6920" w:rsidRDefault="005674F9" w14:paraId="01B5861C" w14:textId="78A8CDDC">
      <w:pPr>
        <w:pStyle w:val="Standard"/>
        <w:keepNext/>
        <w:spacing w:line="240" w:lineRule="auto"/>
        <w:ind w:firstLine="0"/>
        <w:jc w:val="center"/>
        <w:rPr>
          <w:b/>
          <w:bCs/>
        </w:rPr>
      </w:pPr>
      <w:r w:rsidRPr="00E62DA2">
        <w:rPr>
          <w:b/>
          <w:bCs/>
        </w:rPr>
        <w:lastRenderedPageBreak/>
        <w:t>Table 1</w:t>
      </w:r>
    </w:p>
    <w:p w:rsidRPr="00E62DA2" w:rsidR="003A1F78" w:rsidP="00AF6920" w:rsidRDefault="003A1F78" w14:paraId="705B97C1" w14:textId="28A185E8">
      <w:pPr>
        <w:pStyle w:val="Standard"/>
        <w:keepNext/>
        <w:spacing w:after="240" w:line="240" w:lineRule="auto"/>
        <w:ind w:firstLine="0"/>
        <w:jc w:val="center"/>
        <w:rPr>
          <w:b/>
          <w:bCs/>
        </w:rPr>
      </w:pPr>
      <w:r w:rsidRPr="00E62DA2">
        <w:rPr>
          <w:b/>
          <w:bCs/>
        </w:rPr>
        <w:t>Allocation of Capacity</w:t>
      </w:r>
    </w:p>
    <w:tbl>
      <w:tblPr>
        <w:tblStyle w:val="TableGrid"/>
        <w:tblW w:w="9360" w:type="dxa"/>
        <w:tblLayout w:type="fixed"/>
        <w:tblCellMar>
          <w:top w:w="58" w:type="dxa"/>
          <w:bottom w:w="58" w:type="dxa"/>
        </w:tblCellMar>
        <w:tblLook w:val="04A0" w:firstRow="1" w:lastRow="0" w:firstColumn="1" w:lastColumn="0" w:noHBand="0" w:noVBand="1"/>
      </w:tblPr>
      <w:tblGrid>
        <w:gridCol w:w="1347"/>
        <w:gridCol w:w="2793"/>
        <w:gridCol w:w="1261"/>
        <w:gridCol w:w="991"/>
        <w:gridCol w:w="1171"/>
        <w:gridCol w:w="1797"/>
      </w:tblGrid>
      <w:tr w:rsidRPr="002F3141" w:rsidR="001C43E7" w:rsidTr="00F264F2" w14:paraId="44D5EC06" w14:textId="77777777">
        <w:trPr>
          <w:cantSplit/>
          <w:tblHeader/>
        </w:trPr>
        <w:tc>
          <w:tcPr>
            <w:tcW w:w="1345" w:type="dxa"/>
            <w:vAlign w:val="bottom"/>
          </w:tcPr>
          <w:p w:rsidRPr="002F3141" w:rsidR="003A1F78" w:rsidP="007627F4" w:rsidRDefault="003A1F78" w14:paraId="17BDF48F" w14:textId="77777777">
            <w:pPr>
              <w:pStyle w:val="Standard"/>
              <w:spacing w:line="240" w:lineRule="auto"/>
              <w:ind w:firstLine="0"/>
              <w:jc w:val="center"/>
              <w:rPr>
                <w:b/>
                <w:bCs/>
              </w:rPr>
            </w:pPr>
          </w:p>
        </w:tc>
        <w:tc>
          <w:tcPr>
            <w:tcW w:w="2790" w:type="dxa"/>
            <w:vAlign w:val="bottom"/>
          </w:tcPr>
          <w:p w:rsidR="00BA58BF" w:rsidP="007627F4" w:rsidRDefault="00D5766C" w14:paraId="423E1C47" w14:textId="77777777">
            <w:pPr>
              <w:pStyle w:val="Standard"/>
              <w:spacing w:line="240" w:lineRule="auto"/>
              <w:ind w:firstLine="0"/>
              <w:jc w:val="center"/>
              <w:rPr>
                <w:b/>
                <w:bCs/>
              </w:rPr>
            </w:pPr>
            <w:r w:rsidRPr="002F3141">
              <w:rPr>
                <w:b/>
                <w:bCs/>
              </w:rPr>
              <w:t>Percentage of Total</w:t>
            </w:r>
          </w:p>
          <w:p w:rsidRPr="002F3141" w:rsidR="003A1F78" w:rsidP="007627F4" w:rsidRDefault="00D5766C" w14:paraId="6D5BD708" w14:textId="5A7E8195">
            <w:pPr>
              <w:pStyle w:val="Standard"/>
              <w:spacing w:line="240" w:lineRule="auto"/>
              <w:ind w:firstLine="0"/>
              <w:jc w:val="center"/>
              <w:rPr>
                <w:b/>
                <w:bCs/>
              </w:rPr>
            </w:pPr>
            <w:r w:rsidRPr="002F3141">
              <w:rPr>
                <w:b/>
                <w:bCs/>
              </w:rPr>
              <w:t>Utility Bundled Sales</w:t>
            </w:r>
          </w:p>
        </w:tc>
        <w:tc>
          <w:tcPr>
            <w:tcW w:w="1260" w:type="dxa"/>
            <w:vAlign w:val="bottom"/>
          </w:tcPr>
          <w:p w:rsidRPr="002F3141" w:rsidR="00D5766C" w:rsidP="007627F4" w:rsidRDefault="00D5766C" w14:paraId="07A70583" w14:textId="77777777">
            <w:pPr>
              <w:pStyle w:val="Standard"/>
              <w:spacing w:line="240" w:lineRule="auto"/>
              <w:ind w:firstLine="0"/>
              <w:jc w:val="center"/>
              <w:rPr>
                <w:b/>
                <w:bCs/>
              </w:rPr>
            </w:pPr>
            <w:r w:rsidRPr="002F3141">
              <w:rPr>
                <w:b/>
                <w:bCs/>
              </w:rPr>
              <w:t>Total</w:t>
            </w:r>
          </w:p>
          <w:p w:rsidRPr="002F3141" w:rsidR="003A1F78" w:rsidP="007627F4" w:rsidRDefault="00D5766C" w14:paraId="775539E0" w14:textId="4C9B94C4">
            <w:pPr>
              <w:pStyle w:val="Standard"/>
              <w:spacing w:line="240" w:lineRule="auto"/>
              <w:ind w:firstLine="0"/>
              <w:jc w:val="center"/>
              <w:rPr>
                <w:b/>
                <w:bCs/>
              </w:rPr>
            </w:pPr>
            <w:r w:rsidRPr="002F3141">
              <w:rPr>
                <w:b/>
                <w:bCs/>
              </w:rPr>
              <w:t>(MW)</w:t>
            </w:r>
          </w:p>
        </w:tc>
        <w:tc>
          <w:tcPr>
            <w:tcW w:w="990" w:type="dxa"/>
            <w:vAlign w:val="bottom"/>
          </w:tcPr>
          <w:p w:rsidRPr="002F3141" w:rsidR="00D5766C" w:rsidP="007627F4" w:rsidRDefault="00D5766C" w14:paraId="7AE12BB9" w14:textId="77777777">
            <w:pPr>
              <w:pStyle w:val="Standard"/>
              <w:spacing w:line="240" w:lineRule="auto"/>
              <w:ind w:firstLine="0"/>
              <w:jc w:val="center"/>
              <w:rPr>
                <w:b/>
                <w:bCs/>
              </w:rPr>
            </w:pPr>
            <w:r w:rsidRPr="002F3141">
              <w:rPr>
                <w:b/>
                <w:bCs/>
              </w:rPr>
              <w:t>EJ</w:t>
            </w:r>
          </w:p>
          <w:p w:rsidRPr="002F3141" w:rsidR="003A1F78" w:rsidP="007627F4" w:rsidRDefault="00D5766C" w14:paraId="1B9A3CD7" w14:textId="500C1728">
            <w:pPr>
              <w:pStyle w:val="Standard"/>
              <w:spacing w:line="240" w:lineRule="auto"/>
              <w:ind w:firstLine="0"/>
              <w:jc w:val="center"/>
              <w:rPr>
                <w:b/>
                <w:bCs/>
              </w:rPr>
            </w:pPr>
            <w:r w:rsidRPr="002F3141">
              <w:rPr>
                <w:b/>
                <w:bCs/>
              </w:rPr>
              <w:t>(MW)</w:t>
            </w:r>
          </w:p>
        </w:tc>
        <w:tc>
          <w:tcPr>
            <w:tcW w:w="1170" w:type="dxa"/>
            <w:vAlign w:val="bottom"/>
          </w:tcPr>
          <w:p w:rsidR="00BA58BF" w:rsidP="007627F4" w:rsidRDefault="00D5766C" w14:paraId="2F35CE56" w14:textId="77777777">
            <w:pPr>
              <w:pStyle w:val="Standard"/>
              <w:spacing w:line="240" w:lineRule="auto"/>
              <w:ind w:firstLine="0"/>
              <w:jc w:val="center"/>
              <w:rPr>
                <w:b/>
                <w:bCs/>
              </w:rPr>
            </w:pPr>
            <w:r w:rsidRPr="002F3141">
              <w:rPr>
                <w:b/>
                <w:bCs/>
              </w:rPr>
              <w:t>Davis</w:t>
            </w:r>
          </w:p>
          <w:p w:rsidRPr="002F3141" w:rsidR="003A1F78" w:rsidP="007627F4" w:rsidRDefault="00D5766C" w14:paraId="071CBE54" w14:textId="63CF9FE4">
            <w:pPr>
              <w:pStyle w:val="Standard"/>
              <w:spacing w:line="240" w:lineRule="auto"/>
              <w:ind w:firstLine="0"/>
              <w:jc w:val="center"/>
              <w:rPr>
                <w:b/>
                <w:bCs/>
              </w:rPr>
            </w:pPr>
            <w:r w:rsidRPr="002F3141">
              <w:rPr>
                <w:b/>
                <w:bCs/>
              </w:rPr>
              <w:t>(MW)</w:t>
            </w:r>
          </w:p>
        </w:tc>
        <w:tc>
          <w:tcPr>
            <w:tcW w:w="1795" w:type="dxa"/>
            <w:vAlign w:val="bottom"/>
          </w:tcPr>
          <w:p w:rsidR="00BA58BF" w:rsidP="007627F4" w:rsidRDefault="00D5766C" w14:paraId="41876168" w14:textId="77777777">
            <w:pPr>
              <w:pStyle w:val="Standard"/>
              <w:spacing w:line="240" w:lineRule="auto"/>
              <w:ind w:firstLine="0"/>
              <w:jc w:val="center"/>
              <w:rPr>
                <w:b/>
                <w:bCs/>
              </w:rPr>
            </w:pPr>
            <w:r w:rsidRPr="002F3141">
              <w:rPr>
                <w:b/>
                <w:bCs/>
              </w:rPr>
              <w:t>Unreserved</w:t>
            </w:r>
          </w:p>
          <w:p w:rsidRPr="002F3141" w:rsidR="003A1F78" w:rsidP="007627F4" w:rsidRDefault="00D5766C" w14:paraId="74BE5529" w14:textId="3E399149">
            <w:pPr>
              <w:pStyle w:val="Standard"/>
              <w:spacing w:line="240" w:lineRule="auto"/>
              <w:ind w:firstLine="0"/>
              <w:jc w:val="center"/>
              <w:rPr>
                <w:b/>
                <w:bCs/>
              </w:rPr>
            </w:pPr>
            <w:r w:rsidRPr="002F3141">
              <w:rPr>
                <w:b/>
                <w:bCs/>
              </w:rPr>
              <w:t>(MW)</w:t>
            </w:r>
          </w:p>
        </w:tc>
      </w:tr>
      <w:tr w:rsidRPr="002F3141" w:rsidR="001C43E7" w:rsidTr="00BC2EA4" w14:paraId="0AA61360" w14:textId="77777777">
        <w:trPr>
          <w:cantSplit/>
        </w:trPr>
        <w:tc>
          <w:tcPr>
            <w:tcW w:w="1345" w:type="dxa"/>
          </w:tcPr>
          <w:p w:rsidRPr="001C43E7" w:rsidR="003A1F78" w:rsidP="00F264F2" w:rsidRDefault="00D5766C" w14:paraId="5DCC6BD5" w14:textId="57727785">
            <w:pPr>
              <w:pStyle w:val="Standard"/>
              <w:keepNext/>
              <w:spacing w:line="240" w:lineRule="auto"/>
              <w:ind w:firstLine="0"/>
              <w:rPr>
                <w:b/>
                <w:bCs/>
              </w:rPr>
            </w:pPr>
            <w:r w:rsidRPr="001C43E7">
              <w:rPr>
                <w:b/>
                <w:bCs/>
              </w:rPr>
              <w:t>PG&amp;E</w:t>
            </w:r>
          </w:p>
        </w:tc>
        <w:tc>
          <w:tcPr>
            <w:tcW w:w="2790" w:type="dxa"/>
          </w:tcPr>
          <w:p w:rsidRPr="002F3141" w:rsidR="003A1F78" w:rsidP="00F264F2" w:rsidRDefault="00D5766C" w14:paraId="0651B96D" w14:textId="469CC4C3">
            <w:pPr>
              <w:pStyle w:val="Standard"/>
              <w:keepNext/>
              <w:spacing w:line="240" w:lineRule="auto"/>
              <w:ind w:firstLine="0"/>
              <w:jc w:val="right"/>
            </w:pPr>
            <w:r w:rsidRPr="002F3141">
              <w:t>45.25%</w:t>
            </w:r>
          </w:p>
        </w:tc>
        <w:tc>
          <w:tcPr>
            <w:tcW w:w="1260" w:type="dxa"/>
          </w:tcPr>
          <w:p w:rsidRPr="002F3141" w:rsidR="003A1F78" w:rsidP="00F264F2" w:rsidRDefault="00D5766C" w14:paraId="0843456C" w14:textId="7F50CDBC">
            <w:pPr>
              <w:pStyle w:val="Standard"/>
              <w:keepNext/>
              <w:spacing w:line="240" w:lineRule="auto"/>
              <w:ind w:firstLine="0"/>
              <w:jc w:val="right"/>
            </w:pPr>
            <w:r w:rsidRPr="002F3141">
              <w:t>272</w:t>
            </w:r>
          </w:p>
        </w:tc>
        <w:tc>
          <w:tcPr>
            <w:tcW w:w="990" w:type="dxa"/>
          </w:tcPr>
          <w:p w:rsidRPr="002F3141" w:rsidR="003A1F78" w:rsidP="00F264F2" w:rsidRDefault="00D5766C" w14:paraId="17CAE3E7" w14:textId="556CF8BD">
            <w:pPr>
              <w:pStyle w:val="Standard"/>
              <w:keepNext/>
              <w:spacing w:line="240" w:lineRule="auto"/>
              <w:ind w:firstLine="0"/>
              <w:jc w:val="right"/>
            </w:pPr>
            <w:r w:rsidRPr="002F3141">
              <w:t>45</w:t>
            </w:r>
          </w:p>
        </w:tc>
        <w:tc>
          <w:tcPr>
            <w:tcW w:w="1170" w:type="dxa"/>
          </w:tcPr>
          <w:p w:rsidRPr="002F3141" w:rsidR="003A1F78" w:rsidP="00F264F2" w:rsidRDefault="00D5766C" w14:paraId="5D95DA13" w14:textId="3683B611">
            <w:pPr>
              <w:pStyle w:val="Standard"/>
              <w:keepNext/>
              <w:spacing w:line="240" w:lineRule="auto"/>
              <w:ind w:firstLine="0"/>
              <w:jc w:val="right"/>
            </w:pPr>
            <w:r w:rsidRPr="002F3141">
              <w:t>20</w:t>
            </w:r>
          </w:p>
        </w:tc>
        <w:tc>
          <w:tcPr>
            <w:tcW w:w="1795" w:type="dxa"/>
          </w:tcPr>
          <w:p w:rsidRPr="002F3141" w:rsidR="003A1F78" w:rsidP="00F264F2" w:rsidRDefault="00D5766C" w14:paraId="58DBFDD7" w14:textId="34A3D3A0">
            <w:pPr>
              <w:pStyle w:val="Standard"/>
              <w:keepNext/>
              <w:spacing w:line="240" w:lineRule="auto"/>
              <w:ind w:firstLine="0"/>
              <w:jc w:val="right"/>
            </w:pPr>
            <w:r w:rsidRPr="002F3141">
              <w:t>207</w:t>
            </w:r>
          </w:p>
        </w:tc>
      </w:tr>
      <w:tr w:rsidRPr="002F3141" w:rsidR="001C43E7" w:rsidTr="00BC2EA4" w14:paraId="42F4A630" w14:textId="77777777">
        <w:trPr>
          <w:cantSplit/>
        </w:trPr>
        <w:tc>
          <w:tcPr>
            <w:tcW w:w="1345" w:type="dxa"/>
          </w:tcPr>
          <w:p w:rsidRPr="001C43E7" w:rsidR="003A1F78" w:rsidP="007627F4" w:rsidRDefault="00D5766C" w14:paraId="2041FD6E" w14:textId="5801C600">
            <w:pPr>
              <w:pStyle w:val="Standard"/>
              <w:spacing w:line="240" w:lineRule="auto"/>
              <w:ind w:firstLine="0"/>
              <w:rPr>
                <w:b/>
                <w:bCs/>
              </w:rPr>
            </w:pPr>
            <w:r w:rsidRPr="001C43E7">
              <w:rPr>
                <w:b/>
                <w:bCs/>
              </w:rPr>
              <w:t>SDG&amp;E</w:t>
            </w:r>
          </w:p>
        </w:tc>
        <w:tc>
          <w:tcPr>
            <w:tcW w:w="2790" w:type="dxa"/>
          </w:tcPr>
          <w:p w:rsidRPr="002F3141" w:rsidR="003A1F78" w:rsidP="007627F4" w:rsidRDefault="00D5766C" w14:paraId="1EA4173D" w14:textId="04E7AB21">
            <w:pPr>
              <w:pStyle w:val="Standard"/>
              <w:spacing w:line="240" w:lineRule="auto"/>
              <w:ind w:firstLine="0"/>
              <w:jc w:val="right"/>
            </w:pPr>
            <w:r w:rsidRPr="002F3141">
              <w:t>9.87%</w:t>
            </w:r>
          </w:p>
        </w:tc>
        <w:tc>
          <w:tcPr>
            <w:tcW w:w="1260" w:type="dxa"/>
          </w:tcPr>
          <w:p w:rsidRPr="002F3141" w:rsidR="003A1F78" w:rsidP="007627F4" w:rsidRDefault="00D5766C" w14:paraId="181C546E" w14:textId="232276CF">
            <w:pPr>
              <w:pStyle w:val="Standard"/>
              <w:spacing w:line="240" w:lineRule="auto"/>
              <w:ind w:firstLine="0"/>
              <w:jc w:val="right"/>
            </w:pPr>
            <w:r w:rsidRPr="002F3141">
              <w:t>59</w:t>
            </w:r>
          </w:p>
        </w:tc>
        <w:tc>
          <w:tcPr>
            <w:tcW w:w="990" w:type="dxa"/>
          </w:tcPr>
          <w:p w:rsidRPr="002F3141" w:rsidR="003A1F78" w:rsidP="007627F4" w:rsidRDefault="00D5766C" w14:paraId="11DFCE90" w14:textId="228BBC73">
            <w:pPr>
              <w:pStyle w:val="Standard"/>
              <w:spacing w:line="240" w:lineRule="auto"/>
              <w:ind w:firstLine="0"/>
              <w:jc w:val="right"/>
            </w:pPr>
            <w:r w:rsidRPr="002F3141">
              <w:t>10</w:t>
            </w:r>
          </w:p>
        </w:tc>
        <w:tc>
          <w:tcPr>
            <w:tcW w:w="1170" w:type="dxa"/>
          </w:tcPr>
          <w:p w:rsidRPr="002F3141" w:rsidR="003A1F78" w:rsidP="007627F4" w:rsidRDefault="00D5766C" w14:paraId="5204328B" w14:textId="36ADA5DA">
            <w:pPr>
              <w:pStyle w:val="Standard"/>
              <w:spacing w:line="240" w:lineRule="auto"/>
              <w:ind w:firstLine="0"/>
              <w:jc w:val="right"/>
            </w:pPr>
            <w:r w:rsidRPr="002F3141">
              <w:t>N/A</w:t>
            </w:r>
          </w:p>
        </w:tc>
        <w:tc>
          <w:tcPr>
            <w:tcW w:w="1795" w:type="dxa"/>
          </w:tcPr>
          <w:p w:rsidRPr="002F3141" w:rsidR="003A1F78" w:rsidP="007627F4" w:rsidRDefault="00D5766C" w14:paraId="0613DC3C" w14:textId="21FEB668">
            <w:pPr>
              <w:pStyle w:val="Standard"/>
              <w:spacing w:line="240" w:lineRule="auto"/>
              <w:ind w:firstLine="0"/>
              <w:jc w:val="right"/>
            </w:pPr>
            <w:r w:rsidRPr="002F3141">
              <w:t>49</w:t>
            </w:r>
          </w:p>
        </w:tc>
      </w:tr>
      <w:tr w:rsidRPr="002F3141" w:rsidR="001C43E7" w:rsidTr="00BC2EA4" w14:paraId="151F6034" w14:textId="77777777">
        <w:trPr>
          <w:cantSplit/>
        </w:trPr>
        <w:tc>
          <w:tcPr>
            <w:tcW w:w="1345" w:type="dxa"/>
          </w:tcPr>
          <w:p w:rsidRPr="001C43E7" w:rsidR="003A1F78" w:rsidP="00F264F2" w:rsidRDefault="00D5766C" w14:paraId="3E9868B6" w14:textId="1A328363">
            <w:pPr>
              <w:pStyle w:val="Standard"/>
              <w:keepNext/>
              <w:spacing w:line="240" w:lineRule="auto"/>
              <w:ind w:firstLine="0"/>
              <w:rPr>
                <w:b/>
                <w:bCs/>
              </w:rPr>
            </w:pPr>
            <w:r w:rsidRPr="001C43E7">
              <w:rPr>
                <w:b/>
                <w:bCs/>
              </w:rPr>
              <w:t>SCE</w:t>
            </w:r>
          </w:p>
        </w:tc>
        <w:tc>
          <w:tcPr>
            <w:tcW w:w="2790" w:type="dxa"/>
          </w:tcPr>
          <w:p w:rsidRPr="002F3141" w:rsidR="003A1F78" w:rsidP="00F264F2" w:rsidRDefault="00D5766C" w14:paraId="77F5EFD2" w14:textId="42E8E87C">
            <w:pPr>
              <w:pStyle w:val="Standard"/>
              <w:keepNext/>
              <w:spacing w:line="240" w:lineRule="auto"/>
              <w:ind w:firstLine="0"/>
              <w:jc w:val="right"/>
            </w:pPr>
            <w:r w:rsidRPr="002F3141">
              <w:t>44.88%</w:t>
            </w:r>
          </w:p>
        </w:tc>
        <w:tc>
          <w:tcPr>
            <w:tcW w:w="1260" w:type="dxa"/>
          </w:tcPr>
          <w:p w:rsidRPr="002F3141" w:rsidR="003A1F78" w:rsidP="00F264F2" w:rsidRDefault="00D5766C" w14:paraId="30FE4619" w14:textId="2F5E1BE5">
            <w:pPr>
              <w:pStyle w:val="Standard"/>
              <w:keepNext/>
              <w:spacing w:line="240" w:lineRule="auto"/>
              <w:ind w:firstLine="0"/>
              <w:jc w:val="right"/>
            </w:pPr>
            <w:r w:rsidRPr="002F3141">
              <w:t>269</w:t>
            </w:r>
          </w:p>
        </w:tc>
        <w:tc>
          <w:tcPr>
            <w:tcW w:w="990" w:type="dxa"/>
          </w:tcPr>
          <w:p w:rsidRPr="002F3141" w:rsidR="003A1F78" w:rsidP="00F264F2" w:rsidRDefault="00D5766C" w14:paraId="25D3FBD5" w14:textId="78E9851F">
            <w:pPr>
              <w:pStyle w:val="Standard"/>
              <w:keepNext/>
              <w:spacing w:line="240" w:lineRule="auto"/>
              <w:ind w:firstLine="0"/>
              <w:jc w:val="right"/>
            </w:pPr>
            <w:r w:rsidRPr="002F3141">
              <w:t>45</w:t>
            </w:r>
          </w:p>
        </w:tc>
        <w:tc>
          <w:tcPr>
            <w:tcW w:w="1170" w:type="dxa"/>
          </w:tcPr>
          <w:p w:rsidRPr="002F3141" w:rsidR="003A1F78" w:rsidP="00F264F2" w:rsidRDefault="00D5766C" w14:paraId="5070F08C" w14:textId="4AD025FA">
            <w:pPr>
              <w:pStyle w:val="Standard"/>
              <w:keepNext/>
              <w:spacing w:line="240" w:lineRule="auto"/>
              <w:ind w:firstLine="0"/>
              <w:jc w:val="right"/>
            </w:pPr>
            <w:r w:rsidRPr="002F3141">
              <w:t>N/A</w:t>
            </w:r>
          </w:p>
        </w:tc>
        <w:tc>
          <w:tcPr>
            <w:tcW w:w="1795" w:type="dxa"/>
          </w:tcPr>
          <w:p w:rsidRPr="002F3141" w:rsidR="003A1F78" w:rsidP="00F264F2" w:rsidRDefault="00D5766C" w14:paraId="17C9005B" w14:textId="30CA7C8C">
            <w:pPr>
              <w:pStyle w:val="Standard"/>
              <w:keepNext/>
              <w:spacing w:line="240" w:lineRule="auto"/>
              <w:ind w:firstLine="0"/>
              <w:jc w:val="right"/>
            </w:pPr>
            <w:r w:rsidRPr="002F3141">
              <w:t>224</w:t>
            </w:r>
          </w:p>
        </w:tc>
      </w:tr>
      <w:tr w:rsidRPr="002F3141" w:rsidR="001C43E7" w:rsidTr="00BC2EA4" w14:paraId="56DE5F76" w14:textId="77777777">
        <w:trPr>
          <w:cantSplit/>
        </w:trPr>
        <w:tc>
          <w:tcPr>
            <w:tcW w:w="1345" w:type="dxa"/>
          </w:tcPr>
          <w:p w:rsidRPr="001C43E7" w:rsidR="003A1F78" w:rsidP="007627F4" w:rsidRDefault="00D5766C" w14:paraId="6FBA66C1" w14:textId="70DA04E1">
            <w:pPr>
              <w:pStyle w:val="Standard"/>
              <w:spacing w:line="240" w:lineRule="auto"/>
              <w:ind w:firstLine="0"/>
              <w:rPr>
                <w:b/>
                <w:bCs/>
              </w:rPr>
            </w:pPr>
            <w:r w:rsidRPr="001C43E7">
              <w:rPr>
                <w:b/>
                <w:bCs/>
              </w:rPr>
              <w:t>Total</w:t>
            </w:r>
          </w:p>
        </w:tc>
        <w:tc>
          <w:tcPr>
            <w:tcW w:w="2790" w:type="dxa"/>
          </w:tcPr>
          <w:p w:rsidRPr="002F3141" w:rsidR="003A1F78" w:rsidP="007627F4" w:rsidRDefault="00D5766C" w14:paraId="5D04FF56" w14:textId="75E5188A">
            <w:pPr>
              <w:pStyle w:val="Standard"/>
              <w:spacing w:line="240" w:lineRule="auto"/>
              <w:ind w:firstLine="0"/>
              <w:jc w:val="right"/>
            </w:pPr>
            <w:r w:rsidRPr="002F3141">
              <w:t>100%</w:t>
            </w:r>
          </w:p>
        </w:tc>
        <w:tc>
          <w:tcPr>
            <w:tcW w:w="1260" w:type="dxa"/>
          </w:tcPr>
          <w:p w:rsidRPr="002F3141" w:rsidR="003A1F78" w:rsidP="007627F4" w:rsidRDefault="00D5766C" w14:paraId="23C45E96" w14:textId="3D50007C">
            <w:pPr>
              <w:pStyle w:val="Standard"/>
              <w:spacing w:line="240" w:lineRule="auto"/>
              <w:ind w:firstLine="0"/>
              <w:jc w:val="right"/>
            </w:pPr>
            <w:r w:rsidRPr="002F3141">
              <w:t>600</w:t>
            </w:r>
          </w:p>
        </w:tc>
        <w:tc>
          <w:tcPr>
            <w:tcW w:w="990" w:type="dxa"/>
          </w:tcPr>
          <w:p w:rsidRPr="002F3141" w:rsidR="003A1F78" w:rsidP="007627F4" w:rsidRDefault="00D5766C" w14:paraId="3F6D59E3" w14:textId="42CB8EBB">
            <w:pPr>
              <w:pStyle w:val="Standard"/>
              <w:spacing w:line="240" w:lineRule="auto"/>
              <w:ind w:firstLine="0"/>
              <w:jc w:val="right"/>
            </w:pPr>
            <w:r w:rsidRPr="002F3141">
              <w:t>100</w:t>
            </w:r>
          </w:p>
        </w:tc>
        <w:tc>
          <w:tcPr>
            <w:tcW w:w="1170" w:type="dxa"/>
          </w:tcPr>
          <w:p w:rsidRPr="002F3141" w:rsidR="003A1F78" w:rsidP="007627F4" w:rsidRDefault="00D5766C" w14:paraId="611E388C" w14:textId="7AB1A38B">
            <w:pPr>
              <w:pStyle w:val="Standard"/>
              <w:spacing w:line="240" w:lineRule="auto"/>
              <w:ind w:firstLine="0"/>
              <w:jc w:val="right"/>
            </w:pPr>
            <w:r w:rsidRPr="002F3141">
              <w:t>20</w:t>
            </w:r>
          </w:p>
        </w:tc>
        <w:tc>
          <w:tcPr>
            <w:tcW w:w="1795" w:type="dxa"/>
          </w:tcPr>
          <w:p w:rsidRPr="002F3141" w:rsidR="003A1F78" w:rsidP="007627F4" w:rsidRDefault="00D5766C" w14:paraId="5F6C3FF4" w14:textId="28D42197">
            <w:pPr>
              <w:pStyle w:val="Standard"/>
              <w:spacing w:line="240" w:lineRule="auto"/>
              <w:ind w:firstLine="0"/>
              <w:jc w:val="right"/>
            </w:pPr>
            <w:r w:rsidRPr="002F3141">
              <w:t>480</w:t>
            </w:r>
          </w:p>
        </w:tc>
      </w:tr>
    </w:tbl>
    <w:p w:rsidR="003A1F78" w:rsidP="001C43E7" w:rsidRDefault="00C91750" w14:paraId="0337C99C" w14:textId="11554AEE">
      <w:pPr>
        <w:pStyle w:val="StandardTableSub"/>
      </w:pPr>
      <w:r>
        <w:t>Other adopted details of the programs that were not directed by the statute include</w:t>
      </w:r>
      <w:r w:rsidR="00C2728A">
        <w:t xml:space="preserve"> the</w:t>
      </w:r>
      <w:r w:rsidR="005D30D7">
        <w:t xml:space="preserve">: </w:t>
      </w:r>
      <w:r>
        <w:t>(1</w:t>
      </w:r>
      <w:r w:rsidR="001C43E7">
        <w:t>) </w:t>
      </w:r>
      <w:r>
        <w:t>tracking of customer enrollments by communities served</w:t>
      </w:r>
      <w:r w:rsidR="00C2728A">
        <w:t>; (2</w:t>
      </w:r>
      <w:r w:rsidR="001C43E7">
        <w:t>) </w:t>
      </w:r>
      <w:r w:rsidR="00C2728A">
        <w:t>establishment of a minimum project size of 500</w:t>
      </w:r>
      <w:r w:rsidR="00ED70F0">
        <w:t> </w:t>
      </w:r>
      <w:r w:rsidRPr="00FD66C0" w:rsidR="00C2728A">
        <w:t>kilowatts</w:t>
      </w:r>
      <w:r w:rsidR="00ED70F0">
        <w:t xml:space="preserve"> (</w:t>
      </w:r>
      <w:r w:rsidRPr="00FD66C0" w:rsidR="00EB6FC7">
        <w:t>k</w:t>
      </w:r>
      <w:r w:rsidRPr="00FD66C0" w:rsidR="00ED70F0">
        <w:t>W</w:t>
      </w:r>
      <w:r w:rsidR="00ED70F0">
        <w:t>)</w:t>
      </w:r>
      <w:r w:rsidR="00C2728A">
        <w:t>; (3</w:t>
      </w:r>
      <w:r w:rsidR="001C43E7">
        <w:t>) </w:t>
      </w:r>
      <w:r w:rsidR="00C2728A">
        <w:t xml:space="preserve">requirement that prices for GTSR projects be consistent with similar </w:t>
      </w:r>
      <w:r w:rsidR="00C41B54">
        <w:t xml:space="preserve">California </w:t>
      </w:r>
      <w:r w:rsidR="00CD6542">
        <w:t>RPS</w:t>
      </w:r>
      <w:r w:rsidR="00C2728A">
        <w:t xml:space="preserve"> projects; (4</w:t>
      </w:r>
      <w:r w:rsidR="001C43E7">
        <w:t>) </w:t>
      </w:r>
      <w:r w:rsidR="00C2728A">
        <w:t>limitation of procurement to solar resources; (5</w:t>
      </w:r>
      <w:r w:rsidR="001C43E7">
        <w:t>) </w:t>
      </w:r>
      <w:r w:rsidR="00C2728A">
        <w:t>use of CalEnviroScreen data to identify the most impacted 20</w:t>
      </w:r>
      <w:r w:rsidR="00405FF8">
        <w:t> percent</w:t>
      </w:r>
      <w:r w:rsidR="00C2728A">
        <w:t xml:space="preserve"> of communities; (6</w:t>
      </w:r>
      <w:r w:rsidR="001C43E7">
        <w:t>) </w:t>
      </w:r>
      <w:r w:rsidR="000B046F">
        <w:t>establishment of an adjusted Default Load Aggregation Point price as the price for unsubscribed energy for the GTSR</w:t>
      </w:r>
      <w:r w:rsidR="003D6EF8">
        <w:noBreakHyphen/>
      </w:r>
      <w:r w:rsidR="000B046F">
        <w:t>ECR; (7</w:t>
      </w:r>
      <w:r w:rsidR="001C43E7">
        <w:t>) </w:t>
      </w:r>
      <w:r w:rsidR="000B046F">
        <w:t>defining community as customers within the same municipality or county; (8</w:t>
      </w:r>
      <w:r w:rsidR="001C43E7">
        <w:t>) </w:t>
      </w:r>
      <w:r w:rsidR="000B046F">
        <w:t>establishment of criteria to assess community interest in the ECR; (9</w:t>
      </w:r>
      <w:r w:rsidR="001C43E7">
        <w:t>) </w:t>
      </w:r>
      <w:r w:rsidR="000B046F">
        <w:t xml:space="preserve">establishment of criteria for </w:t>
      </w:r>
      <w:r w:rsidR="00A1048C">
        <w:t>GTSR</w:t>
      </w:r>
      <w:r w:rsidR="003D6EF8">
        <w:noBreakHyphen/>
      </w:r>
      <w:r w:rsidR="00A1048C">
        <w:t xml:space="preserve">ECR </w:t>
      </w:r>
      <w:r w:rsidR="000B046F">
        <w:t>subscribers</w:t>
      </w:r>
      <w:r w:rsidR="00A1048C">
        <w:t>; and (10</w:t>
      </w:r>
      <w:r w:rsidR="001C43E7">
        <w:t>) </w:t>
      </w:r>
      <w:r w:rsidR="00A1048C">
        <w:t>establishment of community advisor groups for GTSR.</w:t>
      </w:r>
    </w:p>
    <w:p w:rsidR="00EC18D8" w:rsidP="00D91AC8" w:rsidRDefault="00EC18D8" w14:paraId="11589A63" w14:textId="28FEB8D8">
      <w:pPr>
        <w:pStyle w:val="Standard"/>
      </w:pPr>
      <w:r>
        <w:t>Subsequently, the Commission also adopted D.16</w:t>
      </w:r>
      <w:r w:rsidR="003D6EF8">
        <w:noBreakHyphen/>
      </w:r>
      <w:r>
        <w:t>05</w:t>
      </w:r>
      <w:r w:rsidR="003D6EF8">
        <w:noBreakHyphen/>
      </w:r>
      <w:r>
        <w:t xml:space="preserve">006, which </w:t>
      </w:r>
      <w:r w:rsidR="00817DD6">
        <w:t>refined</w:t>
      </w:r>
      <w:r>
        <w:t xml:space="preserve"> the </w:t>
      </w:r>
      <w:r w:rsidR="00817DD6">
        <w:t xml:space="preserve">ECR option </w:t>
      </w:r>
      <w:r w:rsidR="00A823C1">
        <w:t xml:space="preserve">by </w:t>
      </w:r>
      <w:r w:rsidR="00817DD6">
        <w:t xml:space="preserve">expanding the projects allowed to participate in </w:t>
      </w:r>
      <w:r w:rsidRPr="00FD66C0" w:rsidR="004E5C3F">
        <w:t xml:space="preserve">Renewable Auction Mechanism </w:t>
      </w:r>
      <w:r w:rsidR="00817DD6">
        <w:t>solicitations to include ECR projects between 500</w:t>
      </w:r>
      <w:r w:rsidR="004336ED">
        <w:t> kW</w:t>
      </w:r>
      <w:r w:rsidR="00817DD6">
        <w:t xml:space="preserve"> and 20</w:t>
      </w:r>
      <w:r w:rsidR="00ED70F0">
        <w:t> MW</w:t>
      </w:r>
      <w:r w:rsidR="00817DD6">
        <w:t xml:space="preserve"> and ECR</w:t>
      </w:r>
      <w:r w:rsidR="003D6EF8">
        <w:noBreakHyphen/>
      </w:r>
      <w:r w:rsidR="00C66E00">
        <w:t>EJ</w:t>
      </w:r>
      <w:r w:rsidR="00817DD6">
        <w:t xml:space="preserve"> projects between 500</w:t>
      </w:r>
      <w:r w:rsidR="004336ED">
        <w:t> kW</w:t>
      </w:r>
      <w:r w:rsidR="00817DD6">
        <w:t xml:space="preserve"> and one megawatt. D.16</w:t>
      </w:r>
      <w:r w:rsidR="003D6EF8">
        <w:noBreakHyphen/>
      </w:r>
      <w:r w:rsidR="00817DD6">
        <w:t>05</w:t>
      </w:r>
      <w:r w:rsidR="003D6EF8">
        <w:noBreakHyphen/>
      </w:r>
      <w:r w:rsidR="00817DD6">
        <w:t xml:space="preserve">006 also directed Utilities to hold two annual </w:t>
      </w:r>
      <w:r w:rsidRPr="00FD66C0" w:rsidR="00AA2B48">
        <w:t>Renewable Auction Mechanism</w:t>
      </w:r>
      <w:r w:rsidDel="00AA2B48" w:rsidR="00AA2B48">
        <w:t xml:space="preserve"> </w:t>
      </w:r>
      <w:r w:rsidR="00AA2B48">
        <w:t>solicitation</w:t>
      </w:r>
      <w:r w:rsidR="004E5C3F">
        <w:t>s</w:t>
      </w:r>
      <w:r w:rsidR="00817DD6">
        <w:t>.</w:t>
      </w:r>
    </w:p>
    <w:p w:rsidR="00D91AC8" w:rsidP="001B1E90" w:rsidRDefault="00D91AC8" w14:paraId="6D513B33" w14:textId="347DC2AE">
      <w:pPr>
        <w:pStyle w:val="Heading3"/>
      </w:pPr>
      <w:bookmarkStart w:name="_Toc159551140" w:id="25"/>
      <w:bookmarkStart w:name="_Toc168559260" w:id="26"/>
      <w:r>
        <w:lastRenderedPageBreak/>
        <w:t xml:space="preserve">Implementation of </w:t>
      </w:r>
      <w:r w:rsidR="001B1E90">
        <w:t>Assembly Bill </w:t>
      </w:r>
      <w:r>
        <w:t>327</w:t>
      </w:r>
      <w:r w:rsidR="001574FC">
        <w:t xml:space="preserve"> </w:t>
      </w:r>
      <w:r w:rsidR="00550E70">
        <w:t>T</w:t>
      </w:r>
      <w:r w:rsidR="001574FC">
        <w:t xml:space="preserve">hrough </w:t>
      </w:r>
      <w:r w:rsidR="001B1E90">
        <w:t>Decision </w:t>
      </w:r>
      <w:r w:rsidR="001574FC">
        <w:t>18</w:t>
      </w:r>
      <w:r w:rsidR="003D6EF8">
        <w:noBreakHyphen/>
      </w:r>
      <w:r w:rsidR="001574FC">
        <w:t>06</w:t>
      </w:r>
      <w:r w:rsidR="003D6EF8">
        <w:noBreakHyphen/>
      </w:r>
      <w:r w:rsidR="001574FC">
        <w:t>027</w:t>
      </w:r>
      <w:bookmarkEnd w:id="25"/>
      <w:bookmarkEnd w:id="26"/>
    </w:p>
    <w:p w:rsidR="00D91AC8" w:rsidP="00D91AC8" w:rsidRDefault="001574FC" w14:paraId="6058F9F4" w14:textId="6AC541AF">
      <w:pPr>
        <w:pStyle w:val="Standard"/>
      </w:pPr>
      <w:r>
        <w:t>D.18</w:t>
      </w:r>
      <w:r w:rsidR="003D6EF8">
        <w:noBreakHyphen/>
      </w:r>
      <w:r>
        <w:t>06</w:t>
      </w:r>
      <w:r w:rsidR="003D6EF8">
        <w:noBreakHyphen/>
      </w:r>
      <w:r>
        <w:t xml:space="preserve">027 adopted three new programs to promote the installation of renewable generation among residential customers in disadvantaged communities as required by </w:t>
      </w:r>
      <w:r w:rsidR="003627A8">
        <w:t>AB </w:t>
      </w:r>
      <w:r>
        <w:t>327. These three programs</w:t>
      </w:r>
      <w:r w:rsidR="006B0FF1">
        <w:t xml:space="preserve"> (</w:t>
      </w:r>
      <w:r>
        <w:t>describe</w:t>
      </w:r>
      <w:r w:rsidR="00CA0A0C">
        <w:t xml:space="preserve">d </w:t>
      </w:r>
      <w:r>
        <w:t>below</w:t>
      </w:r>
      <w:r w:rsidR="006B0FF1">
        <w:t xml:space="preserve">) </w:t>
      </w:r>
      <w:r>
        <w:t xml:space="preserve">work with the previously adopted </w:t>
      </w:r>
      <w:r w:rsidRPr="00FD66C0">
        <w:t xml:space="preserve">Solar on Multifamily Affordable Housing </w:t>
      </w:r>
      <w:r>
        <w:t>(</w:t>
      </w:r>
      <w:r w:rsidRPr="00FD66C0">
        <w:t>SOMAH</w:t>
      </w:r>
      <w:r>
        <w:t>) program</w:t>
      </w:r>
      <w:r w:rsidR="006B0FF1">
        <w:rPr>
          <w:rStyle w:val="FootnoteReference"/>
        </w:rPr>
        <w:footnoteReference w:id="14"/>
      </w:r>
      <w:r>
        <w:t xml:space="preserve"> to provide various tools to facilitate the installation of renewable generation to differently situated customers in disadvantaged communities. Furthermore, </w:t>
      </w:r>
      <w:r w:rsidR="006B0FF1">
        <w:t xml:space="preserve">in adopting </w:t>
      </w:r>
      <w:r w:rsidR="00CA0A0C">
        <w:t xml:space="preserve">three different programs, </w:t>
      </w:r>
      <w:r w:rsidR="006B0FF1">
        <w:t>the Commission intended to offer residential low</w:t>
      </w:r>
      <w:r w:rsidR="003D6EF8">
        <w:noBreakHyphen/>
      </w:r>
      <w:r w:rsidR="006B0FF1">
        <w:t>income households</w:t>
      </w:r>
      <w:r w:rsidR="00440785">
        <w:t>’</w:t>
      </w:r>
      <w:r w:rsidR="006B0FF1">
        <w:t xml:space="preserve"> </w:t>
      </w:r>
      <w:r w:rsidR="00CA0A0C">
        <w:t xml:space="preserve">options </w:t>
      </w:r>
      <w:r w:rsidR="006B0FF1">
        <w:t>that are comparable to those accessed by residential general market customers.</w:t>
      </w:r>
    </w:p>
    <w:p w:rsidR="005230E0" w:rsidP="002F4614" w:rsidRDefault="00CA0A0C" w14:paraId="3EA3FD4D" w14:textId="335AEF45">
      <w:pPr>
        <w:pStyle w:val="Standard"/>
      </w:pPr>
      <w:r>
        <w:t xml:space="preserve">The </w:t>
      </w:r>
      <w:r w:rsidRPr="00FD66C0">
        <w:t>Disadvantaged Communities</w:t>
      </w:r>
      <w:r w:rsidRPr="00FD66C0" w:rsidR="001C43E7">
        <w:t xml:space="preserve"> — </w:t>
      </w:r>
      <w:r w:rsidRPr="00FD66C0">
        <w:t>Single</w:t>
      </w:r>
      <w:r w:rsidR="003D6EF8">
        <w:noBreakHyphen/>
      </w:r>
      <w:r w:rsidRPr="00FD66C0">
        <w:t>family Affordable Solar Homes</w:t>
      </w:r>
      <w:r>
        <w:t xml:space="preserve"> (</w:t>
      </w:r>
      <w:r w:rsidRPr="00FD66C0">
        <w:t>DAC</w:t>
      </w:r>
      <w:r w:rsidR="003D6EF8">
        <w:noBreakHyphen/>
      </w:r>
      <w:r w:rsidRPr="00FD66C0">
        <w:t>SASH</w:t>
      </w:r>
      <w:r>
        <w:t xml:space="preserve">) program was modeled after the </w:t>
      </w:r>
      <w:r w:rsidRPr="00FD66C0" w:rsidR="002A4801">
        <w:t>Single</w:t>
      </w:r>
      <w:r w:rsidR="003D6EF8">
        <w:noBreakHyphen/>
      </w:r>
      <w:r w:rsidRPr="00FD66C0" w:rsidR="002A4801">
        <w:t xml:space="preserve">family Affordable Solar Homes </w:t>
      </w:r>
      <w:r w:rsidR="002A4801">
        <w:t>(</w:t>
      </w:r>
      <w:r w:rsidRPr="00FD66C0">
        <w:t>SASH</w:t>
      </w:r>
      <w:r w:rsidR="002A4801">
        <w:t>)</w:t>
      </w:r>
      <w:r>
        <w:t xml:space="preserve"> program</w:t>
      </w:r>
      <w:r w:rsidR="0044198E">
        <w:rPr>
          <w:rStyle w:val="FootnoteReference"/>
        </w:rPr>
        <w:footnoteReference w:id="15"/>
      </w:r>
      <w:r>
        <w:t xml:space="preserve"> and provides assistance in the form of upfront financial incentives towards the installation of solar generating systems on the homes of low</w:t>
      </w:r>
      <w:r w:rsidR="003D6EF8">
        <w:noBreakHyphen/>
      </w:r>
      <w:r>
        <w:t xml:space="preserve">income homeowners. The </w:t>
      </w:r>
      <w:r w:rsidRPr="00FD66C0" w:rsidR="00D6170F">
        <w:t>Disadvantaged Communities</w:t>
      </w:r>
      <w:r w:rsidR="00D6170F">
        <w:t xml:space="preserve"> </w:t>
      </w:r>
      <w:r w:rsidR="006127AC">
        <w:t>(</w:t>
      </w:r>
      <w:r w:rsidRPr="00FD66C0" w:rsidR="00D6170F">
        <w:t>DAC</w:t>
      </w:r>
      <w:r w:rsidR="006127AC">
        <w:t>)</w:t>
      </w:r>
      <w:r w:rsidR="00135892">
        <w:t xml:space="preserve"> </w:t>
      </w:r>
      <w:r w:rsidRPr="00FD66C0" w:rsidR="00135892">
        <w:t>Green T</w:t>
      </w:r>
      <w:r w:rsidRPr="00FD66C0">
        <w:t>ariff</w:t>
      </w:r>
      <w:r>
        <w:t xml:space="preserve"> </w:t>
      </w:r>
      <w:r w:rsidR="00F91C21">
        <w:t>(</w:t>
      </w:r>
      <w:r w:rsidRPr="00FD66C0" w:rsidR="00F91C21">
        <w:t>DAC</w:t>
      </w:r>
      <w:r w:rsidR="003D6EF8">
        <w:noBreakHyphen/>
      </w:r>
      <w:r w:rsidRPr="00FD66C0" w:rsidR="00F91C21">
        <w:t>GT</w:t>
      </w:r>
      <w:r w:rsidR="00F91C21">
        <w:t xml:space="preserve">) </w:t>
      </w:r>
      <w:r>
        <w:t xml:space="preserve">program is modeled after the Green Tariff portion of the GTSR described above and was designed for customers who live in disadvantaged communities and meet the income eligibility requirements for the </w:t>
      </w:r>
      <w:r w:rsidRPr="00FD66C0">
        <w:lastRenderedPageBreak/>
        <w:t xml:space="preserve">California Alternate Rates for Energy </w:t>
      </w:r>
      <w:r>
        <w:t>(</w:t>
      </w:r>
      <w:r w:rsidRPr="00FD66C0">
        <w:t>CARE</w:t>
      </w:r>
      <w:r>
        <w:t xml:space="preserve">) and </w:t>
      </w:r>
      <w:r w:rsidRPr="00FD66C0">
        <w:t xml:space="preserve">Family Electric Rate Assistance </w:t>
      </w:r>
      <w:r>
        <w:t>(</w:t>
      </w:r>
      <w:r w:rsidRPr="00FD66C0">
        <w:t>FERA</w:t>
      </w:r>
      <w:r>
        <w:t xml:space="preserve">) programs. </w:t>
      </w:r>
      <w:r w:rsidR="00675909">
        <w:t xml:space="preserve">The </w:t>
      </w:r>
      <w:r w:rsidRPr="00F91C21" w:rsidR="00675909">
        <w:t>DAC</w:t>
      </w:r>
      <w:r w:rsidR="003D6EF8">
        <w:noBreakHyphen/>
      </w:r>
      <w:r w:rsidRPr="00F91C21" w:rsidR="00675909">
        <w:t>GT</w:t>
      </w:r>
      <w:r w:rsidR="00675909">
        <w:t xml:space="preserve"> </w:t>
      </w:r>
      <w:r w:rsidR="00333B60">
        <w:t xml:space="preserve">program </w:t>
      </w:r>
      <w:r>
        <w:t>provides a 20</w:t>
      </w:r>
      <w:r w:rsidR="00405FF8">
        <w:t> percent</w:t>
      </w:r>
      <w:r>
        <w:t xml:space="preserve"> </w:t>
      </w:r>
      <w:r w:rsidR="005230E0">
        <w:t>rate discount compared to the otherwise applicable tariff.</w:t>
      </w:r>
      <w:r w:rsidR="002F4614">
        <w:t xml:space="preserve"> </w:t>
      </w:r>
      <w:r w:rsidR="005E3FBD">
        <w:t>D.</w:t>
      </w:r>
      <w:r w:rsidR="005230E0">
        <w:t>18</w:t>
      </w:r>
      <w:r w:rsidR="003D6EF8">
        <w:noBreakHyphen/>
      </w:r>
      <w:r w:rsidR="005230E0">
        <w:t>06</w:t>
      </w:r>
      <w:r w:rsidR="003D6EF8">
        <w:noBreakHyphen/>
      </w:r>
      <w:r w:rsidR="005230E0">
        <w:t xml:space="preserve">027 also adopted the </w:t>
      </w:r>
      <w:bookmarkStart w:name="_Hlk163662436" w:id="27"/>
      <w:r w:rsidRPr="00FD66C0" w:rsidR="00D879D0">
        <w:t xml:space="preserve">Community Solar Green Tariff </w:t>
      </w:r>
      <w:r w:rsidR="00D879D0">
        <w:t>(</w:t>
      </w:r>
      <w:r w:rsidRPr="00FD66C0" w:rsidR="00D879D0">
        <w:t>CSGT</w:t>
      </w:r>
      <w:r w:rsidR="00D879D0">
        <w:t xml:space="preserve">) </w:t>
      </w:r>
      <w:r w:rsidR="005230E0">
        <w:t>program</w:t>
      </w:r>
      <w:bookmarkEnd w:id="27"/>
      <w:r w:rsidR="005230E0">
        <w:t xml:space="preserve">, which is another variation on the GTSR program and is structured similarly to the </w:t>
      </w:r>
      <w:r w:rsidR="00D879D0">
        <w:t>DAC</w:t>
      </w:r>
      <w:r w:rsidR="003D6EF8">
        <w:noBreakHyphen/>
      </w:r>
      <w:r w:rsidR="00D879D0">
        <w:t>GT</w:t>
      </w:r>
      <w:r w:rsidR="005230E0">
        <w:t xml:space="preserve"> program. The </w:t>
      </w:r>
      <w:r w:rsidR="001147B9">
        <w:t xml:space="preserve">CSGT </w:t>
      </w:r>
      <w:r w:rsidR="005230E0">
        <w:t xml:space="preserve">program allows </w:t>
      </w:r>
      <w:r w:rsidR="001D114A">
        <w:t>a minimum of 50</w:t>
      </w:r>
      <w:r w:rsidR="00405FF8">
        <w:t> percent</w:t>
      </w:r>
      <w:r w:rsidR="001D114A">
        <w:t xml:space="preserve"> </w:t>
      </w:r>
      <w:r w:rsidR="005230E0">
        <w:t>low</w:t>
      </w:r>
      <w:r w:rsidR="003D6EF8">
        <w:noBreakHyphen/>
      </w:r>
      <w:r w:rsidR="005230E0">
        <w:t>income customers in disadvantaged communities to benefit from the development of solar generation projects located in their own or nearby disadvantaged communities</w:t>
      </w:r>
      <w:r w:rsidR="001D114A">
        <w:t xml:space="preserve">. </w:t>
      </w:r>
      <w:r w:rsidR="00D879D0">
        <w:t xml:space="preserve">The </w:t>
      </w:r>
      <w:r w:rsidRPr="00675909" w:rsidR="00D5178B">
        <w:t>DAC</w:t>
      </w:r>
      <w:r w:rsidR="003D6EF8">
        <w:noBreakHyphen/>
      </w:r>
      <w:r w:rsidRPr="00675909" w:rsidR="00D5178B">
        <w:t>GT</w:t>
      </w:r>
      <w:r w:rsidR="001D114A">
        <w:t xml:space="preserve"> and </w:t>
      </w:r>
      <w:r w:rsidRPr="00D879D0" w:rsidR="001D114A">
        <w:t>CSGT</w:t>
      </w:r>
      <w:r w:rsidR="001D114A">
        <w:t xml:space="preserve"> </w:t>
      </w:r>
      <w:r w:rsidR="001147B9">
        <w:t>p</w:t>
      </w:r>
      <w:r w:rsidR="001D114A">
        <w:t>rograms</w:t>
      </w:r>
      <w:r w:rsidR="005230E0">
        <w:t xml:space="preserve"> a</w:t>
      </w:r>
      <w:r w:rsidR="001D114A">
        <w:t>re</w:t>
      </w:r>
      <w:r w:rsidR="005230E0">
        <w:t xml:space="preserve"> funded through greenhouse gas allowance proceeds</w:t>
      </w:r>
      <w:r w:rsidR="001D114A">
        <w:t xml:space="preserve"> and public purpose program funds</w:t>
      </w:r>
      <w:r w:rsidR="005230E0">
        <w:t>.</w:t>
      </w:r>
    </w:p>
    <w:p w:rsidR="009D1EF9" w:rsidP="009D1EF9" w:rsidRDefault="001166A3" w14:paraId="158E49E8" w14:textId="6D3C09EF">
      <w:pPr>
        <w:pStyle w:val="Standard"/>
      </w:pPr>
      <w:r>
        <w:t>Most</w:t>
      </w:r>
      <w:r w:rsidR="002F4614">
        <w:t xml:space="preserve"> relevant to this proceeding, D.18</w:t>
      </w:r>
      <w:r w:rsidR="003D6EF8">
        <w:noBreakHyphen/>
      </w:r>
      <w:r w:rsidR="002F4614">
        <w:t>06</w:t>
      </w:r>
      <w:r w:rsidR="003D6EF8">
        <w:noBreakHyphen/>
      </w:r>
      <w:r w:rsidR="002F4614">
        <w:t>027 directed Utilities to each file an application for review of the</w:t>
      </w:r>
      <w:r w:rsidR="001D114A">
        <w:t>ir</w:t>
      </w:r>
      <w:r w:rsidR="002F4614">
        <w:t xml:space="preserve"> </w:t>
      </w:r>
      <w:r w:rsidR="00675909">
        <w:t>DAC</w:t>
      </w:r>
      <w:r w:rsidR="003D6EF8">
        <w:noBreakHyphen/>
      </w:r>
      <w:r w:rsidR="00675909">
        <w:t>GT</w:t>
      </w:r>
      <w:r w:rsidR="002F4614">
        <w:t xml:space="preserve"> and the </w:t>
      </w:r>
      <w:r w:rsidR="00AE7F03">
        <w:t xml:space="preserve">CSGT </w:t>
      </w:r>
      <w:r w:rsidR="002F4614">
        <w:t>program</w:t>
      </w:r>
      <w:r w:rsidR="001D114A">
        <w:t>s</w:t>
      </w:r>
      <w:r w:rsidR="002F4614">
        <w:t xml:space="preserve"> no later than </w:t>
      </w:r>
      <w:r w:rsidR="001B0C0E">
        <w:t>January </w:t>
      </w:r>
      <w:r w:rsidR="002F4614">
        <w:t xml:space="preserve">1, 2021. The deadline was extended </w:t>
      </w:r>
      <w:r w:rsidR="009D1EF9">
        <w:t xml:space="preserve">twice, first to </w:t>
      </w:r>
      <w:r w:rsidR="001B0C0E">
        <w:t>January </w:t>
      </w:r>
      <w:r w:rsidR="001D114A">
        <w:t xml:space="preserve">1, </w:t>
      </w:r>
      <w:r w:rsidR="009D1EF9">
        <w:t>202</w:t>
      </w:r>
      <w:r w:rsidR="001D114A">
        <w:t>2</w:t>
      </w:r>
      <w:r w:rsidR="009D1EF9">
        <w:t xml:space="preserve"> and then to </w:t>
      </w:r>
      <w:r w:rsidR="0013526D">
        <w:t>May </w:t>
      </w:r>
      <w:r w:rsidR="001D114A">
        <w:t>31, 2022</w:t>
      </w:r>
      <w:r w:rsidR="005565B1">
        <w:t xml:space="preserve"> (</w:t>
      </w:r>
      <w:r w:rsidR="009D1EF9">
        <w:t xml:space="preserve">60 days following issuance of the </w:t>
      </w:r>
      <w:r w:rsidR="001D114A">
        <w:t>DAC</w:t>
      </w:r>
      <w:r w:rsidR="003D6EF8">
        <w:noBreakHyphen/>
      </w:r>
      <w:r w:rsidR="001D114A">
        <w:t xml:space="preserve">GT and CSGT Program </w:t>
      </w:r>
      <w:r w:rsidR="009D1EF9">
        <w:t>independent evaluation report.</w:t>
      </w:r>
      <w:r w:rsidR="00CD6542">
        <w:t>)</w:t>
      </w:r>
      <w:r w:rsidR="007E72E2">
        <w:rPr>
          <w:rStyle w:val="FootnoteReference"/>
        </w:rPr>
        <w:footnoteReference w:id="16"/>
      </w:r>
    </w:p>
    <w:p w:rsidR="00765D1A" w:rsidP="001B1E90" w:rsidRDefault="00765D1A" w14:paraId="52ED214E" w14:textId="2347510A">
      <w:pPr>
        <w:pStyle w:val="Heading2"/>
      </w:pPr>
      <w:bookmarkStart w:name="_Toc159551141" w:id="28"/>
      <w:bookmarkStart w:name="_Toc168559261" w:id="29"/>
      <w:r>
        <w:t xml:space="preserve">Related Work in </w:t>
      </w:r>
      <w:r w:rsidR="001B1E90">
        <w:t>Application </w:t>
      </w:r>
      <w:r>
        <w:t>12</w:t>
      </w:r>
      <w:r w:rsidR="003D6EF8">
        <w:noBreakHyphen/>
      </w:r>
      <w:r>
        <w:t>01</w:t>
      </w:r>
      <w:r w:rsidR="003D6EF8">
        <w:noBreakHyphen/>
      </w:r>
      <w:r>
        <w:t>008</w:t>
      </w:r>
      <w:r w:rsidR="001B1E90">
        <w:t>,</w:t>
      </w:r>
      <w:r>
        <w:t xml:space="preserve"> </w:t>
      </w:r>
      <w:r w:rsidR="00237E56">
        <w:rPr>
          <w:i/>
          <w:iCs/>
        </w:rPr>
        <w:t>et al</w:t>
      </w:r>
      <w:r w:rsidRPr="00AD55A4" w:rsidR="00AD55A4">
        <w:rPr>
          <w:i/>
          <w:iCs/>
        </w:rPr>
        <w:t>.</w:t>
      </w:r>
      <w:bookmarkEnd w:id="28"/>
      <w:bookmarkEnd w:id="29"/>
    </w:p>
    <w:p w:rsidR="00BA58BF" w:rsidP="00765D1A" w:rsidRDefault="00765D1A" w14:paraId="6F5CFE24" w14:textId="12FC6917">
      <w:pPr>
        <w:pStyle w:val="Standard"/>
      </w:pPr>
      <w:r>
        <w:t xml:space="preserve">In </w:t>
      </w:r>
      <w:r w:rsidRPr="00FD66C0" w:rsidR="00CB4DD2">
        <w:t>Application</w:t>
      </w:r>
      <w:r w:rsidR="00CB4DD2">
        <w:t xml:space="preserve"> (</w:t>
      </w:r>
      <w:r w:rsidRPr="00FD66C0" w:rsidR="00CB4DD2">
        <w:t>A</w:t>
      </w:r>
      <w:r w:rsidRPr="00FD66C0">
        <w:t>.</w:t>
      </w:r>
      <w:r w:rsidR="00CB4DD2">
        <w:t>) </w:t>
      </w:r>
      <w:r>
        <w:t>12</w:t>
      </w:r>
      <w:r w:rsidR="003D6EF8">
        <w:noBreakHyphen/>
      </w:r>
      <w:r>
        <w:t>01</w:t>
      </w:r>
      <w:r w:rsidR="003D6EF8">
        <w:noBreakHyphen/>
      </w:r>
      <w:r>
        <w:t xml:space="preserve">008 </w:t>
      </w:r>
      <w:r w:rsidR="00237E56">
        <w:rPr>
          <w:i/>
          <w:iCs/>
        </w:rPr>
        <w:t>et al</w:t>
      </w:r>
      <w:r w:rsidRPr="00AD55A4" w:rsidR="00AD55A4">
        <w:rPr>
          <w:i/>
          <w:iCs/>
        </w:rPr>
        <w:t>.</w:t>
      </w:r>
      <w:r>
        <w:t>, the Commission adopted D.21</w:t>
      </w:r>
      <w:r w:rsidR="003D6EF8">
        <w:noBreakHyphen/>
      </w:r>
      <w:r>
        <w:t>12</w:t>
      </w:r>
      <w:r w:rsidR="003D6EF8">
        <w:noBreakHyphen/>
      </w:r>
      <w:r>
        <w:t xml:space="preserve">036, </w:t>
      </w:r>
      <w:r w:rsidRPr="005D065D">
        <w:rPr>
          <w:i/>
          <w:iCs/>
        </w:rPr>
        <w:t xml:space="preserve">Decision Resolving Three Petitions for Modification of Decision </w:t>
      </w:r>
      <w:r w:rsidRPr="00FD66C0">
        <w:rPr>
          <w:i/>
          <w:iCs/>
        </w:rPr>
        <w:t>(D.</w:t>
      </w:r>
      <w:r w:rsidRPr="005D065D">
        <w:rPr>
          <w:i/>
          <w:iCs/>
        </w:rPr>
        <w:t>)</w:t>
      </w:r>
      <w:r w:rsidR="003B41F4">
        <w:rPr>
          <w:i/>
          <w:iCs/>
        </w:rPr>
        <w:t> </w:t>
      </w:r>
      <w:r w:rsidRPr="005D065D">
        <w:rPr>
          <w:i/>
          <w:iCs/>
        </w:rPr>
        <w:t>15</w:t>
      </w:r>
      <w:r w:rsidR="003D6EF8">
        <w:rPr>
          <w:i/>
          <w:iCs/>
        </w:rPr>
        <w:noBreakHyphen/>
      </w:r>
      <w:r w:rsidRPr="005D065D">
        <w:rPr>
          <w:i/>
          <w:iCs/>
        </w:rPr>
        <w:t>01</w:t>
      </w:r>
      <w:r w:rsidR="003D6EF8">
        <w:rPr>
          <w:i/>
          <w:iCs/>
        </w:rPr>
        <w:noBreakHyphen/>
      </w:r>
      <w:r w:rsidRPr="005D065D">
        <w:rPr>
          <w:i/>
          <w:iCs/>
        </w:rPr>
        <w:t>051 and D.16</w:t>
      </w:r>
      <w:r w:rsidR="003D6EF8">
        <w:rPr>
          <w:i/>
          <w:iCs/>
        </w:rPr>
        <w:noBreakHyphen/>
      </w:r>
      <w:r w:rsidRPr="005D065D">
        <w:rPr>
          <w:i/>
          <w:iCs/>
        </w:rPr>
        <w:t>05</w:t>
      </w:r>
      <w:r w:rsidR="003D6EF8">
        <w:rPr>
          <w:i/>
          <w:iCs/>
        </w:rPr>
        <w:noBreakHyphen/>
      </w:r>
      <w:r w:rsidRPr="005D065D">
        <w:rPr>
          <w:i/>
          <w:iCs/>
        </w:rPr>
        <w:t>006 that Adopted or Modified the Green Tariff Shared Renewables Program</w:t>
      </w:r>
      <w:r>
        <w:t xml:space="preserve">. </w:t>
      </w:r>
      <w:r w:rsidR="003A5BEB">
        <w:t>D.</w:t>
      </w:r>
      <w:r w:rsidR="00CD6542">
        <w:t>21</w:t>
      </w:r>
      <w:r w:rsidR="003D6EF8">
        <w:noBreakHyphen/>
      </w:r>
      <w:r w:rsidR="00CD6542">
        <w:t>12</w:t>
      </w:r>
      <w:r w:rsidR="003D6EF8">
        <w:noBreakHyphen/>
      </w:r>
      <w:r w:rsidR="003A5BEB">
        <w:t xml:space="preserve">036 </w:t>
      </w:r>
      <w:r w:rsidR="00C8037B">
        <w:t>granted the petition filed by PG&amp;E to address a problem of oversubscription in the GTSR</w:t>
      </w:r>
      <w:r w:rsidR="00897AB0">
        <w:t xml:space="preserve"> and </w:t>
      </w:r>
      <w:r w:rsidR="00C8037B">
        <w:t>granted</w:t>
      </w:r>
      <w:r w:rsidR="00897AB0">
        <w:t xml:space="preserve"> the request by Central Coast Community Energy, the City and County of </w:t>
      </w:r>
      <w:r w:rsidR="00D463F5">
        <w:t>San </w:t>
      </w:r>
      <w:r w:rsidR="00897AB0">
        <w:t xml:space="preserve">Francisco, East Bay Community </w:t>
      </w:r>
      <w:r w:rsidR="00897AB0">
        <w:lastRenderedPageBreak/>
        <w:t>Energy</w:t>
      </w:r>
      <w:r w:rsidR="00E021D8">
        <w:t xml:space="preserve"> (EBCE)</w:t>
      </w:r>
      <w:r w:rsidR="00897AB0">
        <w:t>, Marin Clean Energy</w:t>
      </w:r>
      <w:r w:rsidR="00A55D0B">
        <w:t xml:space="preserve"> (MCE)</w:t>
      </w:r>
      <w:r w:rsidR="00897AB0">
        <w:t>, Peninsula Clean Energy</w:t>
      </w:r>
      <w:r w:rsidR="008A0BDF">
        <w:t xml:space="preserve"> (PCE)</w:t>
      </w:r>
      <w:r w:rsidR="00897AB0">
        <w:t xml:space="preserve">, Pioneer Community Energy, </w:t>
      </w:r>
      <w:r w:rsidR="00D463F5">
        <w:t>San </w:t>
      </w:r>
      <w:r w:rsidR="00897AB0">
        <w:t>José Clean Energy, Silicon Valley Clean Energy Authority, Sonoma Clean Power, and Valley Clean Energy Alliance</w:t>
      </w:r>
      <w:r w:rsidR="00C8037B">
        <w:t xml:space="preserve"> </w:t>
      </w:r>
      <w:r w:rsidR="00897AB0">
        <w:t>(</w:t>
      </w:r>
      <w:r w:rsidRPr="00FD66C0" w:rsidR="00D85F74">
        <w:t xml:space="preserve">collectively, </w:t>
      </w:r>
      <w:r w:rsidRPr="00FD66C0" w:rsidR="00897AB0">
        <w:t xml:space="preserve">Joint Petitioning </w:t>
      </w:r>
      <w:r w:rsidRPr="00FD66C0" w:rsidR="00816476">
        <w:t>Community Choice Aggregat</w:t>
      </w:r>
      <w:r w:rsidRPr="00FD66C0" w:rsidR="004C6903">
        <w:t>ors</w:t>
      </w:r>
      <w:r w:rsidRPr="00FD66C0" w:rsidR="00816476">
        <w:t xml:space="preserve"> </w:t>
      </w:r>
      <w:r w:rsidR="00816476">
        <w:t>(</w:t>
      </w:r>
      <w:r w:rsidRPr="00FD66C0" w:rsidR="00FC18D5">
        <w:t xml:space="preserve">Joint Petitioning </w:t>
      </w:r>
      <w:r w:rsidRPr="00FD66C0" w:rsidR="00897AB0">
        <w:t>CCA</w:t>
      </w:r>
      <w:r w:rsidRPr="00FD66C0" w:rsidR="00FC18D5">
        <w:t>s</w:t>
      </w:r>
      <w:r w:rsidR="00816476">
        <w:t>)</w:t>
      </w:r>
      <w:r w:rsidR="00897AB0">
        <w:t>) to revise PG&amp;E</w:t>
      </w:r>
      <w:r w:rsidR="00440785">
        <w:t>’</w:t>
      </w:r>
      <w:r w:rsidR="00897AB0">
        <w:t xml:space="preserve">s calculation of the Retained Resource Adequacy rate adder. </w:t>
      </w:r>
      <w:r w:rsidR="003A5BEB">
        <w:t xml:space="preserve">However, related to this decision, </w:t>
      </w:r>
      <w:r>
        <w:t>D.21</w:t>
      </w:r>
      <w:r w:rsidR="003D6EF8">
        <w:noBreakHyphen/>
      </w:r>
      <w:r>
        <w:t>12</w:t>
      </w:r>
      <w:r w:rsidR="003D6EF8">
        <w:noBreakHyphen/>
      </w:r>
      <w:r>
        <w:t>0</w:t>
      </w:r>
      <w:r w:rsidR="003A5BEB">
        <w:t xml:space="preserve">36 </w:t>
      </w:r>
      <w:r w:rsidR="00897AB0">
        <w:t>denied requests by the Joint Petitioning CCAs to require SCE and SDG&amp;E to align their GTSR tariffs with PG&amp;E</w:t>
      </w:r>
      <w:r w:rsidR="00440785">
        <w:t>’</w:t>
      </w:r>
      <w:r w:rsidR="00897AB0">
        <w:t>s tariff, directing this issue to be addressed in the instant proceeding.</w:t>
      </w:r>
      <w:r w:rsidR="005E5EF2">
        <w:rPr>
          <w:rStyle w:val="FootnoteReference"/>
        </w:rPr>
        <w:footnoteReference w:id="17"/>
      </w:r>
      <w:r w:rsidR="00897AB0">
        <w:t xml:space="preserve"> The third petition involved </w:t>
      </w:r>
      <w:r w:rsidRPr="00FD66C0" w:rsidR="006624B8">
        <w:t xml:space="preserve">Coalition for Community Solar Access </w:t>
      </w:r>
      <w:r w:rsidR="006624B8">
        <w:t>(</w:t>
      </w:r>
      <w:r w:rsidRPr="00FD66C0" w:rsidR="006624B8">
        <w:t>CCSA</w:t>
      </w:r>
      <w:r w:rsidR="006624B8">
        <w:t>)</w:t>
      </w:r>
      <w:r w:rsidR="00AC6610">
        <w:t>,</w:t>
      </w:r>
      <w:r w:rsidR="00897AB0">
        <w:t xml:space="preserve"> who requested the Commission to modify the ECR program. The Commission declined to grant this request, stating that the</w:t>
      </w:r>
      <w:r w:rsidR="005E5EF2">
        <w:t>se and any</w:t>
      </w:r>
      <w:r w:rsidR="00897AB0">
        <w:t xml:space="preserve"> issue</w:t>
      </w:r>
      <w:r w:rsidR="005E5EF2">
        <w:t xml:space="preserve"> considered beyond the scope of the Commission</w:t>
      </w:r>
      <w:r w:rsidR="00440785">
        <w:t>’</w:t>
      </w:r>
      <w:r w:rsidR="005E5EF2">
        <w:t xml:space="preserve">s advice letter process, or requiring formal approval, </w:t>
      </w:r>
      <w:r w:rsidR="00897AB0">
        <w:t>should be considered in the instant proceeding.</w:t>
      </w:r>
      <w:r w:rsidR="005E5EF2">
        <w:rPr>
          <w:rStyle w:val="FootnoteReference"/>
        </w:rPr>
        <w:footnoteReference w:id="18"/>
      </w:r>
      <w:r w:rsidR="00897AB0">
        <w:t xml:space="preserve"> Lastly, Ordering </w:t>
      </w:r>
      <w:r w:rsidR="006B06A9">
        <w:t>Paragraph </w:t>
      </w:r>
      <w:r w:rsidR="005E5EF2">
        <w:t>11 of D.21</w:t>
      </w:r>
      <w:r w:rsidR="003D6EF8">
        <w:noBreakHyphen/>
      </w:r>
      <w:r w:rsidR="005E5EF2">
        <w:t>12</w:t>
      </w:r>
      <w:r w:rsidR="003D6EF8">
        <w:noBreakHyphen/>
      </w:r>
      <w:r w:rsidR="005E5EF2">
        <w:t xml:space="preserve">036 </w:t>
      </w:r>
      <w:r w:rsidR="003A5BEB">
        <w:t xml:space="preserve">directed Utilities </w:t>
      </w:r>
      <w:r w:rsidR="005E5EF2">
        <w:t>to</w:t>
      </w:r>
      <w:r w:rsidR="003A5BEB">
        <w:t xml:space="preserve"> include implementation details of their GTSR programs in their 2022 DAC</w:t>
      </w:r>
      <w:r w:rsidR="003D6EF8">
        <w:noBreakHyphen/>
      </w:r>
      <w:r w:rsidR="003A5BEB">
        <w:t>GT and CSGT applications for review.</w:t>
      </w:r>
    </w:p>
    <w:p w:rsidR="007F72C0" w:rsidP="001B1E90" w:rsidRDefault="007F72C0" w14:paraId="656CE235" w14:textId="418DE119">
      <w:pPr>
        <w:pStyle w:val="Heading2"/>
      </w:pPr>
      <w:bookmarkStart w:name="_Toc159551142" w:id="30"/>
      <w:bookmarkStart w:name="_Toc168559262" w:id="31"/>
      <w:r>
        <w:t xml:space="preserve">Related Work in </w:t>
      </w:r>
      <w:r w:rsidR="001B1E90">
        <w:t>Rulemaking </w:t>
      </w:r>
      <w:r>
        <w:t>20</w:t>
      </w:r>
      <w:r w:rsidR="003D6EF8">
        <w:noBreakHyphen/>
      </w:r>
      <w:r>
        <w:t>08</w:t>
      </w:r>
      <w:r w:rsidR="003D6EF8">
        <w:noBreakHyphen/>
      </w:r>
      <w:r>
        <w:t>020</w:t>
      </w:r>
      <w:bookmarkEnd w:id="30"/>
      <w:bookmarkEnd w:id="31"/>
    </w:p>
    <w:p w:rsidR="007F72C0" w:rsidP="007F72C0" w:rsidRDefault="007F72C0" w14:paraId="2B2B970D" w14:textId="3138D0E7">
      <w:pPr>
        <w:pStyle w:val="Standard"/>
      </w:pPr>
      <w:r>
        <w:t>Prior to the filings required by D.18</w:t>
      </w:r>
      <w:r w:rsidR="003D6EF8">
        <w:noBreakHyphen/>
      </w:r>
      <w:r>
        <w:t>06</w:t>
      </w:r>
      <w:r w:rsidR="003D6EF8">
        <w:noBreakHyphen/>
      </w:r>
      <w:r>
        <w:t xml:space="preserve">027, the Commission initiated a revisit of the net energy metering tariffs in </w:t>
      </w:r>
      <w:r w:rsidRPr="00FD66C0">
        <w:t>R</w:t>
      </w:r>
      <w:r w:rsidRPr="00FD66C0" w:rsidR="00340D8D">
        <w:t>ulemaking</w:t>
      </w:r>
      <w:r w:rsidR="000077A7">
        <w:t xml:space="preserve"> (</w:t>
      </w:r>
      <w:r w:rsidRPr="00FD66C0" w:rsidR="000077A7">
        <w:rPr>
          <w:noProof/>
        </w:rPr>
        <w:t>R.</w:t>
      </w:r>
      <w:r w:rsidR="000077A7">
        <w:t>) </w:t>
      </w:r>
      <w:r>
        <w:t>20</w:t>
      </w:r>
      <w:r w:rsidR="003D6EF8">
        <w:noBreakHyphen/>
      </w:r>
      <w:r>
        <w:t>08</w:t>
      </w:r>
      <w:r w:rsidR="003D6EF8">
        <w:noBreakHyphen/>
      </w:r>
      <w:r>
        <w:t>020</w:t>
      </w:r>
      <w:r w:rsidR="00303176">
        <w:t xml:space="preserve"> as required by </w:t>
      </w:r>
      <w:r w:rsidR="00440785">
        <w:t>Pub. Util.</w:t>
      </w:r>
      <w:r w:rsidR="00303176">
        <w:t xml:space="preserve"> Code </w:t>
      </w:r>
      <w:r w:rsidR="003627A8">
        <w:t>Section </w:t>
      </w:r>
      <w:r w:rsidR="00303176">
        <w:t>2827.1</w:t>
      </w:r>
      <w:r>
        <w:t xml:space="preserve">. Parties in the </w:t>
      </w:r>
      <w:r w:rsidR="00303176">
        <w:t>rulemaking</w:t>
      </w:r>
      <w:r>
        <w:t xml:space="preserve"> </w:t>
      </w:r>
      <w:r w:rsidR="00303176">
        <w:t>served</w:t>
      </w:r>
      <w:r>
        <w:t xml:space="preserve"> testimony and </w:t>
      </w:r>
      <w:r w:rsidR="00303176">
        <w:t xml:space="preserve">filed </w:t>
      </w:r>
      <w:r>
        <w:t>brief</w:t>
      </w:r>
      <w:r w:rsidR="005E66A1">
        <w:t>s that included</w:t>
      </w:r>
      <w:r>
        <w:t xml:space="preserve"> recommendations for a </w:t>
      </w:r>
      <w:r w:rsidR="00FC1307">
        <w:t xml:space="preserve">community renewable </w:t>
      </w:r>
      <w:r w:rsidR="00FC1307">
        <w:lastRenderedPageBreak/>
        <w:t>energy program</w:t>
      </w:r>
      <w:r>
        <w:t xml:space="preserve"> tariff. </w:t>
      </w:r>
      <w:r w:rsidR="00303176">
        <w:t>D.22</w:t>
      </w:r>
      <w:r w:rsidR="003D6EF8">
        <w:noBreakHyphen/>
      </w:r>
      <w:r w:rsidR="00303176">
        <w:t>12</w:t>
      </w:r>
      <w:r w:rsidR="003D6EF8">
        <w:noBreakHyphen/>
      </w:r>
      <w:r w:rsidR="00303176">
        <w:t xml:space="preserve">056 pointed to the instant proceeding, stating that the </w:t>
      </w:r>
      <w:r w:rsidR="00440785">
        <w:t>“</w:t>
      </w:r>
      <w:r w:rsidR="00303176">
        <w:t>Commission recognizes that a community renewable energy program tariff has the potential to benefit the grid and ratepayers</w:t>
      </w:r>
      <w:r w:rsidR="00440785">
        <w:t>”</w:t>
      </w:r>
      <w:r w:rsidR="00303176">
        <w:t xml:space="preserve"> and thus called for the review of options to be considered in a narrower context </w:t>
      </w:r>
      <w:r w:rsidR="00BE5856">
        <w:t>(</w:t>
      </w:r>
      <w:r w:rsidRPr="00150E4C" w:rsidR="00150E4C">
        <w:rPr>
          <w:i/>
          <w:iCs/>
        </w:rPr>
        <w:t>i.e.</w:t>
      </w:r>
      <w:r w:rsidR="00BE5856">
        <w:t>, A.22</w:t>
      </w:r>
      <w:r w:rsidR="003D6EF8">
        <w:noBreakHyphen/>
      </w:r>
      <w:r w:rsidR="00BE5856">
        <w:t>05</w:t>
      </w:r>
      <w:r w:rsidR="003D6EF8">
        <w:noBreakHyphen/>
      </w:r>
      <w:r w:rsidR="00BE5856">
        <w:t xml:space="preserve">022) </w:t>
      </w:r>
      <w:r w:rsidR="00303176">
        <w:t xml:space="preserve">allowing a comparison of costs and benefits of the existing </w:t>
      </w:r>
      <w:r w:rsidR="00C9233D">
        <w:t>Green Access Program tariff</w:t>
      </w:r>
      <w:r w:rsidR="00303176">
        <w:t xml:space="preserve"> programs with those </w:t>
      </w:r>
      <w:r w:rsidR="00C9233D">
        <w:t xml:space="preserve">costs and benefits of the </w:t>
      </w:r>
      <w:r w:rsidR="00303176">
        <w:t>new proposals.</w:t>
      </w:r>
      <w:r w:rsidR="005E66A1">
        <w:rPr>
          <w:rStyle w:val="FootnoteReference"/>
        </w:rPr>
        <w:footnoteReference w:id="19"/>
      </w:r>
    </w:p>
    <w:p w:rsidR="006955C6" w:rsidP="001B1E90" w:rsidRDefault="006955C6" w14:paraId="05E07DA5" w14:textId="2307ED01">
      <w:pPr>
        <w:pStyle w:val="Heading2"/>
      </w:pPr>
      <w:bookmarkStart w:name="_Toc159551143" w:id="32"/>
      <w:bookmarkStart w:name="_Toc168559263" w:id="33"/>
      <w:r>
        <w:t>The Avoided Cost Calculator</w:t>
      </w:r>
      <w:bookmarkEnd w:id="32"/>
      <w:bookmarkEnd w:id="33"/>
    </w:p>
    <w:p w:rsidR="002A1335" w:rsidP="00877203" w:rsidRDefault="00174F78" w14:paraId="0AC80B0A" w14:textId="1880BD1C">
      <w:pPr>
        <w:pStyle w:val="Standard"/>
      </w:pPr>
      <w:r>
        <w:t xml:space="preserve">This decision </w:t>
      </w:r>
      <w:r w:rsidR="009E7B6E">
        <w:t>references</w:t>
      </w:r>
      <w:r>
        <w:t xml:space="preserve"> the Commission</w:t>
      </w:r>
      <w:r w:rsidR="00440785">
        <w:t>’</w:t>
      </w:r>
      <w:r>
        <w:t xml:space="preserve">s Avoided Cost Calculator. </w:t>
      </w:r>
      <w:r w:rsidR="002A1335">
        <w:t>The following description of the Avoided Cost Calculator is taken from D.20</w:t>
      </w:r>
      <w:r w:rsidR="003D6EF8">
        <w:noBreakHyphen/>
      </w:r>
      <w:r w:rsidR="002A1335">
        <w:t>04</w:t>
      </w:r>
      <w:r w:rsidR="003D6EF8">
        <w:noBreakHyphen/>
      </w:r>
      <w:r w:rsidR="002A1335">
        <w:t xml:space="preserve">010, </w:t>
      </w:r>
      <w:r w:rsidRPr="002A1335" w:rsidR="002A1335">
        <w:rPr>
          <w:i/>
          <w:iCs/>
        </w:rPr>
        <w:t>2020 Policy Updates to the Avoided Cost Calculator</w:t>
      </w:r>
      <w:r w:rsidR="002A1335">
        <w:t>.</w:t>
      </w:r>
    </w:p>
    <w:p w:rsidR="002A1335" w:rsidP="006C6523" w:rsidRDefault="002A1335" w14:paraId="09BA5B3F" w14:textId="4011EEE3">
      <w:pPr>
        <w:pStyle w:val="BlockQuote0"/>
      </w:pPr>
      <w:r>
        <w:t xml:space="preserve">The Avoided Cost Calculator </w:t>
      </w:r>
      <w:r w:rsidRPr="00D468E5">
        <w:t>is used</w:t>
      </w:r>
      <w:r>
        <w:t xml:space="preserve"> </w:t>
      </w:r>
      <w:r w:rsidRPr="00D468E5">
        <w:t xml:space="preserve">to determine the </w:t>
      </w:r>
      <w:r>
        <w:t xml:space="preserve">primary </w:t>
      </w:r>
      <w:r w:rsidRPr="00D468E5">
        <w:t xml:space="preserve">benefits of </w:t>
      </w:r>
      <w:r>
        <w:t xml:space="preserve">distributed energy </w:t>
      </w:r>
      <w:r w:rsidRPr="00D468E5">
        <w:t>resources across Commission proceedings</w:t>
      </w:r>
      <w:r>
        <w:rPr>
          <w:rFonts w:cs="Book Antiqua"/>
          <w:szCs w:val="26"/>
        </w:rPr>
        <w:t xml:space="preserve">, the </w:t>
      </w:r>
      <w:r w:rsidRPr="008D2839">
        <w:rPr>
          <w:rFonts w:cs="Book Antiqua"/>
          <w:szCs w:val="26"/>
          <w:lang w:val="en"/>
        </w:rPr>
        <w:t xml:space="preserve">primary benefits </w:t>
      </w:r>
      <w:r>
        <w:rPr>
          <w:rFonts w:cs="Book Antiqua"/>
          <w:szCs w:val="26"/>
          <w:lang w:val="en"/>
        </w:rPr>
        <w:t>being</w:t>
      </w:r>
      <w:r w:rsidRPr="008D2839">
        <w:rPr>
          <w:rFonts w:cs="Book Antiqua"/>
          <w:szCs w:val="26"/>
          <w:lang w:val="en"/>
        </w:rPr>
        <w:t xml:space="preserve"> the avoided costs related to </w:t>
      </w:r>
      <w:r>
        <w:rPr>
          <w:rFonts w:cs="Book Antiqua"/>
          <w:szCs w:val="26"/>
          <w:lang w:val="en"/>
        </w:rPr>
        <w:t>the provision of</w:t>
      </w:r>
      <w:r w:rsidRPr="008D2839">
        <w:rPr>
          <w:rFonts w:cs="Book Antiqua"/>
          <w:szCs w:val="26"/>
          <w:lang w:val="en"/>
        </w:rPr>
        <w:t xml:space="preserve"> </w:t>
      </w:r>
      <w:r>
        <w:rPr>
          <w:rFonts w:cs="Book Antiqua"/>
          <w:szCs w:val="26"/>
          <w:lang w:val="en"/>
        </w:rPr>
        <w:t xml:space="preserve">electric </w:t>
      </w:r>
      <w:r w:rsidRPr="008D2839">
        <w:rPr>
          <w:rFonts w:cs="Book Antiqua"/>
          <w:szCs w:val="26"/>
          <w:lang w:val="en"/>
        </w:rPr>
        <w:t xml:space="preserve">and natural gas </w:t>
      </w:r>
      <w:r>
        <w:rPr>
          <w:rFonts w:cs="Book Antiqua"/>
          <w:szCs w:val="26"/>
          <w:lang w:val="en"/>
        </w:rPr>
        <w:t>service</w:t>
      </w:r>
      <w:r>
        <w:t>.</w:t>
      </w:r>
      <w:r w:rsidR="00A04A23">
        <w:t xml:space="preserve"> </w:t>
      </w:r>
      <w:r w:rsidRPr="00D468E5">
        <w:t xml:space="preserve">The </w:t>
      </w:r>
      <w:r>
        <w:t>A</w:t>
      </w:r>
      <w:r w:rsidRPr="00D468E5">
        <w:t xml:space="preserve">voided </w:t>
      </w:r>
      <w:r>
        <w:t>C</w:t>
      </w:r>
      <w:r w:rsidRPr="00D468E5">
        <w:t xml:space="preserve">ost </w:t>
      </w:r>
      <w:r>
        <w:t>C</w:t>
      </w:r>
      <w:r w:rsidRPr="00D468E5">
        <w:t xml:space="preserve">alculator </w:t>
      </w:r>
      <w:r>
        <w:t>calculates six types of avoided costs</w:t>
      </w:r>
      <w:r w:rsidR="005D30D7">
        <w:t xml:space="preserve">: </w:t>
      </w:r>
      <w:r>
        <w:t>generation capacity, energy, transmission and distribution capacity, ancillary services, renewable</w:t>
      </w:r>
      <w:r w:rsidR="00C41B54">
        <w:t>s</w:t>
      </w:r>
      <w:r>
        <w:t xml:space="preserve"> portfolio standard, and greenhouse gas emissions.</w:t>
      </w:r>
      <w:r w:rsidR="00A04A23">
        <w:t xml:space="preserve"> </w:t>
      </w:r>
      <w:r>
        <w:t>The outputs of the Avoided Cost Calculator feed into the cost</w:t>
      </w:r>
      <w:r w:rsidR="003D6EF8">
        <w:noBreakHyphen/>
      </w:r>
      <w:r>
        <w:t>benefit analysis for distributed energy resources.</w:t>
      </w:r>
    </w:p>
    <w:p w:rsidR="002A1335" w:rsidP="00673E31" w:rsidRDefault="002A1335" w14:paraId="4D4B433F" w14:textId="5181261B">
      <w:pPr>
        <w:pStyle w:val="BlockQuote0"/>
        <w:rPr>
          <w:rFonts w:cs="Book Antiqua"/>
          <w:szCs w:val="26"/>
          <w:lang w:val="en"/>
        </w:rPr>
      </w:pPr>
      <w:r>
        <w:t>The Commission approved the first Avoided Cost Calculator in 2005 with the adoption of Decision (</w:t>
      </w:r>
      <w:r w:rsidRPr="00FD66C0">
        <w:t>D.</w:t>
      </w:r>
      <w:r>
        <w:t>)</w:t>
      </w:r>
      <w:r w:rsidR="00C90EEF">
        <w:t> </w:t>
      </w:r>
      <w:r>
        <w:t>05</w:t>
      </w:r>
      <w:r w:rsidR="003D6EF8">
        <w:noBreakHyphen/>
      </w:r>
      <w:r>
        <w:t>04</w:t>
      </w:r>
      <w:r w:rsidR="003D6EF8">
        <w:noBreakHyphen/>
      </w:r>
      <w:r>
        <w:t xml:space="preserve">024. A consultant for the Commission, E3, provided </w:t>
      </w:r>
      <w:r w:rsidR="00440785">
        <w:t>“</w:t>
      </w:r>
      <w:r>
        <w:t>a straightforward costing methodology that is implemented using a spreadsheet model and publicly available data, resulting in avoided cost estimates that are transparent and can be easily updated to reflect changes in major cost drivers.</w:t>
      </w:r>
      <w:r w:rsidR="00440785">
        <w:t>”</w:t>
      </w:r>
      <w:r>
        <w:rPr>
          <w:rStyle w:val="FootnoteReference"/>
        </w:rPr>
        <w:footnoteReference w:id="20"/>
      </w:r>
      <w:r>
        <w:t xml:space="preserve"> In that decision, the Commission directed </w:t>
      </w:r>
      <w:r w:rsidR="00817DD6">
        <w:t>[Utilities]</w:t>
      </w:r>
      <w:r>
        <w:t xml:space="preserve"> to use the adopted Avoided Cost Calculator to </w:t>
      </w:r>
      <w:r>
        <w:rPr>
          <w:rFonts w:cs="Book Antiqua"/>
          <w:szCs w:val="26"/>
        </w:rPr>
        <w:t xml:space="preserve">determine the combination of programs that would best provide </w:t>
      </w:r>
      <w:r>
        <w:rPr>
          <w:rFonts w:cs="Book Antiqua"/>
          <w:szCs w:val="26"/>
        </w:rPr>
        <w:lastRenderedPageBreak/>
        <w:t>cost</w:t>
      </w:r>
      <w:r w:rsidR="003D6EF8">
        <w:rPr>
          <w:rFonts w:cs="Book Antiqua"/>
          <w:szCs w:val="26"/>
        </w:rPr>
        <w:noBreakHyphen/>
      </w:r>
      <w:r>
        <w:rPr>
          <w:rFonts w:cs="Book Antiqua"/>
          <w:szCs w:val="26"/>
        </w:rPr>
        <w:t>effective energy savings and meet our adopted savings goals</w:t>
      </w:r>
      <w:r w:rsidRPr="008D2839">
        <w:rPr>
          <w:rFonts w:cs="Book Antiqua"/>
          <w:szCs w:val="26"/>
          <w:lang w:val="en"/>
        </w:rPr>
        <w:t>.</w:t>
      </w:r>
    </w:p>
    <w:p w:rsidRPr="00125F10" w:rsidR="002A1335" w:rsidP="00673E31" w:rsidRDefault="002A1335" w14:paraId="5B5FAD0A" w14:textId="6E6510BC">
      <w:pPr>
        <w:pStyle w:val="BlockQuote0"/>
        <w:rPr>
          <w:rFonts w:cs="Book Antiqua"/>
          <w:szCs w:val="26"/>
        </w:rPr>
      </w:pPr>
      <w:r>
        <w:rPr>
          <w:rFonts w:cs="Book Antiqua"/>
          <w:szCs w:val="26"/>
        </w:rPr>
        <w:t>Fifteen years later, t</w:t>
      </w:r>
      <w:r w:rsidRPr="00125F10">
        <w:rPr>
          <w:rFonts w:cs="Book Antiqua"/>
          <w:szCs w:val="26"/>
        </w:rPr>
        <w:t xml:space="preserve">he </w:t>
      </w:r>
      <w:r>
        <w:rPr>
          <w:rFonts w:cs="Book Antiqua"/>
          <w:szCs w:val="26"/>
        </w:rPr>
        <w:t xml:space="preserve">current </w:t>
      </w:r>
      <w:r w:rsidRPr="00125F10">
        <w:rPr>
          <w:rFonts w:cs="Book Antiqua"/>
          <w:szCs w:val="26"/>
        </w:rPr>
        <w:t>Avoided Cost Calculator is an Excel</w:t>
      </w:r>
      <w:r w:rsidR="003D6EF8">
        <w:rPr>
          <w:rFonts w:cs="Book Antiqua"/>
          <w:szCs w:val="26"/>
        </w:rPr>
        <w:noBreakHyphen/>
      </w:r>
      <w:r w:rsidRPr="00125F10">
        <w:rPr>
          <w:rFonts w:cs="Book Antiqua"/>
          <w:szCs w:val="26"/>
        </w:rPr>
        <w:t>based spreadsheet model</w:t>
      </w:r>
      <w:r>
        <w:rPr>
          <w:rFonts w:cs="Book Antiqua"/>
          <w:szCs w:val="26"/>
        </w:rPr>
        <w:t>. T</w:t>
      </w:r>
      <w:r w:rsidRPr="00125F10">
        <w:rPr>
          <w:rFonts w:cs="Book Antiqua"/>
          <w:szCs w:val="26"/>
        </w:rPr>
        <w:t xml:space="preserve">he </w:t>
      </w:r>
      <w:r>
        <w:rPr>
          <w:rFonts w:cs="Book Antiqua"/>
          <w:szCs w:val="26"/>
        </w:rPr>
        <w:t xml:space="preserve">output of the </w:t>
      </w:r>
      <w:r w:rsidRPr="00125F10">
        <w:rPr>
          <w:rFonts w:cs="Book Antiqua"/>
          <w:szCs w:val="26"/>
        </w:rPr>
        <w:t xml:space="preserve">model </w:t>
      </w:r>
      <w:r>
        <w:rPr>
          <w:rFonts w:cs="Book Antiqua"/>
          <w:szCs w:val="26"/>
        </w:rPr>
        <w:t>is</w:t>
      </w:r>
      <w:r w:rsidRPr="00125F10">
        <w:rPr>
          <w:rFonts w:cs="Book Antiqua"/>
          <w:szCs w:val="26"/>
        </w:rPr>
        <w:t xml:space="preserve"> a set of </w:t>
      </w:r>
      <w:r>
        <w:rPr>
          <w:rFonts w:cs="Book Antiqua"/>
          <w:szCs w:val="26"/>
        </w:rPr>
        <w:t xml:space="preserve">hourly </w:t>
      </w:r>
      <w:r w:rsidRPr="00125F10">
        <w:rPr>
          <w:rFonts w:cs="Book Antiqua"/>
          <w:szCs w:val="26"/>
        </w:rPr>
        <w:t>values over a 30</w:t>
      </w:r>
      <w:r w:rsidR="003D6EF8">
        <w:rPr>
          <w:rFonts w:cs="Book Antiqua"/>
          <w:szCs w:val="26"/>
        </w:rPr>
        <w:noBreakHyphen/>
      </w:r>
      <w:r w:rsidRPr="00125F10">
        <w:rPr>
          <w:rFonts w:cs="Book Antiqua"/>
          <w:szCs w:val="26"/>
        </w:rPr>
        <w:t xml:space="preserve">year </w:t>
      </w:r>
      <w:r w:rsidRPr="00673E31">
        <w:t>time</w:t>
      </w:r>
      <w:r w:rsidRPr="00125F10">
        <w:rPr>
          <w:rFonts w:cs="Book Antiqua"/>
          <w:szCs w:val="26"/>
        </w:rPr>
        <w:t xml:space="preserve"> horizon that represent </w:t>
      </w:r>
      <w:r>
        <w:rPr>
          <w:rFonts w:cs="Book Antiqua"/>
          <w:szCs w:val="26"/>
        </w:rPr>
        <w:t xml:space="preserve">marginal </w:t>
      </w:r>
      <w:r w:rsidRPr="00125F10">
        <w:rPr>
          <w:rFonts w:cs="Book Antiqua"/>
          <w:szCs w:val="26"/>
        </w:rPr>
        <w:t xml:space="preserve">costs </w:t>
      </w:r>
      <w:r>
        <w:rPr>
          <w:rFonts w:cs="Book Antiqua"/>
          <w:szCs w:val="26"/>
        </w:rPr>
        <w:t>a</w:t>
      </w:r>
      <w:r w:rsidRPr="00125F10">
        <w:rPr>
          <w:rFonts w:cs="Book Antiqua"/>
          <w:szCs w:val="26"/>
        </w:rPr>
        <w:t xml:space="preserve"> utility would avoid </w:t>
      </w:r>
      <w:r>
        <w:rPr>
          <w:rFonts w:cs="Book Antiqua"/>
          <w:szCs w:val="26"/>
        </w:rPr>
        <w:t xml:space="preserve">in any given hour </w:t>
      </w:r>
      <w:r w:rsidRPr="00125F10">
        <w:rPr>
          <w:rFonts w:cs="Book Antiqua"/>
          <w:szCs w:val="26"/>
        </w:rPr>
        <w:t>if</w:t>
      </w:r>
      <w:r>
        <w:rPr>
          <w:rFonts w:cs="Book Antiqua"/>
          <w:szCs w:val="26"/>
        </w:rPr>
        <w:t xml:space="preserve"> a distributed energy resource avoided the provision of</w:t>
      </w:r>
      <w:r w:rsidRPr="00125F10">
        <w:rPr>
          <w:rFonts w:cs="Book Antiqua"/>
          <w:szCs w:val="26"/>
        </w:rPr>
        <w:t xml:space="preserve"> energy </w:t>
      </w:r>
      <w:r>
        <w:rPr>
          <w:rFonts w:cs="Book Antiqua"/>
          <w:szCs w:val="26"/>
        </w:rPr>
        <w:t>during</w:t>
      </w:r>
      <w:r w:rsidRPr="00125F10">
        <w:rPr>
          <w:rFonts w:cs="Book Antiqua"/>
          <w:szCs w:val="26"/>
        </w:rPr>
        <w:t xml:space="preserve"> th</w:t>
      </w:r>
      <w:r>
        <w:rPr>
          <w:rFonts w:cs="Book Antiqua"/>
          <w:szCs w:val="26"/>
        </w:rPr>
        <w:t>at</w:t>
      </w:r>
      <w:r w:rsidRPr="00125F10">
        <w:rPr>
          <w:rFonts w:cs="Book Antiqua"/>
          <w:szCs w:val="26"/>
        </w:rPr>
        <w:t xml:space="preserve"> hour.</w:t>
      </w:r>
      <w:r>
        <w:rPr>
          <w:rFonts w:cs="Book Antiqua"/>
          <w:szCs w:val="26"/>
        </w:rPr>
        <w:t xml:space="preserve"> It is important to note that the Avoided Cost Calculator does not determine if a particular distributed energy resources avoids a particular cost. Rather, t</w:t>
      </w:r>
      <w:r w:rsidRPr="00125F10">
        <w:rPr>
          <w:rFonts w:cs="Book Antiqua"/>
          <w:szCs w:val="26"/>
        </w:rPr>
        <w:t xml:space="preserve">hese avoided costs are </w:t>
      </w:r>
      <w:r>
        <w:rPr>
          <w:rFonts w:cs="Book Antiqua"/>
          <w:szCs w:val="26"/>
        </w:rPr>
        <w:t>compared with energy savings and other program characteristics</w:t>
      </w:r>
      <w:r w:rsidRPr="00125F10">
        <w:rPr>
          <w:rFonts w:cs="Book Antiqua"/>
          <w:szCs w:val="26"/>
        </w:rPr>
        <w:t xml:space="preserve"> </w:t>
      </w:r>
      <w:r>
        <w:rPr>
          <w:rFonts w:cs="Book Antiqua"/>
          <w:szCs w:val="26"/>
        </w:rPr>
        <w:t xml:space="preserve">to estimate program benefits, which are used </w:t>
      </w:r>
      <w:r w:rsidRPr="00125F10">
        <w:rPr>
          <w:rFonts w:cs="Book Antiqua"/>
          <w:szCs w:val="26"/>
        </w:rPr>
        <w:t>in determining the cost</w:t>
      </w:r>
      <w:r w:rsidR="003D6EF8">
        <w:rPr>
          <w:rFonts w:cs="Book Antiqua"/>
          <w:szCs w:val="26"/>
        </w:rPr>
        <w:noBreakHyphen/>
      </w:r>
      <w:r w:rsidRPr="00125F10">
        <w:rPr>
          <w:rFonts w:cs="Book Antiqua"/>
          <w:szCs w:val="26"/>
        </w:rPr>
        <w:t xml:space="preserve">effectiveness of </w:t>
      </w:r>
      <w:r>
        <w:rPr>
          <w:rFonts w:cs="Book Antiqua"/>
          <w:szCs w:val="26"/>
        </w:rPr>
        <w:t>a</w:t>
      </w:r>
      <w:r w:rsidRPr="00125F10">
        <w:rPr>
          <w:rFonts w:cs="Book Antiqua"/>
          <w:szCs w:val="26"/>
        </w:rPr>
        <w:t xml:space="preserve"> resource.</w:t>
      </w:r>
    </w:p>
    <w:p w:rsidR="006955C6" w:rsidP="00673E31" w:rsidRDefault="002A1335" w14:paraId="555DADC7" w14:textId="41579A72">
      <w:pPr>
        <w:pStyle w:val="BlockQuote0"/>
        <w:rPr>
          <w:rFonts w:cs="Book Antiqua"/>
          <w:szCs w:val="26"/>
          <w:lang w:val="en"/>
        </w:rPr>
      </w:pPr>
      <w:r w:rsidRPr="008D2839">
        <w:rPr>
          <w:rFonts w:cs="Book Antiqua"/>
          <w:szCs w:val="26"/>
          <w:lang w:val="en"/>
        </w:rPr>
        <w:t xml:space="preserve">The </w:t>
      </w:r>
      <w:r>
        <w:rPr>
          <w:rFonts w:cs="Book Antiqua"/>
          <w:szCs w:val="26"/>
          <w:lang w:val="en"/>
        </w:rPr>
        <w:t xml:space="preserve">Avoided Cost Calculator </w:t>
      </w:r>
      <w:r w:rsidRPr="008D2839">
        <w:rPr>
          <w:rFonts w:cs="Book Antiqua"/>
          <w:szCs w:val="26"/>
          <w:lang w:val="en"/>
        </w:rPr>
        <w:t xml:space="preserve">is updated annually to improve the accuracy of how benefits of </w:t>
      </w:r>
      <w:r>
        <w:rPr>
          <w:rFonts w:cs="Book Antiqua"/>
          <w:szCs w:val="26"/>
          <w:lang w:val="en"/>
        </w:rPr>
        <w:t xml:space="preserve">distributed energy resources </w:t>
      </w:r>
      <w:r w:rsidRPr="008D2839">
        <w:rPr>
          <w:rFonts w:cs="Book Antiqua"/>
          <w:szCs w:val="26"/>
          <w:lang w:val="en"/>
        </w:rPr>
        <w:t>are calculated.</w:t>
      </w:r>
      <w:r>
        <w:rPr>
          <w:rFonts w:cs="Book Antiqua"/>
          <w:szCs w:val="26"/>
          <w:lang w:val="en"/>
        </w:rPr>
        <w:t xml:space="preserve"> The Avoided Cost Calculator has been updated over the years to more closely reflect changing state policies, such as adding value for avoided greenhouse gas emissions. Other minor adjustments have been made as a response </w:t>
      </w:r>
      <w:r w:rsidRPr="00673E31">
        <w:t>to</w:t>
      </w:r>
      <w:r>
        <w:rPr>
          <w:rFonts w:cs="Book Antiqua"/>
          <w:szCs w:val="26"/>
          <w:lang w:val="en"/>
        </w:rPr>
        <w:t xml:space="preserve"> evolving markets.</w:t>
      </w:r>
    </w:p>
    <w:p w:rsidRPr="00A372AE" w:rsidR="00A04A23" w:rsidP="00A372AE" w:rsidRDefault="00A04A23" w14:paraId="633F9291" w14:textId="4D2BAA40">
      <w:pPr>
        <w:pStyle w:val="Standard"/>
        <w:spacing w:before="120"/>
        <w:rPr>
          <w:rFonts w:cs="Book Antiqua"/>
          <w:szCs w:val="26"/>
          <w:lang w:val="en"/>
        </w:rPr>
      </w:pPr>
      <w:r>
        <w:rPr>
          <w:rFonts w:cs="Book Antiqua"/>
          <w:szCs w:val="26"/>
          <w:lang w:val="en"/>
        </w:rPr>
        <w:t xml:space="preserve">In the </w:t>
      </w:r>
      <w:r w:rsidRPr="00A04A23">
        <w:rPr>
          <w:rFonts w:cs="Book Antiqua"/>
          <w:i/>
          <w:iCs/>
          <w:szCs w:val="26"/>
          <w:lang w:val="en"/>
        </w:rPr>
        <w:t>Decision Revising Net Energy Metering Tariff and Subtariffs</w:t>
      </w:r>
      <w:r>
        <w:rPr>
          <w:rFonts w:cs="Book Antiqua"/>
          <w:szCs w:val="26"/>
          <w:lang w:val="en"/>
        </w:rPr>
        <w:t>, the Commission concluded it reasonable to base retail export compensation rates on values derived from the Avoided Cost Calculator.</w:t>
      </w:r>
      <w:r>
        <w:rPr>
          <w:rStyle w:val="FootnoteReference"/>
          <w:rFonts w:cs="Book Antiqua"/>
          <w:szCs w:val="26"/>
          <w:lang w:val="en"/>
        </w:rPr>
        <w:footnoteReference w:id="21"/>
      </w:r>
      <w:r>
        <w:rPr>
          <w:rFonts w:cs="Book Antiqua"/>
          <w:szCs w:val="26"/>
          <w:lang w:val="en"/>
        </w:rPr>
        <w:t xml:space="preserve"> </w:t>
      </w:r>
      <w:r w:rsidR="00A372AE">
        <w:rPr>
          <w:rFonts w:cs="Book Antiqua"/>
          <w:szCs w:val="26"/>
          <w:lang w:val="en"/>
        </w:rPr>
        <w:t xml:space="preserve">Up to that point, the Commission had only used the outputs of the Avoided Cost Calculator, </w:t>
      </w:r>
      <w:r w:rsidRPr="00150E4C" w:rsidR="00150E4C">
        <w:rPr>
          <w:rFonts w:cs="Book Antiqua"/>
          <w:i/>
          <w:iCs/>
          <w:szCs w:val="26"/>
          <w:lang w:val="en"/>
        </w:rPr>
        <w:t>i.e.</w:t>
      </w:r>
      <w:r w:rsidR="00A372AE">
        <w:rPr>
          <w:rFonts w:cs="Book Antiqua"/>
          <w:szCs w:val="26"/>
          <w:lang w:val="en"/>
        </w:rPr>
        <w:t>, avoided cost values, as inputs to the four Standard Practice Manual tests used to analyze the cost</w:t>
      </w:r>
      <w:r w:rsidR="003D6EF8">
        <w:rPr>
          <w:rFonts w:cs="Book Antiqua"/>
          <w:szCs w:val="26"/>
          <w:lang w:val="en"/>
        </w:rPr>
        <w:noBreakHyphen/>
      </w:r>
      <w:r w:rsidR="00A372AE">
        <w:rPr>
          <w:rFonts w:cs="Book Antiqua"/>
          <w:szCs w:val="26"/>
          <w:lang w:val="en"/>
        </w:rPr>
        <w:t xml:space="preserve">effectiveness of a distributed energy resource. </w:t>
      </w:r>
      <w:r>
        <w:rPr>
          <w:rFonts w:cs="Book Antiqua"/>
          <w:szCs w:val="26"/>
          <w:lang w:val="en"/>
        </w:rPr>
        <w:t xml:space="preserve">The Commission stated that using </w:t>
      </w:r>
      <w:r w:rsidR="00A372AE">
        <w:rPr>
          <w:rFonts w:cs="Book Antiqua"/>
          <w:szCs w:val="26"/>
          <w:lang w:val="en"/>
        </w:rPr>
        <w:t xml:space="preserve">the </w:t>
      </w:r>
      <w:r>
        <w:rPr>
          <w:rFonts w:cs="Book Antiqua"/>
          <w:szCs w:val="26"/>
          <w:lang w:val="en"/>
        </w:rPr>
        <w:t xml:space="preserve">avoided cost values instead of the retail import rate </w:t>
      </w:r>
      <w:r w:rsidR="00055D60">
        <w:rPr>
          <w:rFonts w:cs="Book Antiqua"/>
          <w:szCs w:val="26"/>
          <w:lang w:val="en"/>
        </w:rPr>
        <w:t>b</w:t>
      </w:r>
      <w:r>
        <w:rPr>
          <w:rFonts w:cs="Book Antiqua"/>
          <w:szCs w:val="26"/>
          <w:lang w:val="en"/>
        </w:rPr>
        <w:t>rings the cost of the successor tariff for utilities close</w:t>
      </w:r>
      <w:r w:rsidR="00055D60">
        <w:rPr>
          <w:rFonts w:cs="Book Antiqua"/>
          <w:szCs w:val="26"/>
          <w:lang w:val="en"/>
        </w:rPr>
        <w:t>r</w:t>
      </w:r>
      <w:r>
        <w:rPr>
          <w:rFonts w:cs="Book Antiqua"/>
          <w:szCs w:val="26"/>
          <w:lang w:val="en"/>
        </w:rPr>
        <w:t xml:space="preserve"> to its value.</w:t>
      </w:r>
      <w:r w:rsidR="00A372AE">
        <w:rPr>
          <w:rStyle w:val="FootnoteReference"/>
          <w:rFonts w:cs="Book Antiqua"/>
          <w:szCs w:val="26"/>
          <w:lang w:val="en"/>
        </w:rPr>
        <w:footnoteReference w:id="22"/>
      </w:r>
    </w:p>
    <w:p w:rsidR="0063491C" w:rsidP="001B1E90" w:rsidRDefault="0063491C" w14:paraId="703FAF2E" w14:textId="77777777">
      <w:pPr>
        <w:pStyle w:val="Heading2"/>
      </w:pPr>
      <w:bookmarkStart w:name="_Toc8123717" w:id="34"/>
      <w:bookmarkStart w:name="_Toc159551144" w:id="35"/>
      <w:bookmarkStart w:name="_Toc168559264" w:id="36"/>
      <w:r>
        <w:lastRenderedPageBreak/>
        <w:t>Procedural Background</w:t>
      </w:r>
      <w:bookmarkEnd w:id="34"/>
      <w:bookmarkEnd w:id="35"/>
      <w:bookmarkEnd w:id="36"/>
    </w:p>
    <w:p w:rsidR="001166A3" w:rsidP="006E6574" w:rsidRDefault="009D1EF9" w14:paraId="4E9BBEA4" w14:textId="6E7DBC3B">
      <w:pPr>
        <w:pStyle w:val="Standard"/>
      </w:pPr>
      <w:r>
        <w:t xml:space="preserve">On </w:t>
      </w:r>
      <w:r w:rsidR="0013526D">
        <w:t>May </w:t>
      </w:r>
      <w:r>
        <w:t>31, 202</w:t>
      </w:r>
      <w:r w:rsidR="007F72C0">
        <w:t>2</w:t>
      </w:r>
      <w:r>
        <w:t>, pursuant to D.18</w:t>
      </w:r>
      <w:r w:rsidR="003D6EF8">
        <w:noBreakHyphen/>
      </w:r>
      <w:r>
        <w:t>06</w:t>
      </w:r>
      <w:r w:rsidR="003D6EF8">
        <w:noBreakHyphen/>
      </w:r>
      <w:r>
        <w:t>027</w:t>
      </w:r>
      <w:r w:rsidR="00146CB2">
        <w:t xml:space="preserve"> and D.21</w:t>
      </w:r>
      <w:r w:rsidR="003D6EF8">
        <w:noBreakHyphen/>
      </w:r>
      <w:r w:rsidR="00146CB2">
        <w:t>12</w:t>
      </w:r>
      <w:r w:rsidR="003D6EF8">
        <w:noBreakHyphen/>
      </w:r>
      <w:r w:rsidR="00146CB2">
        <w:t>036</w:t>
      </w:r>
      <w:r>
        <w:t xml:space="preserve">, Utilities each filed an application for review of the </w:t>
      </w:r>
      <w:r w:rsidR="00675909">
        <w:t>DAC</w:t>
      </w:r>
      <w:r w:rsidR="003D6EF8">
        <w:noBreakHyphen/>
      </w:r>
      <w:r w:rsidR="00675909">
        <w:t>GT</w:t>
      </w:r>
      <w:r>
        <w:t xml:space="preserve">, the </w:t>
      </w:r>
      <w:r w:rsidR="00AE7F03">
        <w:t>CSGT</w:t>
      </w:r>
      <w:r>
        <w:t>, and the GTSR programs</w:t>
      </w:r>
      <w:r w:rsidR="00C9233D">
        <w:t xml:space="preserve">, </w:t>
      </w:r>
      <w:r w:rsidRPr="00150E4C" w:rsidR="00150E4C">
        <w:rPr>
          <w:i/>
          <w:iCs/>
        </w:rPr>
        <w:t>i.e.</w:t>
      </w:r>
      <w:r w:rsidR="00C9233D">
        <w:t>, Green Access Program tariffs</w:t>
      </w:r>
      <w:r w:rsidR="0063491C">
        <w:t>.</w:t>
      </w:r>
      <w:r>
        <w:t xml:space="preserve"> </w:t>
      </w:r>
      <w:r w:rsidR="00856CCE">
        <w:t xml:space="preserve">Responses to the applications were filed on </w:t>
      </w:r>
      <w:r w:rsidR="0013526D">
        <w:t>July </w:t>
      </w:r>
      <w:r w:rsidR="00856CCE">
        <w:t xml:space="preserve">1, 2022 by the </w:t>
      </w:r>
      <w:r w:rsidRPr="00FD66C0" w:rsidR="00856CCE">
        <w:t xml:space="preserve">Public Advocates Office </w:t>
      </w:r>
      <w:r w:rsidRPr="00FD66C0" w:rsidR="006D312B">
        <w:t>at</w:t>
      </w:r>
      <w:r w:rsidRPr="00FD66C0" w:rsidR="00856CCE">
        <w:t xml:space="preserve"> the Public Utilities Commission</w:t>
      </w:r>
      <w:r w:rsidR="00856CCE">
        <w:t xml:space="preserve"> (</w:t>
      </w:r>
      <w:r w:rsidRPr="00FD66C0" w:rsidR="002917E2">
        <w:t>Cal Advoc</w:t>
      </w:r>
      <w:r w:rsidRPr="00FD66C0" w:rsidR="00856CCE">
        <w:t>ates</w:t>
      </w:r>
      <w:r w:rsidR="00F74B6A">
        <w:t>)</w:t>
      </w:r>
      <w:r w:rsidR="00856CCE">
        <w:t xml:space="preserve"> </w:t>
      </w:r>
      <w:r w:rsidR="00146CB2">
        <w:t xml:space="preserve">and the City and County of </w:t>
      </w:r>
      <w:r w:rsidR="00D463F5">
        <w:t>San </w:t>
      </w:r>
      <w:r w:rsidR="00146CB2">
        <w:t xml:space="preserve">Francisco, </w:t>
      </w:r>
      <w:r w:rsidR="00856CCE">
        <w:t xml:space="preserve">and on </w:t>
      </w:r>
      <w:r w:rsidR="0013526D">
        <w:t>July </w:t>
      </w:r>
      <w:r w:rsidR="00856CCE">
        <w:t xml:space="preserve">6, 2022 by </w:t>
      </w:r>
      <w:r w:rsidRPr="00FD66C0" w:rsidR="00856CCE">
        <w:t xml:space="preserve">Center for Biological Diversity </w:t>
      </w:r>
      <w:r w:rsidR="00856CCE">
        <w:t>(</w:t>
      </w:r>
      <w:r w:rsidRPr="00FD66C0" w:rsidR="00856CCE">
        <w:t>CBD</w:t>
      </w:r>
      <w:r w:rsidR="00856CCE">
        <w:t xml:space="preserve">), </w:t>
      </w:r>
      <w:r w:rsidR="006624B8">
        <w:t xml:space="preserve">CCSA, </w:t>
      </w:r>
      <w:r w:rsidR="00702777">
        <w:t>and</w:t>
      </w:r>
      <w:r w:rsidR="00856CCE">
        <w:t xml:space="preserve"> </w:t>
      </w:r>
      <w:r w:rsidRPr="00B91D9B" w:rsidR="006A0B1C">
        <w:t xml:space="preserve">Joint Community Choice Aggregators </w:t>
      </w:r>
      <w:r w:rsidRPr="00351393" w:rsidR="006A0B1C">
        <w:t>(</w:t>
      </w:r>
      <w:r w:rsidRPr="00FD66C0" w:rsidR="006A0B1C">
        <w:t>Joint CCAs</w:t>
      </w:r>
      <w:r w:rsidRPr="00351393" w:rsidR="006A0B1C">
        <w:t>)</w:t>
      </w:r>
      <w:r w:rsidR="00C32006">
        <w:t>,</w:t>
      </w:r>
      <w:r w:rsidR="00F74B6A">
        <w:rPr>
          <w:rStyle w:val="FootnoteReference"/>
        </w:rPr>
        <w:footnoteReference w:id="23"/>
      </w:r>
      <w:r w:rsidR="00F74B6A">
        <w:t xml:space="preserve"> </w:t>
      </w:r>
      <w:r w:rsidRPr="00FD66C0" w:rsidR="00856CCE">
        <w:t xml:space="preserve">Small Business Utility Advocates </w:t>
      </w:r>
      <w:r w:rsidR="00856CCE">
        <w:t>(</w:t>
      </w:r>
      <w:r w:rsidRPr="00FD66C0" w:rsidR="00856CCE">
        <w:t>SBUA</w:t>
      </w:r>
      <w:r w:rsidR="00856CCE">
        <w:t xml:space="preserve">), </w:t>
      </w:r>
      <w:r w:rsidRPr="00FD66C0" w:rsidR="00F74B6A">
        <w:t xml:space="preserve">Solar Energy Industries Association </w:t>
      </w:r>
      <w:r w:rsidR="00F74B6A">
        <w:t>(</w:t>
      </w:r>
      <w:r w:rsidRPr="00FD66C0" w:rsidR="00F74B6A">
        <w:t>SEIA</w:t>
      </w:r>
      <w:r w:rsidR="00F74B6A">
        <w:t xml:space="preserve">), and </w:t>
      </w:r>
      <w:r w:rsidRPr="00FD66C0" w:rsidR="00F74B6A">
        <w:t xml:space="preserve">The Utility Reform Network </w:t>
      </w:r>
      <w:r w:rsidR="00F74B6A">
        <w:t>(</w:t>
      </w:r>
      <w:r w:rsidRPr="00FD66C0" w:rsidR="00F74B6A">
        <w:t>TURN</w:t>
      </w:r>
      <w:r w:rsidR="00F74B6A">
        <w:t xml:space="preserve">). PG&amp;E filed a reply to the responses on </w:t>
      </w:r>
      <w:r w:rsidR="0013526D">
        <w:t>July </w:t>
      </w:r>
      <w:r w:rsidR="00F74B6A">
        <w:t>18, 2022.</w:t>
      </w:r>
    </w:p>
    <w:p w:rsidR="00E1269D" w:rsidP="006E6574" w:rsidRDefault="00856CCE" w14:paraId="61D45855" w14:textId="54AC8D1C">
      <w:pPr>
        <w:pStyle w:val="Standard"/>
      </w:pPr>
      <w:r>
        <w:t xml:space="preserve">The assigned </w:t>
      </w:r>
      <w:r w:rsidRPr="00FD66C0">
        <w:t>Administrative Law Judge</w:t>
      </w:r>
      <w:r w:rsidR="001857CF">
        <w:t xml:space="preserve"> </w:t>
      </w:r>
      <w:r>
        <w:t xml:space="preserve">issued a ruling on </w:t>
      </w:r>
      <w:r w:rsidR="0013526D">
        <w:t>August </w:t>
      </w:r>
      <w:r>
        <w:t>10, 202</w:t>
      </w:r>
      <w:r w:rsidR="007F72C0">
        <w:t>2</w:t>
      </w:r>
      <w:r>
        <w:t xml:space="preserve"> consolidating the three applications. </w:t>
      </w:r>
      <w:r w:rsidR="00F74B6A">
        <w:t xml:space="preserve">On </w:t>
      </w:r>
      <w:r w:rsidRPr="00FD66C0" w:rsidR="0013526D">
        <w:t>December </w:t>
      </w:r>
      <w:r w:rsidRPr="00FD66C0" w:rsidR="00F74B6A">
        <w:t>2, 202</w:t>
      </w:r>
      <w:r w:rsidRPr="00FD66C0" w:rsidR="007F72C0">
        <w:t>2</w:t>
      </w:r>
      <w:r w:rsidR="00F74B6A">
        <w:t>, t</w:t>
      </w:r>
      <w:r>
        <w:t>he assigned Commissioner issued a Scoping Memo and Ruling (</w:t>
      </w:r>
      <w:r w:rsidRPr="00FD66C0">
        <w:t>Scoping Mem</w:t>
      </w:r>
      <w:r w:rsidRPr="00FD66C0" w:rsidR="00F74B6A">
        <w:t>o</w:t>
      </w:r>
      <w:r w:rsidR="00F74B6A">
        <w:t>)</w:t>
      </w:r>
      <w:r>
        <w:t>, which established the scope and schedule for the proceeding and ruled that evidentiary hearings are not required (at that time).</w:t>
      </w:r>
    </w:p>
    <w:p w:rsidR="00EE3060" w:rsidP="006E6574" w:rsidRDefault="005E66A1" w14:paraId="56305A64" w14:textId="49FE3848">
      <w:pPr>
        <w:pStyle w:val="Standard"/>
      </w:pPr>
      <w:r>
        <w:t>As directed by</w:t>
      </w:r>
      <w:r w:rsidR="00E1269D">
        <w:t xml:space="preserve"> the Scoping Memo schedule, parties served opening testimony on </w:t>
      </w:r>
      <w:r w:rsidR="001B0C0E">
        <w:t>January </w:t>
      </w:r>
      <w:r w:rsidR="00E1269D">
        <w:t>20, 202</w:t>
      </w:r>
      <w:r w:rsidR="007F72C0">
        <w:t>3</w:t>
      </w:r>
      <w:r w:rsidR="00E1269D">
        <w:t xml:space="preserve">, which included party evaluation of existing programs and proposals for revised and new programs. On </w:t>
      </w:r>
      <w:r w:rsidR="001B0C0E">
        <w:t>February </w:t>
      </w:r>
      <w:r w:rsidR="008A4614">
        <w:t>27, 2023, the Commission</w:t>
      </w:r>
      <w:r w:rsidR="00440785">
        <w:t>’</w:t>
      </w:r>
      <w:r w:rsidR="008A4614">
        <w:t>s Energy Division hosted a workshop to discuss the proposals.</w:t>
      </w:r>
    </w:p>
    <w:p w:rsidR="00BA58BF" w:rsidP="006E6574" w:rsidRDefault="000D22BE" w14:paraId="445C5CB2" w14:textId="379C3E7A">
      <w:pPr>
        <w:pStyle w:val="Standard"/>
      </w:pPr>
      <w:r>
        <w:t xml:space="preserve">Pursuant to a </w:t>
      </w:r>
      <w:r w:rsidR="001B0C0E">
        <w:t>February </w:t>
      </w:r>
      <w:r>
        <w:t xml:space="preserve">23, 2023, </w:t>
      </w:r>
      <w:r w:rsidRPr="000D22BE">
        <w:rPr>
          <w:i/>
          <w:iCs/>
        </w:rPr>
        <w:t>Administrative Law Judge</w:t>
      </w:r>
      <w:r w:rsidR="00440785">
        <w:rPr>
          <w:i/>
          <w:iCs/>
        </w:rPr>
        <w:t>’</w:t>
      </w:r>
      <w:r w:rsidR="00AA2B48">
        <w:rPr>
          <w:i/>
          <w:iCs/>
        </w:rPr>
        <w:t>s</w:t>
      </w:r>
      <w:r w:rsidRPr="000D22BE">
        <w:rPr>
          <w:i/>
          <w:iCs/>
        </w:rPr>
        <w:t xml:space="preserve"> Ruling Revising the Procedural Schedule</w:t>
      </w:r>
      <w:r>
        <w:t xml:space="preserve">, parties served amended testimony on </w:t>
      </w:r>
      <w:r w:rsidR="001B0C0E">
        <w:t>March </w:t>
      </w:r>
      <w:r>
        <w:t xml:space="preserve">15, 2023 and rebuttal testimony on </w:t>
      </w:r>
      <w:r w:rsidR="0013526D">
        <w:t>April </w:t>
      </w:r>
      <w:r>
        <w:t xml:space="preserve">7, 2023. Parties served surrebuttal testimony on </w:t>
      </w:r>
      <w:r w:rsidR="0013526D">
        <w:lastRenderedPageBreak/>
        <w:t>April </w:t>
      </w:r>
      <w:r>
        <w:t>28, 2023.</w:t>
      </w:r>
      <w:r>
        <w:rPr>
          <w:rStyle w:val="FootnoteReference"/>
        </w:rPr>
        <w:footnoteReference w:id="24"/>
      </w:r>
      <w:r>
        <w:t xml:space="preserve"> Pursuant to an </w:t>
      </w:r>
      <w:r w:rsidR="0013526D">
        <w:t>April </w:t>
      </w:r>
      <w:r>
        <w:t xml:space="preserve">21, 2023 </w:t>
      </w:r>
      <w:r w:rsidRPr="000D22BE">
        <w:rPr>
          <w:i/>
          <w:iCs/>
        </w:rPr>
        <w:t xml:space="preserve">Administrative </w:t>
      </w:r>
      <w:r w:rsidR="00DD61AF">
        <w:rPr>
          <w:i/>
          <w:iCs/>
        </w:rPr>
        <w:t>L</w:t>
      </w:r>
      <w:r w:rsidRPr="000D22BE">
        <w:rPr>
          <w:i/>
          <w:iCs/>
        </w:rPr>
        <w:t>aw Judge</w:t>
      </w:r>
      <w:r w:rsidR="00440785">
        <w:rPr>
          <w:i/>
          <w:iCs/>
        </w:rPr>
        <w:t>’</w:t>
      </w:r>
      <w:r w:rsidRPr="000D22BE">
        <w:rPr>
          <w:i/>
          <w:iCs/>
        </w:rPr>
        <w:t>s Ruling Updating Procedural Schedule and Requiring Use of Briefing Outline</w:t>
      </w:r>
      <w:r>
        <w:t xml:space="preserve">, the following parties filed opening briefs on </w:t>
      </w:r>
      <w:r w:rsidR="0013526D">
        <w:t>May </w:t>
      </w:r>
      <w:r>
        <w:t>17, 2023</w:t>
      </w:r>
      <w:r w:rsidR="005D30D7">
        <w:t xml:space="preserve">: </w:t>
      </w:r>
      <w:r w:rsidR="00FD4030">
        <w:t xml:space="preserve">Arcadia Power; </w:t>
      </w:r>
      <w:r w:rsidR="002917E2">
        <w:t>Cal Advoc</w:t>
      </w:r>
      <w:r w:rsidR="00D1229D">
        <w:t xml:space="preserve">ates; </w:t>
      </w:r>
      <w:r w:rsidRPr="00FD66C0" w:rsidR="00FD5602">
        <w:t xml:space="preserve">California Building Industry Association </w:t>
      </w:r>
      <w:r w:rsidR="00FD5602">
        <w:t>(</w:t>
      </w:r>
      <w:r w:rsidRPr="00FD66C0" w:rsidR="00FD5602">
        <w:t>CBIA</w:t>
      </w:r>
      <w:r w:rsidR="00FD5602">
        <w:t>)</w:t>
      </w:r>
      <w:r w:rsidR="006C63C6">
        <w:t>;</w:t>
      </w:r>
      <w:r w:rsidR="00FD5602">
        <w:t xml:space="preserve"> </w:t>
      </w:r>
      <w:r w:rsidRPr="00FD66C0" w:rsidR="00D1229D">
        <w:t>California Environmental Justice Alliance</w:t>
      </w:r>
      <w:r w:rsidRPr="00FD66C0" w:rsidR="00FD4030">
        <w:t xml:space="preserve"> </w:t>
      </w:r>
      <w:r w:rsidR="00FD4030">
        <w:t>(</w:t>
      </w:r>
      <w:r w:rsidRPr="00FD66C0" w:rsidR="00FD4030">
        <w:t>CEJA</w:t>
      </w:r>
      <w:r w:rsidR="00FD4030">
        <w:t>), Vote Solar, and Natural Resources Defense Council (</w:t>
      </w:r>
      <w:r w:rsidRPr="00FD66C0" w:rsidR="00A13365">
        <w:t>collectively</w:t>
      </w:r>
      <w:r w:rsidR="00F92113">
        <w:t xml:space="preserve">, </w:t>
      </w:r>
      <w:r w:rsidRPr="00FD66C0" w:rsidR="00FD4030">
        <w:t>CEJA</w:t>
      </w:r>
      <w:r w:rsidRPr="00FD66C0" w:rsidR="00A13365">
        <w:t>,</w:t>
      </w:r>
      <w:r w:rsidRPr="00FD66C0" w:rsidR="00FD4030">
        <w:t xml:space="preserve"> </w:t>
      </w:r>
      <w:r w:rsidRPr="00FD66C0" w:rsidR="00237E56">
        <w:rPr>
          <w:i/>
          <w:iCs/>
        </w:rPr>
        <w:t>et al</w:t>
      </w:r>
      <w:r w:rsidRPr="00FD66C0" w:rsidR="00AD55A4">
        <w:rPr>
          <w:i/>
          <w:iCs/>
        </w:rPr>
        <w:t>.</w:t>
      </w:r>
      <w:r w:rsidR="00FD4030">
        <w:t xml:space="preserve">); </w:t>
      </w:r>
      <w:r w:rsidR="00FD5602">
        <w:t xml:space="preserve">Clean Power Alliance of Southern California </w:t>
      </w:r>
      <w:r w:rsidR="00D9513E">
        <w:t xml:space="preserve">(CPA) </w:t>
      </w:r>
      <w:r w:rsidR="00FD5602">
        <w:t>and California Choice Energy Authority</w:t>
      </w:r>
      <w:r w:rsidR="006765F4">
        <w:t xml:space="preserve"> (CalChoice)</w:t>
      </w:r>
      <w:r w:rsidR="00FD5602">
        <w:t xml:space="preserve"> (</w:t>
      </w:r>
      <w:r w:rsidRPr="00FD66C0" w:rsidR="00FD5602">
        <w:t>jointly</w:t>
      </w:r>
      <w:r w:rsidR="00FD5602">
        <w:t xml:space="preserve">, </w:t>
      </w:r>
      <w:r w:rsidRPr="00FD66C0" w:rsidR="00FD5602">
        <w:t>SoCal CCA</w:t>
      </w:r>
      <w:r w:rsidR="00FD5602">
        <w:t>)</w:t>
      </w:r>
      <w:r w:rsidR="006C63C6">
        <w:t>;</w:t>
      </w:r>
      <w:r w:rsidR="00FD5602">
        <w:t xml:space="preserve"> </w:t>
      </w:r>
      <w:r w:rsidRPr="00FD66C0" w:rsidR="00FD4030">
        <w:t xml:space="preserve">Coalition of California Utility Employees </w:t>
      </w:r>
      <w:r w:rsidR="00FD4030">
        <w:t>(</w:t>
      </w:r>
      <w:r w:rsidRPr="00FD66C0" w:rsidR="00FD4030">
        <w:t>CUE</w:t>
      </w:r>
      <w:r w:rsidR="00FD4030">
        <w:t>); CCSA</w:t>
      </w:r>
      <w:r w:rsidR="00B91D9B">
        <w:t>;</w:t>
      </w:r>
      <w:r w:rsidR="009F5702">
        <w:t xml:space="preserve"> </w:t>
      </w:r>
      <w:r w:rsidRPr="00FD66C0" w:rsidR="00FD5602">
        <w:t xml:space="preserve">Cypress Creek Renewables, LLC </w:t>
      </w:r>
      <w:r w:rsidR="00FD5602">
        <w:t>(</w:t>
      </w:r>
      <w:r w:rsidRPr="00FD66C0" w:rsidR="00FD5602">
        <w:t>Cypress Creek</w:t>
      </w:r>
      <w:r w:rsidR="00FD5602">
        <w:t>)</w:t>
      </w:r>
      <w:r w:rsidR="006C63C6">
        <w:t>;</w:t>
      </w:r>
      <w:r w:rsidR="00FD5602">
        <w:t xml:space="preserve"> </w:t>
      </w:r>
      <w:r w:rsidR="000341A3">
        <w:t>Joint CCA</w:t>
      </w:r>
      <w:r w:rsidR="00A35011">
        <w:t>s</w:t>
      </w:r>
      <w:r w:rsidR="00FD4030">
        <w:t xml:space="preserve">; </w:t>
      </w:r>
      <w:r w:rsidR="00FD5602">
        <w:t>PG&amp;E</w:t>
      </w:r>
      <w:r w:rsidR="006C63C6">
        <w:t>;</w:t>
      </w:r>
      <w:r w:rsidR="00FD5602">
        <w:t xml:space="preserve"> </w:t>
      </w:r>
      <w:r w:rsidR="00F92113">
        <w:t xml:space="preserve">SDG&amp;E; </w:t>
      </w:r>
      <w:r w:rsidRPr="00EA5964" w:rsidR="006C63C6">
        <w:t>SDCP</w:t>
      </w:r>
      <w:r w:rsidR="006C63C6">
        <w:t xml:space="preserve"> with </w:t>
      </w:r>
      <w:r w:rsidRPr="00C93A87" w:rsidR="006C63C6">
        <w:t>Clean Energy Alliance</w:t>
      </w:r>
      <w:r w:rsidR="006C63C6">
        <w:t xml:space="preserve">; </w:t>
      </w:r>
      <w:r w:rsidR="00FD4030">
        <w:t xml:space="preserve">SBUA; </w:t>
      </w:r>
      <w:r w:rsidR="00FD5602">
        <w:t>SEIA</w:t>
      </w:r>
      <w:r w:rsidR="006C63C6">
        <w:t>;</w:t>
      </w:r>
      <w:r w:rsidR="00FD5602">
        <w:t xml:space="preserve"> SCE</w:t>
      </w:r>
      <w:r w:rsidR="006C63C6">
        <w:t>;</w:t>
      </w:r>
      <w:r w:rsidR="00FD5602">
        <w:t xml:space="preserve"> </w:t>
      </w:r>
      <w:r w:rsidR="00D1229D">
        <w:t xml:space="preserve">and </w:t>
      </w:r>
      <w:r w:rsidR="00FD5602">
        <w:t>TURN</w:t>
      </w:r>
      <w:r w:rsidR="006C63C6">
        <w:t>.</w:t>
      </w:r>
    </w:p>
    <w:p w:rsidR="000D22BE" w:rsidP="006E6574" w:rsidRDefault="006C63C6" w14:paraId="32E38FA9" w14:textId="568E24D9">
      <w:pPr>
        <w:pStyle w:val="Standard"/>
      </w:pPr>
      <w:r>
        <w:t>T</w:t>
      </w:r>
      <w:r w:rsidR="000D22BE">
        <w:t xml:space="preserve">he following parties filed reply briefs on </w:t>
      </w:r>
      <w:r w:rsidR="0013526D">
        <w:t>May </w:t>
      </w:r>
      <w:r w:rsidR="000D22BE">
        <w:t>30, 2023</w:t>
      </w:r>
      <w:r w:rsidR="005D30D7">
        <w:t xml:space="preserve">: </w:t>
      </w:r>
      <w:r w:rsidR="005F516E">
        <w:t xml:space="preserve">Arcadia Power; </w:t>
      </w:r>
      <w:r w:rsidR="002917E2">
        <w:t>Cal Advoc</w:t>
      </w:r>
      <w:r w:rsidR="005F516E">
        <w:t xml:space="preserve">ates; </w:t>
      </w:r>
      <w:r w:rsidR="004C1FF4">
        <w:t xml:space="preserve">CBD; </w:t>
      </w:r>
      <w:r w:rsidR="005F516E">
        <w:t>CEJA</w:t>
      </w:r>
      <w:r w:rsidR="00A9286F">
        <w:t>,</w:t>
      </w:r>
      <w:r w:rsidR="005F516E">
        <w:t xml:space="preserve"> </w:t>
      </w:r>
      <w:r w:rsidRPr="00E951AA" w:rsidR="00237E56">
        <w:rPr>
          <w:i/>
          <w:iCs/>
        </w:rPr>
        <w:t>et al</w:t>
      </w:r>
      <w:r w:rsidR="00E951AA">
        <w:rPr>
          <w:i/>
          <w:iCs/>
        </w:rPr>
        <w:t>.</w:t>
      </w:r>
      <w:r w:rsidR="005F516E">
        <w:t xml:space="preserve">; </w:t>
      </w:r>
      <w:r w:rsidR="004C1FF4">
        <w:t xml:space="preserve">Clean Coalition; </w:t>
      </w:r>
      <w:r w:rsidR="005F516E">
        <w:t>CUE; CCSA</w:t>
      </w:r>
      <w:r w:rsidR="004C1FF4">
        <w:t>;</w:t>
      </w:r>
      <w:r w:rsidR="005F516E">
        <w:t xml:space="preserve"> Cypress Creek; </w:t>
      </w:r>
      <w:r w:rsidR="000341A3">
        <w:t>Joint CCA</w:t>
      </w:r>
      <w:r w:rsidR="00A35011">
        <w:t>s</w:t>
      </w:r>
      <w:r w:rsidR="005F516E">
        <w:t>; PG&amp;E; SDG&amp;E; SBUA; SEIA; SCE; and TURN.</w:t>
      </w:r>
    </w:p>
    <w:p w:rsidR="004C1FF4" w:rsidP="006E6574" w:rsidRDefault="004C1FF4" w14:paraId="42C53260" w14:textId="2850AC06">
      <w:pPr>
        <w:pStyle w:val="Standard"/>
      </w:pPr>
      <w:r>
        <w:t xml:space="preserve">A </w:t>
      </w:r>
      <w:r w:rsidRPr="00FD66C0" w:rsidR="0013526D">
        <w:t>June </w:t>
      </w:r>
      <w:r w:rsidRPr="00FD66C0">
        <w:t>23, 2023</w:t>
      </w:r>
      <w:r>
        <w:t xml:space="preserve"> </w:t>
      </w:r>
      <w:r w:rsidRPr="002B0BA1">
        <w:rPr>
          <w:i/>
          <w:iCs/>
        </w:rPr>
        <w:t>Administrative Law Judge</w:t>
      </w:r>
      <w:r w:rsidR="00CC1F74">
        <w:rPr>
          <w:i/>
          <w:iCs/>
        </w:rPr>
        <w:t>’</w:t>
      </w:r>
      <w:r w:rsidRPr="002B0BA1">
        <w:rPr>
          <w:i/>
          <w:iCs/>
        </w:rPr>
        <w:t>s Ruling Setting Aside Submission of the Record to Seek Comments on Cost</w:t>
      </w:r>
      <w:r w:rsidR="003D6EF8">
        <w:rPr>
          <w:i/>
          <w:iCs/>
        </w:rPr>
        <w:noBreakHyphen/>
      </w:r>
      <w:r w:rsidRPr="002B0BA1">
        <w:rPr>
          <w:i/>
          <w:iCs/>
        </w:rPr>
        <w:t xml:space="preserve">Effectiveness Considerations </w:t>
      </w:r>
      <w:r w:rsidRPr="00E21CDE" w:rsidR="00E21CDE">
        <w:t>(</w:t>
      </w:r>
      <w:r w:rsidRPr="00FD66C0" w:rsidR="0013526D">
        <w:t>June </w:t>
      </w:r>
      <w:r w:rsidRPr="00FD66C0" w:rsidR="00E21CDE">
        <w:t>23 Ruling</w:t>
      </w:r>
      <w:r w:rsidRPr="00E21CDE" w:rsidR="00E21CDE">
        <w:t>)</w:t>
      </w:r>
      <w:r w:rsidR="00E21CDE">
        <w:rPr>
          <w:i/>
          <w:iCs/>
        </w:rPr>
        <w:t xml:space="preserve"> </w:t>
      </w:r>
      <w:r>
        <w:t xml:space="preserve">directed parties to file comments responding to specific questions. On </w:t>
      </w:r>
      <w:r w:rsidR="0013526D">
        <w:t>July </w:t>
      </w:r>
      <w:r>
        <w:t>31, 2023, the following parties filed opening comments</w:t>
      </w:r>
      <w:r w:rsidR="002B0BA1">
        <w:t xml:space="preserve"> to the </w:t>
      </w:r>
      <w:r w:rsidR="0013526D">
        <w:t>June </w:t>
      </w:r>
      <w:r w:rsidR="002B0BA1">
        <w:t>23</w:t>
      </w:r>
      <w:r w:rsidR="00E21CDE">
        <w:t xml:space="preserve"> R</w:t>
      </w:r>
      <w:r w:rsidR="002B0BA1">
        <w:t>uling</w:t>
      </w:r>
      <w:r w:rsidR="005D30D7">
        <w:t xml:space="preserve">: </w:t>
      </w:r>
      <w:r>
        <w:t xml:space="preserve">Arcadia Power; </w:t>
      </w:r>
      <w:r w:rsidR="002917E2">
        <w:t>Cal Advoc</w:t>
      </w:r>
      <w:r>
        <w:t>ates; CBD; CEJA</w:t>
      </w:r>
      <w:r w:rsidR="00CC1F74">
        <w:t>,</w:t>
      </w:r>
      <w:r>
        <w:t xml:space="preserve"> </w:t>
      </w:r>
      <w:r w:rsidRPr="00A9286F" w:rsidR="00237E56">
        <w:rPr>
          <w:i/>
          <w:iCs/>
        </w:rPr>
        <w:t>et al</w:t>
      </w:r>
      <w:r w:rsidR="00A9286F">
        <w:t>.</w:t>
      </w:r>
      <w:r>
        <w:t xml:space="preserve">; Clean Coalition; CCSA; </w:t>
      </w:r>
      <w:r w:rsidR="000341A3">
        <w:t>Joint CCA</w:t>
      </w:r>
      <w:r w:rsidR="00A35011">
        <w:t>s</w:t>
      </w:r>
      <w:r>
        <w:t xml:space="preserve">; PG&amp;E; SDG&amp;E; SBUA; SEIA; </w:t>
      </w:r>
      <w:r w:rsidRPr="00FD66C0" w:rsidR="002B0BA1">
        <w:t xml:space="preserve">Solar Landscape Origination, LLC </w:t>
      </w:r>
      <w:r w:rsidR="002B0BA1">
        <w:t>(</w:t>
      </w:r>
      <w:r w:rsidRPr="00FD66C0" w:rsidR="002B0BA1">
        <w:rPr>
          <w:noProof/>
        </w:rPr>
        <w:t>Solar Landscape</w:t>
      </w:r>
      <w:r w:rsidR="002B0BA1">
        <w:t xml:space="preserve">); </w:t>
      </w:r>
      <w:r>
        <w:t>SCE; TURN</w:t>
      </w:r>
      <w:r w:rsidR="002B0BA1">
        <w:t>; and Valta Energy</w:t>
      </w:r>
      <w:r w:rsidR="00AB4A05">
        <w:t>, LLC (Valta Energy)</w:t>
      </w:r>
      <w:r>
        <w:t>.</w:t>
      </w:r>
      <w:r w:rsidR="002B0BA1">
        <w:t xml:space="preserve"> On </w:t>
      </w:r>
      <w:r w:rsidR="0013526D">
        <w:t>August </w:t>
      </w:r>
      <w:r w:rsidR="002B0BA1">
        <w:t>10, 2023, the following parties filed reply comments</w:t>
      </w:r>
      <w:r w:rsidR="009F5702">
        <w:t xml:space="preserve">: </w:t>
      </w:r>
      <w:r w:rsidR="002B0BA1">
        <w:t xml:space="preserve">Arcadia Power; </w:t>
      </w:r>
      <w:r w:rsidR="002917E2">
        <w:t>Cal Advoc</w:t>
      </w:r>
      <w:r w:rsidR="002B0BA1">
        <w:t>ates; CBD; CEJA</w:t>
      </w:r>
      <w:r w:rsidR="005A133D">
        <w:t>,</w:t>
      </w:r>
      <w:r w:rsidR="002B0BA1">
        <w:t xml:space="preserve"> </w:t>
      </w:r>
      <w:r w:rsidR="00237E56">
        <w:rPr>
          <w:i/>
          <w:iCs/>
        </w:rPr>
        <w:t>et al</w:t>
      </w:r>
      <w:r w:rsidR="002B0BA1">
        <w:t xml:space="preserve">; Clean Coalition; CCSA; </w:t>
      </w:r>
      <w:r w:rsidR="000341A3">
        <w:t>Joint CCA</w:t>
      </w:r>
      <w:r w:rsidR="00A35011">
        <w:t>s</w:t>
      </w:r>
      <w:r w:rsidR="002B0BA1">
        <w:t>; PG&amp;E; SDG&amp;E; SBUA; SEIA; Solar Landscape; SCE; and TURN.</w:t>
      </w:r>
    </w:p>
    <w:p w:rsidRPr="00095F23" w:rsidR="00095F23" w:rsidP="006E6574" w:rsidRDefault="00095F23" w14:paraId="56B16195" w14:textId="50679E10">
      <w:pPr>
        <w:pStyle w:val="Standard"/>
        <w:rPr>
          <w:szCs w:val="26"/>
        </w:rPr>
      </w:pPr>
      <w:r w:rsidRPr="00095F23">
        <w:rPr>
          <w:szCs w:val="26"/>
        </w:rPr>
        <w:lastRenderedPageBreak/>
        <w:t xml:space="preserve">A </w:t>
      </w:r>
      <w:r w:rsidRPr="00FD66C0" w:rsidR="0013526D">
        <w:t>November </w:t>
      </w:r>
      <w:r w:rsidRPr="00FD66C0">
        <w:t>6, 2023</w:t>
      </w:r>
      <w:r w:rsidRPr="00095F23">
        <w:rPr>
          <w:szCs w:val="26"/>
        </w:rPr>
        <w:t xml:space="preserve"> </w:t>
      </w:r>
      <w:r w:rsidRPr="005D065D">
        <w:rPr>
          <w:i/>
          <w:iCs/>
          <w:szCs w:val="26"/>
        </w:rPr>
        <w:t xml:space="preserve">Ruling Setting Aside Submission of </w:t>
      </w:r>
      <w:r w:rsidR="00777979">
        <w:rPr>
          <w:i/>
          <w:iCs/>
          <w:szCs w:val="26"/>
        </w:rPr>
        <w:t>t</w:t>
      </w:r>
      <w:r w:rsidRPr="005D065D">
        <w:rPr>
          <w:i/>
          <w:iCs/>
          <w:szCs w:val="26"/>
        </w:rPr>
        <w:t>he Record to Seek Comments on Aspects of Net Value Benefit Tariff Proposal</w:t>
      </w:r>
      <w:r w:rsidRPr="005D065D">
        <w:rPr>
          <w:szCs w:val="26"/>
        </w:rPr>
        <w:t xml:space="preserve"> </w:t>
      </w:r>
      <w:r>
        <w:rPr>
          <w:szCs w:val="26"/>
        </w:rPr>
        <w:t>(</w:t>
      </w:r>
      <w:r w:rsidRPr="00FD66C0" w:rsidR="0013526D">
        <w:t>November </w:t>
      </w:r>
      <w:r w:rsidRPr="00FD66C0" w:rsidR="00F57598">
        <w:t>6 Ruling</w:t>
      </w:r>
      <w:r>
        <w:rPr>
          <w:szCs w:val="26"/>
        </w:rPr>
        <w:t xml:space="preserve">) </w:t>
      </w:r>
      <w:r w:rsidRPr="005D065D">
        <w:rPr>
          <w:szCs w:val="26"/>
        </w:rPr>
        <w:t xml:space="preserve">provided additional information on the </w:t>
      </w:r>
      <w:r w:rsidRPr="00FD66C0" w:rsidR="004428CF">
        <w:t>New Y</w:t>
      </w:r>
      <w:r w:rsidRPr="00FD66C0">
        <w:t xml:space="preserve">ork Value of Distributed Energy Resources </w:t>
      </w:r>
      <w:r w:rsidRPr="005D065D">
        <w:rPr>
          <w:szCs w:val="26"/>
        </w:rPr>
        <w:t>(</w:t>
      </w:r>
      <w:r w:rsidRPr="00FD66C0">
        <w:t>NY VDER</w:t>
      </w:r>
      <w:r w:rsidRPr="005D065D">
        <w:rPr>
          <w:szCs w:val="26"/>
        </w:rPr>
        <w:t>) tariff and directed parties to file comments</w:t>
      </w:r>
      <w:r w:rsidRPr="00095F23">
        <w:rPr>
          <w:szCs w:val="26"/>
        </w:rPr>
        <w:t xml:space="preserve"> on questions regarding </w:t>
      </w:r>
      <w:r>
        <w:rPr>
          <w:szCs w:val="26"/>
        </w:rPr>
        <w:t xml:space="preserve">aspects of the CCSA </w:t>
      </w:r>
      <w:r w:rsidRPr="00FD66C0" w:rsidR="00FD641C">
        <w:t xml:space="preserve">Net Value Billing Tariff </w:t>
      </w:r>
      <w:r w:rsidR="00FD641C">
        <w:t>(</w:t>
      </w:r>
      <w:r w:rsidRPr="00FD66C0" w:rsidR="00FD641C">
        <w:t>NVBT</w:t>
      </w:r>
      <w:r w:rsidR="00FD641C">
        <w:t>)</w:t>
      </w:r>
      <w:r>
        <w:rPr>
          <w:szCs w:val="26"/>
        </w:rPr>
        <w:t xml:space="preserve">, focusing on the </w:t>
      </w:r>
      <w:r w:rsidRPr="00095F23">
        <w:rPr>
          <w:szCs w:val="26"/>
        </w:rPr>
        <w:t>value for capacity</w:t>
      </w:r>
      <w:r>
        <w:rPr>
          <w:szCs w:val="26"/>
        </w:rPr>
        <w:t xml:space="preserve">. </w:t>
      </w:r>
      <w:r w:rsidR="005940D5">
        <w:rPr>
          <w:szCs w:val="26"/>
        </w:rPr>
        <w:t xml:space="preserve">(A description of the NY VDER is provided in Section 3.4.1 below.) </w:t>
      </w:r>
      <w:r>
        <w:rPr>
          <w:szCs w:val="26"/>
        </w:rPr>
        <w:t xml:space="preserve">The following parties filed opening comments on </w:t>
      </w:r>
      <w:r w:rsidR="0013526D">
        <w:rPr>
          <w:szCs w:val="26"/>
        </w:rPr>
        <w:t>November </w:t>
      </w:r>
      <w:r>
        <w:rPr>
          <w:szCs w:val="26"/>
        </w:rPr>
        <w:t>27, 2023</w:t>
      </w:r>
      <w:r w:rsidR="009F5702">
        <w:rPr>
          <w:szCs w:val="26"/>
        </w:rPr>
        <w:t xml:space="preserve">: </w:t>
      </w:r>
      <w:r w:rsidR="00602AEF">
        <w:rPr>
          <w:szCs w:val="26"/>
        </w:rPr>
        <w:t>Arcadia Power</w:t>
      </w:r>
      <w:r w:rsidR="00FF1131">
        <w:rPr>
          <w:szCs w:val="26"/>
        </w:rPr>
        <w:t xml:space="preserve">; </w:t>
      </w:r>
      <w:r w:rsidR="002917E2">
        <w:rPr>
          <w:szCs w:val="26"/>
        </w:rPr>
        <w:t>Cal Advoc</w:t>
      </w:r>
      <w:r w:rsidR="00AF0806">
        <w:rPr>
          <w:szCs w:val="26"/>
        </w:rPr>
        <w:t xml:space="preserve">ates; </w:t>
      </w:r>
      <w:r w:rsidRPr="00FD66C0" w:rsidR="00A02F6F">
        <w:t xml:space="preserve">California Independent System Operator </w:t>
      </w:r>
      <w:r w:rsidR="00A02F6F">
        <w:rPr>
          <w:szCs w:val="26"/>
        </w:rPr>
        <w:t>(</w:t>
      </w:r>
      <w:r w:rsidRPr="00FD66C0" w:rsidR="00A02F6F">
        <w:t>CAISO</w:t>
      </w:r>
      <w:r w:rsidR="00A02F6F">
        <w:rPr>
          <w:szCs w:val="26"/>
        </w:rPr>
        <w:t xml:space="preserve">); </w:t>
      </w:r>
      <w:r w:rsidR="00A421F0">
        <w:rPr>
          <w:szCs w:val="26"/>
        </w:rPr>
        <w:t>CEJA</w:t>
      </w:r>
      <w:r w:rsidR="00AD55A4">
        <w:rPr>
          <w:szCs w:val="26"/>
        </w:rPr>
        <w:t>,</w:t>
      </w:r>
      <w:r w:rsidRPr="00AD55A4" w:rsidR="00A421F0">
        <w:rPr>
          <w:i/>
          <w:iCs/>
          <w:szCs w:val="26"/>
        </w:rPr>
        <w:t xml:space="preserve"> </w:t>
      </w:r>
      <w:r w:rsidR="00237E56">
        <w:rPr>
          <w:i/>
          <w:iCs/>
          <w:szCs w:val="26"/>
        </w:rPr>
        <w:t>et al</w:t>
      </w:r>
      <w:r w:rsidRPr="00AD55A4" w:rsidR="00AD55A4">
        <w:rPr>
          <w:i/>
          <w:iCs/>
          <w:szCs w:val="26"/>
        </w:rPr>
        <w:t>.</w:t>
      </w:r>
      <w:r w:rsidR="009E67B6">
        <w:rPr>
          <w:szCs w:val="26"/>
        </w:rPr>
        <w:t xml:space="preserve">; </w:t>
      </w:r>
      <w:r w:rsidR="006E3B6C">
        <w:rPr>
          <w:szCs w:val="26"/>
        </w:rPr>
        <w:t>CBD</w:t>
      </w:r>
      <w:r w:rsidR="00311747">
        <w:rPr>
          <w:szCs w:val="26"/>
        </w:rPr>
        <w:t xml:space="preserve">; </w:t>
      </w:r>
      <w:r w:rsidR="00532774">
        <w:rPr>
          <w:szCs w:val="26"/>
        </w:rPr>
        <w:t xml:space="preserve">Clean Coalition; </w:t>
      </w:r>
      <w:r w:rsidR="00FF1131">
        <w:rPr>
          <w:szCs w:val="26"/>
        </w:rPr>
        <w:t xml:space="preserve">CCSA; </w:t>
      </w:r>
      <w:r w:rsidR="007163C7">
        <w:rPr>
          <w:szCs w:val="26"/>
        </w:rPr>
        <w:t xml:space="preserve">CUE; </w:t>
      </w:r>
      <w:r w:rsidR="000341A3">
        <w:rPr>
          <w:szCs w:val="26"/>
        </w:rPr>
        <w:t>Joint CCA</w:t>
      </w:r>
      <w:r w:rsidR="00ED6A0E">
        <w:rPr>
          <w:szCs w:val="26"/>
        </w:rPr>
        <w:t>s</w:t>
      </w:r>
      <w:r w:rsidR="003E410A">
        <w:rPr>
          <w:szCs w:val="26"/>
        </w:rPr>
        <w:t xml:space="preserve">; </w:t>
      </w:r>
      <w:r w:rsidR="00BB1A24">
        <w:rPr>
          <w:szCs w:val="26"/>
        </w:rPr>
        <w:t>PG&amp;E</w:t>
      </w:r>
      <w:r w:rsidR="007B5A8F">
        <w:rPr>
          <w:szCs w:val="26"/>
        </w:rPr>
        <w:t>;</w:t>
      </w:r>
      <w:r w:rsidR="00BB1A24">
        <w:rPr>
          <w:szCs w:val="26"/>
        </w:rPr>
        <w:t xml:space="preserve"> </w:t>
      </w:r>
      <w:r w:rsidRPr="00FD66C0" w:rsidR="00AB6EB9">
        <w:t>PearlX</w:t>
      </w:r>
      <w:r w:rsidRPr="00FD66C0" w:rsidR="004967F5">
        <w:t xml:space="preserve"> Infrastru</w:t>
      </w:r>
      <w:r w:rsidRPr="00FD66C0" w:rsidR="00310AC8">
        <w:t xml:space="preserve">cture LLC </w:t>
      </w:r>
      <w:r w:rsidR="00310AC8">
        <w:rPr>
          <w:szCs w:val="26"/>
        </w:rPr>
        <w:t>(</w:t>
      </w:r>
      <w:r w:rsidRPr="00FD66C0" w:rsidR="00310AC8">
        <w:t>PearlX</w:t>
      </w:r>
      <w:r w:rsidR="00310AC8">
        <w:rPr>
          <w:szCs w:val="26"/>
        </w:rPr>
        <w:t xml:space="preserve">); </w:t>
      </w:r>
      <w:r w:rsidR="00BB1A24">
        <w:rPr>
          <w:szCs w:val="26"/>
        </w:rPr>
        <w:t>SDG&amp;E</w:t>
      </w:r>
      <w:r w:rsidR="007B5A8F">
        <w:rPr>
          <w:szCs w:val="26"/>
        </w:rPr>
        <w:t xml:space="preserve">; </w:t>
      </w:r>
      <w:r w:rsidR="009254B2">
        <w:rPr>
          <w:szCs w:val="26"/>
        </w:rPr>
        <w:t>SBUA</w:t>
      </w:r>
      <w:r w:rsidR="00767103">
        <w:rPr>
          <w:szCs w:val="26"/>
        </w:rPr>
        <w:t xml:space="preserve">; </w:t>
      </w:r>
      <w:r w:rsidR="00311747">
        <w:rPr>
          <w:szCs w:val="26"/>
        </w:rPr>
        <w:t xml:space="preserve">SEIA; </w:t>
      </w:r>
      <w:r w:rsidRPr="00C93A87" w:rsidR="00310AC8">
        <w:t>Solar Landscape</w:t>
      </w:r>
      <w:r w:rsidR="00310AC8">
        <w:rPr>
          <w:szCs w:val="26"/>
        </w:rPr>
        <w:t xml:space="preserve">; </w:t>
      </w:r>
      <w:r w:rsidR="00AF0806">
        <w:rPr>
          <w:szCs w:val="26"/>
        </w:rPr>
        <w:t xml:space="preserve">SCE; </w:t>
      </w:r>
      <w:r w:rsidR="007B5A8F">
        <w:rPr>
          <w:szCs w:val="26"/>
        </w:rPr>
        <w:t>TURN</w:t>
      </w:r>
      <w:r w:rsidR="00FB39F8">
        <w:rPr>
          <w:szCs w:val="26"/>
        </w:rPr>
        <w:t>; and Valta Energy</w:t>
      </w:r>
      <w:r>
        <w:rPr>
          <w:szCs w:val="26"/>
        </w:rPr>
        <w:t xml:space="preserve">. On </w:t>
      </w:r>
      <w:r w:rsidR="0013526D">
        <w:rPr>
          <w:szCs w:val="26"/>
        </w:rPr>
        <w:t>December </w:t>
      </w:r>
      <w:r>
        <w:rPr>
          <w:szCs w:val="26"/>
        </w:rPr>
        <w:t>4, 2023, the following parties filed replies</w:t>
      </w:r>
      <w:r w:rsidR="005D30D7">
        <w:rPr>
          <w:szCs w:val="26"/>
        </w:rPr>
        <w:t xml:space="preserve">: </w:t>
      </w:r>
      <w:r w:rsidR="004F417C">
        <w:rPr>
          <w:szCs w:val="26"/>
        </w:rPr>
        <w:t xml:space="preserve">Arcadia Power; </w:t>
      </w:r>
      <w:r w:rsidR="002917E2">
        <w:rPr>
          <w:szCs w:val="26"/>
        </w:rPr>
        <w:t>Cal Advoc</w:t>
      </w:r>
      <w:r w:rsidR="004F417C">
        <w:rPr>
          <w:szCs w:val="26"/>
        </w:rPr>
        <w:t xml:space="preserve">ates;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rsidR="004F417C">
        <w:rPr>
          <w:szCs w:val="26"/>
        </w:rPr>
        <w:t xml:space="preserve">; Clean Coalition; CCSA; CUE; </w:t>
      </w:r>
      <w:r w:rsidR="000341A3">
        <w:rPr>
          <w:szCs w:val="26"/>
        </w:rPr>
        <w:t>Joint CCA</w:t>
      </w:r>
      <w:r w:rsidR="004F417C">
        <w:rPr>
          <w:szCs w:val="26"/>
        </w:rPr>
        <w:t xml:space="preserve">s; PG&amp;E; PearlX; SDG&amp;E; Solar Landscape; SCE; </w:t>
      </w:r>
      <w:r w:rsidR="00107DB1">
        <w:rPr>
          <w:szCs w:val="26"/>
        </w:rPr>
        <w:t xml:space="preserve">and </w:t>
      </w:r>
      <w:r w:rsidR="004F417C">
        <w:rPr>
          <w:szCs w:val="26"/>
        </w:rPr>
        <w:t>TURN</w:t>
      </w:r>
      <w:r>
        <w:rPr>
          <w:szCs w:val="26"/>
        </w:rPr>
        <w:t>.</w:t>
      </w:r>
    </w:p>
    <w:p w:rsidR="00683B2C" w:rsidP="001B1E90" w:rsidRDefault="00683B2C" w14:paraId="180890B6" w14:textId="77777777">
      <w:pPr>
        <w:pStyle w:val="Heading2"/>
      </w:pPr>
      <w:bookmarkStart w:name="_Toc159551145" w:id="37"/>
      <w:bookmarkStart w:name="_Toc168559265" w:id="38"/>
      <w:r>
        <w:t>Submission Date</w:t>
      </w:r>
      <w:bookmarkEnd w:id="37"/>
      <w:bookmarkEnd w:id="38"/>
    </w:p>
    <w:p w:rsidR="00683B2C" w:rsidP="00697FBB" w:rsidRDefault="00683B2C" w14:paraId="1BA45C8D" w14:textId="39D53427">
      <w:pPr>
        <w:pStyle w:val="Standard"/>
      </w:pPr>
      <w:r w:rsidRPr="00FF0265">
        <w:t xml:space="preserve">This matter was submitted on </w:t>
      </w:r>
      <w:r w:rsidR="0013526D">
        <w:t>December </w:t>
      </w:r>
      <w:r w:rsidR="00095F23">
        <w:t>4</w:t>
      </w:r>
      <w:r w:rsidR="008D7C6D">
        <w:t>, 2023</w:t>
      </w:r>
      <w:r w:rsidRPr="00FF0265">
        <w:t xml:space="preserve"> upon </w:t>
      </w:r>
      <w:r w:rsidR="008D7C6D">
        <w:t xml:space="preserve">filing of reply comments responding to questions posed in the </w:t>
      </w:r>
      <w:r w:rsidR="0013526D">
        <w:t>November </w:t>
      </w:r>
      <w:r w:rsidR="00F57598">
        <w:t>6 Ruling</w:t>
      </w:r>
      <w:r w:rsidR="008D7C6D">
        <w:t>.</w:t>
      </w:r>
    </w:p>
    <w:p w:rsidR="005A148C" w:rsidP="001B1E90" w:rsidRDefault="005939A5" w14:paraId="0B7F5D2D" w14:textId="77777777">
      <w:pPr>
        <w:pStyle w:val="Heading1"/>
      </w:pPr>
      <w:bookmarkStart w:name="_Toc8123719" w:id="39"/>
      <w:bookmarkStart w:name="_Toc159551146" w:id="40"/>
      <w:bookmarkStart w:name="_Toc168559266" w:id="41"/>
      <w:r>
        <w:t xml:space="preserve">Issues Before the </w:t>
      </w:r>
      <w:bookmarkEnd w:id="39"/>
      <w:r w:rsidR="008A08BF">
        <w:t>Commission</w:t>
      </w:r>
      <w:bookmarkEnd w:id="40"/>
      <w:bookmarkEnd w:id="41"/>
    </w:p>
    <w:p w:rsidR="005939A5" w:rsidP="00A44E8D" w:rsidRDefault="00844667" w14:paraId="3026338F" w14:textId="25F9A377">
      <w:pPr>
        <w:pStyle w:val="Standard"/>
      </w:pPr>
      <w:r>
        <w:t>Pursuant to the Scoping Memo, the issues before the Commission and addressed in this decision are:</w:t>
      </w:r>
    </w:p>
    <w:p w:rsidR="00BA58BF" w:rsidP="008F110C" w:rsidRDefault="00F62BB9" w14:paraId="4424088D" w14:textId="77777777">
      <w:pPr>
        <w:pStyle w:val="BlockQuote0"/>
      </w:pPr>
      <w:r w:rsidRPr="008F110C">
        <w:rPr>
          <w:u w:val="single"/>
        </w:rPr>
        <w:t>Part </w:t>
      </w:r>
      <w:r w:rsidRPr="008F110C" w:rsidR="00844667">
        <w:rPr>
          <w:u w:val="single"/>
        </w:rPr>
        <w:t>A</w:t>
      </w:r>
      <w:r w:rsidR="00844667">
        <w:t>. Evaluation of the Existing Green Access Program</w:t>
      </w:r>
      <w:r w:rsidR="002B0BA1">
        <w:t xml:space="preserve"> </w:t>
      </w:r>
      <w:r w:rsidR="00824A33">
        <w:t>tariffs</w:t>
      </w:r>
      <w:r w:rsidR="00E32626">
        <w:t xml:space="preserve"> — </w:t>
      </w:r>
      <w:r w:rsidR="00844667">
        <w:t>A comprehensive evaluation of the performance of the existing Green Access Program</w:t>
      </w:r>
      <w:r w:rsidR="00824A33">
        <w:t xml:space="preserve"> tariffs</w:t>
      </w:r>
      <w:r w:rsidR="00844667">
        <w:t xml:space="preserve">, pursuant to the requirements of </w:t>
      </w:r>
      <w:r w:rsidR="003627A8">
        <w:t>AB </w:t>
      </w:r>
      <w:r w:rsidR="00844667">
        <w:t>2316, must address each of the following components</w:t>
      </w:r>
      <w:r w:rsidR="009F5702">
        <w:t>:</w:t>
      </w:r>
    </w:p>
    <w:p w:rsidR="00844667" w:rsidP="009F26D9" w:rsidRDefault="00844667" w14:paraId="44DFD60E" w14:textId="5291887A">
      <w:pPr>
        <w:pStyle w:val="BlockQuoteH025"/>
      </w:pPr>
      <w:r>
        <w:t>1.</w:t>
      </w:r>
      <w:r w:rsidR="009F26D9">
        <w:tab/>
      </w:r>
      <w:r>
        <w:t xml:space="preserve">Propose working definitions and criteria for the following goals outlined in </w:t>
      </w:r>
      <w:r w:rsidR="003627A8">
        <w:t>AB </w:t>
      </w:r>
      <w:r>
        <w:t>2316, to determine whether each program meets these goals</w:t>
      </w:r>
      <w:r w:rsidR="005D30D7">
        <w:t xml:space="preserve">: </w:t>
      </w:r>
      <w:r>
        <w:t>(a</w:t>
      </w:r>
      <w:r w:rsidR="00624994">
        <w:t>) </w:t>
      </w:r>
      <w:r>
        <w:t>efficiently serves distinct customer groups; (b</w:t>
      </w:r>
      <w:r w:rsidR="00624994">
        <w:t>) </w:t>
      </w:r>
      <w:r>
        <w:t xml:space="preserve">minimizes duplicative offerings; and </w:t>
      </w:r>
      <w:r>
        <w:lastRenderedPageBreak/>
        <w:t>(c</w:t>
      </w:r>
      <w:r w:rsidR="00624994">
        <w:t>) </w:t>
      </w:r>
      <w:r>
        <w:t>promotes robust participation by low</w:t>
      </w:r>
      <w:r w:rsidR="003D6EF8">
        <w:noBreakHyphen/>
      </w:r>
      <w:r>
        <w:t>income customers.</w:t>
      </w:r>
    </w:p>
    <w:p w:rsidR="00BA58BF" w:rsidP="009F26D9" w:rsidRDefault="00844667" w14:paraId="55857F68" w14:textId="03FB12C6">
      <w:pPr>
        <w:pStyle w:val="BlockQuoteH025"/>
      </w:pPr>
      <w:r>
        <w:t>2.</w:t>
      </w:r>
      <w:r w:rsidR="009F26D9">
        <w:tab/>
      </w:r>
      <w:r>
        <w:t>Evaluate the GTSR program (including G</w:t>
      </w:r>
      <w:r w:rsidR="00FA0994">
        <w:t xml:space="preserve">reen </w:t>
      </w:r>
      <w:r>
        <w:t>T</w:t>
      </w:r>
      <w:r w:rsidR="00FA0994">
        <w:t>ariff</w:t>
      </w:r>
      <w:r>
        <w:t xml:space="preserve"> and ECR programs), the DAC</w:t>
      </w:r>
      <w:r w:rsidR="003D6EF8">
        <w:noBreakHyphen/>
      </w:r>
      <w:r>
        <w:t xml:space="preserve">GT program, and the CSGT program, applying the objectives of </w:t>
      </w:r>
      <w:r w:rsidR="003627A8">
        <w:t>AB </w:t>
      </w:r>
      <w:r>
        <w:t>2316 to determine whether each program meets the following goals</w:t>
      </w:r>
      <w:r w:rsidR="005D30D7">
        <w:t xml:space="preserve">: </w:t>
      </w:r>
      <w:r>
        <w:t>(a</w:t>
      </w:r>
      <w:r w:rsidR="008B79B4">
        <w:t>) </w:t>
      </w:r>
      <w:r>
        <w:t>efficiently serves distinct customer groups; (b</w:t>
      </w:r>
      <w:r w:rsidR="008B79B4">
        <w:t>) </w:t>
      </w:r>
      <w:r>
        <w:t xml:space="preserve">minimizes duplicative </w:t>
      </w:r>
      <w:r w:rsidR="005B41BB">
        <w:t>offerings</w:t>
      </w:r>
      <w:r>
        <w:t>; and (c</w:t>
      </w:r>
      <w:r w:rsidR="008B79B4">
        <w:t>) </w:t>
      </w:r>
      <w:r>
        <w:t xml:space="preserve">promotes robust participation by </w:t>
      </w:r>
      <w:r w:rsidR="005B41BB">
        <w:t>low</w:t>
      </w:r>
      <w:r w:rsidR="003D6EF8">
        <w:noBreakHyphen/>
      </w:r>
      <w:r w:rsidR="005B41BB">
        <w:t>income</w:t>
      </w:r>
      <w:r>
        <w:t xml:space="preserve"> customers.</w:t>
      </w:r>
    </w:p>
    <w:p w:rsidR="00BA58BF" w:rsidP="009F26D9" w:rsidRDefault="00844667" w14:paraId="247DB8CE" w14:textId="77777777">
      <w:pPr>
        <w:pStyle w:val="BlockQuoteH025"/>
      </w:pPr>
      <w:r>
        <w:t>3.</w:t>
      </w:r>
      <w:r w:rsidR="009F26D9">
        <w:tab/>
      </w:r>
      <w:r>
        <w:t xml:space="preserve">Consider the continuing growth of </w:t>
      </w:r>
      <w:r w:rsidRPr="00FD66C0">
        <w:t xml:space="preserve">Community Choice Aggregators </w:t>
      </w:r>
      <w:r>
        <w:t>(</w:t>
      </w:r>
      <w:r w:rsidRPr="00FD66C0">
        <w:t>CCAs</w:t>
      </w:r>
      <w:r>
        <w:t xml:space="preserve">) and any impact departing load may have on </w:t>
      </w:r>
      <w:r w:rsidR="00F90080">
        <w:t>existing</w:t>
      </w:r>
      <w:r>
        <w:t xml:space="preserve"> programs.</w:t>
      </w:r>
    </w:p>
    <w:p w:rsidR="00844667" w:rsidP="008F110C" w:rsidRDefault="00F62BB9" w14:paraId="5CC9982C" w14:textId="7D759FBB">
      <w:pPr>
        <w:pStyle w:val="BlockQuote0"/>
      </w:pPr>
      <w:r w:rsidRPr="008F110C">
        <w:rPr>
          <w:u w:val="single"/>
        </w:rPr>
        <w:t>Part </w:t>
      </w:r>
      <w:r w:rsidRPr="008F110C" w:rsidR="00844667">
        <w:rPr>
          <w:u w:val="single"/>
        </w:rPr>
        <w:t>B</w:t>
      </w:r>
      <w:r w:rsidR="00844667">
        <w:t>. Recommendations for Improving Green Access Program</w:t>
      </w:r>
      <w:r w:rsidR="00824A33">
        <w:t xml:space="preserve"> tariffs</w:t>
      </w:r>
      <w:r w:rsidR="001C43E7">
        <w:t xml:space="preserve"> — </w:t>
      </w:r>
      <w:r w:rsidR="00844667">
        <w:t>To improve the existing Green Access Program</w:t>
      </w:r>
      <w:r w:rsidR="00824A33">
        <w:t xml:space="preserve"> tariffs</w:t>
      </w:r>
      <w:r w:rsidR="00844667">
        <w:t xml:space="preserve">, parties may provide </w:t>
      </w:r>
      <w:r w:rsidR="005B41BB">
        <w:t xml:space="preserve">[proposals] </w:t>
      </w:r>
      <w:r w:rsidR="00844667">
        <w:t xml:space="preserve">to modify an existing tariff or program or provide a recommendation for establishing a new tariff or program, if doing so would be beneficial to ratepayers (taking into account </w:t>
      </w:r>
      <w:r w:rsidR="003627A8">
        <w:t>AB </w:t>
      </w:r>
      <w:r w:rsidR="00844667">
        <w:t>2838</w:t>
      </w:r>
      <w:r w:rsidR="005D065D">
        <w:t>)</w:t>
      </w:r>
      <w:r w:rsidR="00844667">
        <w:t>.</w:t>
      </w:r>
    </w:p>
    <w:p w:rsidR="00844667" w:rsidP="00BC0A73" w:rsidRDefault="00844667" w14:paraId="3CDFB8BC" w14:textId="6BB307AE">
      <w:pPr>
        <w:pStyle w:val="BlockQuoteH025"/>
      </w:pPr>
      <w:r>
        <w:t>1.</w:t>
      </w:r>
      <w:r w:rsidR="00BC0A73">
        <w:tab/>
      </w:r>
      <w:r>
        <w:t>A viable recommendation must address the following issues</w:t>
      </w:r>
      <w:r w:rsidR="005D30D7">
        <w:t xml:space="preserve">: </w:t>
      </w:r>
      <w:r w:rsidR="00BC0A73">
        <w:t>(</w:t>
      </w:r>
      <w:r>
        <w:t>a</w:t>
      </w:r>
      <w:r w:rsidR="00146CB2">
        <w:t>)</w:t>
      </w:r>
      <w:r w:rsidR="00BC0A73">
        <w:t> </w:t>
      </w:r>
      <w:r>
        <w:t>How the recommendation specifically addresses any findings or gaps identified in your evaluation (or other parties</w:t>
      </w:r>
      <w:r w:rsidR="00440785">
        <w:t>’</w:t>
      </w:r>
      <w:r>
        <w:t xml:space="preserve"> evaluations) of existing programs</w:t>
      </w:r>
      <w:r w:rsidR="00557AD3">
        <w:t>;</w:t>
      </w:r>
      <w:r>
        <w:t xml:space="preserve"> </w:t>
      </w:r>
      <w:r w:rsidR="00317C52">
        <w:t>(b) </w:t>
      </w:r>
      <w:r>
        <w:t xml:space="preserve">How a new community renewable energy program meets all of the requirements outlined in </w:t>
      </w:r>
      <w:r w:rsidR="003627A8">
        <w:t>AB </w:t>
      </w:r>
      <w:r>
        <w:t xml:space="preserve">2316, </w:t>
      </w:r>
      <w:r w:rsidR="00440785">
        <w:t>Pub. Util.</w:t>
      </w:r>
      <w:r>
        <w:t xml:space="preserve"> Code </w:t>
      </w:r>
      <w:r w:rsidR="003627A8">
        <w:t>Section</w:t>
      </w:r>
      <w:r w:rsidR="000B1E11">
        <w:t>s</w:t>
      </w:r>
      <w:r w:rsidR="003627A8">
        <w:t> </w:t>
      </w:r>
      <w:r w:rsidR="00FA0994">
        <w:t>769.3</w:t>
      </w:r>
      <w:r>
        <w:t>(c)(1)</w:t>
      </w:r>
      <w:r w:rsidR="003D6EF8">
        <w:noBreakHyphen/>
      </w:r>
      <w:r>
        <w:t>(6)</w:t>
      </w:r>
      <w:r w:rsidR="00557AD3">
        <w:t>;</w:t>
      </w:r>
      <w:r>
        <w:t xml:space="preserve"> </w:t>
      </w:r>
      <w:r w:rsidR="007A1F6E">
        <w:t>(</w:t>
      </w:r>
      <w:r>
        <w:t>c</w:t>
      </w:r>
      <w:r w:rsidR="00146CB2">
        <w:t>)</w:t>
      </w:r>
      <w:r w:rsidR="007A1F6E">
        <w:t> </w:t>
      </w:r>
      <w:r>
        <w:t>Consider the continuing growth of CCAs and any impact departing load may have on new tariff proposals.</w:t>
      </w:r>
    </w:p>
    <w:p w:rsidR="00844667" w:rsidP="00BC0A73" w:rsidRDefault="00844667" w14:paraId="6DBEE9F9" w14:textId="10DA5E9C">
      <w:pPr>
        <w:pStyle w:val="BlockQuoteH025"/>
      </w:pPr>
      <w:r>
        <w:t>2.</w:t>
      </w:r>
      <w:r w:rsidR="00BC0A73">
        <w:tab/>
      </w:r>
      <w:r>
        <w:t xml:space="preserve">Depending on the program, a recommendation may address various issues and objectives, which are outlined in detail in </w:t>
      </w:r>
      <w:r w:rsidR="00B94F97">
        <w:t>Appendix </w:t>
      </w:r>
      <w:r>
        <w:t>A of the Scoping Memo.</w:t>
      </w:r>
    </w:p>
    <w:p w:rsidR="005939A5" w:rsidP="001B1E90" w:rsidRDefault="00621458" w14:paraId="5022E1F4" w14:textId="06411155">
      <w:pPr>
        <w:pStyle w:val="Heading1"/>
      </w:pPr>
      <w:bookmarkStart w:name="_Toc159551147" w:id="42"/>
      <w:bookmarkStart w:name="_Toc168559267" w:id="43"/>
      <w:r>
        <w:t>Future of Green Access Program</w:t>
      </w:r>
      <w:r w:rsidR="00824A33">
        <w:t xml:space="preserve"> Tariffs</w:t>
      </w:r>
      <w:bookmarkEnd w:id="42"/>
      <w:bookmarkEnd w:id="43"/>
    </w:p>
    <w:p w:rsidR="00147379" w:rsidP="005F4FE4" w:rsidRDefault="005E66A1" w14:paraId="6E7A763F" w14:textId="378B5E14">
      <w:pPr>
        <w:pStyle w:val="Standard"/>
      </w:pPr>
      <w:r>
        <w:t xml:space="preserve">Parties were directed to brief the Commission on the objectives of the </w:t>
      </w:r>
      <w:r w:rsidR="00147379">
        <w:t xml:space="preserve">existing </w:t>
      </w:r>
      <w:r>
        <w:t>Green Access Program</w:t>
      </w:r>
      <w:r w:rsidR="00824A33">
        <w:t xml:space="preserve"> tariffs</w:t>
      </w:r>
      <w:r>
        <w:t xml:space="preserve">, metrics to evaluate the existing </w:t>
      </w:r>
      <w:r w:rsidR="00824A33">
        <w:t>tariffs</w:t>
      </w:r>
      <w:r>
        <w:t>, and a party</w:t>
      </w:r>
      <w:r w:rsidR="003D6EF8">
        <w:noBreakHyphen/>
      </w:r>
      <w:r>
        <w:t xml:space="preserve">evaluation of the existing </w:t>
      </w:r>
      <w:r w:rsidR="00824A33">
        <w:t>tariffs</w:t>
      </w:r>
      <w:r>
        <w:t xml:space="preserve"> using those metrics</w:t>
      </w:r>
      <w:r w:rsidR="00EA36C6">
        <w:t>.</w:t>
      </w:r>
      <w:r>
        <w:t xml:space="preserve"> Based on these objectives and evaluations, parties </w:t>
      </w:r>
      <w:r w:rsidR="00147379">
        <w:t>were to provide</w:t>
      </w:r>
      <w:r>
        <w:t xml:space="preserve"> options for the future </w:t>
      </w:r>
      <w:r w:rsidR="00824A33">
        <w:lastRenderedPageBreak/>
        <w:t xml:space="preserve">including proposals to modify the </w:t>
      </w:r>
      <w:r w:rsidR="00147379">
        <w:t>existing</w:t>
      </w:r>
      <w:r w:rsidR="00824A33">
        <w:t xml:space="preserve"> Green Access Program tariffs and proposals for a </w:t>
      </w:r>
      <w:r w:rsidR="00147379">
        <w:t xml:space="preserve">new </w:t>
      </w:r>
      <w:r w:rsidR="00824A33">
        <w:t>community renewable energy program</w:t>
      </w:r>
      <w:r>
        <w:t>.</w:t>
      </w:r>
    </w:p>
    <w:p w:rsidR="0073353F" w:rsidP="00147379" w:rsidRDefault="005E66A1" w14:paraId="65432814" w14:textId="5F5B444D">
      <w:pPr>
        <w:pStyle w:val="Standard"/>
      </w:pPr>
      <w:r>
        <w:t>Below, this decision describes the party positions on the objectives and adopts a set of objectives</w:t>
      </w:r>
      <w:r w:rsidR="00C12F46">
        <w:t xml:space="preserve"> for the Green Access Program tariffs</w:t>
      </w:r>
      <w:r>
        <w:t>.</w:t>
      </w:r>
      <w:r w:rsidR="00147379">
        <w:t xml:space="preserve"> </w:t>
      </w:r>
      <w:r>
        <w:t xml:space="preserve">Based on the </w:t>
      </w:r>
      <w:r w:rsidR="005F4FE4">
        <w:t xml:space="preserve">discussed </w:t>
      </w:r>
      <w:r>
        <w:t xml:space="preserve">objectives and party evaluations, the Commission </w:t>
      </w:r>
      <w:r w:rsidR="00EB7D15">
        <w:t xml:space="preserve">finds that it is reasonable to modify existing Green Access Program tariffs. Further, based on the record of this proceeding, the Commission finds that the </w:t>
      </w:r>
      <w:r w:rsidR="00765C08">
        <w:t xml:space="preserve">NVBT </w:t>
      </w:r>
      <w:r w:rsidR="00824A33">
        <w:t>proposal for a new community renewable energy program</w:t>
      </w:r>
      <w:r w:rsidR="00EB7D15">
        <w:t xml:space="preserve"> </w:t>
      </w:r>
      <w:r w:rsidR="00715C73">
        <w:t xml:space="preserve">based on the Commission’s unique Avoided Cost Calculator </w:t>
      </w:r>
      <w:r w:rsidR="00FF4097">
        <w:t>does not meet the requirements of AB 2316, specifically the prohibition in Pub. Util. Code §769.3 (c)(3) against program costs being paid by nonparticipating customers in excess of the avoided costs.</w:t>
      </w:r>
      <w:r w:rsidR="00FF4097">
        <w:rPr>
          <w:rStyle w:val="FootnoteReference"/>
        </w:rPr>
        <w:footnoteReference w:id="25"/>
      </w:r>
      <w:r w:rsidR="00EB7D15">
        <w:t xml:space="preserve">. However, </w:t>
      </w:r>
      <w:r w:rsidR="009056B7">
        <w:t>as discussed below</w:t>
      </w:r>
      <w:r w:rsidR="000E4474">
        <w:t xml:space="preserve">, </w:t>
      </w:r>
      <w:r w:rsidR="00824A33">
        <w:t xml:space="preserve">the Commission finds it is beneficial to ratepayers </w:t>
      </w:r>
      <w:r w:rsidR="00EB7D15">
        <w:t xml:space="preserve">to </w:t>
      </w:r>
      <w:r w:rsidR="005B41BB">
        <w:t>adopt</w:t>
      </w:r>
      <w:r w:rsidR="00EB7D15">
        <w:t xml:space="preserve"> a </w:t>
      </w:r>
      <w:r w:rsidR="00824A33">
        <w:t>community renewable energy program</w:t>
      </w:r>
      <w:r w:rsidR="00F66146">
        <w:t xml:space="preserve"> that layers the proposed customer subscription model</w:t>
      </w:r>
      <w:r w:rsidR="00D713F0">
        <w:t xml:space="preserve"> </w:t>
      </w:r>
      <w:r w:rsidR="003B25F5">
        <w:t>and</w:t>
      </w:r>
      <w:r w:rsidR="00D713F0">
        <w:t xml:space="preserve"> a non</w:t>
      </w:r>
      <w:r w:rsidR="003D6EF8">
        <w:noBreakHyphen/>
      </w:r>
      <w:r w:rsidR="00D713F0">
        <w:t>ratepayer</w:t>
      </w:r>
      <w:r w:rsidR="003D6EF8">
        <w:noBreakHyphen/>
      </w:r>
      <w:r w:rsidR="00D713F0">
        <w:t xml:space="preserve">funded </w:t>
      </w:r>
      <w:r w:rsidR="00440785">
        <w:t>“</w:t>
      </w:r>
      <w:r w:rsidR="00D713F0">
        <w:t>adder</w:t>
      </w:r>
      <w:r w:rsidR="00440785">
        <w:t>”</w:t>
      </w:r>
      <w:r w:rsidR="00D713F0">
        <w:t xml:space="preserve"> onto one of several identified and existing </w:t>
      </w:r>
      <w:r w:rsidR="00BD2736">
        <w:t>standard supply</w:t>
      </w:r>
      <w:r w:rsidR="003D6EF8">
        <w:noBreakHyphen/>
      </w:r>
      <w:r w:rsidR="00BD2736">
        <w:t>side tariffs and contract mechanisms</w:t>
      </w:r>
      <w:r w:rsidR="00500681">
        <w:t xml:space="preserve">. The Commission finds that this </w:t>
      </w:r>
      <w:r w:rsidR="003B71CF">
        <w:t xml:space="preserve">combination </w:t>
      </w:r>
      <w:r w:rsidR="00B96D68">
        <w:t xml:space="preserve">is compliant with federal law and </w:t>
      </w:r>
      <w:r w:rsidR="003B71CF">
        <w:t xml:space="preserve">meets the requirements of </w:t>
      </w:r>
      <w:r w:rsidR="003627A8">
        <w:t>AB </w:t>
      </w:r>
      <w:r w:rsidR="003B71CF">
        <w:t>2316</w:t>
      </w:r>
      <w:r w:rsidR="00EB7D15">
        <w:t>.</w:t>
      </w:r>
    </w:p>
    <w:p w:rsidR="002E3A04" w:rsidP="001B1E90" w:rsidRDefault="002E3A04" w14:paraId="7A5BB046" w14:textId="61E0FD1E">
      <w:pPr>
        <w:pStyle w:val="Heading2"/>
      </w:pPr>
      <w:bookmarkStart w:name="_Toc137631920" w:id="44"/>
      <w:bookmarkStart w:name="_Toc159551148" w:id="45"/>
      <w:bookmarkStart w:name="_Toc168559268" w:id="46"/>
      <w:r>
        <w:t>Objectives of the Green Access</w:t>
      </w:r>
      <w:r w:rsidR="000852C0">
        <w:br/>
      </w:r>
      <w:r>
        <w:t>Program</w:t>
      </w:r>
      <w:bookmarkEnd w:id="44"/>
      <w:r w:rsidR="00DD61AF">
        <w:t xml:space="preserve"> Tariffs</w:t>
      </w:r>
      <w:bookmarkEnd w:id="45"/>
      <w:bookmarkEnd w:id="46"/>
    </w:p>
    <w:p w:rsidR="002E3A04" w:rsidP="002E3A04" w:rsidRDefault="003627A8" w14:paraId="2A86646B" w14:textId="184F53F5">
      <w:pPr>
        <w:pStyle w:val="Standard"/>
      </w:pPr>
      <w:r>
        <w:t>AB </w:t>
      </w:r>
      <w:r w:rsidR="002E3A04">
        <w:t xml:space="preserve">2316 directs the Commission to do the following on or before </w:t>
      </w:r>
      <w:r w:rsidR="001B0C0E">
        <w:t>March </w:t>
      </w:r>
      <w:r w:rsidR="002E3A04">
        <w:t>31, 2024:</w:t>
      </w:r>
      <w:r w:rsidR="002E3A04">
        <w:rPr>
          <w:rStyle w:val="FootnoteReference"/>
        </w:rPr>
        <w:footnoteReference w:id="26"/>
      </w:r>
    </w:p>
    <w:p w:rsidR="002E3A04" w:rsidP="002B2816" w:rsidRDefault="002E3A04" w14:paraId="00C7216F" w14:textId="2351A292">
      <w:pPr>
        <w:pStyle w:val="BlockQuoteH033"/>
        <w:numPr>
          <w:ilvl w:val="0"/>
          <w:numId w:val="7"/>
        </w:numPr>
        <w:ind w:left="1195" w:hanging="475"/>
      </w:pPr>
      <w:r>
        <w:t>Evaluate each customer renewable energy subscription program, including the Green Tariff Shared Renewables Program</w:t>
      </w:r>
      <w:r w:rsidR="00DA7A3D">
        <w:t xml:space="preserve">… </w:t>
      </w:r>
      <w:r>
        <w:t xml:space="preserve">and any program established as an alternative designed for growth among residential customers in </w:t>
      </w:r>
      <w:r>
        <w:lastRenderedPageBreak/>
        <w:t>disadvantaged communities</w:t>
      </w:r>
      <w:r w:rsidR="00DA7A3D">
        <w:t xml:space="preserve">… </w:t>
      </w:r>
      <w:r>
        <w:t>to determine if the program meets all of the following goals:</w:t>
      </w:r>
    </w:p>
    <w:p w:rsidR="002E3A04" w:rsidP="00AD2425" w:rsidRDefault="00DD61AF" w14:paraId="0F4F66D4" w14:textId="7CE8DBA0">
      <w:pPr>
        <w:pStyle w:val="BlockQuoteH033subH033"/>
      </w:pPr>
      <w:r>
        <w:t>(1)</w:t>
      </w:r>
      <w:r w:rsidR="00AD2425">
        <w:tab/>
      </w:r>
      <w:r w:rsidR="002E3A04">
        <w:t>Efficiently serves distinct customer groups.</w:t>
      </w:r>
    </w:p>
    <w:p w:rsidR="002E3A04" w:rsidP="00AD2425" w:rsidRDefault="00DD61AF" w14:paraId="74288F2E" w14:textId="734E2070">
      <w:pPr>
        <w:pStyle w:val="BlockQuoteH033subH033"/>
      </w:pPr>
      <w:r>
        <w:t>(2)</w:t>
      </w:r>
      <w:r w:rsidR="00AD2425">
        <w:tab/>
      </w:r>
      <w:r w:rsidR="002E3A04">
        <w:t>Minimizes duplicative offerings.</w:t>
      </w:r>
    </w:p>
    <w:p w:rsidR="002E3A04" w:rsidP="00AD2425" w:rsidRDefault="00DD61AF" w14:paraId="5309D271" w14:textId="32FD880D">
      <w:pPr>
        <w:pStyle w:val="BlockQuoteH033subH033"/>
      </w:pPr>
      <w:r>
        <w:t>(3)</w:t>
      </w:r>
      <w:r w:rsidR="00AD2425">
        <w:tab/>
      </w:r>
      <w:r w:rsidR="002E3A04">
        <w:t>Promotes robust participation by low</w:t>
      </w:r>
      <w:r w:rsidR="003D6EF8">
        <w:noBreakHyphen/>
      </w:r>
      <w:r w:rsidR="002E3A04">
        <w:t>income customers.</w:t>
      </w:r>
    </w:p>
    <w:p w:rsidR="002E3A04" w:rsidP="00BB6FEE" w:rsidRDefault="002E3A04" w14:paraId="047E6354" w14:textId="77777777">
      <w:pPr>
        <w:pStyle w:val="BlockQuoteH033"/>
        <w:numPr>
          <w:ilvl w:val="0"/>
          <w:numId w:val="7"/>
        </w:numPr>
        <w:ind w:left="1195" w:hanging="475"/>
      </w:pPr>
      <w:r>
        <w:t>Consider, as part of the evaluation, the energy load migration trends among bundled and nonbundled customers and any associated risks with maintaining or creating a customer renewable energy subscription program.</w:t>
      </w:r>
    </w:p>
    <w:p w:rsidR="002E3A04" w:rsidP="00B4398E" w:rsidRDefault="002E3A04" w14:paraId="6637F134" w14:textId="598C82B0">
      <w:pPr>
        <w:pStyle w:val="Standard"/>
      </w:pPr>
      <w:r>
        <w:t xml:space="preserve">If the </w:t>
      </w:r>
      <w:r w:rsidR="00A33656">
        <w:t>C</w:t>
      </w:r>
      <w:r>
        <w:t>ommission determines a customer renewable energy subscription program does not me</w:t>
      </w:r>
      <w:r w:rsidR="00237E56">
        <w:t>et al</w:t>
      </w:r>
      <w:r>
        <w:t xml:space="preserve">l of the goals described in </w:t>
      </w:r>
      <w:r w:rsidR="00B54A82">
        <w:t>subparagraph </w:t>
      </w:r>
      <w:r>
        <w:t xml:space="preserve">(A), </w:t>
      </w:r>
      <w:r w:rsidRPr="00ED21F2" w:rsidR="00ED21F2">
        <w:t xml:space="preserve">the Commission may </w:t>
      </w:r>
      <w:r>
        <w:t>authorize the termination or modification of the program.</w:t>
      </w:r>
    </w:p>
    <w:p w:rsidR="00BA58BF" w:rsidP="002E3A04" w:rsidRDefault="003627A8" w14:paraId="32400410" w14:textId="53397681">
      <w:pPr>
        <w:pStyle w:val="Standard"/>
      </w:pPr>
      <w:r>
        <w:t>AB </w:t>
      </w:r>
      <w:r w:rsidR="002E3A04">
        <w:t xml:space="preserve">2316 further states that the Commission shall by </w:t>
      </w:r>
      <w:r w:rsidR="001B0C0E">
        <w:t>March </w:t>
      </w:r>
      <w:r w:rsidR="002E3A04">
        <w:t>31, 2024</w:t>
      </w:r>
      <w:r w:rsidR="005D30D7">
        <w:t xml:space="preserve">: </w:t>
      </w:r>
      <w:r w:rsidR="00440785">
        <w:t>“</w:t>
      </w:r>
      <w:r w:rsidR="002E3A04">
        <w:t xml:space="preserve">[d]etermine whether it would be beneficial to ratepayers to establish a new tariff or program for an electrical corporation, or modify an existing tariff or program administered by an electrical corporation, to establish a community renewable energy program consistent with the criteria described in </w:t>
      </w:r>
      <w:r w:rsidR="00000807">
        <w:t>subdivision </w:t>
      </w:r>
      <w:r w:rsidR="002E3A04">
        <w:t>(c).</w:t>
      </w:r>
      <w:r w:rsidR="00440785">
        <w:t>”</w:t>
      </w:r>
      <w:r w:rsidR="002E3A04">
        <w:rPr>
          <w:rStyle w:val="FootnoteReference"/>
        </w:rPr>
        <w:footnoteReference w:id="27"/>
      </w:r>
    </w:p>
    <w:p w:rsidR="002E3A04" w:rsidP="002E3A04" w:rsidRDefault="00000807" w14:paraId="31114A86" w14:textId="54D978E8">
      <w:pPr>
        <w:pStyle w:val="Standard"/>
      </w:pPr>
      <w:r>
        <w:t>Subdivision </w:t>
      </w:r>
      <w:r w:rsidR="002E3A04">
        <w:t xml:space="preserve">(c) of </w:t>
      </w:r>
      <w:r w:rsidR="00440785">
        <w:t>Pub. Util.</w:t>
      </w:r>
      <w:r w:rsidR="006433E5">
        <w:t xml:space="preserve"> Code </w:t>
      </w:r>
      <w:r w:rsidR="003627A8">
        <w:t>Section </w:t>
      </w:r>
      <w:r w:rsidR="002E3A04">
        <w:t>769.3 provides that a community renewable energy program, if established, shall do all of the following (summarized below):</w:t>
      </w:r>
    </w:p>
    <w:p w:rsidR="00BA58BF" w:rsidP="00BB6FEE" w:rsidRDefault="002E3A04" w14:paraId="63278308" w14:textId="5078E787">
      <w:pPr>
        <w:pStyle w:val="BlockQuoteH033"/>
        <w:numPr>
          <w:ilvl w:val="0"/>
          <w:numId w:val="8"/>
        </w:numPr>
        <w:ind w:left="1195" w:hanging="475"/>
        <w:rPr>
          <w:rFonts w:eastAsia="Times New Roman" w:cs="Times New Roman"/>
          <w:szCs w:val="26"/>
        </w:rPr>
      </w:pPr>
      <w:r w:rsidRPr="000B2FFF">
        <w:rPr>
          <w:rFonts w:eastAsia="Times New Roman" w:cs="Times New Roman"/>
          <w:szCs w:val="26"/>
        </w:rPr>
        <w:t xml:space="preserve">Be complementary to, and consistent with, the requirements of </w:t>
      </w:r>
      <w:r w:rsidR="003627A8">
        <w:rPr>
          <w:rFonts w:eastAsia="Times New Roman" w:cs="Times New Roman"/>
          <w:szCs w:val="26"/>
        </w:rPr>
        <w:t>Section </w:t>
      </w:r>
      <w:r w:rsidRPr="000B2FFF">
        <w:rPr>
          <w:rFonts w:eastAsia="Times New Roman" w:cs="Times New Roman"/>
          <w:szCs w:val="26"/>
        </w:rPr>
        <w:t>10</w:t>
      </w:r>
      <w:r w:rsidR="003D6EF8">
        <w:rPr>
          <w:rFonts w:eastAsia="Times New Roman" w:cs="Times New Roman"/>
          <w:szCs w:val="26"/>
        </w:rPr>
        <w:noBreakHyphen/>
      </w:r>
      <w:r w:rsidRPr="00552EE3">
        <w:t>115</w:t>
      </w:r>
      <w:r w:rsidRPr="000B2FFF">
        <w:rPr>
          <w:rFonts w:eastAsia="Times New Roman" w:cs="Times New Roman"/>
          <w:szCs w:val="26"/>
        </w:rPr>
        <w:t xml:space="preserve"> of the California Building Standards Code (</w:t>
      </w:r>
      <w:r w:rsidR="00E67CA9">
        <w:rPr>
          <w:rFonts w:eastAsia="Times New Roman" w:cs="Times New Roman"/>
          <w:szCs w:val="26"/>
        </w:rPr>
        <w:t>Title </w:t>
      </w:r>
      <w:r w:rsidRPr="000B2FFF">
        <w:rPr>
          <w:rFonts w:eastAsia="Times New Roman" w:cs="Times New Roman"/>
          <w:szCs w:val="26"/>
        </w:rPr>
        <w:t>24 of the California Code of Regulations).</w:t>
      </w:r>
    </w:p>
    <w:p w:rsidR="002E3A04" w:rsidP="00BB6FEE" w:rsidRDefault="002E3A04" w14:paraId="59BA2ED3" w14:textId="2955B644">
      <w:pPr>
        <w:pStyle w:val="BlockQuoteH033"/>
        <w:numPr>
          <w:ilvl w:val="0"/>
          <w:numId w:val="8"/>
        </w:numPr>
        <w:ind w:left="1195" w:hanging="475"/>
        <w:rPr>
          <w:rFonts w:eastAsia="Times New Roman" w:cs="Times New Roman"/>
          <w:szCs w:val="26"/>
        </w:rPr>
      </w:pPr>
      <w:r w:rsidRPr="000B2FFF">
        <w:rPr>
          <w:rFonts w:eastAsia="Times New Roman" w:cs="Times New Roman"/>
          <w:szCs w:val="26"/>
        </w:rPr>
        <w:t>Ensure at least 51</w:t>
      </w:r>
      <w:r w:rsidR="00405FF8">
        <w:rPr>
          <w:rFonts w:eastAsia="Times New Roman" w:cs="Times New Roman"/>
          <w:szCs w:val="26"/>
        </w:rPr>
        <w:t> percent</w:t>
      </w:r>
      <w:r w:rsidRPr="000B2FFF">
        <w:rPr>
          <w:rFonts w:eastAsia="Times New Roman" w:cs="Times New Roman"/>
          <w:szCs w:val="26"/>
        </w:rPr>
        <w:t xml:space="preserve"> of the program</w:t>
      </w:r>
      <w:r w:rsidR="00440785">
        <w:rPr>
          <w:rFonts w:eastAsia="Times New Roman" w:cs="Times New Roman"/>
          <w:szCs w:val="26"/>
        </w:rPr>
        <w:t>’</w:t>
      </w:r>
      <w:r w:rsidRPr="000B2FFF">
        <w:rPr>
          <w:rFonts w:eastAsia="Times New Roman" w:cs="Times New Roman"/>
          <w:szCs w:val="26"/>
        </w:rPr>
        <w:t>s capacity serves low</w:t>
      </w:r>
      <w:r w:rsidR="003D6EF8">
        <w:rPr>
          <w:rFonts w:eastAsia="Times New Roman" w:cs="Times New Roman"/>
          <w:szCs w:val="26"/>
        </w:rPr>
        <w:noBreakHyphen/>
      </w:r>
      <w:r w:rsidRPr="000B2FFF">
        <w:rPr>
          <w:rFonts w:eastAsia="Times New Roman" w:cs="Times New Roman"/>
          <w:szCs w:val="26"/>
        </w:rPr>
        <w:t>income customers.</w:t>
      </w:r>
    </w:p>
    <w:p w:rsidR="00BA58BF" w:rsidP="00BB6FEE" w:rsidRDefault="002E3A04" w14:paraId="4B71BDE6" w14:textId="04BF82D1">
      <w:pPr>
        <w:pStyle w:val="BlockQuoteH033"/>
        <w:numPr>
          <w:ilvl w:val="0"/>
          <w:numId w:val="8"/>
        </w:numPr>
        <w:ind w:left="1195" w:hanging="475"/>
        <w:rPr>
          <w:rFonts w:eastAsia="Times New Roman" w:cs="Times New Roman"/>
          <w:szCs w:val="26"/>
        </w:rPr>
      </w:pPr>
      <w:r w:rsidRPr="000B2FFF">
        <w:rPr>
          <w:rFonts w:eastAsia="Times New Roman" w:cs="Times New Roman"/>
          <w:szCs w:val="26"/>
        </w:rPr>
        <w:lastRenderedPageBreak/>
        <w:t>Minimize impacts to nonparticipating customers by prohibiting the program</w:t>
      </w:r>
      <w:r w:rsidR="00440785">
        <w:rPr>
          <w:rFonts w:eastAsia="Times New Roman" w:cs="Times New Roman"/>
          <w:szCs w:val="26"/>
        </w:rPr>
        <w:t>’</w:t>
      </w:r>
      <w:r w:rsidRPr="000B2FFF">
        <w:rPr>
          <w:rFonts w:eastAsia="Times New Roman" w:cs="Times New Roman"/>
          <w:szCs w:val="26"/>
        </w:rPr>
        <w:t xml:space="preserve">s costs </w:t>
      </w:r>
      <w:r w:rsidRPr="00552EE3">
        <w:t>from</w:t>
      </w:r>
      <w:r w:rsidRPr="000B2FFF">
        <w:rPr>
          <w:rFonts w:eastAsia="Times New Roman" w:cs="Times New Roman"/>
          <w:szCs w:val="26"/>
        </w:rPr>
        <w:t xml:space="preserve"> being paid by nonparticipating customers in excess of the avoided costs.</w:t>
      </w:r>
    </w:p>
    <w:p w:rsidRPr="00F47CF4" w:rsidR="002E3A04" w:rsidP="00BB6FEE" w:rsidRDefault="002E3A04" w14:paraId="4D5DE7E5" w14:textId="7DDABC2B">
      <w:pPr>
        <w:pStyle w:val="BlockQuoteH033"/>
        <w:numPr>
          <w:ilvl w:val="0"/>
          <w:numId w:val="8"/>
        </w:numPr>
        <w:ind w:left="1195" w:hanging="475"/>
      </w:pPr>
      <w:r>
        <w:t>That certain prevailing wage and other requirements apply to the construction of a community renewable energy facility pursuant to the program.</w:t>
      </w:r>
    </w:p>
    <w:p w:rsidR="002E3A04" w:rsidP="00BB6FEE" w:rsidRDefault="002E3A04" w14:paraId="26960A7E" w14:textId="1B3E05FA">
      <w:pPr>
        <w:pStyle w:val="BlockQuoteH033"/>
        <w:numPr>
          <w:ilvl w:val="0"/>
          <w:numId w:val="8"/>
        </w:numPr>
        <w:ind w:left="1195" w:hanging="475"/>
        <w:rPr>
          <w:rFonts w:eastAsia="Times New Roman" w:cs="Times New Roman"/>
          <w:szCs w:val="26"/>
        </w:rPr>
      </w:pPr>
      <w:r w:rsidRPr="00036A3B">
        <w:rPr>
          <w:rFonts w:eastAsia="Times New Roman" w:cs="Times New Roman"/>
          <w:szCs w:val="26"/>
        </w:rPr>
        <w:t>Provide bill credits to subscribers based on the avoided costs of the program</w:t>
      </w:r>
      <w:r w:rsidR="00440785">
        <w:rPr>
          <w:rFonts w:eastAsia="Times New Roman" w:cs="Times New Roman"/>
          <w:szCs w:val="26"/>
        </w:rPr>
        <w:t>’</w:t>
      </w:r>
      <w:r w:rsidRPr="00036A3B">
        <w:rPr>
          <w:rFonts w:eastAsia="Times New Roman" w:cs="Times New Roman"/>
          <w:szCs w:val="26"/>
        </w:rPr>
        <w:t>s facilities</w:t>
      </w:r>
      <w:r>
        <w:rPr>
          <w:rFonts w:eastAsia="Times New Roman" w:cs="Times New Roman"/>
          <w:szCs w:val="26"/>
        </w:rPr>
        <w:t>.</w:t>
      </w:r>
    </w:p>
    <w:p w:rsidR="002E3A04" w:rsidP="00BB6FEE" w:rsidRDefault="002E3A04" w14:paraId="651D567E" w14:textId="51A3C2C2">
      <w:pPr>
        <w:pStyle w:val="BlockQuoteH033"/>
        <w:numPr>
          <w:ilvl w:val="0"/>
          <w:numId w:val="8"/>
        </w:numPr>
        <w:ind w:left="1195" w:hanging="475"/>
        <w:rPr>
          <w:rFonts w:eastAsia="Times New Roman" w:cs="Times New Roman"/>
          <w:szCs w:val="26"/>
        </w:rPr>
      </w:pPr>
      <w:r w:rsidRPr="00036A3B">
        <w:rPr>
          <w:rFonts w:eastAsia="Times New Roman" w:cs="Times New Roman"/>
          <w:szCs w:val="26"/>
        </w:rPr>
        <w:t>Prioritize the maximum use of state and federal incentives and accelerate implementation of the program to ensure that time</w:t>
      </w:r>
      <w:r w:rsidR="003D6EF8">
        <w:rPr>
          <w:rFonts w:eastAsia="Times New Roman" w:cs="Times New Roman"/>
          <w:szCs w:val="26"/>
        </w:rPr>
        <w:noBreakHyphen/>
      </w:r>
      <w:r w:rsidRPr="00036A3B">
        <w:rPr>
          <w:rFonts w:eastAsia="Times New Roman" w:cs="Times New Roman"/>
          <w:szCs w:val="26"/>
        </w:rPr>
        <w:t xml:space="preserve"> or quantity</w:t>
      </w:r>
      <w:r w:rsidR="003D6EF8">
        <w:rPr>
          <w:rFonts w:eastAsia="Times New Roman" w:cs="Times New Roman"/>
          <w:szCs w:val="26"/>
        </w:rPr>
        <w:noBreakHyphen/>
      </w:r>
      <w:r w:rsidRPr="00036A3B">
        <w:rPr>
          <w:rFonts w:eastAsia="Times New Roman" w:cs="Times New Roman"/>
          <w:szCs w:val="26"/>
        </w:rPr>
        <w:t>limited federal incentives can be obtained for the benefit of subscribers</w:t>
      </w:r>
      <w:r>
        <w:rPr>
          <w:rFonts w:eastAsia="Times New Roman" w:cs="Times New Roman"/>
          <w:szCs w:val="26"/>
        </w:rPr>
        <w:t>.</w:t>
      </w:r>
    </w:p>
    <w:p w:rsidR="002E3A04" w:rsidP="002E3A04" w:rsidRDefault="00B81874" w14:paraId="6501AA87" w14:textId="57B3DB7C">
      <w:pPr>
        <w:pStyle w:val="Standard"/>
      </w:pPr>
      <w:r>
        <w:t xml:space="preserve">This decision </w:t>
      </w:r>
      <w:r w:rsidR="002E3A04">
        <w:t>first consider</w:t>
      </w:r>
      <w:r>
        <w:t>s</w:t>
      </w:r>
      <w:r w:rsidR="002E3A04">
        <w:t xml:space="preserve"> what the objectives of the Commission</w:t>
      </w:r>
      <w:r w:rsidR="00440785">
        <w:t>’</w:t>
      </w:r>
      <w:r w:rsidR="002E3A04">
        <w:t xml:space="preserve">s final outcome should be, whether that outcome be a modification of an existing </w:t>
      </w:r>
      <w:r w:rsidR="00DD61AF">
        <w:t>Green Access Program tariff</w:t>
      </w:r>
      <w:r w:rsidR="002E3A04">
        <w:t xml:space="preserve">, an adoption of a </w:t>
      </w:r>
      <w:r w:rsidR="00B96D68">
        <w:t>community renewable energy program</w:t>
      </w:r>
      <w:r w:rsidR="002E3A04">
        <w:t>, or adoption of a combination</w:t>
      </w:r>
      <w:r w:rsidR="00B96D68">
        <w:t xml:space="preserve"> of these</w:t>
      </w:r>
      <w:r w:rsidR="002E3A04">
        <w:t>.</w:t>
      </w:r>
    </w:p>
    <w:p w:rsidR="00BA58BF" w:rsidP="001B1E90" w:rsidRDefault="002E3A04" w14:paraId="38FAC86F" w14:textId="77777777">
      <w:pPr>
        <w:pStyle w:val="Heading3"/>
      </w:pPr>
      <w:bookmarkStart w:name="_Toc137631921" w:id="47"/>
      <w:bookmarkStart w:name="_Toc159551149" w:id="48"/>
      <w:bookmarkStart w:name="_Toc168559269" w:id="49"/>
      <w:r>
        <w:t>Summary of Party Comments</w:t>
      </w:r>
      <w:bookmarkEnd w:id="47"/>
      <w:bookmarkEnd w:id="48"/>
      <w:bookmarkEnd w:id="49"/>
    </w:p>
    <w:p w:rsidR="00BA58BF" w:rsidP="002E3A04" w:rsidRDefault="002E3A04" w14:paraId="6E110453" w14:textId="2DC1D1E0">
      <w:pPr>
        <w:pStyle w:val="Standard"/>
      </w:pPr>
      <w:r w:rsidRPr="00D60F7B">
        <w:t>Parties</w:t>
      </w:r>
      <w:r w:rsidR="00440785">
        <w:t>’</w:t>
      </w:r>
      <w:r>
        <w:t xml:space="preserve"> positions on which criteria should be used to evaluate </w:t>
      </w:r>
      <w:r w:rsidRPr="00E3067B">
        <w:t>G</w:t>
      </w:r>
      <w:r w:rsidR="00DD61AF">
        <w:t xml:space="preserve">reen </w:t>
      </w:r>
      <w:r w:rsidRPr="00E3067B">
        <w:t>A</w:t>
      </w:r>
      <w:r w:rsidR="00DD61AF">
        <w:t xml:space="preserve">ccess </w:t>
      </w:r>
      <w:r w:rsidRPr="00E3067B">
        <w:t>P</w:t>
      </w:r>
      <w:r w:rsidR="00DD61AF">
        <w:t>rogram tariff</w:t>
      </w:r>
      <w:r w:rsidRPr="00036A77">
        <w:t xml:space="preserve"> options </w:t>
      </w:r>
      <w:r>
        <w:t>differ depending on whether the program is an existing, modified, or new program.</w:t>
      </w:r>
    </w:p>
    <w:p w:rsidR="00BA58BF" w:rsidP="002E3A04" w:rsidRDefault="002E3A04" w14:paraId="31DDC215" w14:textId="77B02F96">
      <w:pPr>
        <w:pStyle w:val="Standard"/>
      </w:pPr>
      <w:r>
        <w:t xml:space="preserve">CUE,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xml:space="preserve">, CCSA, Cypress Creek, and SDG&amp;E assert that in addition to the three goals of </w:t>
      </w:r>
      <w:r w:rsidR="00440785">
        <w:t>Pub. Util.</w:t>
      </w:r>
      <w:r w:rsidR="006433E5">
        <w:t xml:space="preserve"> Code </w:t>
      </w:r>
      <w:r w:rsidR="003627A8">
        <w:t>Section </w:t>
      </w:r>
      <w:r>
        <w:t xml:space="preserve">769.3(b)(1)(A), a new or modified program must be evaluated using the six criteria in </w:t>
      </w:r>
      <w:r w:rsidR="00440785">
        <w:t>Pub. Util.</w:t>
      </w:r>
      <w:r w:rsidR="006433E5">
        <w:t xml:space="preserve"> Code </w:t>
      </w:r>
      <w:r w:rsidR="003627A8">
        <w:t>Section </w:t>
      </w:r>
      <w:r>
        <w:t>769.3(c).</w:t>
      </w:r>
      <w:r>
        <w:rPr>
          <w:rStyle w:val="FootnoteReference"/>
        </w:rPr>
        <w:footnoteReference w:id="28"/>
      </w:r>
      <w:r>
        <w:t xml:space="preserve"> CCSA states that while </w:t>
      </w:r>
      <w:r w:rsidR="003627A8">
        <w:t>AB </w:t>
      </w:r>
      <w:r>
        <w:t>2316 is silent as to the goals of a modified program, a holistic reading suggests a modified program should meet the three goals, in addition to the six criteria.</w:t>
      </w:r>
      <w:r>
        <w:rPr>
          <w:rStyle w:val="FootnoteReference"/>
        </w:rPr>
        <w:footnoteReference w:id="29"/>
      </w:r>
    </w:p>
    <w:p w:rsidR="002E3A04" w:rsidP="002E3A04" w:rsidRDefault="002E3A04" w14:paraId="799E6DE7" w14:textId="35EA19CC">
      <w:pPr>
        <w:pStyle w:val="Standard"/>
      </w:pPr>
      <w:bookmarkStart w:name="_Hlk144146166" w:id="50"/>
      <w:r>
        <w:lastRenderedPageBreak/>
        <w:t xml:space="preserve">PG&amp;E and </w:t>
      </w:r>
      <w:r w:rsidR="000341A3">
        <w:t>Joint CCA</w:t>
      </w:r>
      <w:r>
        <w:t xml:space="preserve">s contend that while the three goals of </w:t>
      </w:r>
      <w:r w:rsidR="00440785">
        <w:t>Pub. Util.</w:t>
      </w:r>
      <w:r w:rsidR="006433E5">
        <w:t xml:space="preserve"> Code </w:t>
      </w:r>
      <w:r w:rsidR="003627A8">
        <w:t>Section </w:t>
      </w:r>
      <w:r>
        <w:t xml:space="preserve">769.3(b)(1)(A) apply to existing programs, the three goals and the six criteria of </w:t>
      </w:r>
      <w:r w:rsidR="00440785">
        <w:t>Pub. Util.</w:t>
      </w:r>
      <w:r w:rsidR="006433E5">
        <w:t xml:space="preserve"> Code </w:t>
      </w:r>
      <w:r w:rsidR="003627A8">
        <w:t>Section </w:t>
      </w:r>
      <w:r>
        <w:t xml:space="preserve">769.3(c) do not apply to modifications of existing </w:t>
      </w:r>
      <w:r w:rsidR="00DD61AF">
        <w:t>Green Access Program tariffs</w:t>
      </w:r>
      <w:r>
        <w:t>, and the six criteria only apply to new program</w:t>
      </w:r>
      <w:r w:rsidR="00DD61AF">
        <w:t xml:space="preserve"> tariffs</w:t>
      </w:r>
      <w:r>
        <w:t>.</w:t>
      </w:r>
      <w:r>
        <w:rPr>
          <w:rStyle w:val="FootnoteReference"/>
        </w:rPr>
        <w:footnoteReference w:id="30"/>
      </w:r>
      <w:r>
        <w:t xml:space="preserve"> PG&amp;E reasons that if the Legislature intended for modifications to existing programs to comply with these requirements, it would have stated so. PG&amp;E adds that it does not make sense to apply </w:t>
      </w:r>
      <w:r w:rsidR="00440785">
        <w:t>Pub. Util.</w:t>
      </w:r>
      <w:r w:rsidR="006433E5">
        <w:t xml:space="preserve"> Code </w:t>
      </w:r>
      <w:r w:rsidR="003627A8">
        <w:t>Section </w:t>
      </w:r>
      <w:r>
        <w:t xml:space="preserve">769.3(c) to modifications </w:t>
      </w:r>
      <w:r w:rsidR="00CD6542">
        <w:t>of</w:t>
      </w:r>
      <w:r>
        <w:t xml:space="preserve"> existing programs because if the Commission determined a </w:t>
      </w:r>
      <w:r w:rsidR="00CD6542">
        <w:t>modified existing</w:t>
      </w:r>
      <w:r>
        <w:t xml:space="preserve"> </w:t>
      </w:r>
      <w:r w:rsidR="00CD6542">
        <w:t>program</w:t>
      </w:r>
      <w:r>
        <w:t xml:space="preserve"> </w:t>
      </w:r>
      <w:r w:rsidRPr="00AD40F3">
        <w:t xml:space="preserve">failed </w:t>
      </w:r>
      <w:r>
        <w:t xml:space="preserve">any of the six </w:t>
      </w:r>
      <w:r w:rsidRPr="00AD40F3">
        <w:t>criteria</w:t>
      </w:r>
      <w:r>
        <w:t xml:space="preserve">, it could only terminate the existing program (and could not modify the existing program), </w:t>
      </w:r>
      <w:r w:rsidRPr="002E3CEE">
        <w:t xml:space="preserve">which </w:t>
      </w:r>
      <w:r w:rsidRPr="00E14271">
        <w:t>contradicts</w:t>
      </w:r>
      <w:r>
        <w:t xml:space="preserve"> </w:t>
      </w:r>
      <w:r w:rsidRPr="00094853">
        <w:t xml:space="preserve">what is </w:t>
      </w:r>
      <w:r w:rsidRPr="00E14271">
        <w:t>permitted</w:t>
      </w:r>
      <w:r>
        <w:t xml:space="preserve"> under</w:t>
      </w:r>
      <w:r w:rsidRPr="00094853">
        <w:t xml:space="preserve"> </w:t>
      </w:r>
      <w:r w:rsidR="00440785">
        <w:t>Pub. Util.</w:t>
      </w:r>
      <w:r w:rsidR="006433E5">
        <w:t xml:space="preserve"> Code </w:t>
      </w:r>
      <w:r w:rsidR="003627A8">
        <w:t>Section </w:t>
      </w:r>
      <w:r w:rsidRPr="00094853">
        <w:t>769.3</w:t>
      </w:r>
      <w:r>
        <w:t>(b)(1)(C).</w:t>
      </w:r>
    </w:p>
    <w:bookmarkEnd w:id="50"/>
    <w:p w:rsidR="00BA58BF" w:rsidP="002E3A04" w:rsidRDefault="000341A3" w14:paraId="6ABB7DCF" w14:textId="495A7B7A">
      <w:pPr>
        <w:pStyle w:val="Standard"/>
      </w:pPr>
      <w:r>
        <w:t>Joint CCA</w:t>
      </w:r>
      <w:r w:rsidR="002E3A04">
        <w:t xml:space="preserve">s argue that based on statutory interpretation rules, the plain language of </w:t>
      </w:r>
      <w:r w:rsidR="003627A8">
        <w:t>AB </w:t>
      </w:r>
      <w:r w:rsidR="002E3A04">
        <w:t>2316 must first be considered to determine if there is ambiguity.</w:t>
      </w:r>
      <w:r w:rsidR="002E3A04">
        <w:rPr>
          <w:rStyle w:val="FootnoteReference"/>
        </w:rPr>
        <w:footnoteReference w:id="31"/>
      </w:r>
      <w:r w:rsidR="002E3A04">
        <w:t xml:space="preserve"> </w:t>
      </w:r>
      <w:r>
        <w:t>Joint CCA</w:t>
      </w:r>
      <w:r w:rsidR="002E3A04">
        <w:t xml:space="preserve">s states that </w:t>
      </w:r>
      <w:r w:rsidR="003627A8">
        <w:t>AB </w:t>
      </w:r>
      <w:r w:rsidR="002E3A04">
        <w:t xml:space="preserve">2316 is clear that the three goals of </w:t>
      </w:r>
      <w:r w:rsidR="00440785">
        <w:t>Pub. Util.</w:t>
      </w:r>
      <w:r w:rsidR="006433E5">
        <w:t xml:space="preserve"> Code </w:t>
      </w:r>
      <w:r w:rsidR="003627A8">
        <w:t>Section </w:t>
      </w:r>
      <w:r w:rsidR="002E3A04">
        <w:t xml:space="preserve">769.3(b)(1) apply to the evaluation of existing programs, and that </w:t>
      </w:r>
      <w:r w:rsidR="00440785">
        <w:t>Pub. Util.</w:t>
      </w:r>
      <w:r w:rsidR="006433E5">
        <w:t xml:space="preserve"> Code </w:t>
      </w:r>
      <w:r w:rsidR="003627A8">
        <w:t>Section </w:t>
      </w:r>
      <w:r w:rsidR="002E3A04">
        <w:t xml:space="preserve">769.3(c) applies to a new community renewable energy </w:t>
      </w:r>
      <w:r w:rsidR="00B96D68">
        <w:t>program if</w:t>
      </w:r>
      <w:r w:rsidR="002E3A04">
        <w:t xml:space="preserve"> one is established. </w:t>
      </w:r>
      <w:r>
        <w:t>Joint CCA</w:t>
      </w:r>
      <w:r w:rsidR="002E3A04">
        <w:t xml:space="preserve">s </w:t>
      </w:r>
      <w:r w:rsidRPr="001D4870" w:rsidR="002E3A04">
        <w:t xml:space="preserve">further </w:t>
      </w:r>
      <w:r w:rsidR="002E3A04">
        <w:t xml:space="preserve">argue that the </w:t>
      </w:r>
      <w:r w:rsidRPr="001D4870" w:rsidR="002E3A04">
        <w:t>word</w:t>
      </w:r>
      <w:r w:rsidR="002E3A04">
        <w:t xml:space="preserve"> </w:t>
      </w:r>
      <w:r w:rsidR="00440785">
        <w:t>“</w:t>
      </w:r>
      <w:r w:rsidR="002E3A04">
        <w:t>established</w:t>
      </w:r>
      <w:r w:rsidR="00440785">
        <w:t>”</w:t>
      </w:r>
      <w:r w:rsidR="002E3A04">
        <w:t xml:space="preserve"> is defined as </w:t>
      </w:r>
      <w:r w:rsidR="00440785">
        <w:t>“</w:t>
      </w:r>
      <w:r w:rsidR="002E3A04">
        <w:t>bringing something into existence,</w:t>
      </w:r>
      <w:r w:rsidR="00440785">
        <w:t>”</w:t>
      </w:r>
      <w:r w:rsidR="002E3A04">
        <w:t xml:space="preserve"> as in a new program</w:t>
      </w:r>
      <w:r w:rsidRPr="001D4870" w:rsidR="002E3A04">
        <w:t>, not an existing program</w:t>
      </w:r>
      <w:r w:rsidR="002E3A04">
        <w:t>.</w:t>
      </w:r>
    </w:p>
    <w:p w:rsidR="00BA58BF" w:rsidP="002E3A04" w:rsidRDefault="002E3A04" w14:paraId="7D959FC0" w14:textId="6F658BE4">
      <w:pPr>
        <w:pStyle w:val="Standard"/>
      </w:pPr>
      <w:r>
        <w:t>Arcadia</w:t>
      </w:r>
      <w:r w:rsidR="00DD61AF">
        <w:t xml:space="preserve"> Power</w:t>
      </w:r>
      <w:r>
        <w:t xml:space="preserve">, SCE, and TURN state that the three goals of </w:t>
      </w:r>
      <w:r w:rsidR="00440785">
        <w:t>Pub. Util.</w:t>
      </w:r>
      <w:r w:rsidR="006433E5">
        <w:t xml:space="preserve"> Code </w:t>
      </w:r>
      <w:r w:rsidR="003627A8">
        <w:t>Section </w:t>
      </w:r>
      <w:r>
        <w:t>769.3(b)(1)(A) must be considered for existing programs, but do not take a position on the six criteria.</w:t>
      </w:r>
      <w:r>
        <w:rPr>
          <w:rStyle w:val="FootnoteReference"/>
        </w:rPr>
        <w:footnoteReference w:id="32"/>
      </w:r>
      <w:r>
        <w:t xml:space="preserve"> CBIA recommends that any new community </w:t>
      </w:r>
      <w:r>
        <w:lastRenderedPageBreak/>
        <w:t xml:space="preserve">renewables program should be consistent with </w:t>
      </w:r>
      <w:r w:rsidR="003627A8">
        <w:t>Section </w:t>
      </w:r>
      <w:r>
        <w:t>10</w:t>
      </w:r>
      <w:r w:rsidR="003D6EF8">
        <w:noBreakHyphen/>
      </w:r>
      <w:r>
        <w:t xml:space="preserve">115 of the </w:t>
      </w:r>
      <w:r w:rsidR="00E67CA9">
        <w:t>Title </w:t>
      </w:r>
      <w:r>
        <w:t xml:space="preserve">24 regulations, as stated in </w:t>
      </w:r>
      <w:r w:rsidR="00440785">
        <w:t>Pub. Util.</w:t>
      </w:r>
      <w:r w:rsidR="006433E5">
        <w:t xml:space="preserve"> Code </w:t>
      </w:r>
      <w:r w:rsidR="003627A8">
        <w:t>Section </w:t>
      </w:r>
      <w:r>
        <w:t>769.3(c).</w:t>
      </w:r>
      <w:r>
        <w:rPr>
          <w:rStyle w:val="FootnoteReference"/>
        </w:rPr>
        <w:footnoteReference w:id="33"/>
      </w:r>
    </w:p>
    <w:p w:rsidR="00BA58BF" w:rsidP="002E3A04" w:rsidRDefault="002E3A04" w14:paraId="5F89DE2D" w14:textId="007FCE40">
      <w:pPr>
        <w:pStyle w:val="Standard"/>
      </w:pPr>
      <w:r>
        <w:t xml:space="preserve">Cypress Creek, CCSA, SEIA, and SDG&amp;E state that the preamble of </w:t>
      </w:r>
      <w:r w:rsidR="003627A8">
        <w:t>AB </w:t>
      </w:r>
      <w:r>
        <w:t>2316 provides the Legislature</w:t>
      </w:r>
      <w:r w:rsidR="00440785">
        <w:t>’</w:t>
      </w:r>
      <w:r>
        <w:t xml:space="preserve">s intent </w:t>
      </w:r>
      <w:r w:rsidR="00440785">
        <w:t>“</w:t>
      </w:r>
      <w:r>
        <w:t>to create a community renewable energy program so that all Californians, especially those unable to host a rooftop solar system, realize the benefits of distributed generation through a cost</w:t>
      </w:r>
      <w:r w:rsidR="003D6EF8">
        <w:noBreakHyphen/>
      </w:r>
      <w:r>
        <w:t>effective program that provides benefits to all ratepayers.</w:t>
      </w:r>
      <w:r w:rsidR="00440785">
        <w:t>”</w:t>
      </w:r>
      <w:r>
        <w:rPr>
          <w:rStyle w:val="FootnoteReference"/>
        </w:rPr>
        <w:footnoteReference w:id="34"/>
      </w:r>
      <w:r>
        <w:t xml:space="preserve"> These parties claim that another objective of any G</w:t>
      </w:r>
      <w:r w:rsidR="00DD61AF">
        <w:t xml:space="preserve">reen </w:t>
      </w:r>
      <w:r>
        <w:t>A</w:t>
      </w:r>
      <w:r w:rsidR="00DD61AF">
        <w:t xml:space="preserve">ccess </w:t>
      </w:r>
      <w:r>
        <w:t>P</w:t>
      </w:r>
      <w:r w:rsidR="00DD61AF">
        <w:t>rogram tariff</w:t>
      </w:r>
      <w:r>
        <w:t xml:space="preserve"> should be whether the program allows broad participation by all Californians (especially those that cannot host a rooftop solar system) through a cost</w:t>
      </w:r>
      <w:r w:rsidR="003D6EF8">
        <w:noBreakHyphen/>
      </w:r>
      <w:r>
        <w:t>effective program.</w:t>
      </w:r>
      <w:r>
        <w:rPr>
          <w:rStyle w:val="FootnoteReference"/>
        </w:rPr>
        <w:footnoteReference w:id="35"/>
      </w:r>
    </w:p>
    <w:p w:rsidR="00BA58BF" w:rsidP="002E3A04" w:rsidRDefault="002E3A04" w14:paraId="48C1FF48" w14:textId="0583ED28">
      <w:pPr>
        <w:pStyle w:val="Standard"/>
      </w:pPr>
      <w:r>
        <w:t xml:space="preserve">Some parties advocate for additional objectives beyond those outlined in </w:t>
      </w:r>
      <w:r w:rsidR="003627A8">
        <w:t>AB </w:t>
      </w:r>
      <w:r>
        <w:t>2316. Cypress Creek, SCE, and SEIA propose that an objective should be to align participating resources with grid needs.</w:t>
      </w:r>
      <w:r>
        <w:rPr>
          <w:rStyle w:val="FootnoteReference"/>
        </w:rPr>
        <w:footnoteReference w:id="36"/>
      </w:r>
      <w:r w:rsidRPr="000C1644">
        <w:t xml:space="preserve"> </w:t>
      </w:r>
      <w:r>
        <w:t>SCE states that additional objectives should be to advance the state</w:t>
      </w:r>
      <w:r w:rsidR="00440785">
        <w:t>’</w:t>
      </w:r>
      <w:r>
        <w:t>s climate goals by making green power available to customers, to contract based on customer demand, and to be lawful. SCE notes that requiring procurement of dedicated facilities do</w:t>
      </w:r>
      <w:r w:rsidR="003B4AD1">
        <w:t>es</w:t>
      </w:r>
      <w:r>
        <w:t xml:space="preserve"> not offer adequate G</w:t>
      </w:r>
      <w:r w:rsidR="003B4AD1">
        <w:t xml:space="preserve">reen </w:t>
      </w:r>
      <w:r>
        <w:t>A</w:t>
      </w:r>
      <w:r w:rsidR="003B4AD1">
        <w:t xml:space="preserve">ccess </w:t>
      </w:r>
      <w:r>
        <w:t>P</w:t>
      </w:r>
      <w:r w:rsidR="003B4AD1">
        <w:t>rogram tariff</w:t>
      </w:r>
      <w:r>
        <w:t xml:space="preserve"> options as it takes years for new facilities to come online.</w:t>
      </w:r>
    </w:p>
    <w:p w:rsidR="00BA58BF" w:rsidP="002E3A04" w:rsidRDefault="002E3A04" w14:paraId="0E8CC1F4" w14:textId="54CBCB4E">
      <w:pPr>
        <w:pStyle w:val="Standard"/>
      </w:pPr>
      <w:r>
        <w:t>PG&amp;E recommends the following additional objectives</w:t>
      </w:r>
      <w:r w:rsidR="005D30D7">
        <w:t xml:space="preserve">: </w:t>
      </w:r>
      <w:r>
        <w:t>that programs are affordable and cost</w:t>
      </w:r>
      <w:r w:rsidR="003D6EF8">
        <w:noBreakHyphen/>
      </w:r>
      <w:r>
        <w:t xml:space="preserve">efficient, provide customer choice in the simplest way, are technology neutral, are an accurate and transparent assessment of performance, </w:t>
      </w:r>
      <w:r>
        <w:lastRenderedPageBreak/>
        <w:t>maintain system safety, security, and reliability, and are equitable.</w:t>
      </w:r>
      <w:r>
        <w:rPr>
          <w:rStyle w:val="FootnoteReference"/>
        </w:rPr>
        <w:footnoteReference w:id="37"/>
      </w:r>
      <w:r>
        <w:t xml:space="preserve"> PG&amp;E states that cost</w:t>
      </w:r>
      <w:r w:rsidR="003D6EF8">
        <w:noBreakHyphen/>
      </w:r>
      <w:r>
        <w:t>shifting should be transparent and intended to support renewable access for low</w:t>
      </w:r>
      <w:r w:rsidR="003D6EF8">
        <w:noBreakHyphen/>
      </w:r>
      <w:r>
        <w:t>income customers.</w:t>
      </w:r>
    </w:p>
    <w:p w:rsidR="00BA58BF" w:rsidP="002E3A04" w:rsidRDefault="002917E2" w14:paraId="2015A455" w14:textId="1527575A">
      <w:pPr>
        <w:pStyle w:val="Standard"/>
      </w:pPr>
      <w:r>
        <w:t>Cal Advoc</w:t>
      </w:r>
      <w:r w:rsidR="002E3A04">
        <w:t xml:space="preserve">ates supports </w:t>
      </w:r>
      <w:r w:rsidRPr="00BE32F9" w:rsidR="002E3A04">
        <w:t>additional</w:t>
      </w:r>
      <w:r w:rsidR="002E3A04">
        <w:t xml:space="preserve"> objectives to include a locational requirement to encourage projects that realize the potential of avoided transmission and distribution costs, and a battery storage component to promote grid reliability.</w:t>
      </w:r>
      <w:r w:rsidR="002E3A04">
        <w:rPr>
          <w:rStyle w:val="FootnoteReference"/>
        </w:rPr>
        <w:footnoteReference w:id="38"/>
      </w:r>
      <w:r w:rsidR="002E3A04">
        <w:t xml:space="preserve">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rsidRPr="002E21F3" w:rsidR="002E3A04">
        <w:rPr>
          <w:rFonts w:cs="TimesNewRomanPSMT"/>
          <w:szCs w:val="26"/>
        </w:rPr>
        <w:t xml:space="preserve"> </w:t>
      </w:r>
      <w:r w:rsidR="002E3A04">
        <w:rPr>
          <w:rFonts w:cs="TimesNewRomanPSMT"/>
          <w:szCs w:val="26"/>
        </w:rPr>
        <w:t>recommend</w:t>
      </w:r>
      <w:r w:rsidRPr="002E21F3" w:rsidR="002E3A04">
        <w:rPr>
          <w:rFonts w:cs="TimesNewRomanPSMT"/>
          <w:szCs w:val="26"/>
        </w:rPr>
        <w:t xml:space="preserve"> objectives </w:t>
      </w:r>
      <w:r w:rsidR="002E3A04">
        <w:rPr>
          <w:rFonts w:cs="TimesNewRomanPSMT"/>
          <w:szCs w:val="26"/>
        </w:rPr>
        <w:t>include</w:t>
      </w:r>
      <w:r w:rsidRPr="002E21F3" w:rsidR="002E3A04">
        <w:rPr>
          <w:rFonts w:cs="TimesNewRomanPSMT"/>
          <w:szCs w:val="26"/>
        </w:rPr>
        <w:t xml:space="preserve"> the </w:t>
      </w:r>
      <w:r w:rsidRPr="00FD66C0" w:rsidR="002E3A04">
        <w:t xml:space="preserve">Environmental and Social Justice Action </w:t>
      </w:r>
      <w:r w:rsidR="002E3A04">
        <w:rPr>
          <w:rFonts w:cs="TimesNewRomanPSMT"/>
          <w:szCs w:val="26"/>
        </w:rPr>
        <w:t>(</w:t>
      </w:r>
      <w:r w:rsidRPr="00FD66C0" w:rsidR="002E3A04">
        <w:rPr>
          <w:rFonts w:cs="TimesNewRomanPSMT"/>
          <w:szCs w:val="26"/>
        </w:rPr>
        <w:t>ESJ</w:t>
      </w:r>
      <w:r w:rsidR="002E3A04">
        <w:rPr>
          <w:rFonts w:cs="TimesNewRomanPSMT"/>
          <w:szCs w:val="26"/>
        </w:rPr>
        <w:t>)</w:t>
      </w:r>
      <w:r w:rsidRPr="002E21F3" w:rsidR="002E3A04">
        <w:rPr>
          <w:rFonts w:cs="TimesNewRomanPSMT"/>
          <w:szCs w:val="26"/>
        </w:rPr>
        <w:t xml:space="preserve"> Plan </w:t>
      </w:r>
      <w:r w:rsidR="002E3A04">
        <w:rPr>
          <w:rFonts w:cs="TimesNewRomanPSMT"/>
          <w:szCs w:val="26"/>
        </w:rPr>
        <w:t>and in</w:t>
      </w:r>
      <w:r w:rsidRPr="002E21F3" w:rsidR="002E3A04">
        <w:rPr>
          <w:rFonts w:cs="TimesNewRomanPSMT"/>
          <w:szCs w:val="26"/>
        </w:rPr>
        <w:t xml:space="preserve"> particular, to integrate equity and access considerations in Commission proceedings</w:t>
      </w:r>
      <w:r w:rsidR="002E3A04">
        <w:rPr>
          <w:rFonts w:cs="TimesNewRomanPSMT"/>
          <w:szCs w:val="26"/>
        </w:rPr>
        <w:t xml:space="preserve"> (</w:t>
      </w:r>
      <w:r w:rsidRPr="00FD66C0" w:rsidR="008E473A">
        <w:rPr>
          <w:rFonts w:cs="TimesNewRomanPSMT"/>
          <w:szCs w:val="26"/>
        </w:rPr>
        <w:t>Goal 1</w:t>
      </w:r>
      <w:r w:rsidR="002E3A04">
        <w:rPr>
          <w:rFonts w:cs="TimesNewRomanPSMT"/>
          <w:szCs w:val="26"/>
        </w:rPr>
        <w:t xml:space="preserve">) </w:t>
      </w:r>
      <w:r w:rsidRPr="002E21F3" w:rsidR="002E3A04">
        <w:rPr>
          <w:rFonts w:cs="TimesNewRomanPSMT"/>
          <w:szCs w:val="26"/>
        </w:rPr>
        <w:t>and</w:t>
      </w:r>
      <w:r w:rsidR="002E3A04">
        <w:rPr>
          <w:rFonts w:cs="TimesNewRomanPSMT"/>
          <w:szCs w:val="26"/>
        </w:rPr>
        <w:t xml:space="preserve"> </w:t>
      </w:r>
      <w:r w:rsidRPr="002E21F3" w:rsidR="002E3A04">
        <w:rPr>
          <w:rFonts w:cs="TimesNewRomanPSMT"/>
          <w:szCs w:val="26"/>
        </w:rPr>
        <w:t xml:space="preserve">to increase investment in clean energy </w:t>
      </w:r>
      <w:r w:rsidR="002E3A04">
        <w:rPr>
          <w:rFonts w:cs="TimesNewRomanPSMT"/>
          <w:szCs w:val="26"/>
        </w:rPr>
        <w:t>for</w:t>
      </w:r>
      <w:r w:rsidRPr="002E21F3" w:rsidR="002E3A04">
        <w:rPr>
          <w:rFonts w:cs="TimesNewRomanPSMT"/>
          <w:szCs w:val="26"/>
        </w:rPr>
        <w:t xml:space="preserve"> ESJ communities</w:t>
      </w:r>
      <w:r w:rsidR="002E3A04">
        <w:rPr>
          <w:rFonts w:cs="TimesNewRomanPSMT"/>
          <w:szCs w:val="26"/>
        </w:rPr>
        <w:t xml:space="preserve"> (</w:t>
      </w:r>
      <w:r w:rsidRPr="00FD66C0" w:rsidR="008E473A">
        <w:rPr>
          <w:rFonts w:cs="TimesNewRomanPSMT"/>
          <w:szCs w:val="26"/>
        </w:rPr>
        <w:t>Goal 2</w:t>
      </w:r>
      <w:r w:rsidR="002E3A04">
        <w:rPr>
          <w:rFonts w:cs="TimesNewRomanPSMT"/>
          <w:szCs w:val="26"/>
        </w:rPr>
        <w:t>)</w:t>
      </w:r>
      <w:r w:rsidRPr="002E21F3" w:rsidR="002E3A04">
        <w:rPr>
          <w:rFonts w:cs="TimesNewRomanPSMT"/>
          <w:szCs w:val="26"/>
        </w:rPr>
        <w:t>.</w:t>
      </w:r>
      <w:r w:rsidR="002E3A04">
        <w:rPr>
          <w:rStyle w:val="FootnoteReference"/>
          <w:rFonts w:cs="TimesNewRomanPSMT"/>
          <w:szCs w:val="26"/>
        </w:rPr>
        <w:footnoteReference w:id="39"/>
      </w:r>
      <w:r w:rsidRPr="002E21F3" w:rsidR="002E3A04">
        <w:rPr>
          <w:rFonts w:cs="TimesNewRomanPSMT"/>
          <w:szCs w:val="26"/>
        </w:rPr>
        <w:t xml:space="preserve"> </w:t>
      </w:r>
      <w:r w:rsidR="002E3A04">
        <w:t>CUE proposes developing new renewable resources and guaranteed bill savings for low</w:t>
      </w:r>
      <w:r w:rsidR="003D6EF8">
        <w:noBreakHyphen/>
      </w:r>
      <w:r w:rsidR="002E3A04">
        <w:t>income customers.</w:t>
      </w:r>
      <w:r w:rsidR="002E3A04">
        <w:rPr>
          <w:rStyle w:val="FootnoteReference"/>
        </w:rPr>
        <w:footnoteReference w:id="40"/>
      </w:r>
      <w:r w:rsidR="002E3A04">
        <w:t xml:space="preserve"> SBUA recommends G</w:t>
      </w:r>
      <w:r w:rsidR="003B4AD1">
        <w:t xml:space="preserve">reen </w:t>
      </w:r>
      <w:r w:rsidR="002E3A04">
        <w:t>A</w:t>
      </w:r>
      <w:r w:rsidR="003B4AD1">
        <w:t xml:space="preserve">ccess </w:t>
      </w:r>
      <w:r w:rsidR="002E3A04">
        <w:t>P</w:t>
      </w:r>
      <w:r w:rsidR="003B4AD1">
        <w:t>rogram tariff</w:t>
      </w:r>
      <w:r w:rsidR="002E3A04">
        <w:t>s include small business customers.</w:t>
      </w:r>
      <w:r w:rsidR="002E3A04">
        <w:rPr>
          <w:rStyle w:val="FootnoteReference"/>
        </w:rPr>
        <w:footnoteReference w:id="41"/>
      </w:r>
      <w:r w:rsidR="002E3A04">
        <w:t xml:space="preserve"> CBIA advocates for G</w:t>
      </w:r>
      <w:r w:rsidR="003B4AD1">
        <w:t xml:space="preserve">reen </w:t>
      </w:r>
      <w:r w:rsidR="002E3A04">
        <w:t>A</w:t>
      </w:r>
      <w:r w:rsidR="003B4AD1">
        <w:t xml:space="preserve">ccess </w:t>
      </w:r>
      <w:r w:rsidR="002E3A04">
        <w:t>P</w:t>
      </w:r>
      <w:r w:rsidR="003B4AD1">
        <w:t>rogram tariff</w:t>
      </w:r>
      <w:r w:rsidR="002E3A04">
        <w:t xml:space="preserve">s to meet the </w:t>
      </w:r>
      <w:r w:rsidR="00EA4CB8">
        <w:t>California Energy Commission</w:t>
      </w:r>
      <w:r w:rsidR="00CC1F74">
        <w:t>’s</w:t>
      </w:r>
      <w:r w:rsidR="00023D53">
        <w:t xml:space="preserve"> (Energy Commission)</w:t>
      </w:r>
      <w:r w:rsidR="002E3A04">
        <w:t xml:space="preserve"> Building Energy Efficiency Standards, </w:t>
      </w:r>
      <w:r w:rsidR="00E67CA9">
        <w:t>Title </w:t>
      </w:r>
      <w:r w:rsidR="002E3A04">
        <w:t xml:space="preserve">24, </w:t>
      </w:r>
      <w:r w:rsidR="00F62BB9">
        <w:t>Part </w:t>
      </w:r>
      <w:r w:rsidR="002E3A04">
        <w:t xml:space="preserve">1 and </w:t>
      </w:r>
      <w:r w:rsidR="00F62BB9">
        <w:t>Part </w:t>
      </w:r>
      <w:r w:rsidR="002E3A04">
        <w:t>6, which provide that new residential construction of three stories or less be powered by solar energy.</w:t>
      </w:r>
      <w:r w:rsidR="002E3A04">
        <w:rPr>
          <w:rStyle w:val="FootnoteReference"/>
        </w:rPr>
        <w:footnoteReference w:id="42"/>
      </w:r>
    </w:p>
    <w:p w:rsidR="00BA58BF" w:rsidP="002E3A04" w:rsidRDefault="002E3A04" w14:paraId="462E6D80" w14:textId="77777777">
      <w:pPr>
        <w:pStyle w:val="Standard"/>
      </w:pPr>
      <w:r>
        <w:t xml:space="preserve">Arcadia </w:t>
      </w:r>
      <w:r w:rsidR="003B4AD1">
        <w:t xml:space="preserve">Power </w:t>
      </w:r>
      <w:r>
        <w:t xml:space="preserve">opposes </w:t>
      </w:r>
      <w:r w:rsidRPr="00033B06">
        <w:t>adopting</w:t>
      </w:r>
      <w:r>
        <w:t xml:space="preserve"> criteria </w:t>
      </w:r>
      <w:r w:rsidRPr="00033B06">
        <w:t>in addition</w:t>
      </w:r>
      <w:r>
        <w:t xml:space="preserve"> to the objectives included in </w:t>
      </w:r>
      <w:r w:rsidR="003627A8">
        <w:t>AB </w:t>
      </w:r>
      <w:r>
        <w:t>2316.</w:t>
      </w:r>
      <w:r>
        <w:rPr>
          <w:rStyle w:val="FootnoteReference"/>
        </w:rPr>
        <w:footnoteReference w:id="43"/>
      </w:r>
      <w:r>
        <w:t xml:space="preserve"> Arcadia </w:t>
      </w:r>
      <w:r w:rsidR="003B4AD1">
        <w:t xml:space="preserve">Power </w:t>
      </w:r>
      <w:r>
        <w:t xml:space="preserve">states that there is no consensus around </w:t>
      </w:r>
      <w:r>
        <w:lastRenderedPageBreak/>
        <w:t>the additional criteria, such as adopting locational requirements and project hiring parameters.</w:t>
      </w:r>
    </w:p>
    <w:p w:rsidR="002E3A04" w:rsidP="001B1E90" w:rsidRDefault="002E3A04" w14:paraId="7F0BEF2B" w14:textId="794E26AB">
      <w:pPr>
        <w:pStyle w:val="Heading3"/>
      </w:pPr>
      <w:bookmarkStart w:name="_Toc137631922" w:id="51"/>
      <w:bookmarkStart w:name="_Toc159551150" w:id="52"/>
      <w:bookmarkStart w:name="_Toc168559270" w:id="53"/>
      <w:r>
        <w:t>Discussion</w:t>
      </w:r>
      <w:bookmarkEnd w:id="51"/>
      <w:bookmarkEnd w:id="52"/>
      <w:bookmarkEnd w:id="53"/>
    </w:p>
    <w:p w:rsidR="00BA58BF" w:rsidP="002E3A04" w:rsidRDefault="002E3A04" w14:paraId="69A2E63E" w14:textId="235B494B">
      <w:pPr>
        <w:pStyle w:val="Standard"/>
      </w:pPr>
      <w:r>
        <w:t xml:space="preserve">A broad range of parties agree that the three goals outlined in </w:t>
      </w:r>
      <w:r w:rsidR="00440785">
        <w:t>Pub. Util.</w:t>
      </w:r>
      <w:r w:rsidR="00EA4CB8">
        <w:t xml:space="preserve"> Code </w:t>
      </w:r>
      <w:r w:rsidR="003627A8">
        <w:t>Section </w:t>
      </w:r>
      <w:r>
        <w:t xml:space="preserve">769.3(b)(1)(A) should be applied to evaluate each </w:t>
      </w:r>
      <w:r w:rsidR="003B4AD1">
        <w:t>Green Access Program tariff</w:t>
      </w:r>
      <w:r>
        <w:t xml:space="preserve">. Parties also agree that </w:t>
      </w:r>
      <w:r w:rsidR="00440785">
        <w:t>Pub. Util.</w:t>
      </w:r>
      <w:r w:rsidR="00EA4CB8">
        <w:t xml:space="preserve"> Code </w:t>
      </w:r>
      <w:r w:rsidR="003627A8">
        <w:t>Section </w:t>
      </w:r>
      <w:r>
        <w:t>769.3(b)(1)(B) should be part of the evaluation</w:t>
      </w:r>
      <w:r w:rsidR="005D30D7">
        <w:t xml:space="preserve">: </w:t>
      </w:r>
      <w:r>
        <w:t xml:space="preserve">to consider the energy load migration trends among bundled and nonbundled customers and any associated risks with maintaining or creating a customer renewable energy subscription program. </w:t>
      </w:r>
      <w:r w:rsidRPr="00EE5DA7">
        <w:t>The Commission</w:t>
      </w:r>
      <w:r>
        <w:t xml:space="preserve"> concurs that these goals should be used to evaluate each </w:t>
      </w:r>
      <w:r w:rsidR="003B4AD1">
        <w:t>Green Access Program tariff</w:t>
      </w:r>
      <w:r>
        <w:t>, whether existing, modified, or new.</w:t>
      </w:r>
    </w:p>
    <w:p w:rsidR="00BA58BF" w:rsidP="002E3A04" w:rsidRDefault="002E3A04" w14:paraId="0D9C4425" w14:textId="21AF8D7D">
      <w:pPr>
        <w:pStyle w:val="Standard"/>
      </w:pPr>
      <w:r>
        <w:t xml:space="preserve">While parties concede that the six criteria provided in </w:t>
      </w:r>
      <w:r w:rsidR="00440785">
        <w:t>Pub. Util.</w:t>
      </w:r>
      <w:r w:rsidR="00EA4CB8">
        <w:t xml:space="preserve"> Code </w:t>
      </w:r>
      <w:r w:rsidR="003627A8">
        <w:t>Section </w:t>
      </w:r>
      <w:r>
        <w:t>769.3(c) apply to new program</w:t>
      </w:r>
      <w:r w:rsidR="003B4AD1">
        <w:t xml:space="preserve"> tariff</w:t>
      </w:r>
      <w:r>
        <w:t>s, parties disagree as to whether the six criteria apply when evaluating a modification to an existing program</w:t>
      </w:r>
      <w:r w:rsidR="003B4AD1">
        <w:t xml:space="preserve"> tariff</w:t>
      </w:r>
      <w:r>
        <w:t xml:space="preserve">. </w:t>
      </w:r>
      <w:r w:rsidR="00440785">
        <w:t>Pub. Util.</w:t>
      </w:r>
      <w:r w:rsidR="00EA4CB8">
        <w:t xml:space="preserve"> Code </w:t>
      </w:r>
      <w:r w:rsidR="003627A8">
        <w:t>Section </w:t>
      </w:r>
      <w:r>
        <w:t xml:space="preserve">769.3(c) provides that </w:t>
      </w:r>
      <w:r w:rsidR="00440785">
        <w:t>“</w:t>
      </w:r>
      <w:r>
        <w:t>[t]he community renewable energy program, if established, shall do the following</w:t>
      </w:r>
      <w:r w:rsidR="00440785">
        <w:t>”</w:t>
      </w:r>
      <w:r>
        <w:t xml:space="preserve"> before enumerating the six criteria. The Commission finds that </w:t>
      </w:r>
      <w:r w:rsidRPr="009439FF">
        <w:t xml:space="preserve">the </w:t>
      </w:r>
      <w:r>
        <w:t>use</w:t>
      </w:r>
      <w:r w:rsidRPr="009439FF">
        <w:t xml:space="preserve"> of the </w:t>
      </w:r>
      <w:r>
        <w:t>phrase</w:t>
      </w:r>
      <w:r w:rsidRPr="009439FF">
        <w:t xml:space="preserve"> </w:t>
      </w:r>
      <w:r w:rsidR="00440785">
        <w:t>“</w:t>
      </w:r>
      <w:r w:rsidRPr="009439FF">
        <w:t>if established</w:t>
      </w:r>
      <w:r w:rsidR="00440785">
        <w:t>”</w:t>
      </w:r>
      <w:r w:rsidRPr="001D1329">
        <w:t xml:space="preserve"> </w:t>
      </w:r>
      <w:r>
        <w:t xml:space="preserve">indicates that the criteria should apply </w:t>
      </w:r>
      <w:r w:rsidRPr="00DE2F49">
        <w:t>only</w:t>
      </w:r>
      <w:r>
        <w:t xml:space="preserve"> </w:t>
      </w:r>
      <w:r w:rsidRPr="00FB061F">
        <w:t>to new program</w:t>
      </w:r>
      <w:r w:rsidR="003B4AD1">
        <w:t xml:space="preserve"> tariff</w:t>
      </w:r>
      <w:r>
        <w:t xml:space="preserve">s that may be </w:t>
      </w:r>
      <w:r w:rsidR="00440785">
        <w:t>“</w:t>
      </w:r>
      <w:r>
        <w:t>established,</w:t>
      </w:r>
      <w:r w:rsidR="00440785">
        <w:t>”</w:t>
      </w:r>
      <w:r>
        <w:t xml:space="preserve"> and </w:t>
      </w:r>
      <w:r w:rsidRPr="00F978A9">
        <w:t>not modificatio</w:t>
      </w:r>
      <w:r>
        <w:t>ns</w:t>
      </w:r>
      <w:r w:rsidRPr="00F978A9">
        <w:t xml:space="preserve"> to existing program</w:t>
      </w:r>
      <w:r w:rsidR="003B4AD1">
        <w:t xml:space="preserve"> tariff</w:t>
      </w:r>
      <w:r>
        <w:t xml:space="preserve">s. </w:t>
      </w:r>
      <w:r w:rsidRPr="00D6563B">
        <w:t xml:space="preserve">This is also consistent with </w:t>
      </w:r>
      <w:r w:rsidR="00440785">
        <w:t>Pub. Util.</w:t>
      </w:r>
      <w:r w:rsidR="00EA4CB8">
        <w:t xml:space="preserve"> Code </w:t>
      </w:r>
      <w:r w:rsidR="003627A8">
        <w:t>Section </w:t>
      </w:r>
      <w:r w:rsidRPr="00D6563B">
        <w:t>769</w:t>
      </w:r>
      <w:r>
        <w:t xml:space="preserve">.3(b)(2) where </w:t>
      </w:r>
      <w:r w:rsidRPr="00F978A9">
        <w:t>the term</w:t>
      </w:r>
      <w:r w:rsidRPr="00140FB9">
        <w:t xml:space="preserve"> </w:t>
      </w:r>
      <w:r w:rsidR="00440785">
        <w:t>“</w:t>
      </w:r>
      <w:r w:rsidRPr="00140FB9">
        <w:t>establish</w:t>
      </w:r>
      <w:r w:rsidR="00440785">
        <w:t>”</w:t>
      </w:r>
      <w:r w:rsidRPr="00140FB9">
        <w:t xml:space="preserve"> </w:t>
      </w:r>
      <w:r>
        <w:t xml:space="preserve">is used in reference </w:t>
      </w:r>
      <w:r w:rsidRPr="00741DA7">
        <w:t>to a new tariff or program</w:t>
      </w:r>
      <w:r w:rsidR="005D30D7">
        <w:t xml:space="preserve">: </w:t>
      </w:r>
      <w:r w:rsidR="00440785">
        <w:t>“</w:t>
      </w:r>
      <w:r>
        <w:t xml:space="preserve">[d]etermine whether it would be beneficial to ratepayers to </w:t>
      </w:r>
      <w:r w:rsidRPr="00394379">
        <w:rPr>
          <w:i/>
          <w:iCs/>
        </w:rPr>
        <w:t>establish</w:t>
      </w:r>
      <w:r>
        <w:t xml:space="preserve"> a new tariff or program for an electrical corporation, or modify an existing tariff or program administered by an electrical </w:t>
      </w:r>
      <w:r>
        <w:lastRenderedPageBreak/>
        <w:t xml:space="preserve">corporation, to establish a community renewable energy program consistent with the criteria described in </w:t>
      </w:r>
      <w:r w:rsidR="00000807">
        <w:t>subdivision </w:t>
      </w:r>
      <w:r>
        <w:t>(c)</w:t>
      </w:r>
      <w:r w:rsidRPr="00741DA7">
        <w:t>.</w:t>
      </w:r>
      <w:r w:rsidR="00440785">
        <w:t>”</w:t>
      </w:r>
      <w:r>
        <w:rPr>
          <w:rStyle w:val="FootnoteReference"/>
        </w:rPr>
        <w:footnoteReference w:id="44"/>
      </w:r>
    </w:p>
    <w:p w:rsidR="00BA58BF" w:rsidP="002E3A04" w:rsidRDefault="002E3A04" w14:paraId="71D29D0E" w14:textId="041EA2F6">
      <w:pPr>
        <w:pStyle w:val="Standard"/>
      </w:pPr>
      <w:r>
        <w:t>Further</w:t>
      </w:r>
      <w:r w:rsidRPr="003E75C3">
        <w:t xml:space="preserve">, </w:t>
      </w:r>
      <w:r>
        <w:t>the legislative history</w:t>
      </w:r>
      <w:r w:rsidRPr="003E75C3">
        <w:t xml:space="preserve"> of </w:t>
      </w:r>
      <w:r w:rsidR="003627A8">
        <w:t>AB </w:t>
      </w:r>
      <w:r w:rsidRPr="003E75C3">
        <w:t>23</w:t>
      </w:r>
      <w:r>
        <w:t>16</w:t>
      </w:r>
      <w:r w:rsidRPr="003E75C3">
        <w:t xml:space="preserve"> make</w:t>
      </w:r>
      <w:r>
        <w:t>s</w:t>
      </w:r>
      <w:r w:rsidRPr="003E75C3">
        <w:t xml:space="preserve"> clear that the </w:t>
      </w:r>
      <w:r>
        <w:t>six</w:t>
      </w:r>
      <w:r w:rsidRPr="003E75C3">
        <w:t xml:space="preserve"> criteria</w:t>
      </w:r>
      <w:r w:rsidRPr="005F1ED3">
        <w:t xml:space="preserve"> were meant to apply to new program</w:t>
      </w:r>
      <w:r w:rsidR="00243FFE">
        <w:t xml:space="preserve"> tariff</w:t>
      </w:r>
      <w:r w:rsidRPr="005F1ED3">
        <w:t>s</w:t>
      </w:r>
      <w:r>
        <w:t>, not modified program</w:t>
      </w:r>
      <w:r w:rsidR="00243FFE">
        <w:t xml:space="preserve"> tariff</w:t>
      </w:r>
      <w:r>
        <w:t>s</w:t>
      </w:r>
      <w:r w:rsidRPr="005F1ED3">
        <w:t>.</w:t>
      </w:r>
      <w:r>
        <w:t xml:space="preserve"> T</w:t>
      </w:r>
      <w:r w:rsidRPr="00A619E3">
        <w:t xml:space="preserve">he </w:t>
      </w:r>
      <w:r w:rsidR="0013526D">
        <w:t>August </w:t>
      </w:r>
      <w:r>
        <w:t>24, 2022</w:t>
      </w:r>
      <w:r w:rsidRPr="00A619E3">
        <w:t xml:space="preserve"> </w:t>
      </w:r>
      <w:r>
        <w:t>A</w:t>
      </w:r>
      <w:r w:rsidRPr="00A619E3">
        <w:t xml:space="preserve">ssembly </w:t>
      </w:r>
      <w:r>
        <w:t>F</w:t>
      </w:r>
      <w:r w:rsidRPr="00A619E3">
        <w:t xml:space="preserve">loor analysis </w:t>
      </w:r>
      <w:r>
        <w:t xml:space="preserve">describing the amendments provides </w:t>
      </w:r>
      <w:r w:rsidRPr="00A619E3">
        <w:t xml:space="preserve">that </w:t>
      </w:r>
      <w:r w:rsidR="00440785">
        <w:t>“</w:t>
      </w:r>
      <w:r>
        <w:t>[</w:t>
      </w:r>
      <w:r w:rsidRPr="00134D97">
        <w:t>t</w:t>
      </w:r>
      <w:r>
        <w:t>]</w:t>
      </w:r>
      <w:r w:rsidRPr="00134D97">
        <w:t>he newly established program</w:t>
      </w:r>
      <w:r w:rsidR="00440785">
        <w:t>”</w:t>
      </w:r>
      <w:r>
        <w:t xml:space="preserve"> must meet </w:t>
      </w:r>
      <w:r w:rsidRPr="00134D97">
        <w:t>the</w:t>
      </w:r>
      <w:r w:rsidRPr="00A619E3">
        <w:t xml:space="preserve"> enumerated criteria</w:t>
      </w:r>
      <w:r>
        <w:t>.</w:t>
      </w:r>
      <w:r>
        <w:rPr>
          <w:rStyle w:val="FootnoteReference"/>
        </w:rPr>
        <w:footnoteReference w:id="45"/>
      </w:r>
      <w:r>
        <w:t xml:space="preserve"> The</w:t>
      </w:r>
      <w:r w:rsidRPr="0049475D">
        <w:t xml:space="preserve"> </w:t>
      </w:r>
      <w:r w:rsidR="0013526D">
        <w:t>August </w:t>
      </w:r>
      <w:r w:rsidRPr="0049475D">
        <w:t>2</w:t>
      </w:r>
      <w:r>
        <w:t>6,</w:t>
      </w:r>
      <w:r w:rsidRPr="006D056B">
        <w:t xml:space="preserve"> 2022 Senate </w:t>
      </w:r>
      <w:r>
        <w:t>F</w:t>
      </w:r>
      <w:r w:rsidRPr="006D056B">
        <w:t xml:space="preserve">loor </w:t>
      </w:r>
      <w:r>
        <w:t xml:space="preserve">analysis also provides that the bill </w:t>
      </w:r>
      <w:r w:rsidRPr="006D056B">
        <w:t>amendment</w:t>
      </w:r>
      <w:r>
        <w:t>s</w:t>
      </w:r>
      <w:r w:rsidRPr="006D056B">
        <w:t xml:space="preserve"> </w:t>
      </w:r>
      <w:r w:rsidR="00440785">
        <w:t>“</w:t>
      </w:r>
      <w:r w:rsidRPr="00D568C0">
        <w:t>narrow</w:t>
      </w:r>
      <w:r>
        <w:t>[ed]</w:t>
      </w:r>
      <w:r w:rsidRPr="00D568C0">
        <w:t xml:space="preserve"> the application of criteria exclusively to the new proposed program...</w:t>
      </w:r>
      <w:r>
        <w:t>.</w:t>
      </w:r>
      <w:r w:rsidR="00440785">
        <w:t>”</w:t>
      </w:r>
      <w:r>
        <w:rPr>
          <w:rStyle w:val="FootnoteReference"/>
        </w:rPr>
        <w:footnoteReference w:id="46"/>
      </w:r>
      <w:r>
        <w:t xml:space="preserve"> In addition, </w:t>
      </w:r>
      <w:r w:rsidR="00B81874">
        <w:t>the Commission is</w:t>
      </w:r>
      <w:r>
        <w:t xml:space="preserve"> persuaded by</w:t>
      </w:r>
      <w:r w:rsidRPr="008F3128">
        <w:t xml:space="preserve"> PG&amp;E</w:t>
      </w:r>
      <w:r>
        <w:t xml:space="preserve"> that if the six criteria were to apply to a </w:t>
      </w:r>
      <w:r w:rsidRPr="00935A90">
        <w:t>proposed</w:t>
      </w:r>
      <w:r>
        <w:t xml:space="preserve"> modification of an existing </w:t>
      </w:r>
      <w:r w:rsidR="00243FFE">
        <w:t>tariff</w:t>
      </w:r>
      <w:r>
        <w:t xml:space="preserve">, and the proposal failed to meet one of the six criteria, the Commission would not be permitted to modify the existing </w:t>
      </w:r>
      <w:r w:rsidR="00243FFE">
        <w:t>tariffs</w:t>
      </w:r>
      <w:r>
        <w:t xml:space="preserve">. This interpretation would then contradict </w:t>
      </w:r>
      <w:r w:rsidR="00440785">
        <w:t>Pub. Util.</w:t>
      </w:r>
      <w:r w:rsidR="00EA4CB8">
        <w:t xml:space="preserve"> Code </w:t>
      </w:r>
      <w:r w:rsidR="003627A8">
        <w:t>Section </w:t>
      </w:r>
      <w:r>
        <w:t xml:space="preserve">769.3(b)(1)(C), which provides that </w:t>
      </w:r>
      <w:r w:rsidR="00440785">
        <w:t>“</w:t>
      </w:r>
      <w:r>
        <w:t>if the commission determines a customer renewable energy subscription program does not me</w:t>
      </w:r>
      <w:r w:rsidR="00237E56">
        <w:t>et al</w:t>
      </w:r>
      <w:r>
        <w:t xml:space="preserve">l the goals described in </w:t>
      </w:r>
      <w:r w:rsidR="00B54A82">
        <w:t>subparagraph </w:t>
      </w:r>
      <w:r>
        <w:t>(A),</w:t>
      </w:r>
      <w:r w:rsidR="00440785">
        <w:t>”</w:t>
      </w:r>
      <w:r>
        <w:t xml:space="preserve"> it may authorize the termination or modification of the program.</w:t>
      </w:r>
    </w:p>
    <w:p w:rsidR="002E3A04" w:rsidP="002E3A04" w:rsidRDefault="002E3A04" w14:paraId="5047CBB0" w14:textId="3EEEFFA8">
      <w:pPr>
        <w:pStyle w:val="Standard"/>
      </w:pPr>
      <w:r>
        <w:t>Accordingly, the Commission concludes that in evaluating any G</w:t>
      </w:r>
      <w:r w:rsidR="00243FFE">
        <w:t xml:space="preserve">reen </w:t>
      </w:r>
      <w:r>
        <w:t>A</w:t>
      </w:r>
      <w:r w:rsidR="00243FFE">
        <w:t xml:space="preserve">ccess </w:t>
      </w:r>
      <w:r>
        <w:t>P</w:t>
      </w:r>
      <w:r w:rsidR="00243FFE">
        <w:t>rogram tariff</w:t>
      </w:r>
      <w:r>
        <w:t xml:space="preserve">, the Commission shall determine if the </w:t>
      </w:r>
      <w:r w:rsidR="00243FFE">
        <w:t xml:space="preserve">tariff </w:t>
      </w:r>
      <w:r>
        <w:t>meets the following goals:</w:t>
      </w:r>
    </w:p>
    <w:p w:rsidR="002E3A04" w:rsidP="00BB6FEE" w:rsidRDefault="002E3A04" w14:paraId="6D5DF4A7" w14:textId="77777777">
      <w:pPr>
        <w:pStyle w:val="BlockQuoteH033"/>
        <w:numPr>
          <w:ilvl w:val="0"/>
          <w:numId w:val="9"/>
        </w:numPr>
        <w:ind w:left="1195" w:hanging="475"/>
      </w:pPr>
      <w:r>
        <w:t>Efficiently serves distinct customer groups.</w:t>
      </w:r>
    </w:p>
    <w:p w:rsidR="002E3A04" w:rsidP="00BB6FEE" w:rsidRDefault="002E3A04" w14:paraId="487FA314" w14:textId="77777777">
      <w:pPr>
        <w:pStyle w:val="BlockQuoteH033"/>
        <w:numPr>
          <w:ilvl w:val="0"/>
          <w:numId w:val="9"/>
        </w:numPr>
        <w:ind w:left="1195" w:hanging="475"/>
      </w:pPr>
      <w:r>
        <w:t>Minimizes duplicative offerings.</w:t>
      </w:r>
    </w:p>
    <w:p w:rsidR="002E3A04" w:rsidP="00BB6FEE" w:rsidRDefault="002E3A04" w14:paraId="63A00C35" w14:textId="66622DD4">
      <w:pPr>
        <w:pStyle w:val="BlockQuoteH033"/>
        <w:numPr>
          <w:ilvl w:val="0"/>
          <w:numId w:val="9"/>
        </w:numPr>
        <w:ind w:left="1195" w:hanging="475"/>
      </w:pPr>
      <w:r>
        <w:t>Promotes robust participation by low</w:t>
      </w:r>
      <w:r w:rsidR="003D6EF8">
        <w:noBreakHyphen/>
      </w:r>
      <w:r>
        <w:t>income customers.</w:t>
      </w:r>
    </w:p>
    <w:p w:rsidR="002E3A04" w:rsidP="002E3A04" w:rsidRDefault="002E3A04" w14:paraId="5F3C9EC2" w14:textId="7E772EDB">
      <w:pPr>
        <w:pStyle w:val="Standard"/>
      </w:pPr>
      <w:r>
        <w:lastRenderedPageBreak/>
        <w:t xml:space="preserve">The Commission shall also consider as part of the evaluation the energy load migration trends among bundled and nonbundled customers and any associated risks with maintaining or creating a customer renewable energy subscription program, as provided in </w:t>
      </w:r>
      <w:r w:rsidR="00440785">
        <w:t>Pub. Util.</w:t>
      </w:r>
      <w:r w:rsidR="00EA4CB8">
        <w:t xml:space="preserve"> Code </w:t>
      </w:r>
      <w:r w:rsidR="003627A8">
        <w:t>Section </w:t>
      </w:r>
      <w:r>
        <w:t xml:space="preserve">769.3(b)(1)(B). If the Commission determines </w:t>
      </w:r>
      <w:r w:rsidR="00ED21F2">
        <w:t xml:space="preserve">that </w:t>
      </w:r>
      <w:r>
        <w:t xml:space="preserve">a </w:t>
      </w:r>
      <w:r w:rsidR="00243FFE">
        <w:t xml:space="preserve">tariff </w:t>
      </w:r>
      <w:r>
        <w:t>does not me</w:t>
      </w:r>
      <w:r w:rsidR="00237E56">
        <w:t>et al</w:t>
      </w:r>
      <w:r>
        <w:t xml:space="preserve">l of the goals, the Commission may authorize the termination or modification of the </w:t>
      </w:r>
      <w:r w:rsidR="00243FFE">
        <w:t>tariff</w:t>
      </w:r>
      <w:r>
        <w:t>.</w:t>
      </w:r>
    </w:p>
    <w:p w:rsidR="00BA58BF" w:rsidP="002E3A04" w:rsidRDefault="002E3A04" w14:paraId="11468C3C" w14:textId="3D7AED34">
      <w:pPr>
        <w:pStyle w:val="Standard"/>
      </w:pPr>
      <w:r>
        <w:t xml:space="preserve">For a new </w:t>
      </w:r>
      <w:r w:rsidR="00243FFE">
        <w:t>Green Access Program tariff</w:t>
      </w:r>
      <w:r>
        <w:t xml:space="preserve">, if established, the </w:t>
      </w:r>
      <w:r w:rsidR="00243FFE">
        <w:t xml:space="preserve">tariff </w:t>
      </w:r>
      <w:r>
        <w:t xml:space="preserve">shall meet the requirements of </w:t>
      </w:r>
      <w:r w:rsidR="00440785">
        <w:t>Pub. Util.</w:t>
      </w:r>
      <w:r w:rsidR="00EA4CB8">
        <w:t xml:space="preserve"> Code </w:t>
      </w:r>
      <w:r w:rsidR="003627A8">
        <w:t>Section </w:t>
      </w:r>
      <w:r>
        <w:t>769.3(c), as summarized below</w:t>
      </w:r>
      <w:r w:rsidR="009F5702">
        <w:t>:</w:t>
      </w:r>
    </w:p>
    <w:p w:rsidR="002E3A04" w:rsidP="00BB6FEE" w:rsidRDefault="002E3A04" w14:paraId="1CB0928E" w14:textId="0CC90B5A">
      <w:pPr>
        <w:pStyle w:val="BlockQuoteH033"/>
        <w:numPr>
          <w:ilvl w:val="0"/>
          <w:numId w:val="10"/>
        </w:numPr>
        <w:ind w:left="1195" w:hanging="475"/>
        <w:rPr>
          <w:rFonts w:eastAsia="Times New Roman" w:cs="Times New Roman"/>
          <w:szCs w:val="26"/>
        </w:rPr>
      </w:pPr>
      <w:r w:rsidRPr="000B2FFF">
        <w:rPr>
          <w:rFonts w:eastAsia="Times New Roman" w:cs="Times New Roman"/>
          <w:szCs w:val="26"/>
        </w:rPr>
        <w:t xml:space="preserve">Be complementary to, and consistent with, the </w:t>
      </w:r>
      <w:r w:rsidRPr="00DF166A">
        <w:t>requirements</w:t>
      </w:r>
      <w:r w:rsidRPr="000B2FFF">
        <w:rPr>
          <w:rFonts w:eastAsia="Times New Roman" w:cs="Times New Roman"/>
          <w:szCs w:val="26"/>
        </w:rPr>
        <w:t xml:space="preserve"> of </w:t>
      </w:r>
      <w:r w:rsidR="003627A8">
        <w:rPr>
          <w:rFonts w:eastAsia="Times New Roman" w:cs="Times New Roman"/>
          <w:szCs w:val="26"/>
        </w:rPr>
        <w:t>Section </w:t>
      </w:r>
      <w:r w:rsidRPr="000B2FFF">
        <w:rPr>
          <w:rFonts w:eastAsia="Times New Roman" w:cs="Times New Roman"/>
          <w:szCs w:val="26"/>
        </w:rPr>
        <w:t>10</w:t>
      </w:r>
      <w:r w:rsidR="003D6EF8">
        <w:rPr>
          <w:rFonts w:eastAsia="Times New Roman" w:cs="Times New Roman"/>
          <w:szCs w:val="26"/>
        </w:rPr>
        <w:noBreakHyphen/>
      </w:r>
      <w:r w:rsidRPr="000B2FFF">
        <w:rPr>
          <w:rFonts w:eastAsia="Times New Roman" w:cs="Times New Roman"/>
          <w:szCs w:val="26"/>
        </w:rPr>
        <w:t>115 of the California Building Standards Code (</w:t>
      </w:r>
      <w:r w:rsidR="00E67CA9">
        <w:rPr>
          <w:rFonts w:eastAsia="Times New Roman" w:cs="Times New Roman"/>
          <w:szCs w:val="26"/>
        </w:rPr>
        <w:t>Title </w:t>
      </w:r>
      <w:r w:rsidRPr="000B2FFF">
        <w:rPr>
          <w:rFonts w:eastAsia="Times New Roman" w:cs="Times New Roman"/>
          <w:szCs w:val="26"/>
        </w:rPr>
        <w:t>24 of the California Code of Regulations).</w:t>
      </w:r>
    </w:p>
    <w:p w:rsidR="002E3A04" w:rsidP="00BB6FEE" w:rsidRDefault="002E3A04" w14:paraId="555A82D9" w14:textId="046FE87C">
      <w:pPr>
        <w:pStyle w:val="BlockQuoteH033"/>
        <w:numPr>
          <w:ilvl w:val="0"/>
          <w:numId w:val="10"/>
        </w:numPr>
        <w:ind w:left="1195" w:hanging="475"/>
        <w:rPr>
          <w:rFonts w:eastAsia="Times New Roman" w:cs="Times New Roman"/>
          <w:szCs w:val="26"/>
        </w:rPr>
      </w:pPr>
      <w:r w:rsidRPr="000B2FFF">
        <w:rPr>
          <w:rFonts w:eastAsia="Times New Roman" w:cs="Times New Roman"/>
          <w:szCs w:val="26"/>
        </w:rPr>
        <w:t>Ensure at least 51</w:t>
      </w:r>
      <w:r w:rsidR="00405FF8">
        <w:rPr>
          <w:rFonts w:eastAsia="Times New Roman" w:cs="Times New Roman"/>
          <w:szCs w:val="26"/>
        </w:rPr>
        <w:t> percent</w:t>
      </w:r>
      <w:r w:rsidRPr="000B2FFF">
        <w:rPr>
          <w:rFonts w:eastAsia="Times New Roman" w:cs="Times New Roman"/>
          <w:szCs w:val="26"/>
        </w:rPr>
        <w:t xml:space="preserve"> of the program</w:t>
      </w:r>
      <w:r w:rsidR="00440785">
        <w:rPr>
          <w:rFonts w:eastAsia="Times New Roman" w:cs="Times New Roman"/>
          <w:szCs w:val="26"/>
        </w:rPr>
        <w:t>’</w:t>
      </w:r>
      <w:r w:rsidRPr="000B2FFF">
        <w:rPr>
          <w:rFonts w:eastAsia="Times New Roman" w:cs="Times New Roman"/>
          <w:szCs w:val="26"/>
        </w:rPr>
        <w:t>s capacity serves low</w:t>
      </w:r>
      <w:r w:rsidR="003D6EF8">
        <w:rPr>
          <w:rFonts w:eastAsia="Times New Roman" w:cs="Times New Roman"/>
          <w:szCs w:val="26"/>
        </w:rPr>
        <w:noBreakHyphen/>
      </w:r>
      <w:r w:rsidRPr="000B2FFF">
        <w:rPr>
          <w:rFonts w:eastAsia="Times New Roman" w:cs="Times New Roman"/>
          <w:szCs w:val="26"/>
        </w:rPr>
        <w:t>income customers.</w:t>
      </w:r>
    </w:p>
    <w:p w:rsidRPr="00AB1378" w:rsidR="002E3A04" w:rsidP="00BB6FEE" w:rsidRDefault="002E3A04" w14:paraId="0ECFFFEC" w14:textId="7F2E350C">
      <w:pPr>
        <w:pStyle w:val="BlockQuoteH033"/>
        <w:numPr>
          <w:ilvl w:val="0"/>
          <w:numId w:val="10"/>
        </w:numPr>
        <w:ind w:left="1195" w:hanging="475"/>
        <w:rPr>
          <w:rFonts w:eastAsia="Times New Roman" w:cs="Times New Roman"/>
          <w:szCs w:val="26"/>
        </w:rPr>
      </w:pPr>
      <w:r w:rsidRPr="000B2FFF">
        <w:rPr>
          <w:rFonts w:eastAsia="Times New Roman" w:cs="Times New Roman"/>
          <w:szCs w:val="26"/>
        </w:rPr>
        <w:t>Minimize impacts to nonparticipating customers by prohibiting the program</w:t>
      </w:r>
      <w:r w:rsidR="00440785">
        <w:rPr>
          <w:rFonts w:eastAsia="Times New Roman" w:cs="Times New Roman"/>
          <w:szCs w:val="26"/>
        </w:rPr>
        <w:t>’</w:t>
      </w:r>
      <w:r w:rsidRPr="000B2FFF">
        <w:rPr>
          <w:rFonts w:eastAsia="Times New Roman" w:cs="Times New Roman"/>
          <w:szCs w:val="26"/>
        </w:rPr>
        <w:t xml:space="preserve">s costs from being paid by nonparticipating customers in excess of the avoided </w:t>
      </w:r>
      <w:r w:rsidRPr="00AB1378">
        <w:t>costs</w:t>
      </w:r>
      <w:r w:rsidRPr="00AB1378">
        <w:rPr>
          <w:rFonts w:eastAsia="Times New Roman" w:cs="Times New Roman"/>
          <w:szCs w:val="26"/>
        </w:rPr>
        <w:t>.</w:t>
      </w:r>
    </w:p>
    <w:p w:rsidR="002E3A04" w:rsidP="00BB6FEE" w:rsidRDefault="002E3A04" w14:paraId="0F2D7298" w14:textId="3C091C60">
      <w:pPr>
        <w:pStyle w:val="BlockQuoteH033"/>
        <w:numPr>
          <w:ilvl w:val="0"/>
          <w:numId w:val="10"/>
        </w:numPr>
        <w:ind w:left="1195" w:hanging="475"/>
      </w:pPr>
      <w:r>
        <w:t>That certain prevailing wage and other requirements apply to the construction of a community renewable energy facility pursuant to the program.</w:t>
      </w:r>
    </w:p>
    <w:p w:rsidR="002E3A04" w:rsidP="00BB6FEE" w:rsidRDefault="002E3A04" w14:paraId="43411857" w14:textId="232DB657">
      <w:pPr>
        <w:pStyle w:val="BlockQuoteH033"/>
        <w:numPr>
          <w:ilvl w:val="0"/>
          <w:numId w:val="10"/>
        </w:numPr>
        <w:ind w:left="1195" w:hanging="475"/>
        <w:rPr>
          <w:rFonts w:eastAsia="Times New Roman" w:cs="Times New Roman"/>
          <w:szCs w:val="26"/>
        </w:rPr>
      </w:pPr>
      <w:r w:rsidRPr="00495D1D">
        <w:t>Provide</w:t>
      </w:r>
      <w:r w:rsidRPr="00036A3B">
        <w:rPr>
          <w:rFonts w:eastAsia="Times New Roman" w:cs="Times New Roman"/>
          <w:szCs w:val="26"/>
        </w:rPr>
        <w:t xml:space="preserve"> bill credits to subscribers based on the avoided costs of the program</w:t>
      </w:r>
      <w:r w:rsidR="00440785">
        <w:rPr>
          <w:rFonts w:eastAsia="Times New Roman" w:cs="Times New Roman"/>
          <w:szCs w:val="26"/>
        </w:rPr>
        <w:t>’</w:t>
      </w:r>
      <w:r w:rsidRPr="00036A3B">
        <w:rPr>
          <w:rFonts w:eastAsia="Times New Roman" w:cs="Times New Roman"/>
          <w:szCs w:val="26"/>
        </w:rPr>
        <w:t xml:space="preserve">s </w:t>
      </w:r>
      <w:r w:rsidRPr="00AB1378">
        <w:t>facilities</w:t>
      </w:r>
      <w:r>
        <w:rPr>
          <w:rFonts w:eastAsia="Times New Roman" w:cs="Times New Roman"/>
          <w:szCs w:val="26"/>
        </w:rPr>
        <w:t>.</w:t>
      </w:r>
    </w:p>
    <w:p w:rsidRPr="00AB1378" w:rsidR="002E3A04" w:rsidP="00BB6FEE" w:rsidRDefault="002E3A04" w14:paraId="1252BBD6" w14:textId="07C5B626">
      <w:pPr>
        <w:pStyle w:val="BlockQuoteH033"/>
        <w:numPr>
          <w:ilvl w:val="0"/>
          <w:numId w:val="10"/>
        </w:numPr>
        <w:ind w:left="1195" w:hanging="475"/>
        <w:rPr>
          <w:rFonts w:eastAsia="Times New Roman" w:cs="Times New Roman"/>
          <w:szCs w:val="26"/>
        </w:rPr>
      </w:pPr>
      <w:r w:rsidRPr="00AB1378">
        <w:rPr>
          <w:rFonts w:eastAsia="Times New Roman" w:cs="Times New Roman"/>
          <w:szCs w:val="26"/>
        </w:rPr>
        <w:t>Prioritize the maximum use of state and federal incentives and accelerate implementation of the program to ensure that time</w:t>
      </w:r>
      <w:r w:rsidR="003D6EF8">
        <w:rPr>
          <w:rFonts w:eastAsia="Times New Roman" w:cs="Times New Roman"/>
          <w:szCs w:val="26"/>
        </w:rPr>
        <w:noBreakHyphen/>
      </w:r>
      <w:r w:rsidRPr="00AB1378">
        <w:rPr>
          <w:rFonts w:eastAsia="Times New Roman" w:cs="Times New Roman"/>
          <w:szCs w:val="26"/>
        </w:rPr>
        <w:t xml:space="preserve"> or quantity</w:t>
      </w:r>
      <w:r w:rsidR="003D6EF8">
        <w:rPr>
          <w:rFonts w:eastAsia="Times New Roman" w:cs="Times New Roman"/>
          <w:szCs w:val="26"/>
        </w:rPr>
        <w:noBreakHyphen/>
      </w:r>
      <w:r w:rsidRPr="00AB1378">
        <w:rPr>
          <w:rFonts w:eastAsia="Times New Roman" w:cs="Times New Roman"/>
          <w:szCs w:val="26"/>
        </w:rPr>
        <w:t xml:space="preserve">limited federal </w:t>
      </w:r>
      <w:r w:rsidRPr="00495D1D">
        <w:t>incentives</w:t>
      </w:r>
      <w:r w:rsidRPr="00AB1378">
        <w:rPr>
          <w:rFonts w:eastAsia="Times New Roman" w:cs="Times New Roman"/>
          <w:szCs w:val="26"/>
        </w:rPr>
        <w:t xml:space="preserve"> can be obtained for the benefit of </w:t>
      </w:r>
      <w:r w:rsidRPr="00AB1378">
        <w:t>subscribers</w:t>
      </w:r>
      <w:r w:rsidRPr="00AB1378">
        <w:rPr>
          <w:rFonts w:eastAsia="Times New Roman" w:cs="Times New Roman"/>
          <w:szCs w:val="26"/>
        </w:rPr>
        <w:t>.</w:t>
      </w:r>
    </w:p>
    <w:p w:rsidR="00BA58BF" w:rsidP="002E3A04" w:rsidRDefault="002E3A04" w14:paraId="2AFDD4BD" w14:textId="06390006">
      <w:pPr>
        <w:pStyle w:val="Standard"/>
      </w:pPr>
      <w:r>
        <w:t xml:space="preserve">Some parties propose </w:t>
      </w:r>
      <w:r w:rsidRPr="007E1110">
        <w:t>that an</w:t>
      </w:r>
      <w:r>
        <w:t xml:space="preserve">other objective </w:t>
      </w:r>
      <w:r w:rsidRPr="007E1110">
        <w:t>should</w:t>
      </w:r>
      <w:r>
        <w:t xml:space="preserve"> be </w:t>
      </w:r>
      <w:r w:rsidR="00440785">
        <w:t>“</w:t>
      </w:r>
      <w:r>
        <w:t>to create a community renewable energy program so that all Californians, especially those unable to host a rooftop solar system, realize the benefits of distributed generation through a cost</w:t>
      </w:r>
      <w:r w:rsidR="003D6EF8">
        <w:noBreakHyphen/>
      </w:r>
      <w:r>
        <w:t xml:space="preserve">effective program that provides benefits to all </w:t>
      </w:r>
      <w:r>
        <w:lastRenderedPageBreak/>
        <w:t>ratepayers,</w:t>
      </w:r>
      <w:r w:rsidR="00440785">
        <w:t>”</w:t>
      </w:r>
      <w:r>
        <w:t xml:space="preserve"> as stated in the preamble of </w:t>
      </w:r>
      <w:r w:rsidR="003627A8">
        <w:t>AB </w:t>
      </w:r>
      <w:r>
        <w:t>2316. The Commission declines to adopt this as a specific objective of the G</w:t>
      </w:r>
      <w:r w:rsidR="00243FFE">
        <w:t xml:space="preserve">reen </w:t>
      </w:r>
      <w:r>
        <w:t>A</w:t>
      </w:r>
      <w:r w:rsidR="00243FFE">
        <w:t xml:space="preserve">ccess </w:t>
      </w:r>
      <w:r>
        <w:t>P</w:t>
      </w:r>
      <w:r w:rsidR="00243FFE">
        <w:t>rogram</w:t>
      </w:r>
      <w:r>
        <w:t xml:space="preserve"> </w:t>
      </w:r>
      <w:r w:rsidRPr="004869A4">
        <w:t>evaluation</w:t>
      </w:r>
      <w:r>
        <w:t xml:space="preserve">. While this statement is included in the preamble of </w:t>
      </w:r>
      <w:r w:rsidR="003627A8">
        <w:t>AB </w:t>
      </w:r>
      <w:r>
        <w:t xml:space="preserve">2316, </w:t>
      </w:r>
      <w:r w:rsidRPr="006F2097">
        <w:t xml:space="preserve">it </w:t>
      </w:r>
      <w:r>
        <w:t>is</w:t>
      </w:r>
      <w:r w:rsidRPr="006F2097">
        <w:t xml:space="preserve"> not listed as one of the</w:t>
      </w:r>
      <w:r>
        <w:t xml:space="preserve"> specific </w:t>
      </w:r>
      <w:r w:rsidRPr="00D17514">
        <w:t>evaluation</w:t>
      </w:r>
      <w:r>
        <w:t xml:space="preserve"> goals outlined by the Legislature in </w:t>
      </w:r>
      <w:r w:rsidR="00440785">
        <w:t>Pub. Util.</w:t>
      </w:r>
      <w:r w:rsidR="00EA4CB8">
        <w:t xml:space="preserve"> Code </w:t>
      </w:r>
      <w:r w:rsidR="003627A8">
        <w:t>Section </w:t>
      </w:r>
      <w:r>
        <w:t>769.3(b)(1).</w:t>
      </w:r>
    </w:p>
    <w:p w:rsidR="00BA58BF" w:rsidP="00877203" w:rsidRDefault="002E3A04" w14:paraId="63E0448C" w14:textId="77777777">
      <w:pPr>
        <w:pStyle w:val="Standard"/>
        <w:rPr>
          <w:rFonts w:eastAsia="Times New Roman" w:cs="Times New Roman"/>
          <w:szCs w:val="26"/>
        </w:rPr>
      </w:pPr>
      <w:r>
        <w:rPr>
          <w:rFonts w:eastAsia="Times New Roman" w:cs="Times New Roman"/>
          <w:szCs w:val="26"/>
        </w:rPr>
        <w:t xml:space="preserve">Other parties recommend </w:t>
      </w:r>
      <w:r w:rsidRPr="0023678E">
        <w:rPr>
          <w:rFonts w:eastAsia="Times New Roman" w:cs="Times New Roman"/>
          <w:szCs w:val="26"/>
        </w:rPr>
        <w:t>various</w:t>
      </w:r>
      <w:r>
        <w:rPr>
          <w:rFonts w:eastAsia="Times New Roman" w:cs="Times New Roman"/>
          <w:szCs w:val="26"/>
        </w:rPr>
        <w:t xml:space="preserve"> additional objectives that are not expressly </w:t>
      </w:r>
      <w:r w:rsidRPr="00A60DA1">
        <w:rPr>
          <w:rFonts w:eastAsia="Times New Roman" w:cs="Times New Roman"/>
          <w:szCs w:val="26"/>
        </w:rPr>
        <w:t>included</w:t>
      </w:r>
      <w:r>
        <w:rPr>
          <w:rFonts w:eastAsia="Times New Roman" w:cs="Times New Roman"/>
          <w:szCs w:val="26"/>
        </w:rPr>
        <w:t xml:space="preserve"> in </w:t>
      </w:r>
      <w:r w:rsidR="003627A8">
        <w:rPr>
          <w:rFonts w:eastAsia="Times New Roman" w:cs="Times New Roman"/>
          <w:szCs w:val="26"/>
        </w:rPr>
        <w:t>AB </w:t>
      </w:r>
      <w:r>
        <w:rPr>
          <w:rFonts w:eastAsia="Times New Roman" w:cs="Times New Roman"/>
          <w:szCs w:val="26"/>
        </w:rPr>
        <w:t xml:space="preserve">2316. </w:t>
      </w:r>
      <w:r w:rsidR="00B81874">
        <w:rPr>
          <w:rFonts w:eastAsia="Times New Roman" w:cs="Times New Roman"/>
          <w:szCs w:val="26"/>
        </w:rPr>
        <w:t xml:space="preserve">The Commission </w:t>
      </w:r>
      <w:r>
        <w:rPr>
          <w:rFonts w:eastAsia="Times New Roman" w:cs="Times New Roman"/>
          <w:szCs w:val="26"/>
        </w:rPr>
        <w:t>agree</w:t>
      </w:r>
      <w:r w:rsidR="00B81874">
        <w:rPr>
          <w:rFonts w:eastAsia="Times New Roman" w:cs="Times New Roman"/>
          <w:szCs w:val="26"/>
        </w:rPr>
        <w:t>s</w:t>
      </w:r>
      <w:r>
        <w:rPr>
          <w:rFonts w:eastAsia="Times New Roman" w:cs="Times New Roman"/>
          <w:szCs w:val="26"/>
        </w:rPr>
        <w:t xml:space="preserve"> with Arcadia </w:t>
      </w:r>
      <w:r w:rsidR="00243FFE">
        <w:rPr>
          <w:rFonts w:eastAsia="Times New Roman" w:cs="Times New Roman"/>
          <w:szCs w:val="26"/>
        </w:rPr>
        <w:t xml:space="preserve">Power </w:t>
      </w:r>
      <w:r>
        <w:rPr>
          <w:rFonts w:eastAsia="Times New Roman" w:cs="Times New Roman"/>
          <w:szCs w:val="26"/>
        </w:rPr>
        <w:t xml:space="preserve">that there is no consensus </w:t>
      </w:r>
      <w:r w:rsidRPr="00A60DA1">
        <w:rPr>
          <w:rFonts w:eastAsia="Times New Roman" w:cs="Times New Roman"/>
          <w:szCs w:val="26"/>
        </w:rPr>
        <w:t>as to</w:t>
      </w:r>
      <w:r>
        <w:rPr>
          <w:rFonts w:eastAsia="Times New Roman" w:cs="Times New Roman"/>
          <w:szCs w:val="26"/>
        </w:rPr>
        <w:t xml:space="preserve"> what the additional objectives should be. As such, </w:t>
      </w:r>
      <w:r w:rsidR="00B81874">
        <w:rPr>
          <w:rFonts w:eastAsia="Times New Roman" w:cs="Times New Roman"/>
          <w:szCs w:val="26"/>
        </w:rPr>
        <w:t xml:space="preserve">the Commission </w:t>
      </w:r>
      <w:r>
        <w:rPr>
          <w:rFonts w:eastAsia="Times New Roman" w:cs="Times New Roman"/>
          <w:szCs w:val="26"/>
        </w:rPr>
        <w:t>decline</w:t>
      </w:r>
      <w:r w:rsidR="00B81874">
        <w:rPr>
          <w:rFonts w:eastAsia="Times New Roman" w:cs="Times New Roman"/>
          <w:szCs w:val="26"/>
        </w:rPr>
        <w:t>s</w:t>
      </w:r>
      <w:r>
        <w:rPr>
          <w:rFonts w:eastAsia="Times New Roman" w:cs="Times New Roman"/>
          <w:szCs w:val="26"/>
        </w:rPr>
        <w:t xml:space="preserve"> to adopt any additional objectives for evaluating the existing and proposed program</w:t>
      </w:r>
      <w:r w:rsidR="00243FFE">
        <w:rPr>
          <w:rFonts w:eastAsia="Times New Roman" w:cs="Times New Roman"/>
          <w:szCs w:val="26"/>
        </w:rPr>
        <w:t xml:space="preserve"> tariff</w:t>
      </w:r>
      <w:r>
        <w:rPr>
          <w:rFonts w:eastAsia="Times New Roman" w:cs="Times New Roman"/>
          <w:szCs w:val="26"/>
        </w:rPr>
        <w:t>s.</w:t>
      </w:r>
    </w:p>
    <w:p w:rsidR="00BA58BF" w:rsidP="001B1E90" w:rsidRDefault="00345511" w14:paraId="380A4BFB" w14:textId="4091AD4C">
      <w:pPr>
        <w:pStyle w:val="Heading2"/>
      </w:pPr>
      <w:bookmarkStart w:name="_Toc158024652" w:id="54"/>
      <w:bookmarkStart w:name="_Toc158024653" w:id="55"/>
      <w:bookmarkStart w:name="_Toc158024654" w:id="56"/>
      <w:bookmarkStart w:name="_Toc158024655" w:id="57"/>
      <w:bookmarkStart w:name="_Toc158024656" w:id="58"/>
      <w:bookmarkStart w:name="_Toc158024657" w:id="59"/>
      <w:bookmarkStart w:name="_Toc158024658" w:id="60"/>
      <w:bookmarkStart w:name="_Toc158024659" w:id="61"/>
      <w:bookmarkStart w:name="_Toc158024660" w:id="62"/>
      <w:bookmarkStart w:name="_Toc137631923" w:id="63"/>
      <w:bookmarkStart w:name="_Toc159551151" w:id="64"/>
      <w:bookmarkStart w:name="_Toc168559271" w:id="65"/>
      <w:bookmarkEnd w:id="54"/>
      <w:bookmarkEnd w:id="55"/>
      <w:bookmarkEnd w:id="56"/>
      <w:bookmarkEnd w:id="57"/>
      <w:bookmarkEnd w:id="58"/>
      <w:bookmarkEnd w:id="59"/>
      <w:bookmarkEnd w:id="60"/>
      <w:bookmarkEnd w:id="61"/>
      <w:bookmarkEnd w:id="62"/>
      <w:r>
        <w:t>Foundation for Evaluating</w:t>
      </w:r>
      <w:r w:rsidR="000F3DD2">
        <w:br/>
      </w:r>
      <w:r>
        <w:t>G</w:t>
      </w:r>
      <w:r w:rsidR="005D644E">
        <w:t xml:space="preserve">reen </w:t>
      </w:r>
      <w:r>
        <w:t>A</w:t>
      </w:r>
      <w:r w:rsidR="005D644E">
        <w:t xml:space="preserve">ccess </w:t>
      </w:r>
      <w:r>
        <w:t>P</w:t>
      </w:r>
      <w:r w:rsidR="005D644E">
        <w:t>rogram Tariffs</w:t>
      </w:r>
      <w:bookmarkEnd w:id="63"/>
      <w:bookmarkEnd w:id="64"/>
      <w:bookmarkEnd w:id="65"/>
    </w:p>
    <w:p w:rsidR="00345511" w:rsidP="00345511" w:rsidRDefault="00B81874" w14:paraId="00F7BC94" w14:textId="6B3D1752">
      <w:pPr>
        <w:pStyle w:val="Standard"/>
      </w:pPr>
      <w:r>
        <w:t xml:space="preserve">This decision </w:t>
      </w:r>
      <w:r w:rsidR="00345511">
        <w:t>next consider</w:t>
      </w:r>
      <w:r>
        <w:t>s</w:t>
      </w:r>
      <w:r w:rsidR="00345511">
        <w:t xml:space="preserve"> what methods should be used to measure whether each </w:t>
      </w:r>
      <w:r w:rsidR="005D644E">
        <w:t>Green Access Program tariff</w:t>
      </w:r>
      <w:r w:rsidR="00345511">
        <w:t xml:space="preserve"> has met the evaluation criteria to</w:t>
      </w:r>
      <w:r w:rsidR="005D30D7">
        <w:t xml:space="preserve">: </w:t>
      </w:r>
      <w:r w:rsidR="00345511">
        <w:t>(i</w:t>
      </w:r>
      <w:r w:rsidR="00A75174">
        <w:t>) </w:t>
      </w:r>
      <w:r w:rsidR="00345511">
        <w:t>efficiently serve distinct customer groups; (ii</w:t>
      </w:r>
      <w:r w:rsidR="00A75174">
        <w:t>) </w:t>
      </w:r>
      <w:r w:rsidR="00345511">
        <w:t>minimize duplicative offerings</w:t>
      </w:r>
      <w:r w:rsidR="00A75174">
        <w:t xml:space="preserve">; </w:t>
      </w:r>
      <w:r w:rsidR="00345511">
        <w:t>and (iii</w:t>
      </w:r>
      <w:r w:rsidR="00A75174">
        <w:t>) </w:t>
      </w:r>
      <w:r w:rsidR="00345511">
        <w:t>promote robust participation by low</w:t>
      </w:r>
      <w:r w:rsidR="003D6EF8">
        <w:noBreakHyphen/>
      </w:r>
      <w:r w:rsidR="00345511">
        <w:t xml:space="preserve">income customers, as provided for in </w:t>
      </w:r>
      <w:r w:rsidR="00440785">
        <w:t>Pub. Util.</w:t>
      </w:r>
      <w:r w:rsidR="00EA4CB8">
        <w:t xml:space="preserve"> Code </w:t>
      </w:r>
      <w:r w:rsidR="003627A8">
        <w:t>Section </w:t>
      </w:r>
      <w:r w:rsidR="00345511">
        <w:t>769.3(b)(1)(A).</w:t>
      </w:r>
    </w:p>
    <w:p w:rsidR="00345511" w:rsidP="001B1E90" w:rsidRDefault="00345511" w14:paraId="3B0A339C" w14:textId="78E6C0A6">
      <w:pPr>
        <w:pStyle w:val="Heading3"/>
      </w:pPr>
      <w:bookmarkStart w:name="_Toc137631924" w:id="66"/>
      <w:bookmarkStart w:name="_Toc159551152" w:id="67"/>
      <w:bookmarkStart w:name="_Toc168559272" w:id="68"/>
      <w:r>
        <w:t>Efficiently Serves</w:t>
      </w:r>
      <w:r w:rsidR="00AB2BE0">
        <w:br/>
      </w:r>
      <w:r>
        <w:t>Distinct Customer Groups</w:t>
      </w:r>
      <w:bookmarkEnd w:id="66"/>
      <w:bookmarkEnd w:id="67"/>
      <w:bookmarkEnd w:id="68"/>
    </w:p>
    <w:p w:rsidRPr="00C75048" w:rsidR="00345511" w:rsidP="00345511" w:rsidRDefault="00345511" w14:paraId="116ACA35" w14:textId="793A0DC2">
      <w:pPr>
        <w:pStyle w:val="Standard"/>
      </w:pPr>
      <w:r>
        <w:t xml:space="preserve">The first goal under </w:t>
      </w:r>
      <w:r w:rsidR="00440785">
        <w:t>Pub. Util.</w:t>
      </w:r>
      <w:r w:rsidR="00EA4CB8">
        <w:t xml:space="preserve"> Code </w:t>
      </w:r>
      <w:r w:rsidR="003627A8">
        <w:t>Section </w:t>
      </w:r>
      <w:r>
        <w:t xml:space="preserve">769.3(b)(1)(A) for evaluating </w:t>
      </w:r>
      <w:r w:rsidR="005D644E">
        <w:t>Green Access Program tariffs</w:t>
      </w:r>
      <w:r>
        <w:t xml:space="preserve"> is to </w:t>
      </w:r>
      <w:r w:rsidR="005D644E">
        <w:t xml:space="preserve">determine whether the existing tariffs </w:t>
      </w:r>
      <w:r w:rsidR="00440785">
        <w:t>“</w:t>
      </w:r>
      <w:r>
        <w:t>[e]fficiently serve distinct customer groups.</w:t>
      </w:r>
      <w:r w:rsidR="00440785">
        <w:t>”</w:t>
      </w:r>
    </w:p>
    <w:p w:rsidR="00BA58BF" w:rsidP="00345511" w:rsidRDefault="00345511" w14:paraId="076A0266" w14:textId="269AB049">
      <w:pPr>
        <w:pStyle w:val="Standard"/>
      </w:pPr>
      <w:r>
        <w:t>Parties propose a wide range of customer groups be included in the evaluation. PG&amp;E recommends the groups should be low</w:t>
      </w:r>
      <w:r w:rsidR="003D6EF8">
        <w:noBreakHyphen/>
      </w:r>
      <w:r>
        <w:t>income residential, non</w:t>
      </w:r>
      <w:r w:rsidR="003D6EF8">
        <w:noBreakHyphen/>
      </w:r>
      <w:r>
        <w:t>low</w:t>
      </w:r>
      <w:r w:rsidR="003D6EF8">
        <w:noBreakHyphen/>
      </w:r>
      <w:r>
        <w:t>income residential/commercial, and new construction.</w:t>
      </w:r>
      <w:r>
        <w:rPr>
          <w:rStyle w:val="FootnoteReference"/>
        </w:rPr>
        <w:footnoteReference w:id="47"/>
      </w:r>
      <w:r>
        <w:t xml:space="preserve"> TURN </w:t>
      </w:r>
      <w:r w:rsidRPr="003C3E0B">
        <w:lastRenderedPageBreak/>
        <w:t>proposes</w:t>
      </w:r>
      <w:r>
        <w:t xml:space="preserve"> the groups should be those unable to benefit from rooftop solar, low</w:t>
      </w:r>
      <w:r w:rsidR="003D6EF8">
        <w:noBreakHyphen/>
      </w:r>
      <w:r>
        <w:t>income residential, and low</w:t>
      </w:r>
      <w:r w:rsidR="003D6EF8">
        <w:noBreakHyphen/>
      </w:r>
      <w:r>
        <w:t xml:space="preserve">income customers in </w:t>
      </w:r>
      <w:r w:rsidR="00CD6542">
        <w:t>disadvantaged communities</w:t>
      </w:r>
      <w:r>
        <w:t>.</w:t>
      </w:r>
      <w:r>
        <w:rPr>
          <w:rStyle w:val="FootnoteReference"/>
        </w:rPr>
        <w:footnoteReference w:id="48"/>
      </w:r>
      <w:r>
        <w:t xml:space="preserve"> TURN adds that small business customers, new residential homes, and customers served by CCA</w:t>
      </w:r>
      <w:r w:rsidR="005D644E">
        <w:t>s</w:t>
      </w:r>
      <w:r>
        <w:t xml:space="preserve"> should also be considered customer groups.</w:t>
      </w:r>
    </w:p>
    <w:p w:rsidRPr="00E10069" w:rsidR="00345511" w:rsidP="00345511" w:rsidRDefault="00AD55A4" w14:paraId="3CE0FB43" w14:textId="4CC35CBE">
      <w:pPr>
        <w:pStyle w:val="Standard"/>
      </w:pPr>
      <w:r>
        <w:rPr>
          <w:szCs w:val="26"/>
        </w:rPr>
        <w:t>CEJA,</w:t>
      </w:r>
      <w:r w:rsidRPr="00AD55A4">
        <w:rPr>
          <w:i/>
          <w:iCs/>
          <w:szCs w:val="26"/>
        </w:rPr>
        <w:t xml:space="preserve"> </w:t>
      </w:r>
      <w:r w:rsidR="00237E56">
        <w:rPr>
          <w:i/>
          <w:iCs/>
          <w:szCs w:val="26"/>
        </w:rPr>
        <w:t>et al</w:t>
      </w:r>
      <w:r w:rsidRPr="00AD55A4">
        <w:rPr>
          <w:i/>
          <w:iCs/>
          <w:szCs w:val="26"/>
        </w:rPr>
        <w:t>.</w:t>
      </w:r>
      <w:r w:rsidR="00345511">
        <w:t xml:space="preserve"> states that the groups should </w:t>
      </w:r>
      <w:r w:rsidRPr="0011333B" w:rsidR="00345511">
        <w:t>include</w:t>
      </w:r>
      <w:r w:rsidR="00345511">
        <w:t xml:space="preserve"> communities whose </w:t>
      </w:r>
      <w:r w:rsidR="00CD6542">
        <w:t xml:space="preserve">median </w:t>
      </w:r>
      <w:r w:rsidR="00345511">
        <w:t>income is less than 60</w:t>
      </w:r>
      <w:r w:rsidR="00405FF8">
        <w:t> percent</w:t>
      </w:r>
      <w:r w:rsidR="00345511">
        <w:t xml:space="preserve"> of statewide </w:t>
      </w:r>
      <w:r w:rsidR="00CD6542">
        <w:t xml:space="preserve">median </w:t>
      </w:r>
      <w:r w:rsidR="00345511">
        <w:t>income, communities in the 25</w:t>
      </w:r>
      <w:r w:rsidR="00405FF8">
        <w:t> percent</w:t>
      </w:r>
      <w:r w:rsidR="00345511">
        <w:t xml:space="preserve"> most disadvantaged communities, communities in the top 5</w:t>
      </w:r>
      <w:r w:rsidR="00405FF8">
        <w:t> percent</w:t>
      </w:r>
      <w:r w:rsidR="00345511">
        <w:t xml:space="preserve"> of polluted census tracts according to CalEnviroScreen that do not have a ranking, and communities on lands belonging to a California Native American Tribe.</w:t>
      </w:r>
      <w:r w:rsidR="00345511">
        <w:rPr>
          <w:rStyle w:val="FootnoteReference"/>
        </w:rPr>
        <w:footnoteReference w:id="49"/>
      </w:r>
      <w:r w:rsidR="00345511">
        <w:t xml:space="preserve"> Cypress Creek recommends the groups should be </w:t>
      </w:r>
      <w:r w:rsidRPr="00B51A42" w:rsidR="00345511">
        <w:t>customers</w:t>
      </w:r>
      <w:r w:rsidR="00345511">
        <w:t xml:space="preserve"> from diverse locations (urban/rural/suburban/tribal or investor</w:t>
      </w:r>
      <w:r w:rsidR="003D6EF8">
        <w:noBreakHyphen/>
      </w:r>
      <w:r w:rsidR="00345511">
        <w:t>owned utility territories), of different income levels (low/medium/high), and of different residence types (renting/owning).</w:t>
      </w:r>
      <w:r w:rsidR="00345511">
        <w:rPr>
          <w:rStyle w:val="FootnoteReference"/>
        </w:rPr>
        <w:footnoteReference w:id="50"/>
      </w:r>
      <w:r w:rsidRPr="00420215" w:rsidR="00345511">
        <w:rPr>
          <w:rFonts w:ascii="Times New Roman" w:hAnsi="Times New Roman" w:cs="Times New Roman"/>
          <w:color w:val="000000"/>
          <w:sz w:val="23"/>
          <w:szCs w:val="23"/>
        </w:rPr>
        <w:t xml:space="preserve"> </w:t>
      </w:r>
      <w:r w:rsidR="000341A3">
        <w:rPr>
          <w:rFonts w:cs="Times New Roman"/>
          <w:color w:val="000000"/>
          <w:szCs w:val="26"/>
        </w:rPr>
        <w:t>Joint CCA</w:t>
      </w:r>
      <w:r w:rsidRPr="00420215" w:rsidR="00345511">
        <w:rPr>
          <w:rFonts w:cs="Times New Roman"/>
          <w:color w:val="000000"/>
          <w:szCs w:val="26"/>
        </w:rPr>
        <w:t xml:space="preserve">s </w:t>
      </w:r>
      <w:r w:rsidR="00345511">
        <w:rPr>
          <w:rFonts w:cs="Times New Roman"/>
          <w:color w:val="000000"/>
          <w:szCs w:val="26"/>
        </w:rPr>
        <w:t xml:space="preserve">propose </w:t>
      </w:r>
      <w:r w:rsidRPr="00420215" w:rsidR="00345511">
        <w:rPr>
          <w:rFonts w:cs="Times New Roman"/>
          <w:color w:val="000000"/>
          <w:szCs w:val="26"/>
        </w:rPr>
        <w:t>customer group</w:t>
      </w:r>
      <w:r w:rsidR="00345511">
        <w:rPr>
          <w:rFonts w:cs="Times New Roman"/>
          <w:color w:val="000000"/>
          <w:szCs w:val="26"/>
        </w:rPr>
        <w:t>s be</w:t>
      </w:r>
      <w:r w:rsidRPr="00420215" w:rsidR="00345511">
        <w:rPr>
          <w:rFonts w:cs="Times New Roman"/>
          <w:color w:val="000000"/>
          <w:szCs w:val="26"/>
        </w:rPr>
        <w:t xml:space="preserve"> residential customers in </w:t>
      </w:r>
      <w:r w:rsidR="00CD6542">
        <w:rPr>
          <w:rFonts w:cs="Times New Roman"/>
          <w:color w:val="000000"/>
          <w:szCs w:val="26"/>
        </w:rPr>
        <w:t>disadvantaged communities</w:t>
      </w:r>
      <w:r w:rsidR="00345511">
        <w:rPr>
          <w:rFonts w:cs="Times New Roman"/>
          <w:color w:val="000000"/>
          <w:szCs w:val="26"/>
        </w:rPr>
        <w:t>.</w:t>
      </w:r>
      <w:r w:rsidR="00345511">
        <w:rPr>
          <w:rStyle w:val="FootnoteReference"/>
        </w:rPr>
        <w:footnoteReference w:id="51"/>
      </w:r>
      <w:r w:rsidR="00345511">
        <w:rPr>
          <w:rFonts w:cs="Times New Roman"/>
          <w:color w:val="000000"/>
          <w:szCs w:val="26"/>
        </w:rPr>
        <w:t xml:space="preserve"> CCSA supports the groups to include residential, commercial, agricultural, and industrial (including renters, </w:t>
      </w:r>
      <w:r w:rsidR="00BB6127">
        <w:rPr>
          <w:rFonts w:cs="Times New Roman"/>
          <w:color w:val="000000"/>
          <w:szCs w:val="26"/>
        </w:rPr>
        <w:t xml:space="preserve">new </w:t>
      </w:r>
      <w:r w:rsidR="00345511">
        <w:rPr>
          <w:rFonts w:cs="Times New Roman"/>
          <w:color w:val="000000"/>
          <w:szCs w:val="26"/>
        </w:rPr>
        <w:t>home</w:t>
      </w:r>
      <w:r w:rsidR="00BB6127">
        <w:rPr>
          <w:rFonts w:cs="Times New Roman"/>
          <w:color w:val="000000"/>
          <w:szCs w:val="26"/>
        </w:rPr>
        <w:t xml:space="preserve"> </w:t>
      </w:r>
      <w:r w:rsidR="00345511">
        <w:rPr>
          <w:rFonts w:cs="Times New Roman"/>
          <w:color w:val="000000"/>
          <w:szCs w:val="26"/>
        </w:rPr>
        <w:t xml:space="preserve">buyers, and residents of </w:t>
      </w:r>
      <w:r w:rsidR="00CD6542">
        <w:rPr>
          <w:rFonts w:cs="Times New Roman"/>
          <w:color w:val="000000"/>
          <w:szCs w:val="26"/>
        </w:rPr>
        <w:t>disadvantaged communities</w:t>
      </w:r>
      <w:r w:rsidR="00345511">
        <w:rPr>
          <w:rFonts w:cs="Times New Roman"/>
          <w:color w:val="000000"/>
          <w:szCs w:val="26"/>
        </w:rPr>
        <w:t>).</w:t>
      </w:r>
      <w:r w:rsidR="00345511">
        <w:rPr>
          <w:rStyle w:val="FootnoteReference"/>
          <w:rFonts w:cs="Times New Roman"/>
          <w:color w:val="000000"/>
          <w:szCs w:val="26"/>
        </w:rPr>
        <w:footnoteReference w:id="52"/>
      </w:r>
      <w:r w:rsidR="00345511">
        <w:rPr>
          <w:rFonts w:cs="Times New Roman"/>
          <w:color w:val="000000"/>
          <w:szCs w:val="26"/>
        </w:rPr>
        <w:t xml:space="preserve"> </w:t>
      </w:r>
      <w:r w:rsidR="00345511">
        <w:t xml:space="preserve">CBIA recommends the evaluation consider whether </w:t>
      </w:r>
      <w:r w:rsidR="005D644E">
        <w:t xml:space="preserve">potential options </w:t>
      </w:r>
      <w:r w:rsidR="00345511">
        <w:t>serve builders.</w:t>
      </w:r>
      <w:r w:rsidR="00345511">
        <w:rPr>
          <w:rStyle w:val="FootnoteReference"/>
        </w:rPr>
        <w:footnoteReference w:id="53"/>
      </w:r>
    </w:p>
    <w:p w:rsidR="00345511" w:rsidP="00345511" w:rsidRDefault="00345511" w14:paraId="1E13FBF4" w14:textId="030EC7B8">
      <w:pPr>
        <w:pStyle w:val="Standard"/>
      </w:pPr>
      <w:bookmarkStart w:name="_Hlk137579403" w:id="69"/>
      <w:r>
        <w:t xml:space="preserve">As to measuring whether a </w:t>
      </w:r>
      <w:r w:rsidR="005D644E">
        <w:t xml:space="preserve">tariff </w:t>
      </w:r>
      <w:r w:rsidR="00440785">
        <w:t>“</w:t>
      </w:r>
      <w:r>
        <w:t>efficiently</w:t>
      </w:r>
      <w:r w:rsidR="00440785">
        <w:t>”</w:t>
      </w:r>
      <w:r>
        <w:t xml:space="preserve"> serves distinct customer groups, parties recommend a wide range of options. PG&amp;E proposes measuring </w:t>
      </w:r>
      <w:r>
        <w:lastRenderedPageBreak/>
        <w:t>the ratio of customer benefit to overall program cost.</w:t>
      </w:r>
      <w:r>
        <w:rPr>
          <w:rStyle w:val="FootnoteReference"/>
        </w:rPr>
        <w:footnoteReference w:id="54"/>
      </w:r>
      <w:r>
        <w:t xml:space="preserve"> SDG&amp;E endorses basing this on whether the </w:t>
      </w:r>
      <w:r w:rsidR="005D644E">
        <w:t xml:space="preserve">tariff </w:t>
      </w:r>
      <w:r>
        <w:t>can attract sufficient customer enrollment and developer interest, while supporting administration and marketing costs when compared to solar installation.</w:t>
      </w:r>
      <w:r>
        <w:rPr>
          <w:rStyle w:val="FootnoteReference"/>
        </w:rPr>
        <w:footnoteReference w:id="55"/>
      </w:r>
      <w:r>
        <w:t xml:space="preserve"> TURN recommends basing this on relative costs (administration plus any subsidies for subscribers), impacts on renewable development, number of historic/current subscribers, benefits to subscribers, and the extent </w:t>
      </w:r>
      <w:r w:rsidRPr="00C6587F">
        <w:t>that</w:t>
      </w:r>
      <w:r>
        <w:t xml:space="preserve"> G</w:t>
      </w:r>
      <w:r w:rsidR="005D644E">
        <w:t xml:space="preserve">reen </w:t>
      </w:r>
      <w:r>
        <w:t>A</w:t>
      </w:r>
      <w:r w:rsidR="005D644E">
        <w:t xml:space="preserve">ccess </w:t>
      </w:r>
      <w:r>
        <w:t>P</w:t>
      </w:r>
      <w:r w:rsidR="005D644E">
        <w:t>rogram tariff</w:t>
      </w:r>
      <w:r>
        <w:t>s can serve additional customers within distinct groups that are not enrolled.</w:t>
      </w:r>
      <w:r>
        <w:rPr>
          <w:rStyle w:val="FootnoteReference"/>
        </w:rPr>
        <w:footnoteReference w:id="56"/>
      </w:r>
    </w:p>
    <w:p w:rsidR="00BA58BF" w:rsidP="00345511" w:rsidRDefault="00345511" w14:paraId="31C4F5EC" w14:textId="59026F89">
      <w:pPr>
        <w:pStyle w:val="Standard"/>
      </w:pPr>
      <w:r>
        <w:t xml:space="preserve">Cypress Creek states that the </w:t>
      </w:r>
      <w:r w:rsidRPr="001E08E1">
        <w:t>criteria</w:t>
      </w:r>
      <w:r>
        <w:t xml:space="preserve"> should require providing broad access to renewables while guaranteeing participant savings, ensuring that tariff and program design support commercial development, minimizing impacts to non</w:t>
      </w:r>
      <w:r w:rsidR="003D6EF8">
        <w:noBreakHyphen/>
      </w:r>
      <w:r>
        <w:t xml:space="preserve">participants, and minimizing administrative burdens on participants, </w:t>
      </w:r>
      <w:r w:rsidR="00817DD6">
        <w:t>U</w:t>
      </w:r>
      <w:r w:rsidR="000E11A8">
        <w:t>tilities</w:t>
      </w:r>
      <w:r>
        <w:t>, and Commission Staff.</w:t>
      </w:r>
      <w:r>
        <w:rPr>
          <w:rStyle w:val="FootnoteReference"/>
        </w:rPr>
        <w:footnoteReference w:id="57"/>
      </w:r>
      <w:r>
        <w:t xml:space="preserve"> SEIA recommends defining the category as achieving a high subscription rate among more than one customer group through guaranteed bill credit savings.</w:t>
      </w:r>
      <w:r>
        <w:rPr>
          <w:rStyle w:val="FootnoteReference"/>
        </w:rPr>
        <w:footnoteReference w:id="58"/>
      </w:r>
      <w:r>
        <w:t xml:space="preserve"> PG&amp;E disagrees with SEIA as this would provide bill savings to a customer group without consideration for need, which could not be achieved without shifting costs to non</w:t>
      </w:r>
      <w:r w:rsidR="003D6EF8">
        <w:noBreakHyphen/>
      </w:r>
      <w:r>
        <w:t>participants.</w:t>
      </w:r>
      <w:r>
        <w:rPr>
          <w:rStyle w:val="FootnoteReference"/>
        </w:rPr>
        <w:footnoteReference w:id="59"/>
      </w:r>
      <w:r>
        <w:t xml:space="preserve"> PG&amp;E adds that this would conflict with </w:t>
      </w:r>
      <w:r w:rsidR="003627A8">
        <w:t>AB </w:t>
      </w:r>
      <w:r>
        <w:t>2316</w:t>
      </w:r>
      <w:r w:rsidR="00440785">
        <w:t>’</w:t>
      </w:r>
      <w:r>
        <w:t>s intent to provide renewable access through a cost</w:t>
      </w:r>
      <w:r w:rsidR="003D6EF8">
        <w:noBreakHyphen/>
      </w:r>
      <w:r>
        <w:t>effective program.</w:t>
      </w:r>
    </w:p>
    <w:p w:rsidR="00BA58BF" w:rsidP="00345511" w:rsidRDefault="000341A3" w14:paraId="680ED6D6" w14:textId="6A21FADE">
      <w:pPr>
        <w:pStyle w:val="Standard"/>
      </w:pPr>
      <w:r>
        <w:lastRenderedPageBreak/>
        <w:t>Joint CCA</w:t>
      </w:r>
      <w:r w:rsidR="00345511">
        <w:t>s state that the category should consider</w:t>
      </w:r>
      <w:r w:rsidR="005D30D7">
        <w:t xml:space="preserve">: </w:t>
      </w:r>
      <w:r w:rsidR="00345511">
        <w:rPr>
          <w:rFonts w:cs="Times New Roman"/>
          <w:color w:val="000000"/>
          <w:szCs w:val="26"/>
        </w:rPr>
        <w:t>w</w:t>
      </w:r>
      <w:r w:rsidRPr="00951A5C" w:rsidR="00345511">
        <w:rPr>
          <w:rFonts w:cs="Times New Roman"/>
          <w:color w:val="000000"/>
          <w:szCs w:val="26"/>
        </w:rPr>
        <w:t xml:space="preserve">hether the </w:t>
      </w:r>
      <w:r w:rsidR="005D644E">
        <w:rPr>
          <w:rFonts w:cs="Times New Roman"/>
          <w:color w:val="000000"/>
          <w:szCs w:val="26"/>
        </w:rPr>
        <w:t>tariff</w:t>
      </w:r>
      <w:r w:rsidRPr="00951A5C" w:rsidR="005D644E">
        <w:rPr>
          <w:rFonts w:cs="Times New Roman"/>
          <w:color w:val="000000"/>
          <w:szCs w:val="26"/>
        </w:rPr>
        <w:t xml:space="preserve"> </w:t>
      </w:r>
      <w:r w:rsidRPr="00951A5C" w:rsidR="00345511">
        <w:rPr>
          <w:rFonts w:cs="Times New Roman"/>
          <w:color w:val="000000"/>
          <w:szCs w:val="26"/>
        </w:rPr>
        <w:t>provide</w:t>
      </w:r>
      <w:r w:rsidR="00345511">
        <w:rPr>
          <w:rFonts w:cs="Times New Roman"/>
          <w:color w:val="000000"/>
          <w:szCs w:val="26"/>
        </w:rPr>
        <w:t>s</w:t>
      </w:r>
      <w:r w:rsidRPr="00951A5C" w:rsidR="00345511">
        <w:rPr>
          <w:rFonts w:cs="Times New Roman"/>
          <w:color w:val="000000"/>
          <w:szCs w:val="26"/>
        </w:rPr>
        <w:t xml:space="preserve"> customers access to 100</w:t>
      </w:r>
      <w:r w:rsidR="00405FF8">
        <w:rPr>
          <w:rFonts w:cs="Times New Roman"/>
          <w:color w:val="000000"/>
          <w:szCs w:val="26"/>
        </w:rPr>
        <w:t> percent</w:t>
      </w:r>
      <w:r w:rsidR="00345511">
        <w:rPr>
          <w:rFonts w:cs="Times New Roman"/>
          <w:color w:val="000000"/>
          <w:szCs w:val="26"/>
        </w:rPr>
        <w:t xml:space="preserve"> </w:t>
      </w:r>
      <w:r w:rsidRPr="00951A5C" w:rsidR="00345511">
        <w:rPr>
          <w:rFonts w:cs="Times New Roman"/>
          <w:color w:val="000000"/>
          <w:szCs w:val="26"/>
        </w:rPr>
        <w:t>renewable resources</w:t>
      </w:r>
      <w:r w:rsidR="00345511">
        <w:rPr>
          <w:rFonts w:cs="Times New Roman"/>
          <w:color w:val="000000"/>
          <w:szCs w:val="26"/>
        </w:rPr>
        <w:t xml:space="preserve"> with success determined</w:t>
      </w:r>
      <w:r w:rsidRPr="00951A5C" w:rsidR="00345511">
        <w:rPr>
          <w:rFonts w:cs="Times New Roman"/>
          <w:color w:val="000000"/>
          <w:szCs w:val="26"/>
        </w:rPr>
        <w:t xml:space="preserve"> if at least 80</w:t>
      </w:r>
      <w:r w:rsidR="00405FF8">
        <w:rPr>
          <w:rFonts w:cs="Times New Roman"/>
          <w:color w:val="000000"/>
          <w:szCs w:val="26"/>
        </w:rPr>
        <w:t> percent</w:t>
      </w:r>
      <w:r w:rsidRPr="00951A5C" w:rsidR="00345511">
        <w:rPr>
          <w:rFonts w:cs="Times New Roman"/>
          <w:color w:val="000000"/>
          <w:szCs w:val="26"/>
        </w:rPr>
        <w:t xml:space="preserve"> of capacity</w:t>
      </w:r>
      <w:r w:rsidR="00345511">
        <w:rPr>
          <w:rFonts w:cs="Times New Roman"/>
          <w:color w:val="000000"/>
          <w:szCs w:val="26"/>
        </w:rPr>
        <w:t xml:space="preserve"> is procured</w:t>
      </w:r>
      <w:r w:rsidRPr="00951A5C" w:rsidR="00345511">
        <w:rPr>
          <w:rFonts w:cs="Times New Roman"/>
          <w:color w:val="000000"/>
          <w:szCs w:val="26"/>
        </w:rPr>
        <w:t xml:space="preserve"> </w:t>
      </w:r>
      <w:r w:rsidR="00345511">
        <w:rPr>
          <w:rFonts w:cs="Times New Roman"/>
          <w:color w:val="000000"/>
          <w:szCs w:val="26"/>
        </w:rPr>
        <w:t>in</w:t>
      </w:r>
      <w:r w:rsidRPr="00951A5C" w:rsidR="00345511">
        <w:rPr>
          <w:rFonts w:cs="Times New Roman"/>
          <w:color w:val="000000"/>
          <w:szCs w:val="26"/>
        </w:rPr>
        <w:t xml:space="preserve"> </w:t>
      </w:r>
      <w:r w:rsidR="00345511">
        <w:rPr>
          <w:rFonts w:cs="Times New Roman"/>
          <w:color w:val="000000"/>
          <w:szCs w:val="26"/>
        </w:rPr>
        <w:t>five</w:t>
      </w:r>
      <w:r w:rsidRPr="00951A5C" w:rsidR="00345511">
        <w:rPr>
          <w:rFonts w:cs="Times New Roman"/>
          <w:color w:val="000000"/>
          <w:szCs w:val="26"/>
        </w:rPr>
        <w:t xml:space="preserve"> years; and</w:t>
      </w:r>
      <w:r w:rsidR="00345511">
        <w:rPr>
          <w:rFonts w:cs="Times New Roman"/>
          <w:color w:val="000000"/>
          <w:szCs w:val="26"/>
        </w:rPr>
        <w:t xml:space="preserve"> w</w:t>
      </w:r>
      <w:r w:rsidRPr="00951A5C" w:rsidR="00345511">
        <w:rPr>
          <w:rFonts w:cs="Times New Roman"/>
          <w:color w:val="000000"/>
          <w:szCs w:val="26"/>
        </w:rPr>
        <w:t xml:space="preserve">hether bill savings </w:t>
      </w:r>
      <w:r w:rsidR="00345511">
        <w:rPr>
          <w:rFonts w:cs="Times New Roman"/>
          <w:color w:val="000000"/>
          <w:szCs w:val="26"/>
        </w:rPr>
        <w:t xml:space="preserve">are efficiently enabled </w:t>
      </w:r>
      <w:r w:rsidRPr="00951A5C" w:rsidR="00345511">
        <w:rPr>
          <w:rFonts w:cs="Times New Roman"/>
          <w:color w:val="000000"/>
          <w:szCs w:val="26"/>
        </w:rPr>
        <w:t>for low</w:t>
      </w:r>
      <w:r w:rsidR="003D6EF8">
        <w:rPr>
          <w:rFonts w:cs="Times New Roman"/>
          <w:color w:val="000000"/>
          <w:szCs w:val="26"/>
        </w:rPr>
        <w:noBreakHyphen/>
      </w:r>
      <w:r w:rsidRPr="00951A5C" w:rsidR="00345511">
        <w:rPr>
          <w:rFonts w:cs="Times New Roman"/>
          <w:color w:val="000000"/>
          <w:szCs w:val="26"/>
        </w:rPr>
        <w:t>income customers in DACs</w:t>
      </w:r>
      <w:r w:rsidR="00345511">
        <w:rPr>
          <w:rFonts w:cs="Times New Roman"/>
          <w:color w:val="000000"/>
          <w:szCs w:val="26"/>
        </w:rPr>
        <w:t xml:space="preserve"> with success determined</w:t>
      </w:r>
      <w:r w:rsidRPr="00951A5C" w:rsidR="00345511">
        <w:rPr>
          <w:rFonts w:cs="Times New Roman"/>
          <w:color w:val="000000"/>
          <w:szCs w:val="26"/>
        </w:rPr>
        <w:t xml:space="preserve"> if it provides a 20</w:t>
      </w:r>
      <w:r w:rsidR="00405FF8">
        <w:rPr>
          <w:rFonts w:cs="Times New Roman"/>
          <w:color w:val="000000"/>
          <w:szCs w:val="26"/>
        </w:rPr>
        <w:t> percent</w:t>
      </w:r>
      <w:r w:rsidRPr="00951A5C" w:rsidR="00345511">
        <w:rPr>
          <w:rFonts w:cs="Times New Roman"/>
          <w:color w:val="000000"/>
          <w:szCs w:val="26"/>
        </w:rPr>
        <w:t xml:space="preserve"> discount.</w:t>
      </w:r>
      <w:r w:rsidR="00345511">
        <w:rPr>
          <w:rStyle w:val="FootnoteReference"/>
        </w:rPr>
        <w:footnoteReference w:id="60"/>
      </w:r>
      <w:r w:rsidR="00345511">
        <w:rPr>
          <w:rFonts w:cs="Times New Roman"/>
          <w:color w:val="000000"/>
          <w:szCs w:val="26"/>
        </w:rPr>
        <w:t xml:space="preserve"> CCSA proposes that the tariff should be open to bundled/unbundled customers that link</w:t>
      </w:r>
      <w:r w:rsidR="00BB6127">
        <w:rPr>
          <w:rFonts w:cs="Times New Roman"/>
          <w:color w:val="000000"/>
          <w:szCs w:val="26"/>
        </w:rPr>
        <w:t>s</w:t>
      </w:r>
      <w:r w:rsidR="00345511">
        <w:rPr>
          <w:rFonts w:cs="Times New Roman"/>
          <w:color w:val="000000"/>
          <w:szCs w:val="26"/>
        </w:rPr>
        <w:t xml:space="preserve"> bill credit </w:t>
      </w:r>
      <w:r w:rsidR="00BB6127">
        <w:rPr>
          <w:rFonts w:cs="Times New Roman"/>
          <w:color w:val="000000"/>
          <w:szCs w:val="26"/>
        </w:rPr>
        <w:t>compensation</w:t>
      </w:r>
      <w:r w:rsidR="00345511">
        <w:rPr>
          <w:rFonts w:cs="Times New Roman"/>
          <w:color w:val="000000"/>
          <w:szCs w:val="26"/>
        </w:rPr>
        <w:t xml:space="preserve"> to the value a facility provides to the grid.</w:t>
      </w:r>
      <w:r w:rsidR="00345511">
        <w:rPr>
          <w:rStyle w:val="FootnoteReference"/>
          <w:rFonts w:cs="Times New Roman"/>
          <w:color w:val="000000"/>
          <w:szCs w:val="26"/>
        </w:rPr>
        <w:footnoteReference w:id="61"/>
      </w:r>
      <w:r w:rsidR="00345511">
        <w:t xml:space="preserve"> SCE recommends identifying the green power needs of each customer group, offering at least one program that addresses the needs, and minimizing the need for additional costs or resources (such as additional procurement).</w:t>
      </w:r>
      <w:r w:rsidR="00345511">
        <w:rPr>
          <w:rStyle w:val="FootnoteReference"/>
        </w:rPr>
        <w:footnoteReference w:id="62"/>
      </w:r>
    </w:p>
    <w:p w:rsidR="00345511" w:rsidP="001B1E90" w:rsidRDefault="00345511" w14:paraId="140E6CB8" w14:textId="6C1B22B1">
      <w:pPr>
        <w:pStyle w:val="Heading4"/>
      </w:pPr>
      <w:bookmarkStart w:name="_Toc137631925" w:id="70"/>
      <w:bookmarkStart w:name="_Toc159551153" w:id="71"/>
      <w:bookmarkStart w:name="_Toc168559273" w:id="72"/>
      <w:bookmarkEnd w:id="69"/>
      <w:r>
        <w:t>Discussion</w:t>
      </w:r>
      <w:bookmarkEnd w:id="70"/>
      <w:bookmarkEnd w:id="71"/>
      <w:bookmarkEnd w:id="72"/>
    </w:p>
    <w:p w:rsidR="00345511" w:rsidP="00345511" w:rsidRDefault="00345511" w14:paraId="086D8CD0" w14:textId="5E1CDE1C">
      <w:pPr>
        <w:pStyle w:val="Standard"/>
      </w:pPr>
      <w:r>
        <w:t xml:space="preserve">There is no consensus among parties as to how to define distinct customer groups, as parties put forth a wide range of proposals. </w:t>
      </w:r>
      <w:r w:rsidR="00B81874">
        <w:t xml:space="preserve">This decision </w:t>
      </w:r>
      <w:r>
        <w:t>note</w:t>
      </w:r>
      <w:r w:rsidR="00B81874">
        <w:t>s</w:t>
      </w:r>
      <w:r>
        <w:t xml:space="preserve"> that the existing </w:t>
      </w:r>
      <w:r w:rsidR="005D644E">
        <w:t xml:space="preserve">tariffs </w:t>
      </w:r>
      <w:r>
        <w:t xml:space="preserve">were established based on different requirements and targeted customer groups, as required by statute. That is, </w:t>
      </w:r>
      <w:r w:rsidR="003627A8">
        <w:t>SB </w:t>
      </w:r>
      <w:r>
        <w:t>43 established the implementation requirements of the G</w:t>
      </w:r>
      <w:r w:rsidR="00FA0994">
        <w:t xml:space="preserve">reen </w:t>
      </w:r>
      <w:r>
        <w:t>T</w:t>
      </w:r>
      <w:r w:rsidR="00FA0994">
        <w:t>ariff</w:t>
      </w:r>
      <w:r>
        <w:t xml:space="preserve"> and ECR programs, and </w:t>
      </w:r>
      <w:r w:rsidR="003627A8">
        <w:t>AB </w:t>
      </w:r>
      <w:r>
        <w:t>327 directed the development of alternatives to increase adoption of renewable generation in DACs, resulting in the CSGT and DAC</w:t>
      </w:r>
      <w:r w:rsidR="003D6EF8">
        <w:noBreakHyphen/>
      </w:r>
      <w:r>
        <w:t xml:space="preserve">GT programs. Thus, </w:t>
      </w:r>
      <w:r w:rsidR="00B81874">
        <w:t xml:space="preserve">the Commission </w:t>
      </w:r>
      <w:r>
        <w:t>must consider that the originating legislation required that the current programs target specific customer groups.</w:t>
      </w:r>
    </w:p>
    <w:p w:rsidR="00345511" w:rsidP="00345511" w:rsidRDefault="00345511" w14:paraId="6DBFC35A" w14:textId="18F2CA37">
      <w:pPr>
        <w:pStyle w:val="Standard"/>
      </w:pPr>
      <w:r>
        <w:t xml:space="preserve">For the purposes of this goal, </w:t>
      </w:r>
      <w:r w:rsidR="00B81874">
        <w:t xml:space="preserve">the Commission </w:t>
      </w:r>
      <w:r>
        <w:t>deem</w:t>
      </w:r>
      <w:r w:rsidR="00B81874">
        <w:t>s</w:t>
      </w:r>
      <w:r>
        <w:t xml:space="preserve"> it unnecessary to expressly define customer groups. Rather, the Commission finds it appropriate to consider the distinct customer groups that are intended to be targeted by a </w:t>
      </w:r>
      <w:r>
        <w:lastRenderedPageBreak/>
        <w:t xml:space="preserve">respective program, and then determine whether the program efficiently serves </w:t>
      </w:r>
      <w:r w:rsidR="00052F28">
        <w:t xml:space="preserve">those </w:t>
      </w:r>
      <w:r>
        <w:t>distinct customer group</w:t>
      </w:r>
      <w:r w:rsidR="00052F28">
        <w:t>s</w:t>
      </w:r>
      <w:r>
        <w:t>.</w:t>
      </w:r>
    </w:p>
    <w:p w:rsidR="00345511" w:rsidP="00345511" w:rsidRDefault="00345511" w14:paraId="70B651F2" w14:textId="4FB0A216">
      <w:pPr>
        <w:pStyle w:val="Standard"/>
      </w:pPr>
      <w:r>
        <w:t xml:space="preserve">To determine whether a program </w:t>
      </w:r>
      <w:r w:rsidR="00440785">
        <w:t>“</w:t>
      </w:r>
      <w:r>
        <w:t>efficiently serves</w:t>
      </w:r>
      <w:r w:rsidR="00440785">
        <w:t>”</w:t>
      </w:r>
      <w:r>
        <w:t xml:space="preserve"> distinct customer groups, there was again no consensus among parties as to how to define this goal. However, </w:t>
      </w:r>
      <w:r w:rsidR="00052F28">
        <w:t>multiple</w:t>
      </w:r>
      <w:r w:rsidRPr="00ED43B6" w:rsidR="00052F28">
        <w:t xml:space="preserve"> </w:t>
      </w:r>
      <w:r w:rsidRPr="00ED43B6">
        <w:t>parties</w:t>
      </w:r>
      <w:r>
        <w:t xml:space="preserve">, </w:t>
      </w:r>
      <w:r w:rsidRPr="00F46217">
        <w:t>including</w:t>
      </w:r>
      <w:r>
        <w:t xml:space="preserve"> </w:t>
      </w:r>
      <w:r w:rsidRPr="00F46217">
        <w:t>PG&amp;E, SDG</w:t>
      </w:r>
      <w:r>
        <w:t>&amp;</w:t>
      </w:r>
      <w:r w:rsidRPr="00F46217">
        <w:t xml:space="preserve">E, </w:t>
      </w:r>
      <w:r w:rsidR="00052F28">
        <w:t xml:space="preserve">and </w:t>
      </w:r>
      <w:r w:rsidRPr="00F46217">
        <w:t>TURN</w:t>
      </w:r>
      <w:r>
        <w:t>,</w:t>
      </w:r>
      <w:r w:rsidRPr="00ED43B6">
        <w:t xml:space="preserve"> </w:t>
      </w:r>
      <w:r>
        <w:t xml:space="preserve">advocate </w:t>
      </w:r>
      <w:r w:rsidR="00052F28">
        <w:t>that</w:t>
      </w:r>
      <w:r w:rsidRPr="00ED43B6" w:rsidR="00052F28">
        <w:t xml:space="preserve"> </w:t>
      </w:r>
      <w:r w:rsidR="00B81874">
        <w:t>the Commission</w:t>
      </w:r>
      <w:r w:rsidR="00052F28">
        <w:t xml:space="preserve"> consider</w:t>
      </w:r>
      <w:r w:rsidR="00B81874">
        <w:t>s</w:t>
      </w:r>
      <w:r>
        <w:t xml:space="preserve"> whether </w:t>
      </w:r>
      <w:r w:rsidR="00052F28">
        <w:t xml:space="preserve">a program has </w:t>
      </w:r>
      <w:r w:rsidRPr="00AA6E5E">
        <w:t>s</w:t>
      </w:r>
      <w:r>
        <w:t xml:space="preserve">ufficient </w:t>
      </w:r>
      <w:r w:rsidRPr="00427742">
        <w:t>customer enrollment as compared with</w:t>
      </w:r>
      <w:r w:rsidRPr="00AA6E5E">
        <w:t xml:space="preserve"> </w:t>
      </w:r>
      <w:r>
        <w:t xml:space="preserve">a </w:t>
      </w:r>
      <w:r w:rsidRPr="00AA6E5E">
        <w:t>program</w:t>
      </w:r>
      <w:r w:rsidR="00440785">
        <w:t>’</w:t>
      </w:r>
      <w:r>
        <w:t>s</w:t>
      </w:r>
      <w:r w:rsidRPr="00AA6E5E">
        <w:t xml:space="preserve"> </w:t>
      </w:r>
      <w:r>
        <w:t xml:space="preserve">overall </w:t>
      </w:r>
      <w:r w:rsidRPr="00AA6E5E">
        <w:t>cost</w:t>
      </w:r>
      <w:r>
        <w:t xml:space="preserve"> </w:t>
      </w:r>
      <w:r w:rsidR="00052F28">
        <w:t>(</w:t>
      </w:r>
      <w:r>
        <w:t>including administration costs, marketing costs, or subscriber subsidies</w:t>
      </w:r>
      <w:r w:rsidR="00052F28">
        <w:t>)</w:t>
      </w:r>
      <w:r>
        <w:t xml:space="preserve">. </w:t>
      </w:r>
      <w:r w:rsidRPr="00321A79">
        <w:t xml:space="preserve">The Commission finds </w:t>
      </w:r>
      <w:r>
        <w:t xml:space="preserve">this to be a reasonable measure of whether a program efficiently serves a distinct customer group. </w:t>
      </w:r>
      <w:r w:rsidRPr="00EB667D">
        <w:t>Accordingly</w:t>
      </w:r>
      <w:r>
        <w:t>,</w:t>
      </w:r>
      <w:r w:rsidRPr="00EB667D">
        <w:t xml:space="preserve"> </w:t>
      </w:r>
      <w:r>
        <w:t xml:space="preserve">whether a program </w:t>
      </w:r>
      <w:r w:rsidR="00440785">
        <w:t>“</w:t>
      </w:r>
      <w:r>
        <w:t>efficiently serves</w:t>
      </w:r>
      <w:r w:rsidR="00440785">
        <w:t>”</w:t>
      </w:r>
      <w:r>
        <w:t xml:space="preserve"> distinct customer groups will be evaluated by</w:t>
      </w:r>
      <w:bookmarkStart w:name="_Hlk143248009" w:id="73"/>
      <w:r>
        <w:t xml:space="preserve"> </w:t>
      </w:r>
      <w:r w:rsidRPr="00F25CDB">
        <w:t>balancing sufficient enrollment by customer group</w:t>
      </w:r>
      <w:r>
        <w:t>s</w:t>
      </w:r>
      <w:r w:rsidRPr="00F25CDB">
        <w:t xml:space="preserve"> with </w:t>
      </w:r>
      <w:r>
        <w:t>a</w:t>
      </w:r>
      <w:r w:rsidRPr="00F25CDB">
        <w:t xml:space="preserve"> program</w:t>
      </w:r>
      <w:r w:rsidR="00440785">
        <w:t>’</w:t>
      </w:r>
      <w:r w:rsidRPr="00F25CDB">
        <w:t>s overall costs</w:t>
      </w:r>
      <w:r w:rsidR="005565B1">
        <w:t xml:space="preserve"> (</w:t>
      </w:r>
      <w:r w:rsidRPr="009038F9">
        <w:t>including administration costs, marketing costs, non</w:t>
      </w:r>
      <w:r w:rsidR="003D6EF8">
        <w:noBreakHyphen/>
      </w:r>
      <w:r w:rsidRPr="009038F9">
        <w:t>participant costs, or subsidies to subscribers).</w:t>
      </w:r>
      <w:bookmarkEnd w:id="73"/>
    </w:p>
    <w:p w:rsidR="00345511" w:rsidP="001B1E90" w:rsidRDefault="00345511" w14:paraId="1D72B3AB" w14:textId="77777777">
      <w:pPr>
        <w:pStyle w:val="Heading3"/>
      </w:pPr>
      <w:bookmarkStart w:name="_Toc137631926" w:id="74"/>
      <w:bookmarkStart w:name="_Toc159551154" w:id="75"/>
      <w:bookmarkStart w:name="_Toc168559274" w:id="76"/>
      <w:r>
        <w:t>Minimizes Duplicative Offerings</w:t>
      </w:r>
      <w:bookmarkEnd w:id="74"/>
      <w:bookmarkEnd w:id="75"/>
      <w:bookmarkEnd w:id="76"/>
    </w:p>
    <w:p w:rsidRPr="00C75048" w:rsidR="00345511" w:rsidP="00345511" w:rsidRDefault="00345511" w14:paraId="5463593F" w14:textId="720CC933">
      <w:pPr>
        <w:pStyle w:val="Standard"/>
      </w:pPr>
      <w:r>
        <w:t xml:space="preserve">The second goal under </w:t>
      </w:r>
      <w:r w:rsidR="00440785">
        <w:t>Pub. Util.</w:t>
      </w:r>
      <w:r w:rsidR="00FA0994">
        <w:t xml:space="preserve"> Code </w:t>
      </w:r>
      <w:r w:rsidR="003627A8">
        <w:t>Section </w:t>
      </w:r>
      <w:r w:rsidR="00FA0994">
        <w:t>769.3</w:t>
      </w:r>
      <w:r>
        <w:t xml:space="preserve">.3(b)(1)(A) for evaluating each customer renewable energy subscription program is to </w:t>
      </w:r>
      <w:r w:rsidR="00440785">
        <w:t>“</w:t>
      </w:r>
      <w:r>
        <w:t>[m]inimize duplicative offerings.</w:t>
      </w:r>
      <w:r w:rsidR="00440785">
        <w:t>”</w:t>
      </w:r>
    </w:p>
    <w:p w:rsidR="00BA58BF" w:rsidP="00345511" w:rsidRDefault="00345511" w14:paraId="790B7300" w14:textId="7C766E50">
      <w:pPr>
        <w:pStyle w:val="Standard"/>
      </w:pPr>
      <w:r>
        <w:t>CCSA, PG&amp;E, SEIA, SCE, and TURN recommend generally that this category assess whether a program offering overlaps with similar offerings to the same group of customers.</w:t>
      </w:r>
      <w:r>
        <w:rPr>
          <w:rStyle w:val="FootnoteReference"/>
        </w:rPr>
        <w:footnoteReference w:id="63"/>
      </w:r>
      <w:r>
        <w:t xml:space="preserve"> PG&amp;E states that each G</w:t>
      </w:r>
      <w:r w:rsidR="00052F28">
        <w:t xml:space="preserve">reen </w:t>
      </w:r>
      <w:r>
        <w:t>A</w:t>
      </w:r>
      <w:r w:rsidR="00052F28">
        <w:t xml:space="preserve">ccess </w:t>
      </w:r>
      <w:r>
        <w:t>P</w:t>
      </w:r>
      <w:r w:rsidR="00052F28">
        <w:t>rogram tariff</w:t>
      </w:r>
      <w:r>
        <w:t xml:space="preserve"> should serve a clear and separate purpose and any overlap should be incidental. SCE suggests identifying whether the needs of each customer group can be addressed through one program or require multiple programs.</w:t>
      </w:r>
    </w:p>
    <w:p w:rsidRPr="00536BFA" w:rsidR="00345511" w:rsidP="00345511" w:rsidRDefault="00345511" w14:paraId="45ED31F9" w14:textId="077AD48D">
      <w:pPr>
        <w:pStyle w:val="Standard"/>
      </w:pPr>
      <w:r>
        <w:lastRenderedPageBreak/>
        <w:t>Cypress Creek states that a duplicative offering should be measured by whether a program targets customer groups not served by other renewable programs and enables new renewable projects to come online that have historically been missing.</w:t>
      </w:r>
      <w:r>
        <w:rPr>
          <w:rStyle w:val="FootnoteReference"/>
        </w:rPr>
        <w:footnoteReference w:id="64"/>
      </w:r>
      <w:r>
        <w:t xml:space="preserve"> </w:t>
      </w:r>
      <w:r w:rsidR="000341A3">
        <w:t>Joint CCA</w:t>
      </w:r>
      <w:r w:rsidRPr="00571A5B">
        <w:t>s</w:t>
      </w:r>
      <w:r>
        <w:t xml:space="preserve"> recommend considering</w:t>
      </w:r>
      <w:r w:rsidRPr="00571A5B">
        <w:rPr>
          <w:rFonts w:cs="Times New Roman"/>
          <w:color w:val="000000"/>
          <w:szCs w:val="26"/>
        </w:rPr>
        <w:t xml:space="preserve"> whether the programs complement each other</w:t>
      </w:r>
      <w:r>
        <w:rPr>
          <w:rFonts w:cs="Times New Roman"/>
          <w:color w:val="000000"/>
          <w:szCs w:val="26"/>
        </w:rPr>
        <w:t>, other ratepayer</w:t>
      </w:r>
      <w:r w:rsidR="003D6EF8">
        <w:rPr>
          <w:rFonts w:cs="Times New Roman"/>
          <w:color w:val="000000"/>
          <w:szCs w:val="26"/>
        </w:rPr>
        <w:noBreakHyphen/>
      </w:r>
      <w:r>
        <w:rPr>
          <w:rFonts w:cs="Times New Roman"/>
          <w:color w:val="000000"/>
          <w:szCs w:val="26"/>
        </w:rPr>
        <w:t>funded renewable programs targeting low</w:t>
      </w:r>
      <w:r w:rsidR="003D6EF8">
        <w:rPr>
          <w:rFonts w:cs="Times New Roman"/>
          <w:color w:val="000000"/>
          <w:szCs w:val="26"/>
        </w:rPr>
        <w:noBreakHyphen/>
      </w:r>
      <w:r>
        <w:rPr>
          <w:rFonts w:cs="Times New Roman"/>
          <w:color w:val="000000"/>
          <w:szCs w:val="26"/>
        </w:rPr>
        <w:t>income customers, or other ratepayer</w:t>
      </w:r>
      <w:r w:rsidR="003D6EF8">
        <w:rPr>
          <w:rFonts w:cs="Times New Roman"/>
          <w:color w:val="000000"/>
          <w:szCs w:val="26"/>
        </w:rPr>
        <w:noBreakHyphen/>
      </w:r>
      <w:r>
        <w:rPr>
          <w:rFonts w:cs="Times New Roman"/>
          <w:color w:val="000000"/>
          <w:szCs w:val="26"/>
        </w:rPr>
        <w:t>funded community</w:t>
      </w:r>
      <w:r w:rsidR="003D6EF8">
        <w:rPr>
          <w:rFonts w:cs="Times New Roman"/>
          <w:color w:val="000000"/>
          <w:szCs w:val="26"/>
        </w:rPr>
        <w:noBreakHyphen/>
      </w:r>
      <w:r>
        <w:rPr>
          <w:rFonts w:cs="Times New Roman"/>
          <w:color w:val="000000"/>
          <w:szCs w:val="26"/>
        </w:rPr>
        <w:t>solar program offerings.</w:t>
      </w:r>
      <w:r>
        <w:rPr>
          <w:rStyle w:val="FootnoteReference"/>
        </w:rPr>
        <w:footnoteReference w:id="65"/>
      </w:r>
      <w:r>
        <w:t xml:space="preserve"> </w:t>
      </w:r>
      <w:r>
        <w:rPr>
          <w:rFonts w:cs="Times New Roman"/>
          <w:color w:val="000000"/>
          <w:szCs w:val="26"/>
        </w:rPr>
        <w:t>SDG&amp;E notes that each program</w:t>
      </w:r>
      <w:r w:rsidR="00440785">
        <w:rPr>
          <w:rFonts w:cs="Times New Roman"/>
          <w:color w:val="000000"/>
          <w:szCs w:val="26"/>
        </w:rPr>
        <w:t>’</w:t>
      </w:r>
      <w:r>
        <w:rPr>
          <w:rFonts w:cs="Times New Roman"/>
          <w:color w:val="000000"/>
          <w:szCs w:val="26"/>
        </w:rPr>
        <w:t>s authorizing Commission proceeding addressed the need to avoid duplication at that time and therefore, each program targets different customer types.</w:t>
      </w:r>
      <w:r>
        <w:rPr>
          <w:rStyle w:val="FootnoteReference"/>
          <w:rFonts w:cs="Times New Roman"/>
          <w:color w:val="000000"/>
          <w:szCs w:val="26"/>
        </w:rPr>
        <w:footnoteReference w:id="66"/>
      </w:r>
      <w:r>
        <w:rPr>
          <w:rFonts w:cs="Times New Roman"/>
          <w:color w:val="000000"/>
          <w:szCs w:val="26"/>
        </w:rPr>
        <w:t xml:space="preserve"> SDG&amp;E states that CSGT and DAC</w:t>
      </w:r>
      <w:r w:rsidR="003D6EF8">
        <w:rPr>
          <w:rFonts w:cs="Times New Roman"/>
          <w:color w:val="000000"/>
          <w:szCs w:val="26"/>
        </w:rPr>
        <w:noBreakHyphen/>
      </w:r>
      <w:r>
        <w:rPr>
          <w:rFonts w:cs="Times New Roman"/>
          <w:color w:val="000000"/>
          <w:szCs w:val="26"/>
        </w:rPr>
        <w:t>GT were specifically targeted to customers in DACs, and GTSR was targeted at customers that could not otherwise install solar in the territory.</w:t>
      </w:r>
    </w:p>
    <w:p w:rsidRPr="009A78A7" w:rsidR="00345511" w:rsidP="00345511" w:rsidRDefault="00345511" w14:paraId="37A2E4F1" w14:textId="7A9C559F">
      <w:pPr>
        <w:pStyle w:val="Standard"/>
        <w:rPr>
          <w:rFonts w:cs="Times New Roman"/>
          <w:color w:val="000000"/>
          <w:szCs w:val="26"/>
        </w:rPr>
      </w:pPr>
      <w:r>
        <w:rPr>
          <w:rFonts w:cs="Times New Roman"/>
          <w:color w:val="000000"/>
          <w:szCs w:val="26"/>
        </w:rPr>
        <w:t>In considering parties</w:t>
      </w:r>
      <w:r w:rsidR="00440785">
        <w:rPr>
          <w:rFonts w:cs="Times New Roman"/>
          <w:color w:val="000000"/>
          <w:szCs w:val="26"/>
        </w:rPr>
        <w:t>’</w:t>
      </w:r>
      <w:r>
        <w:rPr>
          <w:rFonts w:cs="Times New Roman"/>
          <w:color w:val="000000"/>
          <w:szCs w:val="26"/>
        </w:rPr>
        <w:t xml:space="preserve"> proposals, the Commission agrees with parties that propose defining </w:t>
      </w:r>
      <w:r w:rsidR="00440785">
        <w:rPr>
          <w:rFonts w:cs="Times New Roman"/>
          <w:color w:val="000000"/>
          <w:szCs w:val="26"/>
        </w:rPr>
        <w:t>“</w:t>
      </w:r>
      <w:r>
        <w:rPr>
          <w:rFonts w:cs="Times New Roman"/>
          <w:color w:val="000000"/>
          <w:szCs w:val="26"/>
        </w:rPr>
        <w:t>minimizing duplicative offerings</w:t>
      </w:r>
      <w:r w:rsidR="00440785">
        <w:rPr>
          <w:rFonts w:cs="Times New Roman"/>
          <w:color w:val="000000"/>
          <w:szCs w:val="26"/>
        </w:rPr>
        <w:t>”</w:t>
      </w:r>
      <w:r>
        <w:rPr>
          <w:rFonts w:cs="Times New Roman"/>
          <w:color w:val="000000"/>
          <w:szCs w:val="26"/>
        </w:rPr>
        <w:t xml:space="preserve"> as </w:t>
      </w:r>
      <w:bookmarkStart w:name="_Hlk143248557" w:id="77"/>
      <w:r>
        <w:rPr>
          <w:rFonts w:cs="Times New Roman"/>
          <w:color w:val="000000"/>
          <w:szCs w:val="26"/>
        </w:rPr>
        <w:t>whether a program offering overlaps with similar offerings to the same customer groups</w:t>
      </w:r>
      <w:bookmarkEnd w:id="77"/>
      <w:r>
        <w:rPr>
          <w:rFonts w:cs="Times New Roman"/>
          <w:color w:val="000000"/>
          <w:szCs w:val="26"/>
        </w:rPr>
        <w:t xml:space="preserve">. </w:t>
      </w:r>
      <w:r w:rsidR="00B81874">
        <w:rPr>
          <w:rFonts w:cs="Times New Roman"/>
          <w:color w:val="000000"/>
          <w:szCs w:val="26"/>
        </w:rPr>
        <w:t xml:space="preserve">The Commission </w:t>
      </w:r>
      <w:r>
        <w:rPr>
          <w:rFonts w:cs="Times New Roman"/>
          <w:color w:val="000000"/>
          <w:szCs w:val="26"/>
        </w:rPr>
        <w:t>find</w:t>
      </w:r>
      <w:r w:rsidR="00B81874">
        <w:rPr>
          <w:rFonts w:cs="Times New Roman"/>
          <w:color w:val="000000"/>
          <w:szCs w:val="26"/>
        </w:rPr>
        <w:t>s</w:t>
      </w:r>
      <w:r>
        <w:rPr>
          <w:rFonts w:cs="Times New Roman"/>
          <w:color w:val="000000"/>
          <w:szCs w:val="26"/>
        </w:rPr>
        <w:t xml:space="preserve"> this to be a reasonable definition, and accordingly, adopt</w:t>
      </w:r>
      <w:r w:rsidR="00B81874">
        <w:rPr>
          <w:rFonts w:cs="Times New Roman"/>
          <w:color w:val="000000"/>
          <w:szCs w:val="26"/>
        </w:rPr>
        <w:t>s</w:t>
      </w:r>
      <w:r>
        <w:rPr>
          <w:rFonts w:cs="Times New Roman"/>
          <w:color w:val="000000"/>
          <w:szCs w:val="26"/>
        </w:rPr>
        <w:t xml:space="preserve"> it here.</w:t>
      </w:r>
    </w:p>
    <w:p w:rsidR="00345511" w:rsidP="001B1E90" w:rsidRDefault="00345511" w14:paraId="7F35C6F7" w14:textId="342EF019">
      <w:pPr>
        <w:pStyle w:val="Heading3"/>
      </w:pPr>
      <w:bookmarkStart w:name="_Toc137631927" w:id="78"/>
      <w:bookmarkStart w:name="_Toc159551155" w:id="79"/>
      <w:bookmarkStart w:name="_Toc168559275" w:id="80"/>
      <w:r>
        <w:t>Promotes Robust Participation</w:t>
      </w:r>
      <w:r w:rsidR="00A05876">
        <w:br/>
      </w:r>
      <w:r>
        <w:t>by Low</w:t>
      </w:r>
      <w:r w:rsidR="003D6EF8">
        <w:noBreakHyphen/>
      </w:r>
      <w:r>
        <w:t>Income Customers</w:t>
      </w:r>
      <w:bookmarkEnd w:id="78"/>
      <w:bookmarkEnd w:id="79"/>
      <w:bookmarkEnd w:id="80"/>
    </w:p>
    <w:p w:rsidRPr="00C75048" w:rsidR="00345511" w:rsidP="00345511" w:rsidRDefault="00345511" w14:paraId="4D1EF4A1" w14:textId="1CA2D1E0">
      <w:pPr>
        <w:pStyle w:val="Standard"/>
      </w:pPr>
      <w:r>
        <w:t xml:space="preserve">The third goal under </w:t>
      </w:r>
      <w:r w:rsidR="00440785">
        <w:t>Pub. Util.</w:t>
      </w:r>
      <w:r w:rsidR="00EA4CB8">
        <w:t xml:space="preserve"> Code </w:t>
      </w:r>
      <w:r w:rsidR="003627A8">
        <w:t>Section </w:t>
      </w:r>
      <w:r>
        <w:t xml:space="preserve">769.3(b)(1)(A) for evaluating existing customer renewable energy subscription programs is to </w:t>
      </w:r>
      <w:r w:rsidR="00440785">
        <w:t>“</w:t>
      </w:r>
      <w:r>
        <w:t>[p]romote robust participation by low</w:t>
      </w:r>
      <w:r w:rsidR="003D6EF8">
        <w:noBreakHyphen/>
      </w:r>
      <w:r>
        <w:t>income customers.</w:t>
      </w:r>
      <w:r w:rsidR="00440785">
        <w:t>”</w:t>
      </w:r>
    </w:p>
    <w:p w:rsidR="00BA58BF" w:rsidP="00345511" w:rsidRDefault="00345511" w14:paraId="28F998E5" w14:textId="6700C22E">
      <w:pPr>
        <w:pStyle w:val="Standard"/>
      </w:pPr>
      <w:r>
        <w:rPr>
          <w:szCs w:val="26"/>
        </w:rPr>
        <w:t>Parties put forth various proposals on how to measure this goal. SCE recommends identifying barriers to participation by low</w:t>
      </w:r>
      <w:r w:rsidR="003D6EF8">
        <w:rPr>
          <w:szCs w:val="26"/>
        </w:rPr>
        <w:noBreakHyphen/>
      </w:r>
      <w:r>
        <w:rPr>
          <w:szCs w:val="26"/>
        </w:rPr>
        <w:t xml:space="preserve">income customers, and </w:t>
      </w:r>
      <w:r>
        <w:rPr>
          <w:szCs w:val="26"/>
        </w:rPr>
        <w:lastRenderedPageBreak/>
        <w:t xml:space="preserve">designing or modifying programs to address barriers by measuring participation compared to customer segment size and procured </w:t>
      </w:r>
      <w:r w:rsidR="0096488E">
        <w:rPr>
          <w:szCs w:val="26"/>
        </w:rPr>
        <w:t>megawatt</w:t>
      </w:r>
      <w:r>
        <w:rPr>
          <w:szCs w:val="26"/>
        </w:rPr>
        <w:t xml:space="preserve"> capacity.</w:t>
      </w:r>
      <w:r>
        <w:rPr>
          <w:rStyle w:val="FootnoteReference"/>
          <w:szCs w:val="26"/>
        </w:rPr>
        <w:footnoteReference w:id="67"/>
      </w:r>
      <w:r>
        <w:rPr>
          <w:szCs w:val="26"/>
        </w:rPr>
        <w:t xml:space="preserve"> </w:t>
      </w:r>
      <w:r w:rsidRPr="00AB3145">
        <w:rPr>
          <w:szCs w:val="26"/>
        </w:rPr>
        <w:t xml:space="preserve">SDG&amp;E </w:t>
      </w:r>
      <w:r>
        <w:rPr>
          <w:szCs w:val="26"/>
        </w:rPr>
        <w:t>supports</w:t>
      </w:r>
      <w:r w:rsidRPr="00AB3145">
        <w:rPr>
          <w:szCs w:val="26"/>
        </w:rPr>
        <w:t xml:space="preserve"> consider</w:t>
      </w:r>
      <w:r>
        <w:rPr>
          <w:szCs w:val="26"/>
        </w:rPr>
        <w:t>ing</w:t>
      </w:r>
      <w:r w:rsidRPr="00AB3145">
        <w:rPr>
          <w:szCs w:val="26"/>
        </w:rPr>
        <w:t xml:space="preserve"> the number of </w:t>
      </w:r>
      <w:r>
        <w:rPr>
          <w:szCs w:val="26"/>
        </w:rPr>
        <w:t xml:space="preserve">enrolled </w:t>
      </w:r>
      <w:r w:rsidRPr="00AB3145">
        <w:rPr>
          <w:szCs w:val="26"/>
        </w:rPr>
        <w:t>customers, the rate customers face, and whether programs attract developer interest.</w:t>
      </w:r>
      <w:r w:rsidRPr="00AB3145">
        <w:rPr>
          <w:rStyle w:val="FootnoteReference"/>
          <w:szCs w:val="26"/>
        </w:rPr>
        <w:footnoteReference w:id="68"/>
      </w:r>
      <w:r w:rsidRPr="00AB3145">
        <w:rPr>
          <w:szCs w:val="26"/>
        </w:rPr>
        <w:t xml:space="preserve"> </w:t>
      </w:r>
      <w:r>
        <w:t>TURN suggests considering existing levels of low</w:t>
      </w:r>
      <w:r w:rsidR="003D6EF8">
        <w:noBreakHyphen/>
      </w:r>
      <w:r>
        <w:t>income customer participation and whether the programs are likely to result in broad low</w:t>
      </w:r>
      <w:r w:rsidR="003D6EF8">
        <w:noBreakHyphen/>
      </w:r>
      <w:r>
        <w:t>income customer participation.</w:t>
      </w:r>
      <w:r>
        <w:rPr>
          <w:rStyle w:val="FootnoteReference"/>
        </w:rPr>
        <w:footnoteReference w:id="69"/>
      </w:r>
    </w:p>
    <w:p w:rsidRPr="00D840E9" w:rsidR="00345511" w:rsidP="00345511" w:rsidRDefault="00AD55A4" w14:paraId="69F8B875" w14:textId="170755B4">
      <w:pPr>
        <w:pStyle w:val="Standard"/>
      </w:pPr>
      <w:r>
        <w:rPr>
          <w:szCs w:val="26"/>
        </w:rPr>
        <w:t>CEJA,</w:t>
      </w:r>
      <w:r w:rsidRPr="00AD55A4">
        <w:rPr>
          <w:i/>
          <w:iCs/>
          <w:szCs w:val="26"/>
        </w:rPr>
        <w:t xml:space="preserve"> </w:t>
      </w:r>
      <w:r w:rsidR="00237E56">
        <w:rPr>
          <w:i/>
          <w:iCs/>
          <w:szCs w:val="26"/>
        </w:rPr>
        <w:t>et al</w:t>
      </w:r>
      <w:r w:rsidRPr="00AD55A4">
        <w:rPr>
          <w:i/>
          <w:iCs/>
          <w:szCs w:val="26"/>
        </w:rPr>
        <w:t>.</w:t>
      </w:r>
      <w:r w:rsidR="00345511">
        <w:t xml:space="preserve"> generally recommend that participation rates of low</w:t>
      </w:r>
      <w:r w:rsidR="003D6EF8">
        <w:noBreakHyphen/>
      </w:r>
      <w:r w:rsidR="00345511">
        <w:t>income customers be compared to other income groups or programs, such as non</w:t>
      </w:r>
      <w:r w:rsidR="003D6EF8">
        <w:noBreakHyphen/>
      </w:r>
      <w:r w:rsidR="00345511">
        <w:t>low</w:t>
      </w:r>
      <w:r w:rsidR="003D6EF8">
        <w:noBreakHyphen/>
      </w:r>
      <w:r w:rsidR="00345511">
        <w:t xml:space="preserve">income groups participating in </w:t>
      </w:r>
      <w:r w:rsidRPr="00E66D33" w:rsidR="00FF293D">
        <w:t>net energy metering</w:t>
      </w:r>
      <w:r w:rsidR="00345511">
        <w:t>, to see if there are disparities in access.</w:t>
      </w:r>
      <w:r w:rsidR="00345511">
        <w:rPr>
          <w:rStyle w:val="FootnoteReference"/>
        </w:rPr>
        <w:footnoteReference w:id="70"/>
      </w:r>
      <w:r w:rsidR="00345511">
        <w:t xml:space="preserve"> </w:t>
      </w:r>
      <w:r w:rsidR="000341A3">
        <w:t>Joint CCA</w:t>
      </w:r>
      <w:r w:rsidR="00345511">
        <w:t>s propose considering whether the program is on track to enroll the maximum number of customers based on the capacity cap, with a recommended 90</w:t>
      </w:r>
      <w:r w:rsidR="00405FF8">
        <w:t> percent</w:t>
      </w:r>
      <w:r w:rsidR="00345511">
        <w:t xml:space="preserve"> enrollment.</w:t>
      </w:r>
      <w:r w:rsidR="00345511">
        <w:rPr>
          <w:rStyle w:val="FootnoteReference"/>
        </w:rPr>
        <w:footnoteReference w:id="71"/>
      </w:r>
      <w:r w:rsidR="00345511">
        <w:t xml:space="preserve"> Cypress Creek advocate for considering whether a program requires projects to dedicate a majority of their capacity to low</w:t>
      </w:r>
      <w:r w:rsidR="003D6EF8">
        <w:noBreakHyphen/>
      </w:r>
      <w:r w:rsidR="00345511">
        <w:t>income customers.</w:t>
      </w:r>
      <w:r w:rsidR="00345511">
        <w:rPr>
          <w:rStyle w:val="FootnoteReference"/>
        </w:rPr>
        <w:footnoteReference w:id="72"/>
      </w:r>
      <w:r w:rsidR="00345511">
        <w:t xml:space="preserve"> CCSA states that a program should promote strong, healthy participation levels within the pool of low</w:t>
      </w:r>
      <w:r w:rsidR="003D6EF8">
        <w:noBreakHyphen/>
      </w:r>
      <w:r w:rsidR="00345511">
        <w:t>income customers.</w:t>
      </w:r>
      <w:r w:rsidR="00345511">
        <w:rPr>
          <w:rStyle w:val="FootnoteReference"/>
        </w:rPr>
        <w:footnoteReference w:id="73"/>
      </w:r>
      <w:r w:rsidR="00345511">
        <w:t xml:space="preserve"> </w:t>
      </w:r>
      <w:r w:rsidR="00345511">
        <w:rPr>
          <w:szCs w:val="26"/>
        </w:rPr>
        <w:t>PG&amp;E states that while programs should promote low</w:t>
      </w:r>
      <w:r w:rsidR="003D6EF8">
        <w:rPr>
          <w:szCs w:val="26"/>
        </w:rPr>
        <w:noBreakHyphen/>
      </w:r>
      <w:r w:rsidR="00345511">
        <w:rPr>
          <w:szCs w:val="26"/>
        </w:rPr>
        <w:t>income participation, because of the other two goals, each program does not need to focus on low</w:t>
      </w:r>
      <w:r w:rsidR="003D6EF8">
        <w:rPr>
          <w:szCs w:val="26"/>
        </w:rPr>
        <w:noBreakHyphen/>
      </w:r>
      <w:r w:rsidR="00345511">
        <w:rPr>
          <w:szCs w:val="26"/>
        </w:rPr>
        <w:t>income participation.</w:t>
      </w:r>
      <w:r w:rsidR="00345511">
        <w:rPr>
          <w:rStyle w:val="FootnoteReference"/>
          <w:szCs w:val="26"/>
        </w:rPr>
        <w:footnoteReference w:id="74"/>
      </w:r>
    </w:p>
    <w:p w:rsidR="00BA58BF" w:rsidP="00345511" w:rsidRDefault="00345511" w14:paraId="5452E09F" w14:textId="4A0BFC7F">
      <w:pPr>
        <w:pStyle w:val="Standard"/>
      </w:pPr>
      <w:r>
        <w:lastRenderedPageBreak/>
        <w:t xml:space="preserve">In terms of how to define </w:t>
      </w:r>
      <w:r w:rsidR="00440785">
        <w:t>“</w:t>
      </w:r>
      <w:r>
        <w:t>low</w:t>
      </w:r>
      <w:r w:rsidR="003D6EF8">
        <w:noBreakHyphen/>
      </w:r>
      <w:r>
        <w:t>income</w:t>
      </w:r>
      <w:r w:rsidR="00440785">
        <w:t>”</w:t>
      </w:r>
      <w:r>
        <w:t xml:space="preserve"> customer, SEIA, CCSA, and Cypress Creek point out that </w:t>
      </w:r>
      <w:r w:rsidR="003627A8">
        <w:t>AB </w:t>
      </w:r>
      <w:r>
        <w:t>2316 provides a definition</w:t>
      </w:r>
      <w:r w:rsidRPr="005F27EB">
        <w:t xml:space="preserve"> </w:t>
      </w:r>
      <w:r>
        <w:t xml:space="preserve">under </w:t>
      </w:r>
      <w:r w:rsidR="00440785">
        <w:t>Pub. Util.</w:t>
      </w:r>
      <w:r w:rsidR="00EA4CB8">
        <w:t xml:space="preserve"> Code </w:t>
      </w:r>
      <w:r w:rsidR="003627A8">
        <w:t>Section </w:t>
      </w:r>
      <w:r>
        <w:t>769.3(a)(3).</w:t>
      </w:r>
      <w:r>
        <w:rPr>
          <w:rStyle w:val="FootnoteReference"/>
        </w:rPr>
        <w:footnoteReference w:id="75"/>
      </w:r>
    </w:p>
    <w:p w:rsidRPr="00EA5747" w:rsidR="00345511" w:rsidP="001B1E90" w:rsidRDefault="00345511" w14:paraId="1939954F" w14:textId="0A6B601D">
      <w:pPr>
        <w:pStyle w:val="Heading4"/>
      </w:pPr>
      <w:bookmarkStart w:name="_Toc137631928" w:id="81"/>
      <w:bookmarkStart w:name="_Toc159551156" w:id="82"/>
      <w:bookmarkStart w:name="_Toc168559276" w:id="83"/>
      <w:r>
        <w:t>Discussion</w:t>
      </w:r>
      <w:bookmarkEnd w:id="81"/>
      <w:bookmarkEnd w:id="82"/>
      <w:bookmarkEnd w:id="83"/>
    </w:p>
    <w:p w:rsidR="00345511" w:rsidP="00345511" w:rsidRDefault="00345511" w14:paraId="5121B344" w14:textId="31C40446">
      <w:pPr>
        <w:pStyle w:val="Standard"/>
      </w:pPr>
      <w:r>
        <w:t xml:space="preserve">While there is no consensus among parties as to how to measure </w:t>
      </w:r>
      <w:r w:rsidR="00440785">
        <w:t>“</w:t>
      </w:r>
      <w:r>
        <w:t>robust participation</w:t>
      </w:r>
      <w:r w:rsidR="00440785">
        <w:t>”</w:t>
      </w:r>
      <w:r>
        <w:t xml:space="preserve"> among low</w:t>
      </w:r>
      <w:r w:rsidR="003D6EF8">
        <w:noBreakHyphen/>
      </w:r>
      <w:r>
        <w:t>income customers, parties generally agree that the Commission should consider the number of enrolled customers in a program.</w:t>
      </w:r>
      <w:r w:rsidR="009F5702">
        <w:t xml:space="preserve"> </w:t>
      </w:r>
      <w:r w:rsidR="00B81874">
        <w:t xml:space="preserve">The Commission </w:t>
      </w:r>
      <w:r>
        <w:t>concur</w:t>
      </w:r>
      <w:r w:rsidR="00B81874">
        <w:t>s</w:t>
      </w:r>
      <w:r>
        <w:t xml:space="preserve"> that it is reasonable that this category include</w:t>
      </w:r>
      <w:r w:rsidR="00FF293D">
        <w:t>s</w:t>
      </w:r>
      <w:r>
        <w:t xml:space="preserve"> consideration of the number of enrolled low</w:t>
      </w:r>
      <w:r w:rsidR="003D6EF8">
        <w:noBreakHyphen/>
      </w:r>
      <w:r>
        <w:t>income customers, or in the case of a proposed program, the number of prospective low</w:t>
      </w:r>
      <w:r w:rsidR="003D6EF8">
        <w:noBreakHyphen/>
      </w:r>
      <w:r>
        <w:t>income customers. Accordingly, robust participation will be measured by the number of enrolled low</w:t>
      </w:r>
      <w:r w:rsidR="003D6EF8">
        <w:noBreakHyphen/>
      </w:r>
      <w:r>
        <w:t>income customers for existing programs, and the number of prospective low</w:t>
      </w:r>
      <w:r w:rsidR="003D6EF8">
        <w:noBreakHyphen/>
      </w:r>
      <w:r>
        <w:t>income customers for new programs.</w:t>
      </w:r>
    </w:p>
    <w:p w:rsidRPr="007F1C78" w:rsidR="00345511" w:rsidP="00345511" w:rsidRDefault="00345511" w14:paraId="14E7210E" w14:textId="6BF1BEC4">
      <w:pPr>
        <w:pStyle w:val="Standard"/>
        <w:rPr>
          <w:b/>
          <w:bCs/>
        </w:rPr>
      </w:pPr>
      <w:r>
        <w:t xml:space="preserve">Regarding the definition of </w:t>
      </w:r>
      <w:r w:rsidR="00440785">
        <w:t>“</w:t>
      </w:r>
      <w:r>
        <w:t>low</w:t>
      </w:r>
      <w:r w:rsidR="003D6EF8">
        <w:noBreakHyphen/>
      </w:r>
      <w:r>
        <w:t>income customer,</w:t>
      </w:r>
      <w:r w:rsidR="00440785">
        <w:t>”</w:t>
      </w:r>
      <w:r>
        <w:t xml:space="preserve"> under </w:t>
      </w:r>
      <w:r w:rsidR="00440785">
        <w:t>Pub. Util.</w:t>
      </w:r>
      <w:r w:rsidR="00EA4CB8">
        <w:t xml:space="preserve"> Code </w:t>
      </w:r>
      <w:r w:rsidR="003627A8">
        <w:rPr>
          <w:szCs w:val="26"/>
        </w:rPr>
        <w:t>Section </w:t>
      </w:r>
      <w:r>
        <w:rPr>
          <w:szCs w:val="26"/>
        </w:rPr>
        <w:t xml:space="preserve">769.3(a)(3), </w:t>
      </w:r>
      <w:r w:rsidR="00440785">
        <w:t>“</w:t>
      </w:r>
      <w:r>
        <w:t>low</w:t>
      </w:r>
      <w:r w:rsidR="003D6EF8">
        <w:noBreakHyphen/>
      </w:r>
      <w:r>
        <w:t>income customer</w:t>
      </w:r>
      <w:r w:rsidR="00440785">
        <w:t>”</w:t>
      </w:r>
      <w:r>
        <w:rPr>
          <w:szCs w:val="26"/>
        </w:rPr>
        <w:t xml:space="preserve"> means either:</w:t>
      </w:r>
    </w:p>
    <w:p w:rsidR="00345511" w:rsidP="00BB6FEE" w:rsidRDefault="00345511" w14:paraId="01EBD867" w14:textId="77777777">
      <w:pPr>
        <w:pStyle w:val="BlockQuoteH033"/>
        <w:numPr>
          <w:ilvl w:val="0"/>
          <w:numId w:val="12"/>
        </w:numPr>
        <w:ind w:left="1195" w:hanging="475"/>
        <w:rPr>
          <w:szCs w:val="26"/>
        </w:rPr>
      </w:pPr>
      <w:r>
        <w:rPr>
          <w:szCs w:val="26"/>
        </w:rPr>
        <w:t>An individual or household who qualifies for one of more of the following programs:</w:t>
      </w:r>
    </w:p>
    <w:p w:rsidRPr="00CF1CF6" w:rsidR="00345511" w:rsidP="00BB6FEE" w:rsidRDefault="00345511" w14:paraId="68AB054A" w14:textId="6CBBD315">
      <w:pPr>
        <w:pStyle w:val="BlockQuoteH033subH033"/>
        <w:numPr>
          <w:ilvl w:val="0"/>
          <w:numId w:val="11"/>
        </w:numPr>
        <w:ind w:left="1670" w:hanging="475"/>
        <w:rPr>
          <w:szCs w:val="26"/>
        </w:rPr>
      </w:pPr>
      <w:r w:rsidRPr="00CF1CF6">
        <w:rPr>
          <w:szCs w:val="26"/>
        </w:rPr>
        <w:t xml:space="preserve">The </w:t>
      </w:r>
      <w:r w:rsidRPr="00B33797">
        <w:rPr>
          <w:rFonts w:cs="TimesNewRomanPSMT"/>
          <w:szCs w:val="26"/>
        </w:rPr>
        <w:t>CARE</w:t>
      </w:r>
      <w:r w:rsidRPr="00CF1CF6">
        <w:rPr>
          <w:szCs w:val="26"/>
        </w:rPr>
        <w:t xml:space="preserve"> program, </w:t>
      </w:r>
      <w:r w:rsidRPr="00CF1CF6">
        <w:rPr>
          <w:rFonts w:eastAsia="Times New Roman" w:cs="Times New Roman"/>
          <w:szCs w:val="26"/>
        </w:rPr>
        <w:t xml:space="preserve">described in </w:t>
      </w:r>
      <w:r w:rsidR="003627A8">
        <w:rPr>
          <w:rFonts w:eastAsia="Times New Roman" w:cs="Times New Roman"/>
          <w:szCs w:val="26"/>
        </w:rPr>
        <w:t>Section </w:t>
      </w:r>
      <w:r w:rsidRPr="00CF1CF6">
        <w:rPr>
          <w:rFonts w:eastAsia="Times New Roman" w:cs="Times New Roman"/>
          <w:szCs w:val="26"/>
        </w:rPr>
        <w:t>739.1.</w:t>
      </w:r>
    </w:p>
    <w:p w:rsidRPr="00CF1CF6" w:rsidR="00345511" w:rsidP="00BB6FEE" w:rsidRDefault="00345511" w14:paraId="03F6CA91" w14:textId="6CC965D0">
      <w:pPr>
        <w:pStyle w:val="BlockQuoteH033subH033"/>
        <w:numPr>
          <w:ilvl w:val="0"/>
          <w:numId w:val="11"/>
        </w:numPr>
        <w:ind w:left="1670" w:hanging="475"/>
        <w:rPr>
          <w:rFonts w:eastAsia="Times New Roman" w:cs="Times New Roman"/>
          <w:szCs w:val="26"/>
        </w:rPr>
      </w:pPr>
      <w:r w:rsidRPr="00CF1CF6">
        <w:rPr>
          <w:rFonts w:eastAsia="Times New Roman" w:cs="Times New Roman"/>
          <w:szCs w:val="26"/>
        </w:rPr>
        <w:t xml:space="preserve">The </w:t>
      </w:r>
      <w:r w:rsidRPr="00B33797">
        <w:rPr>
          <w:rFonts w:cs="TimesNewRomanPSMT"/>
          <w:szCs w:val="26"/>
        </w:rPr>
        <w:t>FERA</w:t>
      </w:r>
      <w:r w:rsidRPr="00CF1CF6">
        <w:rPr>
          <w:rFonts w:eastAsia="Times New Roman" w:cs="Times New Roman"/>
          <w:szCs w:val="26"/>
        </w:rPr>
        <w:t xml:space="preserve"> program</w:t>
      </w:r>
      <w:r w:rsidR="007919FA">
        <w:rPr>
          <w:rFonts w:eastAsia="Times New Roman" w:cs="Times New Roman"/>
          <w:szCs w:val="26"/>
        </w:rPr>
        <w:t>,</w:t>
      </w:r>
      <w:r w:rsidRPr="00CF1CF6">
        <w:rPr>
          <w:rFonts w:eastAsia="Times New Roman" w:cs="Times New Roman"/>
          <w:szCs w:val="26"/>
        </w:rPr>
        <w:t xml:space="preserve"> described in </w:t>
      </w:r>
      <w:r w:rsidR="003627A8">
        <w:rPr>
          <w:rFonts w:eastAsia="Times New Roman" w:cs="Times New Roman"/>
          <w:szCs w:val="26"/>
        </w:rPr>
        <w:t>Section </w:t>
      </w:r>
      <w:r w:rsidRPr="00CF1CF6">
        <w:rPr>
          <w:rFonts w:eastAsia="Times New Roman" w:cs="Times New Roman"/>
          <w:szCs w:val="26"/>
        </w:rPr>
        <w:t>739.12.</w:t>
      </w:r>
    </w:p>
    <w:p w:rsidRPr="00CF1CF6" w:rsidR="00345511" w:rsidP="00BB6FEE" w:rsidRDefault="00345511" w14:paraId="2DC5D89F" w14:textId="3795E73D">
      <w:pPr>
        <w:pStyle w:val="BlockQuoteH033subH033"/>
        <w:numPr>
          <w:ilvl w:val="0"/>
          <w:numId w:val="11"/>
        </w:numPr>
        <w:ind w:left="1670" w:hanging="475"/>
        <w:rPr>
          <w:rFonts w:eastAsia="Times New Roman" w:cs="Times New Roman"/>
          <w:szCs w:val="26"/>
        </w:rPr>
      </w:pPr>
      <w:r w:rsidRPr="00CF1CF6">
        <w:rPr>
          <w:rFonts w:eastAsia="Times New Roman" w:cs="Times New Roman"/>
          <w:szCs w:val="26"/>
        </w:rPr>
        <w:t>The CalFresh program</w:t>
      </w:r>
      <w:r w:rsidR="007919FA">
        <w:rPr>
          <w:rFonts w:eastAsia="Times New Roman" w:cs="Times New Roman"/>
          <w:szCs w:val="26"/>
        </w:rPr>
        <w:t>,</w:t>
      </w:r>
      <w:r w:rsidRPr="00CF1CF6">
        <w:rPr>
          <w:rFonts w:eastAsia="Times New Roman" w:cs="Times New Roman"/>
          <w:szCs w:val="26"/>
        </w:rPr>
        <w:t xml:space="preserve"> pursuant to </w:t>
      </w:r>
      <w:r w:rsidR="00EE35B1">
        <w:rPr>
          <w:rFonts w:eastAsia="Times New Roman" w:cs="Times New Roman"/>
          <w:szCs w:val="26"/>
        </w:rPr>
        <w:t>Chapter </w:t>
      </w:r>
      <w:r w:rsidRPr="00CF1CF6">
        <w:rPr>
          <w:rFonts w:eastAsia="Times New Roman" w:cs="Times New Roman"/>
          <w:szCs w:val="26"/>
        </w:rPr>
        <w:t xml:space="preserve">10 of </w:t>
      </w:r>
      <w:r w:rsidR="00F62BB9">
        <w:rPr>
          <w:rFonts w:eastAsia="Times New Roman" w:cs="Times New Roman"/>
          <w:szCs w:val="26"/>
        </w:rPr>
        <w:t>Part </w:t>
      </w:r>
      <w:r w:rsidRPr="00CF1CF6">
        <w:rPr>
          <w:rFonts w:eastAsia="Times New Roman" w:cs="Times New Roman"/>
          <w:szCs w:val="26"/>
        </w:rPr>
        <w:t xml:space="preserve">6 of </w:t>
      </w:r>
      <w:r w:rsidR="00F62BB9">
        <w:rPr>
          <w:rFonts w:eastAsia="Times New Roman" w:cs="Times New Roman"/>
          <w:szCs w:val="26"/>
        </w:rPr>
        <w:t>Division </w:t>
      </w:r>
      <w:r w:rsidRPr="00CF1CF6">
        <w:rPr>
          <w:rFonts w:eastAsia="Times New Roman" w:cs="Times New Roman"/>
          <w:szCs w:val="26"/>
        </w:rPr>
        <w:t>9 of the Welfare and Institutions Code.</w:t>
      </w:r>
    </w:p>
    <w:p w:rsidRPr="00CF1CF6" w:rsidR="00345511" w:rsidP="00BB6FEE" w:rsidRDefault="00345511" w14:paraId="1A140B3B" w14:textId="1247F2CA">
      <w:pPr>
        <w:pStyle w:val="BlockQuoteH033subH033"/>
        <w:numPr>
          <w:ilvl w:val="0"/>
          <w:numId w:val="11"/>
        </w:numPr>
        <w:ind w:left="1670" w:hanging="475"/>
        <w:rPr>
          <w:rFonts w:eastAsia="Times New Roman" w:cs="Times New Roman"/>
          <w:szCs w:val="26"/>
        </w:rPr>
      </w:pPr>
      <w:r w:rsidRPr="00CF1CF6">
        <w:rPr>
          <w:rFonts w:eastAsia="Times New Roman" w:cs="Times New Roman"/>
          <w:szCs w:val="26"/>
        </w:rPr>
        <w:t xml:space="preserve">The federal </w:t>
      </w:r>
      <w:r w:rsidRPr="00FD66C0">
        <w:t xml:space="preserve">Supplemental Nutrition Assistance Program </w:t>
      </w:r>
      <w:r w:rsidRPr="00CF1CF6">
        <w:rPr>
          <w:rFonts w:eastAsia="Times New Roman" w:cs="Times New Roman"/>
          <w:szCs w:val="26"/>
        </w:rPr>
        <w:t>(</w:t>
      </w:r>
      <w:r w:rsidRPr="00FD66C0">
        <w:rPr>
          <w:rFonts w:cs="TimesNewRomanPSMT"/>
          <w:szCs w:val="26"/>
        </w:rPr>
        <w:t>SNAP</w:t>
      </w:r>
      <w:r w:rsidRPr="00CF1CF6">
        <w:rPr>
          <w:rFonts w:eastAsia="Times New Roman" w:cs="Times New Roman"/>
          <w:szCs w:val="26"/>
        </w:rPr>
        <w:t>) (</w:t>
      </w:r>
      <w:r w:rsidRPr="00516A77" w:rsidR="00EE35B1">
        <w:rPr>
          <w:rFonts w:eastAsia="Times New Roman" w:cs="Times New Roman"/>
          <w:szCs w:val="26"/>
        </w:rPr>
        <w:t>Chapter </w:t>
      </w:r>
      <w:r w:rsidRPr="00516A77">
        <w:rPr>
          <w:rFonts w:eastAsia="Times New Roman" w:cs="Times New Roman"/>
          <w:szCs w:val="26"/>
        </w:rPr>
        <w:t xml:space="preserve">51 of </w:t>
      </w:r>
      <w:r w:rsidRPr="00516A77" w:rsidR="00E67CA9">
        <w:rPr>
          <w:rFonts w:eastAsia="Times New Roman" w:cs="Times New Roman"/>
          <w:szCs w:val="26"/>
        </w:rPr>
        <w:t>Title </w:t>
      </w:r>
      <w:r w:rsidRPr="00516A77">
        <w:rPr>
          <w:rFonts w:eastAsia="Times New Roman" w:cs="Times New Roman"/>
          <w:szCs w:val="26"/>
        </w:rPr>
        <w:t xml:space="preserve">7 of the </w:t>
      </w:r>
      <w:r w:rsidRPr="00516A77">
        <w:t>United States Code</w:t>
      </w:r>
      <w:r w:rsidRPr="00CF1CF6">
        <w:rPr>
          <w:rFonts w:eastAsia="Times New Roman" w:cs="Times New Roman"/>
          <w:szCs w:val="26"/>
        </w:rPr>
        <w:t>).</w:t>
      </w:r>
    </w:p>
    <w:p w:rsidR="00345511" w:rsidP="00BB6FEE" w:rsidRDefault="00345511" w14:paraId="0DFF8425" w14:textId="3D61D31D">
      <w:pPr>
        <w:pStyle w:val="BlockQuoteH033subH033"/>
        <w:numPr>
          <w:ilvl w:val="0"/>
          <w:numId w:val="11"/>
        </w:numPr>
        <w:ind w:left="1670" w:hanging="475"/>
        <w:rPr>
          <w:rFonts w:eastAsia="Times New Roman" w:cs="Times New Roman"/>
          <w:szCs w:val="26"/>
        </w:rPr>
      </w:pPr>
      <w:r w:rsidRPr="005766B6">
        <w:rPr>
          <w:rFonts w:eastAsia="Times New Roman" w:cs="Times New Roman"/>
          <w:szCs w:val="26"/>
        </w:rPr>
        <w:t xml:space="preserve">The </w:t>
      </w:r>
      <w:r w:rsidRPr="005766B6">
        <w:t>Low</w:t>
      </w:r>
      <w:r w:rsidR="003D6EF8">
        <w:noBreakHyphen/>
      </w:r>
      <w:r w:rsidRPr="005766B6">
        <w:t>income Heating Energy Assistance Program</w:t>
      </w:r>
      <w:r w:rsidRPr="00CF1CF6">
        <w:rPr>
          <w:rFonts w:eastAsia="Times New Roman" w:cs="Times New Roman"/>
          <w:szCs w:val="26"/>
        </w:rPr>
        <w:t xml:space="preserve"> (42</w:t>
      </w:r>
      <w:r w:rsidR="006A10E2">
        <w:rPr>
          <w:rFonts w:eastAsia="Times New Roman" w:cs="Times New Roman"/>
          <w:szCs w:val="26"/>
        </w:rPr>
        <w:t> U.S.C.</w:t>
      </w:r>
      <w:r w:rsidRPr="00CF1CF6">
        <w:rPr>
          <w:rFonts w:eastAsia="Times New Roman" w:cs="Times New Roman"/>
          <w:szCs w:val="26"/>
        </w:rPr>
        <w:t xml:space="preserve"> </w:t>
      </w:r>
      <w:r w:rsidR="007A39AB">
        <w:rPr>
          <w:rFonts w:eastAsia="Times New Roman" w:cs="Times New Roman"/>
          <w:szCs w:val="26"/>
        </w:rPr>
        <w:t>Sec. </w:t>
      </w:r>
      <w:r w:rsidRPr="00CF1CF6">
        <w:rPr>
          <w:rFonts w:eastAsia="Times New Roman" w:cs="Times New Roman"/>
          <w:szCs w:val="26"/>
        </w:rPr>
        <w:t>8621).</w:t>
      </w:r>
    </w:p>
    <w:p w:rsidR="00345511" w:rsidP="00BB6FEE" w:rsidRDefault="00345511" w14:paraId="42F2003C" w14:textId="77777777">
      <w:pPr>
        <w:pStyle w:val="BlockQuoteH033"/>
        <w:numPr>
          <w:ilvl w:val="0"/>
          <w:numId w:val="12"/>
        </w:numPr>
        <w:ind w:left="1195" w:hanging="475"/>
        <w:rPr>
          <w:szCs w:val="26"/>
        </w:rPr>
      </w:pPr>
      <w:r>
        <w:rPr>
          <w:szCs w:val="26"/>
        </w:rPr>
        <w:lastRenderedPageBreak/>
        <w:t>An individual or household who resides within an underserved community.</w:t>
      </w:r>
    </w:p>
    <w:p w:rsidR="00345511" w:rsidP="00C475F4" w:rsidRDefault="00440785" w14:paraId="69AFDD81" w14:textId="400181C2">
      <w:pPr>
        <w:pStyle w:val="Standard"/>
      </w:pPr>
      <w:r>
        <w:t>“</w:t>
      </w:r>
      <w:r w:rsidR="00345511">
        <w:t>Underserved community</w:t>
      </w:r>
      <w:r>
        <w:t>”</w:t>
      </w:r>
      <w:r w:rsidR="00345511">
        <w:t xml:space="preserve"> is further defined as including the following:</w:t>
      </w:r>
    </w:p>
    <w:p w:rsidR="00345511" w:rsidP="00BB6FEE" w:rsidRDefault="00345511" w14:paraId="1AD19DEB" w14:textId="578110D8">
      <w:pPr>
        <w:pStyle w:val="BlockQuoteH033"/>
        <w:numPr>
          <w:ilvl w:val="0"/>
          <w:numId w:val="15"/>
        </w:numPr>
        <w:ind w:left="1195" w:hanging="475"/>
        <w:rPr>
          <w:rFonts w:eastAsia="Times New Roman" w:cs="Times New Roman"/>
          <w:szCs w:val="26"/>
        </w:rPr>
      </w:pPr>
      <w:r w:rsidRPr="005C430E">
        <w:rPr>
          <w:rFonts w:eastAsia="Times New Roman" w:cs="Times New Roman"/>
          <w:szCs w:val="26"/>
        </w:rPr>
        <w:t xml:space="preserve">A </w:t>
      </w:r>
      <w:r w:rsidR="00440785">
        <w:rPr>
          <w:rFonts w:eastAsia="Times New Roman" w:cs="Times New Roman"/>
          <w:szCs w:val="26"/>
        </w:rPr>
        <w:t>“</w:t>
      </w:r>
      <w:r w:rsidRPr="00A84AEA">
        <w:t>low</w:t>
      </w:r>
      <w:r w:rsidR="003D6EF8">
        <w:rPr>
          <w:rFonts w:eastAsia="Times New Roman" w:cs="Times New Roman"/>
          <w:szCs w:val="26"/>
        </w:rPr>
        <w:noBreakHyphen/>
      </w:r>
      <w:r w:rsidRPr="005C430E">
        <w:rPr>
          <w:rFonts w:eastAsia="Times New Roman" w:cs="Times New Roman"/>
          <w:szCs w:val="26"/>
        </w:rPr>
        <w:t>income community</w:t>
      </w:r>
      <w:r w:rsidR="00440785">
        <w:rPr>
          <w:rFonts w:eastAsia="Times New Roman" w:cs="Times New Roman"/>
          <w:szCs w:val="26"/>
        </w:rPr>
        <w:t>”</w:t>
      </w:r>
      <w:r>
        <w:rPr>
          <w:rFonts w:eastAsia="Times New Roman" w:cs="Times New Roman"/>
          <w:szCs w:val="26"/>
        </w:rPr>
        <w:t xml:space="preserve"> </w:t>
      </w:r>
      <w:r w:rsidRPr="005C430E">
        <w:rPr>
          <w:rFonts w:eastAsia="Times New Roman" w:cs="Times New Roman"/>
          <w:szCs w:val="26"/>
        </w:rPr>
        <w:t xml:space="preserve">as defined in </w:t>
      </w:r>
      <w:r w:rsidR="003627A8">
        <w:rPr>
          <w:rFonts w:eastAsia="Times New Roman" w:cs="Times New Roman"/>
          <w:szCs w:val="26"/>
        </w:rPr>
        <w:t>Section </w:t>
      </w:r>
      <w:r w:rsidRPr="005C430E">
        <w:rPr>
          <w:rFonts w:eastAsia="Times New Roman" w:cs="Times New Roman"/>
          <w:szCs w:val="26"/>
        </w:rPr>
        <w:t xml:space="preserve">39713 of the Health and Safety </w:t>
      </w:r>
      <w:r w:rsidRPr="005C430E">
        <w:rPr>
          <w:szCs w:val="26"/>
        </w:rPr>
        <w:t>Code</w:t>
      </w:r>
      <w:r w:rsidRPr="005C430E">
        <w:rPr>
          <w:rFonts w:eastAsia="Times New Roman" w:cs="Times New Roman"/>
          <w:szCs w:val="26"/>
        </w:rPr>
        <w:t>.</w:t>
      </w:r>
    </w:p>
    <w:p w:rsidR="00345511" w:rsidP="00530A77" w:rsidRDefault="00345511" w14:paraId="76A4041A" w14:textId="24463AC6">
      <w:pPr>
        <w:pStyle w:val="BlockQuoteH033"/>
        <w:numPr>
          <w:ilvl w:val="0"/>
          <w:numId w:val="15"/>
        </w:numPr>
        <w:ind w:left="1195" w:hanging="475"/>
        <w:rPr>
          <w:rFonts w:eastAsia="Times New Roman" w:cs="Times New Roman"/>
          <w:szCs w:val="26"/>
        </w:rPr>
      </w:pPr>
      <w:r w:rsidRPr="005C430E">
        <w:rPr>
          <w:rFonts w:eastAsia="Times New Roman" w:cs="Times New Roman"/>
          <w:szCs w:val="26"/>
        </w:rPr>
        <w:t>A community within an area identified as among the 25</w:t>
      </w:r>
      <w:r w:rsidR="00405FF8">
        <w:rPr>
          <w:rFonts w:eastAsia="Times New Roman" w:cs="Times New Roman"/>
          <w:szCs w:val="26"/>
        </w:rPr>
        <w:t> percent</w:t>
      </w:r>
      <w:r>
        <w:rPr>
          <w:rFonts w:eastAsia="Times New Roman" w:cs="Times New Roman"/>
          <w:szCs w:val="26"/>
        </w:rPr>
        <w:t xml:space="preserve"> </w:t>
      </w:r>
      <w:r w:rsidRPr="005C430E">
        <w:rPr>
          <w:rFonts w:eastAsia="Times New Roman" w:cs="Times New Roman"/>
          <w:szCs w:val="26"/>
        </w:rPr>
        <w:t xml:space="preserve">most disadvantaged areas in the state according to the California </w:t>
      </w:r>
      <w:r w:rsidRPr="00A84AEA">
        <w:t>Environmental</w:t>
      </w:r>
      <w:r w:rsidRPr="005C430E">
        <w:rPr>
          <w:rFonts w:eastAsia="Times New Roman" w:cs="Times New Roman"/>
          <w:szCs w:val="26"/>
        </w:rPr>
        <w:t xml:space="preserve"> Protection Agency and based on the most recent California Communities Environmental Health Screening Tool, also known as CalEnviroScreen, that is used to identify disadvantaged communities pursuant to </w:t>
      </w:r>
      <w:r w:rsidR="003627A8">
        <w:rPr>
          <w:rFonts w:eastAsia="Times New Roman" w:cs="Times New Roman"/>
          <w:szCs w:val="26"/>
        </w:rPr>
        <w:t>Section </w:t>
      </w:r>
      <w:r w:rsidRPr="005C430E">
        <w:rPr>
          <w:rFonts w:eastAsia="Times New Roman" w:cs="Times New Roman"/>
          <w:szCs w:val="26"/>
        </w:rPr>
        <w:t>39711 of the Health and Safety Code.</w:t>
      </w:r>
    </w:p>
    <w:p w:rsidR="00345511" w:rsidP="00530A77" w:rsidRDefault="00345511" w14:paraId="0D3E6172" w14:textId="01996A9C">
      <w:pPr>
        <w:pStyle w:val="BlockQuoteH033"/>
        <w:numPr>
          <w:ilvl w:val="0"/>
          <w:numId w:val="15"/>
        </w:numPr>
        <w:ind w:left="1195" w:hanging="475"/>
        <w:rPr>
          <w:rFonts w:eastAsia="Times New Roman" w:cs="Times New Roman"/>
          <w:szCs w:val="26"/>
        </w:rPr>
      </w:pPr>
      <w:r w:rsidRPr="004C27F8">
        <w:rPr>
          <w:rFonts w:eastAsia="Times New Roman" w:cs="Times New Roman"/>
          <w:szCs w:val="26"/>
        </w:rPr>
        <w:t xml:space="preserve">A community located on lands belonging to a California Native </w:t>
      </w:r>
      <w:r w:rsidRPr="00530A77">
        <w:rPr>
          <w:rFonts w:eastAsia="Times New Roman" w:cs="Times New Roman"/>
          <w:szCs w:val="26"/>
        </w:rPr>
        <w:t>American</w:t>
      </w:r>
      <w:r w:rsidRPr="004C27F8">
        <w:rPr>
          <w:rFonts w:eastAsia="Times New Roman" w:cs="Times New Roman"/>
          <w:szCs w:val="26"/>
        </w:rPr>
        <w:t xml:space="preserve"> tribe, as defined in </w:t>
      </w:r>
      <w:r w:rsidR="003627A8">
        <w:rPr>
          <w:rFonts w:eastAsia="Times New Roman" w:cs="Times New Roman"/>
          <w:szCs w:val="26"/>
        </w:rPr>
        <w:t>Section </w:t>
      </w:r>
      <w:r w:rsidRPr="004C27F8">
        <w:rPr>
          <w:rFonts w:eastAsia="Times New Roman" w:cs="Times New Roman"/>
          <w:szCs w:val="26"/>
        </w:rPr>
        <w:t>21073 of the Public Resources Code.</w:t>
      </w:r>
    </w:p>
    <w:p w:rsidR="00BA58BF" w:rsidP="00345511" w:rsidRDefault="00FF293D" w14:paraId="6E9C32D9" w14:textId="20B33114">
      <w:pPr>
        <w:pStyle w:val="Standard"/>
      </w:pPr>
      <w:r>
        <w:t>Accordingly, t</w:t>
      </w:r>
      <w:r w:rsidR="00345511">
        <w:t>he Commission appl</w:t>
      </w:r>
      <w:r>
        <w:t>ies</w:t>
      </w:r>
      <w:r w:rsidR="00345511">
        <w:t xml:space="preserve"> this definition of </w:t>
      </w:r>
      <w:r w:rsidR="00440785">
        <w:t>“</w:t>
      </w:r>
      <w:r w:rsidR="00345511">
        <w:t>low</w:t>
      </w:r>
      <w:r w:rsidR="003D6EF8">
        <w:noBreakHyphen/>
      </w:r>
      <w:r w:rsidR="00345511">
        <w:t>income customer</w:t>
      </w:r>
      <w:r w:rsidR="00440785">
        <w:t>”</w:t>
      </w:r>
      <w:r w:rsidR="00345511">
        <w:t xml:space="preserve"> for purposes of </w:t>
      </w:r>
      <w:r w:rsidR="00440785">
        <w:t>Pub. Util.</w:t>
      </w:r>
      <w:r w:rsidR="00EA4CB8">
        <w:t xml:space="preserve"> Code</w:t>
      </w:r>
      <w:r w:rsidR="009907CB">
        <w:t xml:space="preserve"> Section</w:t>
      </w:r>
      <w:r w:rsidR="008D7C85">
        <w:t> </w:t>
      </w:r>
      <w:r w:rsidR="00345511">
        <w:t>769.3, including evaluating G</w:t>
      </w:r>
      <w:r>
        <w:t xml:space="preserve">reen </w:t>
      </w:r>
      <w:r w:rsidR="00345511">
        <w:t>A</w:t>
      </w:r>
      <w:r>
        <w:t xml:space="preserve">ccess </w:t>
      </w:r>
      <w:r w:rsidR="00345511">
        <w:t>P</w:t>
      </w:r>
      <w:r>
        <w:t>rogram tariffs</w:t>
      </w:r>
      <w:r w:rsidR="00345511">
        <w:t>.</w:t>
      </w:r>
    </w:p>
    <w:p w:rsidR="00621458" w:rsidP="00877203" w:rsidRDefault="00B81874" w14:paraId="231D597A" w14:textId="4B26528C">
      <w:pPr>
        <w:pStyle w:val="Standard"/>
      </w:pPr>
      <w:r>
        <w:t xml:space="preserve">This decision </w:t>
      </w:r>
      <w:r w:rsidR="00345511">
        <w:t>note</w:t>
      </w:r>
      <w:r>
        <w:t>s</w:t>
      </w:r>
      <w:r w:rsidR="00345511">
        <w:t xml:space="preserve"> that the low</w:t>
      </w:r>
      <w:r w:rsidR="003D6EF8">
        <w:noBreakHyphen/>
      </w:r>
      <w:r w:rsidR="00345511">
        <w:t xml:space="preserve">income definition of </w:t>
      </w:r>
      <w:r w:rsidR="00440785">
        <w:t>Pub. Util.</w:t>
      </w:r>
      <w:r w:rsidR="00EA4CB8">
        <w:t xml:space="preserve"> Code </w:t>
      </w:r>
      <w:r w:rsidR="003627A8">
        <w:t>Section </w:t>
      </w:r>
      <w:r w:rsidR="00345511">
        <w:t xml:space="preserve">769.3 is broader than </w:t>
      </w:r>
      <w:r w:rsidR="00791396">
        <w:t xml:space="preserve">the </w:t>
      </w:r>
      <w:r w:rsidR="00345511">
        <w:t>low</w:t>
      </w:r>
      <w:r w:rsidR="003D6EF8">
        <w:noBreakHyphen/>
      </w:r>
      <w:r w:rsidR="00345511">
        <w:t xml:space="preserve">income </w:t>
      </w:r>
      <w:r w:rsidR="00FF293D">
        <w:t xml:space="preserve">eligibility thresholds established </w:t>
      </w:r>
      <w:r w:rsidR="00345511">
        <w:t xml:space="preserve">in </w:t>
      </w:r>
      <w:r w:rsidR="00D910D4">
        <w:t xml:space="preserve">other </w:t>
      </w:r>
      <w:r w:rsidR="00345511">
        <w:t xml:space="preserve">Commission proceedings, which usually </w:t>
      </w:r>
      <w:r w:rsidR="00FF293D">
        <w:t xml:space="preserve">target </w:t>
      </w:r>
      <w:r w:rsidR="00345511">
        <w:t>participant</w:t>
      </w:r>
      <w:r w:rsidR="00BB6127">
        <w:t>s</w:t>
      </w:r>
      <w:r w:rsidR="00345511">
        <w:t xml:space="preserve"> in the CARE </w:t>
      </w:r>
      <w:r w:rsidR="00BB6127">
        <w:t>or</w:t>
      </w:r>
      <w:r w:rsidR="00345511">
        <w:t xml:space="preserve"> FERA programs. </w:t>
      </w:r>
      <w:r w:rsidR="00446A02">
        <w:t>This decision</w:t>
      </w:r>
      <w:r w:rsidR="00FF293D">
        <w:t xml:space="preserve"> emphasize</w:t>
      </w:r>
      <w:r w:rsidR="00446A02">
        <w:t>s</w:t>
      </w:r>
      <w:r w:rsidR="00FF293D">
        <w:t xml:space="preserve"> that this broader definition in </w:t>
      </w:r>
      <w:r w:rsidR="003627A8">
        <w:t>AB </w:t>
      </w:r>
      <w:r w:rsidR="00FF293D">
        <w:t xml:space="preserve">2316 applies only to the programs addressed by that statute, and </w:t>
      </w:r>
      <w:r w:rsidR="00035298">
        <w:t>is</w:t>
      </w:r>
      <w:r w:rsidR="00FF293D">
        <w:t xml:space="preserve"> therefore, not relevant to definitions of low</w:t>
      </w:r>
      <w:r w:rsidR="003D6EF8">
        <w:noBreakHyphen/>
      </w:r>
      <w:r w:rsidR="00FF293D">
        <w:t>income customers in other Commission programs. Nothing in this decision impacts definitions of low</w:t>
      </w:r>
      <w:r w:rsidR="003D6EF8">
        <w:noBreakHyphen/>
      </w:r>
      <w:r w:rsidR="00FF293D">
        <w:t>income customers applicable to other Commission programs.</w:t>
      </w:r>
      <w:r w:rsidR="00345511">
        <w:t xml:space="preserve"> </w:t>
      </w:r>
      <w:r w:rsidR="00BB6127">
        <w:t>T</w:t>
      </w:r>
      <w:r w:rsidR="00446A02">
        <w:t>his decision</w:t>
      </w:r>
      <w:r w:rsidR="00345511">
        <w:t xml:space="preserve"> </w:t>
      </w:r>
      <w:r w:rsidR="00FF293D">
        <w:t xml:space="preserve">also </w:t>
      </w:r>
      <w:r w:rsidR="00345511">
        <w:t>note</w:t>
      </w:r>
      <w:r w:rsidR="00446A02">
        <w:t>s</w:t>
      </w:r>
      <w:r w:rsidR="00345511">
        <w:t xml:space="preserve"> that several categories under the </w:t>
      </w:r>
      <w:r w:rsidR="00440785">
        <w:t>“</w:t>
      </w:r>
      <w:r w:rsidR="00345511">
        <w:t>low</w:t>
      </w:r>
      <w:r w:rsidR="003D6EF8">
        <w:noBreakHyphen/>
      </w:r>
      <w:r w:rsidR="00345511">
        <w:t>income customer</w:t>
      </w:r>
      <w:r w:rsidR="00440785">
        <w:t>”</w:t>
      </w:r>
      <w:r w:rsidR="00345511">
        <w:t xml:space="preserve"> definition are duplicative; for example, those eligible for CARE </w:t>
      </w:r>
      <w:r w:rsidR="00BB6127">
        <w:t>or</w:t>
      </w:r>
      <w:r w:rsidR="00345511">
        <w:t xml:space="preserve"> FERA are likely also eligible for </w:t>
      </w:r>
      <w:r w:rsidRPr="003B6EA2" w:rsidR="00345511">
        <w:rPr>
          <w:rFonts w:eastAsia="Times New Roman" w:cs="Times New Roman"/>
          <w:szCs w:val="26"/>
        </w:rPr>
        <w:t xml:space="preserve">CalFresh </w:t>
      </w:r>
      <w:r w:rsidR="00345511">
        <w:rPr>
          <w:rFonts w:eastAsia="Times New Roman" w:cs="Times New Roman"/>
          <w:szCs w:val="26"/>
        </w:rPr>
        <w:t>program or SNAP</w:t>
      </w:r>
      <w:r w:rsidR="000267A7">
        <w:t>.</w:t>
      </w:r>
    </w:p>
    <w:p w:rsidRPr="00D87A09" w:rsidR="00345511" w:rsidP="001B1E90" w:rsidRDefault="00345511" w14:paraId="142DFCD0" w14:textId="3A436352">
      <w:pPr>
        <w:pStyle w:val="Heading2"/>
      </w:pPr>
      <w:bookmarkStart w:name="_Toc159551157" w:id="84"/>
      <w:bookmarkStart w:name="_Toc168559277" w:id="85"/>
      <w:r w:rsidRPr="001D050A">
        <w:lastRenderedPageBreak/>
        <w:t>Evaluation of Current</w:t>
      </w:r>
      <w:r w:rsidR="00E70D52">
        <w:br/>
      </w:r>
      <w:r w:rsidR="001B1E90">
        <w:t>Green Access Program</w:t>
      </w:r>
      <w:r w:rsidRPr="001D050A">
        <w:t xml:space="preserve"> </w:t>
      </w:r>
      <w:r>
        <w:t>Offerings</w:t>
      </w:r>
      <w:bookmarkEnd w:id="84"/>
      <w:bookmarkEnd w:id="85"/>
    </w:p>
    <w:p w:rsidR="00345511" w:rsidP="00345511" w:rsidRDefault="00345511" w14:paraId="43487E12" w14:textId="30C31E23">
      <w:pPr>
        <w:pStyle w:val="Standard"/>
      </w:pPr>
      <w:r>
        <w:t xml:space="preserve">Pursuant to </w:t>
      </w:r>
      <w:r w:rsidR="00440785">
        <w:t>Pub. Util.</w:t>
      </w:r>
      <w:r w:rsidR="00EA4CB8">
        <w:t xml:space="preserve"> Code </w:t>
      </w:r>
      <w:r w:rsidR="003627A8">
        <w:t>Section </w:t>
      </w:r>
      <w:r>
        <w:t xml:space="preserve">769.3(b)(1), the Commission shall evaluate each existing customer renewable energy subscription program to determine whether the program meets the outlined goals. Using the objectives outlined above, </w:t>
      </w:r>
      <w:r w:rsidR="00446A02">
        <w:t xml:space="preserve">this decision </w:t>
      </w:r>
      <w:r>
        <w:t>evaluate</w:t>
      </w:r>
      <w:r w:rsidR="00446A02">
        <w:t>s</w:t>
      </w:r>
      <w:r>
        <w:t xml:space="preserve"> the existing </w:t>
      </w:r>
      <w:r w:rsidR="00FF293D">
        <w:t>Green Access Program tariff</w:t>
      </w:r>
      <w:r w:rsidR="00D910D4">
        <w:t>s</w:t>
      </w:r>
      <w:r>
        <w:t xml:space="preserve"> in turn.</w:t>
      </w:r>
    </w:p>
    <w:p w:rsidR="00BA58BF" w:rsidP="001B1E90" w:rsidRDefault="00345511" w14:paraId="2F5C5210" w14:textId="77777777">
      <w:pPr>
        <w:pStyle w:val="Heading3"/>
      </w:pPr>
      <w:bookmarkStart w:name="_Toc159551158" w:id="86"/>
      <w:bookmarkStart w:name="_Toc168559278" w:id="87"/>
      <w:r>
        <w:t>Green Tariff and Enhanced Community Renewables Programs</w:t>
      </w:r>
      <w:bookmarkEnd w:id="86"/>
      <w:bookmarkEnd w:id="87"/>
    </w:p>
    <w:p w:rsidR="00BA58BF" w:rsidP="00345511" w:rsidRDefault="00345511" w14:paraId="34EE4CEF" w14:textId="2E947A7D">
      <w:pPr>
        <w:pStyle w:val="Standard"/>
        <w:rPr>
          <w:lang w:val="en-ZW"/>
        </w:rPr>
      </w:pPr>
      <w:r>
        <w:rPr>
          <w:lang w:val="en-ZW"/>
        </w:rPr>
        <w:t>In parties</w:t>
      </w:r>
      <w:r w:rsidR="00440785">
        <w:rPr>
          <w:lang w:val="en-ZW"/>
        </w:rPr>
        <w:t>’</w:t>
      </w:r>
      <w:r>
        <w:rPr>
          <w:lang w:val="en-ZW"/>
        </w:rPr>
        <w:t xml:space="preserve"> briefs, multiple parties refer to the G</w:t>
      </w:r>
      <w:r w:rsidR="00FA0994">
        <w:rPr>
          <w:lang w:val="en-ZW"/>
        </w:rPr>
        <w:t xml:space="preserve">reen </w:t>
      </w:r>
      <w:r>
        <w:rPr>
          <w:lang w:val="en-ZW"/>
        </w:rPr>
        <w:t>T</w:t>
      </w:r>
      <w:r w:rsidR="00FA0994">
        <w:rPr>
          <w:lang w:val="en-ZW"/>
        </w:rPr>
        <w:t>ariff</w:t>
      </w:r>
      <w:r>
        <w:rPr>
          <w:lang w:val="en-ZW"/>
        </w:rPr>
        <w:t xml:space="preserve"> and ECR programs jointly or refer to them collectively as the GTSR programs. </w:t>
      </w:r>
      <w:r w:rsidR="00446A02">
        <w:rPr>
          <w:lang w:val="en-ZW"/>
        </w:rPr>
        <w:t xml:space="preserve">This decision </w:t>
      </w:r>
      <w:r>
        <w:rPr>
          <w:lang w:val="en-ZW"/>
        </w:rPr>
        <w:t>therefore summarize</w:t>
      </w:r>
      <w:r w:rsidR="00B96D68">
        <w:rPr>
          <w:lang w:val="en-ZW"/>
        </w:rPr>
        <w:t>s</w:t>
      </w:r>
      <w:r>
        <w:rPr>
          <w:lang w:val="en-ZW"/>
        </w:rPr>
        <w:t xml:space="preserve"> parties</w:t>
      </w:r>
      <w:r w:rsidR="00440785">
        <w:rPr>
          <w:lang w:val="en-ZW"/>
        </w:rPr>
        <w:t>’</w:t>
      </w:r>
      <w:r>
        <w:rPr>
          <w:lang w:val="en-ZW"/>
        </w:rPr>
        <w:t xml:space="preserve"> positions on the G</w:t>
      </w:r>
      <w:r w:rsidR="00FA0994">
        <w:rPr>
          <w:lang w:val="en-ZW"/>
        </w:rPr>
        <w:t xml:space="preserve">reen </w:t>
      </w:r>
      <w:r>
        <w:rPr>
          <w:lang w:val="en-ZW"/>
        </w:rPr>
        <w:t>T</w:t>
      </w:r>
      <w:r w:rsidR="00FA0994">
        <w:rPr>
          <w:lang w:val="en-ZW"/>
        </w:rPr>
        <w:t>ariff</w:t>
      </w:r>
      <w:r>
        <w:rPr>
          <w:lang w:val="en-ZW"/>
        </w:rPr>
        <w:t xml:space="preserve"> and ECR programs collectively, noting differences in the programs as warranted.</w:t>
      </w:r>
    </w:p>
    <w:p w:rsidRPr="00DD5B7E" w:rsidR="00345511" w:rsidP="001B1E90" w:rsidRDefault="00345511" w14:paraId="312CB64D" w14:textId="5279AFD2">
      <w:pPr>
        <w:pStyle w:val="Heading4"/>
      </w:pPr>
      <w:bookmarkStart w:name="_Toc159551159" w:id="88"/>
      <w:bookmarkStart w:name="_Toc168559279" w:id="89"/>
      <w:r w:rsidRPr="00A76950">
        <w:t>Efficiently Serves Distinct</w:t>
      </w:r>
      <w:r w:rsidR="00D62231">
        <w:br/>
      </w:r>
      <w:r w:rsidRPr="00A76950">
        <w:t>Customer</w:t>
      </w:r>
      <w:r>
        <w:t xml:space="preserve"> Groups</w:t>
      </w:r>
      <w:bookmarkEnd w:id="88"/>
      <w:bookmarkEnd w:id="89"/>
    </w:p>
    <w:p w:rsidR="00345511" w:rsidP="00345511" w:rsidRDefault="00345511" w14:paraId="1B5A6797" w14:textId="52B9ED3B">
      <w:pPr>
        <w:pStyle w:val="Standard"/>
      </w:pPr>
      <w:r>
        <w:t>Numerous parties assert that the current G</w:t>
      </w:r>
      <w:r w:rsidR="00FA0994">
        <w:t xml:space="preserve">reen </w:t>
      </w:r>
      <w:r>
        <w:t>T</w:t>
      </w:r>
      <w:r w:rsidR="00FA0994">
        <w:t>ariff</w:t>
      </w:r>
      <w:r>
        <w:t xml:space="preserve"> and ECR programs fail to efficiently serve distinct customer groups, including </w:t>
      </w:r>
      <w:r w:rsidR="002917E2">
        <w:t>Cal Advoc</w:t>
      </w:r>
      <w:r w:rsidRPr="0085608E">
        <w:t xml:space="preserve">ates, </w:t>
      </w:r>
      <w:r>
        <w:t xml:space="preserve">CUE, </w:t>
      </w:r>
      <w:r w:rsidRPr="0085608E">
        <w:t>Cypress Creek, CCSA, PG&amp;E, SBUA</w:t>
      </w:r>
      <w:r>
        <w:t xml:space="preserve">, </w:t>
      </w:r>
      <w:r w:rsidRPr="0085608E">
        <w:t>SCE, SDG&amp;E, SEIA</w:t>
      </w:r>
      <w:r>
        <w:t>,</w:t>
      </w:r>
      <w:r w:rsidRPr="0085608E">
        <w:t xml:space="preserve"> SoCal CCAs</w:t>
      </w:r>
      <w:r>
        <w:t xml:space="preserve">, and </w:t>
      </w:r>
      <w:r w:rsidRPr="0085608E">
        <w:t>TURN.</w:t>
      </w:r>
      <w:r w:rsidRPr="0085608E">
        <w:rPr>
          <w:rStyle w:val="FootnoteReference"/>
        </w:rPr>
        <w:footnoteReference w:id="76"/>
      </w:r>
    </w:p>
    <w:p w:rsidR="00345511" w:rsidP="00345511" w:rsidRDefault="00345511" w14:paraId="7644C77F" w14:textId="76983E8A">
      <w:pPr>
        <w:pStyle w:val="Standard"/>
      </w:pPr>
      <w:r>
        <w:t xml:space="preserve">Regarding the ECR program, </w:t>
      </w:r>
      <w:r w:rsidR="00817DD6">
        <w:t>U</w:t>
      </w:r>
      <w:r w:rsidR="005049AB">
        <w:t xml:space="preserve">tilities </w:t>
      </w:r>
      <w:r>
        <w:t>state that their respective programs have had no active customer enrollment since the inception of the programs.</w:t>
      </w:r>
      <w:r>
        <w:rPr>
          <w:rStyle w:val="FootnoteReference"/>
        </w:rPr>
        <w:footnoteReference w:id="77"/>
      </w:r>
      <w:r>
        <w:t xml:space="preserve"> SCE</w:t>
      </w:r>
      <w:r w:rsidR="00BB6127">
        <w:t xml:space="preserve">, which markets its ECR program as the </w:t>
      </w:r>
      <w:r w:rsidRPr="00FD66C0" w:rsidR="00BB6127">
        <w:t xml:space="preserve">Green Tariff Shared Renewables Community Renewables </w:t>
      </w:r>
      <w:r w:rsidR="00BB6127">
        <w:t>(</w:t>
      </w:r>
      <w:r w:rsidRPr="00FD66C0" w:rsidR="00BB6127">
        <w:rPr>
          <w:rFonts w:cs="TimesNewRomanPSMT"/>
          <w:szCs w:val="26"/>
        </w:rPr>
        <w:t>GTSR</w:t>
      </w:r>
      <w:r w:rsidR="003D6EF8">
        <w:rPr>
          <w:rFonts w:cs="TimesNewRomanPSMT"/>
          <w:szCs w:val="26"/>
        </w:rPr>
        <w:noBreakHyphen/>
      </w:r>
      <w:r w:rsidRPr="00FD66C0" w:rsidR="00BB6127">
        <w:rPr>
          <w:rFonts w:cs="TimesNewRomanPSMT"/>
          <w:szCs w:val="26"/>
        </w:rPr>
        <w:t>CR</w:t>
      </w:r>
      <w:r w:rsidR="00BB6127">
        <w:t>) program,</w:t>
      </w:r>
      <w:r>
        <w:t xml:space="preserve"> reports that it has three facilities </w:t>
      </w:r>
      <w:r>
        <w:lastRenderedPageBreak/>
        <w:t>under contract (totaling 35</w:t>
      </w:r>
      <w:r w:rsidR="0096488E">
        <w:t> MW</w:t>
      </w:r>
      <w:r>
        <w:t>) that are expected to come online in 2023 and 2024.</w:t>
      </w:r>
      <w:r w:rsidR="00153FFB">
        <w:rPr>
          <w:rStyle w:val="FootnoteReference"/>
        </w:rPr>
        <w:footnoteReference w:id="78"/>
      </w:r>
      <w:r>
        <w:t xml:space="preserve"> SDG&amp;E states that its ECR program has not attracted any developers, and PG&amp;E states that any potential ECR projects have been terminated by developers and its program currently has no prospective projects.</w:t>
      </w:r>
    </w:p>
    <w:p w:rsidR="00BA58BF" w:rsidP="00345511" w:rsidRDefault="00345511" w14:paraId="6382993E" w14:textId="6FBC4FD0">
      <w:pPr>
        <w:pStyle w:val="Standard"/>
      </w:pPr>
      <w:r>
        <w:t>Regarding the G</w:t>
      </w:r>
      <w:r w:rsidR="00FA0994">
        <w:t xml:space="preserve">reen </w:t>
      </w:r>
      <w:r>
        <w:t>T</w:t>
      </w:r>
      <w:r w:rsidR="00FA0994">
        <w:t>ariff</w:t>
      </w:r>
      <w:r>
        <w:t xml:space="preserve"> program, SDG&amp;E maintains that its program was successful until 2018, at which point most of SDG&amp;E</w:t>
      </w:r>
      <w:r w:rsidR="00440785">
        <w:t>’</w:t>
      </w:r>
      <w:r>
        <w:t xml:space="preserve">s customers </w:t>
      </w:r>
      <w:r w:rsidR="00BB6127">
        <w:t xml:space="preserve">were automatically unsubscribed from Green Tariff and defaulted to </w:t>
      </w:r>
      <w:r>
        <w:t>CCA</w:t>
      </w:r>
      <w:r w:rsidR="00BB6127">
        <w:t xml:space="preserve"> </w:t>
      </w:r>
      <w:r>
        <w:t>s</w:t>
      </w:r>
      <w:r w:rsidR="00BB6127">
        <w:t>ervice</w:t>
      </w:r>
      <w:r>
        <w:t>.</w:t>
      </w:r>
      <w:r>
        <w:rPr>
          <w:rStyle w:val="FootnoteReference"/>
        </w:rPr>
        <w:footnoteReference w:id="79"/>
      </w:r>
      <w:r>
        <w:t xml:space="preserve"> SDG&amp;E states that this caused rates to spike</w:t>
      </w:r>
      <w:r w:rsidR="00153FFB">
        <w:t xml:space="preserve"> for its few remaining </w:t>
      </w:r>
      <w:r w:rsidR="005C777D">
        <w:t xml:space="preserve">participating </w:t>
      </w:r>
      <w:r w:rsidR="00153FFB">
        <w:t>customers</w:t>
      </w:r>
      <w:r>
        <w:t>, leading to customer attrition and ultimately program suspension in 2022. PG&amp;E states that its G</w:t>
      </w:r>
      <w:r w:rsidR="00FA0994">
        <w:t xml:space="preserve">reen </w:t>
      </w:r>
      <w:r>
        <w:t>T</w:t>
      </w:r>
      <w:r w:rsidR="00FA0994">
        <w:t>ariff</w:t>
      </w:r>
      <w:r>
        <w:t xml:space="preserve"> program has been suspended for new enrollment at PG&amp;E</w:t>
      </w:r>
      <w:r w:rsidR="00440785">
        <w:t>’</w:t>
      </w:r>
      <w:r>
        <w:t xml:space="preserve">s request due to rapid </w:t>
      </w:r>
      <w:r w:rsidR="000E706F">
        <w:t xml:space="preserve">customer </w:t>
      </w:r>
      <w:r>
        <w:t xml:space="preserve">enrollment, </w:t>
      </w:r>
      <w:r w:rsidR="00856E4F">
        <w:t>which exceeds purpose</w:t>
      </w:r>
      <w:r w:rsidR="003D6EF8">
        <w:noBreakHyphen/>
      </w:r>
      <w:r w:rsidR="00856E4F">
        <w:t xml:space="preserve">built renewable resources, </w:t>
      </w:r>
      <w:r>
        <w:t>stemm</w:t>
      </w:r>
      <w:r w:rsidR="00856E4F">
        <w:t>ing</w:t>
      </w:r>
      <w:r>
        <w:t xml:space="preserve"> from favorable </w:t>
      </w:r>
      <w:r w:rsidR="008E4394">
        <w:t>Green Tariff</w:t>
      </w:r>
      <w:r w:rsidR="005C777D">
        <w:t xml:space="preserve"> </w:t>
      </w:r>
      <w:r>
        <w:t>rates</w:t>
      </w:r>
      <w:r w:rsidR="005C777D">
        <w:t xml:space="preserve"> that became lower than the default rate</w:t>
      </w:r>
      <w:r>
        <w:t>.</w:t>
      </w:r>
      <w:r>
        <w:rPr>
          <w:rStyle w:val="FootnoteReference"/>
        </w:rPr>
        <w:footnoteReference w:id="80"/>
      </w:r>
      <w:r>
        <w:t xml:space="preserve"> </w:t>
      </w:r>
      <w:r w:rsidR="00153FFB">
        <w:t>Despite PG&amp;E</w:t>
      </w:r>
      <w:r w:rsidR="00440785">
        <w:t>’</w:t>
      </w:r>
      <w:r w:rsidR="00153FFB">
        <w:t xml:space="preserve">s solicitations to procure additional resources for the program, PG&amp;E states that it has been unsuccessful in contracting new resources. </w:t>
      </w:r>
      <w:r>
        <w:t>SCE reports that</w:t>
      </w:r>
      <w:r w:rsidR="00A9286F">
        <w:t>,</w:t>
      </w:r>
      <w:r>
        <w:t xml:space="preserve"> at its peak, its G</w:t>
      </w:r>
      <w:r w:rsidR="00FA0994">
        <w:t xml:space="preserve">reen </w:t>
      </w:r>
      <w:r>
        <w:t>T</w:t>
      </w:r>
      <w:r w:rsidR="00FA0994">
        <w:t>ariff</w:t>
      </w:r>
      <w:r>
        <w:t xml:space="preserve"> program served 1,128 residential and 1,982 non</w:t>
      </w:r>
      <w:r w:rsidR="003D6EF8">
        <w:noBreakHyphen/>
      </w:r>
      <w:r>
        <w:t>residential enrolled customers (totaling 50</w:t>
      </w:r>
      <w:r w:rsidR="0096488E">
        <w:t> MW</w:t>
      </w:r>
      <w:r>
        <w:t xml:space="preserve"> of capacity), but the program has been suspended </w:t>
      </w:r>
      <w:r w:rsidR="005C777D">
        <w:t xml:space="preserve">to </w:t>
      </w:r>
      <w:r>
        <w:t xml:space="preserve">new enrollment </w:t>
      </w:r>
      <w:r w:rsidR="00A9286F">
        <w:t xml:space="preserve">because </w:t>
      </w:r>
      <w:r>
        <w:t>it is fully subscribed</w:t>
      </w:r>
      <w:r w:rsidR="005C777D">
        <w:t xml:space="preserve"> and </w:t>
      </w:r>
      <w:r w:rsidR="00A9286F">
        <w:t xml:space="preserve">because its </w:t>
      </w:r>
      <w:r w:rsidR="005C777D">
        <w:t xml:space="preserve">demand exceeds </w:t>
      </w:r>
      <w:r w:rsidR="00A9286F">
        <w:t xml:space="preserve">its </w:t>
      </w:r>
      <w:r w:rsidR="005C777D">
        <w:t>supply</w:t>
      </w:r>
      <w:r>
        <w:t>.</w:t>
      </w:r>
      <w:r>
        <w:rPr>
          <w:rStyle w:val="FootnoteReference"/>
        </w:rPr>
        <w:footnoteReference w:id="81"/>
      </w:r>
    </w:p>
    <w:p w:rsidR="00BA58BF" w:rsidP="00345511" w:rsidRDefault="00345511" w14:paraId="715E5B0A" w14:textId="02C8A905">
      <w:pPr>
        <w:pStyle w:val="Standard"/>
      </w:pPr>
      <w:r>
        <w:lastRenderedPageBreak/>
        <w:t xml:space="preserve">Many parties, including </w:t>
      </w:r>
      <w:r w:rsidR="002917E2">
        <w:t>Cal Advoc</w:t>
      </w:r>
      <w:r>
        <w:t>ates, CUE, Cypress Creek, CCSA, PG&amp;E, SBUA, SEIA, SoCal CCAs, and TURN, posit that the G</w:t>
      </w:r>
      <w:r w:rsidR="00FA0994">
        <w:t xml:space="preserve">reen </w:t>
      </w:r>
      <w:r>
        <w:t>T</w:t>
      </w:r>
      <w:r w:rsidR="00FA0994">
        <w:t>ariff</w:t>
      </w:r>
      <w:r>
        <w:t xml:space="preserve"> program is inefficient and has low participation because it offers a</w:t>
      </w:r>
      <w:r w:rsidR="00FD31DD">
        <w:t>n</w:t>
      </w:r>
      <w:r>
        <w:t xml:space="preserve"> </w:t>
      </w:r>
      <w:r w:rsidR="00FD31DD">
        <w:t xml:space="preserve">unpredictable </w:t>
      </w:r>
      <w:r>
        <w:t>product with rate volatility.</w:t>
      </w:r>
      <w:r>
        <w:rPr>
          <w:rStyle w:val="FootnoteReference"/>
        </w:rPr>
        <w:footnoteReference w:id="82"/>
      </w:r>
      <w:r>
        <w:t xml:space="preserve"> Parties cite PG&amp;E</w:t>
      </w:r>
      <w:r w:rsidR="00440785">
        <w:t>’</w:t>
      </w:r>
      <w:r>
        <w:t>s G</w:t>
      </w:r>
      <w:r w:rsidR="00FA0994">
        <w:t xml:space="preserve">reen </w:t>
      </w:r>
      <w:r>
        <w:t>T</w:t>
      </w:r>
      <w:r w:rsidR="00FA0994">
        <w:t>ariff</w:t>
      </w:r>
      <w:r>
        <w:t xml:space="preserve"> program as an example of the rate instability</w:t>
      </w:r>
      <w:r w:rsidR="005C777D">
        <w:t>.</w:t>
      </w:r>
      <w:r>
        <w:t xml:space="preserve"> </w:t>
      </w:r>
      <w:r w:rsidR="005C777D">
        <w:t>The G</w:t>
      </w:r>
      <w:r w:rsidR="00FA0994">
        <w:t xml:space="preserve">reen </w:t>
      </w:r>
      <w:r w:rsidR="005C777D">
        <w:t>T</w:t>
      </w:r>
      <w:r w:rsidR="00FA0994">
        <w:t>ariff</w:t>
      </w:r>
      <w:r w:rsidR="005C777D">
        <w:t xml:space="preserve"> rate, which is established in a different proceeding, has at times switched between being positive (a net premium) and negative (a net discount)</w:t>
      </w:r>
      <w:r>
        <w:t xml:space="preserve">, resulting in </w:t>
      </w:r>
      <w:r w:rsidR="005C777D">
        <w:t xml:space="preserve">large shifts in </w:t>
      </w:r>
      <w:r>
        <w:t>enrollment</w:t>
      </w:r>
      <w:r w:rsidR="005C777D">
        <w:t>. Such an enrollment</w:t>
      </w:r>
      <w:r>
        <w:t xml:space="preserve"> surge</w:t>
      </w:r>
      <w:r w:rsidR="005C777D">
        <w:t xml:space="preserve"> occurred in 2020</w:t>
      </w:r>
      <w:r w:rsidR="003D6EF8">
        <w:noBreakHyphen/>
      </w:r>
      <w:r w:rsidR="005C777D">
        <w:t>2021, as subscribed load increased from 35</w:t>
      </w:r>
      <w:r w:rsidR="0096488E">
        <w:t> MW</w:t>
      </w:r>
      <w:r w:rsidR="005C777D">
        <w:t xml:space="preserve"> in December 2020 to 235</w:t>
      </w:r>
      <w:r w:rsidR="0096488E">
        <w:t> MW</w:t>
      </w:r>
      <w:r w:rsidR="005C777D">
        <w:t xml:space="preserve"> by April 2021 in response to a shift in the G</w:t>
      </w:r>
      <w:r w:rsidR="003B2FF1">
        <w:t xml:space="preserve">reen </w:t>
      </w:r>
      <w:r w:rsidR="005C777D">
        <w:t>T</w:t>
      </w:r>
      <w:r w:rsidR="003B2FF1">
        <w:t>ariff</w:t>
      </w:r>
      <w:r w:rsidR="005C777D">
        <w:t xml:space="preserve"> balance from a net premium to a net discount</w:t>
      </w:r>
      <w:r>
        <w:t>.</w:t>
      </w:r>
      <w:r>
        <w:rPr>
          <w:rStyle w:val="FootnoteReference"/>
        </w:rPr>
        <w:footnoteReference w:id="83"/>
      </w:r>
      <w:r>
        <w:t xml:space="preserve"> </w:t>
      </w:r>
      <w:r w:rsidR="002917E2">
        <w:t>Cal Advoc</w:t>
      </w:r>
      <w:r>
        <w:t>ates and Cypress Creek assert that the G</w:t>
      </w:r>
      <w:r w:rsidR="00FA0994">
        <w:t xml:space="preserve">reen </w:t>
      </w:r>
      <w:r>
        <w:t>T</w:t>
      </w:r>
      <w:r w:rsidR="00FA0994">
        <w:t>ariff</w:t>
      </w:r>
      <w:r>
        <w:t xml:space="preserve"> program</w:t>
      </w:r>
      <w:r w:rsidR="00440785">
        <w:t>’</w:t>
      </w:r>
      <w:r>
        <w:t>s tariff and design structure does not support commercial development, and that only about one</w:t>
      </w:r>
      <w:r w:rsidR="003D6EF8">
        <w:noBreakHyphen/>
      </w:r>
      <w:r>
        <w:t>third of the allotted capacity for all GTSR programs has been procured since the program was authorized.</w:t>
      </w:r>
      <w:r>
        <w:rPr>
          <w:rStyle w:val="FootnoteReference"/>
        </w:rPr>
        <w:footnoteReference w:id="84"/>
      </w:r>
    </w:p>
    <w:p w:rsidR="00345511" w:rsidP="00345511" w:rsidRDefault="00345511" w14:paraId="718F663B" w14:textId="58F1DA65">
      <w:pPr>
        <w:pStyle w:val="Standard"/>
      </w:pPr>
      <w:r>
        <w:t xml:space="preserve">Cypress Creek, CBD, </w:t>
      </w:r>
      <w:r w:rsidR="002917E2">
        <w:t>Cal Advoc</w:t>
      </w:r>
      <w:r>
        <w:t>ates, PG&amp;E, SEIA, and TURN state that the ECR program also experiences rate volatility that makes it unappealing to customers and developers.</w:t>
      </w:r>
      <w:r>
        <w:rPr>
          <w:rStyle w:val="FootnoteReference"/>
        </w:rPr>
        <w:footnoteReference w:id="85"/>
      </w:r>
      <w:r w:rsidRPr="00C16580">
        <w:t xml:space="preserve"> </w:t>
      </w:r>
      <w:r>
        <w:t xml:space="preserve">CBD, Cypress Creek, SEIA, and TURN argue that fluctuations in the </w:t>
      </w:r>
      <w:r w:rsidRPr="00FD66C0">
        <w:t>Power Charge Indifference Adjustment</w:t>
      </w:r>
      <w:r>
        <w:t xml:space="preserve"> and generation rates make it difficult to reliably forecast future premiums or discounts. PG&amp;E, Cypress Creek, and SEIA state that the ECR program</w:t>
      </w:r>
      <w:r w:rsidR="00440785">
        <w:t>’</w:t>
      </w:r>
      <w:r>
        <w:t xml:space="preserve">s community interest </w:t>
      </w:r>
      <w:r>
        <w:lastRenderedPageBreak/>
        <w:t>process is a burdensome requirement that has been a significant barrier to the program</w:t>
      </w:r>
      <w:r w:rsidR="00440785">
        <w:t>’</w:t>
      </w:r>
      <w:r>
        <w:t>s success. PG&amp;E states that a customer</w:t>
      </w:r>
      <w:r w:rsidR="00440785">
        <w:t>’</w:t>
      </w:r>
      <w:r>
        <w:t>s bill credits are tied to a solar project</w:t>
      </w:r>
      <w:r w:rsidR="00440785">
        <w:t>’</w:t>
      </w:r>
      <w:r>
        <w:t>s variable generation, which makes it complex for a customer to understand costs and benefits. PG&amp;E adds that a developer assumes the risk of unsubscribed energy being compensated at a lower</w:t>
      </w:r>
      <w:r w:rsidR="003D6EF8">
        <w:noBreakHyphen/>
      </w:r>
      <w:r>
        <w:t>than</w:t>
      </w:r>
      <w:r w:rsidR="003D6EF8">
        <w:noBreakHyphen/>
      </w:r>
      <w:r>
        <w:t>expected price if enrollments do not meet minimum thresholds.</w:t>
      </w:r>
    </w:p>
    <w:p w:rsidR="00345511" w:rsidP="001B1E90" w:rsidRDefault="00345511" w14:paraId="4F204FC6" w14:textId="77777777">
      <w:pPr>
        <w:pStyle w:val="Heading4"/>
      </w:pPr>
      <w:bookmarkStart w:name="_Toc158024670" w:id="90"/>
      <w:bookmarkStart w:name="_Toc159551160" w:id="91"/>
      <w:bookmarkStart w:name="_Toc168559280" w:id="92"/>
      <w:bookmarkEnd w:id="90"/>
      <w:r>
        <w:t>Minimize Duplicative Offerings</w:t>
      </w:r>
      <w:bookmarkEnd w:id="91"/>
      <w:bookmarkEnd w:id="92"/>
    </w:p>
    <w:p w:rsidR="00BA58BF" w:rsidP="00345511" w:rsidRDefault="00345511" w14:paraId="230BED7B" w14:textId="77777777">
      <w:pPr>
        <w:pStyle w:val="Standard"/>
      </w:pPr>
      <w:r>
        <w:t>Several parties state that the G</w:t>
      </w:r>
      <w:r w:rsidR="00FA0994">
        <w:t xml:space="preserve">reen </w:t>
      </w:r>
      <w:r>
        <w:t>T</w:t>
      </w:r>
      <w:r w:rsidR="00FA0994">
        <w:t>ariff</w:t>
      </w:r>
      <w:r>
        <w:t xml:space="preserve"> and ECR programs are duplicative offerings to each other, or to other offerings, including PG&amp;E, Cypress Creek, SEIA, SCE, and TURN.</w:t>
      </w:r>
      <w:r>
        <w:rPr>
          <w:rStyle w:val="FootnoteReference"/>
        </w:rPr>
        <w:footnoteReference w:id="86"/>
      </w:r>
      <w:r>
        <w:t xml:space="preserve"> PG&amp;E states that the G</w:t>
      </w:r>
      <w:r w:rsidR="00FA0994">
        <w:t xml:space="preserve">reen </w:t>
      </w:r>
      <w:r>
        <w:t>T</w:t>
      </w:r>
      <w:r w:rsidR="00FA0994">
        <w:t>ariff</w:t>
      </w:r>
      <w:r>
        <w:t xml:space="preserve"> and ECR programs are technically separate offerings with different rules, but in practice the programs are duplicative because they are designed to serve customers that cannot host a renewable system. Cypress Creek and SEIA similarly state that in theory the G</w:t>
      </w:r>
      <w:r w:rsidR="00FA0994">
        <w:t xml:space="preserve">reen </w:t>
      </w:r>
      <w:r>
        <w:t>T</w:t>
      </w:r>
      <w:r w:rsidR="00FA0994">
        <w:t>ariff</w:t>
      </w:r>
      <w:r>
        <w:t xml:space="preserve"> and ECR programs are meant to target different customers, but that both programs offer an unattractive product compared to other customer renewable programs. TURN remarks that the G</w:t>
      </w:r>
      <w:r w:rsidR="00FA0994">
        <w:t xml:space="preserve">reen </w:t>
      </w:r>
      <w:r>
        <w:t>T</w:t>
      </w:r>
      <w:r w:rsidR="00FA0994">
        <w:t>ariff</w:t>
      </w:r>
      <w:r>
        <w:t xml:space="preserve"> and ECR programs are duplicative as both are available to bundled customers, and</w:t>
      </w:r>
      <w:r w:rsidRPr="00D573AF">
        <w:t xml:space="preserve"> </w:t>
      </w:r>
      <w:r>
        <w:t>that because the ECR program has broad eligibility, any eligible customer can participate in another G</w:t>
      </w:r>
      <w:r w:rsidR="007C2FC9">
        <w:t xml:space="preserve">reen </w:t>
      </w:r>
      <w:r>
        <w:t>A</w:t>
      </w:r>
      <w:r w:rsidR="007C2FC9">
        <w:t xml:space="preserve">ccess </w:t>
      </w:r>
      <w:r>
        <w:t>P</w:t>
      </w:r>
      <w:r w:rsidR="007C2FC9">
        <w:t>rogram</w:t>
      </w:r>
      <w:r>
        <w:t xml:space="preserve"> offering.</w:t>
      </w:r>
    </w:p>
    <w:p w:rsidR="00345511" w:rsidP="00345511" w:rsidRDefault="00345511" w14:paraId="387867CB" w14:textId="24C0B222">
      <w:pPr>
        <w:pStyle w:val="Standard"/>
      </w:pPr>
      <w:r w:rsidRPr="0043232A">
        <w:t>SCE states that its GTSR and DAC programs are duplicative because they rely on program</w:t>
      </w:r>
      <w:r w:rsidR="003D6EF8">
        <w:noBreakHyphen/>
      </w:r>
      <w:r w:rsidRPr="0043232A">
        <w:t xml:space="preserve">dedicated procurement </w:t>
      </w:r>
      <w:r>
        <w:t xml:space="preserve">but notes that </w:t>
      </w:r>
      <w:r w:rsidRPr="0043232A">
        <w:t xml:space="preserve">its </w:t>
      </w:r>
      <w:r>
        <w:t>programs</w:t>
      </w:r>
      <w:r w:rsidRPr="0043232A">
        <w:t xml:space="preserve"> target different markets, </w:t>
      </w:r>
      <w:r>
        <w:t>which</w:t>
      </w:r>
      <w:r w:rsidRPr="0043232A">
        <w:t xml:space="preserve"> minimize duplication.</w:t>
      </w:r>
      <w:r w:rsidRPr="0043232A">
        <w:rPr>
          <w:rStyle w:val="FootnoteReference"/>
        </w:rPr>
        <w:footnoteReference w:id="87"/>
      </w:r>
      <w:r w:rsidRPr="0043232A">
        <w:t xml:space="preserve"> </w:t>
      </w:r>
      <w:r>
        <w:t xml:space="preserve">SDG&amp;E notes that all of the </w:t>
      </w:r>
      <w:r>
        <w:lastRenderedPageBreak/>
        <w:t>current G</w:t>
      </w:r>
      <w:r w:rsidR="007C2FC9">
        <w:t xml:space="preserve">reen </w:t>
      </w:r>
      <w:r>
        <w:t>A</w:t>
      </w:r>
      <w:r w:rsidR="007C2FC9">
        <w:t xml:space="preserve">ccess </w:t>
      </w:r>
      <w:r>
        <w:t>P</w:t>
      </w:r>
      <w:r w:rsidR="007C2FC9">
        <w:t>rogram</w:t>
      </w:r>
      <w:r>
        <w:t>s were designed to serve distinct customer groups and minimize duplication with incentive programs.</w:t>
      </w:r>
      <w:r>
        <w:rPr>
          <w:rStyle w:val="FootnoteReference"/>
        </w:rPr>
        <w:footnoteReference w:id="88"/>
      </w:r>
    </w:p>
    <w:p w:rsidRPr="006E48D6" w:rsidR="00345511" w:rsidP="001B1E90" w:rsidRDefault="00345511" w14:paraId="7E32B933" w14:textId="04667611">
      <w:pPr>
        <w:pStyle w:val="Heading4"/>
      </w:pPr>
      <w:bookmarkStart w:name="_Toc159551161" w:id="93"/>
      <w:bookmarkStart w:name="_Toc168559281" w:id="94"/>
      <w:r w:rsidRPr="006E48D6">
        <w:t>Promotes Robust</w:t>
      </w:r>
      <w:r w:rsidR="00D62231">
        <w:br/>
      </w:r>
      <w:r w:rsidRPr="006E48D6">
        <w:t>Low</w:t>
      </w:r>
      <w:r w:rsidR="003D6EF8">
        <w:noBreakHyphen/>
      </w:r>
      <w:r w:rsidRPr="006E48D6">
        <w:t>Income Participation</w:t>
      </w:r>
      <w:bookmarkEnd w:id="93"/>
      <w:bookmarkEnd w:id="94"/>
    </w:p>
    <w:p w:rsidR="00345511" w:rsidP="00345511" w:rsidRDefault="00345511" w14:paraId="7AF7CD4A" w14:textId="4B3D141A">
      <w:pPr>
        <w:pStyle w:val="Standard"/>
      </w:pPr>
      <w:r>
        <w:t>Multiple parties assert that the G</w:t>
      </w:r>
      <w:r w:rsidR="00FA0994">
        <w:t xml:space="preserve">reen </w:t>
      </w:r>
      <w:r>
        <w:t>T</w:t>
      </w:r>
      <w:r w:rsidR="00FA0994">
        <w:t>ariff</w:t>
      </w:r>
      <w:r>
        <w:t xml:space="preserve"> and ECR programs do not promote robust low</w:t>
      </w:r>
      <w:r w:rsidR="003D6EF8">
        <w:noBreakHyphen/>
      </w:r>
      <w:r>
        <w:t xml:space="preserve">income participation, including CCSA, CUE, Cypress Creek,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SCE, SDG&amp;E, SEIA, and TURN.</w:t>
      </w:r>
      <w:r>
        <w:rPr>
          <w:rStyle w:val="FootnoteReference"/>
        </w:rPr>
        <w:footnoteReference w:id="89"/>
      </w:r>
    </w:p>
    <w:p w:rsidR="00345511" w:rsidP="00345511" w:rsidRDefault="00345511" w14:paraId="0F8B8227" w14:textId="1AFCA549">
      <w:pPr>
        <w:pStyle w:val="Standard"/>
      </w:pPr>
      <w:r>
        <w:t xml:space="preserve">As discussed above, </w:t>
      </w:r>
      <w:r w:rsidR="00817DD6">
        <w:t>U</w:t>
      </w:r>
      <w:r w:rsidR="005F31CA">
        <w:t xml:space="preserve">tilities </w:t>
      </w:r>
      <w:r>
        <w:t>report that their respective ECR programs have had no active customer enrollment since the inception of the programs.</w:t>
      </w:r>
      <w:r>
        <w:rPr>
          <w:rStyle w:val="FootnoteReference"/>
        </w:rPr>
        <w:footnoteReference w:id="90"/>
      </w:r>
      <w:r>
        <w:t xml:space="preserve"> For its G</w:t>
      </w:r>
      <w:r w:rsidR="00FA0994">
        <w:t xml:space="preserve">reen </w:t>
      </w:r>
      <w:r>
        <w:t>T</w:t>
      </w:r>
      <w:r w:rsidR="00FA0994">
        <w:t>ariff</w:t>
      </w:r>
      <w:r>
        <w:t xml:space="preserve"> program, SCE states that currently 129 CARE/FERA customers are enrolled (approximately 11</w:t>
      </w:r>
      <w:r w:rsidR="00405FF8">
        <w:t> percent</w:t>
      </w:r>
      <w:r>
        <w:t xml:space="preserve"> of </w:t>
      </w:r>
      <w:r w:rsidR="007C2FC9">
        <w:t xml:space="preserve">its participating </w:t>
      </w:r>
      <w:r>
        <w:t>residential customers) and that since 2016, 269 CARE customers have enrolled.</w:t>
      </w:r>
      <w:r>
        <w:rPr>
          <w:rStyle w:val="FootnoteReference"/>
        </w:rPr>
        <w:footnoteReference w:id="91"/>
      </w:r>
      <w:r>
        <w:t xml:space="preserve"> SCE adds that new enrollment is not possible because the capacity limit has been reached and there are no other facilities under contract. SDG&amp;E states that in early 2022 (the last year the G</w:t>
      </w:r>
      <w:r w:rsidR="00FA0994">
        <w:t xml:space="preserve">reen </w:t>
      </w:r>
      <w:r>
        <w:t>T</w:t>
      </w:r>
      <w:r w:rsidR="00FA0994">
        <w:t>ariff</w:t>
      </w:r>
      <w:r>
        <w:t xml:space="preserve"> program was available before suspension), it had 362 CARE customers enrolled.</w:t>
      </w:r>
      <w:r>
        <w:rPr>
          <w:rStyle w:val="FootnoteReference"/>
        </w:rPr>
        <w:footnoteReference w:id="92"/>
      </w:r>
      <w:r>
        <w:t xml:space="preserve"> PG&amp;E informs that as of 2022, it had 764 CARE customers enrolled, and that since 2016, 1,082 CARE customers have enrolled.</w:t>
      </w:r>
      <w:r>
        <w:rPr>
          <w:rStyle w:val="FootnoteReference"/>
        </w:rPr>
        <w:footnoteReference w:id="93"/>
      </w:r>
    </w:p>
    <w:p w:rsidR="00BA58BF" w:rsidP="00345511" w:rsidRDefault="00345511" w14:paraId="3BCCAE29" w14:textId="194F611D">
      <w:pPr>
        <w:pStyle w:val="Standard"/>
      </w:pPr>
      <w:r>
        <w:t xml:space="preserve">CCSA, CBD,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CUE, Cypress Creek, SDG&amp;E, SEIA, and TURN state that the G</w:t>
      </w:r>
      <w:r w:rsidR="00FA0994">
        <w:t xml:space="preserve">reen </w:t>
      </w:r>
      <w:r>
        <w:t>T</w:t>
      </w:r>
      <w:r w:rsidR="00FA0994">
        <w:t>ariff</w:t>
      </w:r>
      <w:r>
        <w:t xml:space="preserve"> program fails to promote low</w:t>
      </w:r>
      <w:r w:rsidR="003D6EF8">
        <w:noBreakHyphen/>
      </w:r>
      <w:r>
        <w:t xml:space="preserve">income participation </w:t>
      </w:r>
      <w:r>
        <w:lastRenderedPageBreak/>
        <w:t>because it is designed as a premium product such that enrollees must pay more for their bill than they would under standard service.</w:t>
      </w:r>
      <w:r>
        <w:rPr>
          <w:rStyle w:val="FootnoteReference"/>
        </w:rPr>
        <w:footnoteReference w:id="94"/>
      </w:r>
      <w:r>
        <w:t xml:space="preserve"> Cypress Creek,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and SEIA reason that enrolling low</w:t>
      </w:r>
      <w:r w:rsidR="003D6EF8">
        <w:noBreakHyphen/>
      </w:r>
      <w:r>
        <w:t>income customers at scale requires guaranteed savings for customers.</w:t>
      </w:r>
    </w:p>
    <w:p w:rsidR="00BA58BF" w:rsidP="00345511" w:rsidRDefault="00345511" w14:paraId="2250201B" w14:textId="52066D8A">
      <w:pPr>
        <w:pStyle w:val="Standard"/>
      </w:pPr>
      <w:r>
        <w:t>Cypress Creek, SCE, SEIA, and TURN argue that the ECR program fails to promote low</w:t>
      </w:r>
      <w:r w:rsidR="003D6EF8">
        <w:noBreakHyphen/>
      </w:r>
      <w:r>
        <w:t>income participation because the rate structure results in either a potential premium or savings, and a developer or customer does not know which it will be, which makes the product an unattractive option.</w:t>
      </w:r>
      <w:r>
        <w:rPr>
          <w:rStyle w:val="FootnoteReference"/>
        </w:rPr>
        <w:footnoteReference w:id="95"/>
      </w:r>
    </w:p>
    <w:p w:rsidRPr="00AF383F" w:rsidR="00345511" w:rsidP="001B1E90" w:rsidRDefault="00345511" w14:paraId="7F6E6034" w14:textId="039DA107">
      <w:pPr>
        <w:pStyle w:val="Heading4"/>
      </w:pPr>
      <w:bookmarkStart w:name="_Toc159551162" w:id="95"/>
      <w:bookmarkStart w:name="_Toc168559282" w:id="96"/>
      <w:r>
        <w:t xml:space="preserve">Impact of Departing Load from </w:t>
      </w:r>
      <w:r w:rsidR="004E597B">
        <w:t>Community Choice Aggregat</w:t>
      </w:r>
      <w:r w:rsidR="00CF3698">
        <w:t>or</w:t>
      </w:r>
      <w:r>
        <w:t>s</w:t>
      </w:r>
      <w:bookmarkEnd w:id="95"/>
      <w:bookmarkEnd w:id="96"/>
    </w:p>
    <w:p w:rsidR="00345511" w:rsidP="00345511" w:rsidRDefault="00345511" w14:paraId="486DA03A" w14:textId="4B582FCA">
      <w:pPr>
        <w:pStyle w:val="Standard"/>
      </w:pPr>
      <w:r>
        <w:t xml:space="preserve">As provided in </w:t>
      </w:r>
      <w:r w:rsidR="00440785">
        <w:t>Pub. Util.</w:t>
      </w:r>
      <w:r w:rsidR="00FA0994">
        <w:t xml:space="preserve"> Code </w:t>
      </w:r>
      <w:r w:rsidR="003627A8">
        <w:t>Section </w:t>
      </w:r>
      <w:r w:rsidR="00FA0994">
        <w:t>769.3</w:t>
      </w:r>
      <w:r>
        <w:t>(b)(1)(B), we consider the energy load migration trends among bundled and nonbundled customers and any associated risks with maintaining or creating a customer renewable energy subscription program.</w:t>
      </w:r>
    </w:p>
    <w:p w:rsidR="00BA58BF" w:rsidP="00345511" w:rsidRDefault="00345511" w14:paraId="652A2407" w14:textId="33F7463A">
      <w:pPr>
        <w:pStyle w:val="Standard"/>
      </w:pPr>
      <w:r>
        <w:t>Numerous parties point out that the ECR and G</w:t>
      </w:r>
      <w:r w:rsidR="00FA0994">
        <w:t xml:space="preserve">reen </w:t>
      </w:r>
      <w:r>
        <w:t>T</w:t>
      </w:r>
      <w:r w:rsidR="00FA0994">
        <w:t>ariff</w:t>
      </w:r>
      <w:r>
        <w:t xml:space="preserve"> programs are only available to bundled load customers.</w:t>
      </w:r>
      <w:r>
        <w:rPr>
          <w:rStyle w:val="FootnoteReference"/>
        </w:rPr>
        <w:footnoteReference w:id="96"/>
      </w:r>
      <w:r>
        <w:t xml:space="preserve"> CCSA, PG&amp;E, SDG&amp;E, and TURN view the departure of load to CCA expansion as problematic for the ECR and G</w:t>
      </w:r>
      <w:r w:rsidR="00FA0994">
        <w:t xml:space="preserve">reen </w:t>
      </w:r>
      <w:r>
        <w:t>T</w:t>
      </w:r>
      <w:r w:rsidR="00FA0994">
        <w:t>ariff</w:t>
      </w:r>
      <w:r>
        <w:t xml:space="preserve"> programs.</w:t>
      </w:r>
      <w:r>
        <w:rPr>
          <w:rStyle w:val="FootnoteReference"/>
        </w:rPr>
        <w:footnoteReference w:id="97"/>
      </w:r>
      <w:r>
        <w:t xml:space="preserve"> PG&amp;E posits that the G</w:t>
      </w:r>
      <w:r w:rsidR="00FA0994">
        <w:t xml:space="preserve">reen </w:t>
      </w:r>
      <w:r>
        <w:t>T</w:t>
      </w:r>
      <w:r w:rsidR="00FA0994">
        <w:t>ariff</w:t>
      </w:r>
      <w:r>
        <w:t xml:space="preserve"> program may be challenged by CCA load departure if customers in CCA areas opted out of CCA </w:t>
      </w:r>
      <w:r>
        <w:lastRenderedPageBreak/>
        <w:t>service, later take the G</w:t>
      </w:r>
      <w:r w:rsidR="00FA0994">
        <w:t xml:space="preserve">reen </w:t>
      </w:r>
      <w:r>
        <w:t>T</w:t>
      </w:r>
      <w:r w:rsidR="00FA0994">
        <w:t>ariff</w:t>
      </w:r>
      <w:r>
        <w:t xml:space="preserve"> offering, and then opt into CCA service; or if bundled customers choose the G</w:t>
      </w:r>
      <w:r w:rsidR="00FA0994">
        <w:t xml:space="preserve">reen </w:t>
      </w:r>
      <w:r>
        <w:t>T</w:t>
      </w:r>
      <w:r w:rsidR="00FA0994">
        <w:t>ariff</w:t>
      </w:r>
      <w:r>
        <w:t xml:space="preserve"> offering before CCA expansion and later default to CCA service when the CCA expands. SDG&amp;E explains that load departure to CCAs is one of the main reasons that commodity programs are not viable in its territory and that by the end of 2024, 85</w:t>
      </w:r>
      <w:r w:rsidR="00405FF8">
        <w:t> percent</w:t>
      </w:r>
      <w:r>
        <w:t xml:space="preserve"> of SDG&amp;E</w:t>
      </w:r>
      <w:r w:rsidR="00440785">
        <w:t>’</w:t>
      </w:r>
      <w:r>
        <w:t>s customers will no longer receive bundled service due to CCA expansion.</w:t>
      </w:r>
    </w:p>
    <w:p w:rsidR="00BA58BF" w:rsidP="00345511" w:rsidRDefault="00345511" w14:paraId="6618D1B8" w14:textId="6ADE9BC8">
      <w:pPr>
        <w:pStyle w:val="Standard"/>
      </w:pPr>
      <w:r>
        <w:t>Cypress Creek and SCE argue that departing load from CCAs has minimal impact on the G</w:t>
      </w:r>
      <w:r w:rsidR="00FA0994">
        <w:t xml:space="preserve">reen </w:t>
      </w:r>
      <w:r>
        <w:t>T</w:t>
      </w:r>
      <w:r w:rsidR="00FA0994">
        <w:t>ariff</w:t>
      </w:r>
      <w:r>
        <w:t xml:space="preserve"> and ECR programs.</w:t>
      </w:r>
      <w:r>
        <w:rPr>
          <w:rStyle w:val="FootnoteReference"/>
        </w:rPr>
        <w:footnoteReference w:id="98"/>
      </w:r>
      <w:r>
        <w:t xml:space="preserve"> SCE states that it has a waitlist for the G</w:t>
      </w:r>
      <w:r w:rsidR="00FA0994">
        <w:t xml:space="preserve">reen </w:t>
      </w:r>
      <w:r>
        <w:t>T</w:t>
      </w:r>
      <w:r w:rsidR="00FA0994">
        <w:t>ariff</w:t>
      </w:r>
      <w:r>
        <w:t xml:space="preserve"> program of interested customers, which mitigates potential impact of departing load. </w:t>
      </w:r>
      <w:r w:rsidR="006B3C14">
        <w:t xml:space="preserve">In </w:t>
      </w:r>
      <w:r w:rsidR="00AC0322">
        <w:t xml:space="preserve">its brief, </w:t>
      </w:r>
      <w:r>
        <w:t>SCE notes that while it does not have customers in its ECR program, three facilities are expected to come online in 2023 and 2024, and those facilities may be substantially impacted if they are in a community that forms a CCA.</w:t>
      </w:r>
      <w:r w:rsidR="00AC0322">
        <w:t xml:space="preserve"> </w:t>
      </w:r>
      <w:r w:rsidR="00BA7707">
        <w:t>As of the writing of this decision</w:t>
      </w:r>
      <w:r w:rsidR="00296C38">
        <w:t xml:space="preserve">, </w:t>
      </w:r>
      <w:r w:rsidR="00722ACB">
        <w:t>SCE has four ECR projects</w:t>
      </w:r>
      <w:r w:rsidR="000204A6">
        <w:t xml:space="preserve"> under contract</w:t>
      </w:r>
      <w:r w:rsidR="00722ACB">
        <w:t>, totaling 38</w:t>
      </w:r>
      <w:r w:rsidR="0096488E">
        <w:t> MW</w:t>
      </w:r>
      <w:r w:rsidR="00722ACB">
        <w:t xml:space="preserve"> of capacity.</w:t>
      </w:r>
      <w:r w:rsidR="007C263D">
        <w:rPr>
          <w:rStyle w:val="FootnoteReference"/>
        </w:rPr>
        <w:footnoteReference w:id="99"/>
      </w:r>
      <w:r w:rsidR="00722ACB">
        <w:t xml:space="preserve"> </w:t>
      </w:r>
      <w:r w:rsidR="00825281">
        <w:t xml:space="preserve">On </w:t>
      </w:r>
      <w:r w:rsidR="0013526D">
        <w:t>August </w:t>
      </w:r>
      <w:r w:rsidR="00825281">
        <w:t>1, 2023, the three</w:t>
      </w:r>
      <w:r w:rsidR="003D6EF8">
        <w:noBreakHyphen/>
      </w:r>
      <w:r w:rsidR="00825281">
        <w:t>MW Phelan Solar, LLC project came online</w:t>
      </w:r>
      <w:r w:rsidR="00BA7707">
        <w:t xml:space="preserve"> and has active customer enrollment</w:t>
      </w:r>
      <w:r w:rsidR="00825281">
        <w:t>.</w:t>
      </w:r>
      <w:r w:rsidR="00BA7707">
        <w:rPr>
          <w:rStyle w:val="FootnoteReference"/>
        </w:rPr>
        <w:footnoteReference w:id="100"/>
      </w:r>
    </w:p>
    <w:p w:rsidRPr="007801F0" w:rsidR="00345511" w:rsidP="001B1E90" w:rsidRDefault="00345511" w14:paraId="1117B974" w14:textId="1CB4FB49">
      <w:pPr>
        <w:pStyle w:val="Heading4"/>
      </w:pPr>
      <w:bookmarkStart w:name="_Toc159551163" w:id="97"/>
      <w:bookmarkStart w:name="_Toc168559283" w:id="98"/>
      <w:r w:rsidRPr="007801F0">
        <w:t>Discussion</w:t>
      </w:r>
      <w:bookmarkEnd w:id="97"/>
      <w:bookmarkEnd w:id="98"/>
    </w:p>
    <w:p w:rsidR="00345511" w:rsidP="00345511" w:rsidRDefault="00345511" w14:paraId="56324931" w14:textId="33EE6336">
      <w:pPr>
        <w:pStyle w:val="Standard"/>
      </w:pPr>
      <w:r>
        <w:t xml:space="preserve">The Commission agrees with numerous parties that the current ECR program has failed to efficiently serve distinct customer groups. </w:t>
      </w:r>
      <w:r w:rsidR="00817DD6">
        <w:t>U</w:t>
      </w:r>
      <w:r w:rsidR="0089189A">
        <w:t>tilities</w:t>
      </w:r>
      <w:r w:rsidR="00440785">
        <w:t>’</w:t>
      </w:r>
      <w:r w:rsidR="0089189A">
        <w:t xml:space="preserve"> </w:t>
      </w:r>
      <w:r>
        <w:t xml:space="preserve">ECR programs have had </w:t>
      </w:r>
      <w:r w:rsidR="000204A6">
        <w:t xml:space="preserve">limited </w:t>
      </w:r>
      <w:r>
        <w:t>customer enrollment since the rollout of these programs, and only SCE has facilities under contract, which total 3</w:t>
      </w:r>
      <w:r w:rsidR="000204A6">
        <w:t>8</w:t>
      </w:r>
      <w:r w:rsidR="0096488E">
        <w:t> MW</w:t>
      </w:r>
      <w:r>
        <w:t>. We are persuaded by parties that assert that the ECR program</w:t>
      </w:r>
      <w:r w:rsidR="00440785">
        <w:t>’</w:t>
      </w:r>
      <w:r>
        <w:t xml:space="preserve">s rate volatility makes it an unfavorable option for customers and developers, because it is unclear in a </w:t>
      </w:r>
      <w:r>
        <w:lastRenderedPageBreak/>
        <w:t xml:space="preserve">given year whether the program will result in a premium or savings to a participating customer. When </w:t>
      </w:r>
      <w:r w:rsidRPr="00F25CDB">
        <w:t xml:space="preserve">balancing </w:t>
      </w:r>
      <w:r>
        <w:t>the ECR program</w:t>
      </w:r>
      <w:r w:rsidR="00440785">
        <w:t>’</w:t>
      </w:r>
      <w:r>
        <w:t xml:space="preserve">s </w:t>
      </w:r>
      <w:r w:rsidRPr="00F25CDB">
        <w:t xml:space="preserve">enrollment </w:t>
      </w:r>
      <w:r>
        <w:t xml:space="preserve">(or lack of enrollment) </w:t>
      </w:r>
      <w:r w:rsidRPr="00F25CDB">
        <w:t xml:space="preserve">with </w:t>
      </w:r>
      <w:r>
        <w:t>the</w:t>
      </w:r>
      <w:r w:rsidRPr="00F25CDB">
        <w:t xml:space="preserve"> program</w:t>
      </w:r>
      <w:r w:rsidR="00440785">
        <w:t>’</w:t>
      </w:r>
      <w:r w:rsidRPr="00F25CDB">
        <w:t>s overall costs</w:t>
      </w:r>
      <w:r>
        <w:t>,</w:t>
      </w:r>
      <w:r w:rsidRPr="00F25CDB">
        <w:t xml:space="preserve"> </w:t>
      </w:r>
      <w:r>
        <w:t xml:space="preserve">the ECR program </w:t>
      </w:r>
      <w:r w:rsidR="009043B0">
        <w:t xml:space="preserve">tariff </w:t>
      </w:r>
      <w:r>
        <w:t>fails to efficiently serve any distinct customer group.</w:t>
      </w:r>
    </w:p>
    <w:p w:rsidR="00345511" w:rsidP="00345511" w:rsidRDefault="00345511" w14:paraId="622EC387" w14:textId="3D2D3E92">
      <w:pPr>
        <w:pStyle w:val="Standard"/>
      </w:pPr>
      <w:r>
        <w:t xml:space="preserve">The Commission also agrees with parties that the ECR </w:t>
      </w:r>
      <w:r w:rsidR="0089189A">
        <w:t xml:space="preserve">tariff </w:t>
      </w:r>
      <w:r>
        <w:t>fails to promote robust participation among low</w:t>
      </w:r>
      <w:r w:rsidR="003D6EF8">
        <w:noBreakHyphen/>
      </w:r>
      <w:r>
        <w:t>income customers. As we determine that the current ECR program</w:t>
      </w:r>
      <w:r w:rsidR="009043B0">
        <w:t xml:space="preserve"> tariff</w:t>
      </w:r>
      <w:r>
        <w:t xml:space="preserve"> fails to meet two of the three goals of </w:t>
      </w:r>
      <w:r w:rsidR="00440785">
        <w:t>Pub. Util.</w:t>
      </w:r>
      <w:r w:rsidR="003B2FF1">
        <w:t xml:space="preserve"> Code </w:t>
      </w:r>
      <w:r w:rsidR="003627A8">
        <w:t>Section </w:t>
      </w:r>
      <w:r>
        <w:t xml:space="preserve">769.3(b)(1)(A), it is not necessary to determine whether the ECR </w:t>
      </w:r>
      <w:r w:rsidR="009043B0">
        <w:t xml:space="preserve">tariff </w:t>
      </w:r>
      <w:r>
        <w:t>minimizes duplicative offerings.</w:t>
      </w:r>
      <w:r w:rsidRPr="00FA3892">
        <w:t xml:space="preserve"> </w:t>
      </w:r>
      <w:r>
        <w:t xml:space="preserve">Accordingly, the Commission concludes that the existing ECR </w:t>
      </w:r>
      <w:r w:rsidR="0089189A">
        <w:t xml:space="preserve">tariff </w:t>
      </w:r>
      <w:r>
        <w:t xml:space="preserve">fails to meet the goals of </w:t>
      </w:r>
      <w:r w:rsidR="00440785">
        <w:t>Pub. Util.</w:t>
      </w:r>
      <w:r w:rsidR="003B2FF1">
        <w:t xml:space="preserve"> Code </w:t>
      </w:r>
      <w:r w:rsidR="003627A8">
        <w:t>Section </w:t>
      </w:r>
      <w:r>
        <w:t>769.3(b)(1)(A).</w:t>
      </w:r>
    </w:p>
    <w:p w:rsidR="00345511" w:rsidP="00345511" w:rsidRDefault="00345511" w14:paraId="370FED02" w14:textId="112E2EDA">
      <w:pPr>
        <w:pStyle w:val="Standard"/>
      </w:pPr>
      <w:r>
        <w:t>The Commission concurs with a broad range of parties that state that the current G</w:t>
      </w:r>
      <w:r w:rsidR="00FA0994">
        <w:t xml:space="preserve">reen </w:t>
      </w:r>
      <w:r>
        <w:t>T</w:t>
      </w:r>
      <w:r w:rsidR="00FA0994">
        <w:t>ariff</w:t>
      </w:r>
      <w:r>
        <w:t xml:space="preserve"> program has failed to efficiently serve distinct customer groups. </w:t>
      </w:r>
      <w:r w:rsidR="001D114A">
        <w:t>U</w:t>
      </w:r>
      <w:r w:rsidR="0089189A">
        <w:t>tilities</w:t>
      </w:r>
      <w:r w:rsidR="00440785">
        <w:t>’</w:t>
      </w:r>
      <w:r w:rsidR="0089189A">
        <w:t xml:space="preserve"> </w:t>
      </w:r>
      <w:r>
        <w:t>G</w:t>
      </w:r>
      <w:r w:rsidR="00FA0994">
        <w:t xml:space="preserve">reen </w:t>
      </w:r>
      <w:r>
        <w:t>T</w:t>
      </w:r>
      <w:r w:rsidR="00FA0994">
        <w:t>ariff</w:t>
      </w:r>
      <w:r>
        <w:t xml:space="preserve"> programs have all been suspended in some capacity</w:t>
      </w:r>
      <w:r w:rsidR="005D30D7">
        <w:t xml:space="preserve">: </w:t>
      </w:r>
      <w:r>
        <w:t>for PG&amp;E and SCE</w:t>
      </w:r>
      <w:r w:rsidR="00440785">
        <w:t>’</w:t>
      </w:r>
      <w:r>
        <w:t>s programs, the programs are suspended to new enrollment due to full capacity subscription; for SDG&amp;E, the program is suspended due to lack of enrollment as result of customer attrition to CCAs. The Commission agrees that the G</w:t>
      </w:r>
      <w:r w:rsidR="00FA0994">
        <w:t xml:space="preserve">reen </w:t>
      </w:r>
      <w:r>
        <w:t>T</w:t>
      </w:r>
      <w:r w:rsidR="00FA0994">
        <w:t>ariff</w:t>
      </w:r>
      <w:r>
        <w:t xml:space="preserve"> program experiences rate volatility, which </w:t>
      </w:r>
      <w:r w:rsidR="000204A6">
        <w:t>negatively impacts customer interest and enrollment</w:t>
      </w:r>
      <w:r>
        <w:t xml:space="preserve">. When </w:t>
      </w:r>
      <w:r w:rsidRPr="00F25CDB">
        <w:t xml:space="preserve">balancing </w:t>
      </w:r>
      <w:r>
        <w:t>the G</w:t>
      </w:r>
      <w:r w:rsidR="00FA0994">
        <w:t xml:space="preserve">reen </w:t>
      </w:r>
      <w:r>
        <w:t>T</w:t>
      </w:r>
      <w:r w:rsidR="00FA0994">
        <w:t>ariff</w:t>
      </w:r>
      <w:r>
        <w:t xml:space="preserve"> program</w:t>
      </w:r>
      <w:r w:rsidR="00440785">
        <w:t>’</w:t>
      </w:r>
      <w:r>
        <w:t xml:space="preserve">s </w:t>
      </w:r>
      <w:r w:rsidRPr="00F25CDB">
        <w:t xml:space="preserve">enrollment </w:t>
      </w:r>
      <w:r>
        <w:t xml:space="preserve">(and inability to enroll new customers) </w:t>
      </w:r>
      <w:r w:rsidRPr="00F25CDB">
        <w:t xml:space="preserve">with </w:t>
      </w:r>
      <w:r>
        <w:t>the</w:t>
      </w:r>
      <w:r w:rsidRPr="00F25CDB">
        <w:t xml:space="preserve"> program</w:t>
      </w:r>
      <w:r w:rsidR="00440785">
        <w:t>’</w:t>
      </w:r>
      <w:r w:rsidRPr="00F25CDB">
        <w:t>s overall costs</w:t>
      </w:r>
      <w:r>
        <w:t>,</w:t>
      </w:r>
      <w:r w:rsidRPr="00F25CDB">
        <w:t xml:space="preserve"> </w:t>
      </w:r>
      <w:r>
        <w:t>the G</w:t>
      </w:r>
      <w:r w:rsidR="00FA0994">
        <w:t>reen</w:t>
      </w:r>
      <w:r w:rsidR="009F5702">
        <w:t xml:space="preserve"> </w:t>
      </w:r>
      <w:r w:rsidR="00FA0994">
        <w:t>T</w:t>
      </w:r>
      <w:r w:rsidR="009043B0">
        <w:t xml:space="preserve">ariff </w:t>
      </w:r>
      <w:r w:rsidR="00CF3698">
        <w:t xml:space="preserve">program </w:t>
      </w:r>
      <w:r>
        <w:t>fails to efficiently serve any distinct customer group.</w:t>
      </w:r>
    </w:p>
    <w:p w:rsidR="00BA58BF" w:rsidP="00345511" w:rsidRDefault="00345511" w14:paraId="67AC71F2" w14:textId="30AE1E6E">
      <w:pPr>
        <w:pStyle w:val="Standard"/>
      </w:pPr>
      <w:r>
        <w:t>The Commission also finds that the G</w:t>
      </w:r>
      <w:r w:rsidR="00FA0994">
        <w:t xml:space="preserve">reen </w:t>
      </w:r>
      <w:r>
        <w:t>T</w:t>
      </w:r>
      <w:r w:rsidR="00FA0994">
        <w:t>ariff</w:t>
      </w:r>
      <w:r>
        <w:t xml:space="preserve"> program fails to promote robust participation among low</w:t>
      </w:r>
      <w:r w:rsidR="003D6EF8">
        <w:noBreakHyphen/>
      </w:r>
      <w:r>
        <w:t xml:space="preserve">income customers based on the </w:t>
      </w:r>
      <w:r w:rsidR="000204A6">
        <w:t>low</w:t>
      </w:r>
      <w:r>
        <w:t xml:space="preserve"> enrollment by low</w:t>
      </w:r>
      <w:r w:rsidR="003D6EF8">
        <w:noBreakHyphen/>
      </w:r>
      <w:r>
        <w:t xml:space="preserve">income customers. While </w:t>
      </w:r>
      <w:r w:rsidR="001D114A">
        <w:t>U</w:t>
      </w:r>
      <w:r w:rsidR="0089189A">
        <w:t>tilities</w:t>
      </w:r>
      <w:r w:rsidR="00440785">
        <w:t>’</w:t>
      </w:r>
      <w:r w:rsidR="0089189A">
        <w:t xml:space="preserve"> </w:t>
      </w:r>
      <w:r>
        <w:t>G</w:t>
      </w:r>
      <w:r w:rsidR="00FA0994">
        <w:t xml:space="preserve">reen </w:t>
      </w:r>
      <w:r>
        <w:t>T</w:t>
      </w:r>
      <w:r w:rsidR="00FA0994">
        <w:t>ariff</w:t>
      </w:r>
      <w:r>
        <w:t xml:space="preserve"> programs have enrolled a small number of CARE/FERA customers since the inception of the program, the </w:t>
      </w:r>
      <w:r>
        <w:lastRenderedPageBreak/>
        <w:t>number of enrolled CARE/FERA customers is a small portion of the eligible number of low</w:t>
      </w:r>
      <w:r w:rsidR="003D6EF8">
        <w:noBreakHyphen/>
      </w:r>
      <w:r>
        <w:t>income customers and a small portion of all enrolled customers.</w:t>
      </w:r>
    </w:p>
    <w:p w:rsidR="00345511" w:rsidP="00345511" w:rsidRDefault="00345511" w14:paraId="3038CFAE" w14:textId="5977BD75">
      <w:pPr>
        <w:pStyle w:val="Standard"/>
      </w:pPr>
      <w:r>
        <w:t>As the Commission determines that the current G</w:t>
      </w:r>
      <w:r w:rsidR="00FA0994">
        <w:t xml:space="preserve">reen </w:t>
      </w:r>
      <w:r>
        <w:t>T</w:t>
      </w:r>
      <w:r w:rsidR="00FA0994">
        <w:t>ariff</w:t>
      </w:r>
      <w:r w:rsidR="009043B0">
        <w:t xml:space="preserve"> </w:t>
      </w:r>
      <w:r w:rsidR="00D5537A">
        <w:t xml:space="preserve">program </w:t>
      </w:r>
      <w:r>
        <w:t xml:space="preserve">fails to meet two of the three goals of </w:t>
      </w:r>
      <w:r w:rsidR="00440785">
        <w:t>Pub. Util.</w:t>
      </w:r>
      <w:r w:rsidR="003B2FF1">
        <w:t xml:space="preserve"> Code </w:t>
      </w:r>
      <w:r w:rsidR="003627A8">
        <w:t>Section </w:t>
      </w:r>
      <w:r>
        <w:t>769.3(b)(1)(A), it is unnecessary to determine whether the G</w:t>
      </w:r>
      <w:r w:rsidR="00FA0994">
        <w:t xml:space="preserve">reen </w:t>
      </w:r>
      <w:r>
        <w:t>T</w:t>
      </w:r>
      <w:r w:rsidR="009043B0">
        <w:t xml:space="preserve">ariff </w:t>
      </w:r>
      <w:r>
        <w:t xml:space="preserve">minimizes duplicative offerings. Accordingly, the Commission concludes that the GT </w:t>
      </w:r>
      <w:r w:rsidR="009043B0">
        <w:t xml:space="preserve">tariff </w:t>
      </w:r>
      <w:r>
        <w:t xml:space="preserve">has failed to meet the goals of </w:t>
      </w:r>
      <w:r w:rsidR="00440785">
        <w:t>Pub. Util.</w:t>
      </w:r>
      <w:r w:rsidR="003B2FF1">
        <w:t xml:space="preserve"> Code </w:t>
      </w:r>
      <w:r w:rsidR="003627A8">
        <w:t>Section </w:t>
      </w:r>
      <w:r>
        <w:t>769.3(b)(1)(A).</w:t>
      </w:r>
    </w:p>
    <w:p w:rsidRPr="00F66E0F" w:rsidR="00345511" w:rsidP="00345511" w:rsidRDefault="00345511" w14:paraId="0E841A0F" w14:textId="33C82C33">
      <w:pPr>
        <w:pStyle w:val="Standard"/>
      </w:pPr>
      <w:r>
        <w:t xml:space="preserve">Pursuant to </w:t>
      </w:r>
      <w:r w:rsidR="00440785">
        <w:t>Pub. Util.</w:t>
      </w:r>
      <w:r w:rsidR="003B2FF1">
        <w:t xml:space="preserve"> Code </w:t>
      </w:r>
      <w:r w:rsidR="003627A8">
        <w:t>Section </w:t>
      </w:r>
      <w:r>
        <w:t xml:space="preserve">769.3(b)(1)(C), as the Commission has determined that the ECR </w:t>
      </w:r>
      <w:r w:rsidR="00FA0994">
        <w:t xml:space="preserve">tariff </w:t>
      </w:r>
      <w:r>
        <w:t>and G</w:t>
      </w:r>
      <w:r w:rsidR="00FA0994">
        <w:t xml:space="preserve">reen </w:t>
      </w:r>
      <w:r>
        <w:t>T</w:t>
      </w:r>
      <w:r w:rsidR="00FA0994">
        <w:t>ariff</w:t>
      </w:r>
      <w:r>
        <w:t xml:space="preserve"> have not m</w:t>
      </w:r>
      <w:r w:rsidR="00237E56">
        <w:t>et al</w:t>
      </w:r>
      <w:r>
        <w:t xml:space="preserve">l of the goals of </w:t>
      </w:r>
      <w:r w:rsidR="00440785">
        <w:t>Pub. Util.</w:t>
      </w:r>
      <w:r w:rsidR="003B2FF1">
        <w:t xml:space="preserve"> Code </w:t>
      </w:r>
      <w:r w:rsidR="003627A8">
        <w:t>Section </w:t>
      </w:r>
      <w:r>
        <w:t xml:space="preserve">769.3(b)(1)(A), we consider whether to authorize the modification of </w:t>
      </w:r>
      <w:r w:rsidR="00A823C1">
        <w:t xml:space="preserve">or closure to new procurement in </w:t>
      </w:r>
      <w:r>
        <w:t xml:space="preserve">these </w:t>
      </w:r>
      <w:r w:rsidR="009043B0">
        <w:t xml:space="preserve">tariffs </w:t>
      </w:r>
      <w:r>
        <w:t xml:space="preserve">in </w:t>
      </w:r>
      <w:r w:rsidR="003627A8">
        <w:t>Section </w:t>
      </w:r>
      <w:r w:rsidR="003119AD">
        <w:t>3.4.5</w:t>
      </w:r>
      <w:r>
        <w:t xml:space="preserve"> below.</w:t>
      </w:r>
    </w:p>
    <w:p w:rsidRPr="00F75422" w:rsidR="00345511" w:rsidP="00715D74" w:rsidRDefault="00345511" w14:paraId="7CE86EBD" w14:textId="73FCD3C8">
      <w:pPr>
        <w:pStyle w:val="Heading3"/>
        <w:ind w:right="1440"/>
      </w:pPr>
      <w:bookmarkStart w:name="_Toc159551164" w:id="99"/>
      <w:bookmarkStart w:name="_Toc168559284" w:id="100"/>
      <w:r>
        <w:t>Disadvantaged Communities</w:t>
      </w:r>
      <w:r w:rsidR="003D6EF8">
        <w:noBreakHyphen/>
      </w:r>
      <w:r>
        <w:t>Green Tariff</w:t>
      </w:r>
      <w:bookmarkEnd w:id="99"/>
      <w:bookmarkEnd w:id="100"/>
    </w:p>
    <w:p w:rsidR="00BA58BF" w:rsidP="00345511" w:rsidRDefault="00345511" w14:paraId="4E2EDC9C" w14:textId="1979AC4F">
      <w:pPr>
        <w:pStyle w:val="Standard"/>
      </w:pPr>
      <w:r>
        <w:t>The Commission next evaluates whether the DAC</w:t>
      </w:r>
      <w:r w:rsidR="003D6EF8">
        <w:noBreakHyphen/>
      </w:r>
      <w:r>
        <w:t>GT program meets the outlined goals.</w:t>
      </w:r>
    </w:p>
    <w:p w:rsidRPr="00345511" w:rsidR="00345511" w:rsidP="001B1E90" w:rsidRDefault="00345511" w14:paraId="56A9F3B5" w14:textId="3967C2E3">
      <w:pPr>
        <w:pStyle w:val="Heading4"/>
      </w:pPr>
      <w:bookmarkStart w:name="_Toc159551165" w:id="101"/>
      <w:bookmarkStart w:name="_Toc168559285" w:id="102"/>
      <w:r w:rsidRPr="00345511">
        <w:t>Efficiently Serves Distinct</w:t>
      </w:r>
      <w:r w:rsidR="00D62231">
        <w:br/>
      </w:r>
      <w:r w:rsidRPr="00345511">
        <w:t>Customer Groups</w:t>
      </w:r>
      <w:bookmarkEnd w:id="101"/>
      <w:bookmarkEnd w:id="102"/>
    </w:p>
    <w:p w:rsidR="00BA58BF" w:rsidP="00345511" w:rsidRDefault="00345511" w14:paraId="75C91085" w14:textId="62436C83">
      <w:pPr>
        <w:pStyle w:val="Standard"/>
      </w:pPr>
      <w:r>
        <w:t>Numerous parties contend that the DAC</w:t>
      </w:r>
      <w:r w:rsidR="003D6EF8">
        <w:noBreakHyphen/>
      </w:r>
      <w:r>
        <w:t xml:space="preserve">GT program does not efficiently serve distinct customer groups, including CCSA, CUE, Cypress Creek, </w:t>
      </w:r>
      <w:r w:rsidR="002917E2">
        <w:t>Cal Advoc</w:t>
      </w:r>
      <w:r>
        <w:t>ates, PG&amp;E, SDG&amp;E, SCE, and TURN.</w:t>
      </w:r>
      <w:r>
        <w:rPr>
          <w:rStyle w:val="FootnoteReference"/>
        </w:rPr>
        <w:footnoteReference w:id="101"/>
      </w:r>
      <w:r>
        <w:t xml:space="preserve"> SDG&amp;E and SCE report that they have no customers enrolled in their programs and have been unable to </w:t>
      </w:r>
      <w:r>
        <w:lastRenderedPageBreak/>
        <w:t>secure contracts for qualifying renewable power.</w:t>
      </w:r>
      <w:r>
        <w:rPr>
          <w:rStyle w:val="FootnoteReference"/>
        </w:rPr>
        <w:footnoteReference w:id="102"/>
      </w:r>
      <w:r>
        <w:t xml:space="preserve"> PG&amp;E states that its DAC</w:t>
      </w:r>
      <w:r w:rsidR="003D6EF8">
        <w:noBreakHyphen/>
      </w:r>
      <w:r>
        <w:t>GT program is fully subscribed through auto</w:t>
      </w:r>
      <w:r w:rsidR="003D6EF8">
        <w:noBreakHyphen/>
      </w:r>
      <w:r>
        <w:t>enrollment.</w:t>
      </w:r>
      <w:r>
        <w:rPr>
          <w:rStyle w:val="FootnoteReference"/>
        </w:rPr>
        <w:footnoteReference w:id="103"/>
      </w:r>
    </w:p>
    <w:p w:rsidR="00345511" w:rsidP="00345511" w:rsidRDefault="00345511" w14:paraId="39618E49" w14:textId="4F9004E1">
      <w:pPr>
        <w:pStyle w:val="Standard"/>
      </w:pPr>
      <w:r>
        <w:t>PG&amp;E maintains that the DAC</w:t>
      </w:r>
      <w:r w:rsidR="003D6EF8">
        <w:noBreakHyphen/>
      </w:r>
      <w:r>
        <w:t>GT program</w:t>
      </w:r>
      <w:r w:rsidR="00440785">
        <w:t>’</w:t>
      </w:r>
      <w:r>
        <w:t>s benefits are not delivered efficiently when comparing the cost of the bill savings, the primary benefit to participants, to the overall cost of the program.</w:t>
      </w:r>
      <w:r>
        <w:rPr>
          <w:rStyle w:val="FootnoteReference"/>
        </w:rPr>
        <w:footnoteReference w:id="104"/>
      </w:r>
      <w:r>
        <w:t xml:space="preserve"> PG&amp;E notes that in 2021, for example, it spent about $1</w:t>
      </w:r>
      <w:r w:rsidR="001E44CA">
        <w:t> million</w:t>
      </w:r>
      <w:r>
        <w:t xml:space="preserve"> more on solar resource costs than it did to deliver discounts to customers. With overall program costs at $11.4</w:t>
      </w:r>
      <w:r w:rsidR="001E44CA">
        <w:t> million</w:t>
      </w:r>
      <w:r>
        <w:t>, PG&amp;E states that only 43</w:t>
      </w:r>
      <w:r w:rsidR="00405FF8">
        <w:t> percent</w:t>
      </w:r>
      <w:r>
        <w:t xml:space="preserve"> of program costs provided benefits in the form of bill savings. PG&amp;E adds that the largest portion of costs were for above</w:t>
      </w:r>
      <w:r w:rsidR="003D6EF8">
        <w:noBreakHyphen/>
      </w:r>
      <w:r>
        <w:t>market contract payments to solar resources, at 55</w:t>
      </w:r>
      <w:r w:rsidR="00405FF8">
        <w:t> percent</w:t>
      </w:r>
      <w:r>
        <w:t xml:space="preserve"> of the program costs.</w:t>
      </w:r>
    </w:p>
    <w:p w:rsidR="00345511" w:rsidP="00345511" w:rsidRDefault="00345511" w14:paraId="6E9C6740" w14:textId="2A645E68">
      <w:pPr>
        <w:pStyle w:val="Standard"/>
      </w:pPr>
      <w:r>
        <w:t>CCSA states that the program relies on direct subsidies, and that the power purchase agreements to obtain resources do not incentivize resources to export power when energy is needed most.</w:t>
      </w:r>
      <w:r>
        <w:rPr>
          <w:rStyle w:val="FootnoteReference"/>
        </w:rPr>
        <w:footnoteReference w:id="105"/>
      </w:r>
      <w:r>
        <w:t xml:space="preserve"> </w:t>
      </w:r>
      <w:r>
        <w:rPr>
          <w:rFonts w:eastAsiaTheme="majorEastAsia" w:cstheme="majorBidi"/>
          <w:bCs/>
          <w:szCs w:val="32"/>
        </w:rPr>
        <w:t>Cypress Creek remarks that because DAC</w:t>
      </w:r>
      <w:r w:rsidR="003D6EF8">
        <w:rPr>
          <w:rFonts w:eastAsiaTheme="majorEastAsia" w:cstheme="majorBidi"/>
          <w:bCs/>
          <w:szCs w:val="32"/>
        </w:rPr>
        <w:noBreakHyphen/>
      </w:r>
      <w:r>
        <w:rPr>
          <w:rFonts w:eastAsiaTheme="majorEastAsia" w:cstheme="majorBidi"/>
          <w:bCs/>
          <w:szCs w:val="32"/>
        </w:rPr>
        <w:t xml:space="preserve">GT projects are procured through solicitations and </w:t>
      </w:r>
      <w:r w:rsidR="0089189A">
        <w:rPr>
          <w:rFonts w:eastAsiaTheme="majorEastAsia" w:cstheme="majorBidi"/>
          <w:bCs/>
          <w:szCs w:val="32"/>
        </w:rPr>
        <w:t>power purchase agreements</w:t>
      </w:r>
      <w:r>
        <w:rPr>
          <w:rFonts w:eastAsiaTheme="majorEastAsia" w:cstheme="majorBidi"/>
          <w:bCs/>
          <w:szCs w:val="32"/>
        </w:rPr>
        <w:t xml:space="preserve">, the process is administratively costly, while </w:t>
      </w:r>
      <w:r>
        <w:t>TURN and CUE claim that the 20</w:t>
      </w:r>
      <w:r w:rsidR="00405FF8">
        <w:t> percent</w:t>
      </w:r>
      <w:r>
        <w:t xml:space="preserve"> discount is arbitrary and not tied to the cost or value of a project provides to the grid</w:t>
      </w:r>
      <w:r>
        <w:rPr>
          <w:rFonts w:eastAsiaTheme="majorEastAsia" w:cstheme="majorBidi"/>
          <w:bCs/>
          <w:szCs w:val="32"/>
        </w:rPr>
        <w:t>.</w:t>
      </w:r>
      <w:r>
        <w:rPr>
          <w:rStyle w:val="FootnoteReference"/>
          <w:rFonts w:eastAsiaTheme="majorEastAsia" w:cstheme="majorBidi"/>
          <w:bCs/>
          <w:szCs w:val="32"/>
        </w:rPr>
        <w:footnoteReference w:id="106"/>
      </w:r>
      <w:r>
        <w:t xml:space="preserve"> TURN and </w:t>
      </w:r>
      <w:r w:rsidR="002917E2">
        <w:t>Cal Advoc</w:t>
      </w:r>
      <w:r>
        <w:t>ates state that the current cap for the program is modest with most of the allocated amount unsubscribed.</w:t>
      </w:r>
      <w:r>
        <w:rPr>
          <w:rStyle w:val="FootnoteReference"/>
        </w:rPr>
        <w:footnoteReference w:id="107"/>
      </w:r>
    </w:p>
    <w:p w:rsidR="00345511" w:rsidP="00345511" w:rsidRDefault="00345511" w14:paraId="0131EF33" w14:textId="45730F7A">
      <w:pPr>
        <w:pStyle w:val="Standard"/>
      </w:pPr>
      <w:r>
        <w:lastRenderedPageBreak/>
        <w:t xml:space="preserve">SEIA and </w:t>
      </w:r>
      <w:r w:rsidR="000341A3">
        <w:t>Joint CCA</w:t>
      </w:r>
      <w:r>
        <w:t>s, however, maintain that the DAC</w:t>
      </w:r>
      <w:r w:rsidR="003D6EF8">
        <w:noBreakHyphen/>
      </w:r>
      <w:r>
        <w:t>GT program does efficiently serve distinct customer groups.</w:t>
      </w:r>
      <w:r>
        <w:rPr>
          <w:rStyle w:val="FootnoteReference"/>
        </w:rPr>
        <w:footnoteReference w:id="108"/>
      </w:r>
      <w:r>
        <w:t xml:space="preserve"> SEIA states that the DAC</w:t>
      </w:r>
      <w:r w:rsidR="003D6EF8">
        <w:noBreakHyphen/>
      </w:r>
      <w:r>
        <w:t>GT program was designed to serve a specific customer group (residential customers in DACs) and that the DAC</w:t>
      </w:r>
      <w:r w:rsidR="003D6EF8">
        <w:noBreakHyphen/>
      </w:r>
      <w:r>
        <w:t>GT program is successful because it offers guaranteed savings with a 20</w:t>
      </w:r>
      <w:r w:rsidR="00405FF8">
        <w:t> percent</w:t>
      </w:r>
      <w:r>
        <w:t xml:space="preserve"> discount. </w:t>
      </w:r>
      <w:r w:rsidR="000341A3">
        <w:t>Joint CCA</w:t>
      </w:r>
      <w:r w:rsidRPr="00BF51BC">
        <w:t>s argue that multiple DAC</w:t>
      </w:r>
      <w:r w:rsidR="003D6EF8">
        <w:noBreakHyphen/>
      </w:r>
      <w:r w:rsidRPr="00BF51BC">
        <w:t xml:space="preserve">GT program administrators entered into </w:t>
      </w:r>
      <w:r w:rsidR="000204A6">
        <w:t>power purchase agreements</w:t>
      </w:r>
      <w:r w:rsidRPr="00BF51BC" w:rsidR="000204A6">
        <w:t xml:space="preserve"> </w:t>
      </w:r>
      <w:r w:rsidRPr="00BF51BC">
        <w:t>to procure new solar in DACs and many</w:t>
      </w:r>
      <w:r w:rsidRPr="00BF51BC">
        <w:rPr>
          <w:rFonts w:eastAsiaTheme="majorEastAsia" w:cstheme="majorBidi"/>
          <w:bCs/>
          <w:szCs w:val="32"/>
        </w:rPr>
        <w:t xml:space="preserve"> </w:t>
      </w:r>
      <w:r w:rsidRPr="00BF51BC">
        <w:t>have procured enough solar to reach the program</w:t>
      </w:r>
      <w:r w:rsidR="00440785">
        <w:t>’</w:t>
      </w:r>
      <w:r w:rsidRPr="00BF51BC">
        <w:t>s capacity</w:t>
      </w:r>
      <w:r>
        <w:t xml:space="preserve"> cap.</w:t>
      </w:r>
      <w:r>
        <w:rPr>
          <w:rStyle w:val="FootnoteReference"/>
          <w:rFonts w:eastAsiaTheme="majorEastAsia" w:cstheme="majorBidi"/>
          <w:bCs/>
          <w:szCs w:val="32"/>
        </w:rPr>
        <w:footnoteReference w:id="109"/>
      </w:r>
      <w:r>
        <w:rPr>
          <w:rFonts w:eastAsiaTheme="majorEastAsia" w:cstheme="majorBidi"/>
          <w:bCs/>
          <w:szCs w:val="32"/>
        </w:rPr>
        <w:t xml:space="preserve"> </w:t>
      </w:r>
      <w:r w:rsidR="000341A3">
        <w:t>Joint CCA</w:t>
      </w:r>
      <w:r>
        <w:t xml:space="preserve">s state that CCA </w:t>
      </w:r>
      <w:r w:rsidR="004F63FF">
        <w:t>program administrators</w:t>
      </w:r>
      <w:r>
        <w:t xml:space="preserve"> have provided over $2</w:t>
      </w:r>
      <w:r w:rsidR="001E44CA">
        <w:t> million</w:t>
      </w:r>
      <w:r>
        <w:t xml:space="preserve"> in bill savings to customers under the DAC</w:t>
      </w:r>
      <w:r w:rsidR="003D6EF8">
        <w:noBreakHyphen/>
      </w:r>
      <w:r>
        <w:t>GT program through November 2023, with PG&amp;E providing an additional $4.8</w:t>
      </w:r>
      <w:r w:rsidR="001E44CA">
        <w:t> million</w:t>
      </w:r>
      <w:r>
        <w:t xml:space="preserve"> in bill savings.</w:t>
      </w:r>
    </w:p>
    <w:p w:rsidR="00BA58BF" w:rsidP="00345511" w:rsidRDefault="00345511" w14:paraId="332A5C4F" w14:textId="79C6CAF4">
      <w:pPr>
        <w:pStyle w:val="Standard"/>
        <w:rPr>
          <w:rFonts w:eastAsiaTheme="majorEastAsia" w:cstheme="majorBidi"/>
          <w:bCs/>
          <w:szCs w:val="32"/>
        </w:rPr>
      </w:pPr>
      <w:r>
        <w:rPr>
          <w:rFonts w:eastAsiaTheme="majorEastAsia" w:cstheme="majorBidi"/>
          <w:bCs/>
          <w:szCs w:val="32"/>
        </w:rPr>
        <w:t>Cypress Creek and SEIA state that PG&amp;E</w:t>
      </w:r>
      <w:r w:rsidR="00440785">
        <w:rPr>
          <w:rFonts w:eastAsiaTheme="majorEastAsia" w:cstheme="majorBidi"/>
          <w:bCs/>
          <w:szCs w:val="32"/>
        </w:rPr>
        <w:t>’</w:t>
      </w:r>
      <w:r>
        <w:rPr>
          <w:rFonts w:eastAsiaTheme="majorEastAsia" w:cstheme="majorBidi"/>
          <w:bCs/>
          <w:szCs w:val="32"/>
        </w:rPr>
        <w:t>s program provided broad access to renewables for the targeted customers due to auto</w:t>
      </w:r>
      <w:r w:rsidR="003D6EF8">
        <w:rPr>
          <w:rFonts w:eastAsiaTheme="majorEastAsia" w:cstheme="majorBidi"/>
          <w:bCs/>
          <w:szCs w:val="32"/>
        </w:rPr>
        <w:noBreakHyphen/>
      </w:r>
      <w:r>
        <w:rPr>
          <w:rFonts w:eastAsiaTheme="majorEastAsia" w:cstheme="majorBidi"/>
          <w:bCs/>
          <w:szCs w:val="32"/>
        </w:rPr>
        <w:t>enrollment, and Cypress Creek states that PG&amp;E</w:t>
      </w:r>
      <w:r w:rsidR="00440785">
        <w:rPr>
          <w:rFonts w:eastAsiaTheme="majorEastAsia" w:cstheme="majorBidi"/>
          <w:bCs/>
          <w:szCs w:val="32"/>
        </w:rPr>
        <w:t>’</w:t>
      </w:r>
      <w:r>
        <w:rPr>
          <w:rFonts w:eastAsiaTheme="majorEastAsia" w:cstheme="majorBidi"/>
          <w:bCs/>
          <w:szCs w:val="32"/>
        </w:rPr>
        <w:t>s DAC</w:t>
      </w:r>
      <w:r w:rsidR="003D6EF8">
        <w:rPr>
          <w:rFonts w:eastAsiaTheme="majorEastAsia" w:cstheme="majorBidi"/>
          <w:bCs/>
          <w:szCs w:val="32"/>
        </w:rPr>
        <w:noBreakHyphen/>
      </w:r>
      <w:r>
        <w:rPr>
          <w:rFonts w:eastAsiaTheme="majorEastAsia" w:cstheme="majorBidi"/>
          <w:bCs/>
          <w:szCs w:val="32"/>
        </w:rPr>
        <w:t>GT customers make up 90</w:t>
      </w:r>
      <w:r w:rsidR="00405FF8">
        <w:rPr>
          <w:rFonts w:eastAsiaTheme="majorEastAsia" w:cstheme="majorBidi"/>
          <w:bCs/>
          <w:szCs w:val="32"/>
        </w:rPr>
        <w:t> percent</w:t>
      </w:r>
      <w:r>
        <w:rPr>
          <w:rFonts w:eastAsiaTheme="majorEastAsia" w:cstheme="majorBidi"/>
          <w:bCs/>
          <w:szCs w:val="32"/>
        </w:rPr>
        <w:t xml:space="preserve"> of all DAC</w:t>
      </w:r>
      <w:r w:rsidR="003D6EF8">
        <w:rPr>
          <w:rFonts w:eastAsiaTheme="majorEastAsia" w:cstheme="majorBidi"/>
          <w:bCs/>
          <w:szCs w:val="32"/>
        </w:rPr>
        <w:noBreakHyphen/>
      </w:r>
      <w:r>
        <w:rPr>
          <w:rFonts w:eastAsiaTheme="majorEastAsia" w:cstheme="majorBidi"/>
          <w:bCs/>
          <w:szCs w:val="32"/>
        </w:rPr>
        <w:t>GT customers in the state.</w:t>
      </w:r>
      <w:r>
        <w:rPr>
          <w:rStyle w:val="FootnoteReference"/>
          <w:rFonts w:eastAsiaTheme="majorEastAsia" w:cstheme="majorBidi"/>
          <w:bCs/>
          <w:szCs w:val="32"/>
        </w:rPr>
        <w:footnoteReference w:id="110"/>
      </w:r>
    </w:p>
    <w:p w:rsidR="00345511" w:rsidP="001B1E90" w:rsidRDefault="00345511" w14:paraId="15C98FCC" w14:textId="3D8BB1A2">
      <w:pPr>
        <w:pStyle w:val="Heading4"/>
      </w:pPr>
      <w:bookmarkStart w:name="_Toc159551166" w:id="103"/>
      <w:bookmarkStart w:name="_Toc168559286" w:id="104"/>
      <w:r>
        <w:t>Minimizes Duplicative Offerings</w:t>
      </w:r>
      <w:bookmarkEnd w:id="103"/>
      <w:bookmarkEnd w:id="104"/>
    </w:p>
    <w:p w:rsidR="00345511" w:rsidP="00345511" w:rsidRDefault="00345511" w14:paraId="709E4313" w14:textId="56AD19B6">
      <w:pPr>
        <w:pStyle w:val="Standard"/>
      </w:pPr>
      <w:r>
        <w:t>Several parties view the DAC</w:t>
      </w:r>
      <w:r w:rsidR="003D6EF8">
        <w:noBreakHyphen/>
      </w:r>
      <w:r>
        <w:t>GT and CSGT programs as duplicative offerings to each other, or other offerings, including PG&amp;E, SCE, SEIA, and TURN.</w:t>
      </w:r>
      <w:r>
        <w:rPr>
          <w:rStyle w:val="FootnoteReference"/>
        </w:rPr>
        <w:footnoteReference w:id="111"/>
      </w:r>
      <w:r>
        <w:t xml:space="preserve"> PG&amp;E and SCE claim that DAC</w:t>
      </w:r>
      <w:r w:rsidR="003D6EF8">
        <w:noBreakHyphen/>
      </w:r>
      <w:r>
        <w:t>GT is duplicative of CSGT as it provides a nearly identical product to nearly the same customers, except that customers must be proximate to a CSGT project. SEIA states that the DAC</w:t>
      </w:r>
      <w:r w:rsidR="003D6EF8">
        <w:noBreakHyphen/>
      </w:r>
      <w:r>
        <w:t xml:space="preserve">GT </w:t>
      </w:r>
      <w:r>
        <w:lastRenderedPageBreak/>
        <w:t>and CSGT programs are duplicative of each other, as they target a specific group of customers and offer 20</w:t>
      </w:r>
      <w:r w:rsidR="00405FF8">
        <w:t> percent</w:t>
      </w:r>
      <w:r>
        <w:t xml:space="preserve"> savings. TURN states that the DAC</w:t>
      </w:r>
      <w:r w:rsidR="003D6EF8">
        <w:noBreakHyphen/>
      </w:r>
      <w:r>
        <w:t>GT program significantly overlaps with CSGT, as well as other G</w:t>
      </w:r>
      <w:r w:rsidR="004F63FF">
        <w:t xml:space="preserve">reen </w:t>
      </w:r>
      <w:r>
        <w:t>A</w:t>
      </w:r>
      <w:r w:rsidR="004F63FF">
        <w:t xml:space="preserve">ccess </w:t>
      </w:r>
      <w:r>
        <w:t>P</w:t>
      </w:r>
      <w:r w:rsidR="004F63FF">
        <w:t>rogram</w:t>
      </w:r>
      <w:r>
        <w:t xml:space="preserve"> offerings, as those eligible for DAC</w:t>
      </w:r>
      <w:r w:rsidR="003D6EF8">
        <w:noBreakHyphen/>
      </w:r>
      <w:r>
        <w:t>GT can enroll in every other G</w:t>
      </w:r>
      <w:r w:rsidR="004F63FF">
        <w:t xml:space="preserve">reen </w:t>
      </w:r>
      <w:r>
        <w:t>A</w:t>
      </w:r>
      <w:r w:rsidR="004F63FF">
        <w:t xml:space="preserve">ccess </w:t>
      </w:r>
      <w:r>
        <w:t>P</w:t>
      </w:r>
      <w:r w:rsidR="004F63FF">
        <w:t>rogram</w:t>
      </w:r>
      <w:r>
        <w:t>.</w:t>
      </w:r>
    </w:p>
    <w:p w:rsidR="00BA58BF" w:rsidP="00345511" w:rsidRDefault="00345511" w14:paraId="315F6337" w14:textId="04567571">
      <w:pPr>
        <w:pStyle w:val="Standard"/>
      </w:pPr>
      <w:r>
        <w:t xml:space="preserve">Cypress Creek, </w:t>
      </w:r>
      <w:r w:rsidR="000341A3">
        <w:t>Joint CCA</w:t>
      </w:r>
      <w:r>
        <w:t>s, and SDG&amp;E assert that DAC</w:t>
      </w:r>
      <w:r w:rsidR="003D6EF8">
        <w:noBreakHyphen/>
      </w:r>
      <w:r>
        <w:t>GT minimizes duplicative offerings because it offers a product to a new group of customers</w:t>
      </w:r>
      <w:r w:rsidR="005D30D7">
        <w:t xml:space="preserve">: </w:t>
      </w:r>
      <w:r>
        <w:t>low</w:t>
      </w:r>
      <w:r w:rsidR="003D6EF8">
        <w:noBreakHyphen/>
      </w:r>
      <w:r>
        <w:t xml:space="preserve">income </w:t>
      </w:r>
      <w:r w:rsidR="0069108B">
        <w:t>investor</w:t>
      </w:r>
      <w:r w:rsidR="003D6EF8">
        <w:noBreakHyphen/>
      </w:r>
      <w:r w:rsidR="0069108B">
        <w:t>owned utilities</w:t>
      </w:r>
      <w:r>
        <w:t xml:space="preserve"> and CCA customers.</w:t>
      </w:r>
      <w:r>
        <w:rPr>
          <w:rStyle w:val="FootnoteReference"/>
        </w:rPr>
        <w:footnoteReference w:id="112"/>
      </w:r>
      <w:r>
        <w:t xml:space="preserve"> SDG&amp;E states that the CSGT and DAC</w:t>
      </w:r>
      <w:r w:rsidR="003D6EF8">
        <w:noBreakHyphen/>
      </w:r>
      <w:r>
        <w:t>GT programs were specifically designed to target DAC customers and minimize duplication with other incentive programs, such as the SOMAH and DAC</w:t>
      </w:r>
      <w:r w:rsidR="003D6EF8">
        <w:noBreakHyphen/>
      </w:r>
      <w:r>
        <w:t>SASH programs.</w:t>
      </w:r>
    </w:p>
    <w:p w:rsidR="00BA58BF" w:rsidP="00345511" w:rsidRDefault="000341A3" w14:paraId="1CF9C578" w14:textId="542EEF00">
      <w:pPr>
        <w:pStyle w:val="Standard"/>
      </w:pPr>
      <w:r>
        <w:t>Joint CCA</w:t>
      </w:r>
      <w:r w:rsidR="00345511">
        <w:t>s state that while there are similarities in the DAC</w:t>
      </w:r>
      <w:r w:rsidR="003D6EF8">
        <w:noBreakHyphen/>
      </w:r>
      <w:r w:rsidR="00345511">
        <w:t>GT and CSGT programs, in that they provide options for residential low</w:t>
      </w:r>
      <w:r w:rsidR="003D6EF8">
        <w:noBreakHyphen/>
      </w:r>
      <w:r w:rsidR="00345511">
        <w:t>income customers in DACs, the programs are complementary because DAC</w:t>
      </w:r>
      <w:r w:rsidR="003D6EF8">
        <w:noBreakHyphen/>
      </w:r>
      <w:r w:rsidR="00345511">
        <w:t>GT is only available to residential customers in DACs that are CARE/FERA</w:t>
      </w:r>
      <w:r w:rsidR="003D6EF8">
        <w:noBreakHyphen/>
      </w:r>
      <w:r w:rsidR="00345511">
        <w:t>eligible, while CSGT is available to all residential customers in DACs.</w:t>
      </w:r>
      <w:r w:rsidR="00345511">
        <w:rPr>
          <w:rStyle w:val="FootnoteReference"/>
        </w:rPr>
        <w:footnoteReference w:id="113"/>
      </w:r>
      <w:r w:rsidR="00345511">
        <w:t xml:space="preserve"> </w:t>
      </w:r>
      <w:r>
        <w:t>Joint CCA</w:t>
      </w:r>
      <w:r w:rsidR="00345511">
        <w:t>s further note that DAC</w:t>
      </w:r>
      <w:r w:rsidR="003D6EF8">
        <w:noBreakHyphen/>
      </w:r>
      <w:r w:rsidR="00345511">
        <w:t>GT minimizes duplicative offerings as compared to other solar programs targeting vulnerable customers, such as SOMAH and DAC</w:t>
      </w:r>
      <w:r w:rsidR="003D6EF8">
        <w:noBreakHyphen/>
      </w:r>
      <w:r w:rsidR="00345511">
        <w:t>SASH, and finds that these programs target specific groups of low</w:t>
      </w:r>
      <w:r w:rsidR="003D6EF8">
        <w:noBreakHyphen/>
      </w:r>
      <w:r w:rsidR="00345511">
        <w:t>income customers.</w:t>
      </w:r>
    </w:p>
    <w:p w:rsidRPr="001A0084" w:rsidR="00345511" w:rsidP="001B1E90" w:rsidRDefault="00345511" w14:paraId="1EDD22AA" w14:textId="68885832">
      <w:pPr>
        <w:pStyle w:val="Heading4"/>
      </w:pPr>
      <w:bookmarkStart w:name="_Toc159551167" w:id="105"/>
      <w:bookmarkStart w:name="_Toc168559287" w:id="106"/>
      <w:r>
        <w:lastRenderedPageBreak/>
        <w:t>Promotes Robust</w:t>
      </w:r>
      <w:r w:rsidR="00D62231">
        <w:br/>
      </w:r>
      <w:r>
        <w:t>Low</w:t>
      </w:r>
      <w:r w:rsidR="003D6EF8">
        <w:noBreakHyphen/>
      </w:r>
      <w:r>
        <w:t>Income Participation</w:t>
      </w:r>
      <w:bookmarkEnd w:id="105"/>
      <w:bookmarkEnd w:id="106"/>
    </w:p>
    <w:p w:rsidR="00BA58BF" w:rsidP="00345511" w:rsidRDefault="00345511" w14:paraId="258ABAE7" w14:textId="1D961D90">
      <w:pPr>
        <w:pStyle w:val="Standard"/>
      </w:pPr>
      <w:r>
        <w:t>Multiple parties assert that the DAC</w:t>
      </w:r>
      <w:r w:rsidR="003D6EF8">
        <w:noBreakHyphen/>
      </w:r>
      <w:r>
        <w:t>GT program does not promote robust low</w:t>
      </w:r>
      <w:r w:rsidR="003D6EF8">
        <w:noBreakHyphen/>
      </w:r>
      <w:r>
        <w:t xml:space="preserve">income participation, such as CCSA, </w:t>
      </w:r>
      <w:r w:rsidR="00AD55A4">
        <w:rPr>
          <w:szCs w:val="26"/>
        </w:rPr>
        <w:t>CEJA,</w:t>
      </w:r>
      <w:r w:rsidRPr="00AD55A4" w:rsidR="00AD55A4">
        <w:rPr>
          <w:i/>
          <w:iCs/>
          <w:szCs w:val="26"/>
        </w:rPr>
        <w:t xml:space="preserve"> </w:t>
      </w:r>
      <w:r w:rsidR="00237E56">
        <w:rPr>
          <w:i/>
          <w:iCs/>
          <w:szCs w:val="26"/>
        </w:rPr>
        <w:t>et al</w:t>
      </w:r>
      <w:r w:rsidRPr="00AD55A4" w:rsidR="00AD55A4">
        <w:rPr>
          <w:i/>
          <w:iCs/>
          <w:szCs w:val="26"/>
        </w:rPr>
        <w:t>.</w:t>
      </w:r>
      <w:r>
        <w:t>, SCE, and TURN.</w:t>
      </w:r>
      <w:r>
        <w:rPr>
          <w:rStyle w:val="FootnoteReference"/>
        </w:rPr>
        <w:footnoteReference w:id="114"/>
      </w:r>
      <w:r>
        <w:t xml:space="preserve"> </w:t>
      </w:r>
      <w:r w:rsidR="00AD55A4">
        <w:t xml:space="preserve">CEJA, </w:t>
      </w:r>
      <w:r w:rsidR="00237E56">
        <w:rPr>
          <w:i/>
          <w:iCs/>
        </w:rPr>
        <w:t>et al</w:t>
      </w:r>
      <w:r w:rsidRPr="00AD55A4" w:rsidR="00AD55A4">
        <w:rPr>
          <w:i/>
          <w:iCs/>
        </w:rPr>
        <w:t>.</w:t>
      </w:r>
      <w:r>
        <w:t xml:space="preserve"> states that PG&amp;E</w:t>
      </w:r>
      <w:r w:rsidR="00440785">
        <w:t>’</w:t>
      </w:r>
      <w:r>
        <w:t>s nearly 10,000 CARE/FERA enrollees cannot be considered robust participation considering the 3</w:t>
      </w:r>
      <w:r w:rsidR="001E44CA">
        <w:t> million</w:t>
      </w:r>
      <w:r>
        <w:t xml:space="preserve"> </w:t>
      </w:r>
      <w:r w:rsidR="000553C6">
        <w:t>investor</w:t>
      </w:r>
      <w:r w:rsidR="003D6EF8">
        <w:noBreakHyphen/>
      </w:r>
      <w:r w:rsidR="000553C6">
        <w:t>owned utility</w:t>
      </w:r>
      <w:r w:rsidR="00986F52">
        <w:t xml:space="preserve"> </w:t>
      </w:r>
      <w:r>
        <w:t>customers eligible for CARE or 9.6</w:t>
      </w:r>
      <w:r w:rsidR="001E44CA">
        <w:t> million</w:t>
      </w:r>
      <w:r>
        <w:t xml:space="preserve"> residents living in DACs. SDG&amp;E and SCE report no CARE/FERA subscribers.</w:t>
      </w:r>
      <w:r>
        <w:rPr>
          <w:rStyle w:val="FootnoteReference"/>
        </w:rPr>
        <w:footnoteReference w:id="115"/>
      </w:r>
    </w:p>
    <w:p w:rsidR="00345511" w:rsidP="00345511" w:rsidRDefault="00345511" w14:paraId="7F4FD37F" w14:textId="01082D2A">
      <w:pPr>
        <w:pStyle w:val="Standard"/>
      </w:pPr>
      <w:r>
        <w:t>CCSA and TURN argue that DAC</w:t>
      </w:r>
      <w:r w:rsidR="003D6EF8">
        <w:noBreakHyphen/>
      </w:r>
      <w:r>
        <w:t>GT serves only a subset of low</w:t>
      </w:r>
      <w:r w:rsidR="003D6EF8">
        <w:noBreakHyphen/>
      </w:r>
      <w:r>
        <w:t xml:space="preserve">income customers based on </w:t>
      </w:r>
      <w:r w:rsidR="003627A8">
        <w:t>AB </w:t>
      </w:r>
      <w:r>
        <w:t>2316</w:t>
      </w:r>
      <w:r w:rsidR="00440785">
        <w:t>’</w:t>
      </w:r>
      <w:r>
        <w:t>s definition, as only CARE/FERA</w:t>
      </w:r>
      <w:r w:rsidR="003D6EF8">
        <w:noBreakHyphen/>
      </w:r>
      <w:r>
        <w:t>enrolled customers in the top 25</w:t>
      </w:r>
      <w:r w:rsidR="00405FF8">
        <w:t> percent</w:t>
      </w:r>
      <w:r>
        <w:t xml:space="preserve"> of DACs are eligible.</w:t>
      </w:r>
      <w:r>
        <w:rPr>
          <w:rStyle w:val="FootnoteReference"/>
        </w:rPr>
        <w:footnoteReference w:id="116"/>
      </w:r>
      <w:r>
        <w:t xml:space="preserve"> CCSA claims that at most, the DAC</w:t>
      </w:r>
      <w:r w:rsidR="003D6EF8">
        <w:noBreakHyphen/>
      </w:r>
      <w:r>
        <w:t>GT program can serve about 39,500 customers, which cannot reasonably be considered robust participation. TURN reasons that there cannot be robust participation due to the unavailability of resources and because the program cannot serve low</w:t>
      </w:r>
      <w:r w:rsidR="003D6EF8">
        <w:noBreakHyphen/>
      </w:r>
      <w:r>
        <w:t>income customers outside of DACs or renters that are not eligible for CARE/FERA.</w:t>
      </w:r>
    </w:p>
    <w:p w:rsidR="00BA58BF" w:rsidP="00345511" w:rsidRDefault="00345511" w14:paraId="2E061A8D" w14:textId="0DD30B15">
      <w:pPr>
        <w:pStyle w:val="Standard"/>
      </w:pPr>
      <w:r>
        <w:t xml:space="preserve">Cypress Creek, </w:t>
      </w:r>
      <w:r w:rsidR="000341A3">
        <w:t>Joint CCA</w:t>
      </w:r>
      <w:r>
        <w:t>s, and SEIA contend that DAC</w:t>
      </w:r>
      <w:r w:rsidR="003D6EF8">
        <w:noBreakHyphen/>
      </w:r>
      <w:r>
        <w:t>GT does promote robust participation by low</w:t>
      </w:r>
      <w:r w:rsidR="003D6EF8">
        <w:noBreakHyphen/>
      </w:r>
      <w:r>
        <w:t>income customers.</w:t>
      </w:r>
      <w:r>
        <w:rPr>
          <w:rStyle w:val="FootnoteReference"/>
        </w:rPr>
        <w:footnoteReference w:id="117"/>
      </w:r>
      <w:r>
        <w:t xml:space="preserve"> Cypress Creek and SEIA state that the program is designed to promote low</w:t>
      </w:r>
      <w:r w:rsidR="003D6EF8">
        <w:noBreakHyphen/>
      </w:r>
      <w:r>
        <w:t>income participation, as only low</w:t>
      </w:r>
      <w:r w:rsidR="003D6EF8">
        <w:noBreakHyphen/>
      </w:r>
      <w:r>
        <w:t>income customers in a top 25</w:t>
      </w:r>
      <w:r w:rsidR="00405FF8">
        <w:t> percent</w:t>
      </w:r>
      <w:r>
        <w:t xml:space="preserve"> DAC or census tract in the highest </w:t>
      </w:r>
      <w:r w:rsidR="00405FF8">
        <w:t>five</w:t>
      </w:r>
      <w:r>
        <w:t xml:space="preserve"> percent of CalEnviroScreen</w:t>
      </w:r>
      <w:r w:rsidR="00440785">
        <w:t>’</w:t>
      </w:r>
      <w:r>
        <w:t xml:space="preserve">s Pollution Burden are eligible. </w:t>
      </w:r>
      <w:r w:rsidR="000341A3">
        <w:t>Joint CCA</w:t>
      </w:r>
      <w:r>
        <w:t xml:space="preserve">s state that </w:t>
      </w:r>
      <w:r>
        <w:lastRenderedPageBreak/>
        <w:t>the DAC</w:t>
      </w:r>
      <w:r w:rsidR="003D6EF8">
        <w:noBreakHyphen/>
      </w:r>
      <w:r>
        <w:t xml:space="preserve">GT </w:t>
      </w:r>
      <w:r w:rsidR="00986F52">
        <w:t xml:space="preserve">program administrators </w:t>
      </w:r>
      <w:r>
        <w:t>with active programs have enrolled enough customers to be at or close to reaching the maximum number of allowable enrollees.</w:t>
      </w:r>
    </w:p>
    <w:p w:rsidR="00345511" w:rsidP="001B1E90" w:rsidRDefault="00345511" w14:paraId="0AA3A456" w14:textId="6C0D9C41">
      <w:pPr>
        <w:pStyle w:val="Heading4"/>
      </w:pPr>
      <w:bookmarkStart w:name="_Toc159551168" w:id="107"/>
      <w:bookmarkStart w:name="_Toc168559288" w:id="108"/>
      <w:r>
        <w:t xml:space="preserve">Impact of Departing Load from </w:t>
      </w:r>
      <w:r w:rsidR="004E597B">
        <w:t>Community Choice Aggregat</w:t>
      </w:r>
      <w:r w:rsidR="00CF3698">
        <w:t>or</w:t>
      </w:r>
      <w:r>
        <w:t>s</w:t>
      </w:r>
      <w:bookmarkEnd w:id="107"/>
      <w:bookmarkEnd w:id="108"/>
    </w:p>
    <w:p w:rsidR="00BA58BF" w:rsidP="00345511" w:rsidRDefault="00345511" w14:paraId="0BC84EF0" w14:textId="423EC285">
      <w:pPr>
        <w:pStyle w:val="Standard"/>
      </w:pPr>
      <w:r>
        <w:t xml:space="preserve">Cypress Creek, </w:t>
      </w:r>
      <w:r w:rsidR="000341A3">
        <w:t>Joint CCA</w:t>
      </w:r>
      <w:r>
        <w:t>s, SDG&amp;E, and PG&amp;E state that departing load from CCAs could impact DAC</w:t>
      </w:r>
      <w:r w:rsidR="003D6EF8">
        <w:noBreakHyphen/>
      </w:r>
      <w:r>
        <w:t>GT if an eligible CCA does not participate in the DAC</w:t>
      </w:r>
      <w:r w:rsidR="003D6EF8">
        <w:noBreakHyphen/>
      </w:r>
      <w:r>
        <w:t>GT program.</w:t>
      </w:r>
      <w:r>
        <w:rPr>
          <w:rStyle w:val="FootnoteReference"/>
        </w:rPr>
        <w:footnoteReference w:id="118"/>
      </w:r>
      <w:r>
        <w:t xml:space="preserve"> PG&amp;E states that as customers transition to CCAs, there are likely fewer customers eligible to participate in DAC</w:t>
      </w:r>
      <w:r w:rsidR="003D6EF8">
        <w:noBreakHyphen/>
      </w:r>
      <w:r>
        <w:t>GT in the same area, and notes that because it has executed DAC</w:t>
      </w:r>
      <w:r w:rsidR="003D6EF8">
        <w:noBreakHyphen/>
      </w:r>
      <w:r>
        <w:t xml:space="preserve">GT contracts for its remaining capacity, CCAs may have limited access to </w:t>
      </w:r>
      <w:r w:rsidR="003B2FF1">
        <w:t xml:space="preserve">megawatts </w:t>
      </w:r>
      <w:r>
        <w:t>to serve customers. SDG&amp;E states that CCA expansion greatly reduces the number of eligible SDG&amp;E customers in DACs.</w:t>
      </w:r>
    </w:p>
    <w:p w:rsidR="00345511" w:rsidP="00345511" w:rsidRDefault="00345511" w14:paraId="44115FFE" w14:textId="52769D4E">
      <w:pPr>
        <w:pStyle w:val="Standard"/>
      </w:pPr>
      <w:r>
        <w:t>SEIA argues that while departing load from CCAs could negatively impact DAC</w:t>
      </w:r>
      <w:r w:rsidR="003D6EF8">
        <w:noBreakHyphen/>
      </w:r>
      <w:r>
        <w:t>GT, it has not because DAC</w:t>
      </w:r>
      <w:r w:rsidR="003D6EF8">
        <w:noBreakHyphen/>
      </w:r>
      <w:r>
        <w:t>GT is available to CCA customers if the CCA offers it.</w:t>
      </w:r>
      <w:r>
        <w:rPr>
          <w:rStyle w:val="FootnoteReference"/>
        </w:rPr>
        <w:footnoteReference w:id="119"/>
      </w:r>
      <w:r>
        <w:t xml:space="preserve"> SCE states that there is no impact for CCA departing load as SCE has no customer participation in its DAC</w:t>
      </w:r>
      <w:r w:rsidR="003D6EF8">
        <w:noBreakHyphen/>
      </w:r>
      <w:r>
        <w:t>GT program.</w:t>
      </w:r>
      <w:r>
        <w:rPr>
          <w:rStyle w:val="FootnoteReference"/>
        </w:rPr>
        <w:footnoteReference w:id="120"/>
      </w:r>
    </w:p>
    <w:p w:rsidRPr="00AA60FF" w:rsidR="00345511" w:rsidP="001B1E90" w:rsidRDefault="00345511" w14:paraId="699C72E1" w14:textId="77777777">
      <w:pPr>
        <w:pStyle w:val="Heading4"/>
      </w:pPr>
      <w:bookmarkStart w:name="_Toc159551169" w:id="109"/>
      <w:bookmarkStart w:name="_Toc168559289" w:id="110"/>
      <w:r>
        <w:t>Discussion</w:t>
      </w:r>
      <w:bookmarkEnd w:id="109"/>
      <w:bookmarkEnd w:id="110"/>
    </w:p>
    <w:p w:rsidR="00345511" w:rsidP="00345511" w:rsidRDefault="00345511" w14:paraId="31F01940" w14:textId="2D1A2623">
      <w:pPr>
        <w:pStyle w:val="Standard"/>
      </w:pPr>
      <w:bookmarkStart w:name="_Hlk144993666" w:id="111"/>
      <w:r>
        <w:t xml:space="preserve">Of the </w:t>
      </w:r>
      <w:r w:rsidR="0069108B">
        <w:t>investor</w:t>
      </w:r>
      <w:r w:rsidR="003D6EF8">
        <w:noBreakHyphen/>
      </w:r>
      <w:r w:rsidR="0069108B">
        <w:t>owned utilitie</w:t>
      </w:r>
      <w:r>
        <w:t>s, SDG&amp;E and SCE have no customers enrolled in their DAC</w:t>
      </w:r>
      <w:r w:rsidR="003D6EF8">
        <w:noBreakHyphen/>
      </w:r>
      <w:r>
        <w:t>GT programs and have not secured any qualifying contracts; PG&amp;E, however, is fully subscribed through auto</w:t>
      </w:r>
      <w:r w:rsidR="003D6EF8">
        <w:noBreakHyphen/>
      </w:r>
      <w:r>
        <w:t>enrollment.</w:t>
      </w:r>
      <w:r w:rsidRPr="00A265F0">
        <w:rPr>
          <w:rStyle w:val="FootnoteReference"/>
        </w:rPr>
        <w:t xml:space="preserve"> </w:t>
      </w:r>
      <w:r>
        <w:rPr>
          <w:rStyle w:val="FootnoteReference"/>
        </w:rPr>
        <w:footnoteReference w:id="121"/>
      </w:r>
      <w:r>
        <w:t xml:space="preserve"> </w:t>
      </w:r>
      <w:bookmarkStart w:name="_Hlk144993640" w:id="112"/>
      <w:bookmarkEnd w:id="111"/>
      <w:r>
        <w:t xml:space="preserve">Of the </w:t>
      </w:r>
      <w:r>
        <w:lastRenderedPageBreak/>
        <w:t xml:space="preserve">eight CCA </w:t>
      </w:r>
      <w:r w:rsidR="00986F52">
        <w:t>program administrators</w:t>
      </w:r>
      <w:r>
        <w:t xml:space="preserve">, as of March 2023, </w:t>
      </w:r>
      <w:r w:rsidR="00986F52">
        <w:t>four</w:t>
      </w:r>
      <w:r>
        <w:t xml:space="preserve"> </w:t>
      </w:r>
      <w:r w:rsidR="00986F52">
        <w:t xml:space="preserve">program administrators </w:t>
      </w:r>
      <w:r>
        <w:t xml:space="preserve">(CPA, </w:t>
      </w:r>
      <w:r w:rsidR="00A55D0B">
        <w:t>MCE</w:t>
      </w:r>
      <w:r>
        <w:t xml:space="preserve">, </w:t>
      </w:r>
      <w:r w:rsidR="008A0BDF">
        <w:t>PCE</w:t>
      </w:r>
      <w:r w:rsidR="00986F52">
        <w:t xml:space="preserve">, </w:t>
      </w:r>
      <w:r>
        <w:t xml:space="preserve">and </w:t>
      </w:r>
      <w:r w:rsidR="007563ED">
        <w:t>SJCE</w:t>
      </w:r>
      <w:r>
        <w:t xml:space="preserve">) have been able to secure new qualifying contracts. While seven CCA </w:t>
      </w:r>
      <w:r w:rsidR="00986F52">
        <w:t xml:space="preserve">program administrators </w:t>
      </w:r>
      <w:r>
        <w:t>have enrolled customers in the DAC</w:t>
      </w:r>
      <w:r w:rsidR="003D6EF8">
        <w:noBreakHyphen/>
      </w:r>
      <w:r>
        <w:t>GT program</w:t>
      </w:r>
      <w:r w:rsidRPr="00986F52" w:rsidR="00986F52">
        <w:t xml:space="preserve"> </w:t>
      </w:r>
      <w:r w:rsidR="00986F52">
        <w:t>using interim RPS resources</w:t>
      </w:r>
      <w:r>
        <w:t xml:space="preserve">, </w:t>
      </w:r>
      <w:r w:rsidR="00C5134B">
        <w:t>five</w:t>
      </w:r>
      <w:r>
        <w:t xml:space="preserve"> of those </w:t>
      </w:r>
      <w:r w:rsidR="00986F52">
        <w:t xml:space="preserve">program administrators </w:t>
      </w:r>
      <w:r>
        <w:t xml:space="preserve">have procured new capacity to serve those customers as of </w:t>
      </w:r>
      <w:r w:rsidR="00AD0E6C">
        <w:t xml:space="preserve">October </w:t>
      </w:r>
      <w:r>
        <w:t>202</w:t>
      </w:r>
      <w:r w:rsidR="00AD0E6C">
        <w:t>3</w:t>
      </w:r>
      <w:r>
        <w:t xml:space="preserve">. </w:t>
      </w:r>
      <w:bookmarkEnd w:id="112"/>
      <w:r>
        <w:t xml:space="preserve">Based on </w:t>
      </w:r>
      <w:r w:rsidR="0013526D">
        <w:t>October </w:t>
      </w:r>
      <w:r w:rsidR="002D1988">
        <w:t>31, 2023</w:t>
      </w:r>
      <w:r w:rsidR="00EF5CA9">
        <w:t xml:space="preserve"> </w:t>
      </w:r>
      <w:r>
        <w:t>reported data on the DAC</w:t>
      </w:r>
      <w:r w:rsidR="003D6EF8">
        <w:noBreakHyphen/>
      </w:r>
      <w:r>
        <w:t>GT program, the Commission observes that the program has procured approximately 4</w:t>
      </w:r>
      <w:r w:rsidR="002D1988">
        <w:t>7</w:t>
      </w:r>
      <w:r w:rsidR="006473B0">
        <w:t> percent</w:t>
      </w:r>
      <w:r>
        <w:t xml:space="preserve"> of allocated capacity for new </w:t>
      </w:r>
      <w:r w:rsidR="009E530D">
        <w:t>resources and</w:t>
      </w:r>
      <w:r>
        <w:t xml:space="preserve"> subscribed </w:t>
      </w:r>
      <w:r w:rsidR="002D1988">
        <w:t>23,</w:t>
      </w:r>
      <w:r w:rsidR="0055762F">
        <w:t>708</w:t>
      </w:r>
      <w:r w:rsidR="000204A6">
        <w:t xml:space="preserve"> customers</w:t>
      </w:r>
      <w:r>
        <w:rPr>
          <w:rStyle w:val="FootnoteReference"/>
        </w:rPr>
        <w:footnoteReference w:id="122"/>
      </w:r>
      <w:r>
        <w:t xml:space="preserve"> </w:t>
      </w:r>
      <w:r w:rsidR="00B16E6B">
        <w:t>(</w:t>
      </w:r>
      <w:r w:rsidRPr="00B16E6B" w:rsidR="00B16E6B">
        <w:rPr>
          <w:i/>
          <w:iCs/>
        </w:rPr>
        <w:t>s</w:t>
      </w:r>
      <w:r w:rsidRPr="00B16E6B" w:rsidR="00E35540">
        <w:rPr>
          <w:i/>
          <w:iCs/>
        </w:rPr>
        <w:t>ee</w:t>
      </w:r>
      <w:r w:rsidR="00E35540">
        <w:t xml:space="preserve"> </w:t>
      </w:r>
      <w:r w:rsidR="005674F9">
        <w:t>Table 2</w:t>
      </w:r>
      <w:r w:rsidR="00E35540">
        <w:t xml:space="preserve"> below</w:t>
      </w:r>
      <w:r w:rsidR="00B16E6B">
        <w:t>)</w:t>
      </w:r>
      <w:r w:rsidR="00E35540">
        <w:t>.</w:t>
      </w:r>
    </w:p>
    <w:p w:rsidR="009569B2" w:rsidP="00B0167A" w:rsidRDefault="005674F9" w14:paraId="5279E0BE" w14:textId="319F552C">
      <w:pPr>
        <w:pStyle w:val="Standard"/>
        <w:keepNext/>
        <w:spacing w:after="240" w:line="240" w:lineRule="auto"/>
        <w:ind w:firstLine="0"/>
        <w:jc w:val="center"/>
      </w:pPr>
      <w:r w:rsidRPr="00005851">
        <w:rPr>
          <w:b/>
          <w:bCs/>
        </w:rPr>
        <w:t>Table 2</w:t>
      </w:r>
      <w:r w:rsidR="00732D2D">
        <w:rPr>
          <w:rStyle w:val="FootnoteReference"/>
        </w:rPr>
        <w:footnoteReference w:id="123"/>
      </w:r>
    </w:p>
    <w:tbl>
      <w:tblPr>
        <w:tblW w:w="9360" w:type="dxa"/>
        <w:tblLayout w:type="fixed"/>
        <w:tblCellMar>
          <w:top w:w="58" w:type="dxa"/>
          <w:bottom w:w="58" w:type="dxa"/>
        </w:tblCellMar>
        <w:tblLook w:val="04A0" w:firstRow="1" w:lastRow="0" w:firstColumn="1" w:lastColumn="0" w:noHBand="0" w:noVBand="1"/>
      </w:tblPr>
      <w:tblGrid>
        <w:gridCol w:w="1975"/>
        <w:gridCol w:w="1566"/>
        <w:gridCol w:w="2000"/>
        <w:gridCol w:w="2014"/>
        <w:gridCol w:w="1805"/>
      </w:tblGrid>
      <w:tr w:rsidRPr="00A71AD6" w:rsidR="00BF7445" w:rsidTr="009B3349" w14:paraId="29B94BDE" w14:textId="77777777">
        <w:trPr>
          <w:tblHeader/>
        </w:trPr>
        <w:tc>
          <w:tcPr>
            <w:tcW w:w="1975" w:type="dxa"/>
            <w:tcBorders>
              <w:top w:val="single" w:color="auto" w:sz="4" w:space="0"/>
              <w:left w:val="single" w:color="auto" w:sz="4" w:space="0"/>
              <w:bottom w:val="single" w:color="auto" w:sz="4" w:space="0"/>
              <w:right w:val="single" w:color="auto" w:sz="4" w:space="0"/>
            </w:tcBorders>
            <w:shd w:val="clear" w:color="auto" w:fill="auto"/>
            <w:vAlign w:val="bottom"/>
            <w:hideMark/>
          </w:tcPr>
          <w:p w:rsidR="00BA58BF" w:rsidP="00A71AD6" w:rsidRDefault="00BF7445" w14:paraId="07309F5A" w14:textId="77777777">
            <w:pPr>
              <w:spacing w:line="240" w:lineRule="auto"/>
              <w:ind w:firstLine="0"/>
              <w:jc w:val="center"/>
              <w:rPr>
                <w:rFonts w:cstheme="minorHAnsi"/>
                <w:b/>
                <w:bCs/>
                <w:szCs w:val="24"/>
              </w:rPr>
            </w:pPr>
            <w:r w:rsidRPr="00A71AD6">
              <w:rPr>
                <w:rFonts w:cstheme="minorHAnsi"/>
                <w:b/>
                <w:bCs/>
                <w:szCs w:val="24"/>
              </w:rPr>
              <w:t>Program</w:t>
            </w:r>
          </w:p>
          <w:p w:rsidRPr="00A71AD6" w:rsidR="00BF7445" w:rsidP="00A71AD6" w:rsidRDefault="00BF7445" w14:paraId="3A3B3539" w14:textId="1E88F520">
            <w:pPr>
              <w:spacing w:line="240" w:lineRule="auto"/>
              <w:ind w:firstLine="0"/>
              <w:jc w:val="center"/>
              <w:rPr>
                <w:rFonts w:cstheme="minorHAnsi"/>
                <w:b/>
                <w:bCs/>
                <w:color w:val="000000"/>
                <w:szCs w:val="24"/>
              </w:rPr>
            </w:pPr>
            <w:r w:rsidRPr="00A71AD6">
              <w:rPr>
                <w:rFonts w:cstheme="minorHAnsi"/>
                <w:b/>
                <w:bCs/>
                <w:color w:val="000000"/>
                <w:szCs w:val="24"/>
              </w:rPr>
              <w:t>Administrator</w:t>
            </w:r>
          </w:p>
        </w:tc>
        <w:tc>
          <w:tcPr>
            <w:tcW w:w="1566"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7F94CFB1" w14:textId="77777777">
            <w:pPr>
              <w:spacing w:line="240" w:lineRule="auto"/>
              <w:ind w:firstLine="0"/>
              <w:jc w:val="center"/>
              <w:rPr>
                <w:rFonts w:cstheme="minorHAnsi"/>
                <w:b/>
                <w:bCs/>
                <w:color w:val="000000"/>
                <w:szCs w:val="24"/>
              </w:rPr>
            </w:pPr>
            <w:r w:rsidRPr="00A71AD6">
              <w:rPr>
                <w:rFonts w:cstheme="minorHAnsi"/>
                <w:b/>
                <w:bCs/>
                <w:color w:val="000000"/>
                <w:szCs w:val="24"/>
              </w:rPr>
              <w:t>Allocated</w:t>
            </w:r>
          </w:p>
          <w:p w:rsidR="00BA58BF" w:rsidP="00A71AD6" w:rsidRDefault="00BF7445" w14:paraId="4EBBEA9C" w14:textId="77777777">
            <w:pPr>
              <w:spacing w:line="240" w:lineRule="auto"/>
              <w:ind w:firstLine="0"/>
              <w:jc w:val="center"/>
              <w:rPr>
                <w:rFonts w:cstheme="minorHAnsi"/>
                <w:b/>
                <w:bCs/>
                <w:color w:val="000000"/>
                <w:szCs w:val="24"/>
              </w:rPr>
            </w:pPr>
            <w:r w:rsidRPr="00A71AD6">
              <w:rPr>
                <w:rFonts w:cstheme="minorHAnsi"/>
                <w:b/>
                <w:bCs/>
                <w:color w:val="000000"/>
                <w:szCs w:val="24"/>
              </w:rPr>
              <w:t>Capacity</w:t>
            </w:r>
          </w:p>
          <w:p w:rsidRPr="00A71AD6" w:rsidR="00BF7445" w:rsidP="00A71AD6" w:rsidRDefault="00BF7445" w14:paraId="0C75A27A" w14:textId="0AF0B0D1">
            <w:pPr>
              <w:spacing w:line="240" w:lineRule="auto"/>
              <w:ind w:firstLine="0"/>
              <w:jc w:val="center"/>
              <w:rPr>
                <w:rFonts w:cstheme="minorHAnsi"/>
                <w:b/>
                <w:bCs/>
                <w:color w:val="000000"/>
                <w:szCs w:val="24"/>
              </w:rPr>
            </w:pPr>
            <w:r w:rsidRPr="00A71AD6">
              <w:rPr>
                <w:rFonts w:cstheme="minorHAnsi"/>
                <w:b/>
                <w:bCs/>
                <w:color w:val="000000"/>
                <w:szCs w:val="24"/>
              </w:rPr>
              <w:t>(MW)</w:t>
            </w:r>
          </w:p>
        </w:tc>
        <w:tc>
          <w:tcPr>
            <w:tcW w:w="2000"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7ED2B57C" w14:textId="77777777">
            <w:pPr>
              <w:spacing w:line="240" w:lineRule="auto"/>
              <w:ind w:firstLine="0"/>
              <w:jc w:val="center"/>
              <w:rPr>
                <w:rFonts w:cstheme="minorHAnsi"/>
                <w:b/>
                <w:bCs/>
                <w:color w:val="000000"/>
                <w:szCs w:val="24"/>
              </w:rPr>
            </w:pPr>
            <w:r w:rsidRPr="00A71AD6">
              <w:rPr>
                <w:rFonts w:cstheme="minorHAnsi"/>
                <w:b/>
                <w:bCs/>
                <w:color w:val="000000"/>
                <w:szCs w:val="24"/>
              </w:rPr>
              <w:t>Total Procured</w:t>
            </w:r>
          </w:p>
          <w:p w:rsidR="00BA58BF" w:rsidP="00A71AD6" w:rsidRDefault="00BF7445" w14:paraId="556AF3A7" w14:textId="77777777">
            <w:pPr>
              <w:spacing w:line="240" w:lineRule="auto"/>
              <w:ind w:firstLine="0"/>
              <w:jc w:val="center"/>
              <w:rPr>
                <w:rFonts w:cstheme="minorHAnsi"/>
                <w:b/>
                <w:bCs/>
                <w:color w:val="000000"/>
                <w:szCs w:val="24"/>
              </w:rPr>
            </w:pPr>
            <w:r w:rsidRPr="00A71AD6">
              <w:rPr>
                <w:rFonts w:cstheme="minorHAnsi"/>
                <w:b/>
                <w:bCs/>
                <w:color w:val="000000"/>
                <w:szCs w:val="24"/>
              </w:rPr>
              <w:t>Capacity</w:t>
            </w:r>
          </w:p>
          <w:p w:rsidRPr="00A71AD6" w:rsidR="00BF7445" w:rsidP="00A71AD6" w:rsidRDefault="00BF7445" w14:paraId="17E6E2D6" w14:textId="74896169">
            <w:pPr>
              <w:spacing w:line="240" w:lineRule="auto"/>
              <w:ind w:firstLine="0"/>
              <w:jc w:val="center"/>
              <w:rPr>
                <w:rFonts w:cstheme="minorHAnsi"/>
                <w:b/>
                <w:bCs/>
                <w:color w:val="000000"/>
                <w:szCs w:val="24"/>
              </w:rPr>
            </w:pPr>
            <w:r w:rsidRPr="00A71AD6">
              <w:rPr>
                <w:rFonts w:cstheme="minorHAnsi"/>
                <w:b/>
                <w:bCs/>
                <w:color w:val="000000"/>
                <w:szCs w:val="24"/>
              </w:rPr>
              <w:t>(MW)</w:t>
            </w:r>
            <w:r w:rsidRPr="00A71AD6" w:rsidR="009E301A">
              <w:rPr>
                <w:rStyle w:val="FootnoteReference"/>
                <w:rFonts w:cstheme="minorHAnsi"/>
                <w:b/>
                <w:bCs/>
                <w:color w:val="000000"/>
                <w:szCs w:val="24"/>
              </w:rPr>
              <w:footnoteReference w:id="124"/>
            </w:r>
          </w:p>
        </w:tc>
        <w:tc>
          <w:tcPr>
            <w:tcW w:w="2014"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6A6B78EE" w14:textId="77777777">
            <w:pPr>
              <w:spacing w:line="240" w:lineRule="auto"/>
              <w:ind w:firstLine="0"/>
              <w:jc w:val="center"/>
              <w:rPr>
                <w:rFonts w:cstheme="minorHAnsi"/>
                <w:b/>
                <w:bCs/>
                <w:color w:val="000000"/>
                <w:szCs w:val="24"/>
              </w:rPr>
            </w:pPr>
            <w:r w:rsidRPr="00A71AD6">
              <w:rPr>
                <w:rFonts w:cstheme="minorHAnsi"/>
                <w:b/>
                <w:bCs/>
                <w:color w:val="000000"/>
                <w:szCs w:val="24"/>
              </w:rPr>
              <w:t>Allocated</w:t>
            </w:r>
          </w:p>
          <w:p w:rsidR="00BA58BF" w:rsidP="00A71AD6" w:rsidRDefault="00BF7445" w14:paraId="22292686" w14:textId="77777777">
            <w:pPr>
              <w:spacing w:line="240" w:lineRule="auto"/>
              <w:ind w:firstLine="0"/>
              <w:jc w:val="center"/>
              <w:rPr>
                <w:rFonts w:cstheme="minorHAnsi"/>
                <w:b/>
                <w:bCs/>
                <w:color w:val="000000"/>
                <w:szCs w:val="24"/>
              </w:rPr>
            </w:pPr>
            <w:r w:rsidRPr="00A71AD6">
              <w:rPr>
                <w:rFonts w:cstheme="minorHAnsi"/>
                <w:b/>
                <w:bCs/>
                <w:color w:val="000000"/>
                <w:szCs w:val="24"/>
              </w:rPr>
              <w:t>Capacity</w:t>
            </w:r>
          </w:p>
          <w:p w:rsidRPr="00A71AD6" w:rsidR="00BF7445" w:rsidP="00A71AD6" w:rsidRDefault="00BF7445" w14:paraId="0F98EE48" w14:textId="380B3CD2">
            <w:pPr>
              <w:spacing w:line="240" w:lineRule="auto"/>
              <w:ind w:firstLine="0"/>
              <w:jc w:val="center"/>
              <w:rPr>
                <w:rFonts w:cstheme="minorHAnsi"/>
                <w:b/>
                <w:bCs/>
                <w:color w:val="000000"/>
                <w:szCs w:val="24"/>
              </w:rPr>
            </w:pPr>
            <w:r w:rsidRPr="00A71AD6">
              <w:rPr>
                <w:rFonts w:cstheme="minorHAnsi"/>
                <w:b/>
                <w:bCs/>
                <w:color w:val="000000"/>
                <w:szCs w:val="24"/>
              </w:rPr>
              <w:t>Procured</w:t>
            </w:r>
            <w:r w:rsidRPr="00A71AD6" w:rsidR="00EE78C3">
              <w:rPr>
                <w:rFonts w:cstheme="minorHAnsi"/>
                <w:b/>
                <w:bCs/>
                <w:color w:val="000000"/>
                <w:szCs w:val="24"/>
              </w:rPr>
              <w:t xml:space="preserve"> (%)</w:t>
            </w:r>
          </w:p>
        </w:tc>
        <w:tc>
          <w:tcPr>
            <w:tcW w:w="1805" w:type="dxa"/>
            <w:tcBorders>
              <w:top w:val="single" w:color="auto" w:sz="4" w:space="0"/>
              <w:left w:val="nil"/>
              <w:bottom w:val="single" w:color="auto" w:sz="4" w:space="0"/>
              <w:right w:val="single" w:color="auto" w:sz="4" w:space="0"/>
            </w:tcBorders>
            <w:shd w:val="clear" w:color="auto" w:fill="auto"/>
            <w:vAlign w:val="bottom"/>
            <w:hideMark/>
          </w:tcPr>
          <w:p w:rsidR="00BA58BF" w:rsidP="00A71AD6" w:rsidRDefault="00BF7445" w14:paraId="61C8E589" w14:textId="77777777">
            <w:pPr>
              <w:spacing w:line="240" w:lineRule="auto"/>
              <w:ind w:firstLine="0"/>
              <w:jc w:val="center"/>
              <w:rPr>
                <w:rFonts w:cstheme="minorHAnsi"/>
                <w:b/>
                <w:bCs/>
                <w:color w:val="000000"/>
                <w:szCs w:val="24"/>
              </w:rPr>
            </w:pPr>
            <w:r w:rsidRPr="00A71AD6">
              <w:rPr>
                <w:rFonts w:cstheme="minorHAnsi"/>
                <w:b/>
                <w:bCs/>
                <w:color w:val="000000"/>
                <w:szCs w:val="24"/>
              </w:rPr>
              <w:t>Subscribed</w:t>
            </w:r>
          </w:p>
          <w:p w:rsidRPr="00A71AD6" w:rsidR="00BF7445" w:rsidP="00A71AD6" w:rsidRDefault="000204A6" w14:paraId="78F9FF05" w14:textId="1FB79B2E">
            <w:pPr>
              <w:spacing w:line="240" w:lineRule="auto"/>
              <w:ind w:firstLine="0"/>
              <w:jc w:val="center"/>
              <w:rPr>
                <w:rFonts w:cstheme="minorHAnsi"/>
                <w:b/>
                <w:bCs/>
                <w:color w:val="000000"/>
                <w:szCs w:val="24"/>
              </w:rPr>
            </w:pPr>
            <w:r w:rsidRPr="00A71AD6">
              <w:rPr>
                <w:rFonts w:cstheme="minorHAnsi"/>
                <w:b/>
                <w:bCs/>
                <w:color w:val="000000"/>
                <w:szCs w:val="24"/>
              </w:rPr>
              <w:t>Customers</w:t>
            </w:r>
            <w:r w:rsidRPr="00A71AD6" w:rsidR="009E301A">
              <w:rPr>
                <w:rStyle w:val="FootnoteReference"/>
                <w:rFonts w:cstheme="minorHAnsi"/>
                <w:b/>
                <w:bCs/>
                <w:color w:val="000000"/>
                <w:szCs w:val="24"/>
              </w:rPr>
              <w:footnoteReference w:id="125"/>
            </w:r>
          </w:p>
        </w:tc>
      </w:tr>
      <w:tr w:rsidRPr="00A71AD6" w:rsidR="00BF7445" w:rsidTr="009B3349" w14:paraId="4DBB59D2"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DF0B84" w:rsidRDefault="00BF7445" w14:paraId="44A0509A" w14:textId="77777777">
            <w:pPr>
              <w:keepNext/>
              <w:spacing w:line="240" w:lineRule="auto"/>
              <w:ind w:firstLine="0"/>
              <w:rPr>
                <w:rFonts w:cstheme="minorHAnsi"/>
                <w:color w:val="000000"/>
                <w:szCs w:val="24"/>
              </w:rPr>
            </w:pPr>
            <w:r w:rsidRPr="00A71AD6">
              <w:rPr>
                <w:rFonts w:cstheme="minorHAnsi"/>
                <w:color w:val="000000"/>
                <w:szCs w:val="24"/>
              </w:rPr>
              <w:t>CPA</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5540EC53" w14:textId="77777777">
            <w:pPr>
              <w:keepNext/>
              <w:spacing w:line="240" w:lineRule="auto"/>
              <w:ind w:firstLine="16"/>
              <w:jc w:val="right"/>
              <w:rPr>
                <w:rFonts w:cstheme="minorHAnsi"/>
                <w:color w:val="000000"/>
                <w:szCs w:val="24"/>
              </w:rPr>
            </w:pPr>
            <w:r w:rsidRPr="00A71AD6">
              <w:rPr>
                <w:rFonts w:cstheme="minorHAnsi"/>
                <w:color w:val="000000"/>
                <w:szCs w:val="24"/>
              </w:rPr>
              <w:t>12.190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36B717D3" w14:textId="77777777">
            <w:pPr>
              <w:keepNext/>
              <w:spacing w:line="240" w:lineRule="auto"/>
              <w:ind w:firstLine="0"/>
              <w:jc w:val="right"/>
              <w:rPr>
                <w:rFonts w:cstheme="minorHAnsi"/>
                <w:color w:val="000000"/>
                <w:szCs w:val="24"/>
              </w:rPr>
            </w:pPr>
            <w:r w:rsidRPr="00A71AD6">
              <w:rPr>
                <w:rFonts w:cstheme="minorHAnsi"/>
                <w:color w:val="000000"/>
                <w:szCs w:val="24"/>
              </w:rPr>
              <w:t>12.190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2919D42B" w14:textId="77777777">
            <w:pPr>
              <w:keepNext/>
              <w:spacing w:line="240" w:lineRule="auto"/>
              <w:ind w:firstLine="0"/>
              <w:jc w:val="right"/>
              <w:rPr>
                <w:rFonts w:cstheme="minorHAnsi"/>
                <w:color w:val="000000"/>
                <w:szCs w:val="24"/>
              </w:rPr>
            </w:pPr>
            <w:r w:rsidRPr="00A71AD6">
              <w:rPr>
                <w:rFonts w:cstheme="minorHAnsi"/>
                <w:color w:val="000000"/>
                <w:szCs w:val="24"/>
              </w:rPr>
              <w:t>100%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DF0B84" w:rsidRDefault="00BF7445" w14:paraId="5EED3948" w14:textId="717160DB">
            <w:pPr>
              <w:keepNext/>
              <w:spacing w:line="240" w:lineRule="auto"/>
              <w:ind w:firstLine="0"/>
              <w:jc w:val="right"/>
              <w:rPr>
                <w:rFonts w:cstheme="minorHAnsi"/>
                <w:color w:val="000000"/>
                <w:szCs w:val="24"/>
              </w:rPr>
            </w:pPr>
            <w:r w:rsidRPr="00A71AD6">
              <w:rPr>
                <w:rFonts w:cstheme="minorHAnsi"/>
                <w:color w:val="000000"/>
                <w:szCs w:val="24"/>
              </w:rPr>
              <w:t>6,010</w:t>
            </w:r>
          </w:p>
        </w:tc>
      </w:tr>
      <w:tr w:rsidRPr="00A71AD6" w:rsidR="00BF7445" w:rsidTr="009B3349" w14:paraId="35CD2AD9"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27719EE3" w14:textId="77777777">
            <w:pPr>
              <w:spacing w:line="240" w:lineRule="auto"/>
              <w:ind w:firstLine="0"/>
              <w:rPr>
                <w:rFonts w:cstheme="minorHAnsi"/>
                <w:color w:val="000000"/>
                <w:szCs w:val="24"/>
              </w:rPr>
            </w:pPr>
            <w:r w:rsidRPr="00A71AD6">
              <w:rPr>
                <w:rFonts w:cstheme="minorHAnsi"/>
                <w:color w:val="000000"/>
                <w:szCs w:val="24"/>
              </w:rPr>
              <w:t>CleanPowerSF</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CE93CE3" w14:textId="77777777">
            <w:pPr>
              <w:spacing w:line="240" w:lineRule="auto"/>
              <w:ind w:firstLine="16"/>
              <w:jc w:val="right"/>
              <w:rPr>
                <w:rFonts w:cstheme="minorHAnsi"/>
                <w:color w:val="000000"/>
                <w:szCs w:val="24"/>
              </w:rPr>
            </w:pPr>
            <w:r w:rsidRPr="00A71AD6">
              <w:rPr>
                <w:rFonts w:cstheme="minorHAnsi"/>
                <w:color w:val="000000"/>
                <w:szCs w:val="24"/>
              </w:rPr>
              <w:t>1.826</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2AD1A2D0"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75FD0F1"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1DF7D0D" w14:textId="2E5D3024">
            <w:pPr>
              <w:spacing w:line="240" w:lineRule="auto"/>
              <w:ind w:firstLine="0"/>
              <w:jc w:val="right"/>
              <w:rPr>
                <w:rFonts w:cstheme="minorHAnsi"/>
                <w:color w:val="000000"/>
                <w:szCs w:val="24"/>
              </w:rPr>
            </w:pPr>
            <w:r w:rsidRPr="00A71AD6">
              <w:rPr>
                <w:rFonts w:cstheme="minorHAnsi"/>
                <w:color w:val="000000"/>
                <w:szCs w:val="24"/>
              </w:rPr>
              <w:t>1,183</w:t>
            </w:r>
          </w:p>
        </w:tc>
      </w:tr>
      <w:tr w:rsidRPr="00A71AD6" w:rsidR="00BF7445" w:rsidTr="009B3349" w14:paraId="7B9AED38"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1AF1997B" w14:textId="142B86AF">
            <w:pPr>
              <w:spacing w:line="240" w:lineRule="auto"/>
              <w:ind w:firstLine="0"/>
              <w:rPr>
                <w:rFonts w:cstheme="minorHAnsi"/>
                <w:color w:val="000000"/>
                <w:szCs w:val="24"/>
              </w:rPr>
            </w:pPr>
            <w:r w:rsidRPr="00A71AD6">
              <w:rPr>
                <w:rFonts w:cstheme="minorHAnsi"/>
                <w:color w:val="000000"/>
                <w:szCs w:val="24"/>
              </w:rPr>
              <w:t>CalChoice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199C492" w14:textId="77777777">
            <w:pPr>
              <w:spacing w:line="240" w:lineRule="auto"/>
              <w:ind w:firstLine="16"/>
              <w:jc w:val="right"/>
              <w:rPr>
                <w:rFonts w:cstheme="minorHAnsi"/>
                <w:color w:val="000000"/>
                <w:szCs w:val="24"/>
              </w:rPr>
            </w:pPr>
            <w:r w:rsidRPr="00A71AD6">
              <w:rPr>
                <w:rFonts w:cstheme="minorHAnsi"/>
                <w:color w:val="000000"/>
                <w:szCs w:val="24"/>
              </w:rPr>
              <w:t>1.310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316FA6B"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6391AB7E"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717D3" w14:paraId="666CEBB2" w14:textId="654717EC">
            <w:pPr>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1480B278"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018B6A38" w14:textId="77777777">
            <w:pPr>
              <w:spacing w:line="240" w:lineRule="auto"/>
              <w:ind w:firstLine="0"/>
              <w:rPr>
                <w:rFonts w:cstheme="minorHAnsi"/>
                <w:color w:val="000000"/>
                <w:szCs w:val="24"/>
              </w:rPr>
            </w:pPr>
            <w:r w:rsidRPr="00A71AD6">
              <w:rPr>
                <w:rFonts w:cstheme="minorHAnsi"/>
                <w:color w:val="000000"/>
                <w:szCs w:val="24"/>
              </w:rPr>
              <w:t>EBCE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5C7696F9" w14:textId="77777777">
            <w:pPr>
              <w:spacing w:line="240" w:lineRule="auto"/>
              <w:ind w:firstLine="16"/>
              <w:jc w:val="right"/>
              <w:rPr>
                <w:rFonts w:cstheme="minorHAnsi"/>
                <w:color w:val="000000"/>
                <w:szCs w:val="24"/>
              </w:rPr>
            </w:pPr>
            <w:r w:rsidRPr="00A71AD6">
              <w:rPr>
                <w:rFonts w:cstheme="minorHAnsi"/>
                <w:color w:val="000000"/>
                <w:szCs w:val="24"/>
              </w:rPr>
              <w:t>5.726</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C8AA3E0"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7DBDB05F"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71243135" w14:textId="7333A032">
            <w:pPr>
              <w:spacing w:line="240" w:lineRule="auto"/>
              <w:ind w:firstLine="0"/>
              <w:jc w:val="right"/>
              <w:rPr>
                <w:rFonts w:cstheme="minorHAnsi"/>
                <w:color w:val="000000"/>
                <w:szCs w:val="24"/>
              </w:rPr>
            </w:pPr>
            <w:r w:rsidRPr="00A71AD6">
              <w:rPr>
                <w:rFonts w:cstheme="minorHAnsi"/>
                <w:color w:val="000000"/>
                <w:szCs w:val="24"/>
              </w:rPr>
              <w:t>2,719</w:t>
            </w:r>
          </w:p>
        </w:tc>
      </w:tr>
      <w:tr w:rsidRPr="00A71AD6" w:rsidR="00BF7445" w:rsidTr="009B3349" w14:paraId="3FA245C1"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284B74F2" w14:textId="77777777">
            <w:pPr>
              <w:spacing w:line="240" w:lineRule="auto"/>
              <w:ind w:firstLine="0"/>
              <w:rPr>
                <w:rFonts w:cstheme="minorHAnsi"/>
                <w:color w:val="000000"/>
                <w:szCs w:val="24"/>
              </w:rPr>
            </w:pPr>
            <w:r w:rsidRPr="00A71AD6">
              <w:rPr>
                <w:rFonts w:cstheme="minorHAnsi"/>
                <w:color w:val="000000"/>
                <w:szCs w:val="24"/>
              </w:rPr>
              <w:t>MCE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71D22919" w14:textId="77777777">
            <w:pPr>
              <w:spacing w:line="240" w:lineRule="auto"/>
              <w:ind w:firstLine="16"/>
              <w:jc w:val="right"/>
              <w:rPr>
                <w:rFonts w:cstheme="minorHAnsi"/>
                <w:color w:val="000000"/>
                <w:szCs w:val="24"/>
              </w:rPr>
            </w:pPr>
            <w:r w:rsidRPr="00A71AD6">
              <w:rPr>
                <w:rFonts w:cstheme="minorHAnsi"/>
                <w:color w:val="000000"/>
                <w:szCs w:val="24"/>
              </w:rPr>
              <w:t>4.646</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267FA556" w14:textId="77777777">
            <w:pPr>
              <w:spacing w:line="240" w:lineRule="auto"/>
              <w:ind w:firstLine="0"/>
              <w:jc w:val="right"/>
              <w:rPr>
                <w:rFonts w:cstheme="minorHAnsi"/>
                <w:color w:val="000000"/>
                <w:szCs w:val="24"/>
              </w:rPr>
            </w:pPr>
            <w:r w:rsidRPr="00A71AD6">
              <w:rPr>
                <w:rFonts w:cstheme="minorHAnsi"/>
                <w:color w:val="000000"/>
                <w:szCs w:val="24"/>
              </w:rPr>
              <w:t>4.640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0204A6" w14:paraId="09F69476" w14:textId="11A227A3">
            <w:pPr>
              <w:spacing w:line="240" w:lineRule="auto"/>
              <w:ind w:firstLine="0"/>
              <w:jc w:val="right"/>
              <w:rPr>
                <w:rFonts w:cstheme="minorHAnsi"/>
                <w:color w:val="000000"/>
                <w:szCs w:val="24"/>
              </w:rPr>
            </w:pPr>
            <w:r w:rsidRPr="00A71AD6">
              <w:rPr>
                <w:rFonts w:cstheme="minorHAnsi"/>
                <w:color w:val="000000"/>
                <w:szCs w:val="24"/>
              </w:rPr>
              <w:t>99.87</w:t>
            </w:r>
            <w:r w:rsidRPr="00A71AD6" w:rsidR="00BF7445">
              <w:rPr>
                <w:rFonts w:cstheme="minorHAnsi"/>
                <w:color w:val="000000"/>
                <w:szCs w:val="24"/>
              </w:rPr>
              <w:t>%</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53AA1988" w14:textId="6CB8702B">
            <w:pPr>
              <w:spacing w:line="240" w:lineRule="auto"/>
              <w:ind w:firstLine="0"/>
              <w:jc w:val="right"/>
              <w:rPr>
                <w:rFonts w:cstheme="minorHAnsi"/>
                <w:color w:val="000000"/>
                <w:szCs w:val="24"/>
              </w:rPr>
            </w:pPr>
            <w:r w:rsidRPr="00A71AD6">
              <w:rPr>
                <w:rFonts w:cstheme="minorHAnsi"/>
                <w:color w:val="000000"/>
                <w:szCs w:val="24"/>
              </w:rPr>
              <w:t>3,170</w:t>
            </w:r>
          </w:p>
        </w:tc>
      </w:tr>
      <w:tr w:rsidRPr="00A71AD6" w:rsidR="00BF7445" w:rsidTr="009B3349" w14:paraId="5941F8C6"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4F5AE4AA" w14:textId="77777777">
            <w:pPr>
              <w:spacing w:line="240" w:lineRule="auto"/>
              <w:ind w:firstLine="0"/>
              <w:rPr>
                <w:rFonts w:cstheme="minorHAnsi"/>
                <w:color w:val="000000"/>
                <w:szCs w:val="24"/>
              </w:rPr>
            </w:pPr>
            <w:r w:rsidRPr="00A71AD6">
              <w:rPr>
                <w:rFonts w:cstheme="minorHAnsi"/>
                <w:color w:val="000000"/>
                <w:szCs w:val="24"/>
              </w:rPr>
              <w:t>PCE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6D0328A5" w14:textId="77777777">
            <w:pPr>
              <w:spacing w:line="240" w:lineRule="auto"/>
              <w:ind w:firstLine="16"/>
              <w:jc w:val="right"/>
              <w:rPr>
                <w:rFonts w:cstheme="minorHAnsi"/>
                <w:color w:val="000000"/>
                <w:szCs w:val="24"/>
              </w:rPr>
            </w:pPr>
            <w:r w:rsidRPr="00A71AD6">
              <w:rPr>
                <w:rFonts w:cstheme="minorHAnsi"/>
                <w:color w:val="000000"/>
                <w:szCs w:val="24"/>
              </w:rPr>
              <w:t>3.740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2D3B2872" w14:textId="77777777">
            <w:pPr>
              <w:spacing w:line="240" w:lineRule="auto"/>
              <w:ind w:firstLine="0"/>
              <w:jc w:val="right"/>
              <w:rPr>
                <w:rFonts w:cstheme="minorHAnsi"/>
                <w:color w:val="000000"/>
                <w:szCs w:val="24"/>
              </w:rPr>
            </w:pPr>
            <w:r w:rsidRPr="00A71AD6">
              <w:rPr>
                <w:rFonts w:cstheme="minorHAnsi"/>
                <w:color w:val="000000"/>
                <w:szCs w:val="24"/>
              </w:rPr>
              <w:t>3.000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518B6379" w14:textId="77777777">
            <w:pPr>
              <w:spacing w:line="240" w:lineRule="auto"/>
              <w:ind w:firstLine="0"/>
              <w:jc w:val="right"/>
              <w:rPr>
                <w:rFonts w:cstheme="minorHAnsi"/>
                <w:color w:val="000000"/>
                <w:szCs w:val="24"/>
              </w:rPr>
            </w:pPr>
            <w:r w:rsidRPr="00A71AD6">
              <w:rPr>
                <w:rFonts w:cstheme="minorHAnsi"/>
                <w:color w:val="000000"/>
                <w:szCs w:val="24"/>
              </w:rPr>
              <w:t>80%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6B73EC6D" w14:textId="66C843EB">
            <w:pPr>
              <w:spacing w:line="240" w:lineRule="auto"/>
              <w:ind w:firstLine="0"/>
              <w:jc w:val="right"/>
              <w:rPr>
                <w:rFonts w:cstheme="minorHAnsi"/>
                <w:color w:val="000000"/>
                <w:szCs w:val="24"/>
              </w:rPr>
            </w:pPr>
            <w:r w:rsidRPr="00A71AD6">
              <w:rPr>
                <w:rFonts w:cstheme="minorHAnsi"/>
                <w:color w:val="000000"/>
                <w:szCs w:val="24"/>
              </w:rPr>
              <w:t>1,473</w:t>
            </w:r>
          </w:p>
        </w:tc>
      </w:tr>
      <w:tr w:rsidRPr="00A71AD6" w:rsidR="00BF7445" w:rsidTr="009B3349" w14:paraId="6091E495" w14:textId="77777777">
        <w:tc>
          <w:tcPr>
            <w:tcW w:w="1975" w:type="dxa"/>
            <w:tcBorders>
              <w:top w:val="nil"/>
              <w:left w:val="single" w:color="auto" w:sz="4" w:space="0"/>
              <w:bottom w:val="single" w:color="auto" w:sz="4" w:space="0"/>
              <w:right w:val="single" w:color="auto" w:sz="4" w:space="0"/>
            </w:tcBorders>
            <w:shd w:val="clear" w:color="auto" w:fill="auto"/>
            <w:noWrap/>
            <w:hideMark/>
          </w:tcPr>
          <w:p w:rsidRPr="00A71AD6" w:rsidR="00BF7445" w:rsidP="00A71AD6" w:rsidRDefault="00BF7445" w14:paraId="52F1A26A" w14:textId="77777777">
            <w:pPr>
              <w:spacing w:line="240" w:lineRule="auto"/>
              <w:ind w:firstLine="0"/>
              <w:rPr>
                <w:rFonts w:cstheme="minorHAnsi"/>
                <w:color w:val="000000"/>
                <w:szCs w:val="24"/>
              </w:rPr>
            </w:pPr>
            <w:r w:rsidRPr="00A71AD6">
              <w:rPr>
                <w:rFonts w:cstheme="minorHAnsi"/>
                <w:color w:val="000000"/>
                <w:szCs w:val="24"/>
              </w:rPr>
              <w:t>PG&amp;E</w:t>
            </w:r>
          </w:p>
        </w:tc>
        <w:tc>
          <w:tcPr>
            <w:tcW w:w="1566"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1AF09839" w14:textId="77777777">
            <w:pPr>
              <w:spacing w:line="240" w:lineRule="auto"/>
              <w:ind w:firstLine="16"/>
              <w:jc w:val="right"/>
              <w:rPr>
                <w:rFonts w:cstheme="minorHAnsi"/>
                <w:color w:val="000000"/>
                <w:szCs w:val="24"/>
              </w:rPr>
            </w:pPr>
            <w:r w:rsidRPr="00A71AD6">
              <w:rPr>
                <w:rFonts w:cstheme="minorHAnsi"/>
                <w:color w:val="000000"/>
                <w:szCs w:val="24"/>
              </w:rPr>
              <w:t>52.320</w:t>
            </w:r>
          </w:p>
        </w:tc>
        <w:tc>
          <w:tcPr>
            <w:tcW w:w="2000"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1B0C82C6" w14:textId="77777777">
            <w:pPr>
              <w:spacing w:line="240" w:lineRule="auto"/>
              <w:ind w:firstLine="0"/>
              <w:jc w:val="right"/>
              <w:rPr>
                <w:rFonts w:cstheme="minorHAnsi"/>
                <w:color w:val="000000"/>
                <w:szCs w:val="24"/>
              </w:rPr>
            </w:pPr>
            <w:r w:rsidRPr="00A71AD6">
              <w:rPr>
                <w:rFonts w:cstheme="minorHAnsi"/>
                <w:color w:val="000000"/>
                <w:szCs w:val="24"/>
              </w:rPr>
              <w:t>52.320</w:t>
            </w:r>
          </w:p>
        </w:tc>
        <w:tc>
          <w:tcPr>
            <w:tcW w:w="2014"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4A01A505" w14:textId="77777777">
            <w:pPr>
              <w:spacing w:line="240" w:lineRule="auto"/>
              <w:ind w:firstLine="0"/>
              <w:jc w:val="right"/>
              <w:rPr>
                <w:rFonts w:cstheme="minorHAnsi"/>
                <w:color w:val="000000"/>
                <w:szCs w:val="24"/>
              </w:rPr>
            </w:pPr>
            <w:r w:rsidRPr="00A71AD6">
              <w:rPr>
                <w:rFonts w:cstheme="minorHAnsi"/>
                <w:color w:val="000000"/>
                <w:szCs w:val="24"/>
              </w:rPr>
              <w:t>100%</w:t>
            </w:r>
          </w:p>
        </w:tc>
        <w:tc>
          <w:tcPr>
            <w:tcW w:w="1805" w:type="dxa"/>
            <w:tcBorders>
              <w:top w:val="nil"/>
              <w:left w:val="nil"/>
              <w:bottom w:val="single" w:color="auto" w:sz="4" w:space="0"/>
              <w:right w:val="single" w:color="auto" w:sz="4" w:space="0"/>
            </w:tcBorders>
            <w:shd w:val="clear" w:color="auto" w:fill="auto"/>
            <w:noWrap/>
            <w:hideMark/>
          </w:tcPr>
          <w:p w:rsidRPr="00A71AD6" w:rsidR="00BF7445" w:rsidP="00A71AD6" w:rsidRDefault="00BF7445" w14:paraId="3C248868" w14:textId="2B178B03">
            <w:pPr>
              <w:spacing w:line="240" w:lineRule="auto"/>
              <w:ind w:firstLine="0"/>
              <w:jc w:val="right"/>
              <w:rPr>
                <w:rFonts w:cstheme="minorHAnsi"/>
                <w:color w:val="000000"/>
                <w:szCs w:val="24"/>
              </w:rPr>
            </w:pPr>
            <w:r w:rsidRPr="00A71AD6">
              <w:rPr>
                <w:rFonts w:cstheme="minorHAnsi"/>
                <w:color w:val="000000"/>
                <w:szCs w:val="24"/>
              </w:rPr>
              <w:t>8,505</w:t>
            </w:r>
          </w:p>
        </w:tc>
      </w:tr>
      <w:tr w:rsidRPr="00A71AD6" w:rsidR="00BF7445" w:rsidTr="009B3349" w14:paraId="7FE3217E"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A71AD6" w:rsidRDefault="00BF7445" w14:paraId="57FB0A0F" w14:textId="77777777">
            <w:pPr>
              <w:spacing w:line="240" w:lineRule="auto"/>
              <w:ind w:firstLine="0"/>
              <w:rPr>
                <w:rFonts w:cstheme="minorHAnsi"/>
                <w:color w:val="000000"/>
                <w:szCs w:val="24"/>
              </w:rPr>
            </w:pPr>
            <w:r w:rsidRPr="00A71AD6">
              <w:rPr>
                <w:rFonts w:cstheme="minorHAnsi"/>
                <w:color w:val="000000"/>
                <w:szCs w:val="24"/>
              </w:rPr>
              <w:t>SCE</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54BDCACC" w14:textId="77777777">
            <w:pPr>
              <w:spacing w:line="240" w:lineRule="auto"/>
              <w:ind w:firstLine="16"/>
              <w:jc w:val="right"/>
              <w:rPr>
                <w:rFonts w:cstheme="minorHAnsi"/>
                <w:color w:val="000000"/>
                <w:szCs w:val="24"/>
              </w:rPr>
            </w:pPr>
            <w:r w:rsidRPr="00A71AD6">
              <w:rPr>
                <w:rFonts w:cstheme="minorHAnsi"/>
                <w:color w:val="000000"/>
                <w:szCs w:val="24"/>
              </w:rPr>
              <w:t>56.500</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1019DCCA"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4B37DB58"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717D3" w14:paraId="38E68E05" w14:textId="359812D7">
            <w:pPr>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0A5229D5"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A71AD6" w:rsidRDefault="00BF7445" w14:paraId="4788CA25" w14:textId="77777777">
            <w:pPr>
              <w:spacing w:line="240" w:lineRule="auto"/>
              <w:ind w:firstLine="0"/>
              <w:rPr>
                <w:rFonts w:cstheme="minorHAnsi"/>
                <w:color w:val="000000"/>
                <w:szCs w:val="24"/>
              </w:rPr>
            </w:pPr>
            <w:r w:rsidRPr="00A71AD6">
              <w:rPr>
                <w:rFonts w:cstheme="minorHAnsi"/>
                <w:color w:val="000000"/>
                <w:szCs w:val="24"/>
              </w:rPr>
              <w:t>SDCP</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65BFD285" w14:textId="77777777">
            <w:pPr>
              <w:spacing w:line="240" w:lineRule="auto"/>
              <w:ind w:firstLine="16"/>
              <w:jc w:val="right"/>
              <w:rPr>
                <w:rFonts w:cstheme="minorHAnsi"/>
                <w:color w:val="000000"/>
                <w:szCs w:val="24"/>
              </w:rPr>
            </w:pPr>
            <w:r w:rsidRPr="00A71AD6">
              <w:rPr>
                <w:rFonts w:cstheme="minorHAnsi"/>
                <w:color w:val="000000"/>
                <w:szCs w:val="24"/>
              </w:rPr>
              <w:t>15.780</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0AFC136F" w14:textId="77777777">
            <w:pPr>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03823802" w14:textId="77777777">
            <w:pPr>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717D3" w14:paraId="35AB5E6C" w14:textId="592CC553">
            <w:pPr>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41D85A13"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DF0B84" w:rsidRDefault="00BF7445" w14:paraId="0D1B86A1" w14:textId="77777777">
            <w:pPr>
              <w:keepNext/>
              <w:spacing w:line="240" w:lineRule="auto"/>
              <w:ind w:firstLine="0"/>
              <w:rPr>
                <w:rFonts w:cstheme="minorHAnsi"/>
                <w:color w:val="000000"/>
                <w:szCs w:val="24"/>
              </w:rPr>
            </w:pPr>
            <w:r w:rsidRPr="00A71AD6">
              <w:rPr>
                <w:rFonts w:cstheme="minorHAnsi"/>
                <w:color w:val="000000"/>
                <w:szCs w:val="24"/>
              </w:rPr>
              <w:lastRenderedPageBreak/>
              <w:t>SDG&amp;E</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74089571" w14:textId="77777777">
            <w:pPr>
              <w:keepNext/>
              <w:spacing w:line="240" w:lineRule="auto"/>
              <w:ind w:firstLine="16"/>
              <w:jc w:val="right"/>
              <w:rPr>
                <w:rFonts w:cstheme="minorHAnsi"/>
                <w:color w:val="000000"/>
                <w:szCs w:val="24"/>
              </w:rPr>
            </w:pPr>
            <w:r w:rsidRPr="00A71AD6">
              <w:rPr>
                <w:rFonts w:cstheme="minorHAnsi"/>
                <w:color w:val="000000"/>
                <w:szCs w:val="24"/>
              </w:rPr>
              <w:t>2.220</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085A10C8" w14:textId="77777777">
            <w:pPr>
              <w:keepNext/>
              <w:spacing w:line="240" w:lineRule="auto"/>
              <w:ind w:firstLine="0"/>
              <w:jc w:val="right"/>
              <w:rPr>
                <w:rFonts w:cstheme="minorHAnsi"/>
                <w:color w:val="000000"/>
                <w:szCs w:val="24"/>
              </w:rPr>
            </w:pPr>
            <w:r w:rsidRPr="00A71AD6">
              <w:rPr>
                <w:rFonts w:cstheme="minorHAnsi"/>
                <w:color w:val="000000"/>
                <w:szCs w:val="24"/>
              </w:rPr>
              <w:t>0.000</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02427E89" w14:textId="77777777">
            <w:pPr>
              <w:keepNext/>
              <w:spacing w:line="240" w:lineRule="auto"/>
              <w:ind w:firstLine="0"/>
              <w:jc w:val="right"/>
              <w:rPr>
                <w:rFonts w:cstheme="minorHAnsi"/>
                <w:color w:val="000000"/>
                <w:szCs w:val="24"/>
              </w:rPr>
            </w:pPr>
            <w:r w:rsidRPr="00A71AD6">
              <w:rPr>
                <w:rFonts w:cstheme="minorHAnsi"/>
                <w:color w:val="000000"/>
                <w:szCs w:val="24"/>
              </w:rPr>
              <w:t>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717D3" w14:paraId="4BFCF1E2" w14:textId="617F0DE3">
            <w:pPr>
              <w:keepNext/>
              <w:spacing w:line="240" w:lineRule="auto"/>
              <w:ind w:firstLine="0"/>
              <w:jc w:val="right"/>
              <w:rPr>
                <w:rFonts w:cstheme="minorHAnsi"/>
                <w:color w:val="000000"/>
                <w:szCs w:val="24"/>
              </w:rPr>
            </w:pPr>
            <w:r>
              <w:rPr>
                <w:rFonts w:cstheme="minorHAnsi"/>
                <w:color w:val="000000"/>
                <w:szCs w:val="24"/>
              </w:rPr>
              <w:t>0</w:t>
            </w:r>
          </w:p>
        </w:tc>
      </w:tr>
      <w:tr w:rsidRPr="00A71AD6" w:rsidR="00BF7445" w:rsidTr="009B3349" w14:paraId="16A87B9E"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A71AD6" w:rsidR="00BF7445" w:rsidP="00DF0B84" w:rsidRDefault="00BF7445" w14:paraId="240455C2" w14:textId="77777777">
            <w:pPr>
              <w:keepNext/>
              <w:spacing w:line="240" w:lineRule="auto"/>
              <w:ind w:firstLine="0"/>
              <w:rPr>
                <w:rFonts w:cstheme="minorHAnsi"/>
                <w:color w:val="000000"/>
                <w:szCs w:val="24"/>
              </w:rPr>
            </w:pPr>
            <w:r w:rsidRPr="00A71AD6">
              <w:rPr>
                <w:rFonts w:cstheme="minorHAnsi"/>
                <w:color w:val="000000"/>
                <w:szCs w:val="24"/>
              </w:rPr>
              <w:t>SJCE</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555AB88F" w14:textId="77777777">
            <w:pPr>
              <w:keepNext/>
              <w:spacing w:line="240" w:lineRule="auto"/>
              <w:ind w:firstLine="16"/>
              <w:jc w:val="right"/>
              <w:rPr>
                <w:rFonts w:cstheme="minorHAnsi"/>
                <w:color w:val="000000"/>
                <w:szCs w:val="24"/>
              </w:rPr>
            </w:pPr>
            <w:r w:rsidRPr="00A71AD6">
              <w:rPr>
                <w:rFonts w:cstheme="minorHAnsi"/>
                <w:color w:val="000000"/>
                <w:szCs w:val="24"/>
              </w:rPr>
              <w:t>1.736</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146731ED" w14:textId="77777777">
            <w:pPr>
              <w:keepNext/>
              <w:spacing w:line="240" w:lineRule="auto"/>
              <w:ind w:firstLine="0"/>
              <w:jc w:val="right"/>
              <w:rPr>
                <w:rFonts w:cstheme="minorHAnsi"/>
                <w:color w:val="000000"/>
                <w:szCs w:val="24"/>
              </w:rPr>
            </w:pPr>
            <w:r w:rsidRPr="00A71AD6">
              <w:rPr>
                <w:rFonts w:cstheme="minorHAnsi"/>
                <w:color w:val="000000"/>
                <w:szCs w:val="24"/>
              </w:rPr>
              <w:t>1.736</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55F2FAC2" w14:textId="77777777">
            <w:pPr>
              <w:keepNext/>
              <w:spacing w:line="240" w:lineRule="auto"/>
              <w:ind w:firstLine="0"/>
              <w:jc w:val="right"/>
              <w:rPr>
                <w:rFonts w:cstheme="minorHAnsi"/>
                <w:color w:val="000000"/>
                <w:szCs w:val="24"/>
              </w:rPr>
            </w:pPr>
            <w:r w:rsidRPr="00A71AD6">
              <w:rPr>
                <w:rFonts w:cstheme="minorHAnsi"/>
                <w:color w:val="000000"/>
                <w:szCs w:val="24"/>
              </w:rPr>
              <w:t>100%</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DF0B84" w:rsidRDefault="00BF7445" w14:paraId="658ABE04" w14:textId="6BC6FE18">
            <w:pPr>
              <w:keepNext/>
              <w:spacing w:line="240" w:lineRule="auto"/>
              <w:ind w:firstLine="0"/>
              <w:jc w:val="right"/>
              <w:rPr>
                <w:rFonts w:cstheme="minorHAnsi"/>
                <w:color w:val="000000"/>
                <w:szCs w:val="24"/>
              </w:rPr>
            </w:pPr>
            <w:r w:rsidRPr="00A71AD6">
              <w:rPr>
                <w:rFonts w:cstheme="minorHAnsi"/>
                <w:color w:val="000000"/>
                <w:szCs w:val="24"/>
              </w:rPr>
              <w:t xml:space="preserve">648 </w:t>
            </w:r>
          </w:p>
        </w:tc>
      </w:tr>
      <w:tr w:rsidRPr="00A71AD6" w:rsidR="00BF7445" w:rsidTr="009B3349" w14:paraId="744E155B" w14:textId="77777777">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Pr="00035154" w:rsidR="00BF7445" w:rsidP="00A71AD6" w:rsidRDefault="00BF7445" w14:paraId="589B1FE8" w14:textId="77777777">
            <w:pPr>
              <w:spacing w:line="240" w:lineRule="auto"/>
              <w:ind w:firstLine="0"/>
              <w:jc w:val="right"/>
              <w:rPr>
                <w:rFonts w:cstheme="minorHAnsi"/>
                <w:b/>
                <w:bCs/>
                <w:color w:val="000000"/>
              </w:rPr>
            </w:pPr>
            <w:r w:rsidRPr="00035154">
              <w:rPr>
                <w:rFonts w:cstheme="minorHAnsi"/>
                <w:b/>
                <w:bCs/>
                <w:color w:val="000000"/>
              </w:rPr>
              <w:t>TOTAL</w:t>
            </w:r>
          </w:p>
        </w:tc>
        <w:tc>
          <w:tcPr>
            <w:tcW w:w="1566"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5223FA5F" w14:textId="77777777">
            <w:pPr>
              <w:spacing w:line="240" w:lineRule="auto"/>
              <w:ind w:firstLine="0"/>
              <w:jc w:val="right"/>
              <w:rPr>
                <w:rFonts w:cstheme="minorHAnsi"/>
                <w:color w:val="000000"/>
              </w:rPr>
            </w:pPr>
            <w:r w:rsidRPr="00A71AD6">
              <w:rPr>
                <w:rFonts w:cstheme="minorHAnsi"/>
                <w:color w:val="000000"/>
              </w:rPr>
              <w:t>157.99</w:t>
            </w:r>
          </w:p>
        </w:tc>
        <w:tc>
          <w:tcPr>
            <w:tcW w:w="2000"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4948E85A" w14:textId="77777777">
            <w:pPr>
              <w:spacing w:line="240" w:lineRule="auto"/>
              <w:ind w:firstLine="0"/>
              <w:jc w:val="right"/>
              <w:rPr>
                <w:rFonts w:cstheme="minorHAnsi"/>
                <w:color w:val="000000"/>
              </w:rPr>
            </w:pPr>
            <w:r w:rsidRPr="00A71AD6">
              <w:rPr>
                <w:rFonts w:cstheme="minorHAnsi"/>
                <w:color w:val="000000"/>
              </w:rPr>
              <w:t>73.89</w:t>
            </w:r>
          </w:p>
        </w:tc>
        <w:tc>
          <w:tcPr>
            <w:tcW w:w="2014"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0D06965F" w14:textId="4CCC4283">
            <w:pPr>
              <w:spacing w:line="240" w:lineRule="auto"/>
              <w:ind w:firstLine="0"/>
              <w:jc w:val="right"/>
              <w:rPr>
                <w:rFonts w:cstheme="minorHAnsi"/>
                <w:color w:val="000000"/>
              </w:rPr>
            </w:pPr>
            <w:r w:rsidRPr="00A71AD6">
              <w:rPr>
                <w:rFonts w:cstheme="minorHAnsi"/>
                <w:color w:val="000000"/>
              </w:rPr>
              <w:t>4</w:t>
            </w:r>
            <w:r w:rsidRPr="00A71AD6" w:rsidR="000204A6">
              <w:rPr>
                <w:rFonts w:cstheme="minorHAnsi"/>
                <w:color w:val="000000"/>
              </w:rPr>
              <w:t>6.7</w:t>
            </w:r>
            <w:r w:rsidR="00993540">
              <w:rPr>
                <w:rFonts w:cstheme="minorHAnsi"/>
                <w:color w:val="000000"/>
              </w:rPr>
              <w:t>6</w:t>
            </w:r>
            <w:r w:rsidRPr="00A71AD6">
              <w:rPr>
                <w:rFonts w:cstheme="minorHAnsi"/>
                <w:color w:val="000000"/>
              </w:rPr>
              <w:t>%</w:t>
            </w:r>
          </w:p>
        </w:tc>
        <w:tc>
          <w:tcPr>
            <w:tcW w:w="1805" w:type="dxa"/>
            <w:tcBorders>
              <w:top w:val="nil"/>
              <w:left w:val="nil"/>
              <w:bottom w:val="single" w:color="auto" w:sz="4" w:space="0"/>
              <w:right w:val="single" w:color="auto" w:sz="4" w:space="0"/>
            </w:tcBorders>
            <w:shd w:val="clear" w:color="auto" w:fill="auto"/>
            <w:noWrap/>
            <w:vAlign w:val="bottom"/>
            <w:hideMark/>
          </w:tcPr>
          <w:p w:rsidRPr="00A71AD6" w:rsidR="00BF7445" w:rsidP="00A71AD6" w:rsidRDefault="00BF7445" w14:paraId="50C36D8A" w14:textId="08FF6DD4">
            <w:pPr>
              <w:spacing w:line="240" w:lineRule="auto"/>
              <w:ind w:firstLine="0"/>
              <w:jc w:val="right"/>
              <w:rPr>
                <w:rFonts w:cstheme="minorHAnsi"/>
                <w:color w:val="000000"/>
              </w:rPr>
            </w:pPr>
            <w:r w:rsidRPr="00A71AD6">
              <w:rPr>
                <w:rFonts w:cstheme="minorHAnsi"/>
                <w:color w:val="000000"/>
              </w:rPr>
              <w:t xml:space="preserve">23,708 </w:t>
            </w:r>
          </w:p>
        </w:tc>
      </w:tr>
    </w:tbl>
    <w:p w:rsidR="00BA58BF" w:rsidP="006E6A6B" w:rsidRDefault="00345511" w14:paraId="620367F7" w14:textId="02041F15">
      <w:pPr>
        <w:pStyle w:val="StandardTableSub"/>
      </w:pPr>
      <w:r>
        <w:t>Based on the subscription and procurement figures, the Commission finds that</w:t>
      </w:r>
      <w:r w:rsidR="00A9286F">
        <w:t>,</w:t>
      </w:r>
      <w:r>
        <w:t xml:space="preserve"> </w:t>
      </w:r>
      <w:r w:rsidR="00986F52">
        <w:t>overall</w:t>
      </w:r>
      <w:r w:rsidR="00EF6B32">
        <w:t>,</w:t>
      </w:r>
      <w:r w:rsidR="00986F52">
        <w:t xml:space="preserve"> </w:t>
      </w:r>
      <w:r>
        <w:t>the existing DAC</w:t>
      </w:r>
      <w:r w:rsidR="003D6EF8">
        <w:noBreakHyphen/>
      </w:r>
      <w:r>
        <w:t>GT program is under</w:t>
      </w:r>
      <w:r w:rsidR="003D6EF8">
        <w:noBreakHyphen/>
      </w:r>
      <w:r>
        <w:t>subscribed and under</w:t>
      </w:r>
      <w:r w:rsidR="003D6EF8">
        <w:noBreakHyphen/>
      </w:r>
      <w:r>
        <w:t xml:space="preserve">procured. While we recognize that some CCA </w:t>
      </w:r>
      <w:r w:rsidR="00986F52">
        <w:t xml:space="preserve">program administrators </w:t>
      </w:r>
      <w:r>
        <w:t xml:space="preserve">and PG&amp;E </w:t>
      </w:r>
      <w:r w:rsidR="00986F52">
        <w:t xml:space="preserve">are fully subscribed and fully procured, and have </w:t>
      </w:r>
      <w:r>
        <w:t>provided bill savings to customers, we are persuaded that the program</w:t>
      </w:r>
      <w:r w:rsidR="00440785">
        <w:t>’</w:t>
      </w:r>
      <w:r>
        <w:t>s benefits are not served efficiently when compared to the significant overall cost of providing the bill savings and the low customer participation. The Commission therefore concurs with the broad range of parties that assert that the existing DAC</w:t>
      </w:r>
      <w:r w:rsidR="003D6EF8">
        <w:noBreakHyphen/>
      </w:r>
      <w:r>
        <w:t xml:space="preserve">GT </w:t>
      </w:r>
      <w:r w:rsidR="000C7E34">
        <w:t>tariff</w:t>
      </w:r>
      <w:r w:rsidR="00A059A8">
        <w:t xml:space="preserve"> </w:t>
      </w:r>
      <w:r>
        <w:t>fails to efficiently serve any distinct customer group.</w:t>
      </w:r>
    </w:p>
    <w:p w:rsidR="00BA58BF" w:rsidP="00345511" w:rsidRDefault="00345511" w14:paraId="368DBAA4" w14:textId="4115CBBC">
      <w:pPr>
        <w:pStyle w:val="Standard"/>
      </w:pPr>
      <w:r>
        <w:t xml:space="preserve">In addition, the Commission finds that the </w:t>
      </w:r>
      <w:r w:rsidR="00A059A8">
        <w:t xml:space="preserve">tariff </w:t>
      </w:r>
      <w:r>
        <w:t>fails to promote robust participation among low</w:t>
      </w:r>
      <w:r w:rsidR="003D6EF8">
        <w:noBreakHyphen/>
      </w:r>
      <w:r>
        <w:t>income customers. The DAC</w:t>
      </w:r>
      <w:r w:rsidR="003D6EF8">
        <w:noBreakHyphen/>
      </w:r>
      <w:r>
        <w:t xml:space="preserve">GT </w:t>
      </w:r>
      <w:r w:rsidR="00A059A8">
        <w:t xml:space="preserve">tariff </w:t>
      </w:r>
      <w:r>
        <w:t>is specifically targeted to CARE/FERA</w:t>
      </w:r>
      <w:r w:rsidR="003D6EF8">
        <w:noBreakHyphen/>
      </w:r>
      <w:r>
        <w:t>eligible customers located in certain DAC areas. As the DAC</w:t>
      </w:r>
      <w:r w:rsidR="003D6EF8">
        <w:noBreakHyphen/>
      </w:r>
      <w:r>
        <w:t>GT program is under</w:t>
      </w:r>
      <w:r w:rsidR="003D6EF8">
        <w:noBreakHyphen/>
      </w:r>
      <w:r>
        <w:t>subscribed and under</w:t>
      </w:r>
      <w:r w:rsidR="003D6EF8">
        <w:noBreakHyphen/>
      </w:r>
      <w:r>
        <w:t>procured, the Commission determines that the low level of enrollment in the DAC</w:t>
      </w:r>
      <w:r w:rsidR="003D6EF8">
        <w:noBreakHyphen/>
      </w:r>
      <w:r>
        <w:t>GT program cannot be considered robust participation among low</w:t>
      </w:r>
      <w:r w:rsidR="003D6EF8">
        <w:noBreakHyphen/>
      </w:r>
      <w:r>
        <w:t>income customers.</w:t>
      </w:r>
    </w:p>
    <w:p w:rsidR="00345511" w:rsidP="00345511" w:rsidRDefault="00345511" w14:paraId="3170D5CA" w14:textId="7F4FBB10">
      <w:pPr>
        <w:pStyle w:val="Standard"/>
      </w:pPr>
      <w:r>
        <w:t>As the Commission concludes that the existing DAC</w:t>
      </w:r>
      <w:r w:rsidR="003D6EF8">
        <w:noBreakHyphen/>
      </w:r>
      <w:r>
        <w:t xml:space="preserve">GT </w:t>
      </w:r>
      <w:r w:rsidR="00A059A8">
        <w:t xml:space="preserve">tariff </w:t>
      </w:r>
      <w:r>
        <w:t xml:space="preserve">fails to meet two of the three goals of </w:t>
      </w:r>
      <w:r w:rsidR="00440785">
        <w:t>Pub. Util.</w:t>
      </w:r>
      <w:r w:rsidR="00993540">
        <w:t xml:space="preserve"> Code </w:t>
      </w:r>
      <w:r w:rsidR="003627A8">
        <w:t>Section </w:t>
      </w:r>
      <w:r>
        <w:t xml:space="preserve">769.3(b)(1)(A), it is not necessary to determine whether the </w:t>
      </w:r>
      <w:r w:rsidR="00A059A8">
        <w:t xml:space="preserve">tariff </w:t>
      </w:r>
      <w:r>
        <w:t>minimizes duplicative offerings. Accordingly, the Commission finds that the existing DAC</w:t>
      </w:r>
      <w:r w:rsidR="003D6EF8">
        <w:noBreakHyphen/>
      </w:r>
      <w:r>
        <w:t xml:space="preserve">GT </w:t>
      </w:r>
      <w:r w:rsidR="00A059A8">
        <w:t xml:space="preserve">tariff </w:t>
      </w:r>
      <w:r>
        <w:t xml:space="preserve">fails to meet the goals of </w:t>
      </w:r>
      <w:r w:rsidR="00440785">
        <w:t>Pub. Util.</w:t>
      </w:r>
      <w:r w:rsidR="00993540">
        <w:t xml:space="preserve"> Code </w:t>
      </w:r>
      <w:r w:rsidR="003627A8">
        <w:t>Section </w:t>
      </w:r>
      <w:r>
        <w:t>769.3(b)(1)(A).</w:t>
      </w:r>
    </w:p>
    <w:p w:rsidR="00345511" w:rsidP="00345511" w:rsidRDefault="00345511" w14:paraId="50C664A6" w14:textId="10EB06C5">
      <w:pPr>
        <w:pStyle w:val="Standard"/>
      </w:pPr>
      <w:r>
        <w:lastRenderedPageBreak/>
        <w:t xml:space="preserve">Pursuant to </w:t>
      </w:r>
      <w:r w:rsidR="00440785">
        <w:t>Pub. Util.</w:t>
      </w:r>
      <w:r w:rsidR="00993540">
        <w:t xml:space="preserve"> Code </w:t>
      </w:r>
      <w:r w:rsidR="003627A8">
        <w:t>Section </w:t>
      </w:r>
      <w:r>
        <w:t>769.3(b)(1)(C), as the Commission has determined that the existing DAC</w:t>
      </w:r>
      <w:r w:rsidR="003D6EF8">
        <w:noBreakHyphen/>
      </w:r>
      <w:r>
        <w:t xml:space="preserve">GT program </w:t>
      </w:r>
      <w:r w:rsidR="00A059A8">
        <w:t xml:space="preserve">tariff </w:t>
      </w:r>
      <w:r>
        <w:t>has not m</w:t>
      </w:r>
      <w:r w:rsidR="00237E56">
        <w:t>et al</w:t>
      </w:r>
      <w:r>
        <w:t xml:space="preserve">l of the goals of </w:t>
      </w:r>
      <w:r w:rsidR="00440785">
        <w:t>Pub. Util.</w:t>
      </w:r>
      <w:r w:rsidR="00993540">
        <w:t xml:space="preserve"> Code </w:t>
      </w:r>
      <w:r w:rsidR="003627A8">
        <w:t>Section </w:t>
      </w:r>
      <w:r>
        <w:t xml:space="preserve">769.3(b)(1)(A), we consider whether to authorize the termination or modification of the program in </w:t>
      </w:r>
      <w:r w:rsidR="003627A8">
        <w:t>Section </w:t>
      </w:r>
      <w:r w:rsidR="003119AD">
        <w:t>3.4.</w:t>
      </w:r>
      <w:r w:rsidR="004260FD">
        <w:t>6</w:t>
      </w:r>
      <w:r w:rsidR="009765DB">
        <w:t xml:space="preserve"> below</w:t>
      </w:r>
      <w:r>
        <w:t>.</w:t>
      </w:r>
    </w:p>
    <w:p w:rsidRPr="00D06CB8" w:rsidR="00345511" w:rsidP="001B1E90" w:rsidRDefault="00345511" w14:paraId="66100BF8" w14:textId="77777777">
      <w:pPr>
        <w:pStyle w:val="Heading3"/>
      </w:pPr>
      <w:bookmarkStart w:name="_Toc159551170" w:id="113"/>
      <w:bookmarkStart w:name="_Toc168559290" w:id="114"/>
      <w:r w:rsidRPr="00D06CB8">
        <w:t>Community Solar Green Tariff</w:t>
      </w:r>
      <w:bookmarkEnd w:id="113"/>
      <w:bookmarkEnd w:id="114"/>
    </w:p>
    <w:p w:rsidR="00345511" w:rsidP="001B1E90" w:rsidRDefault="00345511" w14:paraId="10A816DE" w14:textId="534FA1BE">
      <w:pPr>
        <w:pStyle w:val="Heading4"/>
      </w:pPr>
      <w:bookmarkStart w:name="_Toc159551171" w:id="115"/>
      <w:bookmarkStart w:name="_Toc168559291" w:id="116"/>
      <w:r w:rsidRPr="00A76950">
        <w:t>Efficiently Serves</w:t>
      </w:r>
      <w:r w:rsidR="00DF6E27">
        <w:br/>
      </w:r>
      <w:r w:rsidRPr="00A76950">
        <w:t>Distinct</w:t>
      </w:r>
      <w:r w:rsidR="00DF6E27">
        <w:t xml:space="preserve"> </w:t>
      </w:r>
      <w:r w:rsidRPr="00A76950">
        <w:t>Customer</w:t>
      </w:r>
      <w:r>
        <w:t xml:space="preserve"> Groups</w:t>
      </w:r>
      <w:bookmarkEnd w:id="115"/>
      <w:bookmarkEnd w:id="116"/>
    </w:p>
    <w:p w:rsidR="00BA58BF" w:rsidP="00345511" w:rsidRDefault="00345511" w14:paraId="3FBC68BD" w14:textId="21BAD1F8">
      <w:pPr>
        <w:pStyle w:val="Standard"/>
      </w:pPr>
      <w:r>
        <w:t xml:space="preserve">Multiple parties state that the CSGT </w:t>
      </w:r>
      <w:r w:rsidR="00A059A8">
        <w:t xml:space="preserve">tariff </w:t>
      </w:r>
      <w:r>
        <w:t xml:space="preserve">does not efficiently serve distinct customer groups, including CCSA, Cypress Creek, </w:t>
      </w:r>
      <w:r w:rsidR="00AD55A4">
        <w:t xml:space="preserve">CEJA, </w:t>
      </w:r>
      <w:r w:rsidR="00237E56">
        <w:rPr>
          <w:i/>
          <w:iCs/>
        </w:rPr>
        <w:t>et al</w:t>
      </w:r>
      <w:r w:rsidRPr="00AD55A4" w:rsidR="00AD55A4">
        <w:rPr>
          <w:i/>
          <w:iCs/>
        </w:rPr>
        <w:t>.</w:t>
      </w:r>
      <w:r>
        <w:t xml:space="preserve">, PG&amp;E, </w:t>
      </w:r>
      <w:r w:rsidR="002917E2">
        <w:t>Cal Advoc</w:t>
      </w:r>
      <w:r>
        <w:t>ates, SCE, and TURN.</w:t>
      </w:r>
      <w:r>
        <w:rPr>
          <w:rStyle w:val="FootnoteReference"/>
        </w:rPr>
        <w:footnoteReference w:id="126"/>
      </w:r>
      <w:r>
        <w:t xml:space="preserve"> Currently, no program administrators have enrolled any customers in the CSGT program.</w:t>
      </w:r>
      <w:r>
        <w:rPr>
          <w:rStyle w:val="FootnoteReference"/>
        </w:rPr>
        <w:footnoteReference w:id="127"/>
      </w:r>
    </w:p>
    <w:p w:rsidR="00BA58BF" w:rsidP="00345511" w:rsidRDefault="00345511" w14:paraId="508F2CF7" w14:textId="3B02A965">
      <w:pPr>
        <w:pStyle w:val="Standard"/>
      </w:pPr>
      <w:r>
        <w:t xml:space="preserve">PG&amp;E, Cypress Creek, CCSA, </w:t>
      </w:r>
      <w:r w:rsidR="002917E2">
        <w:t>Cal Advoc</w:t>
      </w:r>
      <w:r>
        <w:t xml:space="preserve">ates, and </w:t>
      </w:r>
      <w:r w:rsidR="00AD55A4">
        <w:t xml:space="preserve">CEJA, </w:t>
      </w:r>
      <w:r w:rsidR="00237E56">
        <w:rPr>
          <w:i/>
          <w:iCs/>
        </w:rPr>
        <w:t>et al</w:t>
      </w:r>
      <w:r w:rsidRPr="00AD55A4" w:rsidR="00AD55A4">
        <w:rPr>
          <w:i/>
          <w:iCs/>
        </w:rPr>
        <w:t>.</w:t>
      </w:r>
      <w:r>
        <w:t xml:space="preserve"> argue that the </w:t>
      </w:r>
      <w:r w:rsidR="00A059A8">
        <w:t>tariff</w:t>
      </w:r>
      <w:r w:rsidR="00440785">
        <w:t>’</w:t>
      </w:r>
      <w:r w:rsidR="00A059A8">
        <w:t xml:space="preserve">s </w:t>
      </w:r>
      <w:r>
        <w:t>complex, strict requirements result in failed projects and unused capacity, including the geographic limitations, required sponsor partnership, and that 50</w:t>
      </w:r>
      <w:r w:rsidR="006473B0">
        <w:t> percent</w:t>
      </w:r>
      <w:r>
        <w:t xml:space="preserve"> of capacity must be filled by low</w:t>
      </w:r>
      <w:r w:rsidR="003D6EF8">
        <w:noBreakHyphen/>
      </w:r>
      <w:r>
        <w:t>income customers in DACs before non</w:t>
      </w:r>
      <w:r w:rsidR="003D6EF8">
        <w:noBreakHyphen/>
      </w:r>
      <w:r>
        <w:t>low</w:t>
      </w:r>
      <w:r w:rsidR="003D6EF8">
        <w:noBreakHyphen/>
      </w:r>
      <w:r>
        <w:t xml:space="preserve">income customers. Cypress Creek and </w:t>
      </w:r>
      <w:r w:rsidR="002917E2">
        <w:t>Cal Advoc</w:t>
      </w:r>
      <w:r>
        <w:t>ates state that the program creates bill impacts on non</w:t>
      </w:r>
      <w:r w:rsidR="003D6EF8">
        <w:noBreakHyphen/>
      </w:r>
      <w:r>
        <w:t xml:space="preserve">participating customers through higher energy prices. CCSA and </w:t>
      </w:r>
      <w:r w:rsidR="00AD55A4">
        <w:t xml:space="preserve">CEJA, </w:t>
      </w:r>
      <w:r w:rsidR="00237E56">
        <w:rPr>
          <w:i/>
          <w:iCs/>
        </w:rPr>
        <w:t>et al</w:t>
      </w:r>
      <w:r w:rsidRPr="00AD55A4" w:rsidR="00AD55A4">
        <w:rPr>
          <w:i/>
          <w:iCs/>
        </w:rPr>
        <w:t>.</w:t>
      </w:r>
      <w:r>
        <w:t xml:space="preserve"> assert that the program is inefficient because it relies on direct subsidies that have limited ability to scale beyond the program cap of 40</w:t>
      </w:r>
      <w:r w:rsidR="0096488E">
        <w:t> MW</w:t>
      </w:r>
      <w:r>
        <w:t>.</w:t>
      </w:r>
    </w:p>
    <w:p w:rsidR="00345511" w:rsidP="00345511" w:rsidRDefault="000341A3" w14:paraId="78085833" w14:textId="1CCD0998">
      <w:pPr>
        <w:pStyle w:val="Standard"/>
      </w:pPr>
      <w:r>
        <w:rPr>
          <w:rFonts w:eastAsiaTheme="majorEastAsia" w:cstheme="majorBidi"/>
          <w:bCs/>
          <w:szCs w:val="32"/>
        </w:rPr>
        <w:t>Joint CCA</w:t>
      </w:r>
      <w:r w:rsidR="00345511">
        <w:rPr>
          <w:rFonts w:eastAsiaTheme="majorEastAsia" w:cstheme="majorBidi"/>
          <w:bCs/>
          <w:szCs w:val="32"/>
        </w:rPr>
        <w:t>s state that the CSGT program overall efficiently serves distinct customer groups considering the number of new solar projects and capacity.</w:t>
      </w:r>
      <w:r w:rsidR="00345511">
        <w:rPr>
          <w:rStyle w:val="FootnoteReference"/>
          <w:rFonts w:eastAsiaTheme="majorEastAsia" w:cstheme="majorBidi"/>
          <w:bCs/>
          <w:szCs w:val="32"/>
        </w:rPr>
        <w:footnoteReference w:id="128"/>
      </w:r>
      <w:r w:rsidR="00345511">
        <w:rPr>
          <w:rFonts w:eastAsiaTheme="majorEastAsia" w:cstheme="majorBidi"/>
          <w:bCs/>
          <w:szCs w:val="32"/>
        </w:rPr>
        <w:t xml:space="preserve"> </w:t>
      </w:r>
      <w:r w:rsidR="00345511">
        <w:lastRenderedPageBreak/>
        <w:t>SEIA points out that a few contracts have been signed for the CSGT program but there has not been sufficient time to bring the projects online.</w:t>
      </w:r>
      <w:r w:rsidR="00345511">
        <w:rPr>
          <w:rStyle w:val="FootnoteReference"/>
        </w:rPr>
        <w:footnoteReference w:id="129"/>
      </w:r>
      <w:r w:rsidR="00345511">
        <w:t xml:space="preserve"> SEIA states that the fact that there are no current customers is not evidence that the program cannot efficiently serve the targeted groups.</w:t>
      </w:r>
      <w:r w:rsidR="00993540">
        <w:t xml:space="preserve"> As indicated in Table</w:t>
      </w:r>
      <w:r w:rsidR="000B71B8">
        <w:t> </w:t>
      </w:r>
      <w:r w:rsidR="00404903">
        <w:t>3</w:t>
      </w:r>
      <w:r w:rsidR="00993540">
        <w:t xml:space="preserve"> below</w:t>
      </w:r>
      <w:r w:rsidR="00404903">
        <w:t xml:space="preserve"> (</w:t>
      </w:r>
      <w:r w:rsidR="00993540">
        <w:t>from October</w:t>
      </w:r>
      <w:r w:rsidR="000B71B8">
        <w:t> </w:t>
      </w:r>
      <w:r w:rsidR="00993540">
        <w:t>31, 2023 reported CSGT dat</w:t>
      </w:r>
      <w:r w:rsidR="00404903">
        <w:t>a)</w:t>
      </w:r>
      <w:r w:rsidR="00993540">
        <w:t xml:space="preserve"> the </w:t>
      </w:r>
      <w:r w:rsidR="00404903">
        <w:t xml:space="preserve">CSGT </w:t>
      </w:r>
      <w:r w:rsidR="00993540">
        <w:t>program has procured approximately 45</w:t>
      </w:r>
      <w:r w:rsidR="000B71B8">
        <w:t> </w:t>
      </w:r>
      <w:r w:rsidR="00993540">
        <w:t>percent of allocated capacity for new resources and zero subscribed customers.</w:t>
      </w:r>
      <w:r w:rsidR="00404903">
        <w:rPr>
          <w:rStyle w:val="FootnoteReference"/>
        </w:rPr>
        <w:footnoteReference w:id="130"/>
      </w:r>
    </w:p>
    <w:p w:rsidRPr="00E62DA2" w:rsidR="00404903" w:rsidP="00404903" w:rsidRDefault="00404903" w14:paraId="04788935" w14:textId="225C4B7B">
      <w:pPr>
        <w:pStyle w:val="Standard"/>
        <w:keepNext/>
        <w:spacing w:line="240" w:lineRule="auto"/>
        <w:ind w:firstLine="0"/>
        <w:jc w:val="center"/>
        <w:rPr>
          <w:b/>
          <w:bCs/>
        </w:rPr>
      </w:pPr>
      <w:r w:rsidRPr="00E62DA2">
        <w:rPr>
          <w:b/>
          <w:bCs/>
        </w:rPr>
        <w:t>Table </w:t>
      </w:r>
      <w:r>
        <w:rPr>
          <w:b/>
          <w:bCs/>
        </w:rPr>
        <w:t>3</w:t>
      </w:r>
    </w:p>
    <w:p w:rsidRPr="006C36A5" w:rsidR="00404903" w:rsidP="006C36A5" w:rsidRDefault="00404903" w14:paraId="73D955FE" w14:textId="53C8E7F8">
      <w:pPr>
        <w:pStyle w:val="Standard"/>
        <w:keepNext/>
        <w:spacing w:after="240" w:line="240" w:lineRule="auto"/>
        <w:ind w:firstLine="0"/>
        <w:jc w:val="center"/>
        <w:rPr>
          <w:b/>
          <w:bCs/>
        </w:rPr>
      </w:pPr>
      <w:r>
        <w:rPr>
          <w:b/>
          <w:bCs/>
        </w:rPr>
        <w:t>CSGT Program Data</w:t>
      </w:r>
    </w:p>
    <w:tbl>
      <w:tblPr>
        <w:tblW w:w="9360" w:type="dxa"/>
        <w:tblLayout w:type="fixed"/>
        <w:tblCellMar>
          <w:top w:w="58" w:type="dxa"/>
          <w:bottom w:w="58" w:type="dxa"/>
        </w:tblCellMar>
        <w:tblLook w:val="04A0" w:firstRow="1" w:lastRow="0" w:firstColumn="1" w:lastColumn="0" w:noHBand="0" w:noVBand="1"/>
      </w:tblPr>
      <w:tblGrid>
        <w:gridCol w:w="2065"/>
        <w:gridCol w:w="2160"/>
        <w:gridCol w:w="2910"/>
        <w:gridCol w:w="2225"/>
      </w:tblGrid>
      <w:tr w:rsidRPr="00B612A2" w:rsidR="00B612A2" w:rsidTr="009F5C42" w14:paraId="2E594D18" w14:textId="77777777">
        <w:trPr>
          <w:tblHeader/>
        </w:trPr>
        <w:tc>
          <w:tcPr>
            <w:tcW w:w="2065" w:type="dxa"/>
            <w:tcBorders>
              <w:top w:val="single" w:color="auto" w:sz="4" w:space="0"/>
              <w:left w:val="single" w:color="auto" w:sz="4" w:space="0"/>
              <w:bottom w:val="single" w:color="auto" w:sz="4" w:space="0"/>
              <w:right w:val="single" w:color="auto" w:sz="4" w:space="0"/>
            </w:tcBorders>
            <w:shd w:val="clear" w:color="auto" w:fill="auto"/>
            <w:vAlign w:val="bottom"/>
            <w:hideMark/>
          </w:tcPr>
          <w:p w:rsidR="00711189" w:rsidP="00040683" w:rsidRDefault="00404903" w14:paraId="05DEB233" w14:textId="77777777">
            <w:pPr>
              <w:spacing w:line="240" w:lineRule="auto"/>
              <w:ind w:firstLine="0"/>
              <w:jc w:val="center"/>
              <w:rPr>
                <w:b/>
                <w:bCs/>
                <w:szCs w:val="24"/>
              </w:rPr>
            </w:pPr>
            <w:r w:rsidRPr="00B612A2">
              <w:rPr>
                <w:b/>
                <w:bCs/>
                <w:szCs w:val="24"/>
              </w:rPr>
              <w:t>Program</w:t>
            </w:r>
          </w:p>
          <w:p w:rsidRPr="00B612A2" w:rsidR="00404903" w:rsidP="00040683" w:rsidRDefault="00404903" w14:paraId="7AD1423C" w14:textId="5A22D8A9">
            <w:pPr>
              <w:spacing w:line="240" w:lineRule="auto"/>
              <w:ind w:firstLine="0"/>
              <w:jc w:val="center"/>
              <w:rPr>
                <w:rFonts w:cstheme="minorHAnsi"/>
                <w:b/>
                <w:bCs/>
                <w:szCs w:val="24"/>
              </w:rPr>
            </w:pPr>
            <w:r w:rsidRPr="00B612A2">
              <w:rPr>
                <w:b/>
                <w:bCs/>
                <w:szCs w:val="24"/>
              </w:rPr>
              <w:t>Administrator</w:t>
            </w:r>
          </w:p>
        </w:tc>
        <w:tc>
          <w:tcPr>
            <w:tcW w:w="2160" w:type="dxa"/>
            <w:tcBorders>
              <w:top w:val="single" w:color="auto" w:sz="4" w:space="0"/>
              <w:left w:val="nil"/>
              <w:bottom w:val="single" w:color="auto" w:sz="4" w:space="0"/>
              <w:right w:val="single" w:color="auto" w:sz="4" w:space="0"/>
            </w:tcBorders>
            <w:shd w:val="clear" w:color="auto" w:fill="auto"/>
            <w:vAlign w:val="bottom"/>
            <w:hideMark/>
          </w:tcPr>
          <w:p w:rsidR="00711189" w:rsidP="00040683" w:rsidRDefault="00404903" w14:paraId="5FC5E384" w14:textId="77777777">
            <w:pPr>
              <w:spacing w:line="240" w:lineRule="auto"/>
              <w:ind w:firstLine="0"/>
              <w:jc w:val="center"/>
              <w:rPr>
                <w:b/>
                <w:bCs/>
                <w:szCs w:val="24"/>
              </w:rPr>
            </w:pPr>
            <w:r w:rsidRPr="00B612A2">
              <w:rPr>
                <w:b/>
                <w:bCs/>
                <w:szCs w:val="24"/>
              </w:rPr>
              <w:t>Previous</w:t>
            </w:r>
          </w:p>
          <w:p w:rsidR="00711189" w:rsidP="00040683" w:rsidRDefault="00404903" w14:paraId="271E9A43" w14:textId="77777777">
            <w:pPr>
              <w:spacing w:line="240" w:lineRule="auto"/>
              <w:ind w:firstLine="0"/>
              <w:jc w:val="center"/>
              <w:rPr>
                <w:b/>
                <w:bCs/>
                <w:szCs w:val="24"/>
              </w:rPr>
            </w:pPr>
            <w:r w:rsidRPr="00B612A2">
              <w:rPr>
                <w:b/>
                <w:bCs/>
                <w:szCs w:val="24"/>
              </w:rPr>
              <w:t>Allocated</w:t>
            </w:r>
          </w:p>
          <w:p w:rsidRPr="00B612A2" w:rsidR="00404903" w:rsidP="00040683" w:rsidRDefault="00404903" w14:paraId="48E6EFAF" w14:textId="7DC91B05">
            <w:pPr>
              <w:spacing w:line="240" w:lineRule="auto"/>
              <w:ind w:firstLine="0"/>
              <w:jc w:val="center"/>
              <w:rPr>
                <w:rFonts w:cstheme="minorHAnsi"/>
                <w:b/>
                <w:bCs/>
                <w:szCs w:val="24"/>
              </w:rPr>
            </w:pPr>
            <w:r w:rsidRPr="00B612A2">
              <w:rPr>
                <w:b/>
                <w:bCs/>
                <w:szCs w:val="24"/>
              </w:rPr>
              <w:t>Capacity (MW)</w:t>
            </w:r>
          </w:p>
        </w:tc>
        <w:tc>
          <w:tcPr>
            <w:tcW w:w="2910" w:type="dxa"/>
            <w:tcBorders>
              <w:top w:val="single" w:color="auto" w:sz="4" w:space="0"/>
              <w:left w:val="nil"/>
              <w:bottom w:val="single" w:color="auto" w:sz="4" w:space="0"/>
              <w:right w:val="single" w:color="auto" w:sz="4" w:space="0"/>
            </w:tcBorders>
            <w:shd w:val="clear" w:color="auto" w:fill="auto"/>
            <w:vAlign w:val="bottom"/>
            <w:hideMark/>
          </w:tcPr>
          <w:p w:rsidR="00711189" w:rsidP="00040683" w:rsidRDefault="00404903" w14:paraId="1C7C9656" w14:textId="77777777">
            <w:pPr>
              <w:spacing w:line="240" w:lineRule="auto"/>
              <w:ind w:firstLine="0"/>
              <w:jc w:val="center"/>
              <w:rPr>
                <w:b/>
                <w:bCs/>
                <w:szCs w:val="24"/>
              </w:rPr>
            </w:pPr>
            <w:r w:rsidRPr="00B612A2">
              <w:rPr>
                <w:b/>
                <w:bCs/>
                <w:szCs w:val="24"/>
              </w:rPr>
              <w:t>Total Capacity</w:t>
            </w:r>
          </w:p>
          <w:p w:rsidR="00711189" w:rsidP="00040683" w:rsidRDefault="00404903" w14:paraId="3CC8A151" w14:textId="77777777">
            <w:pPr>
              <w:spacing w:line="240" w:lineRule="auto"/>
              <w:ind w:firstLine="0"/>
              <w:jc w:val="center"/>
              <w:rPr>
                <w:b/>
                <w:bCs/>
                <w:szCs w:val="24"/>
              </w:rPr>
            </w:pPr>
            <w:r w:rsidRPr="00B612A2">
              <w:rPr>
                <w:b/>
                <w:bCs/>
                <w:szCs w:val="24"/>
              </w:rPr>
              <w:t>Procured as of</w:t>
            </w:r>
          </w:p>
          <w:p w:rsidRPr="00B612A2" w:rsidR="00404903" w:rsidP="00040683" w:rsidRDefault="00404903" w14:paraId="5E85D807" w14:textId="1FE55A5F">
            <w:pPr>
              <w:spacing w:line="240" w:lineRule="auto"/>
              <w:ind w:firstLine="0"/>
              <w:jc w:val="center"/>
              <w:rPr>
                <w:rFonts w:cstheme="minorHAnsi"/>
                <w:b/>
                <w:bCs/>
                <w:szCs w:val="24"/>
              </w:rPr>
            </w:pPr>
            <w:r w:rsidRPr="00B612A2">
              <w:rPr>
                <w:b/>
                <w:bCs/>
                <w:szCs w:val="24"/>
              </w:rPr>
              <w:t>Oct. 31, 2023 (MW)</w:t>
            </w:r>
          </w:p>
        </w:tc>
        <w:tc>
          <w:tcPr>
            <w:tcW w:w="2225" w:type="dxa"/>
            <w:tcBorders>
              <w:top w:val="single" w:color="auto" w:sz="4" w:space="0"/>
              <w:left w:val="nil"/>
              <w:bottom w:val="single" w:color="auto" w:sz="4" w:space="0"/>
              <w:right w:val="single" w:color="auto" w:sz="4" w:space="0"/>
            </w:tcBorders>
            <w:shd w:val="clear" w:color="auto" w:fill="auto"/>
            <w:vAlign w:val="bottom"/>
            <w:hideMark/>
          </w:tcPr>
          <w:p w:rsidR="00711189" w:rsidP="00040683" w:rsidRDefault="00404903" w14:paraId="284CD50D" w14:textId="77777777">
            <w:pPr>
              <w:spacing w:line="240" w:lineRule="auto"/>
              <w:ind w:firstLine="0"/>
              <w:jc w:val="center"/>
              <w:rPr>
                <w:b/>
                <w:bCs/>
                <w:szCs w:val="24"/>
              </w:rPr>
            </w:pPr>
            <w:r w:rsidRPr="00B612A2">
              <w:rPr>
                <w:b/>
                <w:bCs/>
                <w:szCs w:val="24"/>
              </w:rPr>
              <w:t>Allocated</w:t>
            </w:r>
          </w:p>
          <w:p w:rsidRPr="00B612A2" w:rsidR="00040683" w:rsidP="00040683" w:rsidRDefault="00404903" w14:paraId="4B6D500A" w14:textId="44EF383A">
            <w:pPr>
              <w:spacing w:line="240" w:lineRule="auto"/>
              <w:ind w:firstLine="0"/>
              <w:jc w:val="center"/>
              <w:rPr>
                <w:b/>
                <w:bCs/>
                <w:szCs w:val="24"/>
              </w:rPr>
            </w:pPr>
            <w:r w:rsidRPr="00B612A2">
              <w:rPr>
                <w:b/>
                <w:bCs/>
                <w:szCs w:val="24"/>
              </w:rPr>
              <w:t>Capacity</w:t>
            </w:r>
          </w:p>
          <w:p w:rsidRPr="00B612A2" w:rsidR="00404903" w:rsidP="00040683" w:rsidRDefault="00404903" w14:paraId="4FBD5B02" w14:textId="1B77510E">
            <w:pPr>
              <w:spacing w:line="240" w:lineRule="auto"/>
              <w:ind w:firstLine="0"/>
              <w:jc w:val="center"/>
              <w:rPr>
                <w:rFonts w:cstheme="minorHAnsi"/>
                <w:b/>
                <w:bCs/>
                <w:szCs w:val="24"/>
              </w:rPr>
            </w:pPr>
            <w:r w:rsidRPr="00B612A2">
              <w:rPr>
                <w:b/>
                <w:bCs/>
                <w:szCs w:val="24"/>
              </w:rPr>
              <w:t>Procured (%)</w:t>
            </w:r>
          </w:p>
        </w:tc>
      </w:tr>
      <w:tr w:rsidRPr="00B612A2" w:rsidR="00B612A2" w:rsidTr="00B612A2" w14:paraId="504518F1"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32EF64BE" w14:textId="77777777">
            <w:pPr>
              <w:keepNext/>
              <w:spacing w:line="240" w:lineRule="auto"/>
              <w:ind w:firstLine="0"/>
              <w:rPr>
                <w:rFonts w:cstheme="minorHAnsi"/>
                <w:szCs w:val="24"/>
              </w:rPr>
            </w:pPr>
            <w:r w:rsidRPr="00B612A2">
              <w:rPr>
                <w:szCs w:val="24"/>
              </w:rPr>
              <w:t>CPA</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24F88A64" w14:textId="77777777">
            <w:pPr>
              <w:keepNext/>
              <w:spacing w:line="240" w:lineRule="auto"/>
              <w:ind w:firstLine="0"/>
              <w:jc w:val="right"/>
              <w:rPr>
                <w:rFonts w:cstheme="minorHAnsi"/>
                <w:szCs w:val="24"/>
              </w:rPr>
            </w:pPr>
            <w:r w:rsidRPr="00B612A2">
              <w:rPr>
                <w:szCs w:val="24"/>
              </w:rPr>
              <w:t>3.3700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6DE1EF19" w14:textId="77777777">
            <w:pPr>
              <w:keepNext/>
              <w:spacing w:line="240" w:lineRule="auto"/>
              <w:ind w:firstLine="0"/>
              <w:jc w:val="right"/>
              <w:rPr>
                <w:rFonts w:cstheme="minorHAnsi"/>
                <w:szCs w:val="24"/>
              </w:rPr>
            </w:pPr>
            <w:r w:rsidRPr="00B612A2">
              <w:rPr>
                <w:szCs w:val="24"/>
              </w:rPr>
              <w:t>3.37</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0F9E8AF2" w14:textId="77777777">
            <w:pPr>
              <w:keepNext/>
              <w:spacing w:line="240" w:lineRule="auto"/>
              <w:ind w:firstLine="0"/>
              <w:jc w:val="right"/>
              <w:rPr>
                <w:rFonts w:cstheme="minorHAnsi"/>
                <w:szCs w:val="24"/>
              </w:rPr>
            </w:pPr>
            <w:r w:rsidRPr="00B612A2">
              <w:rPr>
                <w:szCs w:val="24"/>
              </w:rPr>
              <w:t>100.00%</w:t>
            </w:r>
          </w:p>
        </w:tc>
      </w:tr>
      <w:tr w:rsidRPr="00B612A2" w:rsidR="00B612A2" w:rsidTr="00B612A2" w14:paraId="5F8C5538"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05DAA3C8" w14:textId="77777777">
            <w:pPr>
              <w:spacing w:line="240" w:lineRule="auto"/>
              <w:ind w:firstLine="0"/>
              <w:rPr>
                <w:rFonts w:cstheme="minorHAnsi"/>
                <w:szCs w:val="24"/>
              </w:rPr>
            </w:pPr>
            <w:r w:rsidRPr="00B612A2">
              <w:rPr>
                <w:szCs w:val="24"/>
              </w:rPr>
              <w:t>CleanPowerSF</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FC9D50C" w14:textId="77777777">
            <w:pPr>
              <w:spacing w:line="240" w:lineRule="auto"/>
              <w:ind w:firstLine="0"/>
              <w:jc w:val="right"/>
              <w:rPr>
                <w:rFonts w:cstheme="minorHAnsi"/>
                <w:szCs w:val="24"/>
              </w:rPr>
            </w:pPr>
            <w:r w:rsidRPr="00B612A2">
              <w:rPr>
                <w:szCs w:val="24"/>
              </w:rPr>
              <w:t>0.5525</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6CFEF956"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CB03921" w14:textId="77777777">
            <w:pPr>
              <w:spacing w:line="240" w:lineRule="auto"/>
              <w:ind w:firstLine="0"/>
              <w:jc w:val="right"/>
              <w:rPr>
                <w:rFonts w:cstheme="minorHAnsi"/>
                <w:szCs w:val="24"/>
              </w:rPr>
            </w:pPr>
            <w:r w:rsidRPr="00B612A2">
              <w:rPr>
                <w:szCs w:val="24"/>
              </w:rPr>
              <w:t>0.00%</w:t>
            </w:r>
          </w:p>
        </w:tc>
      </w:tr>
      <w:tr w:rsidRPr="00B612A2" w:rsidR="00B612A2" w:rsidTr="00B612A2" w14:paraId="4CA6CDB9"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25AE21F5" w14:textId="77777777">
            <w:pPr>
              <w:spacing w:line="240" w:lineRule="auto"/>
              <w:ind w:firstLine="0"/>
              <w:rPr>
                <w:rFonts w:cstheme="minorHAnsi"/>
                <w:szCs w:val="24"/>
              </w:rPr>
            </w:pPr>
            <w:r w:rsidRPr="00B612A2">
              <w:rPr>
                <w:szCs w:val="24"/>
              </w:rPr>
              <w:t>CalChoice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4597AF7" w14:textId="77777777">
            <w:pPr>
              <w:spacing w:line="240" w:lineRule="auto"/>
              <w:ind w:firstLine="0"/>
              <w:jc w:val="right"/>
              <w:rPr>
                <w:rFonts w:cstheme="minorHAnsi"/>
                <w:szCs w:val="24"/>
              </w:rPr>
            </w:pPr>
            <w:r w:rsidRPr="00B612A2">
              <w:rPr>
                <w:szCs w:val="24"/>
              </w:rPr>
              <w:t>N/A</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17CF09BC" w14:textId="77777777">
            <w:pPr>
              <w:spacing w:line="240" w:lineRule="auto"/>
              <w:ind w:firstLine="0"/>
              <w:jc w:val="right"/>
              <w:rPr>
                <w:rFonts w:cstheme="minorHAnsi"/>
                <w:szCs w:val="24"/>
              </w:rPr>
            </w:pPr>
            <w:r w:rsidRPr="00B612A2">
              <w:rPr>
                <w:szCs w:val="24"/>
              </w:rPr>
              <w:t>N/A</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7CB52704" w14:textId="77777777">
            <w:pPr>
              <w:spacing w:line="240" w:lineRule="auto"/>
              <w:ind w:firstLine="0"/>
              <w:jc w:val="right"/>
              <w:rPr>
                <w:rFonts w:cstheme="minorHAnsi"/>
                <w:szCs w:val="24"/>
              </w:rPr>
            </w:pPr>
            <w:r w:rsidRPr="00B612A2">
              <w:rPr>
                <w:szCs w:val="24"/>
              </w:rPr>
              <w:t>N/A</w:t>
            </w:r>
          </w:p>
        </w:tc>
      </w:tr>
      <w:tr w:rsidRPr="00B612A2" w:rsidR="00B612A2" w:rsidTr="00B612A2" w14:paraId="56B10437"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362F030E" w14:textId="77777777">
            <w:pPr>
              <w:spacing w:line="240" w:lineRule="auto"/>
              <w:ind w:firstLine="0"/>
              <w:rPr>
                <w:rFonts w:cstheme="minorHAnsi"/>
                <w:szCs w:val="24"/>
              </w:rPr>
            </w:pPr>
            <w:r w:rsidRPr="00B612A2">
              <w:rPr>
                <w:szCs w:val="24"/>
              </w:rPr>
              <w:t>EBCE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495098D" w14:textId="77777777">
            <w:pPr>
              <w:spacing w:line="240" w:lineRule="auto"/>
              <w:ind w:firstLine="0"/>
              <w:jc w:val="right"/>
              <w:rPr>
                <w:rFonts w:cstheme="minorHAnsi"/>
                <w:szCs w:val="24"/>
              </w:rPr>
            </w:pPr>
            <w:r w:rsidRPr="00B612A2">
              <w:rPr>
                <w:szCs w:val="24"/>
              </w:rPr>
              <w:t>1.5625</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49C3B6B"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18A03F81" w14:textId="77777777">
            <w:pPr>
              <w:spacing w:line="240" w:lineRule="auto"/>
              <w:ind w:firstLine="0"/>
              <w:jc w:val="right"/>
              <w:rPr>
                <w:rFonts w:cstheme="minorHAnsi"/>
                <w:szCs w:val="24"/>
              </w:rPr>
            </w:pPr>
            <w:r w:rsidRPr="00B612A2">
              <w:rPr>
                <w:szCs w:val="24"/>
              </w:rPr>
              <w:t>0.00%</w:t>
            </w:r>
          </w:p>
        </w:tc>
      </w:tr>
      <w:tr w:rsidRPr="00B612A2" w:rsidR="00B612A2" w:rsidTr="00B612A2" w14:paraId="7CBA7D7C"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5FFB8F57" w14:textId="77777777">
            <w:pPr>
              <w:spacing w:line="240" w:lineRule="auto"/>
              <w:ind w:firstLine="0"/>
              <w:rPr>
                <w:rFonts w:cstheme="minorHAnsi"/>
                <w:szCs w:val="24"/>
              </w:rPr>
            </w:pPr>
            <w:r w:rsidRPr="00B612A2">
              <w:rPr>
                <w:szCs w:val="24"/>
              </w:rPr>
              <w:t>MCE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50B6E2E2" w14:textId="77777777">
            <w:pPr>
              <w:spacing w:line="240" w:lineRule="auto"/>
              <w:ind w:firstLine="0"/>
              <w:jc w:val="right"/>
              <w:rPr>
                <w:rFonts w:cstheme="minorHAnsi"/>
                <w:szCs w:val="24"/>
              </w:rPr>
            </w:pPr>
            <w:r w:rsidRPr="00B612A2">
              <w:rPr>
                <w:szCs w:val="24"/>
              </w:rPr>
              <w:t>1.2800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132ACF9F"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6C6BC03B" w14:textId="77777777">
            <w:pPr>
              <w:spacing w:line="240" w:lineRule="auto"/>
              <w:ind w:firstLine="0"/>
              <w:jc w:val="right"/>
              <w:rPr>
                <w:rFonts w:cstheme="minorHAnsi"/>
                <w:szCs w:val="24"/>
              </w:rPr>
            </w:pPr>
            <w:r w:rsidRPr="00B612A2">
              <w:rPr>
                <w:szCs w:val="24"/>
              </w:rPr>
              <w:t>0.00%</w:t>
            </w:r>
          </w:p>
        </w:tc>
      </w:tr>
      <w:tr w:rsidRPr="00B612A2" w:rsidR="00B612A2" w:rsidTr="00B612A2" w14:paraId="2E64EA7F"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196CE72D" w14:textId="77777777">
            <w:pPr>
              <w:spacing w:line="240" w:lineRule="auto"/>
              <w:ind w:firstLine="0"/>
              <w:rPr>
                <w:rFonts w:cstheme="minorHAnsi"/>
                <w:szCs w:val="24"/>
              </w:rPr>
            </w:pPr>
            <w:r w:rsidRPr="00B612A2">
              <w:rPr>
                <w:szCs w:val="24"/>
              </w:rPr>
              <w:t>PCE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1ED56D5" w14:textId="77777777">
            <w:pPr>
              <w:spacing w:line="240" w:lineRule="auto"/>
              <w:ind w:firstLine="0"/>
              <w:jc w:val="right"/>
              <w:rPr>
                <w:rFonts w:cstheme="minorHAnsi"/>
                <w:szCs w:val="24"/>
              </w:rPr>
            </w:pPr>
            <w:r w:rsidRPr="00B612A2">
              <w:rPr>
                <w:szCs w:val="24"/>
              </w:rPr>
              <w:t>0.4025</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928E6AD"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1261E4C" w14:textId="77777777">
            <w:pPr>
              <w:spacing w:line="240" w:lineRule="auto"/>
              <w:ind w:firstLine="0"/>
              <w:jc w:val="right"/>
              <w:rPr>
                <w:rFonts w:cstheme="minorHAnsi"/>
                <w:szCs w:val="24"/>
              </w:rPr>
            </w:pPr>
            <w:r w:rsidRPr="00B612A2">
              <w:rPr>
                <w:szCs w:val="24"/>
              </w:rPr>
              <w:t>0.00%</w:t>
            </w:r>
          </w:p>
        </w:tc>
      </w:tr>
      <w:tr w:rsidRPr="00B612A2" w:rsidR="00B612A2" w:rsidTr="00B612A2" w14:paraId="0B5BA74F"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7084CAC0" w14:textId="77777777">
            <w:pPr>
              <w:spacing w:line="240" w:lineRule="auto"/>
              <w:ind w:firstLine="0"/>
              <w:rPr>
                <w:rFonts w:cstheme="minorHAnsi"/>
                <w:szCs w:val="24"/>
              </w:rPr>
            </w:pPr>
            <w:r w:rsidRPr="00B612A2">
              <w:rPr>
                <w:szCs w:val="24"/>
              </w:rPr>
              <w:t>PG&amp;E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31632A8A" w14:textId="77777777">
            <w:pPr>
              <w:spacing w:line="240" w:lineRule="auto"/>
              <w:ind w:firstLine="0"/>
              <w:jc w:val="right"/>
              <w:rPr>
                <w:rFonts w:cstheme="minorHAnsi"/>
                <w:szCs w:val="24"/>
              </w:rPr>
            </w:pPr>
            <w:r w:rsidRPr="00B612A2">
              <w:rPr>
                <w:szCs w:val="24"/>
              </w:rPr>
              <w:t>14.2000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463B8E3" w14:textId="77777777">
            <w:pPr>
              <w:spacing w:line="240" w:lineRule="auto"/>
              <w:ind w:firstLine="0"/>
              <w:jc w:val="right"/>
              <w:rPr>
                <w:rFonts w:cstheme="minorHAnsi"/>
                <w:szCs w:val="24"/>
              </w:rPr>
            </w:pPr>
            <w:r w:rsidRPr="00B612A2">
              <w:rPr>
                <w:szCs w:val="24"/>
              </w:rPr>
              <w:t>12.00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0B8C49E" w14:textId="77777777">
            <w:pPr>
              <w:spacing w:line="240" w:lineRule="auto"/>
              <w:ind w:firstLine="0"/>
              <w:jc w:val="right"/>
              <w:rPr>
                <w:rFonts w:cstheme="minorHAnsi"/>
                <w:szCs w:val="24"/>
              </w:rPr>
            </w:pPr>
            <w:r w:rsidRPr="00B612A2">
              <w:rPr>
                <w:szCs w:val="24"/>
              </w:rPr>
              <w:t>84.51%</w:t>
            </w:r>
          </w:p>
        </w:tc>
      </w:tr>
      <w:tr w:rsidRPr="00B612A2" w:rsidR="00B612A2" w:rsidTr="00B612A2" w14:paraId="44FD9370"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562E473B" w14:textId="77777777">
            <w:pPr>
              <w:spacing w:line="240" w:lineRule="auto"/>
              <w:ind w:firstLine="0"/>
              <w:rPr>
                <w:rFonts w:cstheme="minorHAnsi"/>
                <w:szCs w:val="24"/>
              </w:rPr>
            </w:pPr>
            <w:r w:rsidRPr="00B612A2">
              <w:rPr>
                <w:szCs w:val="24"/>
              </w:rPr>
              <w:t>SCE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486F91DA" w14:textId="77777777">
            <w:pPr>
              <w:spacing w:line="240" w:lineRule="auto"/>
              <w:ind w:firstLine="0"/>
              <w:jc w:val="right"/>
              <w:rPr>
                <w:rFonts w:cstheme="minorHAnsi"/>
                <w:szCs w:val="24"/>
              </w:rPr>
            </w:pPr>
            <w:r w:rsidRPr="00B612A2">
              <w:rPr>
                <w:szCs w:val="24"/>
              </w:rPr>
              <w:t>14.6300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7B3B35DA" w14:textId="77777777">
            <w:pPr>
              <w:spacing w:line="240" w:lineRule="auto"/>
              <w:ind w:firstLine="0"/>
              <w:jc w:val="right"/>
              <w:rPr>
                <w:rFonts w:cstheme="minorHAnsi"/>
                <w:szCs w:val="24"/>
              </w:rPr>
            </w:pPr>
            <w:r w:rsidRPr="00B612A2">
              <w:rPr>
                <w:szCs w:val="24"/>
              </w:rPr>
              <w:t>3.00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98DEE59" w14:textId="77777777">
            <w:pPr>
              <w:spacing w:line="240" w:lineRule="auto"/>
              <w:ind w:firstLine="0"/>
              <w:jc w:val="right"/>
              <w:rPr>
                <w:rFonts w:cstheme="minorHAnsi"/>
                <w:szCs w:val="24"/>
              </w:rPr>
            </w:pPr>
            <w:r w:rsidRPr="00B612A2">
              <w:rPr>
                <w:szCs w:val="24"/>
              </w:rPr>
              <w:t>20.51%</w:t>
            </w:r>
          </w:p>
        </w:tc>
      </w:tr>
      <w:tr w:rsidRPr="00B612A2" w:rsidR="00B612A2" w:rsidTr="00B612A2" w14:paraId="6C41C520"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040683" w:rsidRDefault="00404903" w14:paraId="4F0E17FD" w14:textId="77777777">
            <w:pPr>
              <w:spacing w:line="240" w:lineRule="auto"/>
              <w:ind w:firstLine="0"/>
              <w:rPr>
                <w:rFonts w:cstheme="minorHAnsi"/>
                <w:szCs w:val="24"/>
              </w:rPr>
            </w:pPr>
            <w:r w:rsidRPr="00B612A2">
              <w:rPr>
                <w:szCs w:val="24"/>
              </w:rPr>
              <w:t>SDCP</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6ABB18C1" w14:textId="77777777">
            <w:pPr>
              <w:spacing w:line="240" w:lineRule="auto"/>
              <w:ind w:firstLine="0"/>
              <w:jc w:val="right"/>
              <w:rPr>
                <w:rFonts w:cstheme="minorHAnsi"/>
                <w:szCs w:val="24"/>
              </w:rPr>
            </w:pPr>
            <w:r w:rsidRPr="00B612A2">
              <w:rPr>
                <w:szCs w:val="24"/>
              </w:rPr>
              <w:t>4.3800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26B187C5" w14:textId="77777777">
            <w:pPr>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040683" w:rsidRDefault="00404903" w14:paraId="03B25A60" w14:textId="77777777">
            <w:pPr>
              <w:spacing w:line="240" w:lineRule="auto"/>
              <w:ind w:firstLine="0"/>
              <w:jc w:val="right"/>
              <w:rPr>
                <w:rFonts w:cstheme="minorHAnsi"/>
                <w:szCs w:val="24"/>
              </w:rPr>
            </w:pPr>
            <w:r w:rsidRPr="00B612A2">
              <w:rPr>
                <w:szCs w:val="24"/>
              </w:rPr>
              <w:t>0.00%</w:t>
            </w:r>
          </w:p>
        </w:tc>
      </w:tr>
      <w:tr w:rsidRPr="00B612A2" w:rsidR="00B612A2" w:rsidTr="00B612A2" w14:paraId="46AF9B8D"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32345BEE" w14:textId="77777777">
            <w:pPr>
              <w:keepNext/>
              <w:spacing w:line="240" w:lineRule="auto"/>
              <w:ind w:firstLine="0"/>
              <w:rPr>
                <w:rFonts w:cstheme="minorHAnsi"/>
                <w:szCs w:val="24"/>
              </w:rPr>
            </w:pPr>
            <w:r w:rsidRPr="00B612A2">
              <w:rPr>
                <w:szCs w:val="24"/>
              </w:rPr>
              <w:lastRenderedPageBreak/>
              <w:t>SDG&amp;E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1DB78451" w14:textId="77777777">
            <w:pPr>
              <w:keepNext/>
              <w:spacing w:line="240" w:lineRule="auto"/>
              <w:ind w:firstLine="0"/>
              <w:jc w:val="right"/>
              <w:rPr>
                <w:rFonts w:cstheme="minorHAnsi"/>
                <w:szCs w:val="24"/>
              </w:rPr>
            </w:pPr>
            <w:r w:rsidRPr="00B612A2">
              <w:rPr>
                <w:szCs w:val="24"/>
              </w:rPr>
              <w:t>0.6200</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245BDC83" w14:textId="77777777">
            <w:pPr>
              <w:keepNext/>
              <w:spacing w:line="240" w:lineRule="auto"/>
              <w:ind w:firstLine="0"/>
              <w:jc w:val="right"/>
              <w:rPr>
                <w:rFonts w:cstheme="minorHAnsi"/>
                <w:szCs w:val="24"/>
              </w:rPr>
            </w:pPr>
            <w:r w:rsidRPr="00B612A2">
              <w:rPr>
                <w:szCs w:val="24"/>
              </w:rPr>
              <w:t>0.00</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73275332" w14:textId="77777777">
            <w:pPr>
              <w:keepNext/>
              <w:spacing w:line="240" w:lineRule="auto"/>
              <w:ind w:firstLine="0"/>
              <w:jc w:val="right"/>
              <w:rPr>
                <w:rFonts w:cstheme="minorHAnsi"/>
                <w:szCs w:val="24"/>
              </w:rPr>
            </w:pPr>
            <w:r w:rsidRPr="00B612A2">
              <w:rPr>
                <w:szCs w:val="24"/>
              </w:rPr>
              <w:t>0.00%</w:t>
            </w:r>
          </w:p>
        </w:tc>
      </w:tr>
      <w:tr w:rsidRPr="00B612A2" w:rsidR="00B612A2" w:rsidTr="00B612A2" w14:paraId="02F8D84A" w14:textId="77777777">
        <w:tc>
          <w:tcPr>
            <w:tcW w:w="2065" w:type="dxa"/>
            <w:tcBorders>
              <w:top w:val="nil"/>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59EF49C3" w14:textId="77777777">
            <w:pPr>
              <w:keepNext/>
              <w:spacing w:line="240" w:lineRule="auto"/>
              <w:ind w:firstLine="0"/>
              <w:rPr>
                <w:rFonts w:cstheme="minorHAnsi"/>
                <w:szCs w:val="24"/>
              </w:rPr>
            </w:pPr>
            <w:r w:rsidRPr="00B612A2">
              <w:rPr>
                <w:szCs w:val="24"/>
              </w:rPr>
              <w:t>SJCE</w:t>
            </w:r>
          </w:p>
        </w:tc>
        <w:tc>
          <w:tcPr>
            <w:tcW w:w="216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4BED9A00" w14:textId="77777777">
            <w:pPr>
              <w:keepNext/>
              <w:spacing w:line="240" w:lineRule="auto"/>
              <w:ind w:firstLine="0"/>
              <w:jc w:val="right"/>
              <w:rPr>
                <w:rFonts w:cstheme="minorHAnsi"/>
                <w:szCs w:val="24"/>
              </w:rPr>
            </w:pPr>
            <w:r w:rsidRPr="00B612A2">
              <w:rPr>
                <w:szCs w:val="24"/>
              </w:rPr>
              <w:t>N/A</w:t>
            </w:r>
          </w:p>
        </w:tc>
        <w:tc>
          <w:tcPr>
            <w:tcW w:w="2910"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7539DBDF" w14:textId="77777777">
            <w:pPr>
              <w:keepNext/>
              <w:spacing w:line="240" w:lineRule="auto"/>
              <w:ind w:firstLine="0"/>
              <w:jc w:val="right"/>
              <w:rPr>
                <w:rFonts w:cstheme="minorHAnsi"/>
                <w:szCs w:val="24"/>
              </w:rPr>
            </w:pPr>
            <w:r w:rsidRPr="00B612A2">
              <w:rPr>
                <w:szCs w:val="24"/>
              </w:rPr>
              <w:t>N/A</w:t>
            </w:r>
          </w:p>
        </w:tc>
        <w:tc>
          <w:tcPr>
            <w:tcW w:w="2225" w:type="dxa"/>
            <w:tcBorders>
              <w:top w:val="nil"/>
              <w:left w:val="nil"/>
              <w:bottom w:val="single" w:color="auto" w:sz="4" w:space="0"/>
              <w:right w:val="single" w:color="auto" w:sz="4" w:space="0"/>
            </w:tcBorders>
            <w:shd w:val="clear" w:color="auto" w:fill="auto"/>
            <w:noWrap/>
            <w:vAlign w:val="center"/>
            <w:hideMark/>
          </w:tcPr>
          <w:p w:rsidRPr="00B612A2" w:rsidR="00404903" w:rsidP="009F5C42" w:rsidRDefault="00404903" w14:paraId="47B4ED1A" w14:textId="77777777">
            <w:pPr>
              <w:keepNext/>
              <w:spacing w:line="240" w:lineRule="auto"/>
              <w:ind w:firstLine="0"/>
              <w:jc w:val="right"/>
              <w:rPr>
                <w:rFonts w:cstheme="minorHAnsi"/>
                <w:szCs w:val="24"/>
              </w:rPr>
            </w:pPr>
            <w:r w:rsidRPr="00B612A2">
              <w:rPr>
                <w:szCs w:val="24"/>
              </w:rPr>
              <w:t>N/A</w:t>
            </w:r>
          </w:p>
        </w:tc>
      </w:tr>
      <w:tr w:rsidRPr="00B612A2" w:rsidR="00B612A2" w:rsidTr="00B612A2" w14:paraId="25A0C92C" w14:textId="77777777">
        <w:tc>
          <w:tcPr>
            <w:tcW w:w="206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612A2" w:rsidR="00404903" w:rsidP="009F5C42" w:rsidRDefault="00404903" w14:paraId="1F8E3A32" w14:textId="77777777">
            <w:pPr>
              <w:keepNext/>
              <w:spacing w:line="240" w:lineRule="auto"/>
              <w:ind w:firstLine="0"/>
              <w:jc w:val="right"/>
              <w:rPr>
                <w:rFonts w:cstheme="minorHAnsi"/>
              </w:rPr>
            </w:pPr>
            <w:r w:rsidRPr="00B612A2">
              <w:t>TOTAL</w:t>
            </w:r>
          </w:p>
        </w:tc>
        <w:tc>
          <w:tcPr>
            <w:tcW w:w="2160" w:type="dxa"/>
            <w:tcBorders>
              <w:top w:val="single" w:color="auto" w:sz="4" w:space="0"/>
              <w:left w:val="nil"/>
              <w:bottom w:val="single" w:color="auto" w:sz="4" w:space="0"/>
              <w:right w:val="single" w:color="auto" w:sz="4" w:space="0"/>
            </w:tcBorders>
            <w:shd w:val="clear" w:color="auto" w:fill="auto"/>
            <w:noWrap/>
            <w:vAlign w:val="center"/>
            <w:hideMark/>
          </w:tcPr>
          <w:p w:rsidRPr="00B612A2" w:rsidR="00404903" w:rsidP="009F5C42" w:rsidRDefault="00404903" w14:paraId="2E5B4332" w14:textId="77777777">
            <w:pPr>
              <w:keepNext/>
              <w:spacing w:line="240" w:lineRule="auto"/>
              <w:ind w:firstLine="0"/>
              <w:jc w:val="right"/>
              <w:rPr>
                <w:rFonts w:cstheme="minorHAnsi"/>
              </w:rPr>
            </w:pPr>
            <w:r w:rsidRPr="00B612A2">
              <w:t>40.9975</w:t>
            </w:r>
          </w:p>
        </w:tc>
        <w:tc>
          <w:tcPr>
            <w:tcW w:w="2910" w:type="dxa"/>
            <w:tcBorders>
              <w:top w:val="single" w:color="auto" w:sz="4" w:space="0"/>
              <w:left w:val="nil"/>
              <w:bottom w:val="single" w:color="auto" w:sz="4" w:space="0"/>
              <w:right w:val="single" w:color="auto" w:sz="4" w:space="0"/>
            </w:tcBorders>
            <w:shd w:val="clear" w:color="auto" w:fill="auto"/>
            <w:noWrap/>
            <w:vAlign w:val="center"/>
            <w:hideMark/>
          </w:tcPr>
          <w:p w:rsidRPr="00B612A2" w:rsidR="00404903" w:rsidP="009F5C42" w:rsidRDefault="00404903" w14:paraId="7E2D9407" w14:textId="77777777">
            <w:pPr>
              <w:keepNext/>
              <w:spacing w:line="240" w:lineRule="auto"/>
              <w:ind w:firstLine="0"/>
              <w:jc w:val="right"/>
              <w:rPr>
                <w:rFonts w:cstheme="minorHAnsi"/>
              </w:rPr>
            </w:pPr>
            <w:r w:rsidRPr="00B612A2">
              <w:t>18.37</w:t>
            </w:r>
          </w:p>
        </w:tc>
        <w:tc>
          <w:tcPr>
            <w:tcW w:w="2225" w:type="dxa"/>
            <w:tcBorders>
              <w:top w:val="single" w:color="auto" w:sz="4" w:space="0"/>
              <w:left w:val="nil"/>
              <w:bottom w:val="single" w:color="auto" w:sz="4" w:space="0"/>
              <w:right w:val="single" w:color="auto" w:sz="4" w:space="0"/>
            </w:tcBorders>
            <w:shd w:val="clear" w:color="auto" w:fill="auto"/>
            <w:noWrap/>
            <w:vAlign w:val="center"/>
            <w:hideMark/>
          </w:tcPr>
          <w:p w:rsidRPr="00B612A2" w:rsidR="00404903" w:rsidP="009F5C42" w:rsidRDefault="00404903" w14:paraId="3594B998" w14:textId="77777777">
            <w:pPr>
              <w:keepNext/>
              <w:spacing w:line="240" w:lineRule="auto"/>
              <w:ind w:firstLine="0"/>
              <w:jc w:val="right"/>
              <w:rPr>
                <w:rFonts w:cstheme="minorHAnsi"/>
              </w:rPr>
            </w:pPr>
            <w:r w:rsidRPr="00B612A2">
              <w:t>44.81%</w:t>
            </w:r>
          </w:p>
        </w:tc>
      </w:tr>
      <w:tr w:rsidRPr="00B612A2" w:rsidR="00B612A2" w:rsidTr="00B612A2" w14:paraId="4E76E5A3" w14:textId="77777777">
        <w:tc>
          <w:tcPr>
            <w:tcW w:w="2065" w:type="dxa"/>
            <w:tcBorders>
              <w:top w:val="single" w:color="auto" w:sz="4" w:space="0"/>
            </w:tcBorders>
            <w:shd w:val="clear" w:color="auto" w:fill="auto"/>
            <w:noWrap/>
            <w:vAlign w:val="center"/>
          </w:tcPr>
          <w:p w:rsidRPr="00B612A2" w:rsidR="00B612A2" w:rsidP="00040683" w:rsidRDefault="00B612A2" w14:paraId="109C572E" w14:textId="77777777">
            <w:pPr>
              <w:spacing w:line="240" w:lineRule="auto"/>
              <w:ind w:firstLine="0"/>
              <w:jc w:val="right"/>
              <w:rPr>
                <w:sz w:val="12"/>
              </w:rPr>
            </w:pPr>
          </w:p>
        </w:tc>
        <w:tc>
          <w:tcPr>
            <w:tcW w:w="2160" w:type="dxa"/>
            <w:tcBorders>
              <w:top w:val="single" w:color="auto" w:sz="4" w:space="0"/>
            </w:tcBorders>
            <w:shd w:val="clear" w:color="auto" w:fill="auto"/>
            <w:noWrap/>
            <w:vAlign w:val="center"/>
          </w:tcPr>
          <w:p w:rsidRPr="00B612A2" w:rsidR="00B612A2" w:rsidP="00040683" w:rsidRDefault="00B612A2" w14:paraId="58C92B18" w14:textId="77777777">
            <w:pPr>
              <w:spacing w:line="240" w:lineRule="auto"/>
              <w:ind w:firstLine="0"/>
              <w:jc w:val="right"/>
              <w:rPr>
                <w:sz w:val="12"/>
              </w:rPr>
            </w:pPr>
          </w:p>
        </w:tc>
        <w:tc>
          <w:tcPr>
            <w:tcW w:w="2910" w:type="dxa"/>
            <w:tcBorders>
              <w:top w:val="single" w:color="auto" w:sz="4" w:space="0"/>
            </w:tcBorders>
            <w:shd w:val="clear" w:color="auto" w:fill="auto"/>
            <w:noWrap/>
            <w:vAlign w:val="center"/>
          </w:tcPr>
          <w:p w:rsidRPr="00B612A2" w:rsidR="00B612A2" w:rsidP="00040683" w:rsidRDefault="00B612A2" w14:paraId="38871814" w14:textId="77777777">
            <w:pPr>
              <w:spacing w:line="240" w:lineRule="auto"/>
              <w:ind w:firstLine="0"/>
              <w:jc w:val="right"/>
              <w:rPr>
                <w:sz w:val="12"/>
              </w:rPr>
            </w:pPr>
          </w:p>
        </w:tc>
        <w:tc>
          <w:tcPr>
            <w:tcW w:w="2225" w:type="dxa"/>
            <w:tcBorders>
              <w:top w:val="single" w:color="auto" w:sz="4" w:space="0"/>
            </w:tcBorders>
            <w:shd w:val="clear" w:color="auto" w:fill="auto"/>
            <w:noWrap/>
            <w:vAlign w:val="center"/>
          </w:tcPr>
          <w:p w:rsidRPr="00B612A2" w:rsidR="00B612A2" w:rsidP="00040683" w:rsidRDefault="00B612A2" w14:paraId="31B3815F" w14:textId="77777777">
            <w:pPr>
              <w:spacing w:line="240" w:lineRule="auto"/>
              <w:ind w:firstLine="0"/>
              <w:jc w:val="right"/>
              <w:rPr>
                <w:sz w:val="12"/>
              </w:rPr>
            </w:pPr>
          </w:p>
        </w:tc>
      </w:tr>
    </w:tbl>
    <w:p w:rsidR="00345511" w:rsidP="001B1E90" w:rsidRDefault="00345511" w14:paraId="732CA4F8" w14:textId="77777777">
      <w:pPr>
        <w:pStyle w:val="Heading4"/>
      </w:pPr>
      <w:bookmarkStart w:name="_Toc159551172" w:id="118"/>
      <w:bookmarkStart w:name="_Toc168559292" w:id="119"/>
      <w:r>
        <w:t>Minimize Duplicative Offerings</w:t>
      </w:r>
      <w:bookmarkEnd w:id="118"/>
      <w:bookmarkEnd w:id="119"/>
    </w:p>
    <w:p w:rsidR="00BA58BF" w:rsidP="00345511" w:rsidRDefault="00345511" w14:paraId="2CA2B450" w14:textId="0C0B3E5B">
      <w:pPr>
        <w:pStyle w:val="Standard"/>
      </w:pPr>
      <w:r>
        <w:t xml:space="preserve">As summarized in </w:t>
      </w:r>
      <w:r w:rsidR="003627A8">
        <w:t>Section </w:t>
      </w:r>
      <w:r w:rsidR="000204A6">
        <w:t>3.3.1.2</w:t>
      </w:r>
      <w:r>
        <w:t xml:space="preserve"> above, PG&amp;E, SCE, SEIA, and TURN argue that the DAC</w:t>
      </w:r>
      <w:r w:rsidR="003D6EF8">
        <w:noBreakHyphen/>
      </w:r>
      <w:r>
        <w:t>GT and CSGT programs are duplicative offerings to each other.</w:t>
      </w:r>
      <w:r>
        <w:rPr>
          <w:rStyle w:val="FootnoteReference"/>
        </w:rPr>
        <w:footnoteReference w:id="131"/>
      </w:r>
      <w:r>
        <w:t xml:space="preserve"> </w:t>
      </w:r>
      <w:r w:rsidR="000341A3">
        <w:t>Joint CCA</w:t>
      </w:r>
      <w:r>
        <w:t>s, by contrast, state that the programs are complementary.</w:t>
      </w:r>
      <w:r>
        <w:rPr>
          <w:rStyle w:val="FootnoteReference"/>
        </w:rPr>
        <w:footnoteReference w:id="132"/>
      </w:r>
      <w:r>
        <w:t xml:space="preserve"> Cypress Creek states that CSGT theoretically minimizes duplicative offerings because the program</w:t>
      </w:r>
      <w:r w:rsidR="00440785">
        <w:t>’</w:t>
      </w:r>
      <w:r>
        <w:t xml:space="preserve">s market rate corollary is the ECR program and both programs offer </w:t>
      </w:r>
      <w:r w:rsidR="001D114A">
        <w:t>U</w:t>
      </w:r>
      <w:r w:rsidR="000553C6">
        <w:t>tilit</w:t>
      </w:r>
      <w:r w:rsidR="001D114A">
        <w:t>ies</w:t>
      </w:r>
      <w:r w:rsidR="00440785">
        <w:t>’</w:t>
      </w:r>
      <w:r w:rsidR="00A059A8">
        <w:t xml:space="preserve"> </w:t>
      </w:r>
      <w:r>
        <w:t>customers a new renewable product (low</w:t>
      </w:r>
      <w:r w:rsidR="003D6EF8">
        <w:noBreakHyphen/>
      </w:r>
      <w:r>
        <w:t>income customers for CSGT or market</w:t>
      </w:r>
      <w:r w:rsidR="003D6EF8">
        <w:noBreakHyphen/>
      </w:r>
      <w:r>
        <w:t>rate customers for ECR).</w:t>
      </w:r>
      <w:r>
        <w:rPr>
          <w:rStyle w:val="FootnoteReference"/>
        </w:rPr>
        <w:footnoteReference w:id="133"/>
      </w:r>
      <w:r>
        <w:t xml:space="preserve"> In practice, however, Cypress Creek states that the programs are duplicative because no customers have enrolled in either program.</w:t>
      </w:r>
    </w:p>
    <w:p w:rsidRPr="001A0084" w:rsidR="00345511" w:rsidP="001B1E90" w:rsidRDefault="00345511" w14:paraId="2C5B0A9E" w14:textId="5EC5B450">
      <w:pPr>
        <w:pStyle w:val="Heading4"/>
      </w:pPr>
      <w:bookmarkStart w:name="_Toc159551173" w:id="120"/>
      <w:bookmarkStart w:name="_Toc168559293" w:id="121"/>
      <w:r>
        <w:t>Promotes Robust</w:t>
      </w:r>
      <w:r w:rsidR="00D62231">
        <w:br/>
      </w:r>
      <w:r>
        <w:t>Low</w:t>
      </w:r>
      <w:r w:rsidR="003D6EF8">
        <w:noBreakHyphen/>
      </w:r>
      <w:r>
        <w:t>Income Participation</w:t>
      </w:r>
      <w:bookmarkEnd w:id="120"/>
      <w:bookmarkEnd w:id="121"/>
    </w:p>
    <w:p w:rsidR="00BA58BF" w:rsidP="00345511" w:rsidRDefault="00345511" w14:paraId="18E489DF" w14:textId="53A4A75C">
      <w:pPr>
        <w:pStyle w:val="Standard"/>
      </w:pPr>
      <w:r>
        <w:t>Multiple parties assert that the CSGT program does not promote robust low</w:t>
      </w:r>
      <w:r w:rsidR="003D6EF8">
        <w:noBreakHyphen/>
      </w:r>
      <w:r>
        <w:t xml:space="preserve">income participation, including CCSA, Cypress Creek, </w:t>
      </w:r>
      <w:r w:rsidR="00AD55A4">
        <w:t xml:space="preserve">CEJA, </w:t>
      </w:r>
      <w:r w:rsidR="00237E56">
        <w:rPr>
          <w:i/>
          <w:iCs/>
        </w:rPr>
        <w:t>et al</w:t>
      </w:r>
      <w:r w:rsidRPr="00AD55A4" w:rsidR="00AD55A4">
        <w:rPr>
          <w:i/>
          <w:iCs/>
        </w:rPr>
        <w:t>.</w:t>
      </w:r>
      <w:r>
        <w:t xml:space="preserve">, </w:t>
      </w:r>
      <w:r w:rsidR="000341A3">
        <w:t xml:space="preserve">Joint </w:t>
      </w:r>
      <w:r w:rsidR="000341A3">
        <w:lastRenderedPageBreak/>
        <w:t>CCA</w:t>
      </w:r>
      <w:r>
        <w:t>s, SCE, SDG&amp;E, PG&amp;E, and TURN.</w:t>
      </w:r>
      <w:r>
        <w:rPr>
          <w:rStyle w:val="FootnoteReference"/>
        </w:rPr>
        <w:footnoteReference w:id="134"/>
      </w:r>
      <w:r w:rsidR="009F5702">
        <w:t xml:space="preserve"> </w:t>
      </w:r>
      <w:r>
        <w:t>These parties point out that there are no customers enrolled in the CSGT program and there are no projects online.</w:t>
      </w:r>
    </w:p>
    <w:p w:rsidR="00345511" w:rsidP="00345511" w:rsidRDefault="000341A3" w14:paraId="625EC50C" w14:textId="1524DF01">
      <w:pPr>
        <w:pStyle w:val="Standard"/>
      </w:pPr>
      <w:r>
        <w:t>Joint CCA</w:t>
      </w:r>
      <w:r w:rsidR="00345511">
        <w:t>s states that CSGT does promote robust participation by low</w:t>
      </w:r>
      <w:r w:rsidR="003D6EF8">
        <w:noBreakHyphen/>
      </w:r>
      <w:r w:rsidR="00345511">
        <w:t xml:space="preserve">income customers because some </w:t>
      </w:r>
      <w:r w:rsidR="00A059A8">
        <w:t xml:space="preserve">program administrators </w:t>
      </w:r>
      <w:r w:rsidR="00345511">
        <w:t>have eligible customers on the CSGT waitlist.</w:t>
      </w:r>
      <w:r w:rsidR="00345511">
        <w:rPr>
          <w:rStyle w:val="FootnoteReference"/>
        </w:rPr>
        <w:footnoteReference w:id="135"/>
      </w:r>
      <w:r w:rsidR="00345511">
        <w:t xml:space="preserve"> SEIA remarks that CSGT was designed to promote participation from low</w:t>
      </w:r>
      <w:r w:rsidR="003D6EF8">
        <w:noBreakHyphen/>
      </w:r>
      <w:r w:rsidR="00345511">
        <w:t>income customers and while there are no enrolled customers, contracts have been executed to meet this customer group.</w:t>
      </w:r>
      <w:r w:rsidR="00345511">
        <w:rPr>
          <w:rStyle w:val="FootnoteReference"/>
        </w:rPr>
        <w:footnoteReference w:id="136"/>
      </w:r>
    </w:p>
    <w:p w:rsidR="00345511" w:rsidP="001B1E90" w:rsidRDefault="00345511" w14:paraId="68BA4967" w14:textId="726DF165">
      <w:pPr>
        <w:pStyle w:val="Heading4"/>
      </w:pPr>
      <w:bookmarkStart w:name="_Toc159551174" w:id="122"/>
      <w:bookmarkStart w:name="_Toc168559294" w:id="123"/>
      <w:r>
        <w:t xml:space="preserve">Impact of Departing Load from </w:t>
      </w:r>
      <w:r w:rsidR="004E597B">
        <w:t>Community Choice Aggrega</w:t>
      </w:r>
      <w:r w:rsidR="00CF3698">
        <w:t>tor</w:t>
      </w:r>
      <w:r>
        <w:t>s</w:t>
      </w:r>
      <w:bookmarkEnd w:id="122"/>
      <w:bookmarkEnd w:id="123"/>
    </w:p>
    <w:p w:rsidR="00BA58BF" w:rsidP="00345511" w:rsidRDefault="00345511" w14:paraId="4E258CE0" w14:textId="4A870866">
      <w:pPr>
        <w:pStyle w:val="Standard"/>
      </w:pPr>
      <w:r w:rsidRPr="007428A6">
        <w:t xml:space="preserve">Cypress Creek, </w:t>
      </w:r>
      <w:r w:rsidR="000341A3">
        <w:t>Joint CCA</w:t>
      </w:r>
      <w:r w:rsidRPr="007428A6">
        <w:t>s, SDG&amp;E, and PG&amp;E</w:t>
      </w:r>
      <w:r>
        <w:t xml:space="preserve"> state that departing load from CCAs could impact CSGT if an eligible CCA does not participate in the CSGT program.</w:t>
      </w:r>
      <w:r>
        <w:rPr>
          <w:rStyle w:val="FootnoteReference"/>
        </w:rPr>
        <w:footnoteReference w:id="137"/>
      </w:r>
      <w:r>
        <w:t xml:space="preserve"> PG&amp;E notes that as customers transition to CCAs, fewer customers are eligible to participate in the CSGT program in the same area.</w:t>
      </w:r>
      <w:r w:rsidR="009F5702">
        <w:t xml:space="preserve"> </w:t>
      </w:r>
      <w:r>
        <w:t xml:space="preserve">PG&amp;E explains that it has executed all but </w:t>
      </w:r>
      <w:r w:rsidR="0096488E">
        <w:t>two megawatts</w:t>
      </w:r>
      <w:r>
        <w:t xml:space="preserve"> of its CSGT capacity, limiting CCAs</w:t>
      </w:r>
      <w:r w:rsidR="00440785">
        <w:t>’</w:t>
      </w:r>
      <w:r>
        <w:t xml:space="preserve"> access to additional </w:t>
      </w:r>
      <w:r w:rsidR="0096488E">
        <w:t>megawatts</w:t>
      </w:r>
      <w:r>
        <w:t xml:space="preserve"> to serve participating customers. SDG&amp;E states that CCA expansion greatly reduces the number of eligible SDG&amp;E customers in DACs.</w:t>
      </w:r>
    </w:p>
    <w:p w:rsidR="00345511" w:rsidP="00345511" w:rsidRDefault="00345511" w14:paraId="65AE0E59" w14:textId="0C58E220">
      <w:pPr>
        <w:pStyle w:val="Standard"/>
      </w:pPr>
      <w:r>
        <w:t xml:space="preserve">SEIA argues that while departing load from CCAs could negatively impact CSGT, it has not because CSGT is available to CCA customers if the CCA offers </w:t>
      </w:r>
      <w:r>
        <w:lastRenderedPageBreak/>
        <w:t>it.</w:t>
      </w:r>
      <w:r>
        <w:rPr>
          <w:rStyle w:val="FootnoteReference"/>
        </w:rPr>
        <w:footnoteReference w:id="138"/>
      </w:r>
      <w:r>
        <w:t xml:space="preserve"> SCE states that there is no impact for CCA departing load as SCE has no customer participation in its DAC</w:t>
      </w:r>
      <w:r w:rsidR="003D6EF8">
        <w:noBreakHyphen/>
      </w:r>
      <w:r>
        <w:t>GT program.</w:t>
      </w:r>
      <w:r>
        <w:rPr>
          <w:rStyle w:val="FootnoteReference"/>
        </w:rPr>
        <w:footnoteReference w:id="139"/>
      </w:r>
    </w:p>
    <w:p w:rsidRPr="00A76950" w:rsidR="00345511" w:rsidP="001B1E90" w:rsidRDefault="00345511" w14:paraId="616948DE" w14:textId="77777777">
      <w:pPr>
        <w:pStyle w:val="Heading4"/>
      </w:pPr>
      <w:bookmarkStart w:name="_Toc159551175" w:id="124"/>
      <w:bookmarkStart w:name="_Toc168559295" w:id="125"/>
      <w:r>
        <w:t>Discussion</w:t>
      </w:r>
      <w:bookmarkEnd w:id="124"/>
      <w:bookmarkEnd w:id="125"/>
    </w:p>
    <w:p w:rsidR="00345511" w:rsidP="00345511" w:rsidRDefault="00345511" w14:paraId="1F1D5301" w14:textId="4C475692">
      <w:pPr>
        <w:pStyle w:val="Standard"/>
      </w:pPr>
      <w:r>
        <w:t xml:space="preserve">The Commission agrees with numerous parties that the current CSGT program has failed to efficiently serve distinct customer groups. There have been no customers enrolled in CSGT since the rollout of the program, and no projects have come online. We concur with parties that the CSGT </w:t>
      </w:r>
      <w:r w:rsidR="00A059A8">
        <w:t>tariff</w:t>
      </w:r>
      <w:r w:rsidR="00440785">
        <w:t>’</w:t>
      </w:r>
      <w:r w:rsidR="00A059A8">
        <w:t xml:space="preserve">s </w:t>
      </w:r>
      <w:r>
        <w:t xml:space="preserve">complex requirements and customer eligibility criteria have made it challenging to attract developers and customers. When </w:t>
      </w:r>
      <w:r w:rsidRPr="00F25CDB">
        <w:t xml:space="preserve">balancing </w:t>
      </w:r>
      <w:r>
        <w:t>the CSGT program</w:t>
      </w:r>
      <w:r w:rsidR="00440785">
        <w:t>’</w:t>
      </w:r>
      <w:r>
        <w:t xml:space="preserve">s lack of enrollment </w:t>
      </w:r>
      <w:r w:rsidRPr="00F25CDB">
        <w:t xml:space="preserve">with </w:t>
      </w:r>
      <w:r>
        <w:t>the</w:t>
      </w:r>
      <w:r w:rsidRPr="00F25CDB">
        <w:t xml:space="preserve"> program</w:t>
      </w:r>
      <w:r w:rsidR="00440785">
        <w:t>’</w:t>
      </w:r>
      <w:r>
        <w:t>s</w:t>
      </w:r>
      <w:r w:rsidRPr="00F25CDB">
        <w:t xml:space="preserve"> overall costs</w:t>
      </w:r>
      <w:r>
        <w:t>,</w:t>
      </w:r>
      <w:r w:rsidRPr="00F25CDB">
        <w:t xml:space="preserve"> </w:t>
      </w:r>
      <w:r>
        <w:t xml:space="preserve">the CSGT </w:t>
      </w:r>
      <w:r w:rsidR="00A059A8">
        <w:t xml:space="preserve">tariff </w:t>
      </w:r>
      <w:r>
        <w:t>fails to efficiently serve any distinct customer group.</w:t>
      </w:r>
    </w:p>
    <w:p w:rsidR="00345511" w:rsidP="00345511" w:rsidRDefault="00345511" w14:paraId="4306057C" w14:textId="5CDF05E6">
      <w:pPr>
        <w:pStyle w:val="Standard"/>
      </w:pPr>
      <w:r>
        <w:t xml:space="preserve">The Commission also agrees with parties that the CSGT </w:t>
      </w:r>
      <w:r w:rsidR="00A059A8">
        <w:t xml:space="preserve">tariff </w:t>
      </w:r>
      <w:r>
        <w:t>fails to promote robust participation among low</w:t>
      </w:r>
      <w:r w:rsidR="003D6EF8">
        <w:noBreakHyphen/>
      </w:r>
      <w:r>
        <w:t>income customers based on the lack of enrollment by low</w:t>
      </w:r>
      <w:r w:rsidR="003D6EF8">
        <w:noBreakHyphen/>
      </w:r>
      <w:r>
        <w:t xml:space="preserve">income customers. As the current CSGT </w:t>
      </w:r>
      <w:r w:rsidR="00A059A8">
        <w:t xml:space="preserve">tariff </w:t>
      </w:r>
      <w:r>
        <w:t xml:space="preserve">fails to meet two of the three goals of </w:t>
      </w:r>
      <w:r w:rsidR="00440785">
        <w:t>Pub. Util.</w:t>
      </w:r>
      <w:r w:rsidR="007C005B">
        <w:t xml:space="preserve"> Code </w:t>
      </w:r>
      <w:r w:rsidR="003627A8">
        <w:t>Section </w:t>
      </w:r>
      <w:r>
        <w:t xml:space="preserve">769.3(b)(1)(A), it is not necessary to determine whether the CSGT </w:t>
      </w:r>
      <w:r w:rsidR="00A059A8">
        <w:t xml:space="preserve">tariff </w:t>
      </w:r>
      <w:r>
        <w:t>minimizes duplicative offerings.</w:t>
      </w:r>
      <w:r w:rsidRPr="00FA3892">
        <w:t xml:space="preserve"> </w:t>
      </w:r>
      <w:r>
        <w:t xml:space="preserve">Accordingly, the Commission finds that the CSGT </w:t>
      </w:r>
      <w:r w:rsidR="00A059A8">
        <w:t xml:space="preserve">tariff </w:t>
      </w:r>
      <w:r>
        <w:t xml:space="preserve">fails to meet the goals of </w:t>
      </w:r>
      <w:r w:rsidR="00440785">
        <w:t>Pub. Util.</w:t>
      </w:r>
      <w:r w:rsidR="007C005B">
        <w:t xml:space="preserve"> Code </w:t>
      </w:r>
      <w:r w:rsidR="003627A8">
        <w:t>Section </w:t>
      </w:r>
      <w:r>
        <w:t>769.3(b)(1)(A).</w:t>
      </w:r>
    </w:p>
    <w:p w:rsidR="000267A7" w:rsidP="00877203" w:rsidRDefault="00345511" w14:paraId="4AD38380" w14:textId="43BA81E2">
      <w:pPr>
        <w:pStyle w:val="Standard"/>
      </w:pPr>
      <w:r>
        <w:t xml:space="preserve">Pursuant to </w:t>
      </w:r>
      <w:r w:rsidR="00440785">
        <w:t>Pub. Util.</w:t>
      </w:r>
      <w:r w:rsidR="007C005B">
        <w:t xml:space="preserve"> Code </w:t>
      </w:r>
      <w:r w:rsidR="003627A8">
        <w:t>Section </w:t>
      </w:r>
      <w:r>
        <w:t xml:space="preserve">769.3(b)(1)(C), as the Commission has determined that the existing CSGT </w:t>
      </w:r>
      <w:r w:rsidR="00A059A8">
        <w:t xml:space="preserve">tariff </w:t>
      </w:r>
      <w:r>
        <w:t>has not m</w:t>
      </w:r>
      <w:r w:rsidR="00237E56">
        <w:t>et al</w:t>
      </w:r>
      <w:r>
        <w:t xml:space="preserve">l of the goals of </w:t>
      </w:r>
      <w:r w:rsidR="00440785">
        <w:t>Pub. Util.</w:t>
      </w:r>
      <w:r w:rsidR="007C005B">
        <w:t xml:space="preserve"> Code </w:t>
      </w:r>
      <w:r w:rsidR="003627A8">
        <w:t>Section </w:t>
      </w:r>
      <w:r>
        <w:t xml:space="preserve">769.3(b)(1)(A), we consider whether to authorize the termination or modification of the program in </w:t>
      </w:r>
      <w:r w:rsidR="003627A8">
        <w:t>Section </w:t>
      </w:r>
      <w:r w:rsidR="003119AD">
        <w:t>3.4</w:t>
      </w:r>
      <w:r>
        <w:t xml:space="preserve"> below</w:t>
      </w:r>
      <w:r w:rsidR="000267A7">
        <w:t>.</w:t>
      </w:r>
    </w:p>
    <w:p w:rsidRPr="0077167E" w:rsidR="0077167E" w:rsidP="001B1E90" w:rsidRDefault="000267A7" w14:paraId="0A985E2E" w14:textId="2154738D">
      <w:pPr>
        <w:pStyle w:val="Heading2"/>
      </w:pPr>
      <w:bookmarkStart w:name="_Toc159551176" w:id="126"/>
      <w:bookmarkStart w:name="_Toc168559296" w:id="127"/>
      <w:r>
        <w:lastRenderedPageBreak/>
        <w:t xml:space="preserve">The </w:t>
      </w:r>
      <w:r w:rsidR="00A823C1">
        <w:t xml:space="preserve">California </w:t>
      </w:r>
      <w:r w:rsidR="00500CBE">
        <w:t xml:space="preserve">Shared </w:t>
      </w:r>
      <w:r w:rsidR="00204FA3">
        <w:t>Renewables Portfolio</w:t>
      </w:r>
      <w:bookmarkEnd w:id="126"/>
      <w:bookmarkEnd w:id="127"/>
    </w:p>
    <w:p w:rsidR="0039544A" w:rsidP="00877203" w:rsidRDefault="00440785" w14:paraId="3B435E83" w14:textId="52A4BA3E">
      <w:pPr>
        <w:pStyle w:val="Standard"/>
      </w:pPr>
      <w:r>
        <w:t>Pub. Util.</w:t>
      </w:r>
      <w:r w:rsidR="00FB0D39">
        <w:t xml:space="preserve"> Code </w:t>
      </w:r>
      <w:r w:rsidR="003627A8">
        <w:t>Section </w:t>
      </w:r>
      <w:r w:rsidR="00FB0D39">
        <w:t>769.3 directs that</w:t>
      </w:r>
      <w:r w:rsidR="0077167E">
        <w:t xml:space="preserve">, </w:t>
      </w:r>
      <w:r w:rsidR="00FB0D39">
        <w:t xml:space="preserve">following </w:t>
      </w:r>
      <w:r w:rsidR="0077167E">
        <w:t>an</w:t>
      </w:r>
      <w:r w:rsidR="00FB0D39">
        <w:t xml:space="preserve"> evaluation of the current Green Access Program tariffs, the Commission determine whether it is beneficial to </w:t>
      </w:r>
      <w:r w:rsidR="009264AA">
        <w:t xml:space="preserve">ratepayers to </w:t>
      </w:r>
      <w:r w:rsidR="00FB0D39">
        <w:t>establish a new tariff or program for an electrical corporation, or modify existing tariffs or programs</w:t>
      </w:r>
      <w:r w:rsidR="009264AA">
        <w:t xml:space="preserve"> administered by an electrical corporation</w:t>
      </w:r>
      <w:r w:rsidR="00FB0D39">
        <w:t xml:space="preserve">, to establish </w:t>
      </w:r>
      <w:r w:rsidR="00BA71A6">
        <w:t xml:space="preserve">a </w:t>
      </w:r>
      <w:r w:rsidR="00FB0D39">
        <w:t xml:space="preserve">community renewable energy program consistent with the criteria described in </w:t>
      </w:r>
      <w:r w:rsidR="00000807">
        <w:t>subdivision </w:t>
      </w:r>
      <w:r w:rsidR="00FB0D39">
        <w:t>(c).</w:t>
      </w:r>
      <w:r w:rsidR="0077167E">
        <w:t xml:space="preserve"> </w:t>
      </w:r>
      <w:r w:rsidR="001F1F49">
        <w:t xml:space="preserve">As determined </w:t>
      </w:r>
      <w:r w:rsidR="006E4259">
        <w:t xml:space="preserve">in </w:t>
      </w:r>
      <w:r w:rsidR="003627A8">
        <w:t>Section </w:t>
      </w:r>
      <w:r w:rsidR="006E4259">
        <w:t xml:space="preserve">3.3 above </w:t>
      </w:r>
      <w:r w:rsidR="001F1F49">
        <w:t>(and a</w:t>
      </w:r>
      <w:r w:rsidR="0077167E">
        <w:t>ll parties agree</w:t>
      </w:r>
      <w:r w:rsidR="001F1F49">
        <w:t xml:space="preserve">), </w:t>
      </w:r>
      <w:r w:rsidR="0077167E">
        <w:t xml:space="preserve">the current Green Access Program tariff options </w:t>
      </w:r>
      <w:r w:rsidR="001F1F49">
        <w:t>do not me</w:t>
      </w:r>
      <w:r w:rsidR="00237E56">
        <w:t>et al</w:t>
      </w:r>
      <w:r w:rsidR="001F1F49">
        <w:t xml:space="preserve">l the goals </w:t>
      </w:r>
      <w:r w:rsidR="006E4259">
        <w:t>defined</w:t>
      </w:r>
      <w:r w:rsidR="001F1F49">
        <w:t xml:space="preserve"> in </w:t>
      </w:r>
      <w:r w:rsidR="003627A8">
        <w:t>AB </w:t>
      </w:r>
      <w:r w:rsidR="001F1F49">
        <w:t>2316</w:t>
      </w:r>
      <w:r w:rsidR="005D30D7">
        <w:t xml:space="preserve">: </w:t>
      </w:r>
      <w:r w:rsidR="001F1F49">
        <w:t>(a</w:t>
      </w:r>
      <w:r w:rsidR="00210A6F">
        <w:t>) </w:t>
      </w:r>
      <w:r w:rsidR="001F1F49">
        <w:t>efficiently serves distinct customer groups; (b</w:t>
      </w:r>
      <w:r w:rsidR="00210A6F">
        <w:t>) </w:t>
      </w:r>
      <w:r w:rsidR="001F1F49">
        <w:t>minimizes duplicative offerings; and (c</w:t>
      </w:r>
      <w:r w:rsidR="00210A6F">
        <w:t>) </w:t>
      </w:r>
      <w:r w:rsidR="001F1F49">
        <w:t>promotes robust participation by low</w:t>
      </w:r>
      <w:r w:rsidR="003D6EF8">
        <w:noBreakHyphen/>
      </w:r>
      <w:r w:rsidR="001F1F49">
        <w:t>income customers. This is where consensus ends.</w:t>
      </w:r>
    </w:p>
    <w:p w:rsidR="000D66A3" w:rsidP="00877203" w:rsidRDefault="001405BD" w14:paraId="0BA0DF38" w14:textId="7B5697F3">
      <w:pPr>
        <w:pStyle w:val="Standard"/>
      </w:pPr>
      <w:r>
        <w:t xml:space="preserve">Below, this decision provides an overview of party recommendations for modifications to existing Green Access Program tariff options followed by </w:t>
      </w:r>
      <w:r w:rsidR="00715C73">
        <w:t xml:space="preserve">a </w:t>
      </w:r>
      <w:r>
        <w:t xml:space="preserve">proposal for </w:t>
      </w:r>
      <w:r w:rsidR="001C1878">
        <w:t xml:space="preserve">a </w:t>
      </w:r>
      <w:r w:rsidR="005E3925">
        <w:t xml:space="preserve">new </w:t>
      </w:r>
      <w:r w:rsidR="000267A7">
        <w:t>c</w:t>
      </w:r>
      <w:r>
        <w:t>ommunity renewable energy program</w:t>
      </w:r>
      <w:r w:rsidR="00715C73">
        <w:t xml:space="preserve"> (the NVBT proposal) as well as recommendations for modifications of the NVBT proposal</w:t>
      </w:r>
      <w:r>
        <w:t>.</w:t>
      </w:r>
      <w:r w:rsidR="009F5702">
        <w:t xml:space="preserve"> </w:t>
      </w:r>
      <w:r w:rsidR="00451B03">
        <w:t xml:space="preserve">Based </w:t>
      </w:r>
      <w:r w:rsidR="00BF2A06">
        <w:t xml:space="preserve">upon a review of the proposals, </w:t>
      </w:r>
      <w:r w:rsidR="007C005B">
        <w:t xml:space="preserve">the </w:t>
      </w:r>
      <w:r w:rsidR="004D0E5A">
        <w:t>Commission concludes</w:t>
      </w:r>
      <w:r w:rsidR="00A73EC3">
        <w:t xml:space="preserve"> that </w:t>
      </w:r>
      <w:r w:rsidR="00245140">
        <w:t xml:space="preserve">the </w:t>
      </w:r>
      <w:r w:rsidR="00684B45">
        <w:t xml:space="preserve">NVBT </w:t>
      </w:r>
      <w:r w:rsidR="00245140">
        <w:t>proposal do</w:t>
      </w:r>
      <w:r w:rsidR="00715C73">
        <w:t>es</w:t>
      </w:r>
      <w:r w:rsidR="00245140">
        <w:t xml:space="preserve"> not meet the requirements of </w:t>
      </w:r>
      <w:r w:rsidR="003627A8">
        <w:t>AB </w:t>
      </w:r>
      <w:r w:rsidR="00245140">
        <w:t>2316</w:t>
      </w:r>
      <w:r w:rsidR="00E37872">
        <w:t xml:space="preserve"> and </w:t>
      </w:r>
      <w:r w:rsidR="00440785">
        <w:t>Pub. Util.</w:t>
      </w:r>
      <w:r w:rsidR="00E37872">
        <w:t xml:space="preserve"> Code </w:t>
      </w:r>
      <w:r w:rsidR="003627A8">
        <w:t>Section </w:t>
      </w:r>
      <w:r w:rsidR="00E37872">
        <w:t>769</w:t>
      </w:r>
      <w:r w:rsidR="008F4677">
        <w:t>.3</w:t>
      </w:r>
      <w:r w:rsidR="00245140">
        <w:t>.</w:t>
      </w:r>
      <w:r w:rsidR="00351A54">
        <w:rPr>
          <w:rStyle w:val="FootnoteReference"/>
        </w:rPr>
        <w:footnoteReference w:id="140"/>
      </w:r>
      <w:r w:rsidR="00FB1C72">
        <w:t xml:space="preserve"> </w:t>
      </w:r>
      <w:r w:rsidR="009F0108">
        <w:t>Despite this conclusion and the conclusion that</w:t>
      </w:r>
      <w:r w:rsidR="00245140">
        <w:t xml:space="preserve"> the legislation does not require the Commission to establish a community renewable energy program, as defined in </w:t>
      </w:r>
      <w:r w:rsidR="00440785">
        <w:t>Pub. Util.</w:t>
      </w:r>
      <w:r w:rsidR="00245140">
        <w:t xml:space="preserve"> Code </w:t>
      </w:r>
      <w:r w:rsidR="003627A8">
        <w:t>Section </w:t>
      </w:r>
      <w:r w:rsidR="00245140">
        <w:t xml:space="preserve">769.3, the Commission finds it is beneficial </w:t>
      </w:r>
      <w:r w:rsidR="00076A36">
        <w:t xml:space="preserve">to adopt </w:t>
      </w:r>
      <w:r w:rsidR="00CA35FE">
        <w:t xml:space="preserve">a </w:t>
      </w:r>
      <w:r w:rsidR="00EA0F5E">
        <w:t>community renewable energy program based o</w:t>
      </w:r>
      <w:r w:rsidR="00001017">
        <w:t xml:space="preserve">n </w:t>
      </w:r>
      <w:r w:rsidR="00EA0F5E">
        <w:t>elements proposed by parties</w:t>
      </w:r>
      <w:r w:rsidR="00CD4237">
        <w:t xml:space="preserve"> but that </w:t>
      </w:r>
      <w:r w:rsidR="00351A54">
        <w:t>avoids shifting costs to non-participating ratepayers</w:t>
      </w:r>
      <w:r w:rsidR="00245140">
        <w:t>.</w:t>
      </w:r>
      <w:r w:rsidR="00C12F46">
        <w:t xml:space="preserve"> </w:t>
      </w:r>
      <w:r w:rsidR="00076A36">
        <w:t>The</w:t>
      </w:r>
      <w:r w:rsidR="00C12F46">
        <w:t xml:space="preserve"> Commission </w:t>
      </w:r>
      <w:r w:rsidR="00C12F46">
        <w:lastRenderedPageBreak/>
        <w:t xml:space="preserve">finds it </w:t>
      </w:r>
      <w:r w:rsidR="00076A36">
        <w:t xml:space="preserve">is also </w:t>
      </w:r>
      <w:r w:rsidR="00C12F46">
        <w:t xml:space="preserve">beneficial to ratepayers to modify </w:t>
      </w:r>
      <w:r w:rsidR="00BD1731">
        <w:t xml:space="preserve">certain </w:t>
      </w:r>
      <w:r w:rsidR="00C12F46">
        <w:t>existing Green Access Program tariff options.</w:t>
      </w:r>
    </w:p>
    <w:p w:rsidR="001405BD" w:rsidP="00877203" w:rsidRDefault="00C12F46" w14:paraId="572D60CB" w14:textId="0566495D">
      <w:pPr>
        <w:pStyle w:val="Standard"/>
      </w:pPr>
      <w:r>
        <w:t xml:space="preserve">In </w:t>
      </w:r>
      <w:r w:rsidR="003627A8">
        <w:t>Section </w:t>
      </w:r>
      <w:r>
        <w:t>3.4.</w:t>
      </w:r>
      <w:r w:rsidR="00A13868">
        <w:t>7</w:t>
      </w:r>
      <w:r w:rsidR="00CC1F74">
        <w:t>,</w:t>
      </w:r>
      <w:r>
        <w:t xml:space="preserve"> this decision provides the necessary steps to implement the </w:t>
      </w:r>
      <w:r w:rsidR="006E4259">
        <w:t>modified Green Access Program tariffs</w:t>
      </w:r>
      <w:r>
        <w:t xml:space="preserve"> and the </w:t>
      </w:r>
      <w:r w:rsidR="00EA0F5E">
        <w:t>next steps for implementation of the community renewable energy program</w:t>
      </w:r>
      <w:r>
        <w:t>.</w:t>
      </w:r>
    </w:p>
    <w:p w:rsidR="00621458" w:rsidP="001B1E90" w:rsidRDefault="00621458" w14:paraId="68281EF2" w14:textId="3201391E">
      <w:pPr>
        <w:pStyle w:val="Heading3"/>
      </w:pPr>
      <w:bookmarkStart w:name="_Toc159551177" w:id="128"/>
      <w:bookmarkStart w:name="_Toc168559297" w:id="129"/>
      <w:bookmarkStart w:name="_Hlk144302073" w:id="130"/>
      <w:bookmarkStart w:name="_Hlk144290874" w:id="131"/>
      <w:r>
        <w:t>Party Recommendations to</w:t>
      </w:r>
      <w:r w:rsidR="00D62231">
        <w:br/>
      </w:r>
      <w:r>
        <w:t xml:space="preserve">Modify </w:t>
      </w:r>
      <w:r w:rsidR="00F90080">
        <w:t>Existing</w:t>
      </w:r>
      <w:r>
        <w:t xml:space="preserve"> Green Access</w:t>
      </w:r>
      <w:r w:rsidR="00D62231">
        <w:br/>
      </w:r>
      <w:r>
        <w:t xml:space="preserve">Program </w:t>
      </w:r>
      <w:r w:rsidR="00921A75">
        <w:t xml:space="preserve">Tariff </w:t>
      </w:r>
      <w:r>
        <w:t>Options</w:t>
      </w:r>
      <w:bookmarkEnd w:id="128"/>
      <w:bookmarkEnd w:id="129"/>
    </w:p>
    <w:p w:rsidR="00621458" w:rsidP="00877203" w:rsidRDefault="00C36EC3" w14:paraId="663821B9" w14:textId="062AF12A">
      <w:pPr>
        <w:pStyle w:val="Standard"/>
      </w:pPr>
      <w:bookmarkStart w:name="_Hlk145670528" w:id="132"/>
      <w:r>
        <w:t xml:space="preserve">Parties provide differing opinions on whether to modify </w:t>
      </w:r>
      <w:r w:rsidR="00F90080">
        <w:t>existing</w:t>
      </w:r>
      <w:r>
        <w:t xml:space="preserve"> Green Access Program options but</w:t>
      </w:r>
      <w:r w:rsidR="002733C5">
        <w:t xml:space="preserve">, as described above, </w:t>
      </w:r>
      <w:r>
        <w:t xml:space="preserve">agree </w:t>
      </w:r>
      <w:r w:rsidR="002733C5">
        <w:t xml:space="preserve">to </w:t>
      </w:r>
      <w:r w:rsidR="003D37F3">
        <w:t>differing</w:t>
      </w:r>
      <w:r w:rsidR="002733C5">
        <w:t xml:space="preserve"> degrees </w:t>
      </w:r>
      <w:r>
        <w:t xml:space="preserve">that the </w:t>
      </w:r>
      <w:r w:rsidR="00F90080">
        <w:t>existing</w:t>
      </w:r>
      <w:r>
        <w:t xml:space="preserve"> options do not me</w:t>
      </w:r>
      <w:r w:rsidR="00237E56">
        <w:t>et al</w:t>
      </w:r>
      <w:r w:rsidR="006A20EE">
        <w:t>l</w:t>
      </w:r>
      <w:r w:rsidR="002733C5">
        <w:t xml:space="preserve"> </w:t>
      </w:r>
      <w:r w:rsidR="006A20EE">
        <w:t xml:space="preserve">the </w:t>
      </w:r>
      <w:r w:rsidR="002733C5">
        <w:t xml:space="preserve">goals described in </w:t>
      </w:r>
      <w:r w:rsidR="003627A8">
        <w:t>AB </w:t>
      </w:r>
      <w:r w:rsidR="002733C5">
        <w:t>2316</w:t>
      </w:r>
      <w:r w:rsidR="005D30D7">
        <w:t xml:space="preserve">: </w:t>
      </w:r>
      <w:r w:rsidR="002733C5">
        <w:t>(a</w:t>
      </w:r>
      <w:r w:rsidR="001C1F4A">
        <w:t>) </w:t>
      </w:r>
      <w:r w:rsidR="002733C5">
        <w:t>efficiently serves distinct customer groups; (b</w:t>
      </w:r>
      <w:r w:rsidR="001C1F4A">
        <w:t>) </w:t>
      </w:r>
      <w:r w:rsidR="002733C5">
        <w:t>minimizes duplicative offerings; and (c</w:t>
      </w:r>
      <w:r w:rsidR="001C1F4A">
        <w:t>) </w:t>
      </w:r>
      <w:r w:rsidR="002733C5">
        <w:t>promotes robust participation by low</w:t>
      </w:r>
      <w:r w:rsidR="003D6EF8">
        <w:noBreakHyphen/>
      </w:r>
      <w:r w:rsidR="002733C5">
        <w:t>income customers. Below, this decision provides a</w:t>
      </w:r>
      <w:r w:rsidR="006969DA">
        <w:t xml:space="preserve"> brief</w:t>
      </w:r>
      <w:r w:rsidR="002733C5">
        <w:t xml:space="preserve"> overview of party recommendations to modify the </w:t>
      </w:r>
      <w:r w:rsidR="00F90080">
        <w:t>existing</w:t>
      </w:r>
      <w:r w:rsidR="002733C5">
        <w:t xml:space="preserve"> Green Access Program options.</w:t>
      </w:r>
      <w:r w:rsidR="006969DA">
        <w:t xml:space="preserve"> Further details are provided in the discussion of whether to adopt these proposals.</w:t>
      </w:r>
    </w:p>
    <w:p w:rsidR="005818CD" w:rsidP="00877203" w:rsidRDefault="00AD2411" w14:paraId="417AAA18" w14:textId="44102E54">
      <w:pPr>
        <w:pStyle w:val="Standard"/>
      </w:pPr>
      <w:r>
        <w:t xml:space="preserve">As described in </w:t>
      </w:r>
      <w:r w:rsidR="003627A8">
        <w:t>Section </w:t>
      </w:r>
      <w:r w:rsidR="006F2BFB">
        <w:t>3.3</w:t>
      </w:r>
      <w:r>
        <w:t xml:space="preserve"> above, </w:t>
      </w:r>
      <w:r w:rsidR="00FD6540">
        <w:t xml:space="preserve">a majority of the parties, including </w:t>
      </w:r>
      <w:r w:rsidR="00E37BCD">
        <w:t xml:space="preserve">CCSA, SEIA, </w:t>
      </w:r>
      <w:r w:rsidR="00184294">
        <w:t xml:space="preserve">TURN, </w:t>
      </w:r>
      <w:r w:rsidR="002917E2">
        <w:t>Cal Advoc</w:t>
      </w:r>
      <w:r w:rsidR="00FD6540">
        <w:t>ates</w:t>
      </w:r>
      <w:r w:rsidR="000603C3">
        <w:t>, SBUA,</w:t>
      </w:r>
      <w:r w:rsidR="00FD6540">
        <w:t xml:space="preserve"> </w:t>
      </w:r>
      <w:r w:rsidR="00E37BCD">
        <w:t xml:space="preserve">and Cypress Creek </w:t>
      </w:r>
      <w:r>
        <w:t xml:space="preserve">contend that the </w:t>
      </w:r>
      <w:r w:rsidR="00F90080">
        <w:t>existing</w:t>
      </w:r>
      <w:r>
        <w:t xml:space="preserve"> Green Access Program options fail </w:t>
      </w:r>
      <w:r w:rsidR="001D024F">
        <w:t xml:space="preserve">to meet </w:t>
      </w:r>
      <w:r>
        <w:t xml:space="preserve">the goals described in </w:t>
      </w:r>
      <w:r w:rsidR="003627A8">
        <w:t>AB </w:t>
      </w:r>
      <w:r>
        <w:t xml:space="preserve">2316 and assert the Commission should halt further </w:t>
      </w:r>
      <w:r w:rsidR="001C5886">
        <w:t xml:space="preserve">enrollment and instead replace the </w:t>
      </w:r>
      <w:r w:rsidR="00F90080">
        <w:t>existing</w:t>
      </w:r>
      <w:r w:rsidR="001C5886">
        <w:t xml:space="preserve"> options with a new </w:t>
      </w:r>
      <w:r w:rsidR="000204A6">
        <w:t>community renewable energy p</w:t>
      </w:r>
      <w:r w:rsidR="001C5886">
        <w:t xml:space="preserve">rogram, </w:t>
      </w:r>
      <w:r w:rsidR="00ED135C">
        <w:t>as</w:t>
      </w:r>
      <w:r w:rsidR="001C5886">
        <w:t xml:space="preserve"> described in </w:t>
      </w:r>
      <w:r w:rsidR="003627A8">
        <w:t>Section </w:t>
      </w:r>
      <w:r w:rsidR="008C1B9A">
        <w:t>3.4.2</w:t>
      </w:r>
      <w:r w:rsidR="001C5886">
        <w:t xml:space="preserve"> below. </w:t>
      </w:r>
      <w:r w:rsidR="000603C3">
        <w:t xml:space="preserve">SBUA also supports the creation of a successor program but one that encourages the participation of small businesses in disadvantaged communities and minimal program constraints </w:t>
      </w:r>
      <w:r w:rsidR="0075434B">
        <w:t xml:space="preserve">(e.g., minimum </w:t>
      </w:r>
      <w:r w:rsidR="0075434B">
        <w:lastRenderedPageBreak/>
        <w:t xml:space="preserve">size requirements) </w:t>
      </w:r>
      <w:r w:rsidR="000603C3">
        <w:t>to encourage sufficient power supply and reduce barriers to entry.</w:t>
      </w:r>
      <w:r w:rsidR="000603C3">
        <w:rPr>
          <w:rStyle w:val="FootnoteReference"/>
        </w:rPr>
        <w:footnoteReference w:id="141"/>
      </w:r>
      <w:r w:rsidR="000603C3">
        <w:t xml:space="preserve"> </w:t>
      </w:r>
    </w:p>
    <w:p w:rsidR="00B10882" w:rsidP="00877203" w:rsidRDefault="003B6839" w14:paraId="0BF9DD6E" w14:textId="139E7852">
      <w:pPr>
        <w:pStyle w:val="Standard"/>
      </w:pPr>
      <w:r>
        <w:t>On the other end of the spectrum</w:t>
      </w:r>
      <w:r w:rsidR="00E37BCD">
        <w:t xml:space="preserve">, </w:t>
      </w:r>
      <w:r w:rsidR="001C5886">
        <w:t xml:space="preserve">the </w:t>
      </w:r>
      <w:r w:rsidR="000341A3">
        <w:t>Joint CCA</w:t>
      </w:r>
      <w:r w:rsidR="00A35011">
        <w:t>s</w:t>
      </w:r>
      <w:r w:rsidR="001C5886">
        <w:t xml:space="preserve"> contend that the existing </w:t>
      </w:r>
      <w:r w:rsidR="00921A75">
        <w:t>tariffs</w:t>
      </w:r>
      <w:r w:rsidR="001C5886">
        <w:t xml:space="preserve"> meet the goals of </w:t>
      </w:r>
      <w:r w:rsidR="003627A8">
        <w:t>AB </w:t>
      </w:r>
      <w:r w:rsidR="001C5886">
        <w:t>2316 to varying degrees but require modification.</w:t>
      </w:r>
      <w:r w:rsidR="00F90080">
        <w:t xml:space="preserve"> </w:t>
      </w:r>
      <w:r w:rsidR="00921A75">
        <w:t xml:space="preserve">SDG&amp;E states that it supports the </w:t>
      </w:r>
      <w:r w:rsidR="000341A3">
        <w:t>Joint CCA</w:t>
      </w:r>
      <w:r w:rsidR="00A35011">
        <w:t>s</w:t>
      </w:r>
      <w:r w:rsidR="00921A75">
        <w:t xml:space="preserve"> but</w:t>
      </w:r>
      <w:r w:rsidR="00FD6540">
        <w:t xml:space="preserve">, </w:t>
      </w:r>
      <w:r w:rsidR="00921A75">
        <w:t xml:space="preserve">due to the hurdles </w:t>
      </w:r>
      <w:r w:rsidR="008C1B9A">
        <w:t>previously described</w:t>
      </w:r>
      <w:r w:rsidR="00921A75">
        <w:t xml:space="preserve">, requests </w:t>
      </w:r>
      <w:r w:rsidR="008C1B9A">
        <w:t xml:space="preserve">permission to </w:t>
      </w:r>
      <w:r w:rsidR="00C02916">
        <w:t xml:space="preserve">submit </w:t>
      </w:r>
      <w:r w:rsidR="008C1B9A">
        <w:t>advice letters terminating DAC</w:t>
      </w:r>
      <w:r w:rsidR="003D6EF8">
        <w:noBreakHyphen/>
      </w:r>
      <w:r w:rsidR="008C1B9A">
        <w:t xml:space="preserve">GT and GTSR tariffs in its service territory. </w:t>
      </w:r>
      <w:r w:rsidR="00F90080">
        <w:t xml:space="preserve">PG&amp;E and SCE recommend consolidation </w:t>
      </w:r>
      <w:r w:rsidR="00921A75">
        <w:t xml:space="preserve">and modification </w:t>
      </w:r>
      <w:r w:rsidR="00F90080">
        <w:t xml:space="preserve">of existing </w:t>
      </w:r>
      <w:r w:rsidR="00921A75">
        <w:t>tariffs</w:t>
      </w:r>
      <w:r w:rsidR="00F90080">
        <w:t xml:space="preserve"> in addition to a new </w:t>
      </w:r>
      <w:r w:rsidR="005E3925">
        <w:t>tariff</w:t>
      </w:r>
      <w:r w:rsidR="006D282A">
        <w:t xml:space="preserve">, which is </w:t>
      </w:r>
      <w:r w:rsidRPr="005E3925" w:rsidR="006D282A">
        <w:t xml:space="preserve">also described in </w:t>
      </w:r>
      <w:r w:rsidR="003627A8">
        <w:t>Section </w:t>
      </w:r>
      <w:r w:rsidRPr="005E3925" w:rsidR="006D282A">
        <w:t>3.4.2 below</w:t>
      </w:r>
      <w:r w:rsidRPr="005E3925" w:rsidR="00F90080">
        <w:t>.</w:t>
      </w:r>
      <w:r w:rsidRPr="005E3925" w:rsidR="006D282A">
        <w:t xml:space="preserve"> </w:t>
      </w:r>
      <w:r w:rsidRPr="005E3925" w:rsidR="00B10882">
        <w:t>As a threshold issue</w:t>
      </w:r>
      <w:r w:rsidR="003F318D">
        <w:t>,</w:t>
      </w:r>
      <w:r w:rsidRPr="005E3925" w:rsidR="00B10882">
        <w:t xml:space="preserve"> both </w:t>
      </w:r>
      <w:r w:rsidR="000341A3">
        <w:t>Joint CCA</w:t>
      </w:r>
      <w:r w:rsidR="00A35011">
        <w:t>s</w:t>
      </w:r>
      <w:r w:rsidRPr="005E3925" w:rsidR="00B10882">
        <w:t xml:space="preserve"> and SCE</w:t>
      </w:r>
      <w:r w:rsidR="00B10882">
        <w:t xml:space="preserve"> argue that statutory language does not require the Commission to treat modified existing Green Access Program tariff and new Green Access Program tariff options the same. This threshold issue is addressed </w:t>
      </w:r>
      <w:r w:rsidRPr="005E3925" w:rsidR="00B10882">
        <w:t xml:space="preserve">below in </w:t>
      </w:r>
      <w:r w:rsidR="003627A8">
        <w:t>Section </w:t>
      </w:r>
      <w:r w:rsidRPr="005E3925" w:rsidR="00B10882">
        <w:t>3.4.</w:t>
      </w:r>
      <w:r w:rsidRPr="005E3925" w:rsidR="005E3925">
        <w:t>5</w:t>
      </w:r>
      <w:r w:rsidRPr="005E3925" w:rsidR="00B10882">
        <w:t>.1.</w:t>
      </w:r>
    </w:p>
    <w:bookmarkEnd w:id="130"/>
    <w:p w:rsidR="001C5886" w:rsidP="00877203" w:rsidRDefault="000341A3" w14:paraId="463259CF" w14:textId="32F14C5D">
      <w:pPr>
        <w:pStyle w:val="Standard"/>
      </w:pPr>
      <w:r>
        <w:t>Joint CCA</w:t>
      </w:r>
      <w:r w:rsidR="00A35011">
        <w:t>s</w:t>
      </w:r>
      <w:r w:rsidR="001C5886">
        <w:t xml:space="preserve"> </w:t>
      </w:r>
      <w:r w:rsidR="001D024F">
        <w:t xml:space="preserve">recommend </w:t>
      </w:r>
      <w:r w:rsidR="006969DA">
        <w:t>maintaining the existing DAC</w:t>
      </w:r>
      <w:r w:rsidR="003D6EF8">
        <w:noBreakHyphen/>
      </w:r>
      <w:r w:rsidR="006969DA">
        <w:t xml:space="preserve">GT and CSGT </w:t>
      </w:r>
      <w:r w:rsidR="00921A75">
        <w:t>tariffs</w:t>
      </w:r>
      <w:r w:rsidR="006969DA">
        <w:t xml:space="preserve"> with </w:t>
      </w:r>
      <w:r w:rsidR="001D024F">
        <w:t>the following modifications</w:t>
      </w:r>
      <w:r w:rsidR="005D30D7">
        <w:t xml:space="preserve">: </w:t>
      </w:r>
      <w:r w:rsidR="00B049C4">
        <w:t>(a</w:t>
      </w:r>
      <w:r w:rsidR="00394BE3">
        <w:t>) </w:t>
      </w:r>
      <w:r w:rsidR="001D024F">
        <w:t xml:space="preserve">increase the </w:t>
      </w:r>
      <w:r w:rsidR="006969DA">
        <w:t>DAC</w:t>
      </w:r>
      <w:r w:rsidR="003D6EF8">
        <w:noBreakHyphen/>
      </w:r>
      <w:r w:rsidR="006969DA">
        <w:t xml:space="preserve">GT </w:t>
      </w:r>
      <w:r w:rsidR="001D024F">
        <w:t xml:space="preserve">capacity </w:t>
      </w:r>
      <w:bookmarkEnd w:id="131"/>
      <w:r w:rsidR="001D024F">
        <w:t xml:space="preserve">cap for administrators who have met </w:t>
      </w:r>
      <w:r w:rsidR="007C005B">
        <w:t xml:space="preserve">or </w:t>
      </w:r>
      <w:r w:rsidR="001D024F">
        <w:t>are near the capacity cap;</w:t>
      </w:r>
      <w:r w:rsidR="001D024F">
        <w:rPr>
          <w:rStyle w:val="FootnoteReference"/>
        </w:rPr>
        <w:footnoteReference w:id="142"/>
      </w:r>
      <w:r w:rsidR="001D024F">
        <w:t xml:space="preserve"> </w:t>
      </w:r>
      <w:r w:rsidR="00B049C4">
        <w:t>(b</w:t>
      </w:r>
      <w:r w:rsidR="00394BE3">
        <w:t>) </w:t>
      </w:r>
      <w:r w:rsidR="001D024F">
        <w:t xml:space="preserve">adopt a process to allocate additional program capacity </w:t>
      </w:r>
      <w:r w:rsidR="006969DA">
        <w:t>for DAC</w:t>
      </w:r>
      <w:r w:rsidR="003D6EF8">
        <w:noBreakHyphen/>
      </w:r>
      <w:r w:rsidR="006969DA">
        <w:t xml:space="preserve">GT and CSGT </w:t>
      </w:r>
      <w:r w:rsidR="001D024F">
        <w:t>upon CCA expansion;</w:t>
      </w:r>
      <w:r w:rsidR="000E5621">
        <w:rPr>
          <w:rStyle w:val="FootnoteReference"/>
        </w:rPr>
        <w:footnoteReference w:id="143"/>
      </w:r>
      <w:r w:rsidR="001D024F">
        <w:t xml:space="preserve"> </w:t>
      </w:r>
      <w:r w:rsidR="00B049C4">
        <w:t>(c</w:t>
      </w:r>
      <w:r w:rsidR="00394BE3">
        <w:t>) </w:t>
      </w:r>
      <w:r w:rsidR="000E5621">
        <w:t xml:space="preserve">adopt a process to transfer unused </w:t>
      </w:r>
      <w:r w:rsidR="006969DA">
        <w:t>DAC</w:t>
      </w:r>
      <w:r w:rsidR="003D6EF8">
        <w:noBreakHyphen/>
      </w:r>
      <w:r w:rsidR="006969DA">
        <w:t xml:space="preserve">GT and CSGT </w:t>
      </w:r>
      <w:r w:rsidR="000E5621">
        <w:t>program capacity between administrators;</w:t>
      </w:r>
      <w:r w:rsidR="000E5621">
        <w:rPr>
          <w:rStyle w:val="FootnoteReference"/>
        </w:rPr>
        <w:footnoteReference w:id="144"/>
      </w:r>
      <w:r w:rsidR="000E5621">
        <w:t xml:space="preserve"> </w:t>
      </w:r>
      <w:r w:rsidR="00B049C4">
        <w:t>(d</w:t>
      </w:r>
      <w:r w:rsidR="00394BE3">
        <w:t>) </w:t>
      </w:r>
      <w:r w:rsidR="000E5621">
        <w:t xml:space="preserve">allow </w:t>
      </w:r>
      <w:r w:rsidR="006969DA">
        <w:t xml:space="preserve">CSGT </w:t>
      </w:r>
      <w:r w:rsidR="000E5621">
        <w:t>projects to be located within 10 miles from a benefiting customer</w:t>
      </w:r>
      <w:r w:rsidR="00440785">
        <w:t>’</w:t>
      </w:r>
      <w:r w:rsidR="000E5621">
        <w:t>s disadvantaged community;</w:t>
      </w:r>
      <w:r w:rsidR="000E5621">
        <w:rPr>
          <w:rStyle w:val="FootnoteReference"/>
        </w:rPr>
        <w:footnoteReference w:id="145"/>
      </w:r>
      <w:r w:rsidR="000E5621">
        <w:t xml:space="preserve"> </w:t>
      </w:r>
      <w:r w:rsidR="00B049C4">
        <w:t>(e</w:t>
      </w:r>
      <w:r w:rsidR="00394BE3">
        <w:t>) </w:t>
      </w:r>
      <w:r w:rsidR="00720D4E">
        <w:t xml:space="preserve">expand </w:t>
      </w:r>
      <w:r w:rsidR="006969DA">
        <w:t>DAC</w:t>
      </w:r>
      <w:r w:rsidR="003D6EF8">
        <w:noBreakHyphen/>
      </w:r>
      <w:r w:rsidR="006969DA">
        <w:t xml:space="preserve">GT and CSGT </w:t>
      </w:r>
      <w:r w:rsidR="00720D4E">
        <w:t xml:space="preserve">project siting limitations from those located within a DAC </w:t>
      </w:r>
      <w:r w:rsidR="00720D4E">
        <w:lastRenderedPageBreak/>
        <w:t>census tract to those located in a census tract within five miles of a DAC;</w:t>
      </w:r>
      <w:r w:rsidR="00720D4E">
        <w:rPr>
          <w:rStyle w:val="FootnoteReference"/>
        </w:rPr>
        <w:footnoteReference w:id="146"/>
      </w:r>
      <w:r w:rsidR="00720D4E">
        <w:t xml:space="preserve"> </w:t>
      </w:r>
      <w:r w:rsidR="00B049C4">
        <w:t>(f</w:t>
      </w:r>
      <w:r w:rsidR="00394BE3">
        <w:t>) </w:t>
      </w:r>
      <w:r w:rsidR="00720D4E">
        <w:t xml:space="preserve">expand DAC census tract eligibility criteria for </w:t>
      </w:r>
      <w:r w:rsidR="006969DA">
        <w:t>DAC</w:t>
      </w:r>
      <w:r w:rsidR="003D6EF8">
        <w:noBreakHyphen/>
      </w:r>
      <w:r w:rsidR="006969DA">
        <w:t xml:space="preserve">GT and CSGT </w:t>
      </w:r>
      <w:r w:rsidR="00720D4E">
        <w:t>projects in SDG&amp;E</w:t>
      </w:r>
      <w:r w:rsidR="00440785">
        <w:t>’</w:t>
      </w:r>
      <w:r w:rsidR="007C005B">
        <w:t>s</w:t>
      </w:r>
      <w:r w:rsidR="00720D4E">
        <w:t xml:space="preserve"> territory;</w:t>
      </w:r>
      <w:r w:rsidR="00720D4E">
        <w:rPr>
          <w:rStyle w:val="FootnoteReference"/>
        </w:rPr>
        <w:footnoteReference w:id="147"/>
      </w:r>
      <w:r w:rsidR="00720D4E">
        <w:t xml:space="preserve"> </w:t>
      </w:r>
      <w:r w:rsidR="00B049C4">
        <w:t>(g</w:t>
      </w:r>
      <w:r w:rsidR="00394BE3">
        <w:t>) </w:t>
      </w:r>
      <w:r w:rsidR="00720D4E">
        <w:t xml:space="preserve">clarify the </w:t>
      </w:r>
      <w:r w:rsidR="006969DA">
        <w:t>DAC</w:t>
      </w:r>
      <w:r w:rsidR="003D6EF8">
        <w:noBreakHyphen/>
      </w:r>
      <w:r w:rsidR="006969DA">
        <w:t xml:space="preserve">GT and CSGT project </w:t>
      </w:r>
      <w:r w:rsidR="00720D4E">
        <w:t xml:space="preserve">rules </w:t>
      </w:r>
      <w:r w:rsidR="006969DA">
        <w:t xml:space="preserve">regarding </w:t>
      </w:r>
      <w:r w:rsidR="00B049C4">
        <w:t>solar resources paired with storage;</w:t>
      </w:r>
      <w:r w:rsidR="00B049C4">
        <w:rPr>
          <w:rStyle w:val="FootnoteReference"/>
        </w:rPr>
        <w:footnoteReference w:id="148"/>
      </w:r>
      <w:r w:rsidR="00B049C4">
        <w:t xml:space="preserve"> (h</w:t>
      </w:r>
      <w:r w:rsidR="00394BE3">
        <w:t>) </w:t>
      </w:r>
      <w:r w:rsidR="00B049C4">
        <w:t xml:space="preserve">delay the </w:t>
      </w:r>
      <w:r w:rsidR="00814137">
        <w:t xml:space="preserve">required </w:t>
      </w:r>
      <w:r w:rsidR="00B049C4">
        <w:t xml:space="preserve">filing of the annual </w:t>
      </w:r>
      <w:r w:rsidR="006969DA">
        <w:t>DAC</w:t>
      </w:r>
      <w:r w:rsidR="003D6EF8">
        <w:noBreakHyphen/>
      </w:r>
      <w:r w:rsidR="006969DA">
        <w:t xml:space="preserve">GT and CSGT </w:t>
      </w:r>
      <w:r w:rsidR="00B049C4">
        <w:t xml:space="preserve">program budget advice letter to </w:t>
      </w:r>
      <w:r w:rsidR="0013526D">
        <w:t>April </w:t>
      </w:r>
      <w:r w:rsidR="00B049C4">
        <w:t>1;</w:t>
      </w:r>
      <w:r w:rsidR="00B049C4">
        <w:rPr>
          <w:rStyle w:val="FootnoteReference"/>
        </w:rPr>
        <w:footnoteReference w:id="149"/>
      </w:r>
      <w:r w:rsidR="00814137">
        <w:t xml:space="preserve"> (i</w:t>
      </w:r>
      <w:r w:rsidR="00394BE3">
        <w:t>) </w:t>
      </w:r>
      <w:r w:rsidR="00814137">
        <w:t xml:space="preserve">require cooperation of PG&amp;E toward development of automated billing solution for CCA </w:t>
      </w:r>
      <w:r w:rsidR="00E37BCD">
        <w:t>DAC</w:t>
      </w:r>
      <w:r w:rsidR="003D6EF8">
        <w:noBreakHyphen/>
      </w:r>
      <w:r w:rsidR="00E37BCD">
        <w:t xml:space="preserve">GT and CSGT </w:t>
      </w:r>
      <w:r w:rsidR="00814137">
        <w:t>program participants;</w:t>
      </w:r>
      <w:r w:rsidR="00814137">
        <w:rPr>
          <w:rStyle w:val="FootnoteReference"/>
        </w:rPr>
        <w:footnoteReference w:id="150"/>
      </w:r>
      <w:r w:rsidR="00814137">
        <w:t xml:space="preserve"> </w:t>
      </w:r>
      <w:r w:rsidR="005E1169">
        <w:t xml:space="preserve">and </w:t>
      </w:r>
      <w:r w:rsidR="00814137">
        <w:t>(j</w:t>
      </w:r>
      <w:r w:rsidR="00394BE3">
        <w:t>) </w:t>
      </w:r>
      <w:r w:rsidR="00814137">
        <w:t>eliminate Green</w:t>
      </w:r>
      <w:r w:rsidR="003D6EF8">
        <w:noBreakHyphen/>
      </w:r>
      <w:r w:rsidR="00814137">
        <w:t>e certification requirement</w:t>
      </w:r>
      <w:r w:rsidR="00E37BCD">
        <w:t xml:space="preserve"> for DAC</w:t>
      </w:r>
      <w:r w:rsidR="003D6EF8">
        <w:noBreakHyphen/>
      </w:r>
      <w:r w:rsidR="00E37BCD">
        <w:t>GT and CSGT programs</w:t>
      </w:r>
      <w:r w:rsidR="005E1169">
        <w:t>.</w:t>
      </w:r>
      <w:r w:rsidR="00814137">
        <w:rPr>
          <w:rStyle w:val="FootnoteReference"/>
        </w:rPr>
        <w:footnoteReference w:id="151"/>
      </w:r>
    </w:p>
    <w:p w:rsidR="006969DA" w:rsidP="00877203" w:rsidRDefault="00E37BCD" w14:paraId="7CC8CB4F" w14:textId="3BCE1978">
      <w:pPr>
        <w:pStyle w:val="Standard"/>
      </w:pPr>
      <w:r>
        <w:t>PG&amp;E recommends consolidating DAC</w:t>
      </w:r>
      <w:r w:rsidR="003D6EF8">
        <w:noBreakHyphen/>
      </w:r>
      <w:r w:rsidR="00D00385">
        <w:t>GT and CSGT as one large DAC</w:t>
      </w:r>
      <w:r w:rsidR="003D6EF8">
        <w:noBreakHyphen/>
      </w:r>
      <w:r w:rsidR="00D00385">
        <w:t>GT program with a storage option</w:t>
      </w:r>
      <w:r w:rsidR="000011A6">
        <w:t xml:space="preserve">, </w:t>
      </w:r>
      <w:r w:rsidR="00D00385">
        <w:t>maintaining the DAC</w:t>
      </w:r>
      <w:r w:rsidR="003D6EF8">
        <w:noBreakHyphen/>
      </w:r>
      <w:r w:rsidR="00D00385">
        <w:t xml:space="preserve">GT eligibility rules </w:t>
      </w:r>
      <w:r w:rsidR="000011A6">
        <w:t xml:space="preserve">but </w:t>
      </w:r>
      <w:r w:rsidR="00D00385">
        <w:t>adding optional auto</w:t>
      </w:r>
      <w:r w:rsidR="003D6EF8">
        <w:noBreakHyphen/>
      </w:r>
      <w:r w:rsidR="00D00385">
        <w:t>enrollment.</w:t>
      </w:r>
      <w:r w:rsidR="00D00385">
        <w:rPr>
          <w:rStyle w:val="FootnoteReference"/>
        </w:rPr>
        <w:footnoteReference w:id="152"/>
      </w:r>
      <w:r w:rsidR="00D00385">
        <w:t xml:space="preserve"> PG&amp;E recommends continued use of the CalEnviroScreen to determine DAC eligibility with the addition of an advice letter process to remove DACs no longer in the top quartile.</w:t>
      </w:r>
      <w:r w:rsidR="00D00385">
        <w:rPr>
          <w:rStyle w:val="FootnoteReference"/>
        </w:rPr>
        <w:footnoteReference w:id="153"/>
      </w:r>
      <w:r w:rsidR="00D00385">
        <w:t xml:space="preserve"> PG&amp;E proposes a top</w:t>
      </w:r>
      <w:r w:rsidR="003D6EF8">
        <w:noBreakHyphen/>
      </w:r>
      <w:r w:rsidR="00D00385">
        <w:t>off methodology approach where program dedicated resources would deliver an incremental percentage of renewable energy to customers to enable participants to be served using 100</w:t>
      </w:r>
      <w:r w:rsidR="006473B0">
        <w:t> percent</w:t>
      </w:r>
      <w:r w:rsidR="00D00385">
        <w:t xml:space="preserve"> renewable energy</w:t>
      </w:r>
      <w:r w:rsidR="00775D5D">
        <w:t xml:space="preserve">, including </w:t>
      </w:r>
      <w:r w:rsidR="00775D5D">
        <w:lastRenderedPageBreak/>
        <w:t>energy received through PG&amp;E</w:t>
      </w:r>
      <w:r w:rsidR="00440785">
        <w:t>’</w:t>
      </w:r>
      <w:r w:rsidR="00775D5D">
        <w:t>s RPS portfolio.</w:t>
      </w:r>
      <w:r w:rsidR="00775D5D">
        <w:rPr>
          <w:rStyle w:val="FootnoteReference"/>
        </w:rPr>
        <w:footnoteReference w:id="154"/>
      </w:r>
      <w:r w:rsidR="00775D5D">
        <w:t xml:space="preserve"> Like the </w:t>
      </w:r>
      <w:r w:rsidR="000341A3">
        <w:t>Joint CCA</w:t>
      </w:r>
      <w:r w:rsidR="00A35011">
        <w:t>s</w:t>
      </w:r>
      <w:r w:rsidR="00775D5D">
        <w:t>, PG&amp;E recommends the Commission eliminate the Green</w:t>
      </w:r>
      <w:r w:rsidR="003D6EF8">
        <w:noBreakHyphen/>
      </w:r>
      <w:r w:rsidR="00775D5D">
        <w:t xml:space="preserve">e certification requirement but proposes </w:t>
      </w:r>
      <w:r w:rsidR="000011A6">
        <w:t xml:space="preserve">the Commission adopt </w:t>
      </w:r>
      <w:r w:rsidR="00775D5D">
        <w:t>an alternative form of program validation and tracking.</w:t>
      </w:r>
      <w:r w:rsidR="00775D5D">
        <w:rPr>
          <w:rStyle w:val="FootnoteReference"/>
        </w:rPr>
        <w:footnoteReference w:id="155"/>
      </w:r>
      <w:r w:rsidR="000011A6">
        <w:t xml:space="preserve"> Not providing a specific solution, PG&amp;E recommends the Commission explore alternate methods for providing programs benefits. Finally, PG&amp;E cautions the Commission to </w:t>
      </w:r>
      <w:r w:rsidR="001D54A0">
        <w:t xml:space="preserve">sunset the modified </w:t>
      </w:r>
      <w:r w:rsidR="00F90080">
        <w:t xml:space="preserve">program and </w:t>
      </w:r>
      <w:r w:rsidR="001D54A0">
        <w:t>base</w:t>
      </w:r>
      <w:r w:rsidR="00F90080">
        <w:t>s</w:t>
      </w:r>
      <w:r w:rsidR="001D54A0">
        <w:t xml:space="preserve"> </w:t>
      </w:r>
      <w:r w:rsidR="00F90080">
        <w:t xml:space="preserve">this recommendation </w:t>
      </w:r>
      <w:r w:rsidR="001D54A0">
        <w:t xml:space="preserve">on </w:t>
      </w:r>
      <w:r w:rsidR="00F90080">
        <w:t xml:space="preserve">the </w:t>
      </w:r>
      <w:r w:rsidR="001D54A0">
        <w:t xml:space="preserve">increasing procurement of clean energy resources over the next 10 to 15 years and </w:t>
      </w:r>
      <w:r w:rsidR="00F90080">
        <w:t xml:space="preserve">anticipated </w:t>
      </w:r>
      <w:r w:rsidR="001D54A0">
        <w:t xml:space="preserve">changes to the </w:t>
      </w:r>
      <w:r w:rsidRPr="00FD66C0" w:rsidR="00A57738">
        <w:t xml:space="preserve">Integrated Resource Plan </w:t>
      </w:r>
      <w:r w:rsidR="001D54A0">
        <w:t>procurement framework.</w:t>
      </w:r>
      <w:r w:rsidR="001D54A0">
        <w:rPr>
          <w:rStyle w:val="FootnoteReference"/>
        </w:rPr>
        <w:footnoteReference w:id="156"/>
      </w:r>
      <w:r w:rsidR="00B3556A">
        <w:t xml:space="preserve"> PG&amp;E also recommends a new tariff, which is described below.</w:t>
      </w:r>
    </w:p>
    <w:p w:rsidR="00351C16" w:rsidP="00877203" w:rsidRDefault="004D4374" w14:paraId="447A9AA7" w14:textId="6CBF7190">
      <w:pPr>
        <w:pStyle w:val="Standard"/>
      </w:pPr>
      <w:r>
        <w:t xml:space="preserve">SCE </w:t>
      </w:r>
      <w:r w:rsidR="006D282A">
        <w:t>proposes</w:t>
      </w:r>
      <w:r>
        <w:t xml:space="preserve"> modifications to the DAC</w:t>
      </w:r>
      <w:r w:rsidR="003D6EF8">
        <w:noBreakHyphen/>
      </w:r>
      <w:r>
        <w:t xml:space="preserve">GT </w:t>
      </w:r>
      <w:r w:rsidR="00974B7C">
        <w:t xml:space="preserve">and CSGT </w:t>
      </w:r>
      <w:r>
        <w:t>tariff</w:t>
      </w:r>
      <w:r w:rsidR="00974B7C">
        <w:t>s</w:t>
      </w:r>
      <w:r>
        <w:t>.</w:t>
      </w:r>
      <w:r w:rsidR="003D5222">
        <w:rPr>
          <w:rStyle w:val="FootnoteReference"/>
        </w:rPr>
        <w:footnoteReference w:id="157"/>
      </w:r>
      <w:r w:rsidR="00BE25EF">
        <w:t xml:space="preserve"> </w:t>
      </w:r>
      <w:r w:rsidR="00FD6540">
        <w:t>Focusing on</w:t>
      </w:r>
      <w:r w:rsidR="00974B7C">
        <w:t xml:space="preserve"> the DAC</w:t>
      </w:r>
      <w:r w:rsidR="003D6EF8">
        <w:noBreakHyphen/>
      </w:r>
      <w:r w:rsidR="00974B7C">
        <w:t xml:space="preserve">GT tariff, </w:t>
      </w:r>
      <w:r w:rsidR="00351C16">
        <w:t>SCE proposes to automatically enroll eligible low</w:t>
      </w:r>
      <w:r w:rsidR="003D6EF8">
        <w:noBreakHyphen/>
      </w:r>
      <w:r w:rsidR="00351C16">
        <w:t>income customers</w:t>
      </w:r>
      <w:r w:rsidR="00974B7C">
        <w:t xml:space="preserve">, </w:t>
      </w:r>
      <w:r w:rsidR="00351C16">
        <w:t>contend</w:t>
      </w:r>
      <w:r w:rsidR="00974B7C">
        <w:t xml:space="preserve">ing </w:t>
      </w:r>
      <w:r w:rsidR="00351C16">
        <w:t>this will increase participation while simultaneously targeting disadvantaged communities. To further drive robust low</w:t>
      </w:r>
      <w:r w:rsidR="003D6EF8">
        <w:noBreakHyphen/>
      </w:r>
      <w:r w:rsidR="00351C16">
        <w:t>income customer participation, SCE recommends modifying the current cost containment cap to reflect current market prices and developer costs.</w:t>
      </w:r>
      <w:r w:rsidR="005E3925">
        <w:t xml:space="preserve"> </w:t>
      </w:r>
      <w:r w:rsidR="00974B7C">
        <w:t xml:space="preserve">With respect to both </w:t>
      </w:r>
      <w:r w:rsidR="00351C16">
        <w:t>the DAC</w:t>
      </w:r>
      <w:r w:rsidR="003D6EF8">
        <w:noBreakHyphen/>
      </w:r>
      <w:r w:rsidR="00351C16">
        <w:t xml:space="preserve">GT and CSGT </w:t>
      </w:r>
      <w:r w:rsidR="00974B7C">
        <w:t xml:space="preserve">tariffs, SCE recommends expanding </w:t>
      </w:r>
      <w:r w:rsidR="00351C16">
        <w:t xml:space="preserve">project site requirements to allow developers to site projects within five miles of a census track </w:t>
      </w:r>
      <w:r w:rsidRPr="00025DA6" w:rsidR="00351C16">
        <w:t xml:space="preserve">eligible to be treated as </w:t>
      </w:r>
      <w:r w:rsidR="002441D9">
        <w:t>DAC</w:t>
      </w:r>
      <w:r w:rsidR="003D6EF8">
        <w:noBreakHyphen/>
      </w:r>
      <w:r w:rsidR="00B71A98">
        <w:t>eligible</w:t>
      </w:r>
      <w:r w:rsidR="00351C16">
        <w:t xml:space="preserve">. </w:t>
      </w:r>
      <w:r w:rsidR="00D01874">
        <w:t xml:space="preserve">For efficiency, SCE recommends leveraging the </w:t>
      </w:r>
      <w:r w:rsidRPr="00FD66C0" w:rsidR="00D01874">
        <w:t xml:space="preserve">California Distributed Generation Statistics </w:t>
      </w:r>
      <w:r w:rsidR="00D01874">
        <w:t>(</w:t>
      </w:r>
      <w:r w:rsidRPr="00FD66C0" w:rsidR="009D38FF">
        <w:rPr>
          <w:rFonts w:cs="TimesNewRomanPSMT"/>
          <w:szCs w:val="26"/>
        </w:rPr>
        <w:t>DGStats</w:t>
      </w:r>
      <w:r w:rsidR="00D01874">
        <w:t>) as a centralized database to store public program evaluation metrics for both tariffs, which SCE proposes will also replace the DAC</w:t>
      </w:r>
      <w:r w:rsidR="003D6EF8">
        <w:noBreakHyphen/>
      </w:r>
      <w:r w:rsidR="00D01874">
        <w:t xml:space="preserve">GT and CSGT </w:t>
      </w:r>
      <w:r w:rsidR="00D01874">
        <w:lastRenderedPageBreak/>
        <w:t>Quarterly Progress R</w:t>
      </w:r>
      <w:r w:rsidR="00B3556A">
        <w:t>e</w:t>
      </w:r>
      <w:r w:rsidR="00D01874">
        <w:t xml:space="preserve">ports. </w:t>
      </w:r>
      <w:r w:rsidR="003D5222">
        <w:t xml:space="preserve">In response to developer feedback, SCE recommends limiting the now biannual solicitations </w:t>
      </w:r>
      <w:r w:rsidR="00974B7C">
        <w:t>for both DAC</w:t>
      </w:r>
      <w:r w:rsidR="003D6EF8">
        <w:noBreakHyphen/>
      </w:r>
      <w:r w:rsidR="00974B7C">
        <w:t xml:space="preserve">GT and CSGT </w:t>
      </w:r>
      <w:r w:rsidR="003D5222">
        <w:t>to one annual solicitation in order to increase developer participation. SCE has reported in this proceeding that it has more customers eligible to participate in the DAC</w:t>
      </w:r>
      <w:r w:rsidR="003D6EF8">
        <w:noBreakHyphen/>
      </w:r>
      <w:r w:rsidR="003D5222">
        <w:t>GT tariff than allowed by available capacity.</w:t>
      </w:r>
      <w:r w:rsidR="003D5222">
        <w:rPr>
          <w:rStyle w:val="FootnoteReference"/>
        </w:rPr>
        <w:footnoteReference w:id="158"/>
      </w:r>
      <w:r w:rsidR="003D5222">
        <w:t xml:space="preserve"> </w:t>
      </w:r>
      <w:r w:rsidR="00974B7C">
        <w:t xml:space="preserve">Thus, </w:t>
      </w:r>
      <w:r w:rsidR="003D5222">
        <w:t xml:space="preserve">SCE proposes the Commission retain the </w:t>
      </w:r>
      <w:r w:rsidR="00974B7C">
        <w:t>DAC</w:t>
      </w:r>
      <w:r w:rsidR="003D6EF8">
        <w:noBreakHyphen/>
      </w:r>
      <w:r w:rsidR="00974B7C">
        <w:t xml:space="preserve">GT and the CSGT </w:t>
      </w:r>
      <w:r w:rsidR="003D5222">
        <w:t xml:space="preserve">existing capacity allocation for SCE as permitted by </w:t>
      </w:r>
      <w:r w:rsidR="00440785">
        <w:t>Resolution </w:t>
      </w:r>
      <w:r w:rsidR="003D5222">
        <w:t>E</w:t>
      </w:r>
      <w:r w:rsidR="003D6EF8">
        <w:noBreakHyphen/>
      </w:r>
      <w:r w:rsidR="003D5222">
        <w:t>4999</w:t>
      </w:r>
      <w:r w:rsidR="00974B7C">
        <w:t xml:space="preserve"> or reassignment of unused </w:t>
      </w:r>
      <w:r w:rsidR="00D01874">
        <w:t>capacity</w:t>
      </w:r>
      <w:r w:rsidR="003D5222">
        <w:t>.</w:t>
      </w:r>
      <w:r w:rsidR="00974B7C">
        <w:t xml:space="preserve"> </w:t>
      </w:r>
      <w:r w:rsidR="00921A75">
        <w:t>Further</w:t>
      </w:r>
      <w:r w:rsidR="00D01874">
        <w:t>, SCE asserts that there may come a time when SCE</w:t>
      </w:r>
      <w:r w:rsidR="00440785">
        <w:t>’</w:t>
      </w:r>
      <w:r w:rsidR="00D01874">
        <w:t>s capacity allocation is reduced such that it may be difficult to attract viable solicitation offers. SCE recommends the Commission adopt a de minimis policy whereby if the remaining capacity falls below 500</w:t>
      </w:r>
      <w:r w:rsidR="004336ED">
        <w:t> kW</w:t>
      </w:r>
      <w:r w:rsidR="00D01874">
        <w:t xml:space="preserve">, SCE is permitted to sunset the program with no further solicitations. SCE contends this ensures that solicitation costs do not unreasonably exceed the value of fulfilling the de minimis capacity. </w:t>
      </w:r>
      <w:r w:rsidR="00921A75">
        <w:t>Lastly, with respect solely to the GTSR</w:t>
      </w:r>
      <w:r w:rsidR="003D6EF8">
        <w:noBreakHyphen/>
      </w:r>
      <w:r w:rsidR="00921A75">
        <w:t xml:space="preserve">CR tariff, SCE recommends </w:t>
      </w:r>
      <w:r w:rsidR="00D9116F">
        <w:t xml:space="preserve">retaining the Community Renewables program and keeping it open for enrollment through at least 2025, at which point SCE proposes a comprehensive evaluation. SCE also recommends </w:t>
      </w:r>
      <w:r w:rsidR="00921A75">
        <w:t xml:space="preserve">removal of the community interest requirement of </w:t>
      </w:r>
      <w:r w:rsidR="004336ED">
        <w:t>one</w:t>
      </w:r>
      <w:r w:rsidR="003D6EF8">
        <w:noBreakHyphen/>
      </w:r>
      <w:r w:rsidR="004336ED">
        <w:t xml:space="preserve">sixth </w:t>
      </w:r>
      <w:r w:rsidR="00921A75">
        <w:t>residential load.</w:t>
      </w:r>
      <w:r w:rsidR="00B3556A">
        <w:t xml:space="preserve"> SCE also recommends a new tariff, which is described in the following section.</w:t>
      </w:r>
    </w:p>
    <w:p w:rsidR="008E4260" w:rsidP="001B1E90" w:rsidRDefault="004E597B" w14:paraId="290F4C87" w14:textId="20F3B104">
      <w:pPr>
        <w:pStyle w:val="Heading4"/>
      </w:pPr>
      <w:bookmarkStart w:name="_Toc159551178" w:id="133"/>
      <w:bookmarkStart w:name="_Toc168559298" w:id="134"/>
      <w:bookmarkEnd w:id="132"/>
      <w:r>
        <w:t>Southern California Edison Company</w:t>
      </w:r>
      <w:r w:rsidR="00440785">
        <w:t>’</w:t>
      </w:r>
      <w:r w:rsidR="008E4260">
        <w:t>s Proposed Green</w:t>
      </w:r>
      <w:r w:rsidR="00D62231">
        <w:br/>
      </w:r>
      <w:r w:rsidR="008E4260">
        <w:t>Share Program Tariff</w:t>
      </w:r>
      <w:bookmarkEnd w:id="133"/>
      <w:bookmarkEnd w:id="134"/>
    </w:p>
    <w:p w:rsidR="008E4260" w:rsidP="00877203" w:rsidRDefault="008E4260" w14:paraId="4AF7B2FB" w14:textId="171AA923">
      <w:pPr>
        <w:pStyle w:val="Standard"/>
      </w:pPr>
      <w:r>
        <w:t>SCE proposes a new tariff</w:t>
      </w:r>
      <w:r w:rsidR="00705A09">
        <w:t xml:space="preserve"> to replace the GTSR-G</w:t>
      </w:r>
      <w:r w:rsidR="005818CD">
        <w:t>T</w:t>
      </w:r>
      <w:r>
        <w:t>, the Green Share program, where bundled service customers are provided the option to purchase through their retail bill additional green power from RPS</w:t>
      </w:r>
      <w:r w:rsidR="003D6EF8">
        <w:noBreakHyphen/>
      </w:r>
      <w:r>
        <w:t xml:space="preserve">certified facilities that </w:t>
      </w:r>
      <w:r w:rsidR="007F6386">
        <w:lastRenderedPageBreak/>
        <w:t>currently exist</w:t>
      </w:r>
      <w:r w:rsidR="009F5702">
        <w:t xml:space="preserve"> </w:t>
      </w:r>
      <w:r>
        <w:t>in SCE</w:t>
      </w:r>
      <w:r w:rsidR="00440785">
        <w:t>’</w:t>
      </w:r>
      <w:r>
        <w:t>s renewable energy portfolio</w:t>
      </w:r>
      <w:r w:rsidR="007F6386">
        <w:t>, if available</w:t>
      </w:r>
      <w:r>
        <w:t>.</w:t>
      </w:r>
      <w:r>
        <w:rPr>
          <w:rStyle w:val="FootnoteReference"/>
        </w:rPr>
        <w:footnoteReference w:id="159"/>
      </w:r>
      <w:r>
        <w:t xml:space="preserve"> Eligible customers (see below) would enroll on a first</w:t>
      </w:r>
      <w:r w:rsidR="003D6EF8">
        <w:noBreakHyphen/>
      </w:r>
      <w:r>
        <w:t>come, first</w:t>
      </w:r>
      <w:r w:rsidR="003D6EF8">
        <w:noBreakHyphen/>
      </w:r>
      <w:r>
        <w:t xml:space="preserve">served basis during an annual enrollment window, anticipated </w:t>
      </w:r>
      <w:r w:rsidR="00977EB2">
        <w:t xml:space="preserve">to be </w:t>
      </w:r>
      <w:r>
        <w:t xml:space="preserve">approximately </w:t>
      </w:r>
      <w:r w:rsidR="0013526D">
        <w:t>October </w:t>
      </w:r>
      <w:r>
        <w:t xml:space="preserve">15 to </w:t>
      </w:r>
      <w:r w:rsidR="0013526D">
        <w:t>November </w:t>
      </w:r>
      <w:r>
        <w:t xml:space="preserve">15 each year. </w:t>
      </w:r>
      <w:r w:rsidR="00B717D3">
        <w:t>In addition to their otherwise applicable tariff, t</w:t>
      </w:r>
      <w:r>
        <w:t xml:space="preserve">hese customers would pay the cost of the green power at </w:t>
      </w:r>
      <w:r w:rsidR="00B717D3">
        <w:t>the Final RPS Market Price Benchmark, which replaces the current revenue-neutral, fluctuating rate design based on other rate components such as class average generation credits, a vintaged Power Cost Indifference Adjustment, a Resource Adequacy adjustment, and Renewable Energy Value adjustment</w:t>
      </w:r>
      <w:r>
        <w:t>.</w:t>
      </w:r>
      <w:r w:rsidR="00507449">
        <w:rPr>
          <w:rStyle w:val="FootnoteReference"/>
        </w:rPr>
        <w:footnoteReference w:id="160"/>
      </w:r>
      <w:r>
        <w:t xml:space="preserve"> The Green Share rate structure will have three components</w:t>
      </w:r>
      <w:r w:rsidR="005D30D7">
        <w:t xml:space="preserve">: </w:t>
      </w:r>
      <w:r>
        <w:t>delivery charges, bundled service generation charges, and the Green Share adder rate. SCE asserts that Green Share will leverage SCE</w:t>
      </w:r>
      <w:r w:rsidR="00440785">
        <w:t>’</w:t>
      </w:r>
      <w:r>
        <w:t>s existing authorized procurement processes by providing participants with the green power already in SCE</w:t>
      </w:r>
      <w:r w:rsidR="00440785">
        <w:t>’</w:t>
      </w:r>
      <w:r>
        <w:t>s renewable energy portfolio but not needed to meet the RPS compliance requirements.</w:t>
      </w:r>
    </w:p>
    <w:p w:rsidR="008E4260" w:rsidP="00877203" w:rsidRDefault="008E4260" w14:paraId="1B9A1C28" w14:textId="61B8F2B4">
      <w:pPr>
        <w:pStyle w:val="Standard"/>
      </w:pPr>
      <w:r>
        <w:t xml:space="preserve">SCE contends the proposed Green Share program is a substantial improvement over </w:t>
      </w:r>
      <w:r w:rsidR="00D9116F">
        <w:t>SCE</w:t>
      </w:r>
      <w:r w:rsidR="00440785">
        <w:t>’</w:t>
      </w:r>
      <w:r w:rsidR="00D9116F">
        <w:t xml:space="preserve">s </w:t>
      </w:r>
      <w:r>
        <w:t xml:space="preserve">existing </w:t>
      </w:r>
      <w:r w:rsidR="00D9116F">
        <w:t xml:space="preserve">Green Tariff program, the </w:t>
      </w:r>
      <w:r>
        <w:t>GTS</w:t>
      </w:r>
      <w:r w:rsidR="007F6386">
        <w:t>R</w:t>
      </w:r>
      <w:r w:rsidR="003D6EF8">
        <w:noBreakHyphen/>
      </w:r>
      <w:r>
        <w:t>GR</w:t>
      </w:r>
      <w:r w:rsidR="00D9116F">
        <w:t xml:space="preserve"> or GR,</w:t>
      </w:r>
      <w:r>
        <w:t xml:space="preserve"> because there </w:t>
      </w:r>
      <w:r w:rsidR="00D9116F">
        <w:t xml:space="preserve">would be </w:t>
      </w:r>
      <w:r>
        <w:t>no program</w:t>
      </w:r>
      <w:r w:rsidR="003D6EF8">
        <w:noBreakHyphen/>
      </w:r>
      <w:r>
        <w:t>dedicated procurement</w:t>
      </w:r>
      <w:r w:rsidR="008470E6">
        <w:t>;</w:t>
      </w:r>
      <w:r>
        <w:t xml:space="preserve"> </w:t>
      </w:r>
      <w:r w:rsidR="008470E6">
        <w:t xml:space="preserve">SCE claims </w:t>
      </w:r>
      <w:r>
        <w:t>Green Share power is incremental. SCE asserts that program dedicated procurement is not necessary because SCE is procuring thousands of megawatts of new capacity for midterm reliability needs, which are based on system reliability needs and not the need to service bundled customers</w:t>
      </w:r>
      <w:r w:rsidR="00440785">
        <w:t>’</w:t>
      </w:r>
      <w:r>
        <w:t xml:space="preserve"> RPS compliance.</w:t>
      </w:r>
      <w:r>
        <w:rPr>
          <w:rStyle w:val="FootnoteReference"/>
        </w:rPr>
        <w:footnoteReference w:id="161"/>
      </w:r>
      <w:r>
        <w:t xml:space="preserve"> SCE further asserts that the amount of incremental renewable resources procured through the midterm reliability solicitations far exceed the amounts SCE expects to need to </w:t>
      </w:r>
      <w:r>
        <w:lastRenderedPageBreak/>
        <w:t>serve Green Share.</w:t>
      </w:r>
      <w:r>
        <w:rPr>
          <w:rStyle w:val="FootnoteReference"/>
        </w:rPr>
        <w:footnoteReference w:id="162"/>
      </w:r>
      <w:r>
        <w:t xml:space="preserve"> If there is not </w:t>
      </w:r>
      <w:r w:rsidR="00440785">
        <w:t>“</w:t>
      </w:r>
      <w:r>
        <w:t>enough excess RPS green power to serve the Green Share customers</w:t>
      </w:r>
      <w:r w:rsidR="00440785">
        <w:t>”</w:t>
      </w:r>
      <w:r>
        <w:t xml:space="preserve"> SCE proposes to use </w:t>
      </w:r>
      <w:r w:rsidR="00440785">
        <w:t>“</w:t>
      </w:r>
      <w:r>
        <w:t>its banked Portfolio Content Category</w:t>
      </w:r>
      <w:r w:rsidR="003D6EF8">
        <w:noBreakHyphen/>
      </w:r>
      <w:r>
        <w:t>1 renewable energy credits to meet its own RPS compliance requirements and use its RPS portfolio for Green Share customers.</w:t>
      </w:r>
      <w:r w:rsidR="00440785">
        <w:t>”</w:t>
      </w:r>
      <w:r>
        <w:rPr>
          <w:rStyle w:val="FootnoteReference"/>
        </w:rPr>
        <w:footnoteReference w:id="163"/>
      </w:r>
      <w:r>
        <w:t xml:space="preserve"> SCE asserts that leveraging </w:t>
      </w:r>
      <w:r w:rsidR="00440785">
        <w:t>“</w:t>
      </w:r>
      <w:r>
        <w:t>excess green power</w:t>
      </w:r>
      <w:r w:rsidR="00440785">
        <w:t>”</w:t>
      </w:r>
      <w:r>
        <w:t xml:space="preserve"> allows the Green Share program to change with customer demand more efficiently than GTSR</w:t>
      </w:r>
      <w:r w:rsidR="003D6EF8">
        <w:noBreakHyphen/>
      </w:r>
      <w:r>
        <w:t>GR, which takes years to bring dedicated resources on</w:t>
      </w:r>
      <w:r w:rsidR="003D6EF8">
        <w:noBreakHyphen/>
      </w:r>
      <w:r>
        <w:t>line.</w:t>
      </w:r>
      <w:r>
        <w:rPr>
          <w:rStyle w:val="FootnoteReference"/>
        </w:rPr>
        <w:footnoteReference w:id="164"/>
      </w:r>
    </w:p>
    <w:p w:rsidR="008E4260" w:rsidP="00877203" w:rsidRDefault="008E4260" w14:paraId="0236DD43" w14:textId="1A11397E">
      <w:pPr>
        <w:pStyle w:val="Standard"/>
      </w:pPr>
      <w:r>
        <w:t xml:space="preserve">SCE contends that the Green Share tariff will provide stable, transparent market prices that maintain </w:t>
      </w:r>
      <w:r w:rsidR="008470E6">
        <w:t>non</w:t>
      </w:r>
      <w:r w:rsidR="003D6EF8">
        <w:noBreakHyphen/>
      </w:r>
      <w:r w:rsidR="008470E6">
        <w:t xml:space="preserve">participant cost </w:t>
      </w:r>
      <w:r>
        <w:t>indifference. SCE submits that the current GTSR</w:t>
      </w:r>
      <w:r w:rsidR="003D6EF8">
        <w:noBreakHyphen/>
      </w:r>
      <w:r>
        <w:t xml:space="preserve">GR participants are charged a rate that includes charges applicable to those </w:t>
      </w:r>
      <w:r w:rsidR="00FA0994">
        <w:t>CCA</w:t>
      </w:r>
      <w:r>
        <w:t xml:space="preserve"> or departing load customers to maintain indifference with non</w:t>
      </w:r>
      <w:r w:rsidR="003D6EF8">
        <w:noBreakHyphen/>
      </w:r>
      <w:r>
        <w:t xml:space="preserve">participating bundled service customers. The </w:t>
      </w:r>
      <w:r w:rsidRPr="00FD66C0" w:rsidR="00977EB2">
        <w:t>Power Charge Indifference Adjustment</w:t>
      </w:r>
      <w:r w:rsidDel="00977EB2" w:rsidR="00977EB2">
        <w:t xml:space="preserve"> </w:t>
      </w:r>
      <w:r>
        <w:t>is dependent on market values leading to price volatility in GTSR</w:t>
      </w:r>
      <w:r w:rsidR="003D6EF8">
        <w:noBreakHyphen/>
      </w:r>
      <w:r>
        <w:t>GR. By avoiding program dedicated procurement, this volatility is eliminated.</w:t>
      </w:r>
      <w:r>
        <w:rPr>
          <w:rStyle w:val="FootnoteReference"/>
        </w:rPr>
        <w:footnoteReference w:id="165"/>
      </w:r>
    </w:p>
    <w:p w:rsidR="008E4260" w:rsidP="00877203" w:rsidRDefault="008E4260" w14:paraId="0DD305B2" w14:textId="687DD521">
      <w:pPr>
        <w:pStyle w:val="Standard"/>
      </w:pPr>
      <w:r>
        <w:t>SCE proposes a two</w:t>
      </w:r>
      <w:r w:rsidR="003D6EF8">
        <w:noBreakHyphen/>
      </w:r>
      <w:r>
        <w:t>phase approa</w:t>
      </w:r>
      <w:r w:rsidR="00974D5D">
        <w:t xml:space="preserve">ch. </w:t>
      </w:r>
      <w:r>
        <w:t>In the first phase, SCE would enroll nongovernmental and nonresidential customers (with at least one customer service account of two to 50</w:t>
      </w:r>
      <w:r w:rsidR="00ED70F0">
        <w:t> MW</w:t>
      </w:r>
      <w:r>
        <w:t xml:space="preserve"> of peak load) beginning in the year 2024 and establish a capacity cap of 250</w:t>
      </w:r>
      <w:r w:rsidR="00ED70F0">
        <w:t> MW</w:t>
      </w:r>
      <w:r>
        <w:t>. In phase two, to be implemented in 2025, Green Share would be expanded to all other customers and SCE would increase the capacity cap to 400</w:t>
      </w:r>
      <w:r w:rsidR="00ED70F0">
        <w:t> MW</w:t>
      </w:r>
      <w:r>
        <w:t>. At that time, SCE proposes transfer</w:t>
      </w:r>
      <w:r w:rsidR="00977EB2">
        <w:t>ring</w:t>
      </w:r>
      <w:r>
        <w:t xml:space="preserve"> enrolled GTSR</w:t>
      </w:r>
      <w:r w:rsidR="003D6EF8">
        <w:noBreakHyphen/>
      </w:r>
      <w:r>
        <w:t xml:space="preserve">GT customers to the Green Share tariff and, by the end of 2025, to sunset </w:t>
      </w:r>
      <w:r>
        <w:lastRenderedPageBreak/>
        <w:t>the existing GTSR</w:t>
      </w:r>
      <w:r w:rsidR="003D6EF8">
        <w:noBreakHyphen/>
      </w:r>
      <w:r>
        <w:t>GR tariff. In phase two, renewable energy credits will be retired for the program as a whole for residential and small/medium nonresidential participating customers.</w:t>
      </w:r>
    </w:p>
    <w:p w:rsidR="008E4260" w:rsidP="00877203" w:rsidRDefault="008E4260" w14:paraId="738E3389" w14:textId="44B034D2">
      <w:pPr>
        <w:pStyle w:val="Standard"/>
      </w:pPr>
      <w:r>
        <w:t>SCE seeks authorization to incur up to $5.471</w:t>
      </w:r>
      <w:r w:rsidR="001E44CA">
        <w:t> million</w:t>
      </w:r>
      <w:r>
        <w:t xml:space="preserve"> in incremental implementation costs for both phases through 2028 and will seek recovery of ongoing program implementation costs in its general rate cases.</w:t>
      </w:r>
    </w:p>
    <w:p w:rsidR="00D9116F" w:rsidP="00877203" w:rsidRDefault="00D9116F" w14:paraId="47B6306F" w14:textId="57612BB4">
      <w:pPr>
        <w:pStyle w:val="Standard"/>
      </w:pPr>
      <w:r>
        <w:t>SCE proposes that GTSR</w:t>
      </w:r>
      <w:r w:rsidR="003D6EF8">
        <w:noBreakHyphen/>
      </w:r>
      <w:r>
        <w:t xml:space="preserve">CR be retained with modifications but evaluated again in 2025. SCE asserts that a new project waiting to come online should be considered in this evaluation to </w:t>
      </w:r>
      <w:r w:rsidR="0079290C">
        <w:t>ascertain</w:t>
      </w:r>
      <w:r>
        <w:t xml:space="preserve"> success of the GTSR</w:t>
      </w:r>
      <w:r w:rsidR="003D6EF8">
        <w:noBreakHyphen/>
      </w:r>
      <w:r>
        <w:t>CR program.</w:t>
      </w:r>
      <w:r>
        <w:rPr>
          <w:rStyle w:val="FootnoteReference"/>
        </w:rPr>
        <w:footnoteReference w:id="166"/>
      </w:r>
    </w:p>
    <w:p w:rsidR="008E4260" w:rsidP="001B1E90" w:rsidRDefault="004E597B" w14:paraId="56C045B3" w14:textId="711A036D">
      <w:pPr>
        <w:pStyle w:val="Heading4"/>
      </w:pPr>
      <w:bookmarkStart w:name="_Toc159551179" w:id="135"/>
      <w:bookmarkStart w:name="_Toc168559299" w:id="136"/>
      <w:r>
        <w:t>Pacific Gas and Electric Company</w:t>
      </w:r>
      <w:r w:rsidR="00440785">
        <w:t>’</w:t>
      </w:r>
      <w:r w:rsidR="008E4260">
        <w:t xml:space="preserve">s Proposed </w:t>
      </w:r>
      <w:r w:rsidR="000C2028">
        <w:t>Green Tariff Shared Renewables</w:t>
      </w:r>
      <w:r w:rsidR="008E4260">
        <w:t xml:space="preserve"> Successor Tariff</w:t>
      </w:r>
      <w:bookmarkEnd w:id="135"/>
      <w:bookmarkEnd w:id="136"/>
    </w:p>
    <w:p w:rsidR="008E4260" w:rsidP="00877203" w:rsidRDefault="008E4260" w14:paraId="293ECF67" w14:textId="52A0884C">
      <w:pPr>
        <w:pStyle w:val="Standard"/>
      </w:pPr>
      <w:r>
        <w:t xml:space="preserve">PG&amp;E proposes a GTSR successor tariff whereby customers remain on their otherwise applicable tariff and are </w:t>
      </w:r>
      <w:r w:rsidR="00440785">
        <w:t>“</w:t>
      </w:r>
      <w:r>
        <w:t>topped off</w:t>
      </w:r>
      <w:r w:rsidR="00440785">
        <w:t>”</w:t>
      </w:r>
      <w:r>
        <w:t xml:space="preserve"> to achieve 100</w:t>
      </w:r>
      <w:r w:rsidR="006473B0">
        <w:t> percent</w:t>
      </w:r>
      <w:r>
        <w:t xml:space="preserve"> clean energy.</w:t>
      </w:r>
      <w:r>
        <w:rPr>
          <w:rStyle w:val="FootnoteReference"/>
        </w:rPr>
        <w:footnoteReference w:id="167"/>
      </w:r>
      <w:r>
        <w:t xml:space="preserve"> PG&amp;E contends the successor tariff would enable customers to achieve 100</w:t>
      </w:r>
      <w:r w:rsidR="006473B0">
        <w:t> percent</w:t>
      </w:r>
      <w:r>
        <w:t xml:space="preserve"> renewable energy in a more efficient and less duplicative manner than current offerings while ensuring nonparticipants are not harmed by this tariff. PG&amp;E proposes an annual enrollment window with a one</w:t>
      </w:r>
      <w:r w:rsidR="003D6EF8">
        <w:noBreakHyphen/>
      </w:r>
      <w:r>
        <w:t xml:space="preserve">year commitment unless the customer departs to service provided by a </w:t>
      </w:r>
      <w:r w:rsidR="00FA0994">
        <w:t>CCA</w:t>
      </w:r>
      <w:r>
        <w:t>. Successor tariff customers would pay a predetermined fixed annual price for incremental clean energy, which, PG&amp;E states, is designed to ensure no program costs are shifted to nonparticipants.</w:t>
      </w:r>
    </w:p>
    <w:p w:rsidR="008E4260" w:rsidP="00877203" w:rsidRDefault="008E4260" w14:paraId="69A7610E" w14:textId="5121F0C2">
      <w:pPr>
        <w:pStyle w:val="Standard"/>
      </w:pPr>
      <w:r>
        <w:t xml:space="preserve">Similar to SCE, PG&amp;E proposes elimination of the existing requirement that customers enrolled in this tariff be served by dedicated resources. Instead, </w:t>
      </w:r>
      <w:r>
        <w:lastRenderedPageBreak/>
        <w:t>PG&amp;E proposes that any RPS</w:t>
      </w:r>
      <w:r w:rsidR="003D6EF8">
        <w:noBreakHyphen/>
      </w:r>
      <w:r>
        <w:t>eligible resource procured by PG&amp;E would be eligible to serve the demand for this tariff. Further, in order to ensure least</w:t>
      </w:r>
      <w:r w:rsidR="003D6EF8">
        <w:noBreakHyphen/>
      </w:r>
      <w:r>
        <w:t xml:space="preserve">cost best fit procurement, PG&amp;E recommends that future solicitations to meet tariff demand be coupled with procurement activities in the </w:t>
      </w:r>
      <w:r w:rsidRPr="00FD66C0" w:rsidR="00977EB2">
        <w:t>Integrated Resource Plan</w:t>
      </w:r>
      <w:r>
        <w:t>. PG&amp;E also proposes a 272</w:t>
      </w:r>
      <w:r w:rsidR="003D6EF8">
        <w:noBreakHyphen/>
      </w:r>
      <w:r>
        <w:t>megawatt capacity cap for the tariff, with flexibility to raise the cap.</w:t>
      </w:r>
    </w:p>
    <w:p w:rsidR="008E4260" w:rsidP="00877203" w:rsidRDefault="008E4260" w14:paraId="55435098" w14:textId="02F4EF54">
      <w:pPr>
        <w:pStyle w:val="Standard"/>
      </w:pPr>
      <w:r>
        <w:t xml:space="preserve">PG&amp;E recommends the Commission sunset the tariff when </w:t>
      </w:r>
      <w:r w:rsidR="00440785">
        <w:t>“</w:t>
      </w:r>
      <w:r>
        <w:t>its core bundled service reaches a 100</w:t>
      </w:r>
      <w:r w:rsidR="006473B0">
        <w:t> percent</w:t>
      </w:r>
      <w:r>
        <w:t xml:space="preserve"> clean energy target through a combination of compliant RPS and non</w:t>
      </w:r>
      <w:r w:rsidR="003D6EF8">
        <w:noBreakHyphen/>
      </w:r>
      <w:r>
        <w:t>RPS clean energy resources.</w:t>
      </w:r>
      <w:r w:rsidR="00440785">
        <w:t>”</w:t>
      </w:r>
      <w:r>
        <w:rPr>
          <w:rStyle w:val="FootnoteReference"/>
        </w:rPr>
        <w:footnoteReference w:id="168"/>
      </w:r>
    </w:p>
    <w:p w:rsidR="00621458" w:rsidP="001B1E90" w:rsidRDefault="00621458" w14:paraId="6E9294A3" w14:textId="1C6497CD">
      <w:pPr>
        <w:pStyle w:val="Heading3"/>
      </w:pPr>
      <w:bookmarkStart w:name="_Toc159551180" w:id="137"/>
      <w:bookmarkStart w:name="_Toc168559300" w:id="138"/>
      <w:r>
        <w:t>Party Recommendations for</w:t>
      </w:r>
      <w:r w:rsidR="004E597B">
        <w:t xml:space="preserve"> a </w:t>
      </w:r>
      <w:r w:rsidR="005E3925">
        <w:t>New Community Renewable Energy Program</w:t>
      </w:r>
      <w:bookmarkEnd w:id="137"/>
      <w:bookmarkEnd w:id="138"/>
    </w:p>
    <w:p w:rsidR="00621458" w:rsidP="00877203" w:rsidRDefault="00AD4E30" w14:paraId="085D24AF" w14:textId="67B21002">
      <w:pPr>
        <w:pStyle w:val="Standard"/>
      </w:pPr>
      <w:r>
        <w:t>In testimony, p</w:t>
      </w:r>
      <w:r w:rsidR="003E7043">
        <w:t xml:space="preserve">arties offered </w:t>
      </w:r>
      <w:r w:rsidR="008E4260">
        <w:t>one</w:t>
      </w:r>
      <w:r w:rsidR="003E7043">
        <w:t xml:space="preserve"> proposal for </w:t>
      </w:r>
      <w:r w:rsidR="0069758D">
        <w:t xml:space="preserve">the </w:t>
      </w:r>
      <w:r w:rsidR="003E7043">
        <w:t xml:space="preserve">new </w:t>
      </w:r>
      <w:r w:rsidR="005E3925">
        <w:t>community renewable energy program</w:t>
      </w:r>
      <w:r w:rsidR="00977EB2">
        <w:t>, the NVBT</w:t>
      </w:r>
      <w:r w:rsidR="0069758D">
        <w:t xml:space="preserve"> </w:t>
      </w:r>
      <w:r w:rsidR="003E7043">
        <w:t>proposed by CCSA</w:t>
      </w:r>
      <w:r w:rsidR="00B3556A">
        <w:t xml:space="preserve">. The NVBT is </w:t>
      </w:r>
      <w:r w:rsidR="003E7043">
        <w:t>supported by Arcadia</w:t>
      </w:r>
      <w:r w:rsidR="0039113A">
        <w:t>, Cypress Creek, Clean Coalition, CBIA,</w:t>
      </w:r>
      <w:r w:rsidR="00B3556A">
        <w:t xml:space="preserve"> </w:t>
      </w:r>
      <w:r w:rsidR="007961E9">
        <w:t xml:space="preserve">CUE, </w:t>
      </w:r>
      <w:r w:rsidR="00B3556A">
        <w:t xml:space="preserve">and </w:t>
      </w:r>
      <w:r w:rsidR="003E7043">
        <w:t>SEIA</w:t>
      </w:r>
      <w:r w:rsidR="00B3556A">
        <w:t xml:space="preserve">. Additionally, </w:t>
      </w:r>
      <w:r w:rsidR="003E7043">
        <w:t xml:space="preserve">TURN, </w:t>
      </w:r>
      <w:r w:rsidR="00AD55A4">
        <w:t xml:space="preserve">CEJA, </w:t>
      </w:r>
      <w:r w:rsidR="00237E56">
        <w:rPr>
          <w:i/>
          <w:iCs/>
        </w:rPr>
        <w:t>et al</w:t>
      </w:r>
      <w:r w:rsidRPr="00AD55A4" w:rsidR="00AD55A4">
        <w:rPr>
          <w:i/>
          <w:iCs/>
        </w:rPr>
        <w:t>.</w:t>
      </w:r>
      <w:r w:rsidR="003E7043">
        <w:t xml:space="preserve">, and </w:t>
      </w:r>
      <w:r w:rsidR="002917E2">
        <w:t>Cal Advoc</w:t>
      </w:r>
      <w:r w:rsidR="003E7043">
        <w:t>ates</w:t>
      </w:r>
      <w:r w:rsidR="00B3556A">
        <w:t xml:space="preserve"> support the NVBT if </w:t>
      </w:r>
      <w:r w:rsidR="008E779D">
        <w:t xml:space="preserve">suggested </w:t>
      </w:r>
      <w:r w:rsidR="00B3556A">
        <w:t>modifications are made</w:t>
      </w:r>
      <w:r w:rsidR="00012E5B">
        <w:t xml:space="preserve">. </w:t>
      </w:r>
      <w:r w:rsidR="008E779D">
        <w:t xml:space="preserve">Following the reopening of the record, </w:t>
      </w:r>
      <w:r w:rsidR="00E5789C">
        <w:t xml:space="preserve">SCE </w:t>
      </w:r>
      <w:r w:rsidR="00C02EC8">
        <w:t xml:space="preserve">also </w:t>
      </w:r>
      <w:r w:rsidR="00E5789C">
        <w:t xml:space="preserve">proposed a </w:t>
      </w:r>
      <w:r w:rsidR="004F0C99">
        <w:t>community renewable energy program</w:t>
      </w:r>
      <w:r w:rsidR="00BE2D7D">
        <w:t xml:space="preserve">. </w:t>
      </w:r>
      <w:r w:rsidR="00374D9B">
        <w:t xml:space="preserve">This decision provides an overview of each of these </w:t>
      </w:r>
      <w:r w:rsidR="008E0B94">
        <w:t>proposals</w:t>
      </w:r>
      <w:r w:rsidR="00374D9B">
        <w:t xml:space="preserve"> below</w:t>
      </w:r>
      <w:r w:rsidR="008E0B94">
        <w:t xml:space="preserve"> and includes modifications made later in this proceeding.</w:t>
      </w:r>
    </w:p>
    <w:p w:rsidR="00EA7711" w:rsidP="001B1E90" w:rsidRDefault="004E597B" w14:paraId="43870593" w14:textId="74D765F3">
      <w:pPr>
        <w:pStyle w:val="Heading4"/>
      </w:pPr>
      <w:bookmarkStart w:name="_Toc159551181" w:id="139"/>
      <w:bookmarkStart w:name="_Toc168559301" w:id="140"/>
      <w:r>
        <w:t>Coalition for Community</w:t>
      </w:r>
      <w:r w:rsidR="00D62231">
        <w:br/>
      </w:r>
      <w:r>
        <w:t>Solar Access</w:t>
      </w:r>
      <w:r w:rsidR="00440785">
        <w:t>’</w:t>
      </w:r>
      <w:r w:rsidR="00B76EF6">
        <w:t xml:space="preserve"> </w:t>
      </w:r>
      <w:r w:rsidR="00EA7711">
        <w:t>Net Value</w:t>
      </w:r>
      <w:r w:rsidR="00D62231">
        <w:br/>
      </w:r>
      <w:r w:rsidR="000B11D3">
        <w:t xml:space="preserve">Billing </w:t>
      </w:r>
      <w:r w:rsidR="00EA7711">
        <w:t>Tariff Proposal</w:t>
      </w:r>
      <w:bookmarkEnd w:id="139"/>
      <w:bookmarkEnd w:id="140"/>
    </w:p>
    <w:p w:rsidR="002A1CF4" w:rsidP="00877203" w:rsidRDefault="00012E5B" w14:paraId="2A381682" w14:textId="2ADB9AE2">
      <w:pPr>
        <w:pStyle w:val="Standard"/>
      </w:pPr>
      <w:r>
        <w:t xml:space="preserve">CCSA proposes the creation </w:t>
      </w:r>
      <w:r w:rsidR="00F32B68">
        <w:t>of the NVBT</w:t>
      </w:r>
      <w:r w:rsidR="0069758D">
        <w:t>,</w:t>
      </w:r>
      <w:r w:rsidR="00F32B68">
        <w:t xml:space="preserve"> which CCSA contends </w:t>
      </w:r>
      <w:r w:rsidR="00440785">
        <w:t>“</w:t>
      </w:r>
      <w:r w:rsidR="00F32B68">
        <w:t>offers an experience similar to the net metering experience</w:t>
      </w:r>
      <w:r w:rsidR="00EA7711">
        <w:t>,</w:t>
      </w:r>
      <w:r w:rsidR="00440785">
        <w:t>”</w:t>
      </w:r>
      <w:r w:rsidR="00EA7711">
        <w:t xml:space="preserve"> allows for flexibility, </w:t>
      </w:r>
      <w:r w:rsidR="00F32B68">
        <w:t xml:space="preserve">and has a framework that provides credits based on the avoided cost value of the </w:t>
      </w:r>
      <w:r w:rsidR="00F32B68">
        <w:lastRenderedPageBreak/>
        <w:t>exported energy to the grid.</w:t>
      </w:r>
      <w:r w:rsidR="00440785">
        <w:t>”</w:t>
      </w:r>
      <w:r w:rsidR="00F32B68">
        <w:rPr>
          <w:rStyle w:val="FootnoteReference"/>
        </w:rPr>
        <w:footnoteReference w:id="169"/>
      </w:r>
      <w:r w:rsidR="00F32B68">
        <w:t xml:space="preserve"> </w:t>
      </w:r>
      <w:r w:rsidR="00535D4F">
        <w:t xml:space="preserve">CCSA asserts the NVBT proposal is a California version of the </w:t>
      </w:r>
      <w:r w:rsidRPr="0001350F" w:rsidR="00535D4F">
        <w:rPr>
          <w:rFonts w:cs="TimesNewRomanPSMT"/>
          <w:szCs w:val="26"/>
        </w:rPr>
        <w:t>NY VDER</w:t>
      </w:r>
      <w:r w:rsidR="00535D4F">
        <w:t xml:space="preserve"> tariff. </w:t>
      </w:r>
      <w:r w:rsidR="000F737E">
        <w:t>CCSA describes community solar as large projects (several megawatts in size) connected to a utility</w:t>
      </w:r>
      <w:r w:rsidR="00440785">
        <w:t>’</w:t>
      </w:r>
      <w:r w:rsidR="000F737E">
        <w:t xml:space="preserve">s distribution system with </w:t>
      </w:r>
      <w:r w:rsidR="00D9116F">
        <w:t>s</w:t>
      </w:r>
      <w:r w:rsidR="000F737E">
        <w:t>ubscribers</w:t>
      </w:r>
      <w:r w:rsidR="00647520">
        <w:rPr>
          <w:rStyle w:val="FootnoteReference"/>
        </w:rPr>
        <w:footnoteReference w:id="170"/>
      </w:r>
      <w:r w:rsidR="000F737E">
        <w:t xml:space="preserve"> (customers) who enroll to receive the generation from a portion of that project</w:t>
      </w:r>
      <w:r w:rsidR="00715FBA">
        <w:t xml:space="preserve"> through a </w:t>
      </w:r>
      <w:r w:rsidR="004F4988">
        <w:t>bill credit</w:t>
      </w:r>
      <w:r w:rsidR="000F737E">
        <w:t xml:space="preserve">. </w:t>
      </w:r>
      <w:r w:rsidR="00B464AE">
        <w:t>The bill credit would be based on a proposed generation value that is time</w:t>
      </w:r>
      <w:r w:rsidR="003D6EF8">
        <w:noBreakHyphen/>
      </w:r>
      <w:r w:rsidR="00B464AE">
        <w:t>differentiated pricing, which rewards delivery of power at times of greater value to the grid.</w:t>
      </w:r>
      <w:r w:rsidR="00B464AE">
        <w:rPr>
          <w:rStyle w:val="FootnoteReference"/>
        </w:rPr>
        <w:footnoteReference w:id="171"/>
      </w:r>
    </w:p>
    <w:p w:rsidR="002A1CF4" w:rsidP="00877203" w:rsidRDefault="000F737E" w14:paraId="1AC7BB89" w14:textId="1397049C">
      <w:pPr>
        <w:pStyle w:val="Standard"/>
      </w:pPr>
      <w:r>
        <w:t xml:space="preserve">Subscriptions </w:t>
      </w:r>
      <w:r w:rsidR="00C92D5D">
        <w:t xml:space="preserve">would be </w:t>
      </w:r>
      <w:r>
        <w:t xml:space="preserve">commercial arrangements between the </w:t>
      </w:r>
      <w:r w:rsidR="00D9116F">
        <w:t>f</w:t>
      </w:r>
      <w:r>
        <w:t xml:space="preserve">acility </w:t>
      </w:r>
      <w:r w:rsidR="00D9116F">
        <w:t>o</w:t>
      </w:r>
      <w:r>
        <w:t>wner</w:t>
      </w:r>
      <w:r w:rsidR="0032294F">
        <w:rPr>
          <w:rStyle w:val="FootnoteReference"/>
        </w:rPr>
        <w:footnoteReference w:id="172"/>
      </w:r>
      <w:r>
        <w:t xml:space="preserve"> and the </w:t>
      </w:r>
      <w:r w:rsidR="00D9116F">
        <w:t>s</w:t>
      </w:r>
      <w:r>
        <w:t xml:space="preserve">ubscribers. In the </w:t>
      </w:r>
      <w:r w:rsidR="0032294F">
        <w:t xml:space="preserve">proposed </w:t>
      </w:r>
      <w:r>
        <w:t xml:space="preserve">NVBT, </w:t>
      </w:r>
      <w:r w:rsidR="0032294F">
        <w:t xml:space="preserve">the </w:t>
      </w:r>
      <w:r>
        <w:t>commercial arrangements are not prescribed but can include</w:t>
      </w:r>
      <w:r w:rsidR="0032294F">
        <w:t xml:space="preserve"> the </w:t>
      </w:r>
      <w:r w:rsidR="00D9116F">
        <w:t>s</w:t>
      </w:r>
      <w:r w:rsidR="0032294F">
        <w:t xml:space="preserve">ubscriber paying the </w:t>
      </w:r>
      <w:r w:rsidR="00D9116F">
        <w:t>f</w:t>
      </w:r>
      <w:r w:rsidR="0032294F">
        <w:t xml:space="preserve">acility </w:t>
      </w:r>
      <w:r w:rsidR="00D9116F">
        <w:t>o</w:t>
      </w:r>
      <w:r w:rsidR="0032294F">
        <w:t>wner</w:t>
      </w:r>
      <w:r w:rsidR="005D30D7">
        <w:t xml:space="preserve">: </w:t>
      </w:r>
      <w:r>
        <w:t>(1</w:t>
      </w:r>
      <w:r w:rsidR="008747CC">
        <w:t>) </w:t>
      </w:r>
      <w:r w:rsidR="0032294F">
        <w:t xml:space="preserve">for </w:t>
      </w:r>
      <w:r>
        <w:t>a portion of the project</w:t>
      </w:r>
      <w:r w:rsidR="00440785">
        <w:t>’</w:t>
      </w:r>
      <w:r>
        <w:t>s capacity; (2</w:t>
      </w:r>
      <w:r w:rsidR="008747CC">
        <w:t>) </w:t>
      </w:r>
      <w:r>
        <w:t xml:space="preserve">an amount for each </w:t>
      </w:r>
      <w:r w:rsidRPr="00FD66C0">
        <w:t>kilowatt</w:t>
      </w:r>
      <w:r w:rsidR="003D6EF8">
        <w:noBreakHyphen/>
      </w:r>
      <w:r w:rsidRPr="00FD66C0">
        <w:t>hour</w:t>
      </w:r>
      <w:r w:rsidR="004E56E6">
        <w:t xml:space="preserve"> (</w:t>
      </w:r>
      <w:r w:rsidRPr="00FD66C0" w:rsidR="004E56E6">
        <w:t>kWh</w:t>
      </w:r>
      <w:r w:rsidR="004E56E6">
        <w:t>)</w:t>
      </w:r>
      <w:r>
        <w:t xml:space="preserve"> produced ($/kWh); (3</w:t>
      </w:r>
      <w:r w:rsidR="008747CC">
        <w:t>) </w:t>
      </w:r>
      <w:r>
        <w:t>a fixed amount per month ($100/month); or (4</w:t>
      </w:r>
      <w:r w:rsidR="008747CC">
        <w:t>) </w:t>
      </w:r>
      <w:r>
        <w:t>a portion of the bill credit receiv</w:t>
      </w:r>
      <w:r w:rsidR="0032294F">
        <w:t>ed</w:t>
      </w:r>
      <w:r>
        <w:t>.</w:t>
      </w:r>
      <w:r w:rsidR="00503633">
        <w:t xml:space="preserve"> CCSA proposes a Shared Savings Model whereby the subscriber is assigned a portion of the credits for the value of the electricity generation ascribed to the individual subscriber</w:t>
      </w:r>
      <w:r w:rsidR="00440785">
        <w:t>’</w:t>
      </w:r>
      <w:r w:rsidR="00503633">
        <w:t>s subscription, with the remaining value of the electricity generation going to the developer.</w:t>
      </w:r>
    </w:p>
    <w:p w:rsidR="00BA58BF" w:rsidP="00877203" w:rsidRDefault="00FE241F" w14:paraId="685A0740" w14:textId="03C82072">
      <w:pPr>
        <w:pStyle w:val="Standard"/>
      </w:pPr>
      <w:r>
        <w:lastRenderedPageBreak/>
        <w:t>CCSA describes the core elements of the NVBT as</w:t>
      </w:r>
      <w:r w:rsidR="008C6192">
        <w:t>:</w:t>
      </w:r>
      <w:r>
        <w:t xml:space="preserve"> </w:t>
      </w:r>
      <w:r w:rsidR="0094182E">
        <w:t>(1</w:t>
      </w:r>
      <w:r w:rsidR="008747CC">
        <w:t>) </w:t>
      </w:r>
      <w:r w:rsidR="00D85C47">
        <w:t>e</w:t>
      </w:r>
      <w:r>
        <w:t>xport compensation rate structure</w:t>
      </w:r>
      <w:r w:rsidR="004C6699">
        <w:t xml:space="preserve"> or generation value</w:t>
      </w:r>
      <w:r w:rsidR="008747CC">
        <w:t>;</w:t>
      </w:r>
      <w:r>
        <w:t xml:space="preserve"> </w:t>
      </w:r>
      <w:r w:rsidR="0094182E">
        <w:t>(2</w:t>
      </w:r>
      <w:r w:rsidR="008747CC">
        <w:t>) </w:t>
      </w:r>
      <w:r>
        <w:t>terms of service and billing rules</w:t>
      </w:r>
      <w:r w:rsidR="006E1A06">
        <w:t>;</w:t>
      </w:r>
      <w:r>
        <w:t xml:space="preserve"> and </w:t>
      </w:r>
      <w:r w:rsidR="0094182E">
        <w:t>(3</w:t>
      </w:r>
      <w:r w:rsidR="008747CC">
        <w:t>) </w:t>
      </w:r>
      <w:r>
        <w:t>consumer protection elements.</w:t>
      </w:r>
      <w:r w:rsidR="00B13DA6">
        <w:rPr>
          <w:rStyle w:val="FootnoteReference"/>
        </w:rPr>
        <w:footnoteReference w:id="173"/>
      </w:r>
    </w:p>
    <w:p w:rsidR="00333007" w:rsidP="00877203" w:rsidRDefault="00713981" w14:paraId="4927CC2E" w14:textId="554614C3">
      <w:pPr>
        <w:pStyle w:val="Standard"/>
      </w:pPr>
      <w:r>
        <w:t xml:space="preserve">Looking first at </w:t>
      </w:r>
      <w:r w:rsidR="00034C1A">
        <w:t>generation value</w:t>
      </w:r>
      <w:r>
        <w:t xml:space="preserve">, </w:t>
      </w:r>
      <w:r w:rsidR="0094182E">
        <w:t xml:space="preserve">CCSA proposes that </w:t>
      </w:r>
      <w:r w:rsidR="00D85C47">
        <w:t>electricity</w:t>
      </w:r>
      <w:r w:rsidR="0094182E">
        <w:t xml:space="preserve"> generated </w:t>
      </w:r>
      <w:r w:rsidR="00D9116F">
        <w:t xml:space="preserve">and sent </w:t>
      </w:r>
      <w:r w:rsidR="0094182E">
        <w:t xml:space="preserve">to the grid would be compensated as bill credits based upon the value of that energy on an hourly basis. </w:t>
      </w:r>
      <w:r w:rsidR="00A14F85">
        <w:t>CCSA states that</w:t>
      </w:r>
      <w:r w:rsidR="002A1CF4">
        <w:t>,</w:t>
      </w:r>
      <w:r w:rsidR="00A14F85">
        <w:t xml:space="preserve"> </w:t>
      </w:r>
      <w:r w:rsidR="002C53AD">
        <w:t>similar to the NY VDER tariff</w:t>
      </w:r>
      <w:r w:rsidR="00016C42">
        <w:t xml:space="preserve"> (described in Section 3.4.1.)</w:t>
      </w:r>
      <w:r w:rsidR="002C53AD">
        <w:t>, time</w:t>
      </w:r>
      <w:r w:rsidR="003D6EF8">
        <w:noBreakHyphen/>
      </w:r>
      <w:r w:rsidR="002C53AD">
        <w:t xml:space="preserve">differentiated pricing would reflect </w:t>
      </w:r>
      <w:r w:rsidR="0023766C">
        <w:t>the value sum of different elements of a value stack for distributed resources.</w:t>
      </w:r>
      <w:r w:rsidR="0023766C">
        <w:rPr>
          <w:rStyle w:val="FootnoteReference"/>
        </w:rPr>
        <w:footnoteReference w:id="174"/>
      </w:r>
      <w:r w:rsidR="0023766C">
        <w:t xml:space="preserve"> </w:t>
      </w:r>
      <w:r w:rsidR="00A021D0">
        <w:t>In the NY VDER, the value sta</w:t>
      </w:r>
      <w:r w:rsidR="00B925B0">
        <w:t>c</w:t>
      </w:r>
      <w:r w:rsidR="00A021D0">
        <w:t xml:space="preserve">k includes energy, capacity, environmental, </w:t>
      </w:r>
      <w:r w:rsidR="00D6074D">
        <w:t>demand reduction, and locational system values.</w:t>
      </w:r>
      <w:r w:rsidR="00B925B0">
        <w:rPr>
          <w:rStyle w:val="FootnoteReference"/>
        </w:rPr>
        <w:footnoteReference w:id="175"/>
      </w:r>
      <w:r w:rsidR="00D6074D">
        <w:t xml:space="preserve"> In the NVBT, however, CCSA proposes a four</w:t>
      </w:r>
      <w:r w:rsidR="003D6EF8">
        <w:noBreakHyphen/>
      </w:r>
      <w:r w:rsidR="00D6074D">
        <w:t>element value stack</w:t>
      </w:r>
      <w:r w:rsidR="005D30D7">
        <w:t xml:space="preserve">: </w:t>
      </w:r>
      <w:r w:rsidR="00D85C47">
        <w:t xml:space="preserve">avoided </w:t>
      </w:r>
      <w:r w:rsidR="0094182E">
        <w:t>energy, avoided capacity (</w:t>
      </w:r>
      <w:r w:rsidR="002730FF">
        <w:t xml:space="preserve">which includes </w:t>
      </w:r>
      <w:r w:rsidR="0094182E">
        <w:t xml:space="preserve">generation, </w:t>
      </w:r>
      <w:r w:rsidR="00121CC2">
        <w:t xml:space="preserve">and </w:t>
      </w:r>
      <w:r w:rsidR="0094182E">
        <w:t>transmission</w:t>
      </w:r>
      <w:r w:rsidR="00121CC2">
        <w:t xml:space="preserve"> and </w:t>
      </w:r>
      <w:r w:rsidR="0094182E">
        <w:t xml:space="preserve">distribution) and environmental (greenhouse gas rebalancing, greenhouse gas adder, and methane leakage) </w:t>
      </w:r>
      <w:r w:rsidR="00D85C47">
        <w:t>values.</w:t>
      </w:r>
    </w:p>
    <w:p w:rsidR="00BA58BF" w:rsidP="00877203" w:rsidRDefault="00D85C47" w14:paraId="6ADF9616" w14:textId="626708CF">
      <w:pPr>
        <w:pStyle w:val="Standard"/>
      </w:pPr>
      <w:r>
        <w:t xml:space="preserve">CCSA recommends using </w:t>
      </w:r>
      <w:r w:rsidR="0094182E">
        <w:t>Day</w:t>
      </w:r>
      <w:r w:rsidR="003D6EF8">
        <w:noBreakHyphen/>
      </w:r>
      <w:r w:rsidR="0094182E">
        <w:t xml:space="preserve">Ahead Zonal prices used in the </w:t>
      </w:r>
      <w:r w:rsidRPr="004A019F" w:rsidR="0094182E">
        <w:rPr>
          <w:rFonts w:cs="TimesNewRomanPSMT"/>
          <w:szCs w:val="26"/>
        </w:rPr>
        <w:t>CAISO</w:t>
      </w:r>
      <w:r w:rsidR="0094182E">
        <w:t xml:space="preserve"> market</w:t>
      </w:r>
      <w:r>
        <w:t xml:space="preserve"> as the avoided energy value</w:t>
      </w:r>
      <w:r w:rsidR="0094182E">
        <w:t xml:space="preserve">. </w:t>
      </w:r>
      <w:r>
        <w:t>T</w:t>
      </w:r>
      <w:r w:rsidR="0094182E">
        <w:t xml:space="preserve">he </w:t>
      </w:r>
      <w:r>
        <w:t xml:space="preserve">other values would be fixed based on </w:t>
      </w:r>
      <w:r w:rsidR="00EC3079">
        <w:t xml:space="preserve">values from the </w:t>
      </w:r>
      <w:r>
        <w:t>Avoided Cost Calculator</w:t>
      </w:r>
      <w:r w:rsidR="00FA4B6F">
        <w:t xml:space="preserve">, similar to the approach in the recently adopted Net Billing </w:t>
      </w:r>
      <w:r w:rsidR="00F01027">
        <w:t>tariff</w:t>
      </w:r>
      <w:r>
        <w:t>.</w:t>
      </w:r>
      <w:r w:rsidR="00E1203E">
        <w:t xml:space="preserve"> However, instead of using all 8,760 hourly data points for each non</w:t>
      </w:r>
      <w:r w:rsidR="003D6EF8">
        <w:noBreakHyphen/>
      </w:r>
      <w:r w:rsidR="00E1203E">
        <w:t xml:space="preserve">energy component of the </w:t>
      </w:r>
      <w:r w:rsidR="00870E7A">
        <w:t>Avoided Cost Calculator</w:t>
      </w:r>
      <w:r w:rsidR="00E1203E">
        <w:t xml:space="preserve">, CCSA proposes that hourly values for each year </w:t>
      </w:r>
      <w:r w:rsidR="00B908D7">
        <w:t xml:space="preserve">from the transmission, distribution, generation capacity, greenhouse gas rebalancing, methane leakage, and greenhouse gas adder categories in the Avoided Cost Calculator would be summed into annual values, levelized over a term period of 25 years, and then divided by the number </w:t>
      </w:r>
      <w:r w:rsidR="00B908D7">
        <w:lastRenderedPageBreak/>
        <w:t>of peak hours (368) to create an hourly price applied to peak hours of each year.</w:t>
      </w:r>
      <w:r w:rsidR="00B908D7">
        <w:rPr>
          <w:rStyle w:val="FootnoteReference"/>
        </w:rPr>
        <w:footnoteReference w:id="176"/>
      </w:r>
      <w:r w:rsidR="006D6372">
        <w:t xml:space="preserve"> The peak hours </w:t>
      </w:r>
      <w:r w:rsidR="00F5506C">
        <w:t>would be July through September</w:t>
      </w:r>
      <w:r w:rsidR="000C22C8">
        <w:t xml:space="preserve"> from</w:t>
      </w:r>
      <w:r w:rsidR="00F5506C">
        <w:t xml:space="preserve"> 5:00</w:t>
      </w:r>
      <w:r w:rsidR="000C22C8">
        <w:t> </w:t>
      </w:r>
      <w:r w:rsidR="00F5506C">
        <w:t>p.m. to 9:00</w:t>
      </w:r>
      <w:r w:rsidR="000C22C8">
        <w:t> </w:t>
      </w:r>
      <w:r w:rsidR="00F5506C">
        <w:t>p.m.</w:t>
      </w:r>
      <w:r w:rsidR="006B7F79">
        <w:t xml:space="preserve"> </w:t>
      </w:r>
      <w:r w:rsidR="000C22C8">
        <w:t>Pacific Standard Time</w:t>
      </w:r>
      <w:r w:rsidR="006B7F79">
        <w:t>, including weekends. CCSA contends these capture over 99</w:t>
      </w:r>
      <w:r w:rsidR="006473B0">
        <w:t> percent</w:t>
      </w:r>
      <w:r w:rsidR="006B7F79">
        <w:t xml:space="preserve"> of the hourly 2022 generation capacity in the 2022 Avoided Cost Calculator.</w:t>
      </w:r>
      <w:r w:rsidR="000945FC">
        <w:rPr>
          <w:rStyle w:val="FootnoteReference"/>
        </w:rPr>
        <w:footnoteReference w:id="177"/>
      </w:r>
      <w:r w:rsidR="000945FC">
        <w:t xml:space="preserve"> CCSA proposes that compensation would only be provided for these peak hours</w:t>
      </w:r>
      <w:r w:rsidR="00D333A0">
        <w:t xml:space="preserve"> and that there is no off</w:t>
      </w:r>
      <w:r w:rsidR="003D6EF8">
        <w:noBreakHyphen/>
      </w:r>
      <w:r w:rsidR="00D333A0">
        <w:t>peak compensation to customers.</w:t>
      </w:r>
      <w:r w:rsidR="00D333A0">
        <w:rPr>
          <w:rStyle w:val="FootnoteReference"/>
        </w:rPr>
        <w:footnoteReference w:id="178"/>
      </w:r>
    </w:p>
    <w:p w:rsidR="00D85C47" w:rsidP="00877203" w:rsidRDefault="00D85C47" w14:paraId="4C3159B6" w14:textId="30FB4C0D">
      <w:pPr>
        <w:pStyle w:val="Standard"/>
      </w:pPr>
      <w:r>
        <w:t xml:space="preserve">The terms of service and conditions </w:t>
      </w:r>
      <w:r w:rsidR="00647520">
        <w:t xml:space="preserve">proposed by CCSA </w:t>
      </w:r>
      <w:r>
        <w:t>include eligibility, duration of service, true</w:t>
      </w:r>
      <w:r w:rsidR="003D6EF8">
        <w:noBreakHyphen/>
      </w:r>
      <w:r>
        <w:t xml:space="preserve">up period, netting interval, and the form of subscriptions. </w:t>
      </w:r>
      <w:r w:rsidR="00E910CB">
        <w:t xml:space="preserve">CCSA proposes that </w:t>
      </w:r>
      <w:r w:rsidR="00367ABD">
        <w:t>subscriber eligibility be broad to include any customer class (bundled or unbundled) with the only requirement being that the customer be located in the same</w:t>
      </w:r>
      <w:r w:rsidR="00647520">
        <w:t xml:space="preserve"> utility service</w:t>
      </w:r>
      <w:r w:rsidR="00367ABD">
        <w:t xml:space="preserve"> territory as the generating facility.</w:t>
      </w:r>
      <w:r w:rsidR="008A49EF">
        <w:t xml:space="preserve"> CCSA states that generating facilities include generators with a generation profile that produces similar benefits to participants and non</w:t>
      </w:r>
      <w:r w:rsidR="003D6EF8">
        <w:noBreakHyphen/>
      </w:r>
      <w:r w:rsidR="008A49EF">
        <w:t xml:space="preserve">participants, </w:t>
      </w:r>
      <w:r w:rsidRPr="00150E4C" w:rsidR="00150E4C">
        <w:rPr>
          <w:i/>
          <w:iCs/>
        </w:rPr>
        <w:t>e.g.</w:t>
      </w:r>
      <w:r w:rsidR="008A49EF">
        <w:t>, solar, solar paired with storage, distributed wind projects, or small hydro</w:t>
      </w:r>
      <w:r w:rsidR="003D6EF8">
        <w:noBreakHyphen/>
      </w:r>
      <w:r w:rsidR="008A49EF">
        <w:t>electric facilities</w:t>
      </w:r>
      <w:r w:rsidRPr="00AA7B1E" w:rsidR="008A49EF">
        <w:t xml:space="preserve">. </w:t>
      </w:r>
      <w:r w:rsidR="008A49EF">
        <w:t>However, CCSA recommends limiting eligibility in the NVBT to new solar photovoltaic systems paired with four</w:t>
      </w:r>
      <w:r w:rsidR="003D6EF8">
        <w:noBreakHyphen/>
      </w:r>
      <w:r w:rsidR="008A49EF">
        <w:t>hour storage and distributed wind energy projects.</w:t>
      </w:r>
      <w:r w:rsidR="00AA7B1E">
        <w:rPr>
          <w:rStyle w:val="FootnoteReference"/>
        </w:rPr>
        <w:footnoteReference w:id="179"/>
      </w:r>
      <w:r w:rsidR="00367ABD">
        <w:t xml:space="preserve"> </w:t>
      </w:r>
      <w:r w:rsidR="00647520">
        <w:t xml:space="preserve">Eligible </w:t>
      </w:r>
      <w:r w:rsidR="00870E7A">
        <w:t>g</w:t>
      </w:r>
      <w:r w:rsidR="00647520">
        <w:t xml:space="preserve">enerator </w:t>
      </w:r>
      <w:r w:rsidR="00870E7A">
        <w:t>a</w:t>
      </w:r>
      <w:r w:rsidR="00647520">
        <w:t>ccounts</w:t>
      </w:r>
      <w:r w:rsidR="00647520">
        <w:rPr>
          <w:rStyle w:val="FootnoteReference"/>
        </w:rPr>
        <w:footnoteReference w:id="180"/>
      </w:r>
      <w:r w:rsidR="00647520">
        <w:t xml:space="preserve"> may or may not have load beyond that required by the facility who takes service with the </w:t>
      </w:r>
      <w:r w:rsidR="00870E7A">
        <w:t>f</w:t>
      </w:r>
      <w:r w:rsidR="00647520">
        <w:t xml:space="preserve">acility </w:t>
      </w:r>
      <w:r w:rsidR="00870E7A">
        <w:t>o</w:t>
      </w:r>
      <w:r w:rsidR="00647520">
        <w:t>wner but must be a non</w:t>
      </w:r>
      <w:r w:rsidR="003D6EF8">
        <w:noBreakHyphen/>
      </w:r>
      <w:r w:rsidR="00647520">
        <w:t xml:space="preserve">residential account. CCSA recommends no minimum duration of </w:t>
      </w:r>
      <w:r w:rsidR="00647520">
        <w:lastRenderedPageBreak/>
        <w:t xml:space="preserve">service for </w:t>
      </w:r>
      <w:r w:rsidR="00FE642E">
        <w:t>Subscribers,</w:t>
      </w:r>
      <w:r w:rsidR="00EA7711">
        <w:t xml:space="preserve"> but the </w:t>
      </w:r>
      <w:r w:rsidR="00870E7A">
        <w:t>g</w:t>
      </w:r>
      <w:r w:rsidR="00EA7711">
        <w:t>enerator</w:t>
      </w:r>
      <w:r w:rsidR="00FE642E">
        <w:t xml:space="preserve"> </w:t>
      </w:r>
      <w:r w:rsidR="00870E7A">
        <w:t>a</w:t>
      </w:r>
      <w:r w:rsidR="00EA7711">
        <w:t xml:space="preserve">ccounts would have access to the tariff for 25 years from the date of commercial operation. </w:t>
      </w:r>
      <w:r w:rsidR="00FE642E">
        <w:t>With respect to the true</w:t>
      </w:r>
      <w:r w:rsidR="003D6EF8">
        <w:noBreakHyphen/>
      </w:r>
      <w:r w:rsidR="00FE642E">
        <w:t>up period and netting, CCSA proposes allowing for maximum flexibility by adopting monthly netting with indefinite rollover</w:t>
      </w:r>
      <w:r w:rsidR="00B13DA6">
        <w:t xml:space="preserve">. If a customer leaves utility service, those credits would be forfeited. Unsubscribed generation capacity can be banked on the </w:t>
      </w:r>
      <w:r w:rsidR="00870E7A">
        <w:t>g</w:t>
      </w:r>
      <w:r w:rsidR="00B13DA6">
        <w:t xml:space="preserve">enerating </w:t>
      </w:r>
      <w:r w:rsidR="00870E7A">
        <w:t>a</w:t>
      </w:r>
      <w:r w:rsidR="00B13DA6">
        <w:t>ccount for two years. The form of subscription would be capacity</w:t>
      </w:r>
      <w:r w:rsidR="003D6EF8">
        <w:noBreakHyphen/>
      </w:r>
      <w:r w:rsidR="00B13DA6">
        <w:t>based, sized to produce an amount equivalent to the subscriber</w:t>
      </w:r>
      <w:r w:rsidR="00440785">
        <w:t>’</w:t>
      </w:r>
      <w:r w:rsidR="00B13DA6">
        <w:t>s anticipated usage.</w:t>
      </w:r>
    </w:p>
    <w:p w:rsidR="00B13DA6" w:rsidP="00877203" w:rsidRDefault="00B13DA6" w14:paraId="63C3C70F" w14:textId="52DEC65A">
      <w:pPr>
        <w:pStyle w:val="Standard"/>
      </w:pPr>
      <w:r>
        <w:t xml:space="preserve">The final element of the NVBT is consumer protections. CCSA </w:t>
      </w:r>
      <w:r w:rsidR="00D62DFE">
        <w:t xml:space="preserve">recommends the following </w:t>
      </w:r>
      <w:r w:rsidR="00593B8C">
        <w:t>three</w:t>
      </w:r>
      <w:r w:rsidR="00D62DFE">
        <w:t xml:space="preserve"> components</w:t>
      </w:r>
      <w:r w:rsidR="005D30D7">
        <w:t xml:space="preserve">: </w:t>
      </w:r>
      <w:r w:rsidR="00D62DFE">
        <w:t>(1</w:t>
      </w:r>
      <w:r w:rsidR="005C2D27">
        <w:t>) </w:t>
      </w:r>
      <w:r w:rsidR="00870E7A">
        <w:t>f</w:t>
      </w:r>
      <w:r w:rsidR="00D62DFE">
        <w:t xml:space="preserve">acility </w:t>
      </w:r>
      <w:r w:rsidR="00870E7A">
        <w:t>o</w:t>
      </w:r>
      <w:r w:rsidR="00D62DFE">
        <w:t xml:space="preserve">wner and </w:t>
      </w:r>
      <w:r w:rsidR="00870E7A">
        <w:t>s</w:t>
      </w:r>
      <w:r w:rsidR="00D62DFE">
        <w:t xml:space="preserve">ubscription </w:t>
      </w:r>
      <w:r w:rsidR="00870E7A">
        <w:t>c</w:t>
      </w:r>
      <w:r w:rsidR="00D62DFE">
        <w:t>oordinator registration and monitoring; (2</w:t>
      </w:r>
      <w:r w:rsidR="005C2D27">
        <w:t>) </w:t>
      </w:r>
      <w:r w:rsidR="00D62DFE">
        <w:t>standardized disclosure forms; and (3</w:t>
      </w:r>
      <w:r w:rsidR="005C2D27">
        <w:t>) </w:t>
      </w:r>
      <w:r w:rsidR="00D62DFE">
        <w:t xml:space="preserve">prohibitions on the use of </w:t>
      </w:r>
      <w:r w:rsidR="00F40A01">
        <w:t xml:space="preserve">credit </w:t>
      </w:r>
      <w:r w:rsidR="00D62DFE">
        <w:t xml:space="preserve">scores and exit/termination fees for </w:t>
      </w:r>
      <w:r w:rsidR="00B4682F">
        <w:t>low</w:t>
      </w:r>
      <w:r w:rsidR="003D6EF8">
        <w:noBreakHyphen/>
      </w:r>
      <w:r w:rsidR="00B4682F">
        <w:t>income</w:t>
      </w:r>
      <w:r w:rsidR="00D62DFE">
        <w:t xml:space="preserve"> customer (as described by </w:t>
      </w:r>
      <w:r w:rsidR="003627A8">
        <w:t>AB </w:t>
      </w:r>
      <w:r w:rsidR="00D62DFE">
        <w:t>2316) subscribers.</w:t>
      </w:r>
      <w:r w:rsidR="00B4682F">
        <w:rPr>
          <w:rStyle w:val="FootnoteReference"/>
        </w:rPr>
        <w:footnoteReference w:id="181"/>
      </w:r>
      <w:r w:rsidR="00D62DFE">
        <w:t xml:space="preserve"> </w:t>
      </w:r>
      <w:r w:rsidR="00B4682F">
        <w:t>CCSA also proposes ensuring that subscription fees are not charged prior to operationalization of the generating facility and are lower than bill credits.</w:t>
      </w:r>
      <w:r w:rsidR="00B4682F">
        <w:rPr>
          <w:rStyle w:val="FootnoteReference"/>
        </w:rPr>
        <w:footnoteReference w:id="182"/>
      </w:r>
      <w:r w:rsidR="00593B8C">
        <w:t xml:space="preserve"> CCSA asserts these assurances can be guaranteed through </w:t>
      </w:r>
      <w:r w:rsidR="00A33541">
        <w:t>S</w:t>
      </w:r>
      <w:r w:rsidR="00593B8C">
        <w:t xml:space="preserve">implified </w:t>
      </w:r>
      <w:r w:rsidR="00A33541">
        <w:t>B</w:t>
      </w:r>
      <w:r w:rsidR="00593B8C">
        <w:t>illing whereby the utility would deduct the customer</w:t>
      </w:r>
      <w:r w:rsidR="00440785">
        <w:t>’</w:t>
      </w:r>
      <w:r w:rsidR="00593B8C">
        <w:t>s subscription price from the customer bill credit prior to crediting the customer</w:t>
      </w:r>
      <w:r w:rsidR="00440785">
        <w:t>’</w:t>
      </w:r>
      <w:r w:rsidR="00593B8C">
        <w:t xml:space="preserve">s bill and </w:t>
      </w:r>
      <w:r w:rsidR="00A33541">
        <w:t xml:space="preserve">then the utility would </w:t>
      </w:r>
      <w:r w:rsidR="00593B8C">
        <w:t xml:space="preserve">remit the subscription price to the </w:t>
      </w:r>
      <w:r w:rsidR="00870E7A">
        <w:t>f</w:t>
      </w:r>
      <w:r w:rsidR="00593B8C">
        <w:t xml:space="preserve">acility </w:t>
      </w:r>
      <w:r w:rsidR="00870E7A">
        <w:t>o</w:t>
      </w:r>
      <w:r w:rsidR="00593B8C">
        <w:t>wner</w:t>
      </w:r>
      <w:r w:rsidR="00A33541">
        <w:t xml:space="preserve"> in the form of an Automated Clearing House payment</w:t>
      </w:r>
      <w:r w:rsidR="00A33541">
        <w:rPr>
          <w:rStyle w:val="FootnoteReference"/>
        </w:rPr>
        <w:footnoteReference w:id="183"/>
      </w:r>
      <w:r w:rsidR="00A33541">
        <w:t xml:space="preserve"> to the generating facility owner for the total of the portion of the bill credit retained by the generating facility owner</w:t>
      </w:r>
      <w:r w:rsidR="00593B8C">
        <w:t>.</w:t>
      </w:r>
      <w:r w:rsidR="00A33541">
        <w:rPr>
          <w:rStyle w:val="FootnoteReference"/>
        </w:rPr>
        <w:footnoteReference w:id="184"/>
      </w:r>
    </w:p>
    <w:p w:rsidR="00713981" w:rsidP="00877203" w:rsidRDefault="00C0673E" w14:paraId="39DDC456" w14:textId="77DC0309">
      <w:pPr>
        <w:pStyle w:val="Standard"/>
      </w:pPr>
      <w:r>
        <w:lastRenderedPageBreak/>
        <w:t>CCSA p</w:t>
      </w:r>
      <w:r w:rsidR="00CC05A8">
        <w:t xml:space="preserve">rovided additional details and proposed compromises </w:t>
      </w:r>
      <w:r w:rsidR="003111D3">
        <w:t xml:space="preserve">following the </w:t>
      </w:r>
      <w:r w:rsidR="007961E9">
        <w:t xml:space="preserve">initial </w:t>
      </w:r>
      <w:r w:rsidR="003111D3">
        <w:t>service of its proposal. First, w</w:t>
      </w:r>
      <w:r w:rsidR="00713981">
        <w:t xml:space="preserve">hile CCSA did not propose </w:t>
      </w:r>
      <w:r w:rsidR="006D282A">
        <w:t>a</w:t>
      </w:r>
      <w:r w:rsidR="00713981">
        <w:t xml:space="preserve"> limitation to the capacity size of the tariff, in response to other proposals, CCSA recommends a </w:t>
      </w:r>
      <w:r w:rsidR="00F40A01">
        <w:t xml:space="preserve">statewide </w:t>
      </w:r>
      <w:r w:rsidR="00713981">
        <w:t>10</w:t>
      </w:r>
      <w:r w:rsidR="003D6EF8">
        <w:noBreakHyphen/>
      </w:r>
      <w:r w:rsidR="00713981">
        <w:t>gigawatt cap.</w:t>
      </w:r>
      <w:r w:rsidR="00C540AF">
        <w:t xml:space="preserve"> However</w:t>
      </w:r>
      <w:r w:rsidR="001868CC">
        <w:t xml:space="preserve">, in comments to the </w:t>
      </w:r>
      <w:r w:rsidR="0013526D">
        <w:t>November </w:t>
      </w:r>
      <w:r w:rsidR="00F57598">
        <w:t>6 Ruling</w:t>
      </w:r>
      <w:r w:rsidR="001868CC">
        <w:t>, CCSA agree</w:t>
      </w:r>
      <w:r w:rsidR="00DF0467">
        <w:t>s</w:t>
      </w:r>
      <w:r w:rsidR="001868CC">
        <w:t xml:space="preserve"> with </w:t>
      </w:r>
      <w:r w:rsidR="00AD55A4">
        <w:t xml:space="preserve">CEJA, </w:t>
      </w:r>
      <w:r w:rsidR="00237E56">
        <w:rPr>
          <w:i/>
          <w:iCs/>
        </w:rPr>
        <w:t>et al</w:t>
      </w:r>
      <w:r w:rsidRPr="00AD55A4" w:rsidR="00AD55A4">
        <w:rPr>
          <w:i/>
          <w:iCs/>
        </w:rPr>
        <w:t>.</w:t>
      </w:r>
      <w:r w:rsidR="001868CC">
        <w:t xml:space="preserve"> that if a program cap is considered, it should be set at a minimum of four</w:t>
      </w:r>
      <w:r w:rsidR="000B4C63">
        <w:t xml:space="preserve"> gigawatts</w:t>
      </w:r>
      <w:r w:rsidR="007961E9">
        <w:t>.</w:t>
      </w:r>
      <w:r w:rsidR="000B4C63">
        <w:rPr>
          <w:rStyle w:val="FootnoteReference"/>
        </w:rPr>
        <w:footnoteReference w:id="185"/>
      </w:r>
      <w:r w:rsidR="00294BC1">
        <w:t xml:space="preserve"> Second, </w:t>
      </w:r>
      <w:r w:rsidR="00E60433">
        <w:t xml:space="preserve">in response to </w:t>
      </w:r>
      <w:r w:rsidR="0074228C">
        <w:t xml:space="preserve">CAISO concerns about visibility of the NVBT </w:t>
      </w:r>
      <w:r w:rsidR="00CA6611">
        <w:t>generation resources</w:t>
      </w:r>
      <w:r w:rsidR="0074228C">
        <w:t xml:space="preserve"> (</w:t>
      </w:r>
      <w:r w:rsidRPr="00150E4C" w:rsidR="0074228C">
        <w:rPr>
          <w:i/>
          <w:iCs/>
        </w:rPr>
        <w:t>see</w:t>
      </w:r>
      <w:r w:rsidR="0074228C">
        <w:t xml:space="preserve"> </w:t>
      </w:r>
      <w:r w:rsidR="003627A8">
        <w:t>Section </w:t>
      </w:r>
      <w:r w:rsidR="0074228C">
        <w:t>3.4.</w:t>
      </w:r>
      <w:r w:rsidR="003348DE">
        <w:t>2.5 below), CCSA supports a requirement to provide CAISO with telemetry data for all NVBT</w:t>
      </w:r>
      <w:r w:rsidR="00CA6611">
        <w:t xml:space="preserve"> generation resources greater than one megawatt.</w:t>
      </w:r>
      <w:r w:rsidR="006039C5">
        <w:rPr>
          <w:rStyle w:val="FootnoteReference"/>
        </w:rPr>
        <w:footnoteReference w:id="186"/>
      </w:r>
      <w:r w:rsidR="003348DE">
        <w:t xml:space="preserve"> </w:t>
      </w:r>
      <w:r w:rsidR="00876BCD">
        <w:t xml:space="preserve">Third, </w:t>
      </w:r>
      <w:r w:rsidR="00C47004">
        <w:t>CCSA states they are open to incorporating a critical peak pricing component for addressing system needs outside the established peak period.</w:t>
      </w:r>
      <w:r w:rsidR="00C47004">
        <w:rPr>
          <w:rStyle w:val="FootnoteReference"/>
        </w:rPr>
        <w:footnoteReference w:id="187"/>
      </w:r>
      <w:r w:rsidR="00C066E9">
        <w:t xml:space="preserve"> </w:t>
      </w:r>
      <w:r w:rsidR="00621797">
        <w:t xml:space="preserve">Fourth, CCSA </w:t>
      </w:r>
      <w:r w:rsidR="006B1A95">
        <w:t>proposes a limited ability for load serving entities to shift the four</w:t>
      </w:r>
      <w:r w:rsidR="003D6EF8">
        <w:noBreakHyphen/>
      </w:r>
      <w:r w:rsidR="006B1A95">
        <w:t>hour block of peak hours (see discussion above</w:t>
      </w:r>
      <w:r w:rsidR="00585E39">
        <w:t>)</w:t>
      </w:r>
      <w:r w:rsidR="006B1A95">
        <w:t xml:space="preserve"> on to another window on a day</w:t>
      </w:r>
      <w:r w:rsidR="003D6EF8">
        <w:noBreakHyphen/>
      </w:r>
      <w:r w:rsidR="006B1A95">
        <w:t>ahead basis</w:t>
      </w:r>
      <w:r w:rsidR="00496757">
        <w:t>, up to 10</w:t>
      </w:r>
      <w:r w:rsidR="003D6EF8">
        <w:noBreakHyphen/>
      </w:r>
      <w:r w:rsidR="00496757">
        <w:t>days per year with prior notice to the NVBT generation resource.</w:t>
      </w:r>
      <w:r w:rsidR="00496757">
        <w:rPr>
          <w:rStyle w:val="FootnoteReference"/>
        </w:rPr>
        <w:footnoteReference w:id="188"/>
      </w:r>
      <w:r w:rsidR="00496757">
        <w:t xml:space="preserve"> </w:t>
      </w:r>
      <w:r w:rsidR="009F07AE">
        <w:t xml:space="preserve">Previously, CCSA proposed that the peak hours </w:t>
      </w:r>
      <w:r w:rsidR="009E3D6A">
        <w:t xml:space="preserve">(in the Avoided Cost Calculator) </w:t>
      </w:r>
      <w:r w:rsidR="009F07AE">
        <w:t>would be July through September</w:t>
      </w:r>
      <w:r w:rsidR="00F643FA">
        <w:t xml:space="preserve"> from</w:t>
      </w:r>
      <w:r w:rsidR="009F07AE">
        <w:t xml:space="preserve"> 5:00</w:t>
      </w:r>
      <w:r w:rsidR="00F643FA">
        <w:t> </w:t>
      </w:r>
      <w:r w:rsidR="009F07AE">
        <w:t>p.m. to 9:00</w:t>
      </w:r>
      <w:r w:rsidR="00F643FA">
        <w:t> </w:t>
      </w:r>
      <w:r w:rsidR="009F07AE">
        <w:t xml:space="preserve">p.m. </w:t>
      </w:r>
      <w:r w:rsidR="00870E7A">
        <w:t>P</w:t>
      </w:r>
      <w:r w:rsidR="009F07AE">
        <w:t xml:space="preserve">acific </w:t>
      </w:r>
      <w:r w:rsidR="00870E7A">
        <w:t>S</w:t>
      </w:r>
      <w:r w:rsidR="009F07AE">
        <w:t xml:space="preserve">tandard </w:t>
      </w:r>
      <w:r w:rsidR="00870E7A">
        <w:t>T</w:t>
      </w:r>
      <w:r w:rsidR="009F07AE">
        <w:t>ime, including weekends.</w:t>
      </w:r>
    </w:p>
    <w:p w:rsidR="00CE2376" w:rsidP="001B1E90" w:rsidRDefault="002917E2" w14:paraId="45FAEB8C" w14:textId="5DA53DA4">
      <w:pPr>
        <w:pStyle w:val="Heading4"/>
      </w:pPr>
      <w:bookmarkStart w:name="_Toc159551182" w:id="141"/>
      <w:bookmarkStart w:name="_Toc168559302" w:id="142"/>
      <w:r>
        <w:lastRenderedPageBreak/>
        <w:t>Cal Advoc</w:t>
      </w:r>
      <w:r w:rsidR="00CE2376">
        <w:t>ates</w:t>
      </w:r>
      <w:r w:rsidR="00440785">
        <w:t>’</w:t>
      </w:r>
      <w:r w:rsidR="00CE2376">
        <w:t xml:space="preserve"> Proposed Modifications to the Net Value</w:t>
      </w:r>
      <w:r w:rsidR="00D62231">
        <w:br/>
      </w:r>
      <w:r w:rsidR="00F40A01">
        <w:t xml:space="preserve">Billing </w:t>
      </w:r>
      <w:r w:rsidR="00CE2376">
        <w:t>Tariff Proposal</w:t>
      </w:r>
      <w:bookmarkEnd w:id="141"/>
      <w:bookmarkEnd w:id="142"/>
    </w:p>
    <w:p w:rsidR="00CE2376" w:rsidP="00877203" w:rsidRDefault="002917E2" w14:paraId="462B2501" w14:textId="2AEAF0F2">
      <w:pPr>
        <w:pStyle w:val="Standard"/>
      </w:pPr>
      <w:r>
        <w:t>Cal Advoc</w:t>
      </w:r>
      <w:r w:rsidR="00CE2376">
        <w:t>ates support a modified NVBT.</w:t>
      </w:r>
      <w:r w:rsidR="00CE2376">
        <w:rPr>
          <w:rStyle w:val="FootnoteReference"/>
        </w:rPr>
        <w:footnoteReference w:id="189"/>
      </w:r>
      <w:r w:rsidR="00CE2376">
        <w:t xml:space="preserve"> This section describes </w:t>
      </w:r>
      <w:r>
        <w:t>Cal Advoc</w:t>
      </w:r>
      <w:r w:rsidR="006E4259">
        <w:t>ates</w:t>
      </w:r>
      <w:r w:rsidR="00440785">
        <w:t>’</w:t>
      </w:r>
      <w:r w:rsidR="00CE2376">
        <w:t xml:space="preserve"> proposed modifications that either differ from the NVBT</w:t>
      </w:r>
      <w:r w:rsidR="006D282A">
        <w:t xml:space="preserve">, </w:t>
      </w:r>
      <w:r w:rsidR="00CE2376">
        <w:t>as proposed by CCSA</w:t>
      </w:r>
      <w:r w:rsidR="006D282A">
        <w:t>,</w:t>
      </w:r>
      <w:r w:rsidR="00CE2376">
        <w:t xml:space="preserve"> or go beyond the requirements of </w:t>
      </w:r>
      <w:r w:rsidR="003627A8">
        <w:t>AB </w:t>
      </w:r>
      <w:r w:rsidR="00CE2376">
        <w:t>2316.</w:t>
      </w:r>
    </w:p>
    <w:p w:rsidR="009F44F1" w:rsidP="00877203" w:rsidRDefault="002917E2" w14:paraId="61425DCE" w14:textId="4684C1D9">
      <w:pPr>
        <w:pStyle w:val="Standard"/>
      </w:pPr>
      <w:r>
        <w:t>Cal Advoc</w:t>
      </w:r>
      <w:r w:rsidR="00B10BBF">
        <w:t xml:space="preserve">ates proposes </w:t>
      </w:r>
      <w:r w:rsidR="005C5D7A">
        <w:t>three guardrails</w:t>
      </w:r>
      <w:r w:rsidR="00793FEB">
        <w:t xml:space="preserve"> for the </w:t>
      </w:r>
      <w:r w:rsidR="00AC7E87">
        <w:t>NVBT</w:t>
      </w:r>
      <w:r w:rsidR="006F3FBA">
        <w:t>; t</w:t>
      </w:r>
      <w:r w:rsidR="005C5D7A">
        <w:t xml:space="preserve">he guardrails include an evaluation in combination with a sunset date and a cap on the amount of capacity </w:t>
      </w:r>
      <w:r w:rsidR="00D4474A">
        <w:t xml:space="preserve">all projects operating under </w:t>
      </w:r>
      <w:r w:rsidR="005C5D7A">
        <w:t xml:space="preserve">the tariff. </w:t>
      </w:r>
      <w:r>
        <w:t>Cal Advoc</w:t>
      </w:r>
      <w:r w:rsidR="00B10BBF">
        <w:t xml:space="preserve">ates suggests </w:t>
      </w:r>
      <w:r w:rsidR="005C5D7A">
        <w:t xml:space="preserve">that to prevent a ballooning cost shift </w:t>
      </w:r>
      <w:r w:rsidR="00B10BBF">
        <w:t xml:space="preserve">the Commission </w:t>
      </w:r>
      <w:r w:rsidR="005C5D7A">
        <w:t xml:space="preserve">should </w:t>
      </w:r>
      <w:r w:rsidR="00B10BBF">
        <w:t>collect data during the first two years of the NVBT and perform an evaluation following those two years.</w:t>
      </w:r>
      <w:r w:rsidR="00503E8B">
        <w:rPr>
          <w:rStyle w:val="FootnoteReference"/>
        </w:rPr>
        <w:footnoteReference w:id="190"/>
      </w:r>
      <w:r w:rsidR="00B10BBF">
        <w:t xml:space="preserve"> </w:t>
      </w:r>
      <w:r>
        <w:t>Cal Advoc</w:t>
      </w:r>
      <w:r w:rsidR="00B10BBF">
        <w:t xml:space="preserve">ates proposes that the Commission establish a sunset date that occurs shortly after the evaluation, noting that if the NVBT is successful, the sunset date could be </w:t>
      </w:r>
      <w:r w:rsidR="002C461F">
        <w:t>extended</w:t>
      </w:r>
      <w:r w:rsidR="00B10BBF">
        <w:t>.</w:t>
      </w:r>
      <w:r w:rsidR="00B10BBF">
        <w:rPr>
          <w:rStyle w:val="FootnoteReference"/>
        </w:rPr>
        <w:footnoteReference w:id="191"/>
      </w:r>
      <w:r w:rsidR="005C5D7A">
        <w:t xml:space="preserve"> </w:t>
      </w:r>
      <w:r>
        <w:t>Cal Advoc</w:t>
      </w:r>
      <w:r w:rsidR="005C5D7A">
        <w:t>ates recommends implementing a four</w:t>
      </w:r>
      <w:r w:rsidR="003D6EF8">
        <w:noBreakHyphen/>
      </w:r>
      <w:r w:rsidR="00F40A01">
        <w:t>gi</w:t>
      </w:r>
      <w:r w:rsidR="005C5D7A">
        <w:t xml:space="preserve">gawatt </w:t>
      </w:r>
      <w:r w:rsidR="006F3FBA">
        <w:t xml:space="preserve">capacity limit </w:t>
      </w:r>
      <w:r w:rsidR="005C5D7A">
        <w:t>on the NVBT to prevent runaway cost shifts from developing without recourse.</w:t>
      </w:r>
      <w:r w:rsidR="005C5D7A">
        <w:rPr>
          <w:rStyle w:val="FootnoteReference"/>
        </w:rPr>
        <w:footnoteReference w:id="192"/>
      </w:r>
      <w:r w:rsidR="008C3215">
        <w:t xml:space="preserve"> </w:t>
      </w:r>
      <w:r w:rsidR="00870E7A">
        <w:t xml:space="preserve">As discussed below, </w:t>
      </w:r>
      <w:r>
        <w:t>Cal Advoc</w:t>
      </w:r>
      <w:r w:rsidR="00870E7A">
        <w:t>ates revises this recommendation later in comments.</w:t>
      </w:r>
    </w:p>
    <w:p w:rsidR="005C5D7A" w:rsidP="00877203" w:rsidRDefault="0034111F" w14:paraId="6CF1C5D8" w14:textId="11F916E6">
      <w:pPr>
        <w:pStyle w:val="Standard"/>
      </w:pPr>
      <w:r w:rsidRPr="002042E0">
        <w:t xml:space="preserve">In response to the </w:t>
      </w:r>
      <w:r w:rsidR="002042E0">
        <w:t xml:space="preserve">forecast by the </w:t>
      </w:r>
      <w:r w:rsidRPr="00FD66C0" w:rsidR="002042E0">
        <w:t xml:space="preserve">California Air Resources Board </w:t>
      </w:r>
      <w:r w:rsidR="002042E0">
        <w:t xml:space="preserve">of </w:t>
      </w:r>
      <w:r>
        <w:t>storage capacity for years 2023 through 2028,</w:t>
      </w:r>
      <w:r w:rsidR="00870E7A">
        <w:t xml:space="preserve"> </w:t>
      </w:r>
      <w:r w:rsidR="002917E2">
        <w:t>Cal Advoc</w:t>
      </w:r>
      <w:r w:rsidR="008C3215">
        <w:t>ates propose</w:t>
      </w:r>
      <w:r w:rsidR="007961E9">
        <w:t>s</w:t>
      </w:r>
      <w:r w:rsidR="008C3215">
        <w:t xml:space="preserve"> </w:t>
      </w:r>
      <w:r w:rsidR="00A71EC7">
        <w:t xml:space="preserve">decreasing </w:t>
      </w:r>
      <w:r w:rsidR="007961E9">
        <w:t>the</w:t>
      </w:r>
      <w:r w:rsidR="001B6D78">
        <w:t xml:space="preserve"> capacity limit</w:t>
      </w:r>
      <w:r w:rsidR="00A71EC7">
        <w:t xml:space="preserve"> </w:t>
      </w:r>
      <w:r w:rsidR="001B6D78">
        <w:t xml:space="preserve">from four to two gigawatts </w:t>
      </w:r>
      <w:r w:rsidR="007961E9">
        <w:t>because</w:t>
      </w:r>
      <w:r w:rsidR="00693357">
        <w:t xml:space="preserve"> </w:t>
      </w:r>
      <w:r w:rsidR="00A71EC7">
        <w:t>the forecasted storage capacity</w:t>
      </w:r>
      <w:r w:rsidR="00693357">
        <w:t xml:space="preserve"> is not exclusive to paired storage community renewable energy resources.</w:t>
      </w:r>
      <w:r w:rsidR="00A36C82">
        <w:rPr>
          <w:rStyle w:val="FootnoteReference"/>
        </w:rPr>
        <w:footnoteReference w:id="193"/>
      </w:r>
      <w:r w:rsidR="00A60F25">
        <w:t xml:space="preserve"> </w:t>
      </w:r>
      <w:r w:rsidR="002917E2">
        <w:t>Cal Advoc</w:t>
      </w:r>
      <w:r w:rsidR="00A60F25">
        <w:t xml:space="preserve">ates </w:t>
      </w:r>
      <w:r w:rsidR="00416252">
        <w:t xml:space="preserve">also </w:t>
      </w:r>
      <w:r w:rsidR="00A60F25">
        <w:t xml:space="preserve">highlights that </w:t>
      </w:r>
      <w:r w:rsidR="00FB0A3C">
        <w:t xml:space="preserve">the </w:t>
      </w:r>
      <w:r w:rsidR="007961E9">
        <w:t>NY VDER</w:t>
      </w:r>
      <w:r w:rsidR="00DD3440">
        <w:t xml:space="preserve">, which NVBT is based on, </w:t>
      </w:r>
      <w:r w:rsidR="007E4AB1">
        <w:lastRenderedPageBreak/>
        <w:t xml:space="preserve">quickly reached two gigawatts of installed </w:t>
      </w:r>
      <w:r w:rsidR="00107EAB">
        <w:t xml:space="preserve">community solar resources despite having a much smaller population than California. </w:t>
      </w:r>
      <w:r w:rsidR="002917E2">
        <w:t>Cal Advoc</w:t>
      </w:r>
      <w:r w:rsidR="00107EAB">
        <w:t xml:space="preserve">ates asserts </w:t>
      </w:r>
      <w:r w:rsidR="00737439">
        <w:t xml:space="preserve">that </w:t>
      </w:r>
      <w:r w:rsidR="00107EAB">
        <w:t>implementation of a two</w:t>
      </w:r>
      <w:r w:rsidR="003D6EF8">
        <w:noBreakHyphen/>
      </w:r>
      <w:r w:rsidR="00107EAB">
        <w:t xml:space="preserve">gigawatt program cap will ensure </w:t>
      </w:r>
      <w:r w:rsidR="0069736F">
        <w:t xml:space="preserve">an appropriate amount of time for a trial period and proper program </w:t>
      </w:r>
      <w:r w:rsidR="009F2A0D">
        <w:t>evaluation.</w:t>
      </w:r>
      <w:r w:rsidR="009F2A0D">
        <w:rPr>
          <w:rStyle w:val="FootnoteReference"/>
        </w:rPr>
        <w:footnoteReference w:id="194"/>
      </w:r>
    </w:p>
    <w:p w:rsidR="00CE2376" w:rsidP="00877203" w:rsidRDefault="005C5D7A" w14:paraId="0037690A" w14:textId="3E226005">
      <w:pPr>
        <w:pStyle w:val="Standard"/>
      </w:pPr>
      <w:r>
        <w:t>In addition to the guardrails</w:t>
      </w:r>
      <w:r w:rsidR="00F40A01">
        <w:t xml:space="preserve"> discussed above</w:t>
      </w:r>
      <w:r>
        <w:t xml:space="preserve">, </w:t>
      </w:r>
      <w:r w:rsidR="002917E2">
        <w:t>Cal Advoc</w:t>
      </w:r>
      <w:r>
        <w:t xml:space="preserve">ates proposes several other modifications to meet the requirements of </w:t>
      </w:r>
      <w:r w:rsidR="003627A8">
        <w:t>AB </w:t>
      </w:r>
      <w:r>
        <w:t>2316. To ensure robust low</w:t>
      </w:r>
      <w:r w:rsidR="003D6EF8">
        <w:noBreakHyphen/>
      </w:r>
      <w:r>
        <w:t xml:space="preserve">income consumer participation, </w:t>
      </w:r>
      <w:r w:rsidR="002917E2">
        <w:t>Cal Advoc</w:t>
      </w:r>
      <w:r>
        <w:t>ates proposes the implementation of transparent quarterly reporting</w:t>
      </w:r>
      <w:r w:rsidR="006F3FBA">
        <w:t>, the engagement of a third</w:t>
      </w:r>
      <w:r w:rsidR="003D6EF8">
        <w:noBreakHyphen/>
      </w:r>
      <w:r w:rsidR="006F3FBA">
        <w:t>party administrator to oversee compliance with the 51</w:t>
      </w:r>
      <w:r w:rsidR="006473B0">
        <w:t> percent</w:t>
      </w:r>
      <w:r w:rsidR="006F3FBA">
        <w:t xml:space="preserve"> low</w:t>
      </w:r>
      <w:r w:rsidR="003D6EF8">
        <w:noBreakHyphen/>
      </w:r>
      <w:r w:rsidR="006F3FBA">
        <w:t>income capacity requirement, and establishment of a one</w:t>
      </w:r>
      <w:r w:rsidR="003D6EF8">
        <w:noBreakHyphen/>
      </w:r>
      <w:r w:rsidR="006F3FBA">
        <w:t>year limit to banking bill credits received by customers</w:t>
      </w:r>
      <w:r>
        <w:t>.</w:t>
      </w:r>
      <w:r>
        <w:rPr>
          <w:rStyle w:val="FootnoteReference"/>
        </w:rPr>
        <w:footnoteReference w:id="195"/>
      </w:r>
      <w:r w:rsidR="00B10BBF">
        <w:t xml:space="preserve"> </w:t>
      </w:r>
      <w:r w:rsidR="006F3FBA">
        <w:t xml:space="preserve">To ensure the protection of participating customers, </w:t>
      </w:r>
      <w:r w:rsidR="002917E2">
        <w:t>Cal Advoc</w:t>
      </w:r>
      <w:r w:rsidR="00503E8B">
        <w:t>ates recommends the adoption of penalties for consumer protection violations by facility owners.</w:t>
      </w:r>
      <w:r w:rsidR="00503E8B">
        <w:rPr>
          <w:rStyle w:val="FootnoteReference"/>
        </w:rPr>
        <w:footnoteReference w:id="196"/>
      </w:r>
      <w:r w:rsidR="00503E8B">
        <w:t xml:space="preserve"> </w:t>
      </w:r>
      <w:r w:rsidR="006F3FBA">
        <w:t xml:space="preserve">To ensure that projects are community focused, </w:t>
      </w:r>
      <w:r w:rsidR="002917E2">
        <w:t>Cal Advoc</w:t>
      </w:r>
      <w:r w:rsidR="006F3FBA">
        <w:t xml:space="preserve">ates proposes that the </w:t>
      </w:r>
      <w:r w:rsidR="00BB2D53">
        <w:t xml:space="preserve">new </w:t>
      </w:r>
      <w:r w:rsidR="00AB79AE">
        <w:t>community renewable energy program</w:t>
      </w:r>
      <w:r w:rsidR="006F3FBA">
        <w:t xml:space="preserve"> ha</w:t>
      </w:r>
      <w:r w:rsidR="00BB2D53">
        <w:t>s</w:t>
      </w:r>
      <w:r w:rsidR="006F3FBA">
        <w:t xml:space="preserve"> locational requirements</w:t>
      </w:r>
      <w:r w:rsidR="009564E2">
        <w:t xml:space="preserve"> and utilize</w:t>
      </w:r>
      <w:r w:rsidR="00BB2D53">
        <w:t>s</w:t>
      </w:r>
      <w:r w:rsidR="009564E2">
        <w:t xml:space="preserve"> both on</w:t>
      </w:r>
      <w:r w:rsidR="003D6EF8">
        <w:noBreakHyphen/>
      </w:r>
      <w:r w:rsidR="009564E2">
        <w:t>site and contiguous locations</w:t>
      </w:r>
      <w:r w:rsidR="006F3FBA">
        <w:t>.</w:t>
      </w:r>
      <w:r w:rsidR="006F3FBA">
        <w:rPr>
          <w:rStyle w:val="FootnoteReference"/>
        </w:rPr>
        <w:footnoteReference w:id="197"/>
      </w:r>
      <w:r w:rsidR="009564E2">
        <w:t xml:space="preserve"> Finally, to appropriately balance the risks to ratepayers of any potential misalignment in true avoided costs to the compensation structure, </w:t>
      </w:r>
      <w:r w:rsidR="002917E2">
        <w:t>Cal Advoc</w:t>
      </w:r>
      <w:r w:rsidR="009564E2">
        <w:t>ates recommends that in adopting the use of the Avoided Cost Calculator values, as proposed by CCSA, the Commission should adopt an incremental 10</w:t>
      </w:r>
      <w:r w:rsidR="003D6EF8">
        <w:noBreakHyphen/>
      </w:r>
      <w:r w:rsidR="009564E2">
        <w:t>year tariff lock</w:t>
      </w:r>
      <w:r w:rsidR="003D6EF8">
        <w:noBreakHyphen/>
      </w:r>
      <w:r w:rsidR="009564E2">
        <w:t>in of Avoided Cost Calculator values.</w:t>
      </w:r>
      <w:r w:rsidR="009564E2">
        <w:rPr>
          <w:rStyle w:val="FootnoteReference"/>
        </w:rPr>
        <w:footnoteReference w:id="198"/>
      </w:r>
    </w:p>
    <w:p w:rsidR="002D23CC" w:rsidP="00877203" w:rsidRDefault="00C70194" w14:paraId="14122F81" w14:textId="0F23FC41">
      <w:pPr>
        <w:pStyle w:val="Standard"/>
      </w:pPr>
      <w:r>
        <w:lastRenderedPageBreak/>
        <w:t>In later additions to the recor</w:t>
      </w:r>
      <w:r w:rsidR="00653BFF">
        <w:t xml:space="preserve">d, </w:t>
      </w:r>
      <w:r w:rsidR="002917E2">
        <w:t>Cal Advoc</w:t>
      </w:r>
      <w:r w:rsidR="00653BFF">
        <w:t xml:space="preserve">ates propose that the Commission </w:t>
      </w:r>
      <w:r w:rsidR="006C6321">
        <w:t>allow for co</w:t>
      </w:r>
      <w:r w:rsidR="003D6EF8">
        <w:noBreakHyphen/>
      </w:r>
      <w:r w:rsidR="006C6321">
        <w:t>location of projects that, when combined, remain under a five</w:t>
      </w:r>
      <w:r w:rsidR="003D6EF8">
        <w:noBreakHyphen/>
      </w:r>
      <w:r w:rsidR="006C6321">
        <w:t>megawatt project cap</w:t>
      </w:r>
      <w:r w:rsidR="000867EA">
        <w:t xml:space="preserve">. </w:t>
      </w:r>
      <w:r w:rsidR="002917E2">
        <w:t>Cal Advoc</w:t>
      </w:r>
      <w:r w:rsidR="000867EA">
        <w:t xml:space="preserve">ates surmises this will allow for more flexibility in project siting and </w:t>
      </w:r>
      <w:r w:rsidR="00D31DA7">
        <w:t>increase the variation in subscri</w:t>
      </w:r>
      <w:r w:rsidR="003E5262">
        <w:t>bing customers.</w:t>
      </w:r>
      <w:r w:rsidR="003E64DB">
        <w:rPr>
          <w:rStyle w:val="FootnoteReference"/>
        </w:rPr>
        <w:footnoteReference w:id="199"/>
      </w:r>
    </w:p>
    <w:p w:rsidR="006C1805" w:rsidP="001B1E90" w:rsidRDefault="004E597B" w14:paraId="5C753C49" w14:textId="6E0D7526">
      <w:pPr>
        <w:pStyle w:val="Heading4"/>
      </w:pPr>
      <w:bookmarkStart w:name="_Toc159551183" w:id="143"/>
      <w:bookmarkStart w:name="_Toc168559303" w:id="144"/>
      <w:r>
        <w:t>The Utility Reform Network</w:t>
      </w:r>
      <w:r w:rsidR="00440785">
        <w:t>’</w:t>
      </w:r>
      <w:r w:rsidR="001F34A9">
        <w:t xml:space="preserve">s Proposed </w:t>
      </w:r>
      <w:r w:rsidR="006C1805">
        <w:t>Modifications to the</w:t>
      </w:r>
      <w:r w:rsidR="00D62231">
        <w:br/>
      </w:r>
      <w:r w:rsidR="006C1805">
        <w:t xml:space="preserve">Net Value </w:t>
      </w:r>
      <w:r w:rsidR="000B11D3">
        <w:t xml:space="preserve">Billing </w:t>
      </w:r>
      <w:r w:rsidR="006C1805">
        <w:t>Tariff Proposal</w:t>
      </w:r>
      <w:bookmarkEnd w:id="143"/>
      <w:bookmarkEnd w:id="144"/>
    </w:p>
    <w:p w:rsidR="00754A63" w:rsidP="00877203" w:rsidRDefault="006C1805" w14:paraId="2109AA49" w14:textId="5C71A33C">
      <w:pPr>
        <w:pStyle w:val="Standard"/>
      </w:pPr>
      <w:r>
        <w:t xml:space="preserve">TURN </w:t>
      </w:r>
      <w:r w:rsidR="006E4259">
        <w:t xml:space="preserve">also </w:t>
      </w:r>
      <w:r>
        <w:t>supports a modified NVBT.</w:t>
      </w:r>
      <w:r w:rsidR="00581EAB">
        <w:rPr>
          <w:rStyle w:val="FootnoteReference"/>
        </w:rPr>
        <w:footnoteReference w:id="200"/>
      </w:r>
      <w:r>
        <w:t xml:space="preserve"> </w:t>
      </w:r>
      <w:r w:rsidR="00754A63">
        <w:t xml:space="preserve">This section describes </w:t>
      </w:r>
      <w:r w:rsidR="006E4259">
        <w:t>TURN</w:t>
      </w:r>
      <w:r w:rsidR="00440785">
        <w:t>’</w:t>
      </w:r>
      <w:r w:rsidR="006E4259">
        <w:t>s</w:t>
      </w:r>
      <w:r w:rsidR="00754A63">
        <w:t xml:space="preserve"> proposed modifications that either differ from the NVBT as proposed by CCSA or go beyond the requirements of </w:t>
      </w:r>
      <w:r w:rsidR="003627A8">
        <w:t>AB </w:t>
      </w:r>
      <w:r w:rsidR="00754A63">
        <w:t>2316.</w:t>
      </w:r>
    </w:p>
    <w:p w:rsidR="00C106E1" w:rsidP="00877203" w:rsidRDefault="00581EAB" w14:paraId="1218D803" w14:textId="011781F4">
      <w:pPr>
        <w:pStyle w:val="Standard"/>
      </w:pPr>
      <w:r>
        <w:t>L</w:t>
      </w:r>
      <w:r w:rsidR="00713981">
        <w:t xml:space="preserve">ooking </w:t>
      </w:r>
      <w:r>
        <w:t xml:space="preserve">first </w:t>
      </w:r>
      <w:r w:rsidR="00713981">
        <w:t>at</w:t>
      </w:r>
      <w:r w:rsidR="006C1805">
        <w:t xml:space="preserve"> </w:t>
      </w:r>
      <w:r w:rsidR="00870E7A">
        <w:t>f</w:t>
      </w:r>
      <w:r w:rsidR="001F34A9">
        <w:t xml:space="preserve">acility </w:t>
      </w:r>
      <w:r w:rsidR="00870E7A">
        <w:t>o</w:t>
      </w:r>
      <w:r w:rsidR="001F34A9">
        <w:t>wner</w:t>
      </w:r>
      <w:r w:rsidR="003D6EF8">
        <w:noBreakHyphen/>
      </w:r>
      <w:r w:rsidR="001F34A9">
        <w:t>specific elements</w:t>
      </w:r>
      <w:r w:rsidR="006C1805">
        <w:t>, TURN recommends the Commission require that generators in the modified NVBT must</w:t>
      </w:r>
      <w:r w:rsidR="005D30D7">
        <w:t xml:space="preserve">: </w:t>
      </w:r>
      <w:r w:rsidR="006C1805">
        <w:t>(1</w:t>
      </w:r>
      <w:r w:rsidR="00575E64">
        <w:t>) </w:t>
      </w:r>
      <w:r w:rsidR="006C1805">
        <w:t xml:space="preserve">meet the definition of renewable energy resource as described in </w:t>
      </w:r>
      <w:r w:rsidR="00440785">
        <w:t>Pub. Util.</w:t>
      </w:r>
      <w:r w:rsidR="006C1805">
        <w:t xml:space="preserve"> Code </w:t>
      </w:r>
      <w:r w:rsidR="003627A8">
        <w:t>Section </w:t>
      </w:r>
      <w:r w:rsidR="006C1805">
        <w:t>399.12(e)</w:t>
      </w:r>
      <w:r w:rsidR="00575E64">
        <w:t xml:space="preserve">; </w:t>
      </w:r>
      <w:r w:rsidR="006C1805">
        <w:t>(2</w:t>
      </w:r>
      <w:r w:rsidR="00575E64">
        <w:t>) </w:t>
      </w:r>
      <w:r w:rsidR="006C1805">
        <w:t>incorporate a minimum of four</w:t>
      </w:r>
      <w:r w:rsidR="003D6EF8">
        <w:noBreakHyphen/>
      </w:r>
      <w:r w:rsidR="006C1805">
        <w:t>hour energy storage capacity equivalent to the rate generation</w:t>
      </w:r>
      <w:r w:rsidR="00575E64">
        <w:t xml:space="preserve">; </w:t>
      </w:r>
      <w:r w:rsidR="006C1805">
        <w:t>and (</w:t>
      </w:r>
      <w:r w:rsidR="0094757D">
        <w:t>3</w:t>
      </w:r>
      <w:r w:rsidR="00575E64">
        <w:t>) </w:t>
      </w:r>
      <w:r w:rsidR="006C1805">
        <w:t xml:space="preserve">be located and sized in a manner that does not trigger significant distribution circuit upgrades. </w:t>
      </w:r>
      <w:r w:rsidR="00114E8F">
        <w:t xml:space="preserve">TURN </w:t>
      </w:r>
      <w:r w:rsidR="0062265D">
        <w:t>maintains</w:t>
      </w:r>
      <w:r w:rsidR="00114E8F">
        <w:t xml:space="preserve"> that </w:t>
      </w:r>
      <w:r w:rsidR="003E4541">
        <w:t>the</w:t>
      </w:r>
      <w:r w:rsidR="001518C8">
        <w:t>se</w:t>
      </w:r>
      <w:r w:rsidR="003E4541">
        <w:t xml:space="preserve"> location and size limits </w:t>
      </w:r>
      <w:r w:rsidR="0062265D">
        <w:t>will ensure NVBT resources will not exacerbate delays in the connection of new customers or increased customer load</w:t>
      </w:r>
      <w:r w:rsidR="006947C9">
        <w:t>.</w:t>
      </w:r>
      <w:r w:rsidR="00FF6BFB">
        <w:rPr>
          <w:rStyle w:val="FootnoteReference"/>
        </w:rPr>
        <w:footnoteReference w:id="201"/>
      </w:r>
      <w:r w:rsidR="006947C9">
        <w:t xml:space="preserve"> </w:t>
      </w:r>
      <w:r w:rsidR="001518C8">
        <w:t xml:space="preserve">TURN </w:t>
      </w:r>
      <w:r w:rsidR="00337AA6">
        <w:t xml:space="preserve">supports </w:t>
      </w:r>
      <w:r w:rsidR="002917E2">
        <w:t>Cal Advoc</w:t>
      </w:r>
      <w:r w:rsidR="00A003D2">
        <w:t>ates</w:t>
      </w:r>
      <w:r w:rsidR="00440785">
        <w:t>’</w:t>
      </w:r>
      <w:r w:rsidR="00A003D2">
        <w:t xml:space="preserve"> original recommendation of a four</w:t>
      </w:r>
      <w:r w:rsidR="003D6EF8">
        <w:noBreakHyphen/>
      </w:r>
      <w:r w:rsidR="00A003D2">
        <w:t xml:space="preserve">gigawatt cap on the program </w:t>
      </w:r>
      <w:r w:rsidR="001518C8">
        <w:t>as well as</w:t>
      </w:r>
      <w:r w:rsidR="00A003D2">
        <w:t xml:space="preserve"> an evaluation of the program.</w:t>
      </w:r>
      <w:r w:rsidR="00A003D2">
        <w:rPr>
          <w:rStyle w:val="FootnoteReference"/>
        </w:rPr>
        <w:footnoteReference w:id="202"/>
      </w:r>
      <w:r w:rsidR="001518C8">
        <w:t xml:space="preserve"> TURN also recommends a directive that utilities identify suitable distribution circuits that can accommodate projects up to five megawatts.</w:t>
      </w:r>
      <w:r w:rsidR="001518C8">
        <w:rPr>
          <w:rStyle w:val="FootnoteReference"/>
        </w:rPr>
        <w:footnoteReference w:id="203"/>
      </w:r>
    </w:p>
    <w:p w:rsidR="00BA58BF" w:rsidP="00877203" w:rsidRDefault="00713981" w14:paraId="3FC97AF7" w14:textId="794B2902">
      <w:pPr>
        <w:pStyle w:val="Standard"/>
      </w:pPr>
      <w:r>
        <w:lastRenderedPageBreak/>
        <w:t xml:space="preserve">Turning to compensation for generated energy exported to the grid, TURN recommends that the </w:t>
      </w:r>
      <w:r w:rsidR="00870E7A">
        <w:t>f</w:t>
      </w:r>
      <w:r w:rsidR="005848DC">
        <w:t xml:space="preserve">acility </w:t>
      </w:r>
      <w:r w:rsidR="00870E7A">
        <w:t>o</w:t>
      </w:r>
      <w:r w:rsidR="005848DC">
        <w:t>wner would receive a 20</w:t>
      </w:r>
      <w:r w:rsidR="003D6EF8">
        <w:noBreakHyphen/>
      </w:r>
      <w:r w:rsidR="005848DC">
        <w:t>year contract term</w:t>
      </w:r>
      <w:r w:rsidR="00581EAB">
        <w:t xml:space="preserve"> with either</w:t>
      </w:r>
      <w:r w:rsidR="005D30D7">
        <w:t xml:space="preserve">: </w:t>
      </w:r>
      <w:r w:rsidR="00581EAB">
        <w:t>(1</w:t>
      </w:r>
      <w:r w:rsidR="003943D0">
        <w:t>) </w:t>
      </w:r>
      <w:r w:rsidR="00581EAB">
        <w:t>a 10</w:t>
      </w:r>
      <w:r w:rsidR="003D6EF8">
        <w:noBreakHyphen/>
      </w:r>
      <w:r w:rsidR="00581EAB">
        <w:t>year lock</w:t>
      </w:r>
      <w:r w:rsidR="003D6EF8">
        <w:noBreakHyphen/>
      </w:r>
      <w:r w:rsidR="00581EAB">
        <w:t>in of Avoided Cost Calculator values with day</w:t>
      </w:r>
      <w:r w:rsidR="003D6EF8">
        <w:noBreakHyphen/>
      </w:r>
      <w:r w:rsidR="00581EAB">
        <w:t>ahead wholesale market prices for the energy supply portion that can be renewed for a subsequent 10</w:t>
      </w:r>
      <w:r w:rsidR="003D6EF8">
        <w:noBreakHyphen/>
      </w:r>
      <w:r w:rsidR="00581EAB">
        <w:t>year period based on updated Avoided Cost Calculator values</w:t>
      </w:r>
      <w:r w:rsidR="003943D0">
        <w:t>;</w:t>
      </w:r>
      <w:r w:rsidR="00581EAB">
        <w:t xml:space="preserve"> or (2</w:t>
      </w:r>
      <w:r w:rsidR="003943D0">
        <w:t>) </w:t>
      </w:r>
      <w:r w:rsidR="00581EAB">
        <w:t>a 20</w:t>
      </w:r>
      <w:r w:rsidR="003D6EF8">
        <w:noBreakHyphen/>
      </w:r>
      <w:r w:rsidR="00581EAB">
        <w:t>year lock</w:t>
      </w:r>
      <w:r w:rsidR="003D6EF8">
        <w:noBreakHyphen/>
      </w:r>
      <w:r w:rsidR="00581EAB">
        <w:t>in of Avoided Cost Calculator values with day</w:t>
      </w:r>
      <w:r w:rsidR="003D6EF8">
        <w:noBreakHyphen/>
      </w:r>
      <w:r w:rsidR="00581EAB">
        <w:t>ahead wholesale market prices for the energy supply portion but ongoing flexibility for Commission review and modification of certain aspects of the Avoided Cost Calculator</w:t>
      </w:r>
      <w:r w:rsidR="005848DC">
        <w:t>.</w:t>
      </w:r>
      <w:r w:rsidR="00581EAB">
        <w:rPr>
          <w:rStyle w:val="FootnoteReference"/>
        </w:rPr>
        <w:footnoteReference w:id="204"/>
      </w:r>
      <w:r w:rsidR="00754A63">
        <w:t xml:space="preserve"> </w:t>
      </w:r>
      <w:r w:rsidR="003E0689">
        <w:t>TURN notes</w:t>
      </w:r>
      <w:r w:rsidR="00260918">
        <w:t xml:space="preserve"> </w:t>
      </w:r>
      <w:r w:rsidR="003E0689">
        <w:t>th</w:t>
      </w:r>
      <w:r w:rsidR="003F3FDB">
        <w:t xml:space="preserve">at </w:t>
      </w:r>
      <w:r w:rsidR="003E0689">
        <w:t>t</w:t>
      </w:r>
      <w:r w:rsidR="003F3FDB">
        <w:t xml:space="preserve">he Avoided Cost Calculator provides value based on the assumption that customer load reductions occurring during peak system hours </w:t>
      </w:r>
      <w:r w:rsidR="00440785">
        <w:t>“</w:t>
      </w:r>
      <w:r w:rsidR="003F3FDB">
        <w:t xml:space="preserve">lower the overall </w:t>
      </w:r>
      <w:r w:rsidR="00243E95">
        <w:t>R</w:t>
      </w:r>
      <w:r w:rsidR="003F3FDB">
        <w:t xml:space="preserve">esource </w:t>
      </w:r>
      <w:r w:rsidR="00243E95">
        <w:t>A</w:t>
      </w:r>
      <w:r w:rsidR="003F3FDB">
        <w:t>dequacy requirements for a load serving entity</w:t>
      </w:r>
      <w:r w:rsidR="00440785">
        <w:t>”</w:t>
      </w:r>
      <w:r w:rsidR="003F3FDB">
        <w:t xml:space="preserve"> if the </w:t>
      </w:r>
      <w:r w:rsidRPr="00FD66C0" w:rsidR="002042E0">
        <w:t xml:space="preserve">Energy Commission </w:t>
      </w:r>
      <w:r w:rsidR="003F3FDB">
        <w:t xml:space="preserve"> </w:t>
      </w:r>
      <w:r w:rsidR="00170219">
        <w:t>considers the NVBT resources as load modifiers.</w:t>
      </w:r>
      <w:r w:rsidR="00170219">
        <w:rPr>
          <w:rStyle w:val="FootnoteReference"/>
        </w:rPr>
        <w:footnoteReference w:id="205"/>
      </w:r>
      <w:r w:rsidR="003E0689">
        <w:t xml:space="preserve"> </w:t>
      </w:r>
      <w:r w:rsidR="0052740D">
        <w:t>TURN contends that such a CEC determination would allow NVBT output to serve as a load modifier, thus justifying generation capacity values under the Avoided Cost Calculator.</w:t>
      </w:r>
      <w:r w:rsidR="0052740D">
        <w:rPr>
          <w:rStyle w:val="FootnoteReference"/>
        </w:rPr>
        <w:footnoteReference w:id="206"/>
      </w:r>
      <w:r w:rsidR="0052740D">
        <w:t xml:space="preserve"> </w:t>
      </w:r>
      <w:r w:rsidR="00754A63">
        <w:t xml:space="preserve">TURN </w:t>
      </w:r>
      <w:r w:rsidR="00F9195B">
        <w:t>agrees</w:t>
      </w:r>
      <w:r w:rsidR="00754A63">
        <w:t xml:space="preserve"> </w:t>
      </w:r>
      <w:r w:rsidR="00F9195B">
        <w:t xml:space="preserve">with CCSA that </w:t>
      </w:r>
      <w:r w:rsidR="00754A63">
        <w:t xml:space="preserve">the Commission </w:t>
      </w:r>
      <w:r w:rsidR="00F9195B">
        <w:t xml:space="preserve">should </w:t>
      </w:r>
      <w:r w:rsidR="00754A63">
        <w:t xml:space="preserve">allow </w:t>
      </w:r>
      <w:r w:rsidR="00870E7A">
        <w:t>g</w:t>
      </w:r>
      <w:r w:rsidR="00754A63">
        <w:t xml:space="preserve">enerator </w:t>
      </w:r>
      <w:r w:rsidR="00870E7A">
        <w:t>a</w:t>
      </w:r>
      <w:r w:rsidR="00F9195B">
        <w:t>ccounts to bank unused export credits but recommends limiting this to one year.</w:t>
      </w:r>
      <w:r w:rsidR="00F9195B">
        <w:rPr>
          <w:rStyle w:val="FootnoteReference"/>
        </w:rPr>
        <w:footnoteReference w:id="207"/>
      </w:r>
    </w:p>
    <w:p w:rsidR="006C1805" w:rsidP="00877203" w:rsidRDefault="002065F4" w14:paraId="4E1BC7D2" w14:textId="6DAB07F2">
      <w:pPr>
        <w:pStyle w:val="Standard"/>
      </w:pPr>
      <w:r>
        <w:t>Turning to</w:t>
      </w:r>
      <w:r w:rsidR="001F34A9">
        <w:t xml:space="preserve"> subscriber</w:t>
      </w:r>
      <w:r w:rsidR="003D6EF8">
        <w:noBreakHyphen/>
      </w:r>
      <w:r w:rsidR="001F34A9">
        <w:t xml:space="preserve">specific elements, </w:t>
      </w:r>
      <w:r w:rsidR="007D3240">
        <w:t xml:space="preserve">TURN specifies that </w:t>
      </w:r>
      <w:r w:rsidR="00870E7A">
        <w:t>s</w:t>
      </w:r>
      <w:r w:rsidR="007D3240">
        <w:t xml:space="preserve">ubscribers should be permitted to subscribe to a quantity of annual generation output </w:t>
      </w:r>
      <w:r w:rsidR="00754A63">
        <w:lastRenderedPageBreak/>
        <w:t>consistent with their typical usage.</w:t>
      </w:r>
      <w:r w:rsidR="00754A63">
        <w:rPr>
          <w:rStyle w:val="FootnoteReference"/>
        </w:rPr>
        <w:footnoteReference w:id="208"/>
      </w:r>
      <w:r w:rsidR="00754A63">
        <w:t xml:space="preserve"> </w:t>
      </w:r>
      <w:r w:rsidR="007D3240">
        <w:t>L</w:t>
      </w:r>
      <w:r>
        <w:t xml:space="preserve">ike CCSA, TURN proposes monthly bill credits but recommends that </w:t>
      </w:r>
      <w:r w:rsidR="00870E7A">
        <w:t>s</w:t>
      </w:r>
      <w:r>
        <w:t xml:space="preserve">ubscriber savings must exceed a minimum percentage of the Avoided Cost Calculator values used to compensate the project with additional savings parameters for projects receiving the </w:t>
      </w:r>
      <w:r w:rsidR="005A269D">
        <w:t xml:space="preserve">enhanced </w:t>
      </w:r>
      <w:r>
        <w:t xml:space="preserve">federal </w:t>
      </w:r>
      <w:r w:rsidRPr="00FD66C0">
        <w:t>Investment Tax Credit</w:t>
      </w:r>
      <w:r w:rsidR="005A269D">
        <w:t xml:space="preserve"> (</w:t>
      </w:r>
      <w:r w:rsidRPr="00FD66C0" w:rsidR="005A269D">
        <w:t>ITC</w:t>
      </w:r>
      <w:r w:rsidR="005A269D">
        <w:t>)</w:t>
      </w:r>
      <w:r>
        <w:t>.</w:t>
      </w:r>
      <w:r>
        <w:rPr>
          <w:rStyle w:val="FootnoteReference"/>
        </w:rPr>
        <w:footnoteReference w:id="209"/>
      </w:r>
      <w:r w:rsidR="001F34A9">
        <w:t xml:space="preserve"> As required by </w:t>
      </w:r>
      <w:r w:rsidR="003627A8">
        <w:t>AB </w:t>
      </w:r>
      <w:r w:rsidR="001F34A9">
        <w:t>2316</w:t>
      </w:r>
      <w:r w:rsidR="00737439">
        <w:t xml:space="preserve"> for new community renewable energy programs</w:t>
      </w:r>
      <w:r w:rsidR="001F34A9">
        <w:t>, 51</w:t>
      </w:r>
      <w:r w:rsidR="006473B0">
        <w:t> percent</w:t>
      </w:r>
      <w:r w:rsidR="001F34A9">
        <w:t xml:space="preserve"> of the program</w:t>
      </w:r>
      <w:r w:rsidR="00440785">
        <w:t>’</w:t>
      </w:r>
      <w:r w:rsidR="001F34A9">
        <w:t>s capacity must serve low</w:t>
      </w:r>
      <w:r w:rsidR="003D6EF8">
        <w:noBreakHyphen/>
      </w:r>
      <w:r w:rsidR="001F34A9">
        <w:t>income residential customers</w:t>
      </w:r>
      <w:r w:rsidR="00754A63">
        <w:t xml:space="preserve">; </w:t>
      </w:r>
      <w:r w:rsidR="001F34A9">
        <w:t>TURN recommends this should be applied to each project and failure to comply should result in capacity for that project being derated.</w:t>
      </w:r>
      <w:r w:rsidR="001F34A9">
        <w:rPr>
          <w:rStyle w:val="FootnoteReference"/>
        </w:rPr>
        <w:footnoteReference w:id="210"/>
      </w:r>
      <w:r w:rsidR="001F34A9">
        <w:t xml:space="preserve"> TURN proposes that all renewable energy attributes associated with energy exports credited to a subscriber account should be retired.</w:t>
      </w:r>
      <w:r w:rsidR="001F34A9">
        <w:rPr>
          <w:rStyle w:val="FootnoteReference"/>
        </w:rPr>
        <w:footnoteReference w:id="211"/>
      </w:r>
    </w:p>
    <w:p w:rsidR="00F9195B" w:rsidP="00877203" w:rsidRDefault="00F9195B" w14:paraId="366508EB" w14:textId="5145FBC7">
      <w:pPr>
        <w:pStyle w:val="Standard"/>
      </w:pPr>
      <w:r>
        <w:t xml:space="preserve">With respect to utilities, TURN proposes the Commission should allow limited energy storage dispatch rights while protecting the </w:t>
      </w:r>
      <w:r w:rsidR="00870E7A">
        <w:t>g</w:t>
      </w:r>
      <w:r>
        <w:t xml:space="preserve">enerator </w:t>
      </w:r>
      <w:r w:rsidR="00870E7A">
        <w:t>a</w:t>
      </w:r>
      <w:r>
        <w:t>ccount</w:t>
      </w:r>
      <w:r w:rsidR="00440785">
        <w:t>’</w:t>
      </w:r>
      <w:r>
        <w:t>s expected annual bill credits.</w:t>
      </w:r>
      <w:r>
        <w:rPr>
          <w:rStyle w:val="FootnoteReference"/>
        </w:rPr>
        <w:footnoteReference w:id="212"/>
      </w:r>
      <w:r>
        <w:t xml:space="preserve"> </w:t>
      </w:r>
      <w:r w:rsidR="003B24CF">
        <w:t xml:space="preserve">TURN supports </w:t>
      </w:r>
      <w:r w:rsidR="00DE78A1">
        <w:t>a pilot to test this concept as proposed by PG&amp;E.</w:t>
      </w:r>
      <w:r w:rsidR="008960F4">
        <w:rPr>
          <w:rStyle w:val="FootnoteReference"/>
        </w:rPr>
        <w:footnoteReference w:id="213"/>
      </w:r>
      <w:r w:rsidR="00DE78A1">
        <w:t xml:space="preserve"> </w:t>
      </w:r>
      <w:r w:rsidR="00D31713">
        <w:t>As previously stated</w:t>
      </w:r>
      <w:r>
        <w:t>, TURN recommends the Commission develop standards to allow each utility to designate distribution circuits as unsuitable for NVBT projects.</w:t>
      </w:r>
      <w:r>
        <w:rPr>
          <w:rStyle w:val="FootnoteReference"/>
        </w:rPr>
        <w:footnoteReference w:id="214"/>
      </w:r>
    </w:p>
    <w:p w:rsidR="0050729A" w:rsidP="00877203" w:rsidRDefault="0050729A" w14:paraId="775DBD4D" w14:textId="60EAAD07">
      <w:pPr>
        <w:pStyle w:val="Standard"/>
      </w:pPr>
      <w:r>
        <w:t xml:space="preserve">TURN proposes new consumer protection standards, some of which overlap with the CCSA proposal and some of which overlap with current Commission standards. Additionally, TURN recommends the Commission </w:t>
      </w:r>
      <w:r>
        <w:lastRenderedPageBreak/>
        <w:t xml:space="preserve">establish a penalty and appeal program for </w:t>
      </w:r>
      <w:r w:rsidR="003E7863">
        <w:t>f</w:t>
      </w:r>
      <w:r>
        <w:t xml:space="preserve">acility </w:t>
      </w:r>
      <w:r w:rsidR="003E7863">
        <w:t>o</w:t>
      </w:r>
      <w:r>
        <w:t>wners receiving excessive customer complaints regarding consumer abuses.</w:t>
      </w:r>
      <w:r>
        <w:rPr>
          <w:rStyle w:val="FootnoteReference"/>
        </w:rPr>
        <w:footnoteReference w:id="215"/>
      </w:r>
      <w:r w:rsidR="008B1784">
        <w:t xml:space="preserve"> TURN also proposes the Commission retain the services of a third</w:t>
      </w:r>
      <w:r w:rsidR="003D6EF8">
        <w:noBreakHyphen/>
      </w:r>
      <w:r w:rsidR="008B1784">
        <w:t xml:space="preserve">party administrator to operate a centralized website and </w:t>
      </w:r>
      <w:r w:rsidR="00440785">
        <w:t>“</w:t>
      </w:r>
      <w:r w:rsidR="008B1784">
        <w:t>act as a clearinghouse for comparing project offers and oversee consumer protections.</w:t>
      </w:r>
      <w:r w:rsidR="00440785">
        <w:t>”</w:t>
      </w:r>
      <w:r w:rsidR="008B1784">
        <w:rPr>
          <w:rStyle w:val="FootnoteReference"/>
        </w:rPr>
        <w:footnoteReference w:id="216"/>
      </w:r>
    </w:p>
    <w:p w:rsidR="00C55236" w:rsidP="00877203" w:rsidRDefault="00C55236" w14:paraId="7F569046" w14:textId="6F68E030">
      <w:pPr>
        <w:pStyle w:val="Standard"/>
      </w:pPr>
      <w:r>
        <w:t>Lastly, TURN promotes a subcategory of projects it calls Community Benefit Partner projects, which are partnerships between developers and community entities with optional ownership at the end of the contract.</w:t>
      </w:r>
      <w:r>
        <w:rPr>
          <w:rStyle w:val="FootnoteReference"/>
        </w:rPr>
        <w:footnoteReference w:id="217"/>
      </w:r>
      <w:r>
        <w:t xml:space="preserve"> TURN recommends the Commission require Utilities to give preference to these projects through priority interconnection queue status and longer</w:t>
      </w:r>
      <w:r w:rsidR="003D6EF8">
        <w:noBreakHyphen/>
      </w:r>
      <w:r>
        <w:t>term tariff payments. Additionally, TURN proposes formal endorsement by the Commission of prioritization of external funds to support these projects.</w:t>
      </w:r>
    </w:p>
    <w:p w:rsidR="00B365F8" w:rsidP="001B1E90" w:rsidRDefault="004E597B" w14:paraId="683EF3C6" w14:textId="0F8C2B51">
      <w:pPr>
        <w:pStyle w:val="Heading4"/>
      </w:pPr>
      <w:bookmarkStart w:name="_Toc159551184" w:id="145"/>
      <w:bookmarkStart w:name="_Toc168559304" w:id="146"/>
      <w:r>
        <w:t>Southern California Edison Company</w:t>
      </w:r>
      <w:r w:rsidR="00440785">
        <w:t>’</w:t>
      </w:r>
      <w:r w:rsidR="00AE3670">
        <w:t xml:space="preserve">s </w:t>
      </w:r>
      <w:r w:rsidR="00775AF9">
        <w:t>Community</w:t>
      </w:r>
      <w:r w:rsidR="00D62231">
        <w:br/>
      </w:r>
      <w:r w:rsidR="006F353F">
        <w:t>Renewable Energy Proposal</w:t>
      </w:r>
      <w:bookmarkEnd w:id="145"/>
      <w:bookmarkEnd w:id="146"/>
    </w:p>
    <w:p w:rsidR="00B365F8" w:rsidP="00877203" w:rsidRDefault="00DA12F2" w14:paraId="3B82BE69" w14:textId="0BBE2238">
      <w:pPr>
        <w:pStyle w:val="Standard"/>
      </w:pPr>
      <w:r>
        <w:t>In re</w:t>
      </w:r>
      <w:r w:rsidR="00FA4DC9">
        <w:t>sponse to their concerns about the legality of the NVBT</w:t>
      </w:r>
      <w:r w:rsidR="003258CA">
        <w:t xml:space="preserve"> proposal</w:t>
      </w:r>
      <w:r w:rsidR="00DC6F33">
        <w:t xml:space="preserve"> described above</w:t>
      </w:r>
      <w:r w:rsidR="005565B1">
        <w:t xml:space="preserve"> (</w:t>
      </w:r>
      <w:r w:rsidRPr="00150E4C" w:rsidR="0045285E">
        <w:rPr>
          <w:i/>
          <w:iCs/>
        </w:rPr>
        <w:t>see</w:t>
      </w:r>
      <w:r w:rsidR="0045285E">
        <w:t xml:space="preserve"> </w:t>
      </w:r>
      <w:r w:rsidR="003627A8">
        <w:t>Section </w:t>
      </w:r>
      <w:r w:rsidR="0045285E">
        <w:t>3.4.3</w:t>
      </w:r>
      <w:r w:rsidR="00DC6F33">
        <w:t xml:space="preserve"> below</w:t>
      </w:r>
      <w:r w:rsidR="005C2A3B">
        <w:t>)</w:t>
      </w:r>
      <w:r w:rsidR="00FA4DC9">
        <w:t xml:space="preserve">, SCE proposes a community renewable energy program that SCE alleges </w:t>
      </w:r>
      <w:r w:rsidR="003258CA">
        <w:t xml:space="preserve">would </w:t>
      </w:r>
      <w:r w:rsidR="00FA4DC9">
        <w:t>compl</w:t>
      </w:r>
      <w:r w:rsidR="00AA2A2B">
        <w:t>y</w:t>
      </w:r>
      <w:r w:rsidR="00FA4DC9">
        <w:t xml:space="preserve"> with the </w:t>
      </w:r>
      <w:r w:rsidR="009014CF">
        <w:t xml:space="preserve">federal </w:t>
      </w:r>
      <w:r w:rsidRPr="00FD66C0" w:rsidR="00FA4DC9">
        <w:t>Public Utilit</w:t>
      </w:r>
      <w:r w:rsidR="005A3E9F">
        <w:t>y</w:t>
      </w:r>
      <w:r w:rsidRPr="00FD66C0" w:rsidR="00FA4DC9">
        <w:t xml:space="preserve"> Regulatory Polic</w:t>
      </w:r>
      <w:r w:rsidRPr="00FD66C0" w:rsidR="009014CF">
        <w:t>ies</w:t>
      </w:r>
      <w:r w:rsidRPr="00FD66C0" w:rsidR="00FA4DC9">
        <w:t xml:space="preserve"> Act</w:t>
      </w:r>
      <w:r w:rsidRPr="00FD66C0" w:rsidR="00B727F7">
        <w:t xml:space="preserve"> </w:t>
      </w:r>
      <w:r w:rsidR="00B727F7">
        <w:t>(</w:t>
      </w:r>
      <w:r w:rsidRPr="00FD66C0" w:rsidR="00B727F7">
        <w:rPr>
          <w:rFonts w:cs="TimesNewRomanPSMT"/>
          <w:szCs w:val="26"/>
        </w:rPr>
        <w:t>PURPA</w:t>
      </w:r>
      <w:r w:rsidR="00B727F7">
        <w:t>).</w:t>
      </w:r>
      <w:r w:rsidR="007C7777">
        <w:t xml:space="preserve"> SCE propos</w:t>
      </w:r>
      <w:r w:rsidR="00AA2A2B">
        <w:t xml:space="preserve">es </w:t>
      </w:r>
      <w:r w:rsidR="00E30819">
        <w:t>a c</w:t>
      </w:r>
      <w:r w:rsidR="009F2CE4">
        <w:t>apped feed</w:t>
      </w:r>
      <w:r w:rsidR="003D6EF8">
        <w:noBreakHyphen/>
      </w:r>
      <w:r w:rsidR="009F2CE4">
        <w:t>in tariff</w:t>
      </w:r>
      <w:r w:rsidR="00A55624">
        <w:t xml:space="preserve"> where generation resources </w:t>
      </w:r>
      <w:r w:rsidR="00866891">
        <w:t>are compensated at an avoided cost rate that is compliant with PURPA.</w:t>
      </w:r>
      <w:r w:rsidR="00C87DE9">
        <w:rPr>
          <w:rStyle w:val="FootnoteReference"/>
        </w:rPr>
        <w:footnoteReference w:id="218"/>
      </w:r>
      <w:r w:rsidR="00866891">
        <w:t xml:space="preserve"> With this proposal, a </w:t>
      </w:r>
      <w:r w:rsidRPr="00FD66C0" w:rsidR="00866891">
        <w:t xml:space="preserve">power purchase agreement </w:t>
      </w:r>
      <w:r w:rsidR="00922845">
        <w:t>(</w:t>
      </w:r>
      <w:r w:rsidRPr="00FD66C0" w:rsidR="00922845">
        <w:t>Agreement</w:t>
      </w:r>
      <w:r w:rsidR="00922845">
        <w:t xml:space="preserve">) </w:t>
      </w:r>
      <w:r w:rsidR="00866891">
        <w:t xml:space="preserve">would </w:t>
      </w:r>
      <w:r w:rsidR="000D32CD">
        <w:t xml:space="preserve">require the generation resources to participate in the wholesale market so that CAISO </w:t>
      </w:r>
      <w:r w:rsidR="001F4F2B">
        <w:t xml:space="preserve">would have visibility/dispatchability of the </w:t>
      </w:r>
      <w:r w:rsidR="00335708">
        <w:t>resources</w:t>
      </w:r>
      <w:r w:rsidR="00440785">
        <w:t>’</w:t>
      </w:r>
      <w:r w:rsidR="00335708">
        <w:t xml:space="preserve"> </w:t>
      </w:r>
      <w:r w:rsidR="004615CF">
        <w:t xml:space="preserve">energy and </w:t>
      </w:r>
      <w:r w:rsidR="004615CF">
        <w:lastRenderedPageBreak/>
        <w:t xml:space="preserve">capacity. The </w:t>
      </w:r>
      <w:r w:rsidR="00922845">
        <w:t>A</w:t>
      </w:r>
      <w:r w:rsidR="004615CF">
        <w:t xml:space="preserve">greement would provide the </w:t>
      </w:r>
      <w:r w:rsidR="005970C3">
        <w:t xml:space="preserve">PURPA avoided cost rate as compensation for providing </w:t>
      </w:r>
      <w:r w:rsidR="00737439">
        <w:t>R</w:t>
      </w:r>
      <w:r w:rsidR="005970C3">
        <w:t xml:space="preserve">esource </w:t>
      </w:r>
      <w:r w:rsidR="00737439">
        <w:t>A</w:t>
      </w:r>
      <w:r w:rsidR="005970C3">
        <w:t>dequacy</w:t>
      </w:r>
      <w:r w:rsidR="00F544E5">
        <w:t>.</w:t>
      </w:r>
    </w:p>
    <w:p w:rsidR="00E11E82" w:rsidP="00877203" w:rsidRDefault="00E11E82" w14:paraId="1766E52D" w14:textId="1433EFC9">
      <w:pPr>
        <w:pStyle w:val="Standard"/>
      </w:pPr>
      <w:r>
        <w:t>As part of th</w:t>
      </w:r>
      <w:r w:rsidR="00266E03">
        <w:t>is program, SCE proposes to include a subscription component</w:t>
      </w:r>
      <w:r w:rsidR="00FF027B">
        <w:t xml:space="preserve">, with a majority of </w:t>
      </w:r>
      <w:r w:rsidR="00B208AA">
        <w:t xml:space="preserve">the subscribers, </w:t>
      </w:r>
      <w:r w:rsidRPr="00150E4C" w:rsidR="00150E4C">
        <w:rPr>
          <w:i/>
          <w:iCs/>
        </w:rPr>
        <w:t>i.e.</w:t>
      </w:r>
      <w:r w:rsidR="00B208AA">
        <w:t xml:space="preserve">, </w:t>
      </w:r>
      <w:r w:rsidR="0092686F">
        <w:t>51</w:t>
      </w:r>
      <w:r w:rsidR="006473B0">
        <w:t> percent</w:t>
      </w:r>
      <w:r w:rsidR="0092686F">
        <w:t>, being low</w:t>
      </w:r>
      <w:r w:rsidR="003D6EF8">
        <w:noBreakHyphen/>
      </w:r>
      <w:r w:rsidR="0092686F">
        <w:t xml:space="preserve">income customers. Subscribers would receive a portion of the </w:t>
      </w:r>
      <w:r w:rsidR="00737439">
        <w:t>R</w:t>
      </w:r>
      <w:r w:rsidR="0092686F">
        <w:t xml:space="preserve">esource </w:t>
      </w:r>
      <w:r w:rsidR="00737439">
        <w:t>A</w:t>
      </w:r>
      <w:r w:rsidR="0092686F">
        <w:t>dequacy compensation through a bill credit.</w:t>
      </w:r>
      <w:r w:rsidR="00922845">
        <w:t xml:space="preserve"> </w:t>
      </w:r>
      <w:r w:rsidR="004C1C3D">
        <w:t>SCE pro</w:t>
      </w:r>
      <w:r w:rsidR="00E36C5E">
        <w:t>poses a Simplified Shared Savings Model to implement the subscriber</w:t>
      </w:r>
      <w:r w:rsidR="00440785">
        <w:t>’</w:t>
      </w:r>
      <w:r w:rsidR="00E36C5E">
        <w:t>s bill credit.</w:t>
      </w:r>
      <w:r w:rsidR="006770B1">
        <w:rPr>
          <w:rStyle w:val="FootnoteReference"/>
        </w:rPr>
        <w:footnoteReference w:id="219"/>
      </w:r>
      <w:r w:rsidR="00E36C5E">
        <w:t xml:space="preserve"> T</w:t>
      </w:r>
      <w:r w:rsidR="00922845">
        <w:t xml:space="preserve">his model would require the load serving entity to sign the Agreement </w:t>
      </w:r>
      <w:r w:rsidR="009519EA">
        <w:t xml:space="preserve">and make contractual payments to the generation resource owner. This could be </w:t>
      </w:r>
      <w:r w:rsidR="00071E0D">
        <w:t xml:space="preserve">on </w:t>
      </w:r>
      <w:r w:rsidR="009519EA">
        <w:t>a</w:t>
      </w:r>
      <w:r w:rsidR="007442B9">
        <w:t xml:space="preserve"> $/kWh </w:t>
      </w:r>
      <w:r w:rsidR="00352CDC">
        <w:t xml:space="preserve">energy basis </w:t>
      </w:r>
      <w:r w:rsidR="00071E0D">
        <w:t xml:space="preserve">or a combination of energy and capacity payments, both of which include </w:t>
      </w:r>
      <w:r w:rsidR="00E73E20">
        <w:t>day</w:t>
      </w:r>
      <w:r w:rsidR="003D6EF8">
        <w:noBreakHyphen/>
      </w:r>
      <w:r w:rsidR="00E73E20">
        <w:t xml:space="preserve">ahead </w:t>
      </w:r>
      <w:r w:rsidR="00476767">
        <w:t xml:space="preserve">market prices from CAISO. SCE proposes that </w:t>
      </w:r>
      <w:r w:rsidR="009942E5">
        <w:t xml:space="preserve">the </w:t>
      </w:r>
      <w:r w:rsidR="00476767">
        <w:t>subscribing customer</w:t>
      </w:r>
      <w:r w:rsidR="009942E5">
        <w:t>s</w:t>
      </w:r>
      <w:r w:rsidR="00440785">
        <w:t>’</w:t>
      </w:r>
      <w:r w:rsidR="009942E5">
        <w:t xml:space="preserve"> share of the compensation be set aside </w:t>
      </w:r>
      <w:r w:rsidR="00174AC8">
        <w:t>in a b</w:t>
      </w:r>
      <w:r w:rsidR="00D00327">
        <w:t>a</w:t>
      </w:r>
      <w:r w:rsidR="00174AC8">
        <w:t>lancing account to be distributed through a flat $/kWh</w:t>
      </w:r>
      <w:r w:rsidR="00D66DC5">
        <w:t xml:space="preserve"> credit that can be trued up annually based on the</w:t>
      </w:r>
      <w:r w:rsidR="00130DAB">
        <w:t xml:space="preserve"> generation resource</w:t>
      </w:r>
      <w:r w:rsidR="00440785">
        <w:t>’</w:t>
      </w:r>
      <w:r w:rsidR="00130DAB">
        <w:t xml:space="preserve">s performance. SCE also proposes </w:t>
      </w:r>
      <w:r w:rsidR="00542D1D">
        <w:t xml:space="preserve">that </w:t>
      </w:r>
      <w:r w:rsidR="00130DAB">
        <w:t xml:space="preserve">the share of compensation be </w:t>
      </w:r>
      <w:r w:rsidR="00542D1D">
        <w:t>ten percent for non</w:t>
      </w:r>
      <w:r w:rsidR="003D6EF8">
        <w:noBreakHyphen/>
      </w:r>
      <w:r w:rsidR="00542D1D">
        <w:t>low</w:t>
      </w:r>
      <w:r w:rsidR="003D6EF8">
        <w:noBreakHyphen/>
      </w:r>
      <w:r w:rsidR="00A00EF3">
        <w:t>income</w:t>
      </w:r>
      <w:r w:rsidR="00542D1D">
        <w:t xml:space="preserve"> customers and </w:t>
      </w:r>
      <w:r w:rsidR="00A00EF3">
        <w:t>20</w:t>
      </w:r>
      <w:r w:rsidR="006473B0">
        <w:t> percent</w:t>
      </w:r>
      <w:r w:rsidR="00A00EF3">
        <w:t xml:space="preserve"> for low</w:t>
      </w:r>
      <w:r w:rsidR="003D6EF8">
        <w:noBreakHyphen/>
      </w:r>
      <w:r w:rsidR="00A00EF3">
        <w:t>income customers.</w:t>
      </w:r>
      <w:r w:rsidR="008E3DF2">
        <w:t xml:space="preserve"> SCE submits that other details of the model </w:t>
      </w:r>
      <w:r w:rsidR="00C87DE9">
        <w:t>could be addressed through an advice letter process.</w:t>
      </w:r>
    </w:p>
    <w:p w:rsidR="005E569C" w:rsidP="00877203" w:rsidRDefault="00FC0F88" w14:paraId="556E229B" w14:textId="43512F20">
      <w:pPr>
        <w:pStyle w:val="Standard"/>
      </w:pPr>
      <w:r>
        <w:t>Other parameters of SCE</w:t>
      </w:r>
      <w:r w:rsidR="00440785">
        <w:t>’</w:t>
      </w:r>
      <w:r>
        <w:t>s proposal include</w:t>
      </w:r>
      <w:r w:rsidR="00C54D3C">
        <w:t xml:space="preserve"> a maximum facility size </w:t>
      </w:r>
      <w:r w:rsidR="003E7863">
        <w:t xml:space="preserve">of </w:t>
      </w:r>
      <w:r w:rsidR="0002776F">
        <w:t>three megawatts, a capacity constrained site location requirement, a combined solar and storage requirement (allowing for Renewable Energy Credits), and a requirement that storage dispatch rights be provided to the contracting utility.</w:t>
      </w:r>
    </w:p>
    <w:p w:rsidR="007B5628" w:rsidP="001B1E90" w:rsidRDefault="003A62AD" w14:paraId="31897020" w14:textId="6BE64820">
      <w:pPr>
        <w:pStyle w:val="Heading4"/>
      </w:pPr>
      <w:bookmarkStart w:name="_Toc159551185" w:id="147"/>
      <w:bookmarkStart w:name="_Toc168559305" w:id="148"/>
      <w:r>
        <w:lastRenderedPageBreak/>
        <w:t>Adding to the Proceeding Record</w:t>
      </w:r>
      <w:bookmarkEnd w:id="147"/>
      <w:bookmarkEnd w:id="148"/>
    </w:p>
    <w:p w:rsidR="00BA58BF" w:rsidP="003A62AD" w:rsidRDefault="005A5599" w14:paraId="3B87BA46" w14:textId="4FB498CC">
      <w:pPr>
        <w:pStyle w:val="Standard"/>
      </w:pPr>
      <w:r>
        <w:t xml:space="preserve">Following </w:t>
      </w:r>
      <w:r w:rsidR="005248CF">
        <w:t>the filing of briefs, t</w:t>
      </w:r>
      <w:r w:rsidR="003A62AD">
        <w:t>he Commission set aside submission of the record twice in this proceedin</w:t>
      </w:r>
      <w:r w:rsidR="006A1D80">
        <w:t xml:space="preserve">g, in </w:t>
      </w:r>
      <w:r w:rsidR="00106B9D">
        <w:t>the</w:t>
      </w:r>
      <w:r w:rsidR="006A1D80">
        <w:t xml:space="preserve"> </w:t>
      </w:r>
      <w:r w:rsidR="0013526D">
        <w:t>July </w:t>
      </w:r>
      <w:r w:rsidR="00106B9D">
        <w:t xml:space="preserve">23 </w:t>
      </w:r>
      <w:r w:rsidR="006A1D80">
        <w:t xml:space="preserve">Ruling and </w:t>
      </w:r>
      <w:r w:rsidR="00106B9D">
        <w:t>the</w:t>
      </w:r>
      <w:r w:rsidR="006A1D80">
        <w:t xml:space="preserve"> </w:t>
      </w:r>
      <w:r w:rsidR="0013526D">
        <w:t>November </w:t>
      </w:r>
      <w:r w:rsidR="00F57598">
        <w:t>6 Ruling</w:t>
      </w:r>
      <w:r w:rsidR="003A62AD">
        <w:t>.</w:t>
      </w:r>
    </w:p>
    <w:p w:rsidR="00BA58BF" w:rsidP="00A33EB1" w:rsidRDefault="00B4120C" w14:paraId="21C36937" w14:textId="1EE6522B">
      <w:pPr>
        <w:pStyle w:val="Standard"/>
      </w:pPr>
      <w:r>
        <w:t>I</w:t>
      </w:r>
      <w:r w:rsidR="00DA674D">
        <w:t xml:space="preserve">n the </w:t>
      </w:r>
      <w:r w:rsidR="0013526D">
        <w:t>July </w:t>
      </w:r>
      <w:r w:rsidR="00106B9D">
        <w:t xml:space="preserve">23 </w:t>
      </w:r>
      <w:r w:rsidR="00120915">
        <w:t>Ruling, the Commission ask</w:t>
      </w:r>
      <w:r w:rsidR="00394CBF">
        <w:t>ed</w:t>
      </w:r>
      <w:r w:rsidR="00120915">
        <w:t xml:space="preserve"> parties to respond to questions on </w:t>
      </w:r>
      <w:r w:rsidR="006626F9">
        <w:t>cost</w:t>
      </w:r>
      <w:r w:rsidR="003D6EF8">
        <w:noBreakHyphen/>
      </w:r>
      <w:r w:rsidR="006626F9">
        <w:t xml:space="preserve">effectiveness considerations </w:t>
      </w:r>
      <w:r w:rsidR="00A733A3">
        <w:t>and potential cost shift estimates for the new community renewable energy program proposals</w:t>
      </w:r>
      <w:r w:rsidR="00AC0735">
        <w:t xml:space="preserve">. The questions posed also </w:t>
      </w:r>
      <w:r w:rsidR="00083489">
        <w:t xml:space="preserve">queried parties on the appropriateness of using the Avoided Cost Calculator </w:t>
      </w:r>
      <w:r w:rsidR="00DD0301">
        <w:t>and the enumeration of the quantifiable and measurable benefits to participating and nonparticipating ratepayers</w:t>
      </w:r>
      <w:r w:rsidR="006A1D80">
        <w:t>.</w:t>
      </w:r>
      <w:r w:rsidR="00A33EB1">
        <w:t xml:space="preserve"> </w:t>
      </w:r>
      <w:r w:rsidR="00A6499D">
        <w:t>Parties</w:t>
      </w:r>
      <w:r w:rsidR="00440785">
        <w:t>’</w:t>
      </w:r>
      <w:r w:rsidR="00A6499D">
        <w:t xml:space="preserve"> </w:t>
      </w:r>
      <w:r w:rsidR="00476BB8">
        <w:t>comments on cost</w:t>
      </w:r>
      <w:r w:rsidR="003D6EF8">
        <w:noBreakHyphen/>
      </w:r>
      <w:r w:rsidR="00476BB8">
        <w:t xml:space="preserve">effectiveness </w:t>
      </w:r>
      <w:r w:rsidR="00032DB2">
        <w:t>and the cost</w:t>
      </w:r>
      <w:r w:rsidR="003D6EF8">
        <w:noBreakHyphen/>
      </w:r>
      <w:r w:rsidR="00032DB2">
        <w:t xml:space="preserve">shift </w:t>
      </w:r>
      <w:r w:rsidR="00476BB8">
        <w:t xml:space="preserve">are captured in the discussion below on </w:t>
      </w:r>
      <w:r w:rsidR="00174037">
        <w:t xml:space="preserve">compliance with </w:t>
      </w:r>
      <w:r w:rsidR="003627A8">
        <w:t>AB </w:t>
      </w:r>
      <w:r w:rsidR="00174037">
        <w:t>2316</w:t>
      </w:r>
      <w:r w:rsidR="00A33EB1">
        <w:t xml:space="preserve"> in </w:t>
      </w:r>
      <w:r w:rsidR="003627A8">
        <w:t>Section </w:t>
      </w:r>
      <w:r w:rsidR="00A33EB1">
        <w:t>3.4.4.2</w:t>
      </w:r>
      <w:r w:rsidR="00174037">
        <w:t>.</w:t>
      </w:r>
    </w:p>
    <w:p w:rsidR="00F5623F" w:rsidP="00990494" w:rsidRDefault="00B4120C" w14:paraId="56B15992" w14:textId="14603FF6">
      <w:pPr>
        <w:pStyle w:val="Standard"/>
      </w:pPr>
      <w:r>
        <w:t xml:space="preserve">In the </w:t>
      </w:r>
      <w:r w:rsidR="0013526D">
        <w:t>November </w:t>
      </w:r>
      <w:r w:rsidR="00F57598">
        <w:t>6 Ruling</w:t>
      </w:r>
      <w:r w:rsidR="007A31F8">
        <w:t xml:space="preserve">, </w:t>
      </w:r>
      <w:r w:rsidR="00394CBF">
        <w:t>the Commission asked parties questions about</w:t>
      </w:r>
      <w:r w:rsidR="007A7707">
        <w:t>:</w:t>
      </w:r>
      <w:r w:rsidR="00394CBF">
        <w:t xml:space="preserve"> </w:t>
      </w:r>
      <w:r w:rsidR="00606DDB">
        <w:t>(1</w:t>
      </w:r>
      <w:r w:rsidR="00F57598">
        <w:t>) </w:t>
      </w:r>
      <w:r w:rsidR="00606DDB">
        <w:t xml:space="preserve">grid reliability and </w:t>
      </w:r>
      <w:r w:rsidR="000F4621">
        <w:t xml:space="preserve">generation </w:t>
      </w:r>
      <w:r w:rsidR="00606DDB">
        <w:t>capacity values; (2</w:t>
      </w:r>
      <w:r w:rsidR="00F57598">
        <w:t>) </w:t>
      </w:r>
      <w:r w:rsidR="003813AA">
        <w:t>potential guardrails; and (3</w:t>
      </w:r>
      <w:r w:rsidR="00F57598">
        <w:t>) </w:t>
      </w:r>
      <w:r w:rsidR="003813AA">
        <w:t>interconnection matters.</w:t>
      </w:r>
      <w:r w:rsidR="00C148A8">
        <w:t xml:space="preserve"> The ruling provided </w:t>
      </w:r>
      <w:r w:rsidR="002D3151">
        <w:t xml:space="preserve">descriptions of the </w:t>
      </w:r>
      <w:r w:rsidRPr="00445D05" w:rsidR="004A3097">
        <w:rPr>
          <w:rFonts w:cs="TimesNewRomanPSMT"/>
          <w:szCs w:val="26"/>
        </w:rPr>
        <w:t>NY VDER</w:t>
      </w:r>
      <w:r w:rsidR="004A3097">
        <w:t xml:space="preserve"> tariff, </w:t>
      </w:r>
      <w:r w:rsidR="00F02DE9">
        <w:t xml:space="preserve">which CCSA often refers to in describing the </w:t>
      </w:r>
      <w:r w:rsidR="00285D8C">
        <w:t xml:space="preserve">export compensation rate </w:t>
      </w:r>
      <w:r w:rsidR="00DE0F8D">
        <w:t xml:space="preserve">elements of the </w:t>
      </w:r>
      <w:r w:rsidR="00F02DE9">
        <w:t xml:space="preserve">NVBT. </w:t>
      </w:r>
      <w:r w:rsidR="0055268C">
        <w:t xml:space="preserve">With respect to </w:t>
      </w:r>
      <w:r w:rsidR="009226FE">
        <w:t xml:space="preserve">questions on </w:t>
      </w:r>
      <w:r w:rsidR="0055268C">
        <w:t>generation capacity, the ruling provided a description of the Commissio</w:t>
      </w:r>
      <w:r w:rsidR="009226FE">
        <w:t>n</w:t>
      </w:r>
      <w:r w:rsidR="00440785">
        <w:t>’</w:t>
      </w:r>
      <w:r w:rsidR="0055268C">
        <w:t xml:space="preserve">s </w:t>
      </w:r>
      <w:r w:rsidR="00023D53">
        <w:t>R</w:t>
      </w:r>
      <w:r w:rsidR="0055268C">
        <w:t xml:space="preserve">esource </w:t>
      </w:r>
      <w:r w:rsidR="00023D53">
        <w:t>A</w:t>
      </w:r>
      <w:r w:rsidR="0055268C">
        <w:t>dequacy program</w:t>
      </w:r>
      <w:r w:rsidR="00995EA3">
        <w:t>. T</w:t>
      </w:r>
      <w:r w:rsidR="00A2062B">
        <w:t>he Commission provi</w:t>
      </w:r>
      <w:r w:rsidR="0080574B">
        <w:t>d</w:t>
      </w:r>
      <w:r w:rsidR="00A2062B">
        <w:t xml:space="preserve">ed </w:t>
      </w:r>
      <w:r w:rsidR="00AD7C9E">
        <w:t>parties with</w:t>
      </w:r>
      <w:r w:rsidR="00A2062B">
        <w:t xml:space="preserve"> t</w:t>
      </w:r>
      <w:r w:rsidR="00995EA3">
        <w:t xml:space="preserve">his additional information </w:t>
      </w:r>
      <w:r w:rsidR="00DF43C9">
        <w:t>as a foundation to further develop the record of th</w:t>
      </w:r>
      <w:r w:rsidR="00C2323E">
        <w:t>is</w:t>
      </w:r>
      <w:r w:rsidR="00DF43C9">
        <w:t xml:space="preserve"> proceeding</w:t>
      </w:r>
      <w:r w:rsidR="005A533A">
        <w:t>.</w:t>
      </w:r>
    </w:p>
    <w:p w:rsidR="00BA58BF" w:rsidP="00990494" w:rsidRDefault="00A910A3" w14:paraId="2CC2A90C" w14:textId="437B57C0">
      <w:pPr>
        <w:pStyle w:val="Standard"/>
      </w:pPr>
      <w:r>
        <w:t>P</w:t>
      </w:r>
      <w:r w:rsidR="00A32C05">
        <w:t>arties</w:t>
      </w:r>
      <w:r w:rsidR="00440785">
        <w:t>’</w:t>
      </w:r>
      <w:r w:rsidR="00A32C05">
        <w:t xml:space="preserve"> comments </w:t>
      </w:r>
      <w:r w:rsidR="00F5623F">
        <w:t xml:space="preserve">to the </w:t>
      </w:r>
      <w:r w:rsidR="0013526D">
        <w:t>November </w:t>
      </w:r>
      <w:r w:rsidR="00F57598">
        <w:t>6 Ruling</w:t>
      </w:r>
      <w:r w:rsidR="007571F7">
        <w:t xml:space="preserve"> </w:t>
      </w:r>
      <w:r w:rsidR="00A32C05">
        <w:t xml:space="preserve">are discussed throughout </w:t>
      </w:r>
      <w:r w:rsidR="003627A8">
        <w:t>Section </w:t>
      </w:r>
      <w:r w:rsidR="00CF634C">
        <w:t>3.4</w:t>
      </w:r>
      <w:r w:rsidR="00052151">
        <w:t xml:space="preserve"> but generally espouse previous </w:t>
      </w:r>
      <w:r w:rsidR="006D69A3">
        <w:t>positions</w:t>
      </w:r>
      <w:r w:rsidR="007131E2">
        <w:t>.</w:t>
      </w:r>
      <w:r w:rsidR="009F5702">
        <w:t xml:space="preserve"> </w:t>
      </w:r>
      <w:r w:rsidR="001C1200">
        <w:t>CC</w:t>
      </w:r>
      <w:r w:rsidR="001F2710">
        <w:t xml:space="preserve">SA and other proponents of NVBT options argue that </w:t>
      </w:r>
      <w:r w:rsidR="00272135">
        <w:t>participating</w:t>
      </w:r>
      <w:r w:rsidR="001F2710">
        <w:t xml:space="preserve"> resour</w:t>
      </w:r>
      <w:r w:rsidR="00233066">
        <w:t xml:space="preserve">ces will provide reliability </w:t>
      </w:r>
      <w:r w:rsidR="0006201B">
        <w:t xml:space="preserve">and generation </w:t>
      </w:r>
      <w:r w:rsidR="00272135">
        <w:t>capacity</w:t>
      </w:r>
      <w:r w:rsidR="0006201B">
        <w:t xml:space="preserve"> because they will be included in the Energy Commission</w:t>
      </w:r>
      <w:r w:rsidR="00440785">
        <w:t>’</w:t>
      </w:r>
      <w:r w:rsidR="0006201B">
        <w:t xml:space="preserve">s load forecast and </w:t>
      </w:r>
      <w:r w:rsidR="00272135">
        <w:t>deducted</w:t>
      </w:r>
      <w:r w:rsidR="0006201B">
        <w:t xml:space="preserve"> from each local serving </w:t>
      </w:r>
      <w:r w:rsidR="00272135">
        <w:t>entity</w:t>
      </w:r>
      <w:r w:rsidR="00440785">
        <w:t>’</w:t>
      </w:r>
      <w:r w:rsidR="00272135">
        <w:t xml:space="preserve">s </w:t>
      </w:r>
      <w:r w:rsidR="00243E95">
        <w:t>R</w:t>
      </w:r>
      <w:r w:rsidR="00272135">
        <w:t xml:space="preserve">esource </w:t>
      </w:r>
      <w:r w:rsidR="00243E95">
        <w:t>A</w:t>
      </w:r>
      <w:r w:rsidR="00272135">
        <w:t xml:space="preserve">dequacy requirements. </w:t>
      </w:r>
      <w:r w:rsidR="000341A3">
        <w:t>Joint CCA</w:t>
      </w:r>
      <w:r w:rsidR="00901879">
        <w:t xml:space="preserve">s and </w:t>
      </w:r>
      <w:r w:rsidR="00D5631E">
        <w:t>Utilities argue that pot</w:t>
      </w:r>
      <w:r w:rsidR="006F62C0">
        <w:t>en</w:t>
      </w:r>
      <w:r w:rsidR="00D5631E">
        <w:t>t</w:t>
      </w:r>
      <w:r w:rsidR="006F62C0">
        <w:t>i</w:t>
      </w:r>
      <w:r w:rsidR="00D5631E">
        <w:t xml:space="preserve">al </w:t>
      </w:r>
      <w:r w:rsidR="00DC5680">
        <w:lastRenderedPageBreak/>
        <w:t xml:space="preserve">NVBT resources </w:t>
      </w:r>
      <w:r w:rsidR="00913DE3">
        <w:t xml:space="preserve">do not provide the claimed reliability and capacity benefits because they will not participate in </w:t>
      </w:r>
      <w:r w:rsidR="00023D53">
        <w:t>R</w:t>
      </w:r>
      <w:r w:rsidR="00913DE3">
        <w:t xml:space="preserve">esource </w:t>
      </w:r>
      <w:r w:rsidR="00023D53">
        <w:t>A</w:t>
      </w:r>
      <w:r w:rsidR="00913DE3">
        <w:t xml:space="preserve">dequacy </w:t>
      </w:r>
      <w:r w:rsidR="00363E13">
        <w:t xml:space="preserve">and would instead increase </w:t>
      </w:r>
      <w:r w:rsidR="00CD6B8F">
        <w:t>generation capacity</w:t>
      </w:r>
      <w:r w:rsidR="00056A5B">
        <w:t xml:space="preserve"> costs for the same type of </w:t>
      </w:r>
      <w:r w:rsidR="00C44C27">
        <w:t xml:space="preserve">wholesale resources, as well as raise </w:t>
      </w:r>
      <w:r w:rsidR="00990494">
        <w:t xml:space="preserve">major safety and visibility issues for the CAISO. </w:t>
      </w:r>
      <w:r w:rsidR="00CC5B60">
        <w:t xml:space="preserve">CAISO </w:t>
      </w:r>
      <w:r w:rsidR="007B606B">
        <w:t xml:space="preserve">provided its </w:t>
      </w:r>
      <w:r w:rsidR="00E970EA">
        <w:t xml:space="preserve">own </w:t>
      </w:r>
      <w:r w:rsidR="00DC5AAD">
        <w:t>comments regarding these safety and visibility concerns. Given the Commission</w:t>
      </w:r>
      <w:r w:rsidR="00440785">
        <w:t>’</w:t>
      </w:r>
      <w:r w:rsidR="00DC5AAD">
        <w:t xml:space="preserve">s responsibility to ensure </w:t>
      </w:r>
      <w:r w:rsidR="0067655E">
        <w:t>Utilities maintain a safe and reliable grid, this decision presents an overview of the CAISO comments below</w:t>
      </w:r>
      <w:r w:rsidR="00312B39">
        <w:t>.</w:t>
      </w:r>
    </w:p>
    <w:p w:rsidR="00BA58BF" w:rsidRDefault="008C72C3" w14:paraId="0B50BB9D" w14:textId="51EFA0F2">
      <w:pPr>
        <w:pStyle w:val="Standard"/>
      </w:pPr>
      <w:r>
        <w:t xml:space="preserve">In response to the </w:t>
      </w:r>
      <w:r w:rsidR="0013526D">
        <w:t>November </w:t>
      </w:r>
      <w:r w:rsidR="00F57598">
        <w:t>6 Ruling</w:t>
      </w:r>
      <w:r w:rsidR="00AC3BD0">
        <w:t xml:space="preserve">, </w:t>
      </w:r>
      <w:r w:rsidR="00A11D3B">
        <w:t xml:space="preserve">CAISO </w:t>
      </w:r>
      <w:r w:rsidR="000739EC">
        <w:t>sought and received party status in this proceeding</w:t>
      </w:r>
      <w:r w:rsidR="00FF4142">
        <w:t xml:space="preserve"> and provided relevant operational and planning implications</w:t>
      </w:r>
      <w:r w:rsidR="00146520">
        <w:t>.</w:t>
      </w:r>
      <w:r w:rsidR="00D066C4">
        <w:t xml:space="preserve"> </w:t>
      </w:r>
      <w:r w:rsidR="009D5BC6">
        <w:t>CAISO</w:t>
      </w:r>
      <w:r w:rsidR="00440785">
        <w:t>’</w:t>
      </w:r>
      <w:r w:rsidR="00C870F1">
        <w:t xml:space="preserve">s comments </w:t>
      </w:r>
      <w:r w:rsidR="00BA05A9">
        <w:t xml:space="preserve">focused </w:t>
      </w:r>
      <w:r w:rsidR="00C870F1">
        <w:t xml:space="preserve">on two </w:t>
      </w:r>
      <w:r w:rsidR="00337B8F">
        <w:t>issues</w:t>
      </w:r>
      <w:r w:rsidR="00EA2CAA">
        <w:t xml:space="preserve"> </w:t>
      </w:r>
      <w:r w:rsidR="00337B8F">
        <w:t xml:space="preserve">related to </w:t>
      </w:r>
      <w:r w:rsidR="00EA2CAA">
        <w:t xml:space="preserve">this </w:t>
      </w:r>
      <w:r w:rsidR="00405B1F">
        <w:t>proceeding</w:t>
      </w:r>
      <w:r w:rsidR="005D30D7">
        <w:t xml:space="preserve">: </w:t>
      </w:r>
      <w:r w:rsidR="00243E95">
        <w:t>R</w:t>
      </w:r>
      <w:r w:rsidR="00432E61">
        <w:t xml:space="preserve">esource </w:t>
      </w:r>
      <w:r w:rsidR="00243E95">
        <w:t>A</w:t>
      </w:r>
      <w:r w:rsidR="00432E61">
        <w:t xml:space="preserve">dequacy </w:t>
      </w:r>
      <w:r w:rsidR="00162FCF">
        <w:t>require</w:t>
      </w:r>
      <w:r w:rsidR="001B30D7">
        <w:t xml:space="preserve">ments </w:t>
      </w:r>
      <w:r w:rsidR="00035DB6">
        <w:t xml:space="preserve">and </w:t>
      </w:r>
      <w:r w:rsidR="00552532">
        <w:t>NVBT project alignment with grid needs.</w:t>
      </w:r>
    </w:p>
    <w:p w:rsidR="00447318" w:rsidRDefault="00976D67" w14:paraId="6DD7B185" w14:textId="52706E30">
      <w:pPr>
        <w:pStyle w:val="Standard"/>
      </w:pPr>
      <w:r>
        <w:t xml:space="preserve">In their comments, </w:t>
      </w:r>
      <w:r w:rsidR="0061359E">
        <w:t xml:space="preserve">CAISO </w:t>
      </w:r>
      <w:r w:rsidR="00F41B7E">
        <w:t xml:space="preserve">requests the Commission to ensure that if </w:t>
      </w:r>
      <w:r w:rsidR="00CB709A">
        <w:t>NVBT resources</w:t>
      </w:r>
      <w:r w:rsidR="00C638F6">
        <w:t xml:space="preserve"> </w:t>
      </w:r>
      <w:r w:rsidR="00CB709A">
        <w:t xml:space="preserve">either count toward </w:t>
      </w:r>
      <w:r w:rsidR="00023D53">
        <w:t>R</w:t>
      </w:r>
      <w:r w:rsidR="00264432">
        <w:t xml:space="preserve">esource </w:t>
      </w:r>
      <w:r w:rsidR="00023D53">
        <w:t>A</w:t>
      </w:r>
      <w:r w:rsidR="00264432">
        <w:t>dequacy requirements as supply</w:t>
      </w:r>
      <w:r w:rsidR="003D6EF8">
        <w:noBreakHyphen/>
      </w:r>
      <w:r w:rsidR="00264432">
        <w:t xml:space="preserve">side resources or reduce </w:t>
      </w:r>
      <w:r w:rsidR="00023D53">
        <w:t>R</w:t>
      </w:r>
      <w:r w:rsidR="00746D55">
        <w:t xml:space="preserve">esource </w:t>
      </w:r>
      <w:r w:rsidR="00023D53">
        <w:t>A</w:t>
      </w:r>
      <w:r w:rsidR="00746D55">
        <w:t>dequacy requirements as load</w:t>
      </w:r>
      <w:r w:rsidR="003D6EF8">
        <w:noBreakHyphen/>
      </w:r>
      <w:r w:rsidR="00746D55">
        <w:t>modifying resources, the resources should consistently, coinci</w:t>
      </w:r>
      <w:r w:rsidR="00877609">
        <w:t>dently, and systematically contribute to meeting or reducing load serving entities</w:t>
      </w:r>
      <w:r w:rsidR="00440785">
        <w:t>’</w:t>
      </w:r>
      <w:r w:rsidR="00877609">
        <w:t xml:space="preserve"> share of </w:t>
      </w:r>
      <w:r w:rsidR="0032634F">
        <w:t>coincident demand.</w:t>
      </w:r>
      <w:r w:rsidR="0032634F">
        <w:rPr>
          <w:rStyle w:val="FootnoteReference"/>
        </w:rPr>
        <w:footnoteReference w:id="220"/>
      </w:r>
      <w:r w:rsidR="00EE091C">
        <w:t xml:space="preserve"> </w:t>
      </w:r>
      <w:r w:rsidR="002578C5">
        <w:t xml:space="preserve">Noting that the CAISO does not </w:t>
      </w:r>
      <w:r w:rsidR="0078169B">
        <w:t>have operational control of load</w:t>
      </w:r>
      <w:r w:rsidR="003D6EF8">
        <w:noBreakHyphen/>
      </w:r>
      <w:r w:rsidR="0078169B">
        <w:t>modifying resources</w:t>
      </w:r>
      <w:r w:rsidR="00E41F80">
        <w:t xml:space="preserve">, CAISO </w:t>
      </w:r>
      <w:r w:rsidR="002D7D0E">
        <w:t xml:space="preserve">contends that if </w:t>
      </w:r>
      <w:r w:rsidR="006D5D2B">
        <w:t>these resources demonstra</w:t>
      </w:r>
      <w:r w:rsidR="007C5A65">
        <w:t xml:space="preserve">bly offset </w:t>
      </w:r>
      <w:r w:rsidR="00023D53">
        <w:t>R</w:t>
      </w:r>
      <w:r w:rsidR="007C5A65">
        <w:t xml:space="preserve">esource </w:t>
      </w:r>
      <w:r w:rsidR="00023D53">
        <w:t>A</w:t>
      </w:r>
      <w:r w:rsidR="007C5A65">
        <w:t xml:space="preserve">dequacy requirements by reducing the metrics that drive </w:t>
      </w:r>
      <w:r w:rsidR="00023D53">
        <w:t>R</w:t>
      </w:r>
      <w:r w:rsidR="00DB1390">
        <w:t xml:space="preserve">esource </w:t>
      </w:r>
      <w:r w:rsidR="00023D53">
        <w:t>A</w:t>
      </w:r>
      <w:r w:rsidR="00DB1390">
        <w:t>dequacy requirements</w:t>
      </w:r>
      <w:r w:rsidR="00F155C4">
        <w:t xml:space="preserve">, then the resources could reduce system capacity needs in lieu of procuring additional supply side </w:t>
      </w:r>
      <w:r w:rsidR="00243E95">
        <w:t>R</w:t>
      </w:r>
      <w:r w:rsidR="00F155C4">
        <w:t xml:space="preserve">esource </w:t>
      </w:r>
      <w:r w:rsidR="00243E95">
        <w:t>A</w:t>
      </w:r>
      <w:r w:rsidR="00F155C4">
        <w:t xml:space="preserve">dequacy capacity. CAISO </w:t>
      </w:r>
      <w:r w:rsidR="00635661">
        <w:t>asserts</w:t>
      </w:r>
      <w:r w:rsidR="00F155C4">
        <w:t xml:space="preserve"> </w:t>
      </w:r>
      <w:r w:rsidR="005A2711">
        <w:t xml:space="preserve">that </w:t>
      </w:r>
      <w:r w:rsidR="0043601A">
        <w:t xml:space="preserve">if the resources are not </w:t>
      </w:r>
      <w:r w:rsidR="00440785">
        <w:t>“</w:t>
      </w:r>
      <w:r w:rsidR="0043601A">
        <w:t xml:space="preserve">consistently used and dispatched coincident with the hours and times of peak demand and, </w:t>
      </w:r>
      <w:r w:rsidR="0043601A">
        <w:lastRenderedPageBreak/>
        <w:t xml:space="preserve">therefore, </w:t>
      </w:r>
      <w:r w:rsidR="005F0944">
        <w:t xml:space="preserve">do not favorably </w:t>
      </w:r>
      <w:r w:rsidR="00411ECC">
        <w:t>reshape and modify the demand that drives [</w:t>
      </w:r>
      <w:r w:rsidR="00023D53">
        <w:t>R</w:t>
      </w:r>
      <w:r w:rsidR="00411ECC">
        <w:t xml:space="preserve">esource </w:t>
      </w:r>
      <w:r w:rsidR="00023D53">
        <w:t>A</w:t>
      </w:r>
      <w:r w:rsidR="00411ECC">
        <w:t xml:space="preserve">dequacy] </w:t>
      </w:r>
      <w:r w:rsidR="00AD1B58">
        <w:t xml:space="preserve">requirements, then avoiding </w:t>
      </w:r>
      <w:r w:rsidR="00C4002A">
        <w:t>[</w:t>
      </w:r>
      <w:r w:rsidR="00A20AB0">
        <w:t>R</w:t>
      </w:r>
      <w:r w:rsidR="00AD1B58">
        <w:t xml:space="preserve">esource </w:t>
      </w:r>
      <w:r w:rsidR="00A20AB0">
        <w:t>A</w:t>
      </w:r>
      <w:r w:rsidR="00AD1B58">
        <w:t>dequacy</w:t>
      </w:r>
      <w:r w:rsidR="00D20ED0">
        <w:t>]</w:t>
      </w:r>
      <w:r w:rsidR="00AD1B58">
        <w:t xml:space="preserve"> and capturing </w:t>
      </w:r>
      <w:r w:rsidR="007F42A0">
        <w:t>[</w:t>
      </w:r>
      <w:r w:rsidR="00A20AB0">
        <w:t>R</w:t>
      </w:r>
      <w:r w:rsidR="007F42A0">
        <w:t xml:space="preserve">esource </w:t>
      </w:r>
      <w:r w:rsidR="00A20AB0">
        <w:t>A</w:t>
      </w:r>
      <w:r w:rsidR="007F42A0">
        <w:t>dequacy] savings will not be realized.</w:t>
      </w:r>
      <w:r w:rsidR="00440785">
        <w:t>”</w:t>
      </w:r>
      <w:r w:rsidR="00D20ED0">
        <w:rPr>
          <w:rStyle w:val="FootnoteReference"/>
        </w:rPr>
        <w:footnoteReference w:id="221"/>
      </w:r>
      <w:r w:rsidR="00D20ED0">
        <w:t xml:space="preserve"> CAISO cautions that there is </w:t>
      </w:r>
      <w:r w:rsidR="00440785">
        <w:t>“</w:t>
      </w:r>
      <w:r w:rsidR="00D20ED0">
        <w:t>risk associated with self</w:t>
      </w:r>
      <w:r w:rsidR="003D6EF8">
        <w:noBreakHyphen/>
      </w:r>
      <w:r w:rsidR="00D20ED0">
        <w:t xml:space="preserve">deployed load modifying </w:t>
      </w:r>
      <w:r w:rsidR="00AE4BD8">
        <w:t xml:space="preserve">resources, </w:t>
      </w:r>
      <w:r w:rsidR="00D74C68">
        <w:t>where resources may not be utiliz</w:t>
      </w:r>
      <w:r w:rsidR="00D53EEE">
        <w:t xml:space="preserve">ed when and where needed, </w:t>
      </w:r>
      <w:r w:rsidR="001303B9">
        <w:t>resulting in potential inefficiencies and reliability issues if the deployment of load</w:t>
      </w:r>
      <w:r w:rsidR="003D6EF8">
        <w:noBreakHyphen/>
      </w:r>
      <w:r w:rsidR="001303B9">
        <w:t>modifying programs do not align with grid needs.</w:t>
      </w:r>
      <w:r w:rsidR="00440785">
        <w:t>”</w:t>
      </w:r>
      <w:r w:rsidR="009100BE">
        <w:rPr>
          <w:rStyle w:val="FootnoteReference"/>
        </w:rPr>
        <w:footnoteReference w:id="222"/>
      </w:r>
    </w:p>
    <w:p w:rsidR="009B0886" w:rsidP="005D065D" w:rsidRDefault="00D066C4" w14:paraId="33449C32" w14:textId="638D6527">
      <w:pPr>
        <w:pStyle w:val="Standard"/>
      </w:pPr>
      <w:r>
        <w:t xml:space="preserve">CAISO </w:t>
      </w:r>
      <w:r w:rsidR="00447318">
        <w:t xml:space="preserve">also </w:t>
      </w:r>
      <w:r>
        <w:t xml:space="preserve">cautions the Commission that </w:t>
      </w:r>
      <w:r w:rsidR="00976D67">
        <w:t xml:space="preserve">if NVBT resources </w:t>
      </w:r>
      <w:r w:rsidR="00DC547F">
        <w:t xml:space="preserve">send </w:t>
      </w:r>
      <w:r w:rsidR="00976D67">
        <w:t>a sig</w:t>
      </w:r>
      <w:r w:rsidR="00D808A9">
        <w:t xml:space="preserve">nificant amount of power onto distribution systems </w:t>
      </w:r>
      <w:r w:rsidR="00856EEF">
        <w:t xml:space="preserve">(as well as transmission grids) </w:t>
      </w:r>
      <w:r w:rsidR="00D808A9">
        <w:t xml:space="preserve">but are not visible to the CAISO, </w:t>
      </w:r>
      <w:r w:rsidR="00C157A5">
        <w:t xml:space="preserve">it would </w:t>
      </w:r>
      <w:r w:rsidR="00440785">
        <w:t>“</w:t>
      </w:r>
      <w:r w:rsidR="00C157A5">
        <w:t>create operational and demand forecasting challenges for distribution operators and the CAISO.</w:t>
      </w:r>
      <w:r w:rsidR="00440785">
        <w:t>”</w:t>
      </w:r>
      <w:r w:rsidR="00EB18B6">
        <w:rPr>
          <w:rStyle w:val="FootnoteReference"/>
        </w:rPr>
        <w:footnoteReference w:id="223"/>
      </w:r>
      <w:r w:rsidR="00A05C58">
        <w:t xml:space="preserve"> CAISO asserts such challenges would be exacerbated if projects regularly export without incentives </w:t>
      </w:r>
      <w:r w:rsidR="00440785">
        <w:t>“</w:t>
      </w:r>
      <w:r w:rsidR="00A05C58">
        <w:t>to operate consistently and aligned with grid needs.</w:t>
      </w:r>
      <w:r w:rsidR="00440785">
        <w:t>”</w:t>
      </w:r>
      <w:r w:rsidR="00094DF9">
        <w:rPr>
          <w:rStyle w:val="FootnoteReference"/>
        </w:rPr>
        <w:footnoteReference w:id="224"/>
      </w:r>
      <w:r w:rsidR="00094DF9">
        <w:t xml:space="preserve"> CAISO highlights the </w:t>
      </w:r>
      <w:r w:rsidR="00AE353D">
        <w:t>recent reestablishment of a one</w:t>
      </w:r>
      <w:r w:rsidR="003D6EF8">
        <w:noBreakHyphen/>
      </w:r>
      <w:r w:rsidR="00AE353D">
        <w:t xml:space="preserve">megawatt project cap on exporting </w:t>
      </w:r>
      <w:r w:rsidR="009E2071">
        <w:t xml:space="preserve">net energy metering resources that interconnect directly to the transmission grid via </w:t>
      </w:r>
      <w:r w:rsidR="00B93FAE">
        <w:t xml:space="preserve">Electric </w:t>
      </w:r>
      <w:r w:rsidR="00566DFA">
        <w:t>Rule </w:t>
      </w:r>
      <w:r w:rsidR="009E2071">
        <w:t>21.</w:t>
      </w:r>
      <w:r w:rsidR="001019F4">
        <w:t xml:space="preserve"> CAISO </w:t>
      </w:r>
      <w:r w:rsidR="00074DBA">
        <w:t>notes that in that same decision, the Commission determined that large, non</w:t>
      </w:r>
      <w:r w:rsidR="003D6EF8">
        <w:noBreakHyphen/>
      </w:r>
      <w:r w:rsidR="003961B1">
        <w:t>market participating exporting and load masking systems greater than one megawatt that backfeed onto the transmission system should provide operational data to the CAISO to manage operational and forecasting issues</w:t>
      </w:r>
      <w:r w:rsidR="00FB1454">
        <w:t xml:space="preserve"> and </w:t>
      </w:r>
      <w:r w:rsidR="00BC2372">
        <w:t>re</w:t>
      </w:r>
      <w:r w:rsidR="003D6EF8">
        <w:noBreakHyphen/>
      </w:r>
      <w:r w:rsidR="00FB1454">
        <w:t xml:space="preserve">instituted </w:t>
      </w:r>
      <w:r w:rsidR="00BB568C">
        <w:t>a</w:t>
      </w:r>
      <w:r w:rsidR="00FB1454">
        <w:t xml:space="preserve"> </w:t>
      </w:r>
      <w:r w:rsidR="00BC2372">
        <w:t>one</w:t>
      </w:r>
      <w:r w:rsidR="003D6EF8">
        <w:noBreakHyphen/>
      </w:r>
      <w:r w:rsidR="00BC2372">
        <w:t xml:space="preserve">megawatt cap </w:t>
      </w:r>
      <w:r w:rsidR="00BB568C">
        <w:t>on these resources</w:t>
      </w:r>
      <w:r w:rsidR="003961B1">
        <w:t>.</w:t>
      </w:r>
      <w:r w:rsidR="00BB568C">
        <w:rPr>
          <w:rStyle w:val="FootnoteReference"/>
        </w:rPr>
        <w:footnoteReference w:id="225"/>
      </w:r>
      <w:r w:rsidR="003961B1">
        <w:t xml:space="preserve"> CAISO recommends a similar requirement </w:t>
      </w:r>
      <w:r w:rsidR="00A516D9">
        <w:t xml:space="preserve">for large exporting solar and storage </w:t>
      </w:r>
      <w:r w:rsidR="00A516D9">
        <w:lastRenderedPageBreak/>
        <w:t xml:space="preserve">projects because the NVBT </w:t>
      </w:r>
      <w:r w:rsidR="000F5BB3">
        <w:t xml:space="preserve">resources are not proposed to participate in the CAISO market and thus not visible </w:t>
      </w:r>
      <w:r w:rsidR="004844B6">
        <w:t>to CAISO.</w:t>
      </w:r>
      <w:r w:rsidR="004844B6">
        <w:rPr>
          <w:rStyle w:val="FootnoteReference"/>
        </w:rPr>
        <w:footnoteReference w:id="226"/>
      </w:r>
    </w:p>
    <w:p w:rsidR="005940D5" w:rsidP="000617A4" w:rsidRDefault="005940D5" w14:paraId="150E8595" w14:textId="6B23D0C0">
      <w:pPr>
        <w:pStyle w:val="Heading3"/>
      </w:pPr>
      <w:bookmarkStart w:name="_Toc168559306" w:id="149"/>
      <w:r>
        <w:t>Overview of NY VDER</w:t>
      </w:r>
      <w:bookmarkEnd w:id="149"/>
    </w:p>
    <w:p w:rsidR="005940D5" w:rsidP="005940D5" w:rsidRDefault="005940D5" w14:paraId="204A2CAF" w14:textId="7221874D">
      <w:pPr>
        <w:pStyle w:val="Standard"/>
      </w:pPr>
      <w:r>
        <w:t>Throughout testimony, CCSA frequently compare</w:t>
      </w:r>
      <w:r w:rsidR="00021878">
        <w:t>s</w:t>
      </w:r>
      <w:r>
        <w:t xml:space="preserve"> its NVBT proposal to the NY VDER calling the NVBT a California version of the NYVDER. Several other parties referenced the NY VDER as well. However, CCSA also notes that “California and the NVBT are not entirely analogous to New York and the NY VDER.”</w:t>
      </w:r>
      <w:r w:rsidR="0083297C">
        <w:rPr>
          <w:rStyle w:val="FootnoteReference"/>
        </w:rPr>
        <w:footnoteReference w:id="227"/>
      </w:r>
      <w:r>
        <w:t xml:space="preserve"> To ensure a complete record on the NY VDER, the Commission issued the November 6 Ruling to provide a clearer picture of the tariff and its differences </w:t>
      </w:r>
      <w:r w:rsidR="0083297C">
        <w:t>from the NVBT</w:t>
      </w:r>
      <w:r>
        <w:t>. This decision presents a brief overview of the NY VDER</w:t>
      </w:r>
      <w:r w:rsidR="0083297C">
        <w:t xml:space="preserve"> so that the reader can compare and contrast the two tariffs</w:t>
      </w:r>
      <w:r>
        <w:t>.</w:t>
      </w:r>
    </w:p>
    <w:p w:rsidR="005940D5" w:rsidP="005940D5" w:rsidRDefault="0083297C" w14:paraId="4337D9C3" w14:textId="5F2033C4">
      <w:pPr>
        <w:pStyle w:val="Standard"/>
      </w:pPr>
      <w:r>
        <w:t>According to the website for the New York State Energy Development Agency (NYSERDA), the “Value of Distributed Energy Resources (VDER), which includes the Value Stack, is a methodology or tariff used to compensate energy created by distributed energy resources (DERs). Compensation under the Value Stack is based on the actual benefits a resource provides to New York’s electric grid and is in the form of bill credits. This is determined by</w:t>
      </w:r>
      <w:r w:rsidR="00016C42">
        <w:t xml:space="preserve"> a distributed energy resources’</w:t>
      </w:r>
      <w:r>
        <w:t xml:space="preserve"> energy value, capacity value, environmental value, demand reduction value, and locational system relief value. The Value Stack methodology applies to onsite nonresidential projects larger than 750 kilowatts AC and all remote metered projects including those using a Community Distributed Generation </w:t>
      </w:r>
      <w:r>
        <w:lastRenderedPageBreak/>
        <w:t>(CDG) configuration. Eligible technologies include solar photovoltaics (PV), stand-alone and co-located energy storage, certain types of combined heat and power (CHP), anaerobic digesters, wind turbines, small hydro and fuel cells.”</w:t>
      </w:r>
      <w:r>
        <w:rPr>
          <w:rStyle w:val="FootnoteReference"/>
        </w:rPr>
        <w:footnoteReference w:id="228"/>
      </w:r>
      <w:r w:rsidR="002B1264">
        <w:t xml:space="preserve"> As indicated on the NYSERDA Technical Assistance website, the NY VDER has a five-megawatt capacity cap for all projects.</w:t>
      </w:r>
      <w:r w:rsidR="002B1264">
        <w:rPr>
          <w:rStyle w:val="FootnoteReference"/>
        </w:rPr>
        <w:footnoteReference w:id="229"/>
      </w:r>
    </w:p>
    <w:p w:rsidR="0083297C" w:rsidP="005940D5" w:rsidRDefault="0083297C" w14:paraId="0B08266D" w14:textId="47458887">
      <w:pPr>
        <w:pStyle w:val="Standard"/>
      </w:pPr>
      <w:r>
        <w:t xml:space="preserve">The website goes on to say that the Value Stack is used by a utility to determine the value of the energy produced and the monetary value through bill credits is distributed by the utility to offtakers (subscribers) as directed by the distributed energy resource developer and the offtakers pay a subscription fee to the developer. The website explains that the Value Stack </w:t>
      </w:r>
      <w:r w:rsidR="00B87976">
        <w:t>was developed to ensure an accurate and fair compensation model to provide project owners and developers with reasonable revenue certainty and bankability.</w:t>
      </w:r>
    </w:p>
    <w:p w:rsidRPr="003A6AFC" w:rsidR="004724D4" w:rsidP="00BD1731" w:rsidRDefault="00B87976" w14:paraId="51502B13" w14:textId="69158C52">
      <w:pPr>
        <w:pStyle w:val="Standard"/>
      </w:pPr>
      <w:r>
        <w:t xml:space="preserve">CCSA has compared the Avoided Cost Calculator </w:t>
      </w:r>
      <w:r w:rsidR="006C7C24">
        <w:t xml:space="preserve">values </w:t>
      </w:r>
      <w:r>
        <w:t xml:space="preserve">to the Value </w:t>
      </w:r>
      <w:r w:rsidR="006C7C24">
        <w:t>Stack values but</w:t>
      </w:r>
      <w:r w:rsidR="002B1264">
        <w:t xml:space="preserve"> concedes</w:t>
      </w:r>
      <w:r>
        <w:t xml:space="preserve"> there are differences. According to the NYSERDA website, the Value Stack has six elements</w:t>
      </w:r>
      <w:r w:rsidR="006C7C24">
        <w:t xml:space="preserve"> or values</w:t>
      </w:r>
      <w:r>
        <w:t xml:space="preserve">: (1) the Energy Value, which changes hourly and varies according to geography zone, is the day-ahead wholesale energy price as determined by the New York Independent System Operator; 2) the Capacity Value, which can change monthly, is the value of how well a project reduces New York State’s energy usage during the most energy-intensive days of the year; 3) the Environmental Value, which is locked in for 25 years, is the value of how much environmental benefit a clean kilowatt-hour brings to the grid and society; 4) the Demand Reduction Value, which is locked in for 10 years,  is determined by how much a project reduces the utility’s future </w:t>
      </w:r>
      <w:r>
        <w:lastRenderedPageBreak/>
        <w:t>needs to make grid upgrades; 5) the Locational System Relief Value, which is locked in for 10 years, is available in utility-designated locations where distributed energy resources provide additional benefits to the grid</w:t>
      </w:r>
      <w:r w:rsidR="00C35E3F">
        <w:t xml:space="preserve">; each location has a limited number of available megawatt capacity; and 6) a Community Credit is available on a limited basis to encourage development of community distributed generation projects but is locked in for 25 years. </w:t>
      </w:r>
      <w:r w:rsidR="006C7C24">
        <w:t>T</w:t>
      </w:r>
      <w:r w:rsidR="002B1264">
        <w:t>he Community Credit</w:t>
      </w:r>
      <w:r w:rsidR="002B1264">
        <w:rPr>
          <w:rStyle w:val="FootnoteReference"/>
        </w:rPr>
        <w:footnoteReference w:id="230"/>
      </w:r>
      <w:r w:rsidR="00C35E3F">
        <w:t xml:space="preserve"> is a</w:t>
      </w:r>
      <w:r w:rsidR="002B1264">
        <w:t xml:space="preserve">n </w:t>
      </w:r>
      <w:r w:rsidR="00C35E3F">
        <w:t xml:space="preserve">additional </w:t>
      </w:r>
      <w:r w:rsidR="002B1264">
        <w:t xml:space="preserve">upfront </w:t>
      </w:r>
      <w:r w:rsidR="00C35E3F">
        <w:t>incentive.</w:t>
      </w:r>
      <w:r w:rsidR="002B1264">
        <w:t xml:space="preserve"> </w:t>
      </w:r>
      <w:bookmarkStart w:name="_Hlk145077826" w:id="150"/>
    </w:p>
    <w:p w:rsidR="00B022DF" w:rsidP="001B1E90" w:rsidRDefault="00B022DF" w14:paraId="392AB1F6" w14:textId="0243CF9E">
      <w:pPr>
        <w:pStyle w:val="Heading3"/>
      </w:pPr>
      <w:bookmarkStart w:name="_Toc159551189" w:id="151"/>
      <w:bookmarkStart w:name="_Toc168559307" w:id="152"/>
      <w:r>
        <w:t xml:space="preserve">Compliance with </w:t>
      </w:r>
      <w:r w:rsidR="001B1E90">
        <w:t>Assembly Bill </w:t>
      </w:r>
      <w:r>
        <w:t xml:space="preserve">2316 and </w:t>
      </w:r>
      <w:r w:rsidR="00D5178B">
        <w:t>Public Utilities</w:t>
      </w:r>
      <w:r>
        <w:t xml:space="preserve"> Code </w:t>
      </w:r>
      <w:r w:rsidR="003627A8">
        <w:rPr>
          <w:rFonts w:cs="Arial"/>
        </w:rPr>
        <w:t>Section </w:t>
      </w:r>
      <w:r>
        <w:t>769.3</w:t>
      </w:r>
      <w:r w:rsidR="0040628F">
        <w:t>(c)</w:t>
      </w:r>
      <w:bookmarkEnd w:id="151"/>
      <w:bookmarkEnd w:id="152"/>
    </w:p>
    <w:p w:rsidR="004E51FD" w:rsidP="00AC6E92" w:rsidRDefault="004E51FD" w14:paraId="7BEA09ED" w14:textId="1137A1B1">
      <w:pPr>
        <w:pStyle w:val="Standard"/>
      </w:pPr>
      <w:r>
        <w:t xml:space="preserve">This section addresses issues </w:t>
      </w:r>
      <w:r w:rsidR="00CB68DA">
        <w:t>related</w:t>
      </w:r>
      <w:r>
        <w:t xml:space="preserve"> to </w:t>
      </w:r>
      <w:r w:rsidR="003627A8">
        <w:t>AB </w:t>
      </w:r>
      <w:r w:rsidR="00BF49D7">
        <w:t xml:space="preserve">2316 and </w:t>
      </w:r>
      <w:r w:rsidR="00440785">
        <w:t>Pub. Util.</w:t>
      </w:r>
      <w:r>
        <w:t xml:space="preserve"> Code </w:t>
      </w:r>
      <w:r w:rsidR="003627A8">
        <w:rPr>
          <w:rFonts w:cs="Arial"/>
        </w:rPr>
        <w:t>Section </w:t>
      </w:r>
      <w:r>
        <w:t>769.3</w:t>
      </w:r>
      <w:r w:rsidR="00C2323E">
        <w:t>(c)</w:t>
      </w:r>
      <w:r w:rsidR="005D30D7">
        <w:t xml:space="preserve">: </w:t>
      </w:r>
      <w:r>
        <w:t>(1</w:t>
      </w:r>
      <w:r w:rsidR="003113DE">
        <w:t>) </w:t>
      </w:r>
      <w:r>
        <w:t xml:space="preserve">whether </w:t>
      </w:r>
      <w:r w:rsidR="00586172">
        <w:t>the legislation and statute</w:t>
      </w:r>
      <w:r>
        <w:t xml:space="preserve"> requires the Commission to adopt a new community renewable energy program</w:t>
      </w:r>
      <w:r w:rsidR="006D2F52">
        <w:t xml:space="preserve">; </w:t>
      </w:r>
      <w:r w:rsidR="00CC1F74">
        <w:t xml:space="preserve">and </w:t>
      </w:r>
      <w:r w:rsidR="006D2F52">
        <w:t>(2</w:t>
      </w:r>
      <w:r w:rsidR="003113DE">
        <w:t>) </w:t>
      </w:r>
      <w:r w:rsidR="006D2F52">
        <w:t xml:space="preserve">whether </w:t>
      </w:r>
      <w:r w:rsidR="00E92D5B">
        <w:t>the NVBT proposal compl</w:t>
      </w:r>
      <w:r w:rsidR="00F17908">
        <w:t>ies</w:t>
      </w:r>
      <w:r w:rsidR="00E92D5B">
        <w:t xml:space="preserve"> with </w:t>
      </w:r>
      <w:r w:rsidR="003627A8">
        <w:t>AB </w:t>
      </w:r>
      <w:r w:rsidR="00586172">
        <w:t xml:space="preserve">2316 and </w:t>
      </w:r>
      <w:r w:rsidR="00440785">
        <w:t>Pub. Util.</w:t>
      </w:r>
      <w:r w:rsidR="008F2FF0">
        <w:t xml:space="preserve"> Code </w:t>
      </w:r>
      <w:r w:rsidR="003627A8">
        <w:rPr>
          <w:rFonts w:cs="Arial"/>
        </w:rPr>
        <w:t>Section </w:t>
      </w:r>
      <w:r w:rsidR="00E92D5B">
        <w:t>769.3(c)</w:t>
      </w:r>
      <w:r>
        <w:t>.</w:t>
      </w:r>
    </w:p>
    <w:p w:rsidR="000108BC" w:rsidP="001B1E90" w:rsidRDefault="001B1E90" w14:paraId="6CEE64AF" w14:textId="3E9E3A9D">
      <w:pPr>
        <w:pStyle w:val="Heading4"/>
      </w:pPr>
      <w:bookmarkStart w:name="_Toc159551190" w:id="153"/>
      <w:bookmarkStart w:name="_Toc168559308" w:id="154"/>
      <w:r>
        <w:t>Assembly Bill </w:t>
      </w:r>
      <w:r w:rsidR="00600FC0">
        <w:t>2316 Does Not</w:t>
      </w:r>
      <w:r w:rsidR="00D62231">
        <w:br/>
      </w:r>
      <w:r w:rsidR="00600FC0">
        <w:t>Require the Commission to</w:t>
      </w:r>
      <w:r w:rsidR="00D62231">
        <w:br/>
      </w:r>
      <w:r w:rsidR="00600FC0">
        <w:t>Adopt a New Community</w:t>
      </w:r>
      <w:r w:rsidR="00D62231">
        <w:br/>
      </w:r>
      <w:r w:rsidR="00600FC0">
        <w:t>Renewable Energy Program</w:t>
      </w:r>
      <w:bookmarkEnd w:id="153"/>
      <w:bookmarkEnd w:id="154"/>
    </w:p>
    <w:p w:rsidR="004E51FD" w:rsidP="00AC6E92" w:rsidRDefault="004E51FD" w14:paraId="5C8BCB3F" w14:textId="6A4FC844">
      <w:pPr>
        <w:pStyle w:val="Standard"/>
      </w:pPr>
      <w:r>
        <w:t>SCE assert</w:t>
      </w:r>
      <w:r w:rsidR="00007DDE">
        <w:t>s</w:t>
      </w:r>
      <w:r>
        <w:t xml:space="preserve"> that </w:t>
      </w:r>
      <w:r w:rsidR="003627A8">
        <w:t>AB </w:t>
      </w:r>
      <w:r>
        <w:t xml:space="preserve">2316 does not require a new community renewable energy program. SCE contends </w:t>
      </w:r>
      <w:r w:rsidR="003627A8">
        <w:t>AB </w:t>
      </w:r>
      <w:r>
        <w:t xml:space="preserve">2316 </w:t>
      </w:r>
      <w:r w:rsidR="00440785">
        <w:t>“</w:t>
      </w:r>
      <w:r>
        <w:t>provides the Commission with discretion as to whether to order its implementation.</w:t>
      </w:r>
      <w:r w:rsidR="00440785">
        <w:t>”</w:t>
      </w:r>
      <w:r>
        <w:rPr>
          <w:rStyle w:val="FootnoteReference"/>
        </w:rPr>
        <w:footnoteReference w:id="231"/>
      </w:r>
      <w:r>
        <w:t xml:space="preserve"> Citing </w:t>
      </w:r>
      <w:r w:rsidR="00440785">
        <w:t>Pub. Util.</w:t>
      </w:r>
      <w:r w:rsidR="008F2FF0">
        <w:t xml:space="preserve"> Code </w:t>
      </w:r>
      <w:r w:rsidR="003627A8">
        <w:t>Section</w:t>
      </w:r>
      <w:r w:rsidR="00392806">
        <w:t>s</w:t>
      </w:r>
      <w:r w:rsidR="003627A8">
        <w:t> </w:t>
      </w:r>
      <w:r>
        <w:t>769.3(b)(2)(A)</w:t>
      </w:r>
      <w:r w:rsidR="003D6EF8">
        <w:noBreakHyphen/>
      </w:r>
      <w:r>
        <w:t xml:space="preserve">(B), SCE submits that </w:t>
      </w:r>
      <w:bookmarkStart w:name="_Hlk158116749" w:id="155"/>
      <w:r w:rsidR="003627A8">
        <w:t>Section </w:t>
      </w:r>
      <w:r>
        <w:t xml:space="preserve">769.3(b)(2)(B) </w:t>
      </w:r>
      <w:r w:rsidR="00440785">
        <w:t>“</w:t>
      </w:r>
      <w:r>
        <w:t>makes plain the Legislature did not restrict the Commission</w:t>
      </w:r>
      <w:r w:rsidR="00440785">
        <w:t>’</w:t>
      </w:r>
      <w:r>
        <w:t>s discretion</w:t>
      </w:r>
      <w:r w:rsidR="00440785">
        <w:t>”</w:t>
      </w:r>
      <w:r>
        <w:t xml:space="preserve"> to order a new community renewable energy program in stating </w:t>
      </w:r>
      <w:r w:rsidR="00440785">
        <w:t>“</w:t>
      </w:r>
      <w:r w:rsidRPr="005D1068">
        <w:t xml:space="preserve">If the commission establishes a community renewable energy program pursuant to </w:t>
      </w:r>
      <w:r w:rsidR="00B54A82">
        <w:t>subparagraph </w:t>
      </w:r>
      <w:r w:rsidRPr="005D1068">
        <w:t>(A)</w:t>
      </w:r>
      <w:r w:rsidRPr="000E0D78">
        <w:t>.</w:t>
      </w:r>
      <w:r w:rsidR="00440785">
        <w:t>”</w:t>
      </w:r>
      <w:bookmarkEnd w:id="155"/>
      <w:r w:rsidRPr="000E0D78">
        <w:rPr>
          <w:rStyle w:val="FootnoteReference"/>
        </w:rPr>
        <w:footnoteReference w:id="232"/>
      </w:r>
      <w:r>
        <w:t xml:space="preserve"> The </w:t>
      </w:r>
      <w:r>
        <w:lastRenderedPageBreak/>
        <w:t>Commission agrees with this interpretation</w:t>
      </w:r>
      <w:r w:rsidR="000E20F2">
        <w:t xml:space="preserve">; </w:t>
      </w:r>
      <w:bookmarkStart w:name="_Hlk158116796" w:id="156"/>
      <w:r w:rsidR="00FA56C1">
        <w:t xml:space="preserve">the plain language of </w:t>
      </w:r>
      <w:r w:rsidR="003627A8">
        <w:t>AB </w:t>
      </w:r>
      <w:r w:rsidR="00FA56C1">
        <w:t xml:space="preserve">2316 allows the Commission to make its own determination on the reasonableness of </w:t>
      </w:r>
      <w:r w:rsidR="00327B40">
        <w:t xml:space="preserve">establishing a </w:t>
      </w:r>
      <w:r w:rsidR="00FA56C1">
        <w:t>community renewable energy program</w:t>
      </w:r>
      <w:bookmarkEnd w:id="156"/>
      <w:r w:rsidR="001E721E">
        <w:t xml:space="preserve">, </w:t>
      </w:r>
      <w:r w:rsidRPr="00150E4C" w:rsidR="00150E4C">
        <w:rPr>
          <w:i/>
          <w:iCs/>
        </w:rPr>
        <w:t>i.e.</w:t>
      </w:r>
      <w:r w:rsidR="001E721E">
        <w:t>, the Commission is not required to adopt a community renewable energy program</w:t>
      </w:r>
      <w:r>
        <w:t>.</w:t>
      </w:r>
      <w:r w:rsidR="00E96293">
        <w:t xml:space="preserve"> However, as </w:t>
      </w:r>
      <w:r w:rsidR="00CC501D">
        <w:t xml:space="preserve">discussed </w:t>
      </w:r>
      <w:r w:rsidR="009A3CC9">
        <w:t xml:space="preserve">in </w:t>
      </w:r>
      <w:r w:rsidR="003627A8">
        <w:t>Section </w:t>
      </w:r>
      <w:r w:rsidR="009A3CC9">
        <w:t xml:space="preserve">3.4.5 </w:t>
      </w:r>
      <w:r w:rsidR="00CC501D">
        <w:t>below, the Commission find</w:t>
      </w:r>
      <w:r w:rsidR="007D1531">
        <w:t>s</w:t>
      </w:r>
      <w:r w:rsidR="00CC501D">
        <w:t xml:space="preserve"> it </w:t>
      </w:r>
      <w:r w:rsidR="00D93494">
        <w:t>beneficial to ratepayers to establ</w:t>
      </w:r>
      <w:r w:rsidR="00473F9C">
        <w:t xml:space="preserve">ish a community renewable energy program consistent with the criteria in </w:t>
      </w:r>
      <w:r w:rsidR="003627A8">
        <w:t>AB </w:t>
      </w:r>
      <w:r w:rsidR="00385EB0">
        <w:t>2316.</w:t>
      </w:r>
    </w:p>
    <w:p w:rsidR="00600FC0" w:rsidP="001B1E90" w:rsidRDefault="000B1E5D" w14:paraId="6649E41E" w14:textId="4D95A5E8">
      <w:pPr>
        <w:pStyle w:val="Heading4"/>
      </w:pPr>
      <w:bookmarkStart w:name="_Toc159551191" w:id="157"/>
      <w:bookmarkStart w:name="_Toc168559309" w:id="158"/>
      <w:r>
        <w:t>Net Value Billing Tariff</w:t>
      </w:r>
      <w:r w:rsidR="006E35A2">
        <w:t xml:space="preserve"> Proposals Conflict With </w:t>
      </w:r>
      <w:r w:rsidR="001B1E90">
        <w:t>Assembly Bill </w:t>
      </w:r>
      <w:r w:rsidR="00600FC0">
        <w:t>2316</w:t>
      </w:r>
      <w:bookmarkEnd w:id="157"/>
      <w:bookmarkEnd w:id="158"/>
    </w:p>
    <w:p w:rsidR="004C3917" w:rsidP="00AC6E92" w:rsidRDefault="00CA2916" w14:paraId="1815DEAB" w14:textId="4BA19D00">
      <w:pPr>
        <w:pStyle w:val="Standard"/>
      </w:pPr>
      <w:r>
        <w:t>As</w:t>
      </w:r>
      <w:r w:rsidR="005028C5">
        <w:t xml:space="preserve"> described below, the Commission finds that the NVBT</w:t>
      </w:r>
      <w:r w:rsidR="002006EA">
        <w:t xml:space="preserve"> proposal</w:t>
      </w:r>
      <w:r w:rsidR="005028C5">
        <w:t xml:space="preserve"> do</w:t>
      </w:r>
      <w:r w:rsidR="00F17908">
        <w:t>es</w:t>
      </w:r>
      <w:r w:rsidR="005028C5">
        <w:t xml:space="preserve"> not meet the requirement of </w:t>
      </w:r>
      <w:r w:rsidR="003627A8">
        <w:t>AB </w:t>
      </w:r>
      <w:r w:rsidR="005028C5">
        <w:t xml:space="preserve">2316 and </w:t>
      </w:r>
      <w:r w:rsidR="00440785">
        <w:t>Pub. Util.</w:t>
      </w:r>
      <w:r w:rsidR="005028C5">
        <w:t xml:space="preserve"> Code </w:t>
      </w:r>
      <w:r w:rsidR="003627A8">
        <w:t>Section </w:t>
      </w:r>
      <w:r w:rsidR="005028C5">
        <w:t>769.3</w:t>
      </w:r>
      <w:r w:rsidR="001166F1">
        <w:t>(c)(3)</w:t>
      </w:r>
      <w:r w:rsidR="005028C5">
        <w:t xml:space="preserve"> to minimize impacts to nonparticipating customers by prohibiting the program</w:t>
      </w:r>
      <w:r w:rsidR="00440785">
        <w:t>’</w:t>
      </w:r>
      <w:r w:rsidR="005028C5">
        <w:t xml:space="preserve">s costs from being paid by nonparticipating customers in excess of avoided costs. First, </w:t>
      </w:r>
      <w:r w:rsidR="00DB6749">
        <w:t xml:space="preserve">adopting </w:t>
      </w:r>
      <w:r w:rsidR="00610A5B">
        <w:t>any form of</w:t>
      </w:r>
      <w:r w:rsidR="00DB6749">
        <w:t xml:space="preserve"> NVBT </w:t>
      </w:r>
      <w:r w:rsidR="00E01D3A">
        <w:t xml:space="preserve">would </w:t>
      </w:r>
      <w:r w:rsidR="00CD7B2F">
        <w:t xml:space="preserve">result </w:t>
      </w:r>
      <w:r w:rsidR="005028C5">
        <w:t>in ratepayers paying more than the avoided cost for these resources. Second, analysis of the NVBT proposal indicate</w:t>
      </w:r>
      <w:r w:rsidR="002006EA">
        <w:t>s</w:t>
      </w:r>
      <w:r w:rsidR="005028C5">
        <w:t xml:space="preserve"> that a cost shift would exist</w:t>
      </w:r>
      <w:r w:rsidR="001166F1">
        <w:t xml:space="preserve">. Both findings are in </w:t>
      </w:r>
      <w:r w:rsidR="00E82352">
        <w:t>direct conflict w</w:t>
      </w:r>
      <w:r w:rsidR="00BD1731">
        <w:t xml:space="preserve">ith </w:t>
      </w:r>
      <w:r w:rsidR="00440785">
        <w:t>Pub. Util.</w:t>
      </w:r>
      <w:r w:rsidR="00E82352">
        <w:t xml:space="preserve"> Code </w:t>
      </w:r>
      <w:r w:rsidR="003627A8">
        <w:t>Section </w:t>
      </w:r>
      <w:r w:rsidR="00E82352">
        <w:t>769.3</w:t>
      </w:r>
      <w:r w:rsidR="001166F1">
        <w:t>(c)</w:t>
      </w:r>
      <w:r w:rsidR="00BC1B8B">
        <w:t>(3)</w:t>
      </w:r>
      <w:r w:rsidR="005028C5">
        <w:t>.</w:t>
      </w:r>
    </w:p>
    <w:p w:rsidR="00AF3A60" w:rsidP="001B1E90" w:rsidRDefault="00AF3A60" w14:paraId="25FFF924" w14:textId="4BD6269D">
      <w:pPr>
        <w:pStyle w:val="Heading5"/>
      </w:pPr>
      <w:bookmarkStart w:name="_Toc159551192" w:id="159"/>
      <w:bookmarkStart w:name="_Toc168559310" w:id="160"/>
      <w:r>
        <w:t xml:space="preserve">The </w:t>
      </w:r>
      <w:r w:rsidR="000B1E5D">
        <w:t>Net Value Billing Tariff</w:t>
      </w:r>
      <w:r>
        <w:t xml:space="preserve"> </w:t>
      </w:r>
      <w:r w:rsidR="00640636">
        <w:t>Result</w:t>
      </w:r>
      <w:r w:rsidR="00A01BB0">
        <w:t>s</w:t>
      </w:r>
      <w:r w:rsidR="00640636">
        <w:t xml:space="preserve"> in Ratepayers Pay</w:t>
      </w:r>
      <w:r w:rsidR="00A01BB0">
        <w:t>ing More Than the</w:t>
      </w:r>
      <w:r w:rsidR="00640636">
        <w:t xml:space="preserve"> </w:t>
      </w:r>
      <w:r w:rsidR="007D711C">
        <w:t xml:space="preserve">True </w:t>
      </w:r>
      <w:r>
        <w:t>Avoided Cost</w:t>
      </w:r>
      <w:r w:rsidR="00B874AF">
        <w:t>s</w:t>
      </w:r>
      <w:bookmarkEnd w:id="159"/>
      <w:bookmarkEnd w:id="160"/>
    </w:p>
    <w:p w:rsidR="00BA58BF" w:rsidP="00043553" w:rsidRDefault="00AF3A60" w14:paraId="416922DA" w14:textId="6BB0548F">
      <w:pPr>
        <w:pStyle w:val="Standard"/>
      </w:pPr>
      <w:r>
        <w:t xml:space="preserve">The foundation of the NVBT </w:t>
      </w:r>
      <w:r w:rsidR="006302E0">
        <w:t xml:space="preserve">proposal </w:t>
      </w:r>
      <w:r>
        <w:t>is the use of hourly Avoided Cost Calculator values to calculate retail export compensation rates</w:t>
      </w:r>
      <w:r w:rsidR="00043553">
        <w:t>. The Avoided Cost Calculator is used</w:t>
      </w:r>
      <w:r>
        <w:t xml:space="preserve"> for the net billing tariff recently adopted by the Commission in D.22</w:t>
      </w:r>
      <w:r w:rsidR="003D6EF8">
        <w:noBreakHyphen/>
      </w:r>
      <w:r>
        <w:t>12</w:t>
      </w:r>
      <w:r w:rsidR="003D6EF8">
        <w:noBreakHyphen/>
      </w:r>
      <w:r>
        <w:t>056</w:t>
      </w:r>
      <w:r w:rsidR="00043553">
        <w:t xml:space="preserve"> </w:t>
      </w:r>
      <w:r w:rsidR="007400DB">
        <w:t xml:space="preserve">but </w:t>
      </w:r>
      <w:r w:rsidR="00043553">
        <w:t>is not an accurate measure of value for the NVBT proposal</w:t>
      </w:r>
      <w:r w:rsidR="00C96F02">
        <w:t xml:space="preserve"> because </w:t>
      </w:r>
      <w:r w:rsidR="007400DB">
        <w:t xml:space="preserve">NVBT resources </w:t>
      </w:r>
      <w:r w:rsidR="00C96F02">
        <w:t xml:space="preserve">do not </w:t>
      </w:r>
      <w:r w:rsidR="007400DB">
        <w:t>truly avoid certain costs</w:t>
      </w:r>
      <w:r w:rsidR="00C96F02">
        <w:t xml:space="preserve">, as discussed </w:t>
      </w:r>
      <w:r w:rsidR="007400DB">
        <w:t>below</w:t>
      </w:r>
      <w:r>
        <w:t xml:space="preserve">. </w:t>
      </w:r>
      <w:r w:rsidR="00C96F02">
        <w:t>Hence</w:t>
      </w:r>
      <w:r w:rsidR="00016C42">
        <w:t>,</w:t>
      </w:r>
      <w:r w:rsidR="00C96F02">
        <w:t xml:space="preserve"> adopting the NVBT proposal would result in ratepayers paying more than the avoided costs for these resources. Further, </w:t>
      </w:r>
      <w:r w:rsidR="007400DB">
        <w:t>t</w:t>
      </w:r>
      <w:r>
        <w:t xml:space="preserve">he interaction of NVBT </w:t>
      </w:r>
      <w:r>
        <w:lastRenderedPageBreak/>
        <w:t xml:space="preserve">resources with the grid is different from the interaction of </w:t>
      </w:r>
      <w:r w:rsidR="00AD44B1">
        <w:t>n</w:t>
      </w:r>
      <w:r>
        <w:t xml:space="preserve">et </w:t>
      </w:r>
      <w:r w:rsidR="00AD44B1">
        <w:t>b</w:t>
      </w:r>
      <w:r>
        <w:t xml:space="preserve">illing tariff resources with the grid. Hence, the Commission finds that </w:t>
      </w:r>
      <w:r w:rsidR="00D643C9">
        <w:t>the</w:t>
      </w:r>
      <w:r>
        <w:t xml:space="preserve"> NVBT resources do not result in the same avoided costs as </w:t>
      </w:r>
      <w:r w:rsidR="00D643C9">
        <w:t>the n</w:t>
      </w:r>
      <w:r>
        <w:t xml:space="preserve">et </w:t>
      </w:r>
      <w:r w:rsidR="00D643C9">
        <w:t>b</w:t>
      </w:r>
      <w:r>
        <w:t>illing tariff resources.</w:t>
      </w:r>
    </w:p>
    <w:p w:rsidR="00AF3A60" w:rsidP="00AC6E92" w:rsidRDefault="00AF3A60" w14:paraId="38C0CA80" w14:textId="35A9507A">
      <w:pPr>
        <w:pStyle w:val="Standard"/>
      </w:pPr>
      <w:r>
        <w:t>As SEIA states, the Avoided Cost Calculator has multiple avoided cost components</w:t>
      </w:r>
      <w:r w:rsidR="005D30D7">
        <w:t xml:space="preserve">: </w:t>
      </w:r>
      <w:r>
        <w:t>(1</w:t>
      </w:r>
      <w:r w:rsidR="00965F09">
        <w:t>) </w:t>
      </w:r>
      <w:r>
        <w:t>avoided energy costs; (2</w:t>
      </w:r>
      <w:r w:rsidR="00965F09">
        <w:t>) </w:t>
      </w:r>
      <w:r>
        <w:t>line loss; (3</w:t>
      </w:r>
      <w:r w:rsidR="00965F09">
        <w:t>) </w:t>
      </w:r>
      <w:r>
        <w:t>avoided ancillary services costs; (4</w:t>
      </w:r>
      <w:r w:rsidR="00965F09">
        <w:t>) </w:t>
      </w:r>
      <w:r>
        <w:t>avoided generation; (5</w:t>
      </w:r>
      <w:r w:rsidR="00965F09">
        <w:t>) </w:t>
      </w:r>
      <w:r>
        <w:t>avoided transmission and distribution; (6</w:t>
      </w:r>
      <w:r w:rsidR="00965F09">
        <w:t>) </w:t>
      </w:r>
      <w:r>
        <w:t>greenhouse gas costs</w:t>
      </w:r>
      <w:r w:rsidR="000E0D78">
        <w:t>;</w:t>
      </w:r>
      <w:r>
        <w:t xml:space="preserve"> and (7</w:t>
      </w:r>
      <w:r w:rsidR="00965F09">
        <w:t>) </w:t>
      </w:r>
      <w:r>
        <w:t>reduction in methane leakage.</w:t>
      </w:r>
      <w:r>
        <w:rPr>
          <w:rStyle w:val="FootnoteReference"/>
        </w:rPr>
        <w:footnoteReference w:id="233"/>
      </w:r>
      <w:r>
        <w:t xml:space="preserve"> In the case of the NVBT, certain components are treated differently</w:t>
      </w:r>
      <w:r w:rsidR="005D30D7">
        <w:t xml:space="preserve">: </w:t>
      </w:r>
      <w:r>
        <w:t>(1</w:t>
      </w:r>
      <w:r w:rsidR="00965F09">
        <w:t>) </w:t>
      </w:r>
      <w:r>
        <w:t>avoided energy costs are replaced with actual day</w:t>
      </w:r>
      <w:r w:rsidR="003D6EF8">
        <w:noBreakHyphen/>
      </w:r>
      <w:r>
        <w:t>ahead market prices;</w:t>
      </w:r>
      <w:r>
        <w:rPr>
          <w:rStyle w:val="FootnoteReference"/>
        </w:rPr>
        <w:footnoteReference w:id="234"/>
      </w:r>
      <w:r>
        <w:t xml:space="preserve"> and (2</w:t>
      </w:r>
      <w:r w:rsidR="00965F09">
        <w:t>) </w:t>
      </w:r>
      <w:r>
        <w:t xml:space="preserve">generation, transmission and distribution, and </w:t>
      </w:r>
      <w:r w:rsidR="00440785">
        <w:t>“</w:t>
      </w:r>
      <w:r>
        <w:t>environmental values</w:t>
      </w:r>
      <w:r w:rsidR="00440785">
        <w:t>”</w:t>
      </w:r>
      <w:r>
        <w:rPr>
          <w:rStyle w:val="FootnoteReference"/>
        </w:rPr>
        <w:footnoteReference w:id="235"/>
      </w:r>
      <w:r>
        <w:t xml:space="preserve"> are based on the Avoided Cost Calculator values but consolidated into a rate that applies during a four</w:t>
      </w:r>
      <w:r w:rsidR="003D6EF8">
        <w:noBreakHyphen/>
      </w:r>
      <w:r>
        <w:t>hour peak period of 5</w:t>
      </w:r>
      <w:r w:rsidR="00965F09">
        <w:t>:00 </w:t>
      </w:r>
      <w:r>
        <w:t>p.m. to 9</w:t>
      </w:r>
      <w:r w:rsidR="00965F09">
        <w:t>:00 </w:t>
      </w:r>
      <w:r>
        <w:t>p.m. during July, August, and September.</w:t>
      </w:r>
      <w:r>
        <w:rPr>
          <w:rStyle w:val="FootnoteReference"/>
        </w:rPr>
        <w:footnoteReference w:id="236"/>
      </w:r>
      <w:r>
        <w:t xml:space="preserve"> </w:t>
      </w:r>
      <w:r w:rsidR="007334F6">
        <w:t xml:space="preserve">CCSA </w:t>
      </w:r>
      <w:r w:rsidR="00AE1FC4">
        <w:t xml:space="preserve">maintains this model is similar to that used in </w:t>
      </w:r>
      <w:r w:rsidR="004428CF">
        <w:t>NY</w:t>
      </w:r>
      <w:r w:rsidR="00AE1FC4">
        <w:t xml:space="preserve"> VDER</w:t>
      </w:r>
      <w:r w:rsidR="002F3523">
        <w:t xml:space="preserve">. </w:t>
      </w:r>
      <w:r w:rsidR="00F3789F">
        <w:t>N</w:t>
      </w:r>
      <w:r w:rsidR="003D20C9">
        <w:t>ot</w:t>
      </w:r>
      <w:r w:rsidR="00F3789F">
        <w:t>ing</w:t>
      </w:r>
      <w:r w:rsidR="003D20C9">
        <w:t xml:space="preserve"> that the NY VDER </w:t>
      </w:r>
      <w:r w:rsidR="00D47E3B">
        <w:t xml:space="preserve">provides all avoided capacity value based on actual projection during a </w:t>
      </w:r>
      <w:r w:rsidR="000F06DF">
        <w:t>single</w:t>
      </w:r>
      <w:r w:rsidR="00D47E3B">
        <w:t xml:space="preserve"> peak hour of the year</w:t>
      </w:r>
      <w:r w:rsidR="002F3523">
        <w:t xml:space="preserve">, TURN </w:t>
      </w:r>
      <w:r w:rsidR="00167724">
        <w:t xml:space="preserve">asserts </w:t>
      </w:r>
      <w:r w:rsidR="00D631C7">
        <w:t xml:space="preserve">that </w:t>
      </w:r>
      <w:r w:rsidR="00167724">
        <w:t>this approach may not align with the multi</w:t>
      </w:r>
      <w:r w:rsidR="003D6EF8">
        <w:noBreakHyphen/>
      </w:r>
      <w:r w:rsidR="00167724">
        <w:t xml:space="preserve">hour </w:t>
      </w:r>
      <w:r w:rsidR="00E04623">
        <w:t>net peak load that occurs on the CAISO system.</w:t>
      </w:r>
      <w:r w:rsidR="009D2A0B">
        <w:rPr>
          <w:rStyle w:val="FootnoteReference"/>
        </w:rPr>
        <w:footnoteReference w:id="237"/>
      </w:r>
      <w:r w:rsidR="00E04623">
        <w:t xml:space="preserve"> TURN </w:t>
      </w:r>
      <w:r w:rsidR="002F3523">
        <w:t xml:space="preserve">cautions the </w:t>
      </w:r>
      <w:r w:rsidR="00A1403F">
        <w:t>C</w:t>
      </w:r>
      <w:r w:rsidR="002F3523">
        <w:t xml:space="preserve">ommission </w:t>
      </w:r>
      <w:r w:rsidR="00FE1C79">
        <w:t xml:space="preserve">in </w:t>
      </w:r>
      <w:r w:rsidR="002F3523">
        <w:t xml:space="preserve">comparing </w:t>
      </w:r>
      <w:r w:rsidR="00A1403F">
        <w:t xml:space="preserve">California to </w:t>
      </w:r>
      <w:r w:rsidR="004428CF">
        <w:t>New Y</w:t>
      </w:r>
      <w:r w:rsidR="00A1403F">
        <w:t xml:space="preserve">ork, </w:t>
      </w:r>
      <w:r w:rsidR="007F3AE4">
        <w:t xml:space="preserve">noting that the </w:t>
      </w:r>
      <w:r w:rsidR="004428CF">
        <w:t>New Y</w:t>
      </w:r>
      <w:r w:rsidR="007F3AE4">
        <w:t>ork approach relies on short</w:t>
      </w:r>
      <w:r w:rsidR="003D6EF8">
        <w:noBreakHyphen/>
      </w:r>
      <w:r w:rsidR="007F3AE4">
        <w:t>term capacity values that reset frequently</w:t>
      </w:r>
      <w:r w:rsidR="005C6B2F">
        <w:t xml:space="preserve">. TURN </w:t>
      </w:r>
      <w:r w:rsidR="00F23339">
        <w:t xml:space="preserve">contends these values </w:t>
      </w:r>
      <w:r w:rsidR="007F3AE4">
        <w:t>are not easy to forecast</w:t>
      </w:r>
      <w:r w:rsidR="005C6B2F">
        <w:t xml:space="preserve"> </w:t>
      </w:r>
      <w:r w:rsidR="007F3AE4">
        <w:t xml:space="preserve">and may create significant revenue risks </w:t>
      </w:r>
      <w:r w:rsidR="00490621">
        <w:t xml:space="preserve">for projects, which </w:t>
      </w:r>
      <w:r w:rsidR="00E04623">
        <w:t>c</w:t>
      </w:r>
      <w:r w:rsidR="00490621">
        <w:t xml:space="preserve">ould require higher investor </w:t>
      </w:r>
      <w:r w:rsidR="00490621">
        <w:lastRenderedPageBreak/>
        <w:t>returns and, thus, higher project costs.</w:t>
      </w:r>
      <w:r w:rsidR="009D5442">
        <w:rPr>
          <w:rStyle w:val="FootnoteReference"/>
        </w:rPr>
        <w:footnoteReference w:id="238"/>
      </w:r>
      <w:r w:rsidR="00FE1C79">
        <w:t xml:space="preserve"> SCE contends that using the Avoided Cost Calculator values would result in a non</w:t>
      </w:r>
      <w:r w:rsidR="003D6EF8">
        <w:noBreakHyphen/>
      </w:r>
      <w:r w:rsidR="00FE1C79">
        <w:t>energy payment that is approximately six times the capacity payment a similarly situated resource would receive under PURPA.</w:t>
      </w:r>
      <w:r w:rsidR="00FE1C79">
        <w:rPr>
          <w:rStyle w:val="FootnoteReference"/>
        </w:rPr>
        <w:footnoteReference w:id="239"/>
      </w:r>
    </w:p>
    <w:p w:rsidRPr="00D872B9" w:rsidR="00AF3A60" w:rsidP="00AC6E92" w:rsidRDefault="00AF3A60" w14:paraId="572558CE" w14:textId="4F46E9DF">
      <w:pPr>
        <w:pStyle w:val="Standard"/>
      </w:pPr>
      <w:r>
        <w:t xml:space="preserve">Parties have differing opinions on the proposed use of the Avoided Cost Calculator for calculating retail export compensation rates for the NVBT. This section does not address the specific values of the avoided costs but, rather, presents the arguments regarding whether </w:t>
      </w:r>
      <w:r w:rsidR="000E0876">
        <w:t>every one</w:t>
      </w:r>
      <w:r w:rsidR="006C5C50">
        <w:t xml:space="preserve"> of</w:t>
      </w:r>
      <w:r>
        <w:t xml:space="preserve"> the avoided costs </w:t>
      </w:r>
      <w:r w:rsidRPr="005D065D">
        <w:rPr>
          <w:b/>
          <w:bCs/>
        </w:rPr>
        <w:t>proposed</w:t>
      </w:r>
      <w:r>
        <w:t xml:space="preserve"> in the NVBT framework truly avoid</w:t>
      </w:r>
      <w:r w:rsidR="000E0876">
        <w:t>s</w:t>
      </w:r>
      <w:r>
        <w:t xml:space="preserve"> costs. Below, this decision sets forth the arguments made by parties, provides the opposing rebuttal, and </w:t>
      </w:r>
      <w:r w:rsidR="001E52AB">
        <w:t>presents</w:t>
      </w:r>
      <w:r>
        <w:t xml:space="preserve"> the Commission</w:t>
      </w:r>
      <w:r w:rsidR="00440785">
        <w:t>’</w:t>
      </w:r>
      <w:r>
        <w:t xml:space="preserve">s </w:t>
      </w:r>
      <w:r w:rsidRPr="00D872B9">
        <w:t>determination.</w:t>
      </w:r>
    </w:p>
    <w:p w:rsidR="00BA58BF" w:rsidP="00AC6E92" w:rsidRDefault="00AF3A60" w14:paraId="11F8A518" w14:textId="64F94DA7">
      <w:pPr>
        <w:pStyle w:val="Standard"/>
      </w:pPr>
      <w:r w:rsidRPr="00D872B9">
        <w:t>CCSA maintains that NVBT resources are proposed to be state</w:t>
      </w:r>
      <w:r w:rsidR="003D6EF8">
        <w:noBreakHyphen/>
      </w:r>
      <w:r w:rsidRPr="00D872B9">
        <w:t>jurisdictional behind</w:t>
      </w:r>
      <w:r w:rsidR="003D6EF8">
        <w:noBreakHyphen/>
      </w:r>
      <w:r w:rsidRPr="00D872B9">
        <w:t>the</w:t>
      </w:r>
      <w:r w:rsidR="003D6EF8">
        <w:noBreakHyphen/>
      </w:r>
      <w:r w:rsidRPr="00D872B9">
        <w:t xml:space="preserve">meter resources that will export energy to the grid just as </w:t>
      </w:r>
      <w:r>
        <w:t xml:space="preserve">a </w:t>
      </w:r>
      <w:r w:rsidRPr="00D872B9">
        <w:t>net</w:t>
      </w:r>
      <w:r w:rsidR="003D6EF8">
        <w:noBreakHyphen/>
      </w:r>
      <w:r w:rsidRPr="00D872B9">
        <w:t xml:space="preserve">metered system </w:t>
      </w:r>
      <w:r>
        <w:t xml:space="preserve">does </w:t>
      </w:r>
      <w:r w:rsidRPr="00D872B9">
        <w:t xml:space="preserve">and </w:t>
      </w:r>
      <w:r w:rsidR="00D631C7">
        <w:t xml:space="preserve">will </w:t>
      </w:r>
      <w:r w:rsidRPr="00D872B9">
        <w:t>offset nearby demand</w:t>
      </w:r>
      <w:r>
        <w:t>, thus</w:t>
      </w:r>
      <w:r w:rsidRPr="00D872B9">
        <w:t xml:space="preserve"> reducing energy required from wholesale markets.</w:t>
      </w:r>
      <w:r w:rsidRPr="00D872B9">
        <w:rPr>
          <w:rStyle w:val="FootnoteReference"/>
        </w:rPr>
        <w:t xml:space="preserve"> </w:t>
      </w:r>
      <w:r w:rsidRPr="00D872B9">
        <w:rPr>
          <w:rStyle w:val="FootnoteReference"/>
        </w:rPr>
        <w:footnoteReference w:id="240"/>
      </w:r>
      <w:r w:rsidRPr="00D872B9">
        <w:t xml:space="preserve"> CCSA contends that CAISO has used the term Excess Behind the Meter Production to identify these same types of injections and has described them as </w:t>
      </w:r>
      <w:r w:rsidR="00440785">
        <w:t>“</w:t>
      </w:r>
      <w:r w:rsidRPr="00D872B9">
        <w:t>serving nearby demand, offsetting energy required from the CAISO markets.</w:t>
      </w:r>
      <w:r w:rsidR="00440785">
        <w:t>”</w:t>
      </w:r>
      <w:r w:rsidRPr="00D872B9">
        <w:rPr>
          <w:rStyle w:val="FootnoteReference"/>
        </w:rPr>
        <w:footnoteReference w:id="241"/>
      </w:r>
      <w:r w:rsidRPr="00D872B9">
        <w:t xml:space="preserve"> CCSA asserts that clarifications to the CAISO Tariff are</w:t>
      </w:r>
      <w:r>
        <w:t xml:space="preserve"> needed to apply the same treatment to NVBT resources as net energy metering resources.</w:t>
      </w:r>
      <w:r>
        <w:rPr>
          <w:rStyle w:val="FootnoteReference"/>
        </w:rPr>
        <w:footnoteReference w:id="242"/>
      </w:r>
      <w:r>
        <w:t xml:space="preserve"> SCE disputes these claims stating there is no evidence that NVBT </w:t>
      </w:r>
      <w:r w:rsidRPr="00D872B9">
        <w:t xml:space="preserve">production will ever be treated in the same manner as </w:t>
      </w:r>
      <w:r w:rsidRPr="00D872B9">
        <w:lastRenderedPageBreak/>
        <w:t>Excess Behind the Meter Production.</w:t>
      </w:r>
      <w:r>
        <w:rPr>
          <w:rStyle w:val="FootnoteReference"/>
        </w:rPr>
        <w:footnoteReference w:id="243"/>
      </w:r>
      <w:r w:rsidR="00F149A4">
        <w:t xml:space="preserve"> </w:t>
      </w:r>
      <w:r>
        <w:t xml:space="preserve">SCE asserts that with NVBT, energy output could occur every hour of every day, whereas the CAISO considers Excess Behind the Meter Production </w:t>
      </w:r>
      <w:r w:rsidR="00553C62">
        <w:t xml:space="preserve">to be </w:t>
      </w:r>
      <w:r>
        <w:t xml:space="preserve">a narrow category of energy; </w:t>
      </w:r>
      <w:r w:rsidRPr="00150E4C" w:rsidR="00150E4C">
        <w:rPr>
          <w:i/>
          <w:iCs/>
        </w:rPr>
        <w:t>i.e.</w:t>
      </w:r>
      <w:r>
        <w:t>, occurring infrequently.</w:t>
      </w:r>
      <w:r>
        <w:rPr>
          <w:rStyle w:val="FootnoteReference"/>
        </w:rPr>
        <w:footnoteReference w:id="244"/>
      </w:r>
      <w:r>
        <w:t xml:space="preserve"> SCE contends that under the existing CAISO Tariff, there would be </w:t>
      </w:r>
      <w:r w:rsidR="00440785">
        <w:t>“</w:t>
      </w:r>
      <w:r>
        <w:t>no value in NVBT output as a load reduce</w:t>
      </w:r>
      <w:r w:rsidR="00D631C7">
        <w:t>r</w:t>
      </w:r>
      <w:r>
        <w:t xml:space="preserve"> because it is not in fact behind the meter of a business or residence.</w:t>
      </w:r>
      <w:r w:rsidR="00440785">
        <w:t>”</w:t>
      </w:r>
      <w:r>
        <w:rPr>
          <w:rStyle w:val="FootnoteReference"/>
        </w:rPr>
        <w:footnoteReference w:id="245"/>
      </w:r>
    </w:p>
    <w:p w:rsidR="00AF3A60" w:rsidP="00AC6E92" w:rsidRDefault="00AD55A4" w14:paraId="7AEFF7D9" w14:textId="571D138A">
      <w:pPr>
        <w:pStyle w:val="Standard"/>
      </w:pPr>
      <w:r>
        <w:t xml:space="preserve">CEJA, </w:t>
      </w:r>
      <w:r w:rsidR="00237E56">
        <w:rPr>
          <w:i/>
          <w:iCs/>
        </w:rPr>
        <w:t>et al</w:t>
      </w:r>
      <w:r w:rsidRPr="00AD55A4">
        <w:rPr>
          <w:i/>
          <w:iCs/>
        </w:rPr>
        <w:t>.</w:t>
      </w:r>
      <w:r w:rsidR="00AF3A60">
        <w:t xml:space="preserve"> offer that it is appropriate for Avoided Cost Calculator values to value NVBT resources </w:t>
      </w:r>
      <w:r w:rsidR="00440785">
        <w:t>“</w:t>
      </w:r>
      <w:r w:rsidR="00AF3A60">
        <w:t>whether the system is behind or in front of the meter.</w:t>
      </w:r>
      <w:r w:rsidR="00440785">
        <w:t>”</w:t>
      </w:r>
      <w:r w:rsidR="00AF3A60">
        <w:rPr>
          <w:rStyle w:val="FootnoteReference"/>
        </w:rPr>
        <w:footnoteReference w:id="246"/>
      </w:r>
      <w:r w:rsidR="00AF3A60">
        <w:t xml:space="preserve"> </w:t>
      </w:r>
      <w:r>
        <w:t xml:space="preserve">CEJA, </w:t>
      </w:r>
      <w:r w:rsidR="00237E56">
        <w:rPr>
          <w:i/>
          <w:iCs/>
        </w:rPr>
        <w:t>et al</w:t>
      </w:r>
      <w:r w:rsidRPr="00AD55A4">
        <w:rPr>
          <w:i/>
          <w:iCs/>
        </w:rPr>
        <w:t>.</w:t>
      </w:r>
      <w:r w:rsidR="00AF3A60">
        <w:t xml:space="preserve"> assert that Avoided Cost Calculator documentation does not differentiate between the two because distributed energy resources provide transmission and distribution benefits whether they are sited in front of or behind the meter.</w:t>
      </w:r>
      <w:r w:rsidR="00AF3A60">
        <w:rPr>
          <w:rStyle w:val="FootnoteReference"/>
        </w:rPr>
        <w:footnoteReference w:id="247"/>
      </w:r>
      <w:r w:rsidR="00AF3A60">
        <w:t xml:space="preserve"> SEIA agrees that the location behind or in front of the meter is inconsequential noting that the Commission has stated that the Avoided Cost Calculator determines the primary benefits of distributed energy resources and the Commission</w:t>
      </w:r>
      <w:r w:rsidR="00440785">
        <w:t>’</w:t>
      </w:r>
      <w:r w:rsidR="00AF3A60">
        <w:t>s Distributed Energy Resources Action Plan defines distributed energy resources as connected to the distribution grid behind the customer</w:t>
      </w:r>
      <w:r w:rsidR="00440785">
        <w:t>’</w:t>
      </w:r>
      <w:r w:rsidR="00AF3A60">
        <w:t>s meter, and some are connected in front of the customer</w:t>
      </w:r>
      <w:r w:rsidR="00440785">
        <w:t>’</w:t>
      </w:r>
      <w:r w:rsidR="00AF3A60">
        <w:t>s meter.</w:t>
      </w:r>
      <w:r w:rsidR="00AF3A60">
        <w:rPr>
          <w:rStyle w:val="FootnoteReference"/>
        </w:rPr>
        <w:footnoteReference w:id="248"/>
      </w:r>
    </w:p>
    <w:p w:rsidR="00AF3A60" w:rsidP="00AC6E92" w:rsidRDefault="00AF3A60" w14:paraId="63044461" w14:textId="332E2E0F">
      <w:pPr>
        <w:pStyle w:val="Standard"/>
      </w:pPr>
      <w:r>
        <w:t xml:space="preserve">Contending that the generators anticipated to be used in the NVBT are front of the meter resources, </w:t>
      </w:r>
      <w:r w:rsidR="000341A3">
        <w:t>Joint CCA</w:t>
      </w:r>
      <w:r>
        <w:t xml:space="preserve">s assert that the Avoided Cost Calculator </w:t>
      </w:r>
      <w:r w:rsidR="00440785">
        <w:t>“</w:t>
      </w:r>
      <w:r>
        <w:t xml:space="preserve">was developed to value the avoided cost of [front of the meter] resources when </w:t>
      </w:r>
      <w:r>
        <w:lastRenderedPageBreak/>
        <w:t>using behind the meter resources.</w:t>
      </w:r>
      <w:r w:rsidR="00440785">
        <w:t>”</w:t>
      </w:r>
      <w:r>
        <w:rPr>
          <w:rStyle w:val="FootnoteReference"/>
        </w:rPr>
        <w:footnoteReference w:id="249"/>
      </w:r>
      <w:r>
        <w:t xml:space="preserve"> </w:t>
      </w:r>
      <w:r w:rsidR="000341A3">
        <w:t>Joint CCA</w:t>
      </w:r>
      <w:r>
        <w:t xml:space="preserve">s argue that front of the meter projects </w:t>
      </w:r>
      <w:r w:rsidR="00440785">
        <w:t>“</w:t>
      </w:r>
      <w:r>
        <w:t>do not directly offset, and are not sized to, customer load</w:t>
      </w:r>
      <w:r w:rsidR="00440785">
        <w:t>”</w:t>
      </w:r>
      <w:r>
        <w:t xml:space="preserve"> leaving it </w:t>
      </w:r>
      <w:r w:rsidR="00440785">
        <w:t>“</w:t>
      </w:r>
      <w:r>
        <w:t>unclear whether a [front of the meter] resource compensated with the [Avoided Cost Calculator] would actually deliver the purported benefits in the [Avoided Cost Calculator].</w:t>
      </w:r>
      <w:r w:rsidR="00EE49F4">
        <w:t>”</w:t>
      </w:r>
      <w:r>
        <w:rPr>
          <w:rStyle w:val="FootnoteReference"/>
        </w:rPr>
        <w:footnoteReference w:id="250"/>
      </w:r>
      <w:r>
        <w:t xml:space="preserve"> </w:t>
      </w:r>
      <w:r w:rsidR="000341A3">
        <w:t>Joint CCA</w:t>
      </w:r>
      <w:r>
        <w:t>s offer that because front of the meter resources use both the transmission grid and distribution grid to deliver energy, the transmission and distribution avoided costs in the Avoided Cost Calculator are not avoided.</w:t>
      </w:r>
      <w:r>
        <w:rPr>
          <w:rStyle w:val="FootnoteReference"/>
        </w:rPr>
        <w:footnoteReference w:id="251"/>
      </w:r>
    </w:p>
    <w:p w:rsidR="00AF3A60" w:rsidP="00AC6E92" w:rsidRDefault="00AF3A60" w14:paraId="35C02384" w14:textId="179364C3">
      <w:pPr>
        <w:pStyle w:val="Standard"/>
      </w:pPr>
      <w:r>
        <w:t>PG&amp;E cautions that without visibility and operational control to ensure resources deliver at the right time and right place to provide deferral, reliability, and resiliency, the NVBT could not realize transmission and distribution benefits.</w:t>
      </w:r>
      <w:r>
        <w:rPr>
          <w:rStyle w:val="FootnoteReference"/>
        </w:rPr>
        <w:footnoteReference w:id="252"/>
      </w:r>
      <w:r>
        <w:t xml:space="preserve"> PG&amp;E contends that the NVBT as proposed would not include on</w:t>
      </w:r>
      <w:r w:rsidR="003D6EF8">
        <w:noBreakHyphen/>
      </w:r>
      <w:r>
        <w:t>site consumption of generation (the Avoided Cost Calculator assumes all generation is intended to offset on</w:t>
      </w:r>
      <w:r w:rsidR="003D6EF8">
        <w:noBreakHyphen/>
      </w:r>
      <w:r>
        <w:t>site consumption), but instead would export onto secondary, primary, or transmission systems creating a challenge to substantiate avoided line losses and avoided transmission and distribution capacity.</w:t>
      </w:r>
      <w:r>
        <w:rPr>
          <w:rStyle w:val="FootnoteReference"/>
        </w:rPr>
        <w:footnoteReference w:id="253"/>
      </w:r>
      <w:r>
        <w:t xml:space="preserve"> Underscoring that the NVBT would not participate in the CAISO market, PG&amp;E cautions this would lead to a lack of deliverability and participation in the Resource Adequacy program or incorporation into the load forecasting process, which would result in zero generation capacity value for ratepayers.</w:t>
      </w:r>
      <w:r>
        <w:rPr>
          <w:rStyle w:val="FootnoteReference"/>
        </w:rPr>
        <w:footnoteReference w:id="254"/>
      </w:r>
      <w:r>
        <w:t xml:space="preserve"> PG&amp;E </w:t>
      </w:r>
      <w:r>
        <w:lastRenderedPageBreak/>
        <w:t>contends that without a deliverability study that occurs with Resource Adequacy participation, megawatt</w:t>
      </w:r>
      <w:r w:rsidR="003D6EF8">
        <w:noBreakHyphen/>
      </w:r>
      <w:r>
        <w:t xml:space="preserve">scale </w:t>
      </w:r>
      <w:r w:rsidR="00440785">
        <w:t>“</w:t>
      </w:r>
      <w:r>
        <w:t>distribution connected NVBT resources could cause backfeed</w:t>
      </w:r>
      <w:r w:rsidR="003D6EF8">
        <w:noBreakHyphen/>
      </w:r>
      <w:r>
        <w:t>related issues and trigger costly transmission upgrade requirements.</w:t>
      </w:r>
      <w:r w:rsidR="00440785">
        <w:t>”</w:t>
      </w:r>
      <w:r>
        <w:rPr>
          <w:rStyle w:val="FootnoteReference"/>
        </w:rPr>
        <w:footnoteReference w:id="255"/>
      </w:r>
      <w:r>
        <w:t xml:space="preserve"> TURN recommends </w:t>
      </w:r>
      <w:r w:rsidR="00440785">
        <w:t>“</w:t>
      </w:r>
      <w:r>
        <w:t>the Commission better align the elements of Avoided Cost Calculator compensation with the forecasted value of distribution</w:t>
      </w:r>
      <w:r w:rsidR="003D6EF8">
        <w:noBreakHyphen/>
      </w:r>
      <w:r>
        <w:t>level exports</w:t>
      </w:r>
      <w:r w:rsidR="00440785">
        <w:t>”</w:t>
      </w:r>
      <w:r>
        <w:t xml:space="preserve"> and only provide generation capacity value to subscribers if output reduces the Resource Adequacy obligation of the utility serving the generati</w:t>
      </w:r>
      <w:r w:rsidR="000E0D78">
        <w:t>ng</w:t>
      </w:r>
      <w:r>
        <w:t xml:space="preserve"> account owner.</w:t>
      </w:r>
      <w:r>
        <w:rPr>
          <w:rStyle w:val="FootnoteReference"/>
        </w:rPr>
        <w:footnoteReference w:id="256"/>
      </w:r>
      <w:r>
        <w:t xml:space="preserve"> PG&amp;E contends a competitively priced Resource Adequacy contract would provide closer value for this than using the Avoided Cost Calculator to calculate this value.</w:t>
      </w:r>
      <w:r>
        <w:rPr>
          <w:rStyle w:val="FootnoteReference"/>
        </w:rPr>
        <w:footnoteReference w:id="257"/>
      </w:r>
    </w:p>
    <w:p w:rsidR="00AF3A60" w:rsidP="00AC6E92" w:rsidRDefault="00AF3A60" w14:paraId="271F5679" w14:textId="46A3F1DB">
      <w:pPr>
        <w:pStyle w:val="Standard"/>
      </w:pPr>
      <w:r>
        <w:t>Supporting PG&amp;E</w:t>
      </w:r>
      <w:r w:rsidR="00440785">
        <w:t>’</w:t>
      </w:r>
      <w:r>
        <w:t>s view on Resource Adequacy, SCE adds that given CCSA</w:t>
      </w:r>
      <w:r w:rsidR="00440785">
        <w:t>’</w:t>
      </w:r>
      <w:r>
        <w:t xml:space="preserve">s assertion that utilities are not </w:t>
      </w:r>
      <w:r w:rsidR="00440785">
        <w:t>“</w:t>
      </w:r>
      <w:r>
        <w:t>obtaining any title to capacity,</w:t>
      </w:r>
      <w:r w:rsidR="00440785">
        <w:t>”</w:t>
      </w:r>
      <w:r>
        <w:t xml:space="preserve"> </w:t>
      </w:r>
      <w:r w:rsidR="00440785">
        <w:t>“</w:t>
      </w:r>
      <w:r>
        <w:t>SCE certainly cannot lawfully claim the capacity for [Resource Adequacy] purposes.</w:t>
      </w:r>
      <w:r w:rsidR="00440785">
        <w:t>”</w:t>
      </w:r>
      <w:r>
        <w:rPr>
          <w:rStyle w:val="FootnoteReference"/>
        </w:rPr>
        <w:footnoteReference w:id="258"/>
      </w:r>
      <w:r>
        <w:t xml:space="preserve"> SCE concludes that NVBT resources cannot provide assurances of deliverability.</w:t>
      </w:r>
      <w:r>
        <w:rPr>
          <w:rStyle w:val="FootnoteReference"/>
        </w:rPr>
        <w:footnoteReference w:id="259"/>
      </w:r>
      <w:r>
        <w:t xml:space="preserve"> SCE also contends the NVBT resources do not reduce load and therefore do not avoid costs when demand for energy decreases, which is what the Avoided Cost Calculator measures.</w:t>
      </w:r>
      <w:r>
        <w:rPr>
          <w:rStyle w:val="FootnoteReference"/>
        </w:rPr>
        <w:footnoteReference w:id="260"/>
      </w:r>
      <w:r>
        <w:t xml:space="preserve"> SCE asserts that</w:t>
      </w:r>
      <w:r w:rsidR="00FE1C79">
        <w:t>,</w:t>
      </w:r>
      <w:r>
        <w:t xml:space="preserve"> instead</w:t>
      </w:r>
      <w:r w:rsidR="00FE1C79">
        <w:t>,</w:t>
      </w:r>
      <w:r>
        <w:t xml:space="preserve"> NVBT resources offset the need to procure energy from another resource, therefore negating the need to use the Avoided Cost Calculator to value the offsets.</w:t>
      </w:r>
      <w:r>
        <w:rPr>
          <w:rStyle w:val="FootnoteReference"/>
        </w:rPr>
        <w:footnoteReference w:id="261"/>
      </w:r>
    </w:p>
    <w:p w:rsidR="00E037C3" w:rsidP="001C71FE" w:rsidRDefault="00AF3A60" w14:paraId="4BB70B76" w14:textId="1B98DA3B">
      <w:pPr>
        <w:pStyle w:val="Standard"/>
      </w:pPr>
      <w:r>
        <w:lastRenderedPageBreak/>
        <w:t>This decision turns to the question of whether a project sited (as proposed) anywhere in a utility</w:t>
      </w:r>
      <w:r w:rsidR="00440785">
        <w:t>’</w:t>
      </w:r>
      <w:r>
        <w:t xml:space="preserve">s territory will avoid transmission and distribution costs. The Commission is persuaded by the comments of </w:t>
      </w:r>
      <w:r w:rsidR="002917E2">
        <w:t>Cal Advoc</w:t>
      </w:r>
      <w:r>
        <w:t xml:space="preserve">ates. A supporter of the NVBT, </w:t>
      </w:r>
      <w:r w:rsidR="002917E2">
        <w:t>Cal Advoc</w:t>
      </w:r>
      <w:r>
        <w:t xml:space="preserve">ates recognizes </w:t>
      </w:r>
      <w:bookmarkStart w:name="_Hlk158118309" w:id="161"/>
      <w:r>
        <w:t xml:space="preserve">that the siting of </w:t>
      </w:r>
      <w:r w:rsidR="000E0D78">
        <w:t xml:space="preserve">generation </w:t>
      </w:r>
      <w:r>
        <w:t>facilities away from subscribers makes it unlikely that there are future avoided costs for transmission and distribution.</w:t>
      </w:r>
      <w:bookmarkEnd w:id="161"/>
      <w:r>
        <w:t xml:space="preserve"> </w:t>
      </w:r>
      <w:r w:rsidR="002917E2">
        <w:t>Cal Advoc</w:t>
      </w:r>
      <w:r>
        <w:t xml:space="preserve">ates states that </w:t>
      </w:r>
      <w:r w:rsidR="00440785">
        <w:t>“</w:t>
      </w:r>
      <w:r>
        <w:t>absent significant modification to the Avoided Cost Calculator or how it is utilized, projects that are not located close to the customers they serve also cannot realize the avoided [transmission and distribution] costs in the Avoided Cost Calculator and should not be able to recoup these avoided costs.</w:t>
      </w:r>
      <w:r w:rsidR="00440785">
        <w:t>”</w:t>
      </w:r>
      <w:r>
        <w:rPr>
          <w:rStyle w:val="FootnoteReference"/>
        </w:rPr>
        <w:footnoteReference w:id="262"/>
      </w:r>
    </w:p>
    <w:p w:rsidR="00BA58BF" w:rsidP="00AC6E92" w:rsidRDefault="00AF3A60" w14:paraId="25946A5A" w14:textId="156C38AD">
      <w:pPr>
        <w:pStyle w:val="Standard"/>
      </w:pPr>
      <w:r>
        <w:t>The Commission is not persuaded by CCSA</w:t>
      </w:r>
      <w:r w:rsidR="00440785">
        <w:t>’</w:t>
      </w:r>
      <w:r>
        <w:t xml:space="preserve">s claims that the NVBT resource </w:t>
      </w:r>
      <w:r w:rsidR="00440785">
        <w:t>“</w:t>
      </w:r>
      <w:r>
        <w:t>injections</w:t>
      </w:r>
      <w:r w:rsidR="00440785">
        <w:t>”</w:t>
      </w:r>
      <w:r>
        <w:t xml:space="preserve"> can be or will be determined by CAISO as </w:t>
      </w:r>
      <w:r w:rsidRPr="00D872B9">
        <w:t>Excess Behind the Meter Production.</w:t>
      </w:r>
      <w:r>
        <w:t xml:space="preserve"> </w:t>
      </w:r>
      <w:bookmarkStart w:name="_Hlk158118352" w:id="162"/>
      <w:r>
        <w:t>Absent project siting requirements, beyond being in the same service territory as the subscribers, the Commission finds it is unable to determine whether a project would avoid any transmission or distribution costs, much less what th</w:t>
      </w:r>
      <w:r w:rsidR="000E0D78">
        <w:t>ose</w:t>
      </w:r>
      <w:r>
        <w:t xml:space="preserve"> avoided costs equal. </w:t>
      </w:r>
      <w:bookmarkEnd w:id="162"/>
      <w:r>
        <w:t>CCSA contends that such siting requirements make the NVBT project finances unworkable, although CCSA alleges that most resources would be located in urban areas.</w:t>
      </w:r>
      <w:r w:rsidR="000E0D78">
        <w:rPr>
          <w:rStyle w:val="FootnoteReference"/>
        </w:rPr>
        <w:footnoteReference w:id="263"/>
      </w:r>
      <w:r>
        <w:t xml:space="preserve"> </w:t>
      </w:r>
      <w:bookmarkStart w:name="_Hlk158118423" w:id="163"/>
      <w:r>
        <w:t xml:space="preserve">Without the certainty that the NVBT resources would be located close to </w:t>
      </w:r>
      <w:r w:rsidR="000E0D78">
        <w:t>subscribers</w:t>
      </w:r>
      <w:r>
        <w:t>, the Commission finds that the avoided costs of transmission and distribution cannot be confirmed.</w:t>
      </w:r>
      <w:bookmarkEnd w:id="163"/>
    </w:p>
    <w:p w:rsidR="001C71FE" w:rsidP="001C71FE" w:rsidRDefault="001C71FE" w14:paraId="35181657" w14:textId="73D43236">
      <w:r>
        <w:t xml:space="preserve">In comments on the proposed decision, </w:t>
      </w:r>
      <w:r w:rsidR="00DE5E44">
        <w:t xml:space="preserve">both CCSA and </w:t>
      </w:r>
      <w:r>
        <w:t xml:space="preserve">TURN state that the Avoided Cost Calculator uses generic, system-wide avoided transmission </w:t>
      </w:r>
      <w:r>
        <w:lastRenderedPageBreak/>
        <w:t>and distribution cost values</w:t>
      </w:r>
      <w:r w:rsidRPr="0030355B">
        <w:t xml:space="preserve"> that are neither tied to specific projects nor linked to exports on any particular distribution circuit</w:t>
      </w:r>
      <w:r>
        <w:t>.</w:t>
      </w:r>
      <w:r>
        <w:rPr>
          <w:rStyle w:val="FootnoteReference"/>
        </w:rPr>
        <w:footnoteReference w:id="264"/>
      </w:r>
      <w:r>
        <w:t xml:space="preserve"> TURN contends that because the Avoided Cost Calculator uses generic values, there is </w:t>
      </w:r>
      <w:r w:rsidRPr="0030355B">
        <w:t xml:space="preserve">no rational basis to find that exports from a </w:t>
      </w:r>
      <w:r>
        <w:t>rooftop or virtual net metering</w:t>
      </w:r>
      <w:r w:rsidRPr="0030355B">
        <w:t xml:space="preserve"> project produce </w:t>
      </w:r>
      <w:r>
        <w:t>transmission and distribution</w:t>
      </w:r>
      <w:r w:rsidRPr="0030355B">
        <w:t xml:space="preserve"> </w:t>
      </w:r>
      <w:r>
        <w:t>avoided cost</w:t>
      </w:r>
      <w:r w:rsidRPr="0030355B">
        <w:t xml:space="preserve"> benefits but an NVBT project exporting the electricity to the distribution system during the same hours does not.</w:t>
      </w:r>
      <w:r w:rsidR="00DE5E44">
        <w:t xml:space="preserve"> CCSA asserts that it is unreasonable and inequitable to deny NVBT facilities the same benefits that other distributed energy resources have received.</w:t>
      </w:r>
      <w:r w:rsidR="00DE5E44">
        <w:rPr>
          <w:rStyle w:val="FootnoteReference"/>
        </w:rPr>
        <w:footnoteReference w:id="265"/>
      </w:r>
    </w:p>
    <w:p w:rsidR="001C71FE" w:rsidP="001C71FE" w:rsidRDefault="00DE5E44" w14:paraId="781DD946" w14:textId="68860972">
      <w:r>
        <w:t xml:space="preserve">Both CCSA and </w:t>
      </w:r>
      <w:r w:rsidR="001C71FE">
        <w:t xml:space="preserve">TURN </w:t>
      </w:r>
      <w:r>
        <w:t>are</w:t>
      </w:r>
      <w:r w:rsidR="001C71FE">
        <w:t xml:space="preserve"> correct that the Avoided Cost Calculator uses generic, system-wide values for avoided transmission and distribution. However, TURN’s contention that there is no rational basis for distinguishing between the avoided costs of smaller solar generators located close to load and larger in-front-of-meter distribution-connected solar generators that are not co-located with load is erroneous and inconsistent with the Commission’s prior guidance on the use of the Avoided Cost Calculator.</w:t>
      </w:r>
    </w:p>
    <w:p w:rsidR="001C71FE" w:rsidP="001C71FE" w:rsidRDefault="001C71FE" w14:paraId="2C25522F" w14:textId="16EA9C63">
      <w:r>
        <w:t>As PG&amp;E noted in comments on the June 23 Ruling, when determining which avoided costs to include in the Avoided Cost Calculator, the Commission</w:t>
      </w:r>
      <w:r w:rsidRPr="00C90D9D">
        <w:t xml:space="preserve"> does not </w:t>
      </w:r>
      <w:r>
        <w:t>attempt</w:t>
      </w:r>
      <w:r w:rsidRPr="00C90D9D">
        <w:t xml:space="preserve"> to evaluate whether any particular technology, measure, or installation </w:t>
      </w:r>
      <w:r>
        <w:t>provides</w:t>
      </w:r>
      <w:r w:rsidRPr="00C90D9D">
        <w:t xml:space="preserve"> transmission </w:t>
      </w:r>
      <w:r>
        <w:t xml:space="preserve">and/or distribution </w:t>
      </w:r>
      <w:r w:rsidRPr="00C90D9D">
        <w:t xml:space="preserve">avoided cost savings. </w:t>
      </w:r>
      <w:r>
        <w:t>Rather, t</w:t>
      </w:r>
      <w:r w:rsidRPr="00C90D9D">
        <w:t xml:space="preserve">hose determinations </w:t>
      </w:r>
      <w:r>
        <w:t>are</w:t>
      </w:r>
      <w:r w:rsidRPr="00C90D9D">
        <w:t xml:space="preserve"> made in </w:t>
      </w:r>
      <w:r>
        <w:t xml:space="preserve">specific </w:t>
      </w:r>
      <w:r w:rsidRPr="00C90D9D">
        <w:t>proceedings</w:t>
      </w:r>
      <w:r>
        <w:t>, such as this one,</w:t>
      </w:r>
      <w:r w:rsidRPr="00C90D9D">
        <w:t xml:space="preserve"> in which the avoided costs are applied. The values developed </w:t>
      </w:r>
      <w:r>
        <w:t xml:space="preserve">for the Avoided </w:t>
      </w:r>
      <w:r>
        <w:lastRenderedPageBreak/>
        <w:t>Cost Calculator</w:t>
      </w:r>
      <w:r w:rsidRPr="00C90D9D">
        <w:t xml:space="preserve"> represent the value provided IF the peak loading reductions can be obtained in the right amount, right location, and with the right durability.</w:t>
      </w:r>
      <w:r>
        <w:rPr>
          <w:rStyle w:val="FootnoteReference"/>
        </w:rPr>
        <w:footnoteReference w:id="266"/>
      </w:r>
      <w:r>
        <w:t xml:space="preserve"> </w:t>
      </w:r>
    </w:p>
    <w:p w:rsidR="001C71FE" w:rsidP="001C71FE" w:rsidRDefault="001C71FE" w14:paraId="2ECEA360" w14:textId="77777777">
      <w:r>
        <w:t xml:space="preserve">The key question in this proceeding, then, is not the method used to determine the avoided cost values in the Avoided Cost Calculator. It is whether or not the NBVT actually avoids costs that ratepayers would otherwise bear, which is necessary for the Commission to reasonably apply the values in the Avoided Cost Calculator. </w:t>
      </w:r>
    </w:p>
    <w:p w:rsidR="001C71FE" w:rsidP="001C71FE" w:rsidRDefault="001C71FE" w14:paraId="1D789BFC" w14:textId="009186D4">
      <w:pPr>
        <w:pStyle w:val="Standard"/>
      </w:pPr>
      <w:r>
        <w:t>Based on an extensive record, this decision finds that NVBT resource would not reliably avoid costs that ratepayers would otherwise bear for generation capacity, distribution, and transmission. Those findings determine the (un)reasonableness of applying Avoided Cost Calculator values, not the method by which Avoided Cost Calculator values are estimated. As such, TURN’s contention that the Avoided Cost Calculator’s use of a generic method of determining avoided transmission and distribution costs means there is no rational basis to distinguish between NVBT resources and other distributed energy resources is inaccurate.</w:t>
      </w:r>
      <w:r w:rsidR="00F97F23">
        <w:t xml:space="preserve"> Further, CCSA’s assertions of unreasonable and inequitable treatment are unfounded.</w:t>
      </w:r>
    </w:p>
    <w:p w:rsidR="00BA58BF" w:rsidP="00AC6E92" w:rsidRDefault="00AF3A60" w14:paraId="0600944A" w14:textId="77777777">
      <w:pPr>
        <w:pStyle w:val="Standard"/>
      </w:pPr>
      <w:r>
        <w:t xml:space="preserve">Turning to avoided capacity costs, the Commission finds that </w:t>
      </w:r>
      <w:bookmarkStart w:name="_Hlk158118466" w:id="164"/>
      <w:r>
        <w:t xml:space="preserve">without the ability </w:t>
      </w:r>
      <w:r w:rsidR="000E0D78">
        <w:t xml:space="preserve">of Utilities and CCAs </w:t>
      </w:r>
      <w:r>
        <w:t xml:space="preserve">to claim Resource Adequacy credits, </w:t>
      </w:r>
      <w:r w:rsidR="000E0D78">
        <w:t xml:space="preserve">proposed NVBT </w:t>
      </w:r>
      <w:r>
        <w:t xml:space="preserve">projects </w:t>
      </w:r>
      <w:r w:rsidR="000E0D78">
        <w:t xml:space="preserve">could not </w:t>
      </w:r>
      <w:r>
        <w:t>avoid generation capacity costs. TURN</w:t>
      </w:r>
      <w:r w:rsidR="000E0D78">
        <w:t>, a supporter of the NVBT proposal,</w:t>
      </w:r>
      <w:r>
        <w:t xml:space="preserve"> cautions the Commission on the potential impact on Resource Adequacy obligations. In addition, the Commission is also concerned that the lack of a deliverability study, required in the Resource Adequacy </w:t>
      </w:r>
      <w:r>
        <w:lastRenderedPageBreak/>
        <w:t>process, could lead to the need for transmission upgrades that could result in higher costs for all ratepayers.</w:t>
      </w:r>
      <w:bookmarkEnd w:id="164"/>
    </w:p>
    <w:p w:rsidR="00BA58BF" w:rsidP="00AC6E92" w:rsidRDefault="00A10B31" w14:paraId="0C7899D2" w14:textId="031F5126">
      <w:pPr>
        <w:pStyle w:val="Standard"/>
      </w:pPr>
      <w:r>
        <w:t xml:space="preserve">The Commission finds that the NVBT resources do not avoid transmission, distribution, and capacity cost categories in the Avoided Cost Calculator. </w:t>
      </w:r>
      <w:r w:rsidR="00043553">
        <w:t>Thus, requiring ratepayers to pay for NVBT resources</w:t>
      </w:r>
      <w:r>
        <w:t xml:space="preserve"> using the Avoided Cost Calculator would result in ratepayers paying </w:t>
      </w:r>
      <w:r w:rsidR="00440785">
        <w:t>“</w:t>
      </w:r>
      <w:r>
        <w:t>in excess of the avoided costs</w:t>
      </w:r>
      <w:r w:rsidR="00440785">
        <w:t>”</w:t>
      </w:r>
      <w:r>
        <w:t xml:space="preserve"> of the NVBT resources, which </w:t>
      </w:r>
      <w:r w:rsidR="00043553">
        <w:t>is prohibited by</w:t>
      </w:r>
      <w:r>
        <w:t xml:space="preserve"> </w:t>
      </w:r>
      <w:r w:rsidR="00440785">
        <w:t>Pub. Util.</w:t>
      </w:r>
      <w:r>
        <w:t xml:space="preserve"> Code </w:t>
      </w:r>
      <w:r w:rsidR="003627A8">
        <w:t>Section </w:t>
      </w:r>
      <w:r>
        <w:t>769.3(c)(3).</w:t>
      </w:r>
    </w:p>
    <w:p w:rsidR="00AF3A60" w:rsidP="00AC6E92" w:rsidRDefault="00AF3A60" w14:paraId="17BAF69F" w14:textId="1C517377">
      <w:pPr>
        <w:pStyle w:val="Standard"/>
      </w:pPr>
      <w:r>
        <w:t xml:space="preserve">This decision addresses several additional arguments related to </w:t>
      </w:r>
      <w:r w:rsidR="00D631C7">
        <w:t xml:space="preserve">the </w:t>
      </w:r>
      <w:r>
        <w:t>use of the Avoided Cost Calculator to establish compensation values for generation from NVBT resources.</w:t>
      </w:r>
    </w:p>
    <w:p w:rsidR="00BA58BF" w:rsidP="00AC6E92" w:rsidRDefault="00AF3A60" w14:paraId="013D47E6" w14:textId="4609945C">
      <w:pPr>
        <w:pStyle w:val="Standard"/>
      </w:pPr>
      <w:r>
        <w:t>CCSA</w:t>
      </w:r>
      <w:r w:rsidR="00440785">
        <w:t>’</w:t>
      </w:r>
      <w:r>
        <w:t xml:space="preserve">s proposal for the NVBT provides that because the </w:t>
      </w:r>
      <w:r w:rsidR="00041009">
        <w:t>g</w:t>
      </w:r>
      <w:r>
        <w:t xml:space="preserve">enerator </w:t>
      </w:r>
      <w:r w:rsidR="00041009">
        <w:t>a</w:t>
      </w:r>
      <w:r>
        <w:t>ccount is a customer account of the relevant load serving entity, the resource is behind</w:t>
      </w:r>
      <w:r w:rsidR="003D6EF8">
        <w:noBreakHyphen/>
      </w:r>
      <w:r>
        <w:t>the</w:t>
      </w:r>
      <w:r w:rsidR="003D6EF8">
        <w:noBreakHyphen/>
      </w:r>
      <w:r>
        <w:t xml:space="preserve">meter, as this is the practice in </w:t>
      </w:r>
      <w:r w:rsidR="004428CF">
        <w:t>New Y</w:t>
      </w:r>
      <w:r>
        <w:t>ork, Maine, and Massachusetts.</w:t>
      </w:r>
      <w:r>
        <w:rPr>
          <w:rStyle w:val="FootnoteReference"/>
        </w:rPr>
        <w:footnoteReference w:id="267"/>
      </w:r>
      <w:r>
        <w:t xml:space="preserve"> SEIA states that the proposed NVBT would require generator resources to be interconnected, via </w:t>
      </w:r>
      <w:r w:rsidR="00B93FAE">
        <w:t xml:space="preserve">Electric </w:t>
      </w:r>
      <w:r w:rsidR="00566DFA">
        <w:t>Rule </w:t>
      </w:r>
      <w:r>
        <w:t>21, to the distribution system.</w:t>
      </w:r>
      <w:r>
        <w:rPr>
          <w:rStyle w:val="FootnoteReference"/>
        </w:rPr>
        <w:footnoteReference w:id="268"/>
      </w:r>
      <w:r>
        <w:t xml:space="preserve"> SEIA </w:t>
      </w:r>
      <w:r w:rsidR="00041009">
        <w:t xml:space="preserve">also </w:t>
      </w:r>
      <w:r>
        <w:t>agrees with CCSA that the NVBT resources are behind</w:t>
      </w:r>
      <w:r w:rsidR="003D6EF8">
        <w:noBreakHyphen/>
      </w:r>
      <w:r>
        <w:t>the</w:t>
      </w:r>
      <w:r w:rsidR="003D6EF8">
        <w:noBreakHyphen/>
      </w:r>
      <w:r>
        <w:t>meter because the generator account associated with the resource is a customer account of the relevant load serving entity.</w:t>
      </w:r>
      <w:r>
        <w:rPr>
          <w:rStyle w:val="FootnoteReference"/>
        </w:rPr>
        <w:footnoteReference w:id="269"/>
      </w:r>
    </w:p>
    <w:p w:rsidR="00AF3A60" w:rsidP="00AC6E92" w:rsidRDefault="000341A3" w14:paraId="1AC4D92F" w14:textId="7156AC63">
      <w:pPr>
        <w:pStyle w:val="Standard"/>
      </w:pPr>
      <w:r>
        <w:t>Joint CCA</w:t>
      </w:r>
      <w:r w:rsidR="00AF3A60">
        <w:t xml:space="preserve">s submit that it is their understanding that in California, resources that are interconnected to the distribution system are considered </w:t>
      </w:r>
      <w:r w:rsidR="00AF3A60">
        <w:lastRenderedPageBreak/>
        <w:t>front</w:t>
      </w:r>
      <w:r w:rsidR="003D6EF8">
        <w:noBreakHyphen/>
      </w:r>
      <w:r w:rsidR="00AF3A60">
        <w:t>of</w:t>
      </w:r>
      <w:r w:rsidR="003D6EF8">
        <w:noBreakHyphen/>
      </w:r>
      <w:r w:rsidR="00AF3A60">
        <w:t>the</w:t>
      </w:r>
      <w:r w:rsidR="003D6EF8">
        <w:noBreakHyphen/>
      </w:r>
      <w:r w:rsidR="00AF3A60">
        <w:t xml:space="preserve">meter resources. </w:t>
      </w:r>
      <w:r>
        <w:t>Joint CCA</w:t>
      </w:r>
      <w:r w:rsidR="00AF3A60">
        <w:t xml:space="preserve">s maintain there is insufficient detail to support </w:t>
      </w:r>
      <w:r w:rsidR="00A10B31">
        <w:t xml:space="preserve">the argument </w:t>
      </w:r>
      <w:r w:rsidR="00AF3A60">
        <w:t>that the generator account is behind</w:t>
      </w:r>
      <w:r w:rsidR="003D6EF8">
        <w:noBreakHyphen/>
      </w:r>
      <w:r w:rsidR="00AF3A60">
        <w:t>the</w:t>
      </w:r>
      <w:r w:rsidR="003D6EF8">
        <w:noBreakHyphen/>
      </w:r>
      <w:r w:rsidR="00AF3A60">
        <w:t>meter.</w:t>
      </w:r>
      <w:r w:rsidR="00AF3A60">
        <w:rPr>
          <w:rStyle w:val="FootnoteReference"/>
        </w:rPr>
        <w:footnoteReference w:id="270"/>
      </w:r>
      <w:r w:rsidR="00AF3A60">
        <w:t xml:space="preserve"> Further, </w:t>
      </w:r>
      <w:r>
        <w:t>Joint CCA</w:t>
      </w:r>
      <w:r w:rsidR="00AF3A60">
        <w:t xml:space="preserve">s assert that simply calling a NVBT resource a distributed energy resource does not </w:t>
      </w:r>
      <w:r w:rsidR="00A10B31">
        <w:t>make it so</w:t>
      </w:r>
      <w:r w:rsidR="00AF3A60">
        <w:t xml:space="preserve">. </w:t>
      </w:r>
      <w:r>
        <w:t>Joint CCA</w:t>
      </w:r>
      <w:r w:rsidR="00AF3A60">
        <w:t>s offer that the point of interconnection to the utility grid should determine whether the NVBT resources are front</w:t>
      </w:r>
      <w:r w:rsidR="003D6EF8">
        <w:noBreakHyphen/>
      </w:r>
      <w:r w:rsidR="00AF3A60">
        <w:t>of</w:t>
      </w:r>
      <w:r w:rsidR="003D6EF8">
        <w:noBreakHyphen/>
      </w:r>
      <w:r w:rsidR="00AF3A60">
        <w:t>the</w:t>
      </w:r>
      <w:r w:rsidR="003D6EF8">
        <w:noBreakHyphen/>
      </w:r>
      <w:r w:rsidR="00AF3A60">
        <w:t>meter or behind</w:t>
      </w:r>
      <w:r w:rsidR="003D6EF8">
        <w:noBreakHyphen/>
      </w:r>
      <w:r w:rsidR="00AF3A60">
        <w:t>the</w:t>
      </w:r>
      <w:r w:rsidR="003D6EF8">
        <w:noBreakHyphen/>
      </w:r>
      <w:r w:rsidR="00AF3A60">
        <w:t>meter resources.</w:t>
      </w:r>
      <w:r w:rsidR="00AF3A60">
        <w:rPr>
          <w:rStyle w:val="FootnoteReference"/>
        </w:rPr>
        <w:footnoteReference w:id="271"/>
      </w:r>
    </w:p>
    <w:p w:rsidR="00AF3A60" w:rsidP="000336CC" w:rsidRDefault="00AF3A60" w14:paraId="0CCC9640" w14:textId="458E5648">
      <w:pPr>
        <w:pStyle w:val="Standard"/>
      </w:pPr>
      <w:r>
        <w:t>CCSA argues that NVBT resources are behind</w:t>
      </w:r>
      <w:r w:rsidR="003D6EF8">
        <w:noBreakHyphen/>
      </w:r>
      <w:r>
        <w:t>the</w:t>
      </w:r>
      <w:r w:rsidR="003D6EF8">
        <w:noBreakHyphen/>
      </w:r>
      <w:r>
        <w:t xml:space="preserve">meter in a manner similar to existing distributed energy resources programs such as the </w:t>
      </w:r>
      <w:r w:rsidRPr="00FD66C0">
        <w:t>Renewable Energy Self</w:t>
      </w:r>
      <w:r w:rsidR="003D6EF8">
        <w:noBreakHyphen/>
      </w:r>
      <w:r w:rsidRPr="00FD66C0">
        <w:t>Generation Bill Credit Transfer</w:t>
      </w:r>
      <w:r w:rsidRPr="00FD66C0" w:rsidR="00B87F6E">
        <w:t xml:space="preserve"> </w:t>
      </w:r>
      <w:r w:rsidR="00B87F6E">
        <w:t>(</w:t>
      </w:r>
      <w:r w:rsidRPr="00FD66C0" w:rsidR="00B87F6E">
        <w:rPr>
          <w:rFonts w:cs="TimesNewRomanPSMT"/>
          <w:szCs w:val="26"/>
        </w:rPr>
        <w:t>RES</w:t>
      </w:r>
      <w:r w:rsidR="003D6EF8">
        <w:rPr>
          <w:rFonts w:cs="TimesNewRomanPSMT"/>
          <w:szCs w:val="26"/>
        </w:rPr>
        <w:noBreakHyphen/>
      </w:r>
      <w:r w:rsidRPr="00FD66C0" w:rsidR="00B87F6E">
        <w:rPr>
          <w:rFonts w:cs="TimesNewRomanPSMT"/>
          <w:szCs w:val="26"/>
        </w:rPr>
        <w:t>BCT</w:t>
      </w:r>
      <w:r w:rsidR="00B87F6E">
        <w:t>)</w:t>
      </w:r>
      <w:r w:rsidRPr="00B87F6E">
        <w:t xml:space="preserve"> </w:t>
      </w:r>
      <w:r>
        <w:t xml:space="preserve">program, the </w:t>
      </w:r>
      <w:r w:rsidRPr="00FD66C0">
        <w:t xml:space="preserve">Net Energy Metering Aggregation </w:t>
      </w:r>
      <w:r>
        <w:t>(</w:t>
      </w:r>
      <w:r w:rsidRPr="00FD66C0">
        <w:rPr>
          <w:rFonts w:cs="TimesNewRomanPSMT"/>
          <w:szCs w:val="26"/>
        </w:rPr>
        <w:t>NEMA</w:t>
      </w:r>
      <w:r>
        <w:t xml:space="preserve">) subtariff, and the </w:t>
      </w:r>
      <w:r w:rsidRPr="008C0F89">
        <w:rPr>
          <w:rFonts w:cs="TimesNewRomanPSMT"/>
          <w:szCs w:val="26"/>
        </w:rPr>
        <w:t>VNEM</w:t>
      </w:r>
      <w:r>
        <w:t xml:space="preserve"> tariff, all of which </w:t>
      </w:r>
      <w:r w:rsidR="00440785">
        <w:t>“</w:t>
      </w:r>
      <w:r>
        <w:t>allow for the interconnection of distributed energy resources behind a meter that does not have load beyond that of the generator and the exports are treated as if they were behind a meter with non</w:t>
      </w:r>
      <w:r w:rsidR="003D6EF8">
        <w:noBreakHyphen/>
      </w:r>
      <w:r>
        <w:t>project load.</w:t>
      </w:r>
      <w:r w:rsidR="00440785">
        <w:t>”</w:t>
      </w:r>
      <w:r>
        <w:rPr>
          <w:rStyle w:val="FootnoteReference"/>
        </w:rPr>
        <w:footnoteReference w:id="272"/>
      </w:r>
      <w:r>
        <w:t xml:space="preserve"> Additionally, CCSA submits that even if found to be front</w:t>
      </w:r>
      <w:r w:rsidR="003D6EF8">
        <w:noBreakHyphen/>
      </w:r>
      <w:r>
        <w:t>of</w:t>
      </w:r>
      <w:r w:rsidR="003D6EF8">
        <w:noBreakHyphen/>
      </w:r>
      <w:r>
        <w:t>the</w:t>
      </w:r>
      <w:r w:rsidR="003D6EF8">
        <w:noBreakHyphen/>
      </w:r>
      <w:r>
        <w:t>meter resources, NVBT resources should still be able to use the Avoided Cost Calculator for compensation for generation to the grid because these resources are distributed energy resources that are connected to the distribution system, as defined by the Commission</w:t>
      </w:r>
      <w:r w:rsidR="00440785">
        <w:t>’</w:t>
      </w:r>
      <w:r>
        <w:t>s Distributed Energy Resources Action Plan.</w:t>
      </w:r>
      <w:r>
        <w:rPr>
          <w:rStyle w:val="FootnoteReference"/>
        </w:rPr>
        <w:footnoteReference w:id="273"/>
      </w:r>
      <w:r>
        <w:t xml:space="preserve"> Also pointing to the RES</w:t>
      </w:r>
      <w:r w:rsidR="003D6EF8">
        <w:noBreakHyphen/>
      </w:r>
      <w:r>
        <w:t>BCT</w:t>
      </w:r>
      <w:r w:rsidR="00041009">
        <w:t xml:space="preserve"> tariff</w:t>
      </w:r>
      <w:r>
        <w:t>, NEMA</w:t>
      </w:r>
      <w:r w:rsidR="00041009">
        <w:t xml:space="preserve"> subtariff</w:t>
      </w:r>
      <w:r>
        <w:t>, and VNEM</w:t>
      </w:r>
      <w:r w:rsidR="00041009">
        <w:t xml:space="preserve"> tariff</w:t>
      </w:r>
      <w:r>
        <w:t xml:space="preserve">, SEIA contends these programs have been implemented by the Commission in a manner that eschews the distinction </w:t>
      </w:r>
      <w:r>
        <w:lastRenderedPageBreak/>
        <w:t>between front</w:t>
      </w:r>
      <w:r w:rsidR="003D6EF8">
        <w:noBreakHyphen/>
      </w:r>
      <w:r>
        <w:t>of</w:t>
      </w:r>
      <w:r w:rsidR="003D6EF8">
        <w:noBreakHyphen/>
      </w:r>
      <w:r>
        <w:t>the</w:t>
      </w:r>
      <w:r w:rsidR="003D6EF8">
        <w:noBreakHyphen/>
      </w:r>
      <w:r>
        <w:t>meter and behind</w:t>
      </w:r>
      <w:r w:rsidR="003D6EF8">
        <w:noBreakHyphen/>
      </w:r>
      <w:r>
        <w:t>the</w:t>
      </w:r>
      <w:r w:rsidR="003D6EF8">
        <w:noBreakHyphen/>
      </w:r>
      <w:r>
        <w:t>meter categorization and further asserts that they function in the same manner as proposed for the NVBT.</w:t>
      </w:r>
      <w:r>
        <w:rPr>
          <w:rStyle w:val="FootnoteReference"/>
        </w:rPr>
        <w:footnoteReference w:id="274"/>
      </w:r>
    </w:p>
    <w:p w:rsidR="00BA58BF" w:rsidP="000336CC" w:rsidRDefault="00AF3A60" w14:paraId="2BBB5B57" w14:textId="7953ACEB">
      <w:pPr>
        <w:pStyle w:val="Standard"/>
      </w:pPr>
      <w:r>
        <w:t xml:space="preserve">The typical VNEM </w:t>
      </w:r>
      <w:r w:rsidR="00041009">
        <w:t xml:space="preserve">tariff </w:t>
      </w:r>
      <w:r>
        <w:t>configuration</w:t>
      </w:r>
      <w:r w:rsidR="00D631C7">
        <w:t xml:space="preserve"> </w:t>
      </w:r>
      <w:r w:rsidR="00041009">
        <w:t>(which is generally a multitenant property)</w:t>
      </w:r>
      <w:r>
        <w:t xml:space="preserve"> contains an on</w:t>
      </w:r>
      <w:r w:rsidR="003D6EF8">
        <w:noBreakHyphen/>
      </w:r>
      <w:r>
        <w:t>site sized</w:t>
      </w:r>
      <w:r w:rsidR="003D6EF8">
        <w:noBreakHyphen/>
      </w:r>
      <w:r>
        <w:t>to</w:t>
      </w:r>
      <w:r w:rsidR="003D6EF8">
        <w:noBreakHyphen/>
      </w:r>
      <w:r>
        <w:t>customer</w:t>
      </w:r>
      <w:r w:rsidR="003D6EF8">
        <w:noBreakHyphen/>
      </w:r>
      <w:r>
        <w:t>load</w:t>
      </w:r>
      <w:r w:rsidR="00041009">
        <w:t>s</w:t>
      </w:r>
      <w:r>
        <w:t xml:space="preserve"> behind</w:t>
      </w:r>
      <w:r w:rsidR="003D6EF8">
        <w:noBreakHyphen/>
      </w:r>
      <w:r>
        <w:t>the</w:t>
      </w:r>
      <w:r w:rsidR="003D6EF8">
        <w:noBreakHyphen/>
      </w:r>
      <w:r>
        <w:t>meter generating facility that feeds directly to the grid</w:t>
      </w:r>
      <w:r w:rsidR="00041009">
        <w:t xml:space="preserve"> through its own meter</w:t>
      </w:r>
      <w:r>
        <w:t xml:space="preserve">, with each individual tenant having a </w:t>
      </w:r>
      <w:r w:rsidR="00041009">
        <w:t xml:space="preserve">separate </w:t>
      </w:r>
      <w:r>
        <w:t>meter measuring that tenant</w:t>
      </w:r>
      <w:r w:rsidR="00440785">
        <w:t>’</w:t>
      </w:r>
      <w:r>
        <w:t>s usage. The NEMA configuration contains a behind</w:t>
      </w:r>
      <w:r w:rsidR="003D6EF8">
        <w:noBreakHyphen/>
      </w:r>
      <w:r>
        <w:t>the</w:t>
      </w:r>
      <w:r w:rsidR="003D6EF8">
        <w:noBreakHyphen/>
      </w:r>
      <w:r>
        <w:t>meter sized</w:t>
      </w:r>
      <w:r w:rsidR="003D6EF8">
        <w:noBreakHyphen/>
      </w:r>
      <w:r>
        <w:t>to</w:t>
      </w:r>
      <w:r w:rsidR="003D6EF8">
        <w:noBreakHyphen/>
      </w:r>
      <w:r>
        <w:t>customer</w:t>
      </w:r>
      <w:r w:rsidR="003D6EF8">
        <w:noBreakHyphen/>
      </w:r>
      <w:r>
        <w:t>load generating facility that feeds excess electricity directly to the grid, with each contiguous property having a meter measuring the usage of the property.</w:t>
      </w:r>
    </w:p>
    <w:p w:rsidR="00BA58BF" w:rsidP="004E0ED6" w:rsidRDefault="00AF3A60" w14:paraId="54521142" w14:textId="1F551B4D">
      <w:pPr>
        <w:pStyle w:val="Standard"/>
      </w:pPr>
      <w:r>
        <w:t>The RES</w:t>
      </w:r>
      <w:r w:rsidR="003D6EF8">
        <w:noBreakHyphen/>
      </w:r>
      <w:r>
        <w:t>BCT tariff</w:t>
      </w:r>
      <w:r>
        <w:rPr>
          <w:rStyle w:val="FootnoteReference"/>
        </w:rPr>
        <w:footnoteReference w:id="275"/>
      </w:r>
      <w:r>
        <w:t xml:space="preserve"> is </w:t>
      </w:r>
      <w:r w:rsidRPr="00137055">
        <w:t xml:space="preserve">open </w:t>
      </w:r>
      <w:r>
        <w:t xml:space="preserve">exclusively </w:t>
      </w:r>
      <w:r w:rsidRPr="00137055">
        <w:t xml:space="preserve">to local </w:t>
      </w:r>
      <w:r w:rsidR="00041009">
        <w:t xml:space="preserve">and tribal </w:t>
      </w:r>
      <w:r>
        <w:t>governments, as defined by the statute,</w:t>
      </w:r>
      <w:r w:rsidRPr="00137055">
        <w:t xml:space="preserve"> and has a 250</w:t>
      </w:r>
      <w:r w:rsidR="003D6EF8">
        <w:noBreakHyphen/>
      </w:r>
      <w:r>
        <w:t>megawatt</w:t>
      </w:r>
      <w:r w:rsidRPr="00137055">
        <w:t xml:space="preserve"> statewide </w:t>
      </w:r>
      <w:r>
        <w:t>limit.</w:t>
      </w:r>
      <w:r>
        <w:rPr>
          <w:rStyle w:val="FootnoteReference"/>
        </w:rPr>
        <w:footnoteReference w:id="276"/>
      </w:r>
      <w:r>
        <w:t xml:space="preserve"> Generation sized at no more than five</w:t>
      </w:r>
      <w:r w:rsidR="003D6EF8">
        <w:noBreakHyphen/>
      </w:r>
      <w:r>
        <w:t>megawatt facilities and sized to offs</w:t>
      </w:r>
      <w:r w:rsidR="00237E56">
        <w:t>et al</w:t>
      </w:r>
      <w:r>
        <w:t xml:space="preserve">l or part of the electrical load of the generating account and benefiting account(s) is </w:t>
      </w:r>
      <w:r w:rsidRPr="00137055">
        <w:t xml:space="preserve">compensated in the form of bill credits </w:t>
      </w:r>
      <w:r>
        <w:t>calculated based upon the time</w:t>
      </w:r>
      <w:r w:rsidR="003D6EF8">
        <w:noBreakHyphen/>
      </w:r>
      <w:r>
        <w:t>of</w:t>
      </w:r>
      <w:r w:rsidR="003D6EF8">
        <w:noBreakHyphen/>
      </w:r>
      <w:r>
        <w:t xml:space="preserve">use electricity generation component of the electricity usage charge of the generating account, multiplied by the quantities of electricity generated by an eligible </w:t>
      </w:r>
      <w:r>
        <w:lastRenderedPageBreak/>
        <w:t>renewable generating facility that are exported to the grid during the corresponding time period</w:t>
      </w:r>
      <w:r w:rsidRPr="00137055">
        <w:t>.</w:t>
      </w:r>
    </w:p>
    <w:p w:rsidR="00AF3A60" w:rsidP="00E06D9D" w:rsidRDefault="00322C26" w14:paraId="19648CA8" w14:textId="10355B80">
      <w:pPr>
        <w:pStyle w:val="Standard"/>
      </w:pPr>
      <w:bookmarkStart w:name="_Hlk158118591" w:id="165"/>
      <w:r>
        <w:t>While the three existing tariffs/subtariff, highlighted by SEIA and CCSA, and the NVBT use generating accounts and benefiting accounts, the Commission does not consider the NVBT to be functionally the same. For example, i</w:t>
      </w:r>
      <w:r w:rsidR="00AF3A60">
        <w:t xml:space="preserve">n the </w:t>
      </w:r>
      <w:r w:rsidR="00041009">
        <w:t xml:space="preserve">NEMA subtariff, and </w:t>
      </w:r>
      <w:r w:rsidR="00AF3A60">
        <w:t>VNEM and RES</w:t>
      </w:r>
      <w:r w:rsidR="003D6EF8">
        <w:noBreakHyphen/>
      </w:r>
      <w:r w:rsidR="00AF3A60">
        <w:t>BCT tariffs, the generator is sized to fit the load, which is based on historical usage. In the NVBT, it is the other way around</w:t>
      </w:r>
      <w:r w:rsidR="001C43E7">
        <w:t xml:space="preserve"> — </w:t>
      </w:r>
      <w:r w:rsidR="00AF3A60">
        <w:t>the customer subscriptions (</w:t>
      </w:r>
      <w:r w:rsidRPr="00150E4C" w:rsidR="00150E4C">
        <w:rPr>
          <w:i/>
          <w:iCs/>
        </w:rPr>
        <w:t>i.e.</w:t>
      </w:r>
      <w:r w:rsidR="00AF3A60">
        <w:t>, portion of the project size) are sized to fit the production of the generator.</w:t>
      </w:r>
      <w:bookmarkEnd w:id="165"/>
      <w:r w:rsidR="00AF3A60">
        <w:rPr>
          <w:rStyle w:val="FootnoteReference"/>
        </w:rPr>
        <w:footnoteReference w:id="277"/>
      </w:r>
      <w:r w:rsidR="00AF3A60">
        <w:t xml:space="preserve"> </w:t>
      </w:r>
      <w:bookmarkStart w:name="_Hlk158118694" w:id="166"/>
      <w:r w:rsidR="00AF3A60">
        <w:t>For both the VNEM and NEMA tariffs, the generating facility is located on</w:t>
      </w:r>
      <w:r w:rsidR="003D6EF8">
        <w:noBreakHyphen/>
      </w:r>
      <w:r w:rsidR="00AF3A60">
        <w:t>site, or on a contiguous property</w:t>
      </w:r>
      <w:r w:rsidR="00287BC4">
        <w:t>;</w:t>
      </w:r>
      <w:r w:rsidR="00AF3A60">
        <w:t xml:space="preserve"> whereas</w:t>
      </w:r>
      <w:r w:rsidR="00287BC4">
        <w:t>,</w:t>
      </w:r>
      <w:r w:rsidR="00AF3A60">
        <w:t xml:space="preserve"> with the NVBT, the generating facility will be located anywhere within a utility</w:t>
      </w:r>
      <w:r w:rsidR="00440785">
        <w:t>’</w:t>
      </w:r>
      <w:r w:rsidR="00AF3A60">
        <w:t xml:space="preserve">s service territory. </w:t>
      </w:r>
      <w:bookmarkEnd w:id="166"/>
      <w:r w:rsidR="00AF3A60">
        <w:t>While the RES</w:t>
      </w:r>
      <w:r w:rsidR="003D6EF8">
        <w:noBreakHyphen/>
      </w:r>
      <w:r w:rsidR="00AF3A60">
        <w:t>BCT provides more flexibility to the loca</w:t>
      </w:r>
      <w:r w:rsidR="0080574B">
        <w:t>t</w:t>
      </w:r>
      <w:r w:rsidR="00AF3A60">
        <w:t xml:space="preserve">ion of the generating facility, there </w:t>
      </w:r>
      <w:r>
        <w:t xml:space="preserve">remains a </w:t>
      </w:r>
      <w:r w:rsidR="000E1DB6">
        <w:t xml:space="preserve">proximate </w:t>
      </w:r>
      <w:r w:rsidR="00AF3A60">
        <w:t>connection between the location of the generating facility and the benefiting account locations.</w:t>
      </w:r>
      <w:r w:rsidR="00AF3A60">
        <w:rPr>
          <w:rStyle w:val="FootnoteReference"/>
        </w:rPr>
        <w:footnoteReference w:id="278"/>
      </w:r>
      <w:r w:rsidR="00AF3A60">
        <w:t xml:space="preserve"> </w:t>
      </w:r>
      <w:bookmarkStart w:name="_Hlk158118761" w:id="167"/>
      <w:r w:rsidR="00AF3A60">
        <w:t xml:space="preserve">The Commission does not see the same </w:t>
      </w:r>
      <w:r w:rsidR="000E1DB6">
        <w:t xml:space="preserve">proximate </w:t>
      </w:r>
      <w:r w:rsidR="00AF3A60">
        <w:t>connection in the NVBT</w:t>
      </w:r>
      <w:r w:rsidR="00D631C7">
        <w:t xml:space="preserve"> proposal</w:t>
      </w:r>
      <w:r w:rsidR="00AF3A60">
        <w:t>, which only limits the location of the generating facility to the utilities</w:t>
      </w:r>
      <w:r w:rsidR="00440785">
        <w:t>’</w:t>
      </w:r>
      <w:r w:rsidR="00AF3A60">
        <w:t xml:space="preserve"> service territory. </w:t>
      </w:r>
      <w:bookmarkEnd w:id="167"/>
      <w:r w:rsidR="00AF3A60">
        <w:t xml:space="preserve">As such, the Commission does not consider </w:t>
      </w:r>
      <w:bookmarkStart w:name="_Hlk158118843" w:id="168"/>
      <w:r w:rsidR="00AF3A60">
        <w:t xml:space="preserve">the NVBT </w:t>
      </w:r>
      <w:r w:rsidR="00D631C7">
        <w:t xml:space="preserve">proposal </w:t>
      </w:r>
      <w:r w:rsidR="00AF3A60">
        <w:t>to be functionally the same as the VNEM, NEMA, and RES</w:t>
      </w:r>
      <w:r w:rsidR="003D6EF8">
        <w:noBreakHyphen/>
      </w:r>
      <w:r w:rsidR="00AF3A60">
        <w:t xml:space="preserve">BCT tariffs in that </w:t>
      </w:r>
      <w:r w:rsidR="00F17908">
        <w:t xml:space="preserve">the </w:t>
      </w:r>
      <w:r w:rsidR="00AF3A60">
        <w:t xml:space="preserve">NVBT </w:t>
      </w:r>
      <w:r w:rsidR="00D631C7">
        <w:t xml:space="preserve">proposal </w:t>
      </w:r>
      <w:r w:rsidR="00AF3A60">
        <w:t>do</w:t>
      </w:r>
      <w:r w:rsidR="00F17908">
        <w:t>es</w:t>
      </w:r>
      <w:r w:rsidR="00AF3A60">
        <w:t xml:space="preserve"> not similarly avoid transmission and distribution costs.</w:t>
      </w:r>
    </w:p>
    <w:bookmarkEnd w:id="168"/>
    <w:p w:rsidR="00BA58BF" w:rsidP="00E234A0" w:rsidRDefault="00AF3A60" w14:paraId="4F5BE45C" w14:textId="15BE608B">
      <w:pPr>
        <w:pStyle w:val="Standard"/>
      </w:pPr>
      <w:r>
        <w:t xml:space="preserve">This decision turns to the arguments asserting the </w:t>
      </w:r>
      <w:r w:rsidR="00157612">
        <w:t xml:space="preserve">NVBT </w:t>
      </w:r>
      <w:r>
        <w:t>generating facilities are front</w:t>
      </w:r>
      <w:r w:rsidR="003D6EF8">
        <w:noBreakHyphen/>
      </w:r>
      <w:r>
        <w:t>of</w:t>
      </w:r>
      <w:r w:rsidR="003D6EF8">
        <w:noBreakHyphen/>
      </w:r>
      <w:r>
        <w:t>the</w:t>
      </w:r>
      <w:r w:rsidR="003D6EF8">
        <w:noBreakHyphen/>
      </w:r>
      <w:r>
        <w:t>meter</w:t>
      </w:r>
      <w:r w:rsidR="00322C26">
        <w:t xml:space="preserve"> resources</w:t>
      </w:r>
      <w:r>
        <w:t xml:space="preserve">. There should be no argument surrounding this. Factually, </w:t>
      </w:r>
      <w:bookmarkStart w:name="_Hlk158118885" w:id="169"/>
      <w:r>
        <w:t>front</w:t>
      </w:r>
      <w:r w:rsidR="003D6EF8">
        <w:noBreakHyphen/>
      </w:r>
      <w:r>
        <w:t>of</w:t>
      </w:r>
      <w:r w:rsidR="003D6EF8">
        <w:noBreakHyphen/>
      </w:r>
      <w:r>
        <w:t>the</w:t>
      </w:r>
      <w:r w:rsidR="003D6EF8">
        <w:noBreakHyphen/>
      </w:r>
      <w:r>
        <w:t xml:space="preserve">meter resources are in front of a </w:t>
      </w:r>
      <w:r>
        <w:lastRenderedPageBreak/>
        <w:t>customer</w:t>
      </w:r>
      <w:r w:rsidR="00440785">
        <w:t>’</w:t>
      </w:r>
      <w:r>
        <w:t>s meter. Behind</w:t>
      </w:r>
      <w:r w:rsidR="003D6EF8">
        <w:noBreakHyphen/>
      </w:r>
      <w:r>
        <w:t>the</w:t>
      </w:r>
      <w:r w:rsidR="003D6EF8">
        <w:noBreakHyphen/>
      </w:r>
      <w:r>
        <w:t>meter resources are behind a customer</w:t>
      </w:r>
      <w:r w:rsidR="00440785">
        <w:t>’</w:t>
      </w:r>
      <w:r>
        <w:t>s meter and will address on</w:t>
      </w:r>
      <w:r w:rsidR="003D6EF8">
        <w:noBreakHyphen/>
      </w:r>
      <w:r>
        <w:t>site load, if any, and then feed back into the grid.</w:t>
      </w:r>
      <w:bookmarkEnd w:id="169"/>
    </w:p>
    <w:p w:rsidR="00AF3A60" w:rsidP="00E234A0" w:rsidRDefault="00AF3A60" w14:paraId="3853832C" w14:textId="15FA60DD">
      <w:pPr>
        <w:pStyle w:val="Standard"/>
      </w:pPr>
      <w:r>
        <w:t xml:space="preserve">Relatedly, the Commission disagrees with SEIA that the proximity of the resource in relationship to the customer meter does not matter. </w:t>
      </w:r>
      <w:bookmarkStart w:name="_Hlk158118925" w:id="170"/>
      <w:r>
        <w:t>If a resource is behind the meter then the resource will offset any load from the customer before producing energy to the distribution grid. If the resource is in front of the meter, a customer</w:t>
      </w:r>
      <w:r w:rsidR="00440785">
        <w:t>’</w:t>
      </w:r>
      <w:r>
        <w:t>s load may not be offset. Instead, the energy will be sent directly to the distribution grid. The location</w:t>
      </w:r>
      <w:r w:rsidR="00134072">
        <w:t xml:space="preserve"> </w:t>
      </w:r>
      <w:r>
        <w:t>of the resource and its proximity to customers will determine what happens to the produced energy.</w:t>
      </w:r>
      <w:bookmarkEnd w:id="170"/>
    </w:p>
    <w:p w:rsidR="00AF3A60" w:rsidP="001B1E90" w:rsidRDefault="00AF3A60" w14:paraId="76DC0693" w14:textId="6A03F279">
      <w:pPr>
        <w:pStyle w:val="Heading5"/>
      </w:pPr>
      <w:bookmarkStart w:name="_Toc159551193" w:id="171"/>
      <w:bookmarkStart w:name="_Toc168559311" w:id="172"/>
      <w:r>
        <w:t xml:space="preserve">The </w:t>
      </w:r>
      <w:r w:rsidR="000B1E5D">
        <w:t>Net Value Billing Tariff</w:t>
      </w:r>
      <w:r>
        <w:t xml:space="preserve"> </w:t>
      </w:r>
      <w:r w:rsidR="000B2E32">
        <w:t xml:space="preserve">Proposal </w:t>
      </w:r>
      <w:r>
        <w:t>Create</w:t>
      </w:r>
      <w:r w:rsidR="00D54815">
        <w:t>s</w:t>
      </w:r>
      <w:r>
        <w:t xml:space="preserve"> a Cost Shift</w:t>
      </w:r>
      <w:bookmarkEnd w:id="171"/>
      <w:bookmarkEnd w:id="172"/>
    </w:p>
    <w:p w:rsidR="00AF3A60" w:rsidP="006778E5" w:rsidRDefault="00AF3A60" w14:paraId="71F51C34" w14:textId="2D21C9B3">
      <w:pPr>
        <w:pStyle w:val="Standard"/>
      </w:pPr>
      <w:r>
        <w:t>Turning to the matter of a potential cost shift, parties were asked to perform a cost</w:t>
      </w:r>
      <w:r w:rsidR="003D6EF8">
        <w:noBreakHyphen/>
      </w:r>
      <w:r>
        <w:t>benefit analysis of their proposals. CCSA presented an updated analysis including results of the three Standard Practice Manual</w:t>
      </w:r>
      <w:r>
        <w:rPr>
          <w:rStyle w:val="FootnoteReference"/>
        </w:rPr>
        <w:footnoteReference w:id="279"/>
      </w:r>
      <w:r>
        <w:t xml:space="preserve"> Tests</w:t>
      </w:r>
      <w:r w:rsidR="005D30D7">
        <w:t xml:space="preserve">: </w:t>
      </w:r>
      <w:r>
        <w:t xml:space="preserve">the </w:t>
      </w:r>
      <w:r w:rsidRPr="00FD66C0">
        <w:t xml:space="preserve">Total Resource Cost </w:t>
      </w:r>
      <w:r>
        <w:t>(</w:t>
      </w:r>
      <w:r w:rsidRPr="00FD66C0">
        <w:rPr>
          <w:rFonts w:cs="TimesNewRomanPSMT"/>
          <w:szCs w:val="26"/>
        </w:rPr>
        <w:t>TRC</w:t>
      </w:r>
      <w:r>
        <w:t>) test,</w:t>
      </w:r>
      <w:r>
        <w:rPr>
          <w:rStyle w:val="FootnoteReference"/>
        </w:rPr>
        <w:footnoteReference w:id="280"/>
      </w:r>
      <w:r>
        <w:t xml:space="preserve"> the </w:t>
      </w:r>
      <w:r w:rsidRPr="00FD66C0">
        <w:t xml:space="preserve">Participant Cost Test </w:t>
      </w:r>
      <w:r>
        <w:t>(</w:t>
      </w:r>
      <w:r w:rsidRPr="00FD66C0">
        <w:rPr>
          <w:rFonts w:cs="TimesNewRomanPSMT"/>
          <w:szCs w:val="26"/>
        </w:rPr>
        <w:t>PCT</w:t>
      </w:r>
      <w:r>
        <w:t>),</w:t>
      </w:r>
      <w:r>
        <w:rPr>
          <w:rStyle w:val="FootnoteReference"/>
        </w:rPr>
        <w:footnoteReference w:id="281"/>
      </w:r>
      <w:r>
        <w:t xml:space="preserve"> and the </w:t>
      </w:r>
      <w:r w:rsidRPr="00FD66C0">
        <w:t xml:space="preserve">Ratepayer Impact Measure </w:t>
      </w:r>
      <w:r>
        <w:t>(</w:t>
      </w:r>
      <w:r w:rsidRPr="00FD66C0">
        <w:rPr>
          <w:rFonts w:cs="TimesNewRomanPSMT"/>
          <w:szCs w:val="26"/>
        </w:rPr>
        <w:t>RIM</w:t>
      </w:r>
      <w:r>
        <w:t>) test.</w:t>
      </w:r>
      <w:r>
        <w:rPr>
          <w:rStyle w:val="FootnoteReference"/>
        </w:rPr>
        <w:footnoteReference w:id="282"/>
      </w:r>
      <w:r>
        <w:t xml:space="preserve"> In D.22</w:t>
      </w:r>
      <w:r w:rsidR="003D6EF8">
        <w:noBreakHyphen/>
      </w:r>
      <w:r>
        <w:t>12</w:t>
      </w:r>
      <w:r w:rsidR="003D6EF8">
        <w:noBreakHyphen/>
      </w:r>
      <w:r>
        <w:t xml:space="preserve">056, the Commission found that the </w:t>
      </w:r>
      <w:r w:rsidR="00440785">
        <w:t>“</w:t>
      </w:r>
      <w:r>
        <w:t xml:space="preserve">RIM test is useful for examining whether disproportionate impacts </w:t>
      </w:r>
      <w:r>
        <w:lastRenderedPageBreak/>
        <w:t>occur on non</w:t>
      </w:r>
      <w:r w:rsidR="003D6EF8">
        <w:noBreakHyphen/>
      </w:r>
      <w:r>
        <w:t>participants, as part of complying with the statute</w:t>
      </w:r>
      <w:r w:rsidR="00440785">
        <w:t>’</w:t>
      </w:r>
      <w:r>
        <w:t>s requireme</w:t>
      </w:r>
      <w:r w:rsidR="00134072">
        <w:t>n</w:t>
      </w:r>
      <w:r>
        <w:t>ts to ensure benefits approximately equal costs to all customers; such an examination cannot be conducted with the TRC test.</w:t>
      </w:r>
      <w:r w:rsidR="00440785">
        <w:t>”</w:t>
      </w:r>
      <w:r>
        <w:t xml:space="preserve"> </w:t>
      </w:r>
      <w:r w:rsidR="003627A8">
        <w:t>AB </w:t>
      </w:r>
      <w:r>
        <w:t xml:space="preserve">2316 and </w:t>
      </w:r>
      <w:r w:rsidR="00440785">
        <w:t>Pub. Util.</w:t>
      </w:r>
      <w:r>
        <w:t xml:space="preserve"> </w:t>
      </w:r>
      <w:r w:rsidR="00934C7F">
        <w:t>Code Section 7</w:t>
      </w:r>
      <w:r>
        <w:t>69.3 requires that the community renewable energy program, if established</w:t>
      </w:r>
      <w:r w:rsidR="00157612">
        <w:t>,</w:t>
      </w:r>
      <w:r>
        <w:t xml:space="preserve"> minimize impacts to nonparticipating customers by prohibiting the program</w:t>
      </w:r>
      <w:r w:rsidR="00440785">
        <w:t>’</w:t>
      </w:r>
      <w:r>
        <w:t xml:space="preserve">s costs from being paid by nonparticipating customers in excess of the avoided costs. Accordingly, </w:t>
      </w:r>
      <w:r w:rsidR="000E1DB6">
        <w:t xml:space="preserve">in general, </w:t>
      </w:r>
      <w:r>
        <w:t>it is reasonable for the Commission to rely on the RIM tests to determine the impacts of a resource on nonparticipating customers.</w:t>
      </w:r>
    </w:p>
    <w:p w:rsidR="00AF3A60" w:rsidP="00AC6E92" w:rsidRDefault="005674F9" w14:paraId="6347D8D2" w14:textId="57D82508">
      <w:pPr>
        <w:pStyle w:val="Standard"/>
      </w:pPr>
      <w:r>
        <w:t>Table </w:t>
      </w:r>
      <w:r w:rsidR="00033DC0">
        <w:t>4</w:t>
      </w:r>
      <w:r w:rsidRPr="00C2323E" w:rsidR="00AF3A60">
        <w:t xml:space="preserve"> presents CCSA</w:t>
      </w:r>
      <w:r w:rsidR="00440785">
        <w:t>’</w:t>
      </w:r>
      <w:r w:rsidRPr="00C2323E" w:rsidR="00AF3A60">
        <w:t xml:space="preserve">s generated RIM test results for </w:t>
      </w:r>
      <w:r w:rsidR="000B2E32">
        <w:t xml:space="preserve">its </w:t>
      </w:r>
      <w:r w:rsidR="00AF3A60">
        <w:t>NVBT</w:t>
      </w:r>
      <w:r w:rsidR="000B2E32">
        <w:t xml:space="preserve"> proposal</w:t>
      </w:r>
      <w:r w:rsidR="00AF3A60">
        <w:t xml:space="preserve">. CCSA underscores that this analysis was performed under </w:t>
      </w:r>
      <w:r w:rsidR="000B2E32">
        <w:t xml:space="preserve">several </w:t>
      </w:r>
      <w:r w:rsidR="00AF3A60">
        <w:t>caveats</w:t>
      </w:r>
      <w:r w:rsidR="000B2E32">
        <w:t>, as follows</w:t>
      </w:r>
      <w:r w:rsidR="00AF3A60">
        <w:t>. CCSA analyzed a five</w:t>
      </w:r>
      <w:r w:rsidR="003D6EF8">
        <w:noBreakHyphen/>
      </w:r>
      <w:r w:rsidR="00AF3A60">
        <w:t>megawatt ground mounted project, included the utilities</w:t>
      </w:r>
      <w:r w:rsidR="00440785">
        <w:t>’</w:t>
      </w:r>
      <w:r w:rsidR="00AF3A60">
        <w:t xml:space="preserve"> </w:t>
      </w:r>
      <w:r w:rsidR="00440785">
        <w:t>“</w:t>
      </w:r>
      <w:r w:rsidR="00AF3A60">
        <w:t>highest preliminary cost estimates for billing upgrades and program administration</w:t>
      </w:r>
      <w:r w:rsidR="00440785">
        <w:t>”</w:t>
      </w:r>
      <w:r w:rsidR="00AF3A60">
        <w:t xml:space="preserve"> but excluded the costs of utility billing and program administration because these costs are borne by the projects.</w:t>
      </w:r>
      <w:r w:rsidR="00AF3A60">
        <w:rPr>
          <w:rStyle w:val="FootnoteReference"/>
        </w:rPr>
        <w:footnoteReference w:id="283"/>
      </w:r>
    </w:p>
    <w:p w:rsidRPr="006778E5" w:rsidR="00AF3A60" w:rsidP="00AF6920" w:rsidRDefault="005674F9" w14:paraId="5655D9B6" w14:textId="25DDB44B">
      <w:pPr>
        <w:pStyle w:val="Standard"/>
        <w:keepNext/>
        <w:spacing w:after="240" w:line="240" w:lineRule="auto"/>
        <w:ind w:firstLine="0"/>
        <w:jc w:val="center"/>
        <w:rPr>
          <w:b/>
          <w:bCs/>
        </w:rPr>
      </w:pPr>
      <w:r w:rsidRPr="006778E5">
        <w:rPr>
          <w:b/>
          <w:bCs/>
        </w:rPr>
        <w:t>Table </w:t>
      </w:r>
      <w:r w:rsidR="00033DC0">
        <w:rPr>
          <w:b/>
          <w:bCs/>
        </w:rPr>
        <w:t>4</w:t>
      </w:r>
    </w:p>
    <w:tbl>
      <w:tblPr>
        <w:tblStyle w:val="TableGrid"/>
        <w:tblW w:w="7375" w:type="dxa"/>
        <w:jc w:val="center"/>
        <w:tblLayout w:type="fixed"/>
        <w:tblCellMar>
          <w:top w:w="58" w:type="dxa"/>
          <w:bottom w:w="58" w:type="dxa"/>
        </w:tblCellMar>
        <w:tblLook w:val="04A0" w:firstRow="1" w:lastRow="0" w:firstColumn="1" w:lastColumn="0" w:noHBand="0" w:noVBand="1"/>
      </w:tblPr>
      <w:tblGrid>
        <w:gridCol w:w="4405"/>
        <w:gridCol w:w="2970"/>
      </w:tblGrid>
      <w:tr w:rsidRPr="006778E5" w:rsidR="00AF3A60" w:rsidTr="008748E4" w14:paraId="023FA70C" w14:textId="77777777">
        <w:trPr>
          <w:tblHeader/>
          <w:jc w:val="center"/>
        </w:trPr>
        <w:tc>
          <w:tcPr>
            <w:tcW w:w="7375" w:type="dxa"/>
            <w:gridSpan w:val="2"/>
          </w:tcPr>
          <w:p w:rsidRPr="006778E5" w:rsidR="00AF3A60" w:rsidP="008748E4" w:rsidRDefault="00AF3A60" w14:paraId="368E0AC3" w14:textId="2D1A4E29">
            <w:pPr>
              <w:spacing w:line="240" w:lineRule="auto"/>
              <w:ind w:firstLine="0"/>
              <w:jc w:val="center"/>
              <w:rPr>
                <w:b/>
                <w:bCs/>
              </w:rPr>
            </w:pPr>
            <w:r w:rsidRPr="006778E5">
              <w:rPr>
                <w:b/>
                <w:bCs/>
              </w:rPr>
              <w:t>CCSA</w:t>
            </w:r>
            <w:r w:rsidR="003D6EF8">
              <w:rPr>
                <w:b/>
                <w:bCs/>
              </w:rPr>
              <w:noBreakHyphen/>
            </w:r>
            <w:r w:rsidRPr="006778E5">
              <w:rPr>
                <w:b/>
                <w:bCs/>
              </w:rPr>
              <w:t>Generated RIM Test Results</w:t>
            </w:r>
            <w:r w:rsidR="008748E4">
              <w:rPr>
                <w:b/>
                <w:bCs/>
              </w:rPr>
              <w:t xml:space="preserve"> </w:t>
            </w:r>
            <w:r w:rsidRPr="006778E5">
              <w:rPr>
                <w:b/>
                <w:bCs/>
              </w:rPr>
              <w:t xml:space="preserve">of </w:t>
            </w:r>
            <w:r w:rsidR="000B2E32">
              <w:rPr>
                <w:b/>
                <w:bCs/>
              </w:rPr>
              <w:t xml:space="preserve">Its </w:t>
            </w:r>
            <w:r w:rsidRPr="006778E5">
              <w:rPr>
                <w:b/>
                <w:bCs/>
              </w:rPr>
              <w:t>NVBT</w:t>
            </w:r>
            <w:r w:rsidR="000B2E32">
              <w:rPr>
                <w:b/>
                <w:bCs/>
              </w:rPr>
              <w:t xml:space="preserve"> Proposal</w:t>
            </w:r>
          </w:p>
        </w:tc>
      </w:tr>
      <w:tr w:rsidRPr="006778E5" w:rsidR="00AF3A60" w:rsidTr="008748E4" w14:paraId="61BCC519" w14:textId="77777777">
        <w:trPr>
          <w:tblHeader/>
          <w:jc w:val="center"/>
        </w:trPr>
        <w:tc>
          <w:tcPr>
            <w:tcW w:w="4405" w:type="dxa"/>
          </w:tcPr>
          <w:p w:rsidRPr="006778E5" w:rsidR="00AF3A60" w:rsidP="006778E5" w:rsidRDefault="00AF3A60" w14:paraId="5EF8206B" w14:textId="7807AE34">
            <w:pPr>
              <w:spacing w:line="240" w:lineRule="auto"/>
              <w:ind w:firstLine="0"/>
              <w:jc w:val="center"/>
              <w:rPr>
                <w:b/>
                <w:bCs/>
              </w:rPr>
            </w:pPr>
            <w:r w:rsidRPr="006778E5">
              <w:rPr>
                <w:b/>
                <w:bCs/>
              </w:rPr>
              <w:t>(Utility, Term, ITC</w:t>
            </w:r>
            <w:r w:rsidR="00E51CBE">
              <w:rPr>
                <w:b/>
                <w:bCs/>
              </w:rPr>
              <w:t xml:space="preserve"> </w:t>
            </w:r>
            <w:r w:rsidRPr="006778E5">
              <w:rPr>
                <w:b/>
                <w:bCs/>
              </w:rPr>
              <w:t>%)</w:t>
            </w:r>
          </w:p>
        </w:tc>
        <w:tc>
          <w:tcPr>
            <w:tcW w:w="2970" w:type="dxa"/>
          </w:tcPr>
          <w:p w:rsidRPr="006778E5" w:rsidR="00AF3A60" w:rsidP="006778E5" w:rsidRDefault="00AF3A60" w14:paraId="70009764" w14:textId="77777777">
            <w:pPr>
              <w:spacing w:line="240" w:lineRule="auto"/>
              <w:ind w:firstLine="0"/>
              <w:jc w:val="center"/>
              <w:rPr>
                <w:b/>
                <w:bCs/>
              </w:rPr>
            </w:pPr>
            <w:r w:rsidRPr="006778E5">
              <w:rPr>
                <w:b/>
                <w:bCs/>
              </w:rPr>
              <w:t>CCSA Results</w:t>
            </w:r>
            <w:r w:rsidRPr="006778E5">
              <w:rPr>
                <w:rStyle w:val="FootnoteReference"/>
                <w:b/>
                <w:bCs/>
              </w:rPr>
              <w:footnoteReference w:id="284"/>
            </w:r>
          </w:p>
        </w:tc>
      </w:tr>
      <w:tr w:rsidR="00AF3A60" w:rsidTr="008748E4" w14:paraId="0F490945" w14:textId="77777777">
        <w:trPr>
          <w:jc w:val="center"/>
        </w:trPr>
        <w:tc>
          <w:tcPr>
            <w:tcW w:w="4405" w:type="dxa"/>
          </w:tcPr>
          <w:p w:rsidR="00AF3A60" w:rsidP="00AC0D49" w:rsidRDefault="00AF3A60" w14:paraId="21E22DF8" w14:textId="2DDA3A0C">
            <w:pPr>
              <w:keepNext/>
              <w:tabs>
                <w:tab w:val="left" w:pos="1584"/>
                <w:tab w:val="left" w:pos="2808"/>
              </w:tabs>
              <w:spacing w:line="240" w:lineRule="auto"/>
              <w:ind w:firstLine="0"/>
            </w:pPr>
            <w:r>
              <w:t>PG&amp;E</w:t>
            </w:r>
            <w:r w:rsidR="00B87F6E">
              <w:tab/>
            </w:r>
            <w:r>
              <w:t>20yr</w:t>
            </w:r>
            <w:r w:rsidR="00B87F6E">
              <w:tab/>
            </w:r>
            <w:r>
              <w:t>30% ITC</w:t>
            </w:r>
          </w:p>
        </w:tc>
        <w:tc>
          <w:tcPr>
            <w:tcW w:w="2970" w:type="dxa"/>
          </w:tcPr>
          <w:p w:rsidR="00AF3A60" w:rsidP="00B87F6E" w:rsidRDefault="00AF3A60" w14:paraId="7D0A4D6B" w14:textId="77777777">
            <w:pPr>
              <w:keepNext/>
              <w:spacing w:line="240" w:lineRule="auto"/>
              <w:ind w:firstLine="0"/>
              <w:jc w:val="center"/>
            </w:pPr>
            <w:r>
              <w:t>0.92</w:t>
            </w:r>
          </w:p>
        </w:tc>
      </w:tr>
      <w:tr w:rsidR="00AF3A60" w:rsidTr="008748E4" w14:paraId="70C69B7A" w14:textId="77777777">
        <w:trPr>
          <w:jc w:val="center"/>
        </w:trPr>
        <w:tc>
          <w:tcPr>
            <w:tcW w:w="4405" w:type="dxa"/>
          </w:tcPr>
          <w:p w:rsidR="00AF3A60" w:rsidP="00AC0D49" w:rsidRDefault="00AF3A60" w14:paraId="7FF5583B" w14:textId="442E7F89">
            <w:pPr>
              <w:tabs>
                <w:tab w:val="left" w:pos="1584"/>
                <w:tab w:val="left" w:pos="2808"/>
              </w:tabs>
              <w:spacing w:line="240" w:lineRule="auto"/>
              <w:ind w:firstLine="0"/>
            </w:pPr>
            <w:r>
              <w:t>PG&amp;E</w:t>
            </w:r>
            <w:r w:rsidR="00B87F6E">
              <w:tab/>
            </w:r>
            <w:r>
              <w:t>25</w:t>
            </w:r>
            <w:r w:rsidR="00B87F6E">
              <w:t>yr</w:t>
            </w:r>
            <w:r w:rsidR="00B87F6E">
              <w:tab/>
            </w:r>
            <w:r>
              <w:t>30% ITC</w:t>
            </w:r>
          </w:p>
        </w:tc>
        <w:tc>
          <w:tcPr>
            <w:tcW w:w="2970" w:type="dxa"/>
          </w:tcPr>
          <w:p w:rsidR="00AF3A60" w:rsidP="00AC0D49" w:rsidRDefault="00AF3A60" w14:paraId="0246CA2C" w14:textId="77777777">
            <w:pPr>
              <w:spacing w:line="240" w:lineRule="auto"/>
              <w:ind w:firstLine="0"/>
              <w:jc w:val="center"/>
            </w:pPr>
            <w:r>
              <w:t>0.91</w:t>
            </w:r>
          </w:p>
        </w:tc>
      </w:tr>
      <w:tr w:rsidR="00AF3A60" w:rsidTr="008748E4" w14:paraId="2DBEF669" w14:textId="77777777">
        <w:trPr>
          <w:jc w:val="center"/>
        </w:trPr>
        <w:tc>
          <w:tcPr>
            <w:tcW w:w="4405" w:type="dxa"/>
          </w:tcPr>
          <w:p w:rsidR="00AF3A60" w:rsidP="00AC0D49" w:rsidRDefault="00AF3A60" w14:paraId="0E477895" w14:textId="0A2E0C7B">
            <w:pPr>
              <w:tabs>
                <w:tab w:val="left" w:pos="1584"/>
                <w:tab w:val="left" w:pos="2808"/>
              </w:tabs>
              <w:spacing w:line="240" w:lineRule="auto"/>
              <w:ind w:firstLine="0"/>
            </w:pPr>
            <w:r>
              <w:t>SCE</w:t>
            </w:r>
            <w:r w:rsidR="00B87F6E">
              <w:tab/>
            </w:r>
            <w:r>
              <w:t>20</w:t>
            </w:r>
            <w:r w:rsidR="00B87F6E">
              <w:t>yr</w:t>
            </w:r>
            <w:r w:rsidR="00B87F6E">
              <w:tab/>
            </w:r>
            <w:r>
              <w:t>30% ITC</w:t>
            </w:r>
          </w:p>
        </w:tc>
        <w:tc>
          <w:tcPr>
            <w:tcW w:w="2970" w:type="dxa"/>
          </w:tcPr>
          <w:p w:rsidR="00AF3A60" w:rsidP="006778E5" w:rsidRDefault="00AF3A60" w14:paraId="66E9ADD7" w14:textId="77777777">
            <w:pPr>
              <w:spacing w:line="240" w:lineRule="auto"/>
              <w:ind w:firstLine="0"/>
              <w:jc w:val="center"/>
            </w:pPr>
            <w:r>
              <w:t>0.81</w:t>
            </w:r>
          </w:p>
        </w:tc>
      </w:tr>
      <w:tr w:rsidR="00AF3A60" w:rsidTr="008748E4" w14:paraId="5886D159" w14:textId="77777777">
        <w:trPr>
          <w:jc w:val="center"/>
        </w:trPr>
        <w:tc>
          <w:tcPr>
            <w:tcW w:w="4405" w:type="dxa"/>
          </w:tcPr>
          <w:p w:rsidR="00AF3A60" w:rsidP="00AC0D49" w:rsidRDefault="00AF3A60" w14:paraId="11FFE3CD" w14:textId="08575B34">
            <w:pPr>
              <w:tabs>
                <w:tab w:val="left" w:pos="1584"/>
                <w:tab w:val="left" w:pos="2808"/>
              </w:tabs>
              <w:spacing w:line="240" w:lineRule="auto"/>
              <w:ind w:firstLine="0"/>
            </w:pPr>
            <w:r>
              <w:t>SCE</w:t>
            </w:r>
            <w:r w:rsidR="00B87F6E">
              <w:tab/>
            </w:r>
            <w:r>
              <w:t>25</w:t>
            </w:r>
            <w:r w:rsidR="00B87F6E">
              <w:t>yr</w:t>
            </w:r>
            <w:r w:rsidR="00B87F6E">
              <w:tab/>
            </w:r>
            <w:r>
              <w:t>30% ITC</w:t>
            </w:r>
          </w:p>
        </w:tc>
        <w:tc>
          <w:tcPr>
            <w:tcW w:w="2970" w:type="dxa"/>
          </w:tcPr>
          <w:p w:rsidR="00AF3A60" w:rsidP="006778E5" w:rsidRDefault="00AF3A60" w14:paraId="20D2F828" w14:textId="77777777">
            <w:pPr>
              <w:spacing w:line="240" w:lineRule="auto"/>
              <w:ind w:firstLine="0"/>
              <w:jc w:val="center"/>
            </w:pPr>
            <w:r>
              <w:t>0.81</w:t>
            </w:r>
          </w:p>
        </w:tc>
      </w:tr>
      <w:tr w:rsidR="00AF3A60" w:rsidTr="008748E4" w14:paraId="397D7183" w14:textId="77777777">
        <w:trPr>
          <w:jc w:val="center"/>
        </w:trPr>
        <w:tc>
          <w:tcPr>
            <w:tcW w:w="4405" w:type="dxa"/>
          </w:tcPr>
          <w:p w:rsidR="00AF3A60" w:rsidP="00AC0D49" w:rsidRDefault="00AF3A60" w14:paraId="471A33B9" w14:textId="6D988EB6">
            <w:pPr>
              <w:tabs>
                <w:tab w:val="left" w:pos="1584"/>
                <w:tab w:val="left" w:pos="2808"/>
              </w:tabs>
              <w:spacing w:line="240" w:lineRule="auto"/>
              <w:ind w:firstLine="0"/>
            </w:pPr>
            <w:r>
              <w:t>SDG&amp;E</w:t>
            </w:r>
            <w:r w:rsidR="00B87F6E">
              <w:tab/>
            </w:r>
            <w:r>
              <w:t>20</w:t>
            </w:r>
            <w:r w:rsidR="00B87F6E">
              <w:t>yr</w:t>
            </w:r>
            <w:r w:rsidR="00B87F6E">
              <w:tab/>
            </w:r>
            <w:r>
              <w:t>30% ITC</w:t>
            </w:r>
          </w:p>
        </w:tc>
        <w:tc>
          <w:tcPr>
            <w:tcW w:w="2970" w:type="dxa"/>
          </w:tcPr>
          <w:p w:rsidR="00AF3A60" w:rsidP="006778E5" w:rsidRDefault="00AF3A60" w14:paraId="533F2BBA" w14:textId="77777777">
            <w:pPr>
              <w:spacing w:line="240" w:lineRule="auto"/>
              <w:ind w:firstLine="0"/>
              <w:jc w:val="center"/>
            </w:pPr>
            <w:r>
              <w:t>0.85</w:t>
            </w:r>
          </w:p>
        </w:tc>
      </w:tr>
      <w:tr w:rsidR="00AF3A60" w:rsidTr="008748E4" w14:paraId="7E19F193" w14:textId="77777777">
        <w:trPr>
          <w:jc w:val="center"/>
        </w:trPr>
        <w:tc>
          <w:tcPr>
            <w:tcW w:w="4405" w:type="dxa"/>
          </w:tcPr>
          <w:p w:rsidR="00AF3A60" w:rsidP="00AC0D49" w:rsidRDefault="00AF3A60" w14:paraId="1C787A7F" w14:textId="12714AE7">
            <w:pPr>
              <w:tabs>
                <w:tab w:val="left" w:pos="1584"/>
                <w:tab w:val="left" w:pos="2808"/>
              </w:tabs>
              <w:spacing w:line="240" w:lineRule="auto"/>
              <w:ind w:firstLine="0"/>
            </w:pPr>
            <w:r>
              <w:t>SDG&amp;E</w:t>
            </w:r>
            <w:r w:rsidR="00B87F6E">
              <w:tab/>
            </w:r>
            <w:r>
              <w:t>25</w:t>
            </w:r>
            <w:r w:rsidR="00B87F6E">
              <w:t>yr</w:t>
            </w:r>
            <w:r w:rsidR="00B87F6E">
              <w:tab/>
            </w:r>
            <w:r>
              <w:t>30% ITC</w:t>
            </w:r>
          </w:p>
        </w:tc>
        <w:tc>
          <w:tcPr>
            <w:tcW w:w="2970" w:type="dxa"/>
          </w:tcPr>
          <w:p w:rsidR="00AF3A60" w:rsidP="006778E5" w:rsidRDefault="00AF3A60" w14:paraId="55000DB0" w14:textId="77777777">
            <w:pPr>
              <w:spacing w:line="240" w:lineRule="auto"/>
              <w:ind w:firstLine="0"/>
              <w:jc w:val="center"/>
            </w:pPr>
            <w:r>
              <w:t>0.85</w:t>
            </w:r>
          </w:p>
        </w:tc>
      </w:tr>
      <w:tr w:rsidR="00AF3A60" w:rsidTr="008748E4" w14:paraId="4BA02DFC" w14:textId="77777777">
        <w:trPr>
          <w:jc w:val="center"/>
        </w:trPr>
        <w:tc>
          <w:tcPr>
            <w:tcW w:w="4405" w:type="dxa"/>
          </w:tcPr>
          <w:p w:rsidR="00AF3A60" w:rsidP="00AC0D49" w:rsidRDefault="00AF3A60" w14:paraId="44559009" w14:textId="55B0DDD2">
            <w:pPr>
              <w:tabs>
                <w:tab w:val="left" w:pos="1584"/>
                <w:tab w:val="left" w:pos="2808"/>
              </w:tabs>
              <w:spacing w:line="240" w:lineRule="auto"/>
              <w:ind w:firstLine="0"/>
            </w:pPr>
            <w:r>
              <w:lastRenderedPageBreak/>
              <w:t>PG&amp;E</w:t>
            </w:r>
            <w:r w:rsidR="00B87F6E">
              <w:tab/>
            </w:r>
            <w:r>
              <w:t>20</w:t>
            </w:r>
            <w:r w:rsidR="00B87F6E">
              <w:t>yr</w:t>
            </w:r>
            <w:r w:rsidR="00B87F6E">
              <w:tab/>
            </w:r>
            <w:r>
              <w:t>50% ITC</w:t>
            </w:r>
          </w:p>
        </w:tc>
        <w:tc>
          <w:tcPr>
            <w:tcW w:w="2970" w:type="dxa"/>
          </w:tcPr>
          <w:p w:rsidR="00AF3A60" w:rsidP="006778E5" w:rsidRDefault="00AF3A60" w14:paraId="21837805" w14:textId="77777777">
            <w:pPr>
              <w:spacing w:line="240" w:lineRule="auto"/>
              <w:ind w:firstLine="0"/>
              <w:jc w:val="center"/>
            </w:pPr>
            <w:r>
              <w:t>0.92</w:t>
            </w:r>
          </w:p>
        </w:tc>
      </w:tr>
      <w:tr w:rsidR="00AF3A60" w:rsidTr="008748E4" w14:paraId="22F619F3" w14:textId="77777777">
        <w:trPr>
          <w:jc w:val="center"/>
        </w:trPr>
        <w:tc>
          <w:tcPr>
            <w:tcW w:w="4405" w:type="dxa"/>
          </w:tcPr>
          <w:p w:rsidR="00AF3A60" w:rsidP="00AC0D49" w:rsidRDefault="00AF3A60" w14:paraId="5B10F20A" w14:textId="4C8930B8">
            <w:pPr>
              <w:tabs>
                <w:tab w:val="left" w:pos="1584"/>
                <w:tab w:val="left" w:pos="2808"/>
              </w:tabs>
              <w:spacing w:line="240" w:lineRule="auto"/>
              <w:ind w:firstLine="0"/>
            </w:pPr>
            <w:r>
              <w:t>PG&amp;E</w:t>
            </w:r>
            <w:r w:rsidR="00B87F6E">
              <w:tab/>
            </w:r>
            <w:r>
              <w:t>25</w:t>
            </w:r>
            <w:r w:rsidR="00B87F6E">
              <w:t>yr</w:t>
            </w:r>
            <w:r w:rsidR="00B87F6E">
              <w:tab/>
            </w:r>
            <w:r>
              <w:t>50% ITC</w:t>
            </w:r>
          </w:p>
        </w:tc>
        <w:tc>
          <w:tcPr>
            <w:tcW w:w="2970" w:type="dxa"/>
          </w:tcPr>
          <w:p w:rsidR="00AF3A60" w:rsidP="006778E5" w:rsidRDefault="00AF3A60" w14:paraId="34224D23" w14:textId="77777777">
            <w:pPr>
              <w:spacing w:line="240" w:lineRule="auto"/>
              <w:ind w:firstLine="0"/>
              <w:jc w:val="center"/>
            </w:pPr>
            <w:r>
              <w:t>0.91</w:t>
            </w:r>
          </w:p>
        </w:tc>
      </w:tr>
      <w:tr w:rsidR="00AF3A60" w:rsidTr="008748E4" w14:paraId="541F9A15" w14:textId="77777777">
        <w:trPr>
          <w:jc w:val="center"/>
        </w:trPr>
        <w:tc>
          <w:tcPr>
            <w:tcW w:w="4405" w:type="dxa"/>
          </w:tcPr>
          <w:p w:rsidR="00AF3A60" w:rsidP="00AC0D49" w:rsidRDefault="00AF3A60" w14:paraId="564E37C6" w14:textId="2B329E29">
            <w:pPr>
              <w:tabs>
                <w:tab w:val="left" w:pos="1584"/>
                <w:tab w:val="left" w:pos="2808"/>
              </w:tabs>
              <w:spacing w:line="240" w:lineRule="auto"/>
              <w:ind w:firstLine="0"/>
            </w:pPr>
            <w:r>
              <w:t>SCE</w:t>
            </w:r>
            <w:r w:rsidR="00B87F6E">
              <w:tab/>
            </w:r>
            <w:r>
              <w:t>20</w:t>
            </w:r>
            <w:r w:rsidR="00B87F6E">
              <w:t>yr</w:t>
            </w:r>
            <w:r w:rsidR="00B87F6E">
              <w:tab/>
            </w:r>
            <w:r>
              <w:t>50% ITC</w:t>
            </w:r>
          </w:p>
        </w:tc>
        <w:tc>
          <w:tcPr>
            <w:tcW w:w="2970" w:type="dxa"/>
          </w:tcPr>
          <w:p w:rsidR="00AF3A60" w:rsidP="006778E5" w:rsidRDefault="00AF3A60" w14:paraId="11BE7F20" w14:textId="77777777">
            <w:pPr>
              <w:spacing w:line="240" w:lineRule="auto"/>
              <w:ind w:firstLine="0"/>
              <w:jc w:val="center"/>
            </w:pPr>
            <w:r>
              <w:t>0.81</w:t>
            </w:r>
          </w:p>
        </w:tc>
      </w:tr>
      <w:tr w:rsidR="00AF3A60" w:rsidTr="008748E4" w14:paraId="23F8306A" w14:textId="77777777">
        <w:trPr>
          <w:jc w:val="center"/>
        </w:trPr>
        <w:tc>
          <w:tcPr>
            <w:tcW w:w="4405" w:type="dxa"/>
          </w:tcPr>
          <w:p w:rsidR="00AF3A60" w:rsidP="00AC0D49" w:rsidRDefault="00AF3A60" w14:paraId="5B66FEF4" w14:textId="69420A5A">
            <w:pPr>
              <w:tabs>
                <w:tab w:val="left" w:pos="1584"/>
                <w:tab w:val="left" w:pos="2808"/>
              </w:tabs>
              <w:spacing w:line="240" w:lineRule="auto"/>
              <w:ind w:firstLine="0"/>
            </w:pPr>
            <w:r>
              <w:t>SCE</w:t>
            </w:r>
            <w:r w:rsidR="00B87F6E">
              <w:tab/>
            </w:r>
            <w:r>
              <w:t>25</w:t>
            </w:r>
            <w:r w:rsidR="00B87F6E">
              <w:t>yr</w:t>
            </w:r>
            <w:r w:rsidR="00B87F6E">
              <w:tab/>
            </w:r>
            <w:r>
              <w:t>50% ITC</w:t>
            </w:r>
          </w:p>
        </w:tc>
        <w:tc>
          <w:tcPr>
            <w:tcW w:w="2970" w:type="dxa"/>
          </w:tcPr>
          <w:p w:rsidR="00AF3A60" w:rsidP="006778E5" w:rsidRDefault="00AF3A60" w14:paraId="194FC2FD" w14:textId="77777777">
            <w:pPr>
              <w:spacing w:line="240" w:lineRule="auto"/>
              <w:ind w:firstLine="0"/>
              <w:jc w:val="center"/>
            </w:pPr>
            <w:r>
              <w:t>0.81</w:t>
            </w:r>
          </w:p>
        </w:tc>
      </w:tr>
      <w:tr w:rsidR="00AF3A60" w:rsidTr="008748E4" w14:paraId="1474AC43" w14:textId="77777777">
        <w:trPr>
          <w:jc w:val="center"/>
        </w:trPr>
        <w:tc>
          <w:tcPr>
            <w:tcW w:w="4405" w:type="dxa"/>
          </w:tcPr>
          <w:p w:rsidR="00AF3A60" w:rsidP="00AC0D49" w:rsidRDefault="00AF3A60" w14:paraId="03661772" w14:textId="3D6F7ADE">
            <w:pPr>
              <w:keepNext/>
              <w:tabs>
                <w:tab w:val="left" w:pos="1584"/>
                <w:tab w:val="left" w:pos="2808"/>
              </w:tabs>
              <w:spacing w:line="240" w:lineRule="auto"/>
              <w:ind w:firstLine="0"/>
            </w:pPr>
            <w:r>
              <w:t>SDG&amp;E</w:t>
            </w:r>
            <w:r w:rsidR="00B87F6E">
              <w:tab/>
            </w:r>
            <w:r>
              <w:t>20</w:t>
            </w:r>
            <w:r w:rsidR="00B87F6E">
              <w:t>yr</w:t>
            </w:r>
            <w:r w:rsidR="00B87F6E">
              <w:tab/>
            </w:r>
            <w:r>
              <w:t>50% ITC</w:t>
            </w:r>
          </w:p>
        </w:tc>
        <w:tc>
          <w:tcPr>
            <w:tcW w:w="2970" w:type="dxa"/>
          </w:tcPr>
          <w:p w:rsidR="00AF3A60" w:rsidP="00B87F6E" w:rsidRDefault="00AF3A60" w14:paraId="7E9E2815" w14:textId="77777777">
            <w:pPr>
              <w:keepNext/>
              <w:spacing w:line="240" w:lineRule="auto"/>
              <w:ind w:firstLine="0"/>
              <w:jc w:val="center"/>
            </w:pPr>
            <w:r>
              <w:t>0.85</w:t>
            </w:r>
          </w:p>
        </w:tc>
      </w:tr>
      <w:tr w:rsidR="00AF3A60" w:rsidTr="008748E4" w14:paraId="3E1C4849" w14:textId="77777777">
        <w:trPr>
          <w:jc w:val="center"/>
        </w:trPr>
        <w:tc>
          <w:tcPr>
            <w:tcW w:w="4405" w:type="dxa"/>
          </w:tcPr>
          <w:p w:rsidR="00AF3A60" w:rsidP="00AC0D49" w:rsidRDefault="00AF3A60" w14:paraId="5B0138EA" w14:textId="60F353D7">
            <w:pPr>
              <w:tabs>
                <w:tab w:val="left" w:pos="1584"/>
                <w:tab w:val="left" w:pos="2808"/>
              </w:tabs>
              <w:spacing w:line="240" w:lineRule="auto"/>
              <w:ind w:firstLine="0"/>
            </w:pPr>
            <w:r>
              <w:t>SDG&amp;E</w:t>
            </w:r>
            <w:r w:rsidR="00B87F6E">
              <w:tab/>
            </w:r>
            <w:r>
              <w:t>25</w:t>
            </w:r>
            <w:r w:rsidR="00B87F6E">
              <w:t>yr</w:t>
            </w:r>
            <w:r w:rsidR="00B87F6E">
              <w:tab/>
            </w:r>
            <w:r>
              <w:t>50% ITC</w:t>
            </w:r>
          </w:p>
        </w:tc>
        <w:tc>
          <w:tcPr>
            <w:tcW w:w="2970" w:type="dxa"/>
          </w:tcPr>
          <w:p w:rsidR="00AF3A60" w:rsidP="006778E5" w:rsidRDefault="00AF3A60" w14:paraId="58F15A26" w14:textId="77777777">
            <w:pPr>
              <w:spacing w:line="240" w:lineRule="auto"/>
              <w:ind w:firstLine="0"/>
              <w:jc w:val="center"/>
            </w:pPr>
            <w:r>
              <w:t>0.85</w:t>
            </w:r>
          </w:p>
        </w:tc>
      </w:tr>
    </w:tbl>
    <w:p w:rsidR="00AF3A60" w:rsidP="001D7F4C" w:rsidRDefault="00AF3A60" w14:paraId="5E0DE23F" w14:textId="3479F5E8">
      <w:pPr>
        <w:pStyle w:val="StandardTableSub"/>
      </w:pPr>
      <w:r>
        <w:t>Responding to CCSA</w:t>
      </w:r>
      <w:r w:rsidR="00440785">
        <w:t>’</w:t>
      </w:r>
      <w:r>
        <w:t xml:space="preserve">s analysis, </w:t>
      </w:r>
      <w:r w:rsidR="000341A3">
        <w:t>Joint CCA</w:t>
      </w:r>
      <w:r>
        <w:t xml:space="preserve">s and PG&amp;E assert that neither the RIM test nor any of the </w:t>
      </w:r>
      <w:r w:rsidR="000E1DB6">
        <w:t xml:space="preserve">other </w:t>
      </w:r>
      <w:r>
        <w:t>Standard Practice Manual tests should be applied to the NVBT because compensating NVBT resources for transmission and distribution benefits would not be appropriate.</w:t>
      </w:r>
      <w:r>
        <w:rPr>
          <w:rStyle w:val="FootnoteReference"/>
        </w:rPr>
        <w:footnoteReference w:id="285"/>
      </w:r>
      <w:r>
        <w:t xml:space="preserve"> This decision has already determined that NVBT resources will not reduce transmission and distribution costs, nor will they avoid generation capacity costs. Accordingly, the Commission agrees that the Avoided Cost Calculator and, therefore, the RIM test results </w:t>
      </w:r>
      <w:r w:rsidR="008430E9">
        <w:t xml:space="preserve">(which are based on outputs of the Avoided Cost Calculator) </w:t>
      </w:r>
      <w:r>
        <w:t xml:space="preserve">should not be relied upon to determine the impact of the NVBT </w:t>
      </w:r>
      <w:r w:rsidR="00F96BBE">
        <w:t xml:space="preserve">proposal </w:t>
      </w:r>
      <w:r>
        <w:t>on nonparticipating customers.</w:t>
      </w:r>
    </w:p>
    <w:p w:rsidR="00AF3A60" w:rsidP="001D7F4C" w:rsidRDefault="00AF3A60" w14:paraId="55AD80E6" w14:textId="77777777">
      <w:pPr>
        <w:pStyle w:val="Standard"/>
      </w:pPr>
      <w:r>
        <w:t>This decision turns to the question of an alternate method to analyze and determine whether the NVBT has an impact on nonparticipating customers.</w:t>
      </w:r>
    </w:p>
    <w:p w:rsidR="00AF3A60" w:rsidP="001D7F4C" w:rsidRDefault="00AF3A60" w14:paraId="7C36D49D" w14:textId="71EE7BB0">
      <w:pPr>
        <w:pStyle w:val="Standard"/>
      </w:pPr>
      <w:r>
        <w:t>PG&amp;E cautions that the Commission must understand the actual value of generation for the NVBT resources and proposes a comparison with a CAISO qualified facility. PG&amp;E presents a comparison of the proposed NVBT compensation for a ground mount solar facility (in PG&amp;E</w:t>
      </w:r>
      <w:r w:rsidR="00440785">
        <w:t>’</w:t>
      </w:r>
      <w:r>
        <w:t xml:space="preserve">s service territory) with </w:t>
      </w:r>
      <w:r>
        <w:lastRenderedPageBreak/>
        <w:t>the compensation using PURPA pricing for a qualified facility of the same size. PG&amp;E uses short</w:t>
      </w:r>
      <w:r w:rsidR="003D6EF8">
        <w:noBreakHyphen/>
      </w:r>
      <w:r>
        <w:t>run avoided energy costs (from April 2023) of $69.83/megawatt</w:t>
      </w:r>
      <w:r w:rsidR="003D6EF8">
        <w:noBreakHyphen/>
      </w:r>
      <w:r>
        <w:t>hour to estimate the energy value of the solar system output and a 2023 as</w:t>
      </w:r>
      <w:r w:rsidR="003D6EF8">
        <w:noBreakHyphen/>
      </w:r>
      <w:r>
        <w:t>delivered capacity price at peak of $65.381/megawatt</w:t>
      </w:r>
      <w:r w:rsidR="003D6EF8">
        <w:noBreakHyphen/>
      </w:r>
      <w:r>
        <w:t xml:space="preserve">hour, escalated at </w:t>
      </w:r>
      <w:r w:rsidR="006473B0">
        <w:t>two</w:t>
      </w:r>
      <w:r>
        <w:t xml:space="preserve"> percent </w:t>
      </w:r>
      <w:r w:rsidR="006473B0">
        <w:t>per</w:t>
      </w:r>
      <w:r>
        <w:t xml:space="preserve"> year.</w:t>
      </w:r>
      <w:r>
        <w:rPr>
          <w:rStyle w:val="FootnoteReference"/>
        </w:rPr>
        <w:footnoteReference w:id="286"/>
      </w:r>
      <w:r>
        <w:t xml:space="preserve"> PG&amp;E</w:t>
      </w:r>
      <w:r w:rsidR="00440785">
        <w:t>’</w:t>
      </w:r>
      <w:r>
        <w:t>s analysis purports a revenue stream of $25.8</w:t>
      </w:r>
      <w:r w:rsidR="001E44CA">
        <w:t> million</w:t>
      </w:r>
      <w:r>
        <w:t xml:space="preserve"> over 25 years for the PURPA qualifying facility and an NVBT compensation of $63.2</w:t>
      </w:r>
      <w:r w:rsidR="001E44CA">
        <w:t> million</w:t>
      </w:r>
      <w:r>
        <w:t xml:space="preserve"> over the same time period. PG&amp;E contends this results in a cost shift of $37.4</w:t>
      </w:r>
      <w:r w:rsidR="001E44CA">
        <w:t> million</w:t>
      </w:r>
      <w:r>
        <w:t xml:space="preserve"> for one five</w:t>
      </w:r>
      <w:r w:rsidR="003D6EF8">
        <w:noBreakHyphen/>
      </w:r>
      <w:r>
        <w:t>megawatt project.</w:t>
      </w:r>
      <w:r>
        <w:rPr>
          <w:rStyle w:val="FootnoteReference"/>
        </w:rPr>
        <w:footnoteReference w:id="287"/>
      </w:r>
      <w:r>
        <w:t xml:space="preserve"> </w:t>
      </w:r>
      <w:r w:rsidR="00157612">
        <w:t>Using CCSA</w:t>
      </w:r>
      <w:r w:rsidR="00440785">
        <w:t>’</w:t>
      </w:r>
      <w:r w:rsidR="00157612">
        <w:t xml:space="preserve">s estimate that one gigawatt of NVBT projects could be deployed during the first two years of the program, </w:t>
      </w:r>
      <w:r>
        <w:t>PG&amp;E further contends that the cost shift of 200 five</w:t>
      </w:r>
      <w:r w:rsidR="003D6EF8">
        <w:noBreakHyphen/>
      </w:r>
      <w:r>
        <w:t xml:space="preserve">megawatt NVBT projects </w:t>
      </w:r>
      <w:r w:rsidR="00157612">
        <w:t>across</w:t>
      </w:r>
      <w:r>
        <w:t xml:space="preserve"> all three utilities</w:t>
      </w:r>
      <w:r w:rsidR="00440785">
        <w:t>’</w:t>
      </w:r>
      <w:r>
        <w:t xml:space="preserve"> service territories over </w:t>
      </w:r>
      <w:r w:rsidR="00157612">
        <w:t>CCSA</w:t>
      </w:r>
      <w:r w:rsidR="00440785">
        <w:t>’</w:t>
      </w:r>
      <w:r w:rsidR="00157612">
        <w:t xml:space="preserve">s proposed </w:t>
      </w:r>
      <w:r>
        <w:t>25</w:t>
      </w:r>
      <w:r w:rsidR="003D6EF8">
        <w:noBreakHyphen/>
      </w:r>
      <w:r>
        <w:t xml:space="preserve">year </w:t>
      </w:r>
      <w:r w:rsidR="00157612">
        <w:t xml:space="preserve">project life </w:t>
      </w:r>
      <w:r>
        <w:t xml:space="preserve">could result in a cost shift of $8.1 </w:t>
      </w:r>
      <w:r w:rsidRPr="00C2323E">
        <w:t xml:space="preserve">billion dollars. </w:t>
      </w:r>
      <w:r w:rsidR="00B94F97">
        <w:t>Appendix </w:t>
      </w:r>
      <w:r w:rsidRPr="005D065D">
        <w:t>A</w:t>
      </w:r>
      <w:r w:rsidRPr="00C2323E">
        <w:t xml:space="preserve"> of this decision provides PG&amp;E</w:t>
      </w:r>
      <w:r w:rsidR="00440785">
        <w:t>’</w:t>
      </w:r>
      <w:r w:rsidRPr="00C2323E">
        <w:t>s analysis. PG&amp;E</w:t>
      </w:r>
      <w:r>
        <w:t xml:space="preserve"> highlights that </w:t>
      </w:r>
      <w:r w:rsidR="008430E9">
        <w:t>these results are for</w:t>
      </w:r>
      <w:r w:rsidR="00A3778D">
        <w:t xml:space="preserve"> </w:t>
      </w:r>
      <w:r>
        <w:t>projects built in years 2025 and 2026.</w:t>
      </w:r>
    </w:p>
    <w:p w:rsidR="00AF3A60" w:rsidP="00C63C52" w:rsidRDefault="00AF3A60" w14:paraId="5E877BCD" w14:textId="66747C1D">
      <w:pPr>
        <w:pStyle w:val="Standard"/>
      </w:pPr>
      <w:r>
        <w:t xml:space="preserve">CCSA argues that the PG&amp;E analysis should be disregarded because the comparison with wholesale resources is inappropriate. CCSA states that </w:t>
      </w:r>
      <w:r w:rsidR="00440785">
        <w:t>“</w:t>
      </w:r>
      <w:r>
        <w:t>wholesale procurement serve all customers, do not provide the same transmission and distribution benefits as distributed energy resources, and do not provide benefits to program participants.</w:t>
      </w:r>
      <w:r w:rsidR="00440785">
        <w:t>”</w:t>
      </w:r>
      <w:r>
        <w:rPr>
          <w:rStyle w:val="FootnoteReference"/>
        </w:rPr>
        <w:footnoteReference w:id="288"/>
      </w:r>
      <w:r>
        <w:t xml:space="preserve"> CCSA cautions the Commission that such a comparison </w:t>
      </w:r>
      <w:r w:rsidR="00440785">
        <w:t>“</w:t>
      </w:r>
      <w:r>
        <w:t>is directly at odds with how the Commission has historically evaluated distributed energy resources.</w:t>
      </w:r>
      <w:r w:rsidR="00440785">
        <w:t>”</w:t>
      </w:r>
      <w:r>
        <w:rPr>
          <w:rStyle w:val="FootnoteReference"/>
        </w:rPr>
        <w:footnoteReference w:id="289"/>
      </w:r>
    </w:p>
    <w:p w:rsidR="00BA58BF" w:rsidP="00C63C52" w:rsidRDefault="00AF3A60" w14:paraId="2CA37DAA" w14:textId="45DB98FA">
      <w:pPr>
        <w:pStyle w:val="Standard"/>
      </w:pPr>
      <w:r>
        <w:lastRenderedPageBreak/>
        <w:t xml:space="preserve">The Commission agrees that </w:t>
      </w:r>
      <w:bookmarkStart w:name="_Hlk158119433" w:id="173"/>
      <w:r>
        <w:t>comparing wholesale procured resourc</w:t>
      </w:r>
      <w:r w:rsidR="00134072">
        <w:t>e</w:t>
      </w:r>
      <w:r>
        <w:t xml:space="preserve">s with the proposed NVBT </w:t>
      </w:r>
      <w:r w:rsidR="00681581">
        <w:t xml:space="preserve">resources </w:t>
      </w:r>
      <w:r>
        <w:t>is not how the Commission has historically evaluated distributed energy resources.</w:t>
      </w:r>
      <w:bookmarkEnd w:id="173"/>
      <w:r>
        <w:t xml:space="preserve"> But, as this decision has already determined that the NVBT resources will not provide all the avoided costs in the Avoided Cost Calculator, the Commission should not rely on it to provide an accurate analysis of these resources</w:t>
      </w:r>
      <w:r w:rsidR="00440785">
        <w:t>’</w:t>
      </w:r>
      <w:r>
        <w:t xml:space="preserve"> cost</w:t>
      </w:r>
      <w:r w:rsidR="003D6EF8">
        <w:noBreakHyphen/>
      </w:r>
      <w:r>
        <w:t xml:space="preserve">effectiveness and, equally important, the impact of these resources on nonparticipating ratepayers. The Commission finds that </w:t>
      </w:r>
      <w:bookmarkStart w:name="_Hlk158119486" w:id="174"/>
      <w:r>
        <w:t>the NVBT</w:t>
      </w:r>
      <w:r w:rsidR="005B28B1">
        <w:t xml:space="preserve"> </w:t>
      </w:r>
      <w:r>
        <w:t>propos</w:t>
      </w:r>
      <w:r w:rsidR="005B28B1">
        <w:t>al</w:t>
      </w:r>
      <w:r>
        <w:t xml:space="preserve"> </w:t>
      </w:r>
      <w:r w:rsidR="00DD7BEE">
        <w:t xml:space="preserve">would result in </w:t>
      </w:r>
      <w:r>
        <w:t xml:space="preserve">ratepayers compensating customers for avoided costs that are not </w:t>
      </w:r>
      <w:r w:rsidR="008430E9">
        <w:t xml:space="preserve">truly </w:t>
      </w:r>
      <w:r>
        <w:t>avoided, which would result in a cost shift.</w:t>
      </w:r>
      <w:bookmarkEnd w:id="174"/>
    </w:p>
    <w:p w:rsidR="00AF3A60" w:rsidP="00C63C52" w:rsidRDefault="00AF3A60" w14:paraId="7FEF1FDF" w14:textId="27D99A61">
      <w:pPr>
        <w:pStyle w:val="Standard"/>
      </w:pPr>
      <w:r>
        <w:t xml:space="preserve">Accordingly, the Commission </w:t>
      </w:r>
      <w:r w:rsidR="00F96BBE">
        <w:t xml:space="preserve">finds </w:t>
      </w:r>
      <w:r>
        <w:t xml:space="preserve">that the NVBT does not meet the requirement of </w:t>
      </w:r>
      <w:r w:rsidR="00440785">
        <w:t>Pub. Util.</w:t>
      </w:r>
      <w:r>
        <w:t xml:space="preserve"> Code </w:t>
      </w:r>
      <w:r w:rsidR="003627A8">
        <w:t>Section </w:t>
      </w:r>
      <w:r>
        <w:t xml:space="preserve">769.3 </w:t>
      </w:r>
      <w:bookmarkStart w:name="_Hlk158119521" w:id="175"/>
      <w:r>
        <w:t xml:space="preserve">in that that the NVBT would not prevent </w:t>
      </w:r>
      <w:r w:rsidR="00440785">
        <w:t>“</w:t>
      </w:r>
      <w:r>
        <w:t>the program</w:t>
      </w:r>
      <w:r w:rsidR="00440785">
        <w:t>’</w:t>
      </w:r>
      <w:r>
        <w:t>s costs from being paid by nonparticipating customers in excess of</w:t>
      </w:r>
      <w:r w:rsidR="000A3AE2">
        <w:t xml:space="preserve"> avoided costs.</w:t>
      </w:r>
      <w:r w:rsidR="00440785">
        <w:t>”</w:t>
      </w:r>
    </w:p>
    <w:p w:rsidR="00ED1F40" w:rsidP="001B1E90" w:rsidRDefault="001B1E90" w14:paraId="7960CE56" w14:textId="092FC089">
      <w:pPr>
        <w:pStyle w:val="Heading4"/>
      </w:pPr>
      <w:bookmarkStart w:name="_Toc159551194" w:id="176"/>
      <w:bookmarkStart w:name="_Toc168559312" w:id="177"/>
      <w:bookmarkEnd w:id="175"/>
      <w:r>
        <w:t>Assembly Bill </w:t>
      </w:r>
      <w:r w:rsidR="00ED1F40">
        <w:t xml:space="preserve">2316 </w:t>
      </w:r>
      <w:r w:rsidR="00624FC5">
        <w:t>and</w:t>
      </w:r>
      <w:r w:rsidR="00D62231">
        <w:br/>
      </w:r>
      <w:r w:rsidR="00D5178B">
        <w:t>Public Utilities</w:t>
      </w:r>
      <w:r w:rsidR="00ED1F40">
        <w:t xml:space="preserve"> Code </w:t>
      </w:r>
      <w:r w:rsidR="003627A8">
        <w:t>Section </w:t>
      </w:r>
      <w:r w:rsidR="00ED1F40">
        <w:t>769.3</w:t>
      </w:r>
      <w:r w:rsidR="00D62231">
        <w:br/>
      </w:r>
      <w:r w:rsidR="00624FC5">
        <w:t xml:space="preserve">Do Not </w:t>
      </w:r>
      <w:r w:rsidR="00F6129D">
        <w:t>Require</w:t>
      </w:r>
      <w:r w:rsidR="00597E76">
        <w:t xml:space="preserve"> Use </w:t>
      </w:r>
      <w:r w:rsidR="00624FC5">
        <w:t xml:space="preserve">of </w:t>
      </w:r>
      <w:r w:rsidR="00597E76">
        <w:t>the</w:t>
      </w:r>
      <w:r w:rsidR="00D62231">
        <w:br/>
      </w:r>
      <w:r w:rsidR="00624FC5">
        <w:t>Avoided Cost Calculator</w:t>
      </w:r>
      <w:bookmarkEnd w:id="176"/>
      <w:bookmarkEnd w:id="177"/>
    </w:p>
    <w:p w:rsidR="00ED1F40" w:rsidP="00C63C52" w:rsidRDefault="00F351D8" w14:paraId="11D8B148" w14:textId="4160A253">
      <w:pPr>
        <w:pStyle w:val="Standard"/>
      </w:pPr>
      <w:r>
        <w:t>T</w:t>
      </w:r>
      <w:r w:rsidR="00812ED9">
        <w:t>his decision addresses parties</w:t>
      </w:r>
      <w:r w:rsidR="00440785">
        <w:t>’</w:t>
      </w:r>
      <w:r w:rsidR="00806AD6">
        <w:t xml:space="preserve"> dispute </w:t>
      </w:r>
      <w:r w:rsidR="00C1762F">
        <w:t xml:space="preserve">over </w:t>
      </w:r>
      <w:r w:rsidR="00806AD6">
        <w:t xml:space="preserve">whether </w:t>
      </w:r>
      <w:r w:rsidR="003627A8">
        <w:t>AB </w:t>
      </w:r>
      <w:r w:rsidR="00806AD6">
        <w:t xml:space="preserve">2316 and </w:t>
      </w:r>
      <w:r w:rsidR="00440785">
        <w:t>Pub. Util.</w:t>
      </w:r>
      <w:r w:rsidR="00806AD6">
        <w:t xml:space="preserve"> Code </w:t>
      </w:r>
      <w:r w:rsidR="003627A8">
        <w:t>Section </w:t>
      </w:r>
      <w:r w:rsidR="00806AD6">
        <w:t xml:space="preserve">769.3 </w:t>
      </w:r>
      <w:r w:rsidR="009E2685">
        <w:t>allow</w:t>
      </w:r>
      <w:r w:rsidR="00806AD6">
        <w:t xml:space="preserve"> the Commission to use </w:t>
      </w:r>
      <w:r w:rsidR="009E2685">
        <w:t xml:space="preserve">any method other than </w:t>
      </w:r>
      <w:r w:rsidR="00DD2F35">
        <w:t xml:space="preserve">the </w:t>
      </w:r>
      <w:r w:rsidR="009E2685">
        <w:t>Commission</w:t>
      </w:r>
      <w:r w:rsidR="00440785">
        <w:t>’</w:t>
      </w:r>
      <w:r w:rsidR="009E2685">
        <w:t xml:space="preserve">s </w:t>
      </w:r>
      <w:r w:rsidR="00DD2F35">
        <w:t>Avoided Cost Calculator to determine the avoided costs of a community re</w:t>
      </w:r>
      <w:r w:rsidR="00157883">
        <w:t>newable energy program.</w:t>
      </w:r>
    </w:p>
    <w:p w:rsidR="00C12829" w:rsidP="00AC6E92" w:rsidRDefault="00CA3265" w14:paraId="589A0D86" w14:textId="5076B8EE">
      <w:pPr>
        <w:pStyle w:val="Standard"/>
      </w:pPr>
      <w:r>
        <w:t xml:space="preserve">Focusing solely on the </w:t>
      </w:r>
      <w:r w:rsidR="00E0171D">
        <w:t xml:space="preserve">plain </w:t>
      </w:r>
      <w:r w:rsidR="001C30F9">
        <w:t xml:space="preserve">language in </w:t>
      </w:r>
      <w:r w:rsidR="003627A8">
        <w:t>AB </w:t>
      </w:r>
      <w:r w:rsidR="001C30F9">
        <w:t xml:space="preserve">2316 and the associated statute, nowhere does </w:t>
      </w:r>
      <w:r w:rsidR="00684B45">
        <w:t xml:space="preserve">the legislation </w:t>
      </w:r>
      <w:r w:rsidR="009801B2">
        <w:t>specifically use the term</w:t>
      </w:r>
      <w:r w:rsidR="001C30F9">
        <w:t xml:space="preserve"> </w:t>
      </w:r>
      <w:r w:rsidR="00440785">
        <w:t>“</w:t>
      </w:r>
      <w:r w:rsidR="00E0171D">
        <w:t>Avoided Cost Calculator.</w:t>
      </w:r>
      <w:r w:rsidR="00440785">
        <w:t>”</w:t>
      </w:r>
      <w:r w:rsidR="00E0171D">
        <w:t xml:space="preserve"> The plain language of the </w:t>
      </w:r>
      <w:r w:rsidR="000F0688">
        <w:t xml:space="preserve">legislation and statute only uses the term </w:t>
      </w:r>
      <w:r w:rsidR="00440785">
        <w:t>“</w:t>
      </w:r>
      <w:r w:rsidR="00A877EC">
        <w:t>avoided costs</w:t>
      </w:r>
      <w:r w:rsidR="00440785">
        <w:t>”</w:t>
      </w:r>
      <w:r w:rsidR="008F1736">
        <w:t xml:space="preserve"> </w:t>
      </w:r>
      <w:r w:rsidR="006532AB">
        <w:t>and only uses this term</w:t>
      </w:r>
      <w:r w:rsidR="008F1736">
        <w:t xml:space="preserve"> </w:t>
      </w:r>
      <w:r w:rsidR="00FC05C4">
        <w:t>in two instances</w:t>
      </w:r>
      <w:r w:rsidR="00C12829">
        <w:t>.</w:t>
      </w:r>
    </w:p>
    <w:p w:rsidR="00BA58BF" w:rsidP="00AC6E92" w:rsidRDefault="00737A1C" w14:paraId="2AA64FA7" w14:textId="4FF1D0A7">
      <w:pPr>
        <w:pStyle w:val="Standard"/>
      </w:pPr>
      <w:r>
        <w:lastRenderedPageBreak/>
        <w:t xml:space="preserve">The first use of the term </w:t>
      </w:r>
      <w:r w:rsidR="00F43F82">
        <w:t>appears</w:t>
      </w:r>
      <w:r w:rsidR="00DA6134">
        <w:t xml:space="preserve"> </w:t>
      </w:r>
      <w:r w:rsidR="008F1736">
        <w:t xml:space="preserve">in </w:t>
      </w:r>
      <w:r w:rsidR="00440785">
        <w:t>Pub. Util.</w:t>
      </w:r>
      <w:r w:rsidR="008F1736">
        <w:t xml:space="preserve"> Code </w:t>
      </w:r>
      <w:r w:rsidR="003627A8">
        <w:t>Section </w:t>
      </w:r>
      <w:r w:rsidR="008F1736">
        <w:t>769.3</w:t>
      </w:r>
      <w:r w:rsidR="00474ED2">
        <w:t>(c)(3)</w:t>
      </w:r>
      <w:r w:rsidR="00C314B5">
        <w:t xml:space="preserve">, </w:t>
      </w:r>
      <w:r w:rsidR="00F43F82">
        <w:t xml:space="preserve">which states </w:t>
      </w:r>
      <w:r w:rsidR="00C314B5">
        <w:t>the Commission is required to ensure that</w:t>
      </w:r>
      <w:r w:rsidR="00474ED2">
        <w:t xml:space="preserve"> the community renewable energy program</w:t>
      </w:r>
      <w:r w:rsidR="00BC5DC8">
        <w:t xml:space="preserve">, if established, shall </w:t>
      </w:r>
      <w:r w:rsidR="00440785">
        <w:t>“</w:t>
      </w:r>
      <w:r w:rsidR="00E9543B">
        <w:t>[m]inimize impacts to nonparticipating customers by prohibiting the program</w:t>
      </w:r>
      <w:r w:rsidR="00440785">
        <w:t>’</w:t>
      </w:r>
      <w:r w:rsidR="00E9543B">
        <w:t>s costs from being paid by nonparticipating customers in excess of the avoided costs.</w:t>
      </w:r>
      <w:r w:rsidR="00440785">
        <w:t>”</w:t>
      </w:r>
      <w:r w:rsidR="00E9543B">
        <w:t xml:space="preserve"> </w:t>
      </w:r>
      <w:r w:rsidR="00762152">
        <w:t xml:space="preserve">This </w:t>
      </w:r>
      <w:r w:rsidR="00F94279">
        <w:t>requirement relates</w:t>
      </w:r>
      <w:r w:rsidR="00762152">
        <w:t xml:space="preserve"> to </w:t>
      </w:r>
      <w:r w:rsidR="00F34F82">
        <w:t xml:space="preserve">the intention of the Legislature to </w:t>
      </w:r>
      <w:r w:rsidR="00270E9E">
        <w:t xml:space="preserve">ensure that if a community renewable energy program is created, Californians </w:t>
      </w:r>
      <w:r w:rsidR="00440785">
        <w:t>“</w:t>
      </w:r>
      <w:r w:rsidR="00270E9E">
        <w:t xml:space="preserve">realize the benefits of distributed generation through a </w:t>
      </w:r>
      <w:r w:rsidR="00E84863">
        <w:t>cost</w:t>
      </w:r>
      <w:r w:rsidR="003D6EF8">
        <w:noBreakHyphen/>
      </w:r>
      <w:r w:rsidR="00270E9E">
        <w:t xml:space="preserve">effective </w:t>
      </w:r>
      <w:r w:rsidR="00E84863">
        <w:t>program that provides benefits to all ratepayers.</w:t>
      </w:r>
      <w:r w:rsidR="00440785">
        <w:t>”</w:t>
      </w:r>
      <w:r w:rsidR="00E84863">
        <w:t xml:space="preserve"> </w:t>
      </w:r>
      <w:r w:rsidR="00F10C2E">
        <w:t xml:space="preserve">Furthermore, the Legislature also </w:t>
      </w:r>
      <w:r w:rsidR="00440785">
        <w:t>“</w:t>
      </w:r>
      <w:r w:rsidR="00196E5D">
        <w:t xml:space="preserve">intends to facilitate community renewable energy options that can help the </w:t>
      </w:r>
      <w:r w:rsidR="00D9068C">
        <w:t>state</w:t>
      </w:r>
      <w:r w:rsidR="00196E5D">
        <w:t xml:space="preserve"> cost</w:t>
      </w:r>
      <w:r w:rsidR="00D9068C">
        <w:t xml:space="preserve"> effectively meet the energy efficiency mandates in the California Building Standards Code.</w:t>
      </w:r>
      <w:r w:rsidR="00440785">
        <w:t>”</w:t>
      </w:r>
    </w:p>
    <w:p w:rsidR="00FB3071" w:rsidP="00AC6E92" w:rsidRDefault="00B879D3" w14:paraId="7EC84C33" w14:textId="1C1627C3">
      <w:pPr>
        <w:pStyle w:val="Standard"/>
      </w:pPr>
      <w:r>
        <w:t>TURN argues that t</w:t>
      </w:r>
      <w:r w:rsidR="004A69A4">
        <w:t xml:space="preserve">his language refers to the Avoided Cost Calculator, </w:t>
      </w:r>
      <w:r w:rsidR="005F7020">
        <w:t xml:space="preserve">stating that this is </w:t>
      </w:r>
      <w:r w:rsidR="00440785">
        <w:t>“</w:t>
      </w:r>
      <w:r w:rsidR="0075440F">
        <w:t>a fact that is confirmed by a review of the Committee Analysis of the bill.</w:t>
      </w:r>
      <w:r w:rsidR="00440785">
        <w:t>”</w:t>
      </w:r>
      <w:r w:rsidR="005F7020">
        <w:rPr>
          <w:rStyle w:val="FootnoteReference"/>
        </w:rPr>
        <w:footnoteReference w:id="290"/>
      </w:r>
      <w:r w:rsidR="00F94279">
        <w:t xml:space="preserve"> </w:t>
      </w:r>
      <w:r w:rsidR="000005BD">
        <w:t xml:space="preserve">The Commission </w:t>
      </w:r>
      <w:r w:rsidR="001346BF">
        <w:t>underscores</w:t>
      </w:r>
      <w:r w:rsidR="000005BD">
        <w:t xml:space="preserve"> that analysis of a bill is not law. </w:t>
      </w:r>
      <w:r w:rsidR="00B260FD">
        <w:t>Moreover</w:t>
      </w:r>
      <w:r w:rsidR="000005BD">
        <w:t xml:space="preserve">, </w:t>
      </w:r>
      <w:r w:rsidR="006265B9">
        <w:t>a</w:t>
      </w:r>
      <w:r w:rsidR="000005BD">
        <w:t xml:space="preserve"> review of the referenced </w:t>
      </w:r>
      <w:r w:rsidR="006265B9">
        <w:t xml:space="preserve">analysis indicates that the </w:t>
      </w:r>
      <w:r w:rsidR="006C2218">
        <w:t xml:space="preserve">language </w:t>
      </w:r>
      <w:r w:rsidR="00862B6F">
        <w:t xml:space="preserve">of the signed bill </w:t>
      </w:r>
      <w:r w:rsidR="006C2218">
        <w:t xml:space="preserve">may be different from the </w:t>
      </w:r>
      <w:r w:rsidR="00862B6F">
        <w:t xml:space="preserve">language of the bill at the time of the </w:t>
      </w:r>
      <w:r w:rsidR="006265B9">
        <w:t>analysis</w:t>
      </w:r>
      <w:r w:rsidR="00862B6F">
        <w:t xml:space="preserve">, as the analysis </w:t>
      </w:r>
      <w:r w:rsidR="00FC05C4">
        <w:t>includes fewer</w:t>
      </w:r>
      <w:r w:rsidR="00654DF9">
        <w:t xml:space="preserve"> than the</w:t>
      </w:r>
      <w:r w:rsidR="00862B6F">
        <w:t xml:space="preserve"> </w:t>
      </w:r>
      <w:r w:rsidR="00654DF9">
        <w:t>final six</w:t>
      </w:r>
      <w:r w:rsidR="00862B6F">
        <w:t xml:space="preserve"> require</w:t>
      </w:r>
      <w:r w:rsidR="00910FE5">
        <w:t xml:space="preserve">ments of the </w:t>
      </w:r>
      <w:r w:rsidR="00FC05C4">
        <w:t xml:space="preserve">community </w:t>
      </w:r>
      <w:r w:rsidR="00910FE5">
        <w:t>renewable energy program</w:t>
      </w:r>
      <w:r w:rsidR="005D30D7">
        <w:t xml:space="preserve">: </w:t>
      </w:r>
      <w:r w:rsidR="00440785">
        <w:t>“</w:t>
      </w:r>
      <w:r w:rsidR="00F472CB">
        <w:t>a</w:t>
      </w:r>
      <w:r w:rsidR="00C63C52">
        <w:t>) </w:t>
      </w:r>
      <w:r w:rsidR="00F472CB">
        <w:t>be complementary to, and consistent with, the requirements of the California Building Standards Code (</w:t>
      </w:r>
      <w:r w:rsidR="00E67CA9">
        <w:t>Title </w:t>
      </w:r>
      <w:r w:rsidR="00F472CB">
        <w:t>24 requirements for community solar); b</w:t>
      </w:r>
      <w:r w:rsidR="00C63C52">
        <w:t>) </w:t>
      </w:r>
      <w:r w:rsidR="00F472CB">
        <w:t>ensure at least 51</w:t>
      </w:r>
      <w:r w:rsidR="00D376A8">
        <w:t> percent</w:t>
      </w:r>
      <w:r w:rsidR="00F472CB">
        <w:t xml:space="preserve"> of its capacity serves low</w:t>
      </w:r>
      <w:r w:rsidR="003D6EF8">
        <w:noBreakHyphen/>
      </w:r>
      <w:r w:rsidR="00F472CB">
        <w:t>income customers</w:t>
      </w:r>
      <w:r w:rsidR="00585E39">
        <w:t xml:space="preserve">; </w:t>
      </w:r>
      <w:r w:rsidR="002350C0">
        <w:t>c</w:t>
      </w:r>
      <w:r w:rsidR="00C63C52">
        <w:t>) </w:t>
      </w:r>
      <w:r w:rsidR="00F472CB">
        <w:t xml:space="preserve">prohibit its costs from being paid by nonparticipating customers; </w:t>
      </w:r>
      <w:r w:rsidR="002350C0">
        <w:t>d</w:t>
      </w:r>
      <w:r w:rsidR="00C63C52">
        <w:t>) </w:t>
      </w:r>
      <w:r w:rsidR="00F472CB">
        <w:t xml:space="preserve">require that the construction of its community renewable energy facilities comply with specified prevailing wage requirements; </w:t>
      </w:r>
      <w:r w:rsidR="00F472CB">
        <w:lastRenderedPageBreak/>
        <w:t xml:space="preserve">and </w:t>
      </w:r>
      <w:r w:rsidR="002350C0">
        <w:t>e</w:t>
      </w:r>
      <w:r w:rsidR="00C63C52">
        <w:t>) </w:t>
      </w:r>
      <w:r w:rsidR="00F472CB">
        <w:t>provide bill credits to subscribers.</w:t>
      </w:r>
      <w:r w:rsidR="00440785">
        <w:t>”</w:t>
      </w:r>
      <w:r w:rsidR="00077F47">
        <w:rPr>
          <w:rStyle w:val="FootnoteReference"/>
        </w:rPr>
        <w:footnoteReference w:id="291"/>
      </w:r>
      <w:r w:rsidR="006265B9">
        <w:t xml:space="preserve"> </w:t>
      </w:r>
      <w:r w:rsidR="00B260FD">
        <w:t>Further, w</w:t>
      </w:r>
      <w:r w:rsidR="00F472CB">
        <w:t xml:space="preserve">hile the analysis references the Avoided Cost Calculator </w:t>
      </w:r>
      <w:r w:rsidR="00DD10E5">
        <w:t>as background</w:t>
      </w:r>
      <w:r w:rsidR="00D610FF">
        <w:t xml:space="preserve">, as pointed out by </w:t>
      </w:r>
      <w:r w:rsidR="000341A3">
        <w:t>Joint CCA</w:t>
      </w:r>
      <w:r w:rsidR="00D610FF">
        <w:t>s</w:t>
      </w:r>
      <w:r w:rsidR="00EB701C">
        <w:t>,</w:t>
      </w:r>
      <w:r w:rsidR="00D610FF">
        <w:rPr>
          <w:rStyle w:val="FootnoteReference"/>
        </w:rPr>
        <w:footnoteReference w:id="292"/>
      </w:r>
      <w:r w:rsidR="00DD10E5">
        <w:t xml:space="preserve"> the analysis </w:t>
      </w:r>
      <w:r w:rsidR="00A060E0">
        <w:t xml:space="preserve">itself </w:t>
      </w:r>
      <w:r w:rsidR="005B5883">
        <w:t>never state</w:t>
      </w:r>
      <w:r w:rsidR="002A24D9">
        <w:t xml:space="preserve">s that the Commission is required to </w:t>
      </w:r>
      <w:r w:rsidR="00D729FD">
        <w:t xml:space="preserve">use the Avoided Cost Calculator or </w:t>
      </w:r>
      <w:r w:rsidR="00B260FD">
        <w:t xml:space="preserve">required to </w:t>
      </w:r>
      <w:r w:rsidR="00D729FD">
        <w:t>measure the avoided cost.</w:t>
      </w:r>
      <w:r w:rsidR="00A83658">
        <w:t xml:space="preserve"> </w:t>
      </w:r>
      <w:r w:rsidR="000341A3">
        <w:t>Joint CCA</w:t>
      </w:r>
      <w:r w:rsidR="0041692C">
        <w:t xml:space="preserve">s </w:t>
      </w:r>
      <w:r w:rsidR="00F8255C">
        <w:t>state</w:t>
      </w:r>
      <w:r w:rsidR="0041692C">
        <w:t xml:space="preserve"> that the legislative and statutory language </w:t>
      </w:r>
      <w:r w:rsidR="00895D94">
        <w:t xml:space="preserve">requires the use of avoided costs </w:t>
      </w:r>
      <w:r w:rsidR="00440785">
        <w:t>“</w:t>
      </w:r>
      <w:r w:rsidR="00895D94">
        <w:t xml:space="preserve">as determined by the </w:t>
      </w:r>
      <w:r w:rsidR="00BF3031">
        <w:t>[C]ommission</w:t>
      </w:r>
      <w:r w:rsidR="00440785">
        <w:t>’</w:t>
      </w:r>
      <w:r w:rsidR="00BF3031">
        <w:t>s methods</w:t>
      </w:r>
      <w:r w:rsidR="00B661F7">
        <w:t>.</w:t>
      </w:r>
      <w:r w:rsidR="00440785">
        <w:t>”</w:t>
      </w:r>
      <w:r w:rsidR="006A21EC">
        <w:rPr>
          <w:rStyle w:val="FootnoteReference"/>
        </w:rPr>
        <w:footnoteReference w:id="293"/>
      </w:r>
      <w:r w:rsidR="00BF3031">
        <w:t xml:space="preserve"> </w:t>
      </w:r>
      <w:r w:rsidR="000341A3">
        <w:t>Joint CCA</w:t>
      </w:r>
      <w:r w:rsidR="00157612">
        <w:t>s</w:t>
      </w:r>
      <w:r w:rsidR="00BF3031">
        <w:t xml:space="preserve"> </w:t>
      </w:r>
      <w:r w:rsidR="00B661F7">
        <w:t xml:space="preserve">submit </w:t>
      </w:r>
      <w:r w:rsidR="00440785">
        <w:t>“</w:t>
      </w:r>
      <w:r w:rsidR="00B661F7">
        <w:t>[t</w:t>
      </w:r>
      <w:r w:rsidR="004F187C">
        <w:t>]</w:t>
      </w:r>
      <w:r w:rsidR="00B661F7">
        <w:t>his implies</w:t>
      </w:r>
      <w:r w:rsidR="004F187C">
        <w:t xml:space="preserve"> that the Legislature entrusted the Commission to determine the most appropriate methods for calculating avoided c</w:t>
      </w:r>
      <w:r w:rsidR="00183E96">
        <w:t>osts as appropriate.</w:t>
      </w:r>
      <w:r w:rsidR="00440785">
        <w:t>”</w:t>
      </w:r>
      <w:r w:rsidR="00183E96">
        <w:rPr>
          <w:rStyle w:val="FootnoteReference"/>
        </w:rPr>
        <w:footnoteReference w:id="294"/>
      </w:r>
      <w:r w:rsidR="00B661F7">
        <w:t xml:space="preserve"> </w:t>
      </w:r>
      <w:bookmarkStart w:name="_Hlk158119663" w:id="178"/>
      <w:r w:rsidR="00A83658">
        <w:t xml:space="preserve">A reasonable interpretation of the term avoided costs in </w:t>
      </w:r>
      <w:r w:rsidR="00440785">
        <w:t>Pub. Util.</w:t>
      </w:r>
      <w:r w:rsidR="00A83658">
        <w:t xml:space="preserve"> Code </w:t>
      </w:r>
      <w:r w:rsidR="003627A8">
        <w:t>Section </w:t>
      </w:r>
      <w:r w:rsidR="00A83658">
        <w:t>769.3 could refer to either the PURPA avoided costs or the avoided costs in the Avoided Cost Calculator.</w:t>
      </w:r>
    </w:p>
    <w:bookmarkEnd w:id="178"/>
    <w:p w:rsidR="00ED1F40" w:rsidP="00F351D8" w:rsidRDefault="00B915DA" w14:paraId="2F35487D" w14:textId="31E72645">
      <w:pPr>
        <w:pStyle w:val="Standard"/>
        <w:rPr>
          <w:szCs w:val="26"/>
        </w:rPr>
      </w:pPr>
      <w:r>
        <w:t>The s</w:t>
      </w:r>
      <w:r w:rsidR="00FB3071">
        <w:t>econd</w:t>
      </w:r>
      <w:r w:rsidR="00E80F4B">
        <w:t xml:space="preserve"> appearance of the term avoided costs is</w:t>
      </w:r>
      <w:r w:rsidR="00FB3071">
        <w:t xml:space="preserve"> in </w:t>
      </w:r>
      <w:r w:rsidR="00440785">
        <w:t>Pub. Util.</w:t>
      </w:r>
      <w:r w:rsidR="000002DF">
        <w:t xml:space="preserve"> Code </w:t>
      </w:r>
      <w:r w:rsidR="003627A8">
        <w:t>Section </w:t>
      </w:r>
      <w:r w:rsidR="000002DF">
        <w:t>769.</w:t>
      </w:r>
      <w:r w:rsidR="00AD7F13">
        <w:t>3(</w:t>
      </w:r>
      <w:r w:rsidR="000002DF">
        <w:t>c)(5)</w:t>
      </w:r>
      <w:r w:rsidR="00E80F4B">
        <w:t xml:space="preserve"> and states that </w:t>
      </w:r>
      <w:r w:rsidR="000002DF">
        <w:t>the Commission is required to ensure that the community renewable energy program, if established, shall</w:t>
      </w:r>
      <w:r w:rsidR="000015DB">
        <w:t xml:space="preserve"> </w:t>
      </w:r>
      <w:r w:rsidR="00440785">
        <w:t>“</w:t>
      </w:r>
      <w:r w:rsidR="000015DB">
        <w:t>[p]</w:t>
      </w:r>
      <w:r w:rsidRPr="000015DB" w:rsidR="000015DB">
        <w:t xml:space="preserve">rovide bill credits to subscribers based on the </w:t>
      </w:r>
      <w:r w:rsidRPr="005D065D" w:rsidR="000015DB">
        <w:rPr>
          <w:b/>
          <w:bCs/>
        </w:rPr>
        <w:t>avoided costs</w:t>
      </w:r>
      <w:r w:rsidRPr="000015DB" w:rsidR="000015DB">
        <w:t xml:space="preserve"> of the program</w:t>
      </w:r>
      <w:r w:rsidR="00440785">
        <w:t>’</w:t>
      </w:r>
      <w:r w:rsidRPr="000015DB" w:rsidR="000015DB">
        <w:t>s facilities, as determined by the commission</w:t>
      </w:r>
      <w:r w:rsidR="00440785">
        <w:t>’</w:t>
      </w:r>
      <w:r w:rsidRPr="000015DB" w:rsidR="000015DB">
        <w:t>s methods for calculating the full set of benefits of distributed energy resources. The commission may use actual wholesale market prices for the energy supply portion of an avoided cost calculation or credit value.</w:t>
      </w:r>
      <w:r w:rsidR="00440785">
        <w:t>”</w:t>
      </w:r>
      <w:r w:rsidR="00BC7C08">
        <w:t xml:space="preserve"> Here again, </w:t>
      </w:r>
      <w:bookmarkStart w:name="_Hlk158119697" w:id="179"/>
      <w:r w:rsidR="00BC7C08">
        <w:t xml:space="preserve">there is no specific requirement to use the Avoided Cost Calculator or any other specific method. </w:t>
      </w:r>
      <w:bookmarkEnd w:id="179"/>
      <w:r w:rsidR="00BC7C08">
        <w:t xml:space="preserve">The </w:t>
      </w:r>
      <w:bookmarkStart w:name="_Hlk158119743" w:id="180"/>
      <w:r w:rsidR="00BC7C08">
        <w:t xml:space="preserve">only requirement is </w:t>
      </w:r>
      <w:r w:rsidR="0095200E">
        <w:t xml:space="preserve">to use a Commission method of calculating the </w:t>
      </w:r>
      <w:r w:rsidR="00FC36D8">
        <w:t>avoided cost</w:t>
      </w:r>
      <w:r w:rsidR="00EA552B">
        <w:t>.</w:t>
      </w:r>
      <w:bookmarkEnd w:id="180"/>
      <w:r w:rsidR="00EA552B">
        <w:t xml:space="preserve"> </w:t>
      </w:r>
      <w:r w:rsidR="004E638C">
        <w:t xml:space="preserve">SEIA asserts that </w:t>
      </w:r>
      <w:r w:rsidR="00AF6827">
        <w:t xml:space="preserve">the Commission cannot </w:t>
      </w:r>
      <w:r w:rsidR="00FF509C">
        <w:t xml:space="preserve">use the PURPA avoided costs to value the resources in a </w:t>
      </w:r>
      <w:r w:rsidR="00FF509C">
        <w:lastRenderedPageBreak/>
        <w:t xml:space="preserve">new community </w:t>
      </w:r>
      <w:r w:rsidR="00FC1307">
        <w:t xml:space="preserve">energy renewable </w:t>
      </w:r>
      <w:r w:rsidR="00FF509C">
        <w:t>program as t</w:t>
      </w:r>
      <w:r w:rsidR="00E31CD4">
        <w:t xml:space="preserve">he Commission must use its </w:t>
      </w:r>
      <w:r w:rsidR="00440785">
        <w:t>“</w:t>
      </w:r>
      <w:r w:rsidR="00E31CD4">
        <w:t>methods for calculating the full set of benefits</w:t>
      </w:r>
      <w:r w:rsidR="00D95862">
        <w:t xml:space="preserve"> of distributed energy resources</w:t>
      </w:r>
      <w:r w:rsidR="00E31CD4">
        <w:t>.</w:t>
      </w:r>
      <w:r w:rsidR="00440785">
        <w:t>”</w:t>
      </w:r>
      <w:r w:rsidR="00D95862">
        <w:rPr>
          <w:rStyle w:val="FootnoteReference"/>
        </w:rPr>
        <w:footnoteReference w:id="295"/>
      </w:r>
      <w:r w:rsidR="00E31CD4">
        <w:t xml:space="preserve"> </w:t>
      </w:r>
      <w:r w:rsidR="00EA552B">
        <w:t xml:space="preserve">As previously stated in </w:t>
      </w:r>
      <w:r w:rsidR="003627A8">
        <w:t>Section </w:t>
      </w:r>
      <w:r w:rsidR="002E384F">
        <w:t>3.4.3</w:t>
      </w:r>
      <w:r w:rsidR="00634BA1">
        <w:t>.2</w:t>
      </w:r>
      <w:r w:rsidR="009765DB">
        <w:t xml:space="preserve"> above</w:t>
      </w:r>
      <w:r w:rsidR="00634BA1">
        <w:t xml:space="preserve">, </w:t>
      </w:r>
      <w:bookmarkStart w:name="_Hlk158119792" w:id="181"/>
      <w:r w:rsidR="00634BA1">
        <w:t>FERC has issued guidance on how to calculate avoided cost, but states implementing PURPA</w:t>
      </w:r>
      <w:r w:rsidR="003D6EF8">
        <w:noBreakHyphen/>
      </w:r>
      <w:r w:rsidR="00634BA1">
        <w:t>compliant programs have discretion to determine how avoided cost is calculated</w:t>
      </w:r>
      <w:r w:rsidR="0071291A">
        <w:t>.</w:t>
      </w:r>
      <w:r w:rsidR="00634BA1">
        <w:t xml:space="preserve"> This would equate to </w:t>
      </w:r>
      <w:r w:rsidR="00162867">
        <w:t xml:space="preserve">the </w:t>
      </w:r>
      <w:r w:rsidR="00440785">
        <w:t>“</w:t>
      </w:r>
      <w:r w:rsidR="0051003A">
        <w:t>[</w:t>
      </w:r>
      <w:r w:rsidR="00162867">
        <w:t>C</w:t>
      </w:r>
      <w:r w:rsidR="0051003A">
        <w:t>]</w:t>
      </w:r>
      <w:r w:rsidR="00162867">
        <w:t>ommission</w:t>
      </w:r>
      <w:r w:rsidR="00440785">
        <w:t>’</w:t>
      </w:r>
      <w:r w:rsidR="00162867">
        <w:t>s methods</w:t>
      </w:r>
      <w:r w:rsidR="00440785">
        <w:t>”</w:t>
      </w:r>
      <w:r w:rsidR="00162867">
        <w:t xml:space="preserve"> for calculating </w:t>
      </w:r>
      <w:r w:rsidR="00E35443">
        <w:t xml:space="preserve">avoided costs. </w:t>
      </w:r>
      <w:bookmarkEnd w:id="181"/>
      <w:r w:rsidR="00E35443">
        <w:t xml:space="preserve">Accordingly, the Commission </w:t>
      </w:r>
      <w:r w:rsidR="008A208F">
        <w:t xml:space="preserve">concludes that </w:t>
      </w:r>
      <w:bookmarkStart w:name="_Hlk158119856" w:id="182"/>
      <w:r w:rsidR="008A208F">
        <w:t xml:space="preserve">neither </w:t>
      </w:r>
      <w:r w:rsidR="003627A8">
        <w:t>AB </w:t>
      </w:r>
      <w:r w:rsidR="008A208F">
        <w:t xml:space="preserve">2316 nor </w:t>
      </w:r>
      <w:r w:rsidR="00440785">
        <w:t>Pub. Util.</w:t>
      </w:r>
      <w:r w:rsidR="008A208F">
        <w:t xml:space="preserve"> Code </w:t>
      </w:r>
      <w:r w:rsidR="003627A8">
        <w:t>Section </w:t>
      </w:r>
      <w:r w:rsidR="008A208F">
        <w:t xml:space="preserve">769.3 require </w:t>
      </w:r>
      <w:r w:rsidR="002163F6">
        <w:t>the use of the Avoided Cost Calculator or any other specific method.</w:t>
      </w:r>
      <w:bookmarkStart w:name="_Hlk158119968" w:id="183"/>
      <w:bookmarkEnd w:id="182"/>
    </w:p>
    <w:p w:rsidR="00D415AF" w:rsidP="000617A4" w:rsidRDefault="00D415AF" w14:paraId="5357D289" w14:textId="77777777">
      <w:pPr>
        <w:pStyle w:val="Heading3"/>
      </w:pPr>
      <w:bookmarkStart w:name="_Toc168559313" w:id="184"/>
      <w:r>
        <w:t>Consistency with Federal Law</w:t>
      </w:r>
      <w:bookmarkEnd w:id="184"/>
    </w:p>
    <w:p w:rsidR="00D415AF" w:rsidP="00D415AF" w:rsidRDefault="00D415AF" w14:paraId="6B34B8A5" w14:textId="3EF1E1EB">
      <w:pPr>
        <w:pStyle w:val="Standard"/>
      </w:pPr>
      <w:r>
        <w:t xml:space="preserve">Parties to this proceeding dispute whether the proposed NVBT was inconsistent with and preempted by the Federal Power Act (FPA) and PURPA. The FPA vests the </w:t>
      </w:r>
      <w:r w:rsidRPr="00FD66C0">
        <w:t xml:space="preserve">Federal Energy Regulatory Commission </w:t>
      </w:r>
      <w:r>
        <w:t>(</w:t>
      </w:r>
      <w:r w:rsidRPr="00FD66C0">
        <w:rPr>
          <w:rFonts w:cs="TimesNewRomanPSMT"/>
          <w:szCs w:val="26"/>
        </w:rPr>
        <w:t>FERC</w:t>
      </w:r>
      <w:r>
        <w:t>) with exclusive jurisdiction over the sale of electric energy at wholesale in interstate commerce. The FPA obligates FERC to oversee all prices for those interstate transactions and all rules and practices affecting such prices.</w:t>
      </w:r>
      <w:r>
        <w:rPr>
          <w:rStyle w:val="FootnoteReference"/>
        </w:rPr>
        <w:footnoteReference w:id="296"/>
      </w:r>
      <w:r>
        <w:t xml:space="preserve"> Broadly speaking, however, FERC does not and may not regulate within-state wholesale sales or retail sales of electricity, meaning sales directly to users.</w:t>
      </w:r>
      <w:r>
        <w:rPr>
          <w:rStyle w:val="FootnoteReference"/>
        </w:rPr>
        <w:footnoteReference w:id="297"/>
      </w:r>
      <w:r>
        <w:t xml:space="preserve"> </w:t>
      </w:r>
    </w:p>
    <w:p w:rsidR="00D415AF" w:rsidP="00D415AF" w:rsidRDefault="00D415AF" w14:paraId="609C7AD7" w14:textId="77777777">
      <w:pPr>
        <w:pStyle w:val="Standard"/>
      </w:pPr>
      <w:r>
        <w:t xml:space="preserve">PURPA creates an exception to FERC’s authority over wholesale rates and permits states to set wholesale rates in accordance with PURPA requirements. PURPA creates a “must take” obligation on utilities to purchase electricity and capacity from “qualifying facilities” (which includes renewable energy and </w:t>
      </w:r>
      <w:r>
        <w:lastRenderedPageBreak/>
        <w:t>generators and cogeneration facilities below a certain size threshold)</w:t>
      </w:r>
      <w:r>
        <w:rPr>
          <w:rStyle w:val="FootnoteReference"/>
        </w:rPr>
        <w:footnoteReference w:id="298"/>
      </w:r>
      <w:r>
        <w:t xml:space="preserve"> at their “avoided cost,” or the price the utility would have paid to someone else for that energy generation and/or capacity.</w:t>
      </w:r>
      <w:r>
        <w:rPr>
          <w:rStyle w:val="FootnoteReference"/>
        </w:rPr>
        <w:footnoteReference w:id="299"/>
      </w:r>
    </w:p>
    <w:p w:rsidR="00D415AF" w:rsidP="00D415AF" w:rsidRDefault="00D415AF" w14:paraId="6E216F55" w14:textId="77777777">
      <w:pPr>
        <w:pStyle w:val="Standard"/>
      </w:pPr>
      <w:r>
        <w:t>Congress also requires states to consider implementing net metering (also called net energy metering) but does not require such implementation.</w:t>
      </w:r>
      <w:r>
        <w:rPr>
          <w:rStyle w:val="FootnoteReference"/>
        </w:rPr>
        <w:footnoteReference w:id="300"/>
      </w:r>
      <w:r>
        <w:t xml:space="preserve"> Specifically, a state may decide the terms of the retail sale and billing practices applicable to retail transactions if a state chooses to implement a net metering program where generation offsets customer load.</w:t>
      </w:r>
      <w:r>
        <w:rPr>
          <w:rStyle w:val="FootnoteReference"/>
        </w:rPr>
        <w:footnoteReference w:id="301"/>
      </w:r>
      <w:r>
        <w:t xml:space="preserve"> Federal jurisdiction does not extend to situations where a net metering customer remains a net consumer of power during the netting period. Rather, FERC has held that its jurisdiction over net metering is potentially triggered “when a facility operating under a state net metering program produces more power than it consumes over the relevant netting period.”</w:t>
      </w:r>
      <w:r>
        <w:rPr>
          <w:rStyle w:val="FootnoteReference"/>
        </w:rPr>
        <w:footnoteReference w:id="302"/>
      </w:r>
      <w:r>
        <w:t xml:space="preserve"> </w:t>
      </w:r>
    </w:p>
    <w:p w:rsidR="00D415AF" w:rsidP="00D415AF" w:rsidRDefault="00D415AF" w14:paraId="13B8F8EE" w14:textId="77777777">
      <w:pPr>
        <w:pStyle w:val="Standard"/>
      </w:pPr>
      <w:r>
        <w:lastRenderedPageBreak/>
        <w:t>SCE and PG&amp;E argue that the proposed NVBT conflicts with federal law. SCE asserts that a community renewable energy program that “requires a utility to take title to electricity produced by a third party and then resell it to retail customer” results in a wholesale sale that is subject to PURPA.</w:t>
      </w:r>
      <w:r>
        <w:rPr>
          <w:rStyle w:val="FootnoteReference"/>
        </w:rPr>
        <w:footnoteReference w:id="303"/>
      </w:r>
      <w:r>
        <w:t xml:space="preserve"> </w:t>
      </w:r>
      <w:r>
        <w:rPr>
          <w:szCs w:val="26"/>
        </w:rPr>
        <w:t>PG&amp;E responds that the NVBT proposal would provide compensation to customers in the form of bill credits, calculated based on the Commission’s Avoided Cost Calculator, which was adopted by the Commission in D.22</w:t>
      </w:r>
      <w:r>
        <w:rPr>
          <w:szCs w:val="26"/>
        </w:rPr>
        <w:noBreakHyphen/>
        <w:t>12</w:t>
      </w:r>
      <w:r>
        <w:rPr>
          <w:szCs w:val="26"/>
        </w:rPr>
        <w:noBreakHyphen/>
        <w:t>056 as the basis for compensation under net energy metering/net billing, and which was originally created as an evaluation tool for measuring the cost effectiveness of energy efficiency programs.</w:t>
      </w:r>
      <w:r>
        <w:rPr>
          <w:rStyle w:val="FootnoteReference"/>
          <w:szCs w:val="26"/>
        </w:rPr>
        <w:footnoteReference w:id="304"/>
      </w:r>
      <w:r>
        <w:rPr>
          <w:szCs w:val="26"/>
        </w:rPr>
        <w:t xml:space="preserve"> SCE and PG&amp;E both point out that “avoided cost” means something different in the context of the Avoided Cost Calculator than it does under PURPA and that avoided cost as calculated using the Commission’s Avoided Cost Calculator does not comply with PURPA</w:t>
      </w:r>
      <w:r w:rsidRPr="00F07B7D">
        <w:rPr>
          <w:szCs w:val="26"/>
        </w:rPr>
        <w:t>.</w:t>
      </w:r>
      <w:r>
        <w:rPr>
          <w:rStyle w:val="FootnoteReference"/>
          <w:szCs w:val="26"/>
        </w:rPr>
        <w:footnoteReference w:id="305"/>
      </w:r>
    </w:p>
    <w:p w:rsidR="00D415AF" w:rsidP="00D415AF" w:rsidRDefault="00D415AF" w14:paraId="0A5C9EE3" w14:textId="77DFDFBC">
      <w:pPr>
        <w:pStyle w:val="Standard"/>
      </w:pPr>
      <w:r>
        <w:rPr>
          <w:szCs w:val="26"/>
        </w:rPr>
        <w:t xml:space="preserve">SCE and PG&amp;E further argue that the NBVT proposal does not equate to net energy metering. SCE maintains that the NBVT proposal </w:t>
      </w:r>
      <w:r>
        <w:t>involves front</w:t>
      </w:r>
      <w:r>
        <w:noBreakHyphen/>
        <w:t>of</w:t>
      </w:r>
      <w:r>
        <w:noBreakHyphen/>
        <w:t>the</w:t>
      </w:r>
      <w:r>
        <w:noBreakHyphen/>
        <w:t>meter resources, unlike net energy metering where generation is behind-the-meter and serves load on-site. PG&amp;E claims that “the exports from a NVBT project are better likened to a net metered customer’s exports that exceed on</w:t>
      </w:r>
      <w:r>
        <w:noBreakHyphen/>
        <w:t xml:space="preserve">site consumption over the netting period… and over which FERC asserts </w:t>
      </w:r>
      <w:r>
        <w:lastRenderedPageBreak/>
        <w:t>jurisdiction.”</w:t>
      </w:r>
      <w:r>
        <w:rPr>
          <w:rStyle w:val="FootnoteReference"/>
        </w:rPr>
        <w:footnoteReference w:id="306"/>
      </w:r>
      <w:r>
        <w:t xml:space="preserve"> PG&amp;E contends that FERC considers net energy metering to involve a generator that supplies energy to on</w:t>
      </w:r>
      <w:r>
        <w:noBreakHyphen/>
        <w:t>site load and exports energy to the grid, and that energy is netted over a reasonable time period.</w:t>
      </w:r>
      <w:r>
        <w:rPr>
          <w:rStyle w:val="FootnoteReference"/>
        </w:rPr>
        <w:footnoteReference w:id="307"/>
      </w:r>
      <w:r>
        <w:t xml:space="preserve"> </w:t>
      </w:r>
    </w:p>
    <w:p w:rsidR="00D415AF" w:rsidP="00D415AF" w:rsidRDefault="00D415AF" w14:paraId="3A328F6A" w14:textId="29A06C04">
      <w:pPr>
        <w:pStyle w:val="Standard"/>
      </w:pPr>
      <w:r>
        <w:t>In response to these contentions, TURN argues that the NVBT does not conflict with PURPA, stating that “FERC had repeatedly held that net metering and net billing tariffs between a retail customer and its utility are not within its jurisdiction and not subject to the requirements of PURPA.”</w:t>
      </w:r>
      <w:r>
        <w:rPr>
          <w:rStyle w:val="FootnoteReference"/>
        </w:rPr>
        <w:footnoteReference w:id="308"/>
      </w:r>
      <w:r>
        <w:t xml:space="preserve"> TURN highlights that “[t]o date, there is no instance of FERC asserting jurisdiction over, or ordering changes to, a virtual net metering tariff or community renewable energy program approved pursuant to state law.</w:t>
      </w:r>
      <w:r>
        <w:rPr>
          <w:rStyle w:val="FootnoteReference"/>
        </w:rPr>
        <w:footnoteReference w:id="309"/>
      </w:r>
      <w:r>
        <w:t xml:space="preserve"> CCSA and TURN both assert that 22 states and the District of Columbia currently operate community solar programs similar to the proposed NVBT, none of which have been found to implicate federal jurisdiction or PURPA.</w:t>
      </w:r>
      <w:r>
        <w:rPr>
          <w:rStyle w:val="FootnoteReference"/>
        </w:rPr>
        <w:footnoteReference w:id="310"/>
      </w:r>
      <w:r>
        <w:t xml:space="preserve"> SEIA asserts that the NBVT does not result in wholesale sales of electricity as it is the same structure as California’s existing virtual net metering programs, and that even if it did, the Commission has discretion to determine the appropriate avoided costs for such a transaction.</w:t>
      </w:r>
      <w:r>
        <w:rPr>
          <w:rStyle w:val="FootnoteReference"/>
        </w:rPr>
        <w:footnoteReference w:id="311"/>
      </w:r>
      <w:r>
        <w:t xml:space="preserve"> In comments to the proposed decision, multiple parties, including </w:t>
      </w:r>
      <w:r>
        <w:lastRenderedPageBreak/>
        <w:t xml:space="preserve">CCSA, SEIA, TURN, CBD, CEJA, NRDC, and the Clean Coalition, made further arguments as to why the NVBT does not conflict with federal law.  </w:t>
      </w:r>
    </w:p>
    <w:p w:rsidR="00D415AF" w:rsidP="00D415AF" w:rsidRDefault="00D415AF" w14:paraId="0EF4F219" w14:textId="552706BF">
      <w:pPr>
        <w:pStyle w:val="Standard"/>
      </w:pPr>
      <w:r>
        <w:t>For the reasons described in Section 3.4.2 above, the Commission finds the NBVT proposal does not comply with the requirements of State law. Consequently, the Commission finds it unnecessary to reach questions of preemption under the FPA and PURPA as they pertain to the proposed NVBT.</w:t>
      </w:r>
    </w:p>
    <w:p w:rsidR="00635074" w:rsidP="001B1E90" w:rsidRDefault="005030E2" w14:paraId="0701FC0F" w14:textId="469422B5">
      <w:pPr>
        <w:pStyle w:val="Heading3"/>
      </w:pPr>
      <w:bookmarkStart w:name="_Toc159551196" w:id="185"/>
      <w:bookmarkStart w:name="_Toc168559314" w:id="186"/>
      <w:bookmarkEnd w:id="150"/>
      <w:bookmarkEnd w:id="183"/>
      <w:r>
        <w:t>Adoption of a Community</w:t>
      </w:r>
      <w:r w:rsidR="00D62231">
        <w:br/>
      </w:r>
      <w:r>
        <w:t>Renewable Energy Program</w:t>
      </w:r>
      <w:bookmarkEnd w:id="185"/>
      <w:bookmarkEnd w:id="186"/>
    </w:p>
    <w:p w:rsidR="009021A8" w:rsidP="00AC6E92" w:rsidRDefault="00837B29" w14:paraId="0C806EAA" w14:textId="61A06548">
      <w:pPr>
        <w:pStyle w:val="Standard"/>
      </w:pPr>
      <w:r>
        <w:t xml:space="preserve">While the Commission finds the </w:t>
      </w:r>
      <w:r w:rsidR="006B1085">
        <w:t xml:space="preserve">NVBT </w:t>
      </w:r>
      <w:r>
        <w:t xml:space="preserve">proposal </w:t>
      </w:r>
      <w:r w:rsidR="00147E5D">
        <w:t xml:space="preserve">in the record of this proceeding </w:t>
      </w:r>
      <w:r>
        <w:t>do</w:t>
      </w:r>
      <w:r w:rsidR="00F17908">
        <w:t>es</w:t>
      </w:r>
      <w:r>
        <w:t xml:space="preserve"> not meet the requirements of </w:t>
      </w:r>
      <w:r w:rsidR="003627A8">
        <w:t>AB </w:t>
      </w:r>
      <w:r>
        <w:t>2316</w:t>
      </w:r>
      <w:r w:rsidR="00BD0835">
        <w:t xml:space="preserve"> and </w:t>
      </w:r>
      <w:r w:rsidR="00440785">
        <w:t>Pub. Util.</w:t>
      </w:r>
      <w:r w:rsidR="00BD0835">
        <w:t xml:space="preserve"> </w:t>
      </w:r>
      <w:r w:rsidR="00934C7F">
        <w:t>Code Section 7</w:t>
      </w:r>
      <w:r w:rsidR="00BD0835">
        <w:t>69.3</w:t>
      </w:r>
      <w:r>
        <w:t>, the record indicates strong support for the adoption of a new community renewable energy program</w:t>
      </w:r>
      <w:r w:rsidR="00822528">
        <w:t xml:space="preserve"> </w:t>
      </w:r>
      <w:r w:rsidR="00223C18">
        <w:t xml:space="preserve">from a diverse array of entities </w:t>
      </w:r>
      <w:r w:rsidR="00822528">
        <w:t>including CCSA</w:t>
      </w:r>
      <w:r w:rsidR="005B1C37">
        <w:t xml:space="preserve"> (</w:t>
      </w:r>
      <w:r w:rsidR="00822528">
        <w:t xml:space="preserve">the </w:t>
      </w:r>
      <w:r w:rsidR="00E270C0">
        <w:t>proponent of the NVBT</w:t>
      </w:r>
      <w:r w:rsidR="005B1C37">
        <w:t>);</w:t>
      </w:r>
      <w:r w:rsidR="004E699A">
        <w:t xml:space="preserve"> </w:t>
      </w:r>
      <w:r w:rsidR="002917E2">
        <w:t>Cal Advoc</w:t>
      </w:r>
      <w:r w:rsidR="00B93AEC">
        <w:t xml:space="preserve">ates; </w:t>
      </w:r>
      <w:r w:rsidR="00AD55A4">
        <w:t xml:space="preserve">CEJA, </w:t>
      </w:r>
      <w:r w:rsidR="00237E56">
        <w:rPr>
          <w:i/>
          <w:iCs/>
        </w:rPr>
        <w:t>et al</w:t>
      </w:r>
      <w:r w:rsidRPr="00AD55A4" w:rsidR="00AD55A4">
        <w:rPr>
          <w:i/>
          <w:iCs/>
        </w:rPr>
        <w:t>.</w:t>
      </w:r>
      <w:r w:rsidR="00B93AEC">
        <w:t xml:space="preserve">; </w:t>
      </w:r>
      <w:r w:rsidR="004E699A">
        <w:t xml:space="preserve">CUE; </w:t>
      </w:r>
      <w:r w:rsidR="00B93AEC">
        <w:t xml:space="preserve">SBUA; </w:t>
      </w:r>
      <w:r w:rsidR="00E270C0">
        <w:t>SEIA</w:t>
      </w:r>
      <w:r w:rsidR="005B1C37">
        <w:t>; and TURN</w:t>
      </w:r>
      <w:r>
        <w:t>.</w:t>
      </w:r>
      <w:r w:rsidR="00B02F25">
        <w:t xml:space="preserve"> </w:t>
      </w:r>
      <w:r w:rsidR="00636160">
        <w:t xml:space="preserve">As discussed below, </w:t>
      </w:r>
      <w:r w:rsidR="00BC5AC1">
        <w:t>t</w:t>
      </w:r>
      <w:r w:rsidR="000B2B9A">
        <w:t>he Commission determine</w:t>
      </w:r>
      <w:r w:rsidR="007B23F9">
        <w:t>s</w:t>
      </w:r>
      <w:r w:rsidR="000B2B9A">
        <w:t xml:space="preserve"> that </w:t>
      </w:r>
      <w:r w:rsidR="00BC5AC1">
        <w:t xml:space="preserve">a community renewable energy </w:t>
      </w:r>
      <w:r w:rsidR="00F31165">
        <w:t xml:space="preserve">program </w:t>
      </w:r>
      <w:r w:rsidR="00BD1731">
        <w:t>that bases compensation on</w:t>
      </w:r>
      <w:r w:rsidR="00B36917">
        <w:t xml:space="preserve"> </w:t>
      </w:r>
      <w:r w:rsidR="000501A5">
        <w:t>existing standard supply</w:t>
      </w:r>
      <w:r w:rsidR="00BD1731">
        <w:t>-</w:t>
      </w:r>
      <w:r w:rsidR="000501A5">
        <w:t>side and contract mechanism</w:t>
      </w:r>
      <w:r w:rsidR="008126F5">
        <w:t xml:space="preserve"> can meet the requirements of </w:t>
      </w:r>
      <w:r w:rsidR="00440785">
        <w:t>Pub. Util.</w:t>
      </w:r>
      <w:r w:rsidR="008126F5">
        <w:t xml:space="preserve"> Code </w:t>
      </w:r>
      <w:r w:rsidR="003627A8">
        <w:t>Section </w:t>
      </w:r>
      <w:r w:rsidR="008126F5">
        <w:t>769.3</w:t>
      </w:r>
      <w:r w:rsidR="000B2B9A">
        <w:t>.</w:t>
      </w:r>
      <w:r w:rsidR="00B01DDE">
        <w:t xml:space="preserve"> </w:t>
      </w:r>
      <w:r w:rsidR="00FC71A3">
        <w:t>The Commission</w:t>
      </w:r>
      <w:r w:rsidR="00BD1731">
        <w:t>, therefore,</w:t>
      </w:r>
      <w:r w:rsidR="00FC71A3">
        <w:t xml:space="preserve"> finds it reasonable to </w:t>
      </w:r>
      <w:r w:rsidR="00835160">
        <w:t xml:space="preserve">layer a customer subscription model and a </w:t>
      </w:r>
      <w:r w:rsidR="008F1990">
        <w:t>non</w:t>
      </w:r>
      <w:r w:rsidR="003D6EF8">
        <w:noBreakHyphen/>
      </w:r>
      <w:r w:rsidR="008F1990">
        <w:t>ratepayer</w:t>
      </w:r>
      <w:r w:rsidR="003D6EF8">
        <w:noBreakHyphen/>
      </w:r>
      <w:r w:rsidR="00835160">
        <w:t xml:space="preserve">funded </w:t>
      </w:r>
      <w:r w:rsidR="000D3E7C">
        <w:t xml:space="preserve">adder onto one of several identified and existing standard </w:t>
      </w:r>
      <w:r w:rsidR="008F1990">
        <w:t>supply</w:t>
      </w:r>
      <w:r w:rsidR="003D6EF8">
        <w:noBreakHyphen/>
      </w:r>
      <w:r w:rsidR="000D3E7C">
        <w:t>side tariffs and contract mechanisms</w:t>
      </w:r>
      <w:r w:rsidR="00FC71A3">
        <w:t>.</w:t>
      </w:r>
      <w:r w:rsidR="009021A8">
        <w:t xml:space="preserve"> </w:t>
      </w:r>
      <w:r w:rsidR="00CC7813">
        <w:t xml:space="preserve">Following a </w:t>
      </w:r>
      <w:r w:rsidR="00734629">
        <w:t>discussion of the Commission</w:t>
      </w:r>
      <w:r w:rsidR="00440785">
        <w:t>’</w:t>
      </w:r>
      <w:r w:rsidR="00734629">
        <w:t xml:space="preserve">s </w:t>
      </w:r>
      <w:r w:rsidR="006E2FF2">
        <w:t xml:space="preserve">deliberations and a </w:t>
      </w:r>
      <w:r w:rsidR="00CC7813">
        <w:t>description of the adopted community renewable energy program, this decision describes how this</w:t>
      </w:r>
      <w:r w:rsidR="00546024">
        <w:t xml:space="preserve"> </w:t>
      </w:r>
      <w:r w:rsidR="00BD1731">
        <w:t xml:space="preserve">alternative </w:t>
      </w:r>
      <w:r w:rsidR="00E51FD4">
        <w:t>community renewable energy tariff</w:t>
      </w:r>
      <w:r w:rsidR="00C95859">
        <w:t xml:space="preserve"> meets the </w:t>
      </w:r>
      <w:r w:rsidR="00AF2677">
        <w:t xml:space="preserve">six </w:t>
      </w:r>
      <w:r w:rsidR="00C95859">
        <w:t xml:space="preserve">requirements of </w:t>
      </w:r>
      <w:r w:rsidR="00440785">
        <w:t>Pub. Util.</w:t>
      </w:r>
      <w:r w:rsidR="00C95859">
        <w:t xml:space="preserve"> Code </w:t>
      </w:r>
      <w:r w:rsidR="003627A8">
        <w:t>Section </w:t>
      </w:r>
      <w:r w:rsidR="00C95859">
        <w:t>769.3.</w:t>
      </w:r>
    </w:p>
    <w:p w:rsidR="007966D5" w:rsidP="001B1E90" w:rsidRDefault="005A1292" w14:paraId="35C9FDC6" w14:textId="5E7A8284">
      <w:pPr>
        <w:pStyle w:val="Heading4"/>
      </w:pPr>
      <w:bookmarkStart w:name="_Toc159551197" w:id="187"/>
      <w:bookmarkStart w:name="_Toc168559315" w:id="188"/>
      <w:r>
        <w:lastRenderedPageBreak/>
        <w:t>It</w:t>
      </w:r>
      <w:r w:rsidR="004E597B">
        <w:t xml:space="preserve"> Is </w:t>
      </w:r>
      <w:r>
        <w:t>Reasonable to Adopt a</w:t>
      </w:r>
      <w:r w:rsidR="000806B8">
        <w:br/>
      </w:r>
      <w:r w:rsidR="004E597B">
        <w:t>Public Utilit</w:t>
      </w:r>
      <w:r w:rsidR="005A3E9F">
        <w:t>y</w:t>
      </w:r>
      <w:r w:rsidR="004E597B">
        <w:t xml:space="preserve"> Regulatory</w:t>
      </w:r>
      <w:r w:rsidR="000806B8">
        <w:br/>
      </w:r>
      <w:r w:rsidR="004E597B">
        <w:t>Policies Act</w:t>
      </w:r>
      <w:r>
        <w:t xml:space="preserve"> Compliant </w:t>
      </w:r>
      <w:r w:rsidR="006E20A8">
        <w:t>Feed</w:t>
      </w:r>
      <w:r w:rsidR="003D6EF8">
        <w:noBreakHyphen/>
      </w:r>
      <w:r w:rsidR="006E20A8">
        <w:t>In Tariff</w:t>
      </w:r>
      <w:bookmarkEnd w:id="187"/>
      <w:bookmarkEnd w:id="188"/>
    </w:p>
    <w:p w:rsidR="00BA58BF" w:rsidP="00AC6E92" w:rsidRDefault="00987BFE" w14:paraId="4AF8CBB2" w14:textId="16DC0AA6">
      <w:pPr>
        <w:pStyle w:val="Standard"/>
      </w:pPr>
      <w:r>
        <w:t xml:space="preserve">As previously described </w:t>
      </w:r>
      <w:r w:rsidR="00796BC8">
        <w:t xml:space="preserve">in </w:t>
      </w:r>
      <w:r w:rsidR="003627A8">
        <w:t>Section </w:t>
      </w:r>
      <w:r w:rsidR="00796BC8">
        <w:t>3.4.2.4</w:t>
      </w:r>
      <w:r w:rsidR="009765DB">
        <w:t xml:space="preserve"> above</w:t>
      </w:r>
      <w:r>
        <w:t>, SCE proposes</w:t>
      </w:r>
      <w:r w:rsidR="00134072">
        <w:t xml:space="preserve"> the creation of a new feed</w:t>
      </w:r>
      <w:r w:rsidR="003D6EF8">
        <w:noBreakHyphen/>
      </w:r>
      <w:r w:rsidR="00134072">
        <w:t>in tariff th</w:t>
      </w:r>
      <w:r w:rsidR="00767687">
        <w:t xml:space="preserve">at </w:t>
      </w:r>
      <w:r w:rsidR="00C77801">
        <w:t>sets an avoided cost based on the actual costs the generation resource avoids</w:t>
      </w:r>
      <w:r w:rsidR="00134151">
        <w:t xml:space="preserve"> and includes</w:t>
      </w:r>
      <w:r w:rsidR="00375A01">
        <w:t xml:space="preserve"> </w:t>
      </w:r>
      <w:r w:rsidR="00E24924">
        <w:t>a customer subscription</w:t>
      </w:r>
      <w:r w:rsidR="00375A01">
        <w:t xml:space="preserve"> fram</w:t>
      </w:r>
      <w:r w:rsidR="00004493">
        <w:t>e</w:t>
      </w:r>
      <w:r w:rsidR="00375A01">
        <w:t>work</w:t>
      </w:r>
      <w:r w:rsidR="00BD0AFA">
        <w:t>, which SCE calls the Simplified Shared Savings Model, to implement the subscriber</w:t>
      </w:r>
      <w:r w:rsidR="00440785">
        <w:t>’</w:t>
      </w:r>
      <w:r w:rsidR="00BD0AFA">
        <w:t>s bill credit</w:t>
      </w:r>
      <w:r w:rsidR="00375A01">
        <w:t>.</w:t>
      </w:r>
      <w:r w:rsidR="00C76D7A">
        <w:t xml:space="preserve"> PG&amp;E </w:t>
      </w:r>
      <w:r w:rsidR="00FC3765">
        <w:t xml:space="preserve">recommends </w:t>
      </w:r>
      <w:r w:rsidR="007B0D61">
        <w:t xml:space="preserve">that </w:t>
      </w:r>
      <w:r w:rsidR="00E45D99">
        <w:t>SCE</w:t>
      </w:r>
      <w:r w:rsidR="00440785">
        <w:t>’</w:t>
      </w:r>
      <w:r w:rsidR="00E45D99">
        <w:t xml:space="preserve">s proposal </w:t>
      </w:r>
      <w:r w:rsidR="0009315E">
        <w:t>rely on the existing PURPA program and contracts, contending that this would reduce the administrative complexity of creating a new feed</w:t>
      </w:r>
      <w:r w:rsidR="003D6EF8">
        <w:noBreakHyphen/>
      </w:r>
      <w:r w:rsidR="0009315E">
        <w:t>in</w:t>
      </w:r>
      <w:r w:rsidR="003D6EF8">
        <w:noBreakHyphen/>
      </w:r>
      <w:r w:rsidR="0009315E">
        <w:t>tariff</w:t>
      </w:r>
      <w:r w:rsidR="00F558EF">
        <w:t xml:space="preserve"> while ensuring payments do not diverge from similar classes of resources.</w:t>
      </w:r>
      <w:r w:rsidR="0017266B">
        <w:rPr>
          <w:rStyle w:val="FootnoteReference"/>
        </w:rPr>
        <w:footnoteReference w:id="312"/>
      </w:r>
    </w:p>
    <w:p w:rsidR="001D658B" w:rsidP="00AC6E92" w:rsidRDefault="00C64D50" w14:paraId="5329BFC6" w14:textId="0BAEFF2B">
      <w:pPr>
        <w:pStyle w:val="Standard"/>
      </w:pPr>
      <w:r>
        <w:t xml:space="preserve">In response to the SCE proposal, CCSA </w:t>
      </w:r>
      <w:r w:rsidR="004F599E">
        <w:t>argues that the proposal raises significant due process concerns</w:t>
      </w:r>
      <w:r w:rsidR="00155F70">
        <w:t xml:space="preserve">, contending </w:t>
      </w:r>
      <w:r w:rsidR="00440785">
        <w:t>“</w:t>
      </w:r>
      <w:r w:rsidR="004F599E">
        <w:t>that it is out of scope and the docket is at an extremely late stage.</w:t>
      </w:r>
      <w:r w:rsidR="00440785">
        <w:t>”</w:t>
      </w:r>
      <w:r w:rsidR="00F62BD1">
        <w:rPr>
          <w:rStyle w:val="FootnoteReference"/>
        </w:rPr>
        <w:footnoteReference w:id="313"/>
      </w:r>
      <w:r w:rsidR="004F599E">
        <w:t xml:space="preserve"> The Commission disagrees. </w:t>
      </w:r>
      <w:r w:rsidR="008D0C94">
        <w:t xml:space="preserve">The Commission </w:t>
      </w:r>
      <w:r w:rsidR="00D91218">
        <w:t xml:space="preserve">twice </w:t>
      </w:r>
      <w:r w:rsidR="006F5AFC">
        <w:t xml:space="preserve">set aside submission of the record </w:t>
      </w:r>
      <w:r w:rsidR="008D0C94">
        <w:t>of th</w:t>
      </w:r>
      <w:r w:rsidR="009263BD">
        <w:t>is</w:t>
      </w:r>
      <w:r w:rsidR="008D0C94">
        <w:t xml:space="preserve"> proceeding because of concerns with </w:t>
      </w:r>
      <w:r w:rsidR="002B58EE">
        <w:t xml:space="preserve">the </w:t>
      </w:r>
      <w:r w:rsidR="008D0C94">
        <w:t xml:space="preserve">NVBT </w:t>
      </w:r>
      <w:r w:rsidR="00243C6D">
        <w:t>regarding</w:t>
      </w:r>
      <w:r w:rsidR="00D91218">
        <w:t xml:space="preserve"> cost effectiveness and </w:t>
      </w:r>
      <w:r w:rsidR="003977A5">
        <w:t>reliability</w:t>
      </w:r>
      <w:r w:rsidR="00D91218">
        <w:t xml:space="preserve"> </w:t>
      </w:r>
      <w:r w:rsidR="007F7A16">
        <w:t xml:space="preserve">matters. SCE simply is offering an alternative to the NVBT to address these </w:t>
      </w:r>
      <w:r w:rsidR="000043B1">
        <w:t xml:space="preserve">specific </w:t>
      </w:r>
      <w:r w:rsidR="007F7A16">
        <w:t xml:space="preserve">concerns. As to the assertion that </w:t>
      </w:r>
      <w:r w:rsidR="00521C9B">
        <w:t>SCE</w:t>
      </w:r>
      <w:r w:rsidR="00440785">
        <w:t>’</w:t>
      </w:r>
      <w:r w:rsidR="00521C9B">
        <w:t>s</w:t>
      </w:r>
      <w:r w:rsidR="007F7A16">
        <w:t xml:space="preserve"> </w:t>
      </w:r>
      <w:r w:rsidR="007D1BA5">
        <w:t xml:space="preserve">proposal raises due process concerns, here again, the Commission disagrees. All parties have been provided with an opportunity </w:t>
      </w:r>
      <w:r w:rsidR="00752E97">
        <w:t xml:space="preserve">to dispute </w:t>
      </w:r>
      <w:r w:rsidR="00521C9B">
        <w:t>SCE</w:t>
      </w:r>
      <w:r w:rsidR="00440785">
        <w:t>’</w:t>
      </w:r>
      <w:r w:rsidR="00521C9B">
        <w:t>s</w:t>
      </w:r>
      <w:r w:rsidR="00752E97">
        <w:t xml:space="preserve"> proposal and, indeed, CCSA </w:t>
      </w:r>
      <w:r w:rsidR="00562236">
        <w:t xml:space="preserve">as well as other parties </w:t>
      </w:r>
      <w:r w:rsidR="00521C9B">
        <w:t>offer</w:t>
      </w:r>
      <w:r w:rsidR="00752E97">
        <w:t xml:space="preserve"> </w:t>
      </w:r>
      <w:r w:rsidR="009263BD">
        <w:t>arguments</w:t>
      </w:r>
      <w:r w:rsidR="00C17C4A">
        <w:t xml:space="preserve"> in opposition to the SCE proposal</w:t>
      </w:r>
      <w:r w:rsidR="000043B1">
        <w:t>, as discussed below</w:t>
      </w:r>
      <w:r w:rsidR="000E599B">
        <w:t xml:space="preserve">. Hence, </w:t>
      </w:r>
      <w:r w:rsidR="00FE1125">
        <w:t xml:space="preserve">the Commission </w:t>
      </w:r>
      <w:r w:rsidR="000867FC">
        <w:t xml:space="preserve">finds that </w:t>
      </w:r>
      <w:r w:rsidR="000E599B">
        <w:t xml:space="preserve">the SCE proposal is neither out of scope nor </w:t>
      </w:r>
      <w:r w:rsidR="00420717">
        <w:t>does it violate other parties</w:t>
      </w:r>
      <w:r w:rsidR="00440785">
        <w:t>’</w:t>
      </w:r>
      <w:r w:rsidR="00420717">
        <w:t xml:space="preserve"> due process rights.</w:t>
      </w:r>
    </w:p>
    <w:p w:rsidR="00D766C7" w:rsidP="00D766C7" w:rsidRDefault="00273F7D" w14:paraId="5DCB2BF7" w14:textId="7FD01C30">
      <w:pPr>
        <w:pStyle w:val="Standard"/>
      </w:pPr>
      <w:r>
        <w:lastRenderedPageBreak/>
        <w:t xml:space="preserve">As to </w:t>
      </w:r>
      <w:r w:rsidR="005D66B6">
        <w:t>CCSA</w:t>
      </w:r>
      <w:r w:rsidR="00440785">
        <w:t>’</w:t>
      </w:r>
      <w:r w:rsidR="005D66B6">
        <w:t>s</w:t>
      </w:r>
      <w:r>
        <w:t xml:space="preserve"> arguments</w:t>
      </w:r>
      <w:r w:rsidR="006D5FC8">
        <w:t xml:space="preserve"> opposing the SCE proposal</w:t>
      </w:r>
      <w:r w:rsidR="002A32B0">
        <w:t xml:space="preserve"> on technical grounds</w:t>
      </w:r>
      <w:r>
        <w:t xml:space="preserve">, the Commission </w:t>
      </w:r>
      <w:r w:rsidR="00C25372">
        <w:t xml:space="preserve">agrees </w:t>
      </w:r>
      <w:r w:rsidR="007B4FEA">
        <w:t xml:space="preserve">with CCSA </w:t>
      </w:r>
      <w:r w:rsidR="00C25372">
        <w:t>that SCE</w:t>
      </w:r>
      <w:r w:rsidR="0099550E">
        <w:t xml:space="preserve"> provides no analysis that the SCE alternative proposal would </w:t>
      </w:r>
      <w:r w:rsidR="00985C0B">
        <w:t xml:space="preserve">comply with the </w:t>
      </w:r>
      <w:r w:rsidR="00E67CA9">
        <w:t>Title </w:t>
      </w:r>
      <w:r w:rsidR="00985C0B">
        <w:t>24 requireme</w:t>
      </w:r>
      <w:r w:rsidR="005E0C00">
        <w:t xml:space="preserve">nt </w:t>
      </w:r>
      <w:r w:rsidR="009971B8">
        <w:t>(</w:t>
      </w:r>
      <w:r w:rsidR="00440785">
        <w:t>Pub. Util.</w:t>
      </w:r>
      <w:r w:rsidR="009971B8">
        <w:t xml:space="preserve"> Code </w:t>
      </w:r>
      <w:r w:rsidR="003627A8">
        <w:t>Section </w:t>
      </w:r>
      <w:r w:rsidR="007B6094">
        <w:t>769</w:t>
      </w:r>
      <w:r w:rsidR="00DD3BE1">
        <w:t>.3(c)(1))</w:t>
      </w:r>
      <w:r w:rsidR="00E73D2C">
        <w:t xml:space="preserve"> </w:t>
      </w:r>
      <w:r w:rsidR="005E0C00">
        <w:t xml:space="preserve">or the </w:t>
      </w:r>
      <w:r w:rsidR="007B4FEA">
        <w:t xml:space="preserve">eligibility for enhanced federal </w:t>
      </w:r>
      <w:r w:rsidRPr="005A269D" w:rsidR="00E73D2C">
        <w:t>ITC</w:t>
      </w:r>
      <w:r w:rsidR="00E73D2C">
        <w:t xml:space="preserve"> </w:t>
      </w:r>
      <w:r w:rsidR="00DD3BE1">
        <w:t>(</w:t>
      </w:r>
      <w:r w:rsidR="00440785">
        <w:t>Pub. Util.</w:t>
      </w:r>
      <w:r w:rsidR="00DD3BE1">
        <w:t xml:space="preserve"> Code </w:t>
      </w:r>
      <w:r w:rsidR="003627A8">
        <w:t>Section </w:t>
      </w:r>
      <w:r w:rsidR="00DD3BE1">
        <w:t>769.3(c)(6)</w:t>
      </w:r>
      <w:r w:rsidR="00442935">
        <w:t>)</w:t>
      </w:r>
      <w:r w:rsidR="007B4FEA">
        <w:t>.</w:t>
      </w:r>
      <w:r w:rsidR="007B4FEA">
        <w:rPr>
          <w:rStyle w:val="FootnoteReference"/>
        </w:rPr>
        <w:footnoteReference w:id="314"/>
      </w:r>
      <w:r w:rsidR="007B4FEA">
        <w:t xml:space="preserve"> </w:t>
      </w:r>
      <w:r w:rsidR="000C0E3D">
        <w:t>The Commission notes</w:t>
      </w:r>
      <w:r w:rsidR="00DC651A">
        <w:t>, however,</w:t>
      </w:r>
      <w:r w:rsidR="000C0E3D">
        <w:t xml:space="preserve"> that ultimately the Energy Commission will decide whether </w:t>
      </w:r>
      <w:r w:rsidR="00442B17">
        <w:t xml:space="preserve">a proposal would comply with </w:t>
      </w:r>
      <w:r w:rsidR="00E67CA9">
        <w:t>Title </w:t>
      </w:r>
      <w:r w:rsidR="00442B17">
        <w:t>2</w:t>
      </w:r>
      <w:r w:rsidR="00157612">
        <w:t>4</w:t>
      </w:r>
      <w:r w:rsidR="00442B17">
        <w:t xml:space="preserve"> requirements. Further, </w:t>
      </w:r>
      <w:r w:rsidR="00440785">
        <w:t>Pub. Util.</w:t>
      </w:r>
      <w:r w:rsidR="00C96F34">
        <w:t xml:space="preserve"> Code </w:t>
      </w:r>
      <w:r w:rsidR="003627A8">
        <w:t>Section </w:t>
      </w:r>
      <w:r w:rsidR="00C96F34">
        <w:t xml:space="preserve">769.3(c)(1) </w:t>
      </w:r>
      <w:r w:rsidR="00567522">
        <w:t>directs</w:t>
      </w:r>
      <w:r w:rsidR="008054A5">
        <w:t xml:space="preserve"> that </w:t>
      </w:r>
      <w:r w:rsidR="00440785">
        <w:t>“</w:t>
      </w:r>
      <w:r w:rsidR="008054A5">
        <w:t>[f]or purposes of this paragraph, the Commission shall consult with the Energy Commission.</w:t>
      </w:r>
      <w:r w:rsidR="00440785">
        <w:t>”</w:t>
      </w:r>
      <w:r w:rsidR="002B58EE">
        <w:t xml:space="preserve"> Pub. Util. Code Section 769.3(c)(1) requires that the community renewable energy program must be </w:t>
      </w:r>
      <w:r w:rsidRPr="000617A4" w:rsidR="002B58EE">
        <w:rPr>
          <w:b/>
          <w:bCs/>
        </w:rPr>
        <w:t>complementary to and consistent</w:t>
      </w:r>
      <w:r w:rsidR="002B58EE">
        <w:t xml:space="preserve"> with the requirements of Section 10</w:t>
      </w:r>
      <w:r w:rsidR="002B58EE">
        <w:noBreakHyphen/>
        <w:t xml:space="preserve">115 of the California Building Standards Code, </w:t>
      </w:r>
      <w:r w:rsidRPr="00150E4C" w:rsidR="002B58EE">
        <w:rPr>
          <w:i/>
          <w:iCs/>
        </w:rPr>
        <w:t>i.e.</w:t>
      </w:r>
      <w:r w:rsidR="002B58EE">
        <w:t>, Title 24 of the California Code of Regulations.</w:t>
      </w:r>
      <w:r w:rsidR="00D82B47">
        <w:t xml:space="preserve"> </w:t>
      </w:r>
      <w:r w:rsidR="000113A2">
        <w:t>As noted by other parties in this proceeding, “homebuilders ultimately have the obligation of ensuring the buildings they build are compliant with the building code whether through traditional compliance options or via acting as, or relying on, [community renewable energy program] administrators operating projects and managing compliance on their behalf.”</w:t>
      </w:r>
      <w:r w:rsidR="000113A2">
        <w:rPr>
          <w:rStyle w:val="FootnoteReference"/>
        </w:rPr>
        <w:footnoteReference w:id="315"/>
      </w:r>
      <w:r w:rsidR="000113A2">
        <w:t xml:space="preserve"> There is nothing in the record of this proceeding that leads the Commission to determine this would not be the case with </w:t>
      </w:r>
      <w:r w:rsidR="00B23DB3">
        <w:t>the</w:t>
      </w:r>
      <w:r w:rsidR="000113A2">
        <w:t xml:space="preserve"> community renewable energy program adopted herein.</w:t>
      </w:r>
    </w:p>
    <w:p w:rsidR="00BA58BF" w:rsidP="00AC6E92" w:rsidRDefault="00FB01A4" w14:paraId="3695E592" w14:textId="45B00322">
      <w:pPr>
        <w:pStyle w:val="Standard"/>
      </w:pPr>
      <w:r>
        <w:t>Continuing with</w:t>
      </w:r>
      <w:r w:rsidR="00387FF8">
        <w:t xml:space="preserve"> CCSA</w:t>
      </w:r>
      <w:r w:rsidR="00440785">
        <w:t>’</w:t>
      </w:r>
      <w:r w:rsidR="00387FF8">
        <w:t>s technical objections to the SCE proposal, t</w:t>
      </w:r>
      <w:r w:rsidR="00E33281">
        <w:t xml:space="preserve">he </w:t>
      </w:r>
      <w:r w:rsidR="006B45C3">
        <w:t xml:space="preserve">Commission disagrees that </w:t>
      </w:r>
      <w:r w:rsidR="00D92B8A">
        <w:t xml:space="preserve">SCE has </w:t>
      </w:r>
      <w:r w:rsidR="004063D8">
        <w:t>neglected to present evidence on cost containment</w:t>
      </w:r>
      <w:r w:rsidR="003254AA">
        <w:t xml:space="preserve"> (</w:t>
      </w:r>
      <w:r w:rsidR="00440785">
        <w:t>Pub. Util.</w:t>
      </w:r>
      <w:r w:rsidR="003254AA">
        <w:t xml:space="preserve"> Code </w:t>
      </w:r>
      <w:r w:rsidR="00095E80">
        <w:t>§</w:t>
      </w:r>
      <w:r w:rsidR="003627A8">
        <w:t> </w:t>
      </w:r>
      <w:r w:rsidR="003254AA">
        <w:t>769.3(c)(3)</w:t>
      </w:r>
      <w:r w:rsidR="00095E80">
        <w:t>)</w:t>
      </w:r>
      <w:r w:rsidR="003254AA">
        <w:t xml:space="preserve"> and basing bill credits on avoided cost (</w:t>
      </w:r>
      <w:r w:rsidR="00440785">
        <w:t>Pub. Util.</w:t>
      </w:r>
      <w:r w:rsidR="003254AA">
        <w:t xml:space="preserve"> Code </w:t>
      </w:r>
      <w:r w:rsidR="00095E80">
        <w:t>§</w:t>
      </w:r>
      <w:r w:rsidR="003627A8">
        <w:t> </w:t>
      </w:r>
      <w:r w:rsidR="003254AA">
        <w:t>769.3(c)(</w:t>
      </w:r>
      <w:r w:rsidR="00442935">
        <w:t>5</w:t>
      </w:r>
      <w:r w:rsidR="003254AA">
        <w:t>)</w:t>
      </w:r>
      <w:r w:rsidR="00095E80">
        <w:t>)</w:t>
      </w:r>
      <w:r w:rsidR="003254AA">
        <w:t>.</w:t>
      </w:r>
      <w:r w:rsidR="00107630">
        <w:t xml:space="preserve"> SCE</w:t>
      </w:r>
      <w:r w:rsidR="00440785">
        <w:t>’</w:t>
      </w:r>
      <w:r w:rsidR="00107630">
        <w:t xml:space="preserve">s entire reasoning for presenting its proposal </w:t>
      </w:r>
      <w:r w:rsidR="00107630">
        <w:lastRenderedPageBreak/>
        <w:t xml:space="preserve">is that </w:t>
      </w:r>
      <w:r w:rsidR="0014738F">
        <w:t xml:space="preserve">the </w:t>
      </w:r>
      <w:r w:rsidR="006645FC">
        <w:t>PURPA avoided cost</w:t>
      </w:r>
      <w:r w:rsidR="0071498C">
        <w:t xml:space="preserve"> (</w:t>
      </w:r>
      <w:r w:rsidR="000233D2">
        <w:t xml:space="preserve">which is what is proposed for the </w:t>
      </w:r>
      <w:r w:rsidR="00E51427">
        <w:t>power purchase agreement price</w:t>
      </w:r>
      <w:r w:rsidR="0071498C">
        <w:t>)</w:t>
      </w:r>
      <w:r w:rsidR="006645FC">
        <w:t xml:space="preserve"> is less than the </w:t>
      </w:r>
      <w:r w:rsidR="00E51427">
        <w:t xml:space="preserve">Avoided Cost Calculator </w:t>
      </w:r>
      <w:r w:rsidR="001917B0">
        <w:t>avoided cost.</w:t>
      </w:r>
      <w:r w:rsidR="00E10004">
        <w:rPr>
          <w:rStyle w:val="FootnoteReference"/>
        </w:rPr>
        <w:footnoteReference w:id="316"/>
      </w:r>
      <w:r w:rsidR="001917B0">
        <w:t xml:space="preserve"> </w:t>
      </w:r>
      <w:r w:rsidR="00955D29">
        <w:t>SCE contends that using the Avoided Cost Calculator value</w:t>
      </w:r>
      <w:r w:rsidR="0071498C">
        <w:t>s</w:t>
      </w:r>
      <w:r w:rsidR="00955D29">
        <w:t xml:space="preserve"> </w:t>
      </w:r>
      <w:r w:rsidR="00851551">
        <w:t>would result in a non</w:t>
      </w:r>
      <w:r w:rsidR="003D6EF8">
        <w:noBreakHyphen/>
      </w:r>
      <w:r w:rsidR="00851551">
        <w:t xml:space="preserve">energy payment that is approximately six times </w:t>
      </w:r>
      <w:r w:rsidR="005A23A1">
        <w:t xml:space="preserve">the capacity payment a </w:t>
      </w:r>
      <w:r w:rsidR="00C63DC6">
        <w:t>similarly situated</w:t>
      </w:r>
      <w:r w:rsidR="005A23A1">
        <w:t xml:space="preserve"> resource would receive under PURPA.</w:t>
      </w:r>
      <w:r w:rsidR="00440785">
        <w:t>”</w:t>
      </w:r>
      <w:r w:rsidR="005A23A1">
        <w:rPr>
          <w:rStyle w:val="FootnoteReference"/>
        </w:rPr>
        <w:footnoteReference w:id="317"/>
      </w:r>
    </w:p>
    <w:p w:rsidR="003132D1" w:rsidP="00AC6E92" w:rsidRDefault="00345DB9" w14:paraId="0C62BFDB" w14:textId="537FCA58">
      <w:pPr>
        <w:pStyle w:val="Standard"/>
      </w:pPr>
      <w:r>
        <w:t xml:space="preserve">With respect to the requirement of </w:t>
      </w:r>
      <w:r w:rsidR="00440785">
        <w:t>Pub. Util.</w:t>
      </w:r>
      <w:r>
        <w:t xml:space="preserve"> Code </w:t>
      </w:r>
      <w:r w:rsidR="003627A8">
        <w:t>Section </w:t>
      </w:r>
      <w:r w:rsidR="00D65B69">
        <w:t xml:space="preserve">769.3(c)(5), SCE states that </w:t>
      </w:r>
      <w:r w:rsidR="008C0E3B">
        <w:t xml:space="preserve">the </w:t>
      </w:r>
      <w:r w:rsidR="00D65B69">
        <w:t>sub</w:t>
      </w:r>
      <w:r w:rsidR="00AD471D">
        <w:t>scribing customer</w:t>
      </w:r>
      <w:r w:rsidR="00440785">
        <w:t>’</w:t>
      </w:r>
      <w:r w:rsidR="00AD471D">
        <w:t>s share of the generation resource</w:t>
      </w:r>
      <w:r w:rsidR="00440785">
        <w:t>’</w:t>
      </w:r>
      <w:r w:rsidR="00AD471D">
        <w:t>s compensation</w:t>
      </w:r>
      <w:r w:rsidR="002C2932">
        <w:t xml:space="preserve"> would be set aside </w:t>
      </w:r>
      <w:r w:rsidR="00422FAF">
        <w:t>in a balancing account and distributed through a flat $/kWh credit that can be trued</w:t>
      </w:r>
      <w:r w:rsidR="003D6EF8">
        <w:noBreakHyphen/>
      </w:r>
      <w:r w:rsidR="00422FAF">
        <w:t>up annually based on facility performance and credits distributed.</w:t>
      </w:r>
      <w:r w:rsidR="00650D6E">
        <w:rPr>
          <w:rStyle w:val="FootnoteReference"/>
        </w:rPr>
        <w:footnoteReference w:id="318"/>
      </w:r>
      <w:r w:rsidR="00422FAF">
        <w:t xml:space="preserve"> </w:t>
      </w:r>
      <w:r w:rsidR="003B0231">
        <w:t xml:space="preserve">Although </w:t>
      </w:r>
      <w:r w:rsidR="003D792F">
        <w:t xml:space="preserve">the </w:t>
      </w:r>
      <w:r w:rsidR="003C79D9">
        <w:t>customer</w:t>
      </w:r>
      <w:r w:rsidR="00440785">
        <w:t>’</w:t>
      </w:r>
      <w:r w:rsidR="003C79D9">
        <w:t>s share is proposed to be a flat $/kWh credit</w:t>
      </w:r>
      <w:r w:rsidR="00FC5AF5">
        <w:t xml:space="preserve"> for administrative ease</w:t>
      </w:r>
      <w:r w:rsidR="003C79D9">
        <w:t xml:space="preserve">, that credit is </w:t>
      </w:r>
      <w:r w:rsidR="00FC5AF5">
        <w:t xml:space="preserve">deducted from </w:t>
      </w:r>
      <w:r w:rsidR="003C79D9">
        <w:t xml:space="preserve">compensation to the </w:t>
      </w:r>
      <w:r w:rsidR="006E1AA9">
        <w:t xml:space="preserve">generation </w:t>
      </w:r>
      <w:r w:rsidR="00707692">
        <w:t xml:space="preserve">resource, which is calculated </w:t>
      </w:r>
      <w:r w:rsidRPr="005D065D" w:rsidR="00707692">
        <w:rPr>
          <w:b/>
          <w:bCs/>
        </w:rPr>
        <w:t xml:space="preserve">based on the avoided </w:t>
      </w:r>
      <w:r w:rsidRPr="005D065D" w:rsidR="00A63177">
        <w:rPr>
          <w:b/>
          <w:bCs/>
        </w:rPr>
        <w:t>costs</w:t>
      </w:r>
      <w:r w:rsidR="00707692">
        <w:t xml:space="preserve"> of the program</w:t>
      </w:r>
      <w:r w:rsidR="00440785">
        <w:t>’</w:t>
      </w:r>
      <w:r w:rsidR="00707692">
        <w:t xml:space="preserve">s </w:t>
      </w:r>
      <w:r w:rsidR="00A63177">
        <w:t>facilities</w:t>
      </w:r>
      <w:r w:rsidR="00707692">
        <w:t xml:space="preserve">, as determined by the </w:t>
      </w:r>
      <w:r w:rsidR="00157612">
        <w:t>C</w:t>
      </w:r>
      <w:r w:rsidR="00707692">
        <w:t>ommission</w:t>
      </w:r>
      <w:r w:rsidR="00440785">
        <w:t>’</w:t>
      </w:r>
      <w:r w:rsidR="00707692">
        <w:t xml:space="preserve">s methods for calculating the full set of benefits of distributed energy resources. </w:t>
      </w:r>
      <w:r w:rsidR="00A63177">
        <w:t xml:space="preserve">In the case of </w:t>
      </w:r>
      <w:r w:rsidR="00025847">
        <w:t>SCE</w:t>
      </w:r>
      <w:r w:rsidR="00440785">
        <w:t>’</w:t>
      </w:r>
      <w:r w:rsidR="00025847">
        <w:t xml:space="preserve">s proposal, the avoided costs </w:t>
      </w:r>
      <w:r w:rsidR="009534D8">
        <w:t xml:space="preserve">are </w:t>
      </w:r>
      <w:r w:rsidR="0063355E">
        <w:t>the wholesale avoided costs as determined by the Commission</w:t>
      </w:r>
      <w:r w:rsidR="00440785">
        <w:t>’</w:t>
      </w:r>
      <w:r w:rsidR="0063355E">
        <w:t>s method</w:t>
      </w:r>
      <w:r w:rsidR="00DB0D6F">
        <w:t xml:space="preserve">. </w:t>
      </w:r>
      <w:r w:rsidR="00914975">
        <w:t>T</w:t>
      </w:r>
      <w:r w:rsidR="00DB0D6F">
        <w:t xml:space="preserve">his decision has previously determined that </w:t>
      </w:r>
      <w:r w:rsidR="00440785">
        <w:t>Pub. Util.</w:t>
      </w:r>
      <w:r w:rsidR="00914975">
        <w:t xml:space="preserve"> Code</w:t>
      </w:r>
      <w:r w:rsidR="003627A8">
        <w:t xml:space="preserve"> Section 769.3 </w:t>
      </w:r>
      <w:r w:rsidR="000F4074">
        <w:t>d</w:t>
      </w:r>
      <w:r w:rsidR="00B06474">
        <w:t xml:space="preserve">oes not </w:t>
      </w:r>
      <w:r w:rsidR="00A0546F">
        <w:t xml:space="preserve">specify the manner by which the Commission </w:t>
      </w:r>
      <w:r w:rsidR="00D30DF6">
        <w:t xml:space="preserve">shall </w:t>
      </w:r>
      <w:r w:rsidR="00966714">
        <w:t xml:space="preserve">determine avoided cost, </w:t>
      </w:r>
      <w:r w:rsidRPr="00150E4C" w:rsidR="00150E4C">
        <w:rPr>
          <w:i/>
          <w:iCs/>
        </w:rPr>
        <w:t>i.e.</w:t>
      </w:r>
      <w:r w:rsidR="00966714">
        <w:t xml:space="preserve">, the statute does not </w:t>
      </w:r>
      <w:r w:rsidR="00B06474">
        <w:t>require</w:t>
      </w:r>
      <w:r w:rsidR="008864DA">
        <w:t xml:space="preserve"> the Commission </w:t>
      </w:r>
      <w:r w:rsidR="00B06474">
        <w:t>to</w:t>
      </w:r>
      <w:r w:rsidR="008864DA">
        <w:t xml:space="preserve"> use the avoided costs </w:t>
      </w:r>
      <w:r w:rsidR="00E444C1">
        <w:t xml:space="preserve">values </w:t>
      </w:r>
      <w:r w:rsidR="008864DA">
        <w:t>as determined in the Commission</w:t>
      </w:r>
      <w:r w:rsidR="00440785">
        <w:t>’</w:t>
      </w:r>
      <w:r w:rsidR="008864DA">
        <w:t>s Avoided Cost Calculator.</w:t>
      </w:r>
      <w:r w:rsidR="00F9360F">
        <w:t xml:space="preserve"> Consequently, the Commission finds that SCE has provided sufficient evidence of </w:t>
      </w:r>
      <w:r w:rsidR="00142F55">
        <w:t xml:space="preserve">how its proposal complies with </w:t>
      </w:r>
      <w:r w:rsidR="00440785">
        <w:t>Pub. Util.</w:t>
      </w:r>
      <w:r w:rsidR="00142F55">
        <w:t xml:space="preserve"> Code </w:t>
      </w:r>
      <w:r w:rsidR="003627A8">
        <w:t>Section </w:t>
      </w:r>
      <w:r w:rsidR="00142F55">
        <w:t xml:space="preserve">769.3(c)(3) and </w:t>
      </w:r>
      <w:r w:rsidR="003F3DE3">
        <w:t>subdivision</w:t>
      </w:r>
      <w:r w:rsidR="009C6A15">
        <w:t> </w:t>
      </w:r>
      <w:r w:rsidR="00142F55">
        <w:t>(5).</w:t>
      </w:r>
    </w:p>
    <w:p w:rsidR="00BA58BF" w:rsidP="00AC6E92" w:rsidRDefault="00B32F91" w14:paraId="004F1B39" w14:textId="478C122C">
      <w:pPr>
        <w:pStyle w:val="Standard"/>
      </w:pPr>
      <w:r>
        <w:lastRenderedPageBreak/>
        <w:t xml:space="preserve">SEIA and </w:t>
      </w:r>
      <w:r w:rsidR="00222506">
        <w:t xml:space="preserve">Clean Coalition also oppose the </w:t>
      </w:r>
      <w:r w:rsidR="00347A86">
        <w:t>adoption of the SCE feed</w:t>
      </w:r>
      <w:r w:rsidR="003D6EF8">
        <w:noBreakHyphen/>
      </w:r>
      <w:r w:rsidR="00347A86">
        <w:t>in</w:t>
      </w:r>
      <w:r w:rsidR="003D6EF8">
        <w:noBreakHyphen/>
      </w:r>
      <w:r w:rsidR="00347A86">
        <w:t>tariff</w:t>
      </w:r>
      <w:r w:rsidR="00D8402C">
        <w:t xml:space="preserve"> contending SCE</w:t>
      </w:r>
      <w:r w:rsidR="00440785">
        <w:t>’</w:t>
      </w:r>
      <w:r w:rsidR="00D8402C">
        <w:t>s proposal is not commercially viable</w:t>
      </w:r>
      <w:r>
        <w:t xml:space="preserve">. </w:t>
      </w:r>
      <w:r w:rsidR="001616CD">
        <w:t xml:space="preserve">Referring to ReMAT and </w:t>
      </w:r>
      <w:r w:rsidR="000B11D3">
        <w:t>S</w:t>
      </w:r>
      <w:r w:rsidR="001616CD">
        <w:t xml:space="preserve">tandard </w:t>
      </w:r>
      <w:r w:rsidR="000B11D3">
        <w:t>O</w:t>
      </w:r>
      <w:r w:rsidR="001616CD">
        <w:t xml:space="preserve">ffer </w:t>
      </w:r>
      <w:r w:rsidR="000B11D3">
        <w:t>C</w:t>
      </w:r>
      <w:r w:rsidR="001616CD">
        <w:t>ontracts for qualifying facilities, SEIA assert these PURPA based programs have not been successful and have seen little to no uptake.</w:t>
      </w:r>
      <w:r w:rsidR="001616CD">
        <w:rPr>
          <w:rStyle w:val="FootnoteReference"/>
        </w:rPr>
        <w:footnoteReference w:id="319"/>
      </w:r>
      <w:r w:rsidR="001616CD">
        <w:t xml:space="preserve"> SEIA maintains that if the pricing terms for those programs do not allow a developer to recover </w:t>
      </w:r>
      <w:r w:rsidR="00A630D4">
        <w:t>t</w:t>
      </w:r>
      <w:r w:rsidR="001616CD">
        <w:t>he capital and operating costs of small</w:t>
      </w:r>
      <w:r w:rsidR="003D6EF8">
        <w:noBreakHyphen/>
      </w:r>
      <w:r w:rsidR="001616CD">
        <w:t>scale solar</w:t>
      </w:r>
      <w:r w:rsidR="003D6EF8">
        <w:noBreakHyphen/>
      </w:r>
      <w:r w:rsidR="001616CD">
        <w:t xml:space="preserve">only projects, </w:t>
      </w:r>
      <w:r w:rsidR="00440785">
        <w:t>“</w:t>
      </w:r>
      <w:r w:rsidR="001616CD">
        <w:t>they cannot be a viable alternative to a community solar program which has to support a decent level of savings for low</w:t>
      </w:r>
      <w:r w:rsidR="003D6EF8">
        <w:noBreakHyphen/>
      </w:r>
      <w:r w:rsidR="001616CD">
        <w:t>income customers and other subscribers.</w:t>
      </w:r>
      <w:r w:rsidR="00440785">
        <w:t>”</w:t>
      </w:r>
      <w:r w:rsidR="001616CD">
        <w:rPr>
          <w:rStyle w:val="FootnoteReference"/>
        </w:rPr>
        <w:footnoteReference w:id="320"/>
      </w:r>
      <w:r w:rsidR="001616CD">
        <w:t xml:space="preserve"> </w:t>
      </w:r>
      <w:r w:rsidR="006F5FD8">
        <w:t>Clean Coalition states</w:t>
      </w:r>
      <w:r w:rsidR="00347A86">
        <w:t xml:space="preserve"> that </w:t>
      </w:r>
      <w:r w:rsidR="00440785">
        <w:t>“</w:t>
      </w:r>
      <w:r w:rsidR="00347A86">
        <w:t>from a practi</w:t>
      </w:r>
      <w:r w:rsidR="00224846">
        <w:t xml:space="preserve">cal standpoint the proposal with a size limit of three megawatts will not be appetizing for developers, nor will it enable the state to achieve </w:t>
      </w:r>
      <w:r w:rsidR="004C73BA">
        <w:t>the procurement targets.</w:t>
      </w:r>
      <w:r w:rsidR="00440785">
        <w:t>”</w:t>
      </w:r>
      <w:r w:rsidR="00BB1335">
        <w:rPr>
          <w:rStyle w:val="FootnoteReference"/>
        </w:rPr>
        <w:footnoteReference w:id="321"/>
      </w:r>
    </w:p>
    <w:p w:rsidR="00F6118C" w:rsidP="00AC6E92" w:rsidRDefault="001579BB" w14:paraId="7CAE8119" w14:textId="49141388">
      <w:pPr>
        <w:pStyle w:val="Standard"/>
      </w:pPr>
      <w:r>
        <w:t>With respect to Clean Coalition</w:t>
      </w:r>
      <w:r w:rsidR="00440785">
        <w:t>’</w:t>
      </w:r>
      <w:r>
        <w:t xml:space="preserve">s assertion about </w:t>
      </w:r>
      <w:r w:rsidR="00AD749A">
        <w:t>the ability to meet procurement targets,</w:t>
      </w:r>
      <w:r w:rsidR="00062DF4">
        <w:t xml:space="preserve"> </w:t>
      </w:r>
      <w:r w:rsidR="0080770E">
        <w:t xml:space="preserve">the Commission </w:t>
      </w:r>
      <w:r w:rsidR="00320102">
        <w:t xml:space="preserve">has reviewed the language of </w:t>
      </w:r>
      <w:r w:rsidR="00440785">
        <w:t>Pub. Util.</w:t>
      </w:r>
      <w:r w:rsidR="00320102">
        <w:t xml:space="preserve"> Code </w:t>
      </w:r>
      <w:r w:rsidR="003627A8">
        <w:t>Section </w:t>
      </w:r>
      <w:r w:rsidR="00320102">
        <w:t xml:space="preserve">769.3 and </w:t>
      </w:r>
      <w:r w:rsidR="0080770E">
        <w:t xml:space="preserve">concludes that </w:t>
      </w:r>
      <w:r w:rsidR="00320102">
        <w:t>the statute</w:t>
      </w:r>
      <w:r w:rsidR="00CE37CC">
        <w:t xml:space="preserve"> </w:t>
      </w:r>
      <w:r w:rsidR="000F5998">
        <w:t xml:space="preserve">does not require </w:t>
      </w:r>
      <w:r w:rsidR="00CE37CC">
        <w:t xml:space="preserve">the community renewable energy program </w:t>
      </w:r>
      <w:r w:rsidR="00801B4A">
        <w:t xml:space="preserve">to </w:t>
      </w:r>
      <w:r w:rsidR="00CE37CC">
        <w:t xml:space="preserve">attain </w:t>
      </w:r>
      <w:r w:rsidR="00D974CA">
        <w:t xml:space="preserve">any specific procurement target. </w:t>
      </w:r>
      <w:r w:rsidR="00801B4A">
        <w:t xml:space="preserve">However, </w:t>
      </w:r>
      <w:r w:rsidR="00684B45">
        <w:t>a</w:t>
      </w:r>
      <w:r w:rsidR="00883B0F">
        <w:t xml:space="preserve">s evidenced by the evaluation </w:t>
      </w:r>
      <w:r w:rsidR="00A26B7A">
        <w:t xml:space="preserve">results </w:t>
      </w:r>
      <w:r w:rsidR="00883B0F">
        <w:t>of the Green Access Program tariffs</w:t>
      </w:r>
      <w:r w:rsidR="00400C8F">
        <w:t xml:space="preserve">, </w:t>
      </w:r>
      <w:r w:rsidR="00DE4CB9">
        <w:t>community solar</w:t>
      </w:r>
      <w:r w:rsidR="009801B2">
        <w:t xml:space="preserve"> </w:t>
      </w:r>
      <w:r w:rsidR="00684B45">
        <w:t xml:space="preserve">tariffs have had limited success </w:t>
      </w:r>
      <w:r w:rsidR="009801B2">
        <w:t>according to certain criteria</w:t>
      </w:r>
      <w:r w:rsidR="00A26B7A">
        <w:t xml:space="preserve">. The limited past success </w:t>
      </w:r>
      <w:r w:rsidR="00A1776D">
        <w:t xml:space="preserve">was one of the reasons for requiring an evaluation </w:t>
      </w:r>
      <w:r w:rsidR="00963C12">
        <w:t xml:space="preserve">of the </w:t>
      </w:r>
      <w:r w:rsidR="00A26B7A">
        <w:t xml:space="preserve">Green Access Program tariffs </w:t>
      </w:r>
      <w:r w:rsidR="00963C12">
        <w:t xml:space="preserve">and the subsequent </w:t>
      </w:r>
      <w:r w:rsidR="006179BF">
        <w:t>required</w:t>
      </w:r>
      <w:r w:rsidR="00252845">
        <w:t xml:space="preserve"> </w:t>
      </w:r>
      <w:r w:rsidR="00963C12">
        <w:t xml:space="preserve">applications for </w:t>
      </w:r>
      <w:r w:rsidR="00342743">
        <w:t xml:space="preserve">review </w:t>
      </w:r>
      <w:r w:rsidR="00A26B7A">
        <w:t xml:space="preserve">filed </w:t>
      </w:r>
      <w:r w:rsidR="005478FD">
        <w:t>as the basis of</w:t>
      </w:r>
      <w:r w:rsidR="00A26B7A">
        <w:t xml:space="preserve"> this proceeding</w:t>
      </w:r>
      <w:r w:rsidR="00C23D16">
        <w:t xml:space="preserve">. </w:t>
      </w:r>
      <w:r w:rsidR="00CD738C">
        <w:t xml:space="preserve">SCE </w:t>
      </w:r>
      <w:r w:rsidR="009E0CFB">
        <w:t xml:space="preserve">states that the company </w:t>
      </w:r>
      <w:r w:rsidR="00440785">
        <w:t>“</w:t>
      </w:r>
      <w:r w:rsidR="00CD738C">
        <w:t>acknowledge</w:t>
      </w:r>
      <w:r w:rsidR="009E0CFB">
        <w:t>s that generator compensation under PURPA may not be sufficient to allocate a portion to fund a bill credit for subscribing customers</w:t>
      </w:r>
      <w:r w:rsidR="00440785">
        <w:t>”</w:t>
      </w:r>
      <w:r w:rsidR="009E0CFB">
        <w:t xml:space="preserve"> and </w:t>
      </w:r>
      <w:r w:rsidR="009E0CFB">
        <w:lastRenderedPageBreak/>
        <w:t xml:space="preserve">suggests </w:t>
      </w:r>
      <w:r w:rsidR="00440785">
        <w:t>“</w:t>
      </w:r>
      <w:r w:rsidR="009E0CFB">
        <w:t>the Commission can use other funding sources, such as revenue generated by the sale of [g]reenhouse [g]as allowances.</w:t>
      </w:r>
      <w:r w:rsidR="00440785">
        <w:t>”</w:t>
      </w:r>
      <w:r w:rsidR="009E0CFB">
        <w:rPr>
          <w:rStyle w:val="FootnoteReference"/>
        </w:rPr>
        <w:footnoteReference w:id="322"/>
      </w:r>
    </w:p>
    <w:p w:rsidR="00AC4F77" w:rsidP="00AC6E92" w:rsidRDefault="00440785" w14:paraId="2AAA079D" w14:textId="492760A1">
      <w:pPr>
        <w:pStyle w:val="Standard"/>
      </w:pPr>
      <w:bookmarkStart w:name="_Hlk158133942" w:id="189"/>
      <w:r>
        <w:t>Pub. Util.</w:t>
      </w:r>
      <w:r w:rsidR="000F2A88">
        <w:t xml:space="preserve"> Code </w:t>
      </w:r>
      <w:r w:rsidR="003627A8">
        <w:t>Section </w:t>
      </w:r>
      <w:r w:rsidR="000F2A88">
        <w:t>769.3</w:t>
      </w:r>
      <w:r w:rsidR="0017604E">
        <w:t xml:space="preserve"> requires the Commission to determine, </w:t>
      </w:r>
      <w:r w:rsidR="00654502">
        <w:t xml:space="preserve">by </w:t>
      </w:r>
      <w:r w:rsidR="001B0C0E">
        <w:t>March </w:t>
      </w:r>
      <w:r w:rsidR="0017604E">
        <w:t>31, 2024,</w:t>
      </w:r>
      <w:r w:rsidR="00DE0920">
        <w:t xml:space="preserve"> whether it is beneficial to </w:t>
      </w:r>
      <w:r w:rsidR="0080177C">
        <w:t>adopt a community re</w:t>
      </w:r>
      <w:r w:rsidR="006D52CE">
        <w:t>newable energy program</w:t>
      </w:r>
      <w:r w:rsidR="000F2A88">
        <w:t xml:space="preserve">. </w:t>
      </w:r>
      <w:bookmarkEnd w:id="189"/>
      <w:r w:rsidR="00DC1AD7">
        <w:t xml:space="preserve">As </w:t>
      </w:r>
      <w:r w:rsidR="000A4E81">
        <w:t>concluded</w:t>
      </w:r>
      <w:r w:rsidR="00953DD4">
        <w:t xml:space="preserve"> above, the NVBT proposal </w:t>
      </w:r>
      <w:r w:rsidR="000A4E81">
        <w:t xml:space="preserve">in the record of this proceeding </w:t>
      </w:r>
      <w:r w:rsidR="00684B45">
        <w:t>would result in ratepayers paying more than true avoided costs;</w:t>
      </w:r>
      <w:r w:rsidR="006844F0">
        <w:t xml:space="preserve">. </w:t>
      </w:r>
      <w:r w:rsidR="00BB0279">
        <w:t xml:space="preserve">The </w:t>
      </w:r>
      <w:r w:rsidR="00643306">
        <w:t>other option in the record of this proceeding is the SCE proposal</w:t>
      </w:r>
      <w:r w:rsidR="008A1F26">
        <w:t xml:space="preserve">. </w:t>
      </w:r>
      <w:r w:rsidR="00643306">
        <w:t>However, r</w:t>
      </w:r>
      <w:r w:rsidR="00D61E99">
        <w:t>ather</w:t>
      </w:r>
      <w:r w:rsidR="00CE0376">
        <w:t xml:space="preserve"> than create a new, untested tariff, this </w:t>
      </w:r>
      <w:r w:rsidR="00F96024">
        <w:t>Commission finds it reasonable to</w:t>
      </w:r>
      <w:r w:rsidR="00CE0376">
        <w:t xml:space="preserve"> adopt a community renewable energy program that </w:t>
      </w:r>
      <w:r w:rsidR="008A1F26">
        <w:t>uses</w:t>
      </w:r>
      <w:r w:rsidR="001F3EC1">
        <w:t xml:space="preserve"> current tariffs</w:t>
      </w:r>
      <w:r w:rsidR="00446D0D">
        <w:t xml:space="preserve"> (ReMAT and the </w:t>
      </w:r>
      <w:r w:rsidR="00F7423B">
        <w:t xml:space="preserve">PURPA Standard Offer Contract) </w:t>
      </w:r>
      <w:r w:rsidR="008A1F26">
        <w:t>as a foundation.</w:t>
      </w:r>
    </w:p>
    <w:p w:rsidR="00D93BA4" w:rsidP="00AC6E92" w:rsidRDefault="00710EA9" w14:paraId="469EBE9D" w14:textId="1544D94C">
      <w:pPr>
        <w:pStyle w:val="Standard"/>
      </w:pPr>
      <w:r>
        <w:t xml:space="preserve">Briefly, </w:t>
      </w:r>
      <w:r w:rsidR="00FC0E71">
        <w:t xml:space="preserve">the </w:t>
      </w:r>
      <w:r>
        <w:t>ReMA</w:t>
      </w:r>
      <w:r w:rsidR="00FC0E71">
        <w:t>T</w:t>
      </w:r>
      <w:r w:rsidR="0028638A">
        <w:t xml:space="preserve"> program</w:t>
      </w:r>
      <w:r w:rsidR="00FC0E71">
        <w:t xml:space="preserve"> </w:t>
      </w:r>
      <w:r w:rsidR="0028638A">
        <w:t>allows RPS</w:t>
      </w:r>
      <w:r w:rsidR="003D6EF8">
        <w:noBreakHyphen/>
      </w:r>
      <w:r w:rsidR="0028638A">
        <w:t xml:space="preserve">eligible </w:t>
      </w:r>
      <w:r w:rsidR="00FC0E71">
        <w:t xml:space="preserve">facilities </w:t>
      </w:r>
      <w:r w:rsidR="0028638A">
        <w:t xml:space="preserve">of three megawatts or less to </w:t>
      </w:r>
      <w:r w:rsidR="00FC0E71">
        <w:t xml:space="preserve">sell their energy to the interconnected </w:t>
      </w:r>
      <w:r w:rsidR="009E2E7A">
        <w:t xml:space="preserve">utility. The developer is required to sign a power purchase agreement with the </w:t>
      </w:r>
      <w:r w:rsidR="0028638A">
        <w:t>utility</w:t>
      </w:r>
      <w:r w:rsidR="003A3A05">
        <w:t xml:space="preserve"> and the generator resource is required to integrate into the CAISO market. </w:t>
      </w:r>
      <w:r w:rsidR="0028638A">
        <w:t>Pursuant to D.20</w:t>
      </w:r>
      <w:r w:rsidR="003D6EF8">
        <w:noBreakHyphen/>
      </w:r>
      <w:r w:rsidR="0028638A">
        <w:t>10</w:t>
      </w:r>
      <w:r w:rsidR="003D6EF8">
        <w:noBreakHyphen/>
      </w:r>
      <w:r w:rsidR="0028638A">
        <w:t xml:space="preserve">005, </w:t>
      </w:r>
      <w:r w:rsidR="003A3A05">
        <w:t xml:space="preserve">ReMAT </w:t>
      </w:r>
      <w:r w:rsidR="00390FAB">
        <w:t xml:space="preserve">compensation pricing is administratively set for three </w:t>
      </w:r>
      <w:r w:rsidR="0028638A">
        <w:t xml:space="preserve">ReMAT </w:t>
      </w:r>
      <w:r w:rsidR="00390FAB">
        <w:t xml:space="preserve">product categories </w:t>
      </w:r>
      <w:r w:rsidR="0028638A">
        <w:t>(on</w:t>
      </w:r>
      <w:r w:rsidR="003D6EF8">
        <w:noBreakHyphen/>
      </w:r>
      <w:r w:rsidR="0028638A">
        <w:t>peak, off</w:t>
      </w:r>
      <w:r w:rsidR="003D6EF8">
        <w:noBreakHyphen/>
      </w:r>
      <w:r w:rsidR="0028638A">
        <w:t>peak and baseload) with a time</w:t>
      </w:r>
      <w:r w:rsidR="003D6EF8">
        <w:noBreakHyphen/>
      </w:r>
      <w:r w:rsidR="0028638A">
        <w:t>of</w:t>
      </w:r>
      <w:r w:rsidR="003D6EF8">
        <w:noBreakHyphen/>
      </w:r>
      <w:r w:rsidR="0028638A">
        <w:t xml:space="preserve">delivery adjustment, based on the weighted average of </w:t>
      </w:r>
      <w:r w:rsidR="00C02916">
        <w:t>recently</w:t>
      </w:r>
      <w:r w:rsidR="0028638A">
        <w:t xml:space="preserve"> executed long</w:t>
      </w:r>
      <w:r w:rsidR="003D6EF8">
        <w:noBreakHyphen/>
      </w:r>
      <w:r w:rsidR="0028638A">
        <w:t>term RPS contracts of</w:t>
      </w:r>
      <w:r w:rsidR="009F5702">
        <w:t xml:space="preserve"> </w:t>
      </w:r>
      <w:r w:rsidR="005374A9">
        <w:t>20</w:t>
      </w:r>
      <w:r w:rsidR="00ED70F0">
        <w:t> MW</w:t>
      </w:r>
      <w:r w:rsidR="0028638A">
        <w:t xml:space="preserve"> or less. ReMAT contracts can be initiated for </w:t>
      </w:r>
      <w:r w:rsidR="008C16A7">
        <w:t xml:space="preserve">10, 15, </w:t>
      </w:r>
      <w:r w:rsidR="0028638A">
        <w:t xml:space="preserve">or </w:t>
      </w:r>
      <w:r w:rsidR="008C16A7">
        <w:t>20 years</w:t>
      </w:r>
      <w:r w:rsidR="0028638A">
        <w:t xml:space="preserve"> of deliveries</w:t>
      </w:r>
      <w:r w:rsidR="008C16A7">
        <w:t>.</w:t>
      </w:r>
      <w:r w:rsidR="009F5702">
        <w:t xml:space="preserve"> </w:t>
      </w:r>
      <w:r w:rsidR="0028638A">
        <w:t xml:space="preserve">The </w:t>
      </w:r>
      <w:r w:rsidR="008C16A7">
        <w:t>tariff is capped at 493.6</w:t>
      </w:r>
      <w:r w:rsidR="00ED70F0">
        <w:t> MW</w:t>
      </w:r>
      <w:r w:rsidR="008C16A7">
        <w:t>.</w:t>
      </w:r>
    </w:p>
    <w:p w:rsidR="006E75B4" w:rsidP="00AC6E92" w:rsidRDefault="006E75B4" w14:paraId="02A86D20" w14:textId="178B2D63">
      <w:pPr>
        <w:pStyle w:val="Standard"/>
      </w:pPr>
      <w:r>
        <w:t>The PURPA Standard Offer Contract is available to any qualifying facility or small power production facility of 20</w:t>
      </w:r>
      <w:r w:rsidR="00ED70F0">
        <w:t> MW</w:t>
      </w:r>
      <w:r>
        <w:t xml:space="preserve"> or less seeking to sell electricity and/or capacity to a Commission</w:t>
      </w:r>
      <w:r w:rsidR="003D6EF8">
        <w:noBreakHyphen/>
      </w:r>
      <w:r>
        <w:t>jurisdictional utility purs</w:t>
      </w:r>
      <w:r w:rsidR="00CB5BE1">
        <w:t xml:space="preserve">uant to PURPA (described in </w:t>
      </w:r>
      <w:r w:rsidR="003627A8">
        <w:t>Section </w:t>
      </w:r>
      <w:r w:rsidR="00D0146E">
        <w:t>3.4.3.1</w:t>
      </w:r>
      <w:r w:rsidR="009765DB">
        <w:t xml:space="preserve"> above</w:t>
      </w:r>
      <w:r w:rsidR="00D0146E">
        <w:t>)</w:t>
      </w:r>
      <w:r w:rsidR="00CB5BE1">
        <w:t xml:space="preserve">. </w:t>
      </w:r>
      <w:r w:rsidR="000938E0">
        <w:t>Like the ReMAT</w:t>
      </w:r>
      <w:r w:rsidR="0028638A">
        <w:t xml:space="preserve"> program</w:t>
      </w:r>
      <w:r w:rsidR="000938E0">
        <w:t>, a</w:t>
      </w:r>
      <w:r w:rsidR="00CB5BE1">
        <w:t xml:space="preserve"> developer</w:t>
      </w:r>
      <w:r w:rsidR="00D0146E">
        <w:t xml:space="preserve"> is required to sign a power purchase agreement with the </w:t>
      </w:r>
      <w:r w:rsidR="0028638A">
        <w:t>utility</w:t>
      </w:r>
      <w:r w:rsidR="000938E0">
        <w:t xml:space="preserve"> and the generator </w:t>
      </w:r>
      <w:r w:rsidR="000938E0">
        <w:lastRenderedPageBreak/>
        <w:t xml:space="preserve">resource </w:t>
      </w:r>
      <w:r w:rsidR="002B050F">
        <w:t>is required to integrate into the CAISO market.</w:t>
      </w:r>
      <w:r w:rsidR="00BE6785">
        <w:t xml:space="preserve"> The Standard Offer Contract </w:t>
      </w:r>
      <w:r w:rsidR="005C076E">
        <w:t xml:space="preserve">allows for a </w:t>
      </w:r>
      <w:r w:rsidR="00350E4D">
        <w:t>12</w:t>
      </w:r>
      <w:r w:rsidR="003D6EF8">
        <w:noBreakHyphen/>
      </w:r>
      <w:r w:rsidR="00350E4D">
        <w:t>year</w:t>
      </w:r>
      <w:r w:rsidR="005C076E">
        <w:t xml:space="preserve"> </w:t>
      </w:r>
      <w:r w:rsidR="00FC05C4">
        <w:t xml:space="preserve">maximum </w:t>
      </w:r>
      <w:r w:rsidR="005C076E">
        <w:t xml:space="preserve">contract length </w:t>
      </w:r>
      <w:r w:rsidR="0028638A">
        <w:t xml:space="preserve">for new facilities </w:t>
      </w:r>
      <w:r w:rsidR="005C076E">
        <w:t xml:space="preserve">and </w:t>
      </w:r>
      <w:r w:rsidR="00BE6785">
        <w:t xml:space="preserve">has two </w:t>
      </w:r>
      <w:r w:rsidR="00474BAC">
        <w:t>pricing options for capacity and en</w:t>
      </w:r>
      <w:r w:rsidR="007D6B41">
        <w:t>ergy</w:t>
      </w:r>
      <w:r w:rsidR="00617946">
        <w:t xml:space="preserve">, </w:t>
      </w:r>
      <w:r w:rsidR="00FF02ED">
        <w:t>pursuant to D.</w:t>
      </w:r>
      <w:r w:rsidR="003139DE">
        <w:t>20</w:t>
      </w:r>
      <w:r w:rsidR="003D6EF8">
        <w:noBreakHyphen/>
      </w:r>
      <w:r w:rsidR="003139DE">
        <w:t>05</w:t>
      </w:r>
      <w:r w:rsidR="003D6EF8">
        <w:noBreakHyphen/>
      </w:r>
      <w:r w:rsidR="003139DE">
        <w:t>006</w:t>
      </w:r>
      <w:r w:rsidR="00617946">
        <w:t>.</w:t>
      </w:r>
      <w:r w:rsidR="00560941">
        <w:t xml:space="preserve"> </w:t>
      </w:r>
      <w:r w:rsidR="0028638A">
        <w:t>The Standard</w:t>
      </w:r>
      <w:r w:rsidR="005D1887">
        <w:t xml:space="preserve"> </w:t>
      </w:r>
      <w:r w:rsidR="0028638A">
        <w:t>Offer</w:t>
      </w:r>
      <w:r w:rsidR="005D1887">
        <w:t xml:space="preserve"> </w:t>
      </w:r>
      <w:r w:rsidR="0028638A">
        <w:t>Contract has no</w:t>
      </w:r>
      <w:r w:rsidR="00C57F4B">
        <w:t xml:space="preserve"> </w:t>
      </w:r>
      <w:r w:rsidR="0028638A">
        <w:t xml:space="preserve">program </w:t>
      </w:r>
      <w:r w:rsidR="00C57F4B">
        <w:t>cap.</w:t>
      </w:r>
      <w:r w:rsidR="00350E4D">
        <w:t xml:space="preserve"> </w:t>
      </w:r>
      <w:r w:rsidR="005674F9">
        <w:t>Table </w:t>
      </w:r>
      <w:r w:rsidR="00033DC0">
        <w:t>5</w:t>
      </w:r>
      <w:r w:rsidR="00350E4D">
        <w:t xml:space="preserve"> below provides a</w:t>
      </w:r>
      <w:r w:rsidR="00862233">
        <w:t xml:space="preserve"> comparison of ReMAT and </w:t>
      </w:r>
      <w:r w:rsidR="003953E7">
        <w:t xml:space="preserve">the </w:t>
      </w:r>
      <w:r w:rsidR="00862233">
        <w:t>Standard Offer Contract</w:t>
      </w:r>
      <w:r w:rsidR="0028638A">
        <w:t xml:space="preserve"> elements</w:t>
      </w:r>
      <w:r w:rsidR="00862233">
        <w:t>.</w:t>
      </w:r>
    </w:p>
    <w:p w:rsidRPr="00A1187E" w:rsidR="00862233" w:rsidP="00AF6920" w:rsidRDefault="005674F9" w14:paraId="0ED69DA6" w14:textId="19148EDC">
      <w:pPr>
        <w:keepNext/>
        <w:spacing w:line="240" w:lineRule="auto"/>
        <w:ind w:firstLine="0"/>
        <w:jc w:val="center"/>
        <w:rPr>
          <w:b/>
          <w:bCs/>
        </w:rPr>
      </w:pPr>
      <w:r w:rsidRPr="00A1187E">
        <w:rPr>
          <w:b/>
          <w:bCs/>
        </w:rPr>
        <w:t>Table </w:t>
      </w:r>
      <w:r w:rsidR="00033DC0">
        <w:rPr>
          <w:b/>
          <w:bCs/>
        </w:rPr>
        <w:t>5</w:t>
      </w:r>
    </w:p>
    <w:p w:rsidRPr="005D065D" w:rsidR="00B96D68" w:rsidP="00AF6920" w:rsidRDefault="0028638A" w14:paraId="2C9796D0" w14:textId="5BFC2350">
      <w:pPr>
        <w:pStyle w:val="Standard"/>
        <w:keepNext/>
        <w:spacing w:after="240" w:line="240" w:lineRule="auto"/>
        <w:ind w:firstLine="0"/>
        <w:jc w:val="center"/>
      </w:pPr>
      <w:r w:rsidRPr="00A1187E">
        <w:rPr>
          <w:b/>
          <w:bCs/>
        </w:rPr>
        <w:t xml:space="preserve">Comparison of </w:t>
      </w:r>
      <w:r w:rsidRPr="00A1187E" w:rsidR="00B96D68">
        <w:rPr>
          <w:b/>
          <w:bCs/>
        </w:rPr>
        <w:t>R</w:t>
      </w:r>
      <w:r w:rsidRPr="00A1187E">
        <w:rPr>
          <w:b/>
          <w:bCs/>
        </w:rPr>
        <w:t>e</w:t>
      </w:r>
      <w:r w:rsidRPr="00A1187E" w:rsidR="00B96D68">
        <w:rPr>
          <w:b/>
          <w:bCs/>
        </w:rPr>
        <w:t xml:space="preserve">MAT </w:t>
      </w:r>
      <w:r w:rsidRPr="00A1187E">
        <w:rPr>
          <w:b/>
          <w:bCs/>
        </w:rPr>
        <w:t>and</w:t>
      </w:r>
      <w:r w:rsidR="009F5702">
        <w:rPr>
          <w:b/>
          <w:bCs/>
        </w:rPr>
        <w:t xml:space="preserve"> </w:t>
      </w:r>
      <w:r w:rsidRPr="00A1187E">
        <w:rPr>
          <w:b/>
          <w:bCs/>
        </w:rPr>
        <w:t>Standard</w:t>
      </w:r>
      <w:r w:rsidR="005D1887">
        <w:rPr>
          <w:b/>
          <w:bCs/>
        </w:rPr>
        <w:t xml:space="preserve"> </w:t>
      </w:r>
      <w:r w:rsidRPr="00A1187E">
        <w:rPr>
          <w:b/>
          <w:bCs/>
        </w:rPr>
        <w:t>Offer</w:t>
      </w:r>
      <w:r w:rsidR="005D1887">
        <w:rPr>
          <w:b/>
          <w:bCs/>
        </w:rPr>
        <w:t xml:space="preserve"> </w:t>
      </w:r>
      <w:r w:rsidRPr="00A1187E">
        <w:rPr>
          <w:b/>
          <w:bCs/>
        </w:rPr>
        <w:t xml:space="preserve">Contract </w:t>
      </w:r>
      <w:r w:rsidRPr="00A1187E" w:rsidR="00A1187E">
        <w:rPr>
          <w:b/>
          <w:bCs/>
        </w:rPr>
        <w:t>Elements</w:t>
      </w:r>
      <w:r w:rsidRPr="005D065D" w:rsidR="00B96D68">
        <w:rPr>
          <w:rStyle w:val="FootnoteReference"/>
        </w:rPr>
        <w:footnoteReference w:id="323"/>
      </w:r>
    </w:p>
    <w:tbl>
      <w:tblPr>
        <w:tblStyle w:val="TableGrid"/>
        <w:tblW w:w="9360" w:type="dxa"/>
        <w:tblLayout w:type="fixed"/>
        <w:tblCellMar>
          <w:top w:w="58" w:type="dxa"/>
          <w:bottom w:w="58" w:type="dxa"/>
        </w:tblCellMar>
        <w:tblLook w:val="04A0" w:firstRow="1" w:lastRow="0" w:firstColumn="1" w:lastColumn="0" w:noHBand="0" w:noVBand="1"/>
      </w:tblPr>
      <w:tblGrid>
        <w:gridCol w:w="2605"/>
        <w:gridCol w:w="3330"/>
        <w:gridCol w:w="3425"/>
      </w:tblGrid>
      <w:tr w:rsidRPr="005D065D" w:rsidR="00B96D68" w:rsidTr="00560DF4" w14:paraId="79DD0975" w14:textId="77777777">
        <w:trPr>
          <w:tblHeader/>
        </w:trPr>
        <w:tc>
          <w:tcPr>
            <w:tcW w:w="2605" w:type="dxa"/>
          </w:tcPr>
          <w:p w:rsidRPr="005D065D" w:rsidR="00B96D68" w:rsidP="005D065D" w:rsidRDefault="00B96D68" w14:paraId="4E817F48" w14:textId="77777777">
            <w:pPr>
              <w:spacing w:line="240" w:lineRule="auto"/>
              <w:ind w:firstLine="0"/>
              <w:jc w:val="center"/>
              <w:rPr>
                <w:b/>
                <w:bCs/>
                <w:sz w:val="24"/>
                <w:szCs w:val="24"/>
              </w:rPr>
            </w:pPr>
            <w:r w:rsidRPr="005D065D">
              <w:rPr>
                <w:b/>
                <w:bCs/>
                <w:sz w:val="24"/>
                <w:szCs w:val="24"/>
              </w:rPr>
              <w:t>Element</w:t>
            </w:r>
          </w:p>
        </w:tc>
        <w:tc>
          <w:tcPr>
            <w:tcW w:w="3330" w:type="dxa"/>
          </w:tcPr>
          <w:p w:rsidRPr="005D065D" w:rsidR="00B96D68" w:rsidP="005D065D" w:rsidRDefault="00B96D68" w14:paraId="58FCBF34" w14:textId="77777777">
            <w:pPr>
              <w:spacing w:line="240" w:lineRule="auto"/>
              <w:ind w:firstLine="0"/>
              <w:jc w:val="center"/>
              <w:rPr>
                <w:b/>
                <w:bCs/>
                <w:sz w:val="24"/>
                <w:szCs w:val="24"/>
              </w:rPr>
            </w:pPr>
            <w:r w:rsidRPr="005D065D">
              <w:rPr>
                <w:b/>
                <w:bCs/>
                <w:sz w:val="24"/>
                <w:szCs w:val="24"/>
              </w:rPr>
              <w:t>ReMAT</w:t>
            </w:r>
          </w:p>
        </w:tc>
        <w:tc>
          <w:tcPr>
            <w:tcW w:w="3425" w:type="dxa"/>
          </w:tcPr>
          <w:p w:rsidRPr="005D065D" w:rsidR="00B96D68" w:rsidP="005D065D" w:rsidRDefault="00B96D68" w14:paraId="734003C1" w14:textId="06EE4FDD">
            <w:pPr>
              <w:spacing w:line="240" w:lineRule="auto"/>
              <w:ind w:firstLine="0"/>
              <w:jc w:val="center"/>
              <w:rPr>
                <w:b/>
                <w:bCs/>
                <w:sz w:val="24"/>
                <w:szCs w:val="24"/>
              </w:rPr>
            </w:pPr>
            <w:r w:rsidRPr="005D065D">
              <w:rPr>
                <w:b/>
                <w:bCs/>
                <w:sz w:val="24"/>
                <w:szCs w:val="24"/>
              </w:rPr>
              <w:t>S</w:t>
            </w:r>
            <w:r w:rsidR="00CE3CBF">
              <w:rPr>
                <w:b/>
                <w:bCs/>
                <w:sz w:val="24"/>
                <w:szCs w:val="24"/>
              </w:rPr>
              <w:t xml:space="preserve">tandard </w:t>
            </w:r>
            <w:r w:rsidRPr="005D065D">
              <w:rPr>
                <w:b/>
                <w:bCs/>
                <w:sz w:val="24"/>
                <w:szCs w:val="24"/>
              </w:rPr>
              <w:t>O</w:t>
            </w:r>
            <w:r w:rsidR="00CE3CBF">
              <w:rPr>
                <w:b/>
                <w:bCs/>
                <w:sz w:val="24"/>
                <w:szCs w:val="24"/>
              </w:rPr>
              <w:t xml:space="preserve">ffer </w:t>
            </w:r>
            <w:r w:rsidRPr="005D065D">
              <w:rPr>
                <w:b/>
                <w:bCs/>
                <w:sz w:val="24"/>
                <w:szCs w:val="24"/>
              </w:rPr>
              <w:t>C</w:t>
            </w:r>
            <w:r w:rsidR="00CE3CBF">
              <w:rPr>
                <w:b/>
                <w:bCs/>
                <w:sz w:val="24"/>
                <w:szCs w:val="24"/>
              </w:rPr>
              <w:t>ontract</w:t>
            </w:r>
          </w:p>
        </w:tc>
      </w:tr>
      <w:tr w:rsidRPr="005D065D" w:rsidR="00B96D68" w:rsidTr="00560DF4" w14:paraId="45D1512E" w14:textId="77777777">
        <w:tc>
          <w:tcPr>
            <w:tcW w:w="2605" w:type="dxa"/>
          </w:tcPr>
          <w:p w:rsidRPr="005D065D" w:rsidR="00B96D68" w:rsidP="005D065D" w:rsidRDefault="00B96D68" w14:paraId="2FC0C192" w14:textId="77777777">
            <w:pPr>
              <w:spacing w:line="240" w:lineRule="auto"/>
              <w:ind w:firstLine="0"/>
              <w:rPr>
                <w:sz w:val="24"/>
                <w:szCs w:val="24"/>
              </w:rPr>
            </w:pPr>
            <w:r w:rsidRPr="005D065D">
              <w:rPr>
                <w:sz w:val="24"/>
                <w:szCs w:val="24"/>
              </w:rPr>
              <w:t>Market Integration</w:t>
            </w:r>
          </w:p>
        </w:tc>
        <w:tc>
          <w:tcPr>
            <w:tcW w:w="3330" w:type="dxa"/>
          </w:tcPr>
          <w:p w:rsidRPr="005D065D" w:rsidR="00B96D68" w:rsidP="005D065D" w:rsidRDefault="00B96D68" w14:paraId="10CEBF74" w14:textId="0F70456B">
            <w:pPr>
              <w:spacing w:line="240" w:lineRule="auto"/>
              <w:ind w:firstLine="0"/>
              <w:rPr>
                <w:sz w:val="24"/>
                <w:szCs w:val="24"/>
              </w:rPr>
            </w:pPr>
            <w:r w:rsidRPr="005D065D">
              <w:rPr>
                <w:sz w:val="24"/>
                <w:szCs w:val="24"/>
              </w:rPr>
              <w:t xml:space="preserve">Developer is required to sign a PPA with </w:t>
            </w:r>
            <w:r w:rsidR="0028638A">
              <w:rPr>
                <w:sz w:val="24"/>
                <w:szCs w:val="24"/>
              </w:rPr>
              <w:t>a utility</w:t>
            </w:r>
            <w:r w:rsidRPr="005D065D">
              <w:rPr>
                <w:sz w:val="24"/>
                <w:szCs w:val="24"/>
              </w:rPr>
              <w:t>, CAISO market</w:t>
            </w:r>
            <w:r w:rsidR="003D6EF8">
              <w:rPr>
                <w:sz w:val="24"/>
                <w:szCs w:val="24"/>
              </w:rPr>
              <w:noBreakHyphen/>
            </w:r>
            <w:r w:rsidRPr="005D065D">
              <w:rPr>
                <w:sz w:val="24"/>
                <w:szCs w:val="24"/>
              </w:rPr>
              <w:t>integrated, Energy is treated as supply and bid into CAISO day</w:t>
            </w:r>
            <w:r w:rsidR="003D6EF8">
              <w:rPr>
                <w:sz w:val="24"/>
                <w:szCs w:val="24"/>
              </w:rPr>
              <w:noBreakHyphen/>
            </w:r>
            <w:r w:rsidRPr="005D065D">
              <w:rPr>
                <w:sz w:val="24"/>
                <w:szCs w:val="24"/>
              </w:rPr>
              <w:t>ahead and real</w:t>
            </w:r>
            <w:r w:rsidR="003D6EF8">
              <w:rPr>
                <w:sz w:val="24"/>
                <w:szCs w:val="24"/>
              </w:rPr>
              <w:noBreakHyphen/>
            </w:r>
            <w:r w:rsidRPr="005D065D">
              <w:rPr>
                <w:sz w:val="24"/>
                <w:szCs w:val="24"/>
              </w:rPr>
              <w:t>time markets.</w:t>
            </w:r>
            <w:r w:rsidR="00643306">
              <w:rPr>
                <w:rStyle w:val="FootnoteReference"/>
                <w:sz w:val="24"/>
                <w:szCs w:val="24"/>
              </w:rPr>
              <w:footnoteReference w:id="324"/>
            </w:r>
          </w:p>
        </w:tc>
        <w:tc>
          <w:tcPr>
            <w:tcW w:w="3425" w:type="dxa"/>
          </w:tcPr>
          <w:p w:rsidRPr="005D065D" w:rsidR="00B96D68" w:rsidP="005D065D" w:rsidRDefault="00B96D68" w14:paraId="66938E91" w14:textId="081D3B1C">
            <w:pPr>
              <w:spacing w:line="240" w:lineRule="auto"/>
              <w:ind w:firstLine="0"/>
              <w:rPr>
                <w:sz w:val="24"/>
                <w:szCs w:val="24"/>
              </w:rPr>
            </w:pPr>
            <w:r w:rsidRPr="005D065D">
              <w:rPr>
                <w:sz w:val="24"/>
                <w:szCs w:val="24"/>
              </w:rPr>
              <w:t xml:space="preserve">Developer is required to sign a PPA with </w:t>
            </w:r>
            <w:r w:rsidR="0028638A">
              <w:rPr>
                <w:sz w:val="24"/>
                <w:szCs w:val="24"/>
              </w:rPr>
              <w:t>a utility</w:t>
            </w:r>
            <w:r w:rsidRPr="005D065D">
              <w:rPr>
                <w:sz w:val="24"/>
                <w:szCs w:val="24"/>
              </w:rPr>
              <w:t>, CAISO market</w:t>
            </w:r>
            <w:r w:rsidR="003D6EF8">
              <w:rPr>
                <w:sz w:val="24"/>
                <w:szCs w:val="24"/>
              </w:rPr>
              <w:noBreakHyphen/>
            </w:r>
            <w:r w:rsidRPr="005D065D">
              <w:rPr>
                <w:sz w:val="24"/>
                <w:szCs w:val="24"/>
              </w:rPr>
              <w:t>integrated, Energy is treated as supply and bid into CAISO day</w:t>
            </w:r>
            <w:r w:rsidR="003D6EF8">
              <w:rPr>
                <w:sz w:val="24"/>
                <w:szCs w:val="24"/>
              </w:rPr>
              <w:noBreakHyphen/>
            </w:r>
            <w:r w:rsidRPr="005D065D">
              <w:rPr>
                <w:sz w:val="24"/>
                <w:szCs w:val="24"/>
              </w:rPr>
              <w:t>ahead and real</w:t>
            </w:r>
            <w:r w:rsidR="003D6EF8">
              <w:rPr>
                <w:sz w:val="24"/>
                <w:szCs w:val="24"/>
              </w:rPr>
              <w:noBreakHyphen/>
            </w:r>
            <w:r w:rsidRPr="005D065D">
              <w:rPr>
                <w:sz w:val="24"/>
                <w:szCs w:val="24"/>
              </w:rPr>
              <w:t>time markets.</w:t>
            </w:r>
          </w:p>
        </w:tc>
      </w:tr>
      <w:tr w:rsidRPr="005D065D" w:rsidR="00B96D68" w:rsidTr="00560DF4" w14:paraId="16E53ADE" w14:textId="77777777">
        <w:tc>
          <w:tcPr>
            <w:tcW w:w="2605" w:type="dxa"/>
          </w:tcPr>
          <w:p w:rsidRPr="005D065D" w:rsidR="00B96D68" w:rsidP="005D065D" w:rsidRDefault="00B96D68" w14:paraId="0A2418E5" w14:textId="77777777">
            <w:pPr>
              <w:spacing w:line="240" w:lineRule="auto"/>
              <w:ind w:firstLine="0"/>
              <w:rPr>
                <w:sz w:val="24"/>
                <w:szCs w:val="24"/>
              </w:rPr>
            </w:pPr>
            <w:r w:rsidRPr="005D065D">
              <w:rPr>
                <w:sz w:val="24"/>
                <w:szCs w:val="24"/>
              </w:rPr>
              <w:t>Avoided Energy</w:t>
            </w:r>
          </w:p>
        </w:tc>
        <w:tc>
          <w:tcPr>
            <w:tcW w:w="3330" w:type="dxa"/>
          </w:tcPr>
          <w:p w:rsidRPr="005D065D" w:rsidR="00B96D68" w:rsidP="005D065D" w:rsidRDefault="00B96D68" w14:paraId="25DBD219" w14:textId="325B80F7">
            <w:pPr>
              <w:spacing w:line="240" w:lineRule="auto"/>
              <w:ind w:firstLine="0"/>
              <w:rPr>
                <w:sz w:val="24"/>
                <w:szCs w:val="24"/>
              </w:rPr>
            </w:pPr>
            <w:r w:rsidRPr="005D065D">
              <w:rPr>
                <w:sz w:val="24"/>
                <w:szCs w:val="24"/>
              </w:rPr>
              <w:t xml:space="preserve">Administratively set </w:t>
            </w:r>
            <w:r w:rsidR="0028638A">
              <w:rPr>
                <w:sz w:val="24"/>
                <w:szCs w:val="24"/>
              </w:rPr>
              <w:t xml:space="preserve">annually </w:t>
            </w:r>
            <w:r w:rsidRPr="005D065D">
              <w:rPr>
                <w:sz w:val="24"/>
                <w:szCs w:val="24"/>
              </w:rPr>
              <w:t xml:space="preserve">based on recent wholesale RPS contracts with </w:t>
            </w:r>
            <w:r w:rsidR="00FC05C4">
              <w:rPr>
                <w:sz w:val="24"/>
                <w:szCs w:val="24"/>
              </w:rPr>
              <w:t>≤</w:t>
            </w:r>
            <w:r w:rsidRPr="005D065D">
              <w:rPr>
                <w:sz w:val="24"/>
                <w:szCs w:val="24"/>
              </w:rPr>
              <w:t>20</w:t>
            </w:r>
            <w:r w:rsidR="0096488E">
              <w:rPr>
                <w:sz w:val="24"/>
                <w:szCs w:val="24"/>
              </w:rPr>
              <w:t> MW</w:t>
            </w:r>
            <w:r w:rsidRPr="005D065D">
              <w:rPr>
                <w:sz w:val="24"/>
                <w:szCs w:val="24"/>
              </w:rPr>
              <w:t xml:space="preserve"> facilities.</w:t>
            </w:r>
          </w:p>
        </w:tc>
        <w:tc>
          <w:tcPr>
            <w:tcW w:w="3425" w:type="dxa"/>
          </w:tcPr>
          <w:p w:rsidRPr="005D065D" w:rsidR="00B96D68" w:rsidP="005D065D" w:rsidRDefault="00B96D68" w14:paraId="7D17D8CD" w14:textId="6D69D7B6">
            <w:pPr>
              <w:spacing w:line="240" w:lineRule="auto"/>
              <w:ind w:firstLine="0"/>
              <w:rPr>
                <w:sz w:val="24"/>
                <w:szCs w:val="24"/>
              </w:rPr>
            </w:pPr>
            <w:r w:rsidRPr="005D065D">
              <w:rPr>
                <w:sz w:val="24"/>
                <w:szCs w:val="24"/>
              </w:rPr>
              <w:t>3</w:t>
            </w:r>
            <w:r w:rsidR="003D6EF8">
              <w:rPr>
                <w:sz w:val="24"/>
                <w:szCs w:val="24"/>
              </w:rPr>
              <w:noBreakHyphen/>
            </w:r>
            <w:r w:rsidRPr="005D065D">
              <w:rPr>
                <w:sz w:val="24"/>
                <w:szCs w:val="24"/>
              </w:rPr>
              <w:t>year average of CAISO price.</w:t>
            </w:r>
          </w:p>
        </w:tc>
      </w:tr>
      <w:tr w:rsidRPr="005D065D" w:rsidR="00B96D68" w:rsidTr="00560DF4" w14:paraId="34EB2111" w14:textId="77777777">
        <w:tc>
          <w:tcPr>
            <w:tcW w:w="2605" w:type="dxa"/>
          </w:tcPr>
          <w:p w:rsidR="00BA58BF" w:rsidP="005D065D" w:rsidRDefault="00B96D68" w14:paraId="633893AD" w14:textId="77777777">
            <w:pPr>
              <w:spacing w:line="240" w:lineRule="auto"/>
              <w:ind w:firstLine="0"/>
              <w:rPr>
                <w:sz w:val="24"/>
                <w:szCs w:val="24"/>
              </w:rPr>
            </w:pPr>
            <w:r w:rsidRPr="005D065D">
              <w:rPr>
                <w:sz w:val="24"/>
                <w:szCs w:val="24"/>
              </w:rPr>
              <w:t>Avoided</w:t>
            </w:r>
          </w:p>
          <w:p w:rsidR="00BA58BF" w:rsidP="005D065D" w:rsidRDefault="00B96D68" w14:paraId="16481FEF" w14:textId="77777777">
            <w:pPr>
              <w:spacing w:line="240" w:lineRule="auto"/>
              <w:ind w:firstLine="0"/>
              <w:rPr>
                <w:sz w:val="24"/>
                <w:szCs w:val="24"/>
              </w:rPr>
            </w:pPr>
            <w:r w:rsidRPr="005D065D">
              <w:rPr>
                <w:sz w:val="24"/>
                <w:szCs w:val="24"/>
              </w:rPr>
              <w:t>Generation</w:t>
            </w:r>
          </w:p>
          <w:p w:rsidRPr="005D065D" w:rsidR="00B96D68" w:rsidP="005D065D" w:rsidRDefault="00B96D68" w14:paraId="73101D01" w14:textId="0C86466B">
            <w:pPr>
              <w:spacing w:line="240" w:lineRule="auto"/>
              <w:ind w:firstLine="0"/>
              <w:rPr>
                <w:sz w:val="24"/>
                <w:szCs w:val="24"/>
              </w:rPr>
            </w:pPr>
            <w:r w:rsidRPr="005D065D">
              <w:rPr>
                <w:sz w:val="24"/>
                <w:szCs w:val="24"/>
              </w:rPr>
              <w:t>Capacity</w:t>
            </w:r>
          </w:p>
        </w:tc>
        <w:tc>
          <w:tcPr>
            <w:tcW w:w="3330" w:type="dxa"/>
          </w:tcPr>
          <w:p w:rsidRPr="005D065D" w:rsidR="00B96D68" w:rsidP="005D065D" w:rsidRDefault="00B96D68" w14:paraId="4C359EB5" w14:textId="6718E25D">
            <w:pPr>
              <w:spacing w:line="240" w:lineRule="auto"/>
              <w:ind w:firstLine="0"/>
              <w:rPr>
                <w:sz w:val="24"/>
                <w:szCs w:val="24"/>
              </w:rPr>
            </w:pPr>
            <w:r w:rsidRPr="005D065D">
              <w:rPr>
                <w:sz w:val="24"/>
                <w:szCs w:val="24"/>
              </w:rPr>
              <w:t xml:space="preserve">Payment </w:t>
            </w:r>
            <w:r w:rsidR="000F37D9">
              <w:rPr>
                <w:sz w:val="24"/>
                <w:szCs w:val="24"/>
              </w:rPr>
              <w:t xml:space="preserve">to seller </w:t>
            </w:r>
            <w:r w:rsidRPr="005D065D">
              <w:rPr>
                <w:sz w:val="24"/>
                <w:szCs w:val="24"/>
              </w:rPr>
              <w:t>is included as part of the all</w:t>
            </w:r>
            <w:r w:rsidR="003D6EF8">
              <w:rPr>
                <w:sz w:val="24"/>
                <w:szCs w:val="24"/>
              </w:rPr>
              <w:noBreakHyphen/>
            </w:r>
            <w:r w:rsidRPr="005D065D">
              <w:rPr>
                <w:sz w:val="24"/>
                <w:szCs w:val="24"/>
              </w:rPr>
              <w:t>in energy price</w:t>
            </w:r>
            <w:r w:rsidR="000F37D9">
              <w:rPr>
                <w:sz w:val="24"/>
                <w:szCs w:val="24"/>
              </w:rPr>
              <w:t xml:space="preserve">, if resource provides </w:t>
            </w:r>
            <w:r w:rsidR="00A20AB0">
              <w:rPr>
                <w:sz w:val="24"/>
                <w:szCs w:val="24"/>
              </w:rPr>
              <w:t>R</w:t>
            </w:r>
            <w:r w:rsidR="000F37D9">
              <w:rPr>
                <w:sz w:val="24"/>
                <w:szCs w:val="24"/>
              </w:rPr>
              <w:t xml:space="preserve">esource </w:t>
            </w:r>
            <w:r w:rsidR="00A20AB0">
              <w:rPr>
                <w:sz w:val="24"/>
                <w:szCs w:val="24"/>
              </w:rPr>
              <w:t>A</w:t>
            </w:r>
            <w:r w:rsidR="000F37D9">
              <w:rPr>
                <w:sz w:val="24"/>
                <w:szCs w:val="24"/>
              </w:rPr>
              <w:t>dequacy</w:t>
            </w:r>
            <w:r w:rsidRPr="005D065D">
              <w:rPr>
                <w:sz w:val="24"/>
                <w:szCs w:val="24"/>
              </w:rPr>
              <w:t>.</w:t>
            </w:r>
          </w:p>
        </w:tc>
        <w:tc>
          <w:tcPr>
            <w:tcW w:w="3425" w:type="dxa"/>
          </w:tcPr>
          <w:p w:rsidRPr="005D065D" w:rsidR="00B96D68" w:rsidP="005D065D" w:rsidRDefault="000F37D9" w14:paraId="40165C99" w14:textId="5B56E121">
            <w:pPr>
              <w:spacing w:line="240" w:lineRule="auto"/>
              <w:ind w:firstLine="0"/>
              <w:rPr>
                <w:sz w:val="24"/>
                <w:szCs w:val="24"/>
              </w:rPr>
            </w:pPr>
            <w:r>
              <w:rPr>
                <w:sz w:val="24"/>
                <w:szCs w:val="24"/>
              </w:rPr>
              <w:t>Payment to seller is based on f</w:t>
            </w:r>
            <w:r w:rsidRPr="005D065D" w:rsidR="00B96D68">
              <w:rPr>
                <w:sz w:val="24"/>
                <w:szCs w:val="24"/>
              </w:rPr>
              <w:t>ive</w:t>
            </w:r>
            <w:r w:rsidR="003D6EF8">
              <w:rPr>
                <w:sz w:val="24"/>
                <w:szCs w:val="24"/>
              </w:rPr>
              <w:noBreakHyphen/>
            </w:r>
            <w:r w:rsidRPr="005D065D" w:rsidR="00B96D68">
              <w:rPr>
                <w:sz w:val="24"/>
                <w:szCs w:val="24"/>
              </w:rPr>
              <w:t>year historical average escalated by 2.5% and applied on a time</w:t>
            </w:r>
            <w:r w:rsidR="003D6EF8">
              <w:rPr>
                <w:sz w:val="24"/>
                <w:szCs w:val="24"/>
              </w:rPr>
              <w:noBreakHyphen/>
            </w:r>
            <w:r w:rsidRPr="005D065D" w:rsidR="00B96D68">
              <w:rPr>
                <w:sz w:val="24"/>
                <w:szCs w:val="24"/>
              </w:rPr>
              <w:t>differentiated $/MWh</w:t>
            </w:r>
            <w:r w:rsidR="003D6EF8">
              <w:rPr>
                <w:sz w:val="24"/>
                <w:szCs w:val="24"/>
              </w:rPr>
              <w:noBreakHyphen/>
            </w:r>
            <w:r w:rsidRPr="005D065D" w:rsidR="00B96D68">
              <w:rPr>
                <w:sz w:val="24"/>
                <w:szCs w:val="24"/>
              </w:rPr>
              <w:t xml:space="preserve">basis if resource provides </w:t>
            </w:r>
            <w:r w:rsidR="00A20AB0">
              <w:rPr>
                <w:sz w:val="24"/>
                <w:szCs w:val="24"/>
              </w:rPr>
              <w:t>R</w:t>
            </w:r>
            <w:r w:rsidR="00CE3CBF">
              <w:rPr>
                <w:sz w:val="24"/>
                <w:szCs w:val="24"/>
              </w:rPr>
              <w:t xml:space="preserve">esource </w:t>
            </w:r>
            <w:r w:rsidR="00243E95">
              <w:rPr>
                <w:sz w:val="24"/>
                <w:szCs w:val="24"/>
              </w:rPr>
              <w:t>A</w:t>
            </w:r>
            <w:r w:rsidR="00CE3CBF">
              <w:rPr>
                <w:sz w:val="24"/>
                <w:szCs w:val="24"/>
              </w:rPr>
              <w:t>dequacy</w:t>
            </w:r>
            <w:r w:rsidRPr="005D065D" w:rsidR="00B96D68">
              <w:rPr>
                <w:sz w:val="24"/>
                <w:szCs w:val="24"/>
              </w:rPr>
              <w:t>.</w:t>
            </w:r>
          </w:p>
        </w:tc>
      </w:tr>
      <w:tr w:rsidRPr="005D065D" w:rsidR="00B96D68" w:rsidTr="00560DF4" w14:paraId="619BA08A" w14:textId="77777777">
        <w:tc>
          <w:tcPr>
            <w:tcW w:w="2605" w:type="dxa"/>
          </w:tcPr>
          <w:p w:rsidR="00BA58BF" w:rsidP="005D065D" w:rsidRDefault="00B96D68" w14:paraId="10ED02F4" w14:textId="77777777">
            <w:pPr>
              <w:spacing w:line="240" w:lineRule="auto"/>
              <w:ind w:firstLine="0"/>
              <w:rPr>
                <w:sz w:val="24"/>
                <w:szCs w:val="24"/>
              </w:rPr>
            </w:pPr>
            <w:r w:rsidRPr="005D065D">
              <w:rPr>
                <w:sz w:val="24"/>
                <w:szCs w:val="24"/>
              </w:rPr>
              <w:lastRenderedPageBreak/>
              <w:t>Avoided Future</w:t>
            </w:r>
          </w:p>
          <w:p w:rsidR="00BA58BF" w:rsidP="005D065D" w:rsidRDefault="006D4A4E" w14:paraId="1093C012" w14:textId="77777777">
            <w:pPr>
              <w:spacing w:line="240" w:lineRule="auto"/>
              <w:ind w:firstLine="0"/>
              <w:rPr>
                <w:sz w:val="24"/>
                <w:szCs w:val="24"/>
              </w:rPr>
            </w:pPr>
            <w:r w:rsidRPr="006D4A4E">
              <w:rPr>
                <w:sz w:val="24"/>
                <w:szCs w:val="24"/>
              </w:rPr>
              <w:t xml:space="preserve">Transmission </w:t>
            </w:r>
            <w:r>
              <w:rPr>
                <w:sz w:val="24"/>
                <w:szCs w:val="24"/>
              </w:rPr>
              <w:t>a</w:t>
            </w:r>
            <w:r w:rsidRPr="006D4A4E">
              <w:rPr>
                <w:sz w:val="24"/>
                <w:szCs w:val="24"/>
              </w:rPr>
              <w:t>nd</w:t>
            </w:r>
          </w:p>
          <w:p w:rsidRPr="005D065D" w:rsidR="00B96D68" w:rsidP="005D065D" w:rsidRDefault="006D4A4E" w14:paraId="3B604797" w14:textId="6F970B27">
            <w:pPr>
              <w:spacing w:line="240" w:lineRule="auto"/>
              <w:ind w:firstLine="0"/>
              <w:rPr>
                <w:sz w:val="24"/>
                <w:szCs w:val="24"/>
              </w:rPr>
            </w:pPr>
            <w:r w:rsidRPr="006D4A4E">
              <w:rPr>
                <w:sz w:val="24"/>
                <w:szCs w:val="24"/>
              </w:rPr>
              <w:t>Distribution</w:t>
            </w:r>
          </w:p>
        </w:tc>
        <w:tc>
          <w:tcPr>
            <w:tcW w:w="3330" w:type="dxa"/>
          </w:tcPr>
          <w:p w:rsidRPr="005D065D" w:rsidR="00B96D68" w:rsidP="005D065D" w:rsidRDefault="00B96D68" w14:paraId="77A75175" w14:textId="7ECD0FBE">
            <w:pPr>
              <w:spacing w:line="240" w:lineRule="auto"/>
              <w:ind w:firstLine="0"/>
              <w:rPr>
                <w:sz w:val="24"/>
                <w:szCs w:val="24"/>
              </w:rPr>
            </w:pPr>
            <w:r w:rsidRPr="005D065D">
              <w:rPr>
                <w:sz w:val="24"/>
                <w:szCs w:val="24"/>
              </w:rPr>
              <w:t xml:space="preserve">None; </w:t>
            </w:r>
            <w:r w:rsidR="00CE3CBF">
              <w:rPr>
                <w:sz w:val="24"/>
                <w:szCs w:val="24"/>
              </w:rPr>
              <w:t>m</w:t>
            </w:r>
            <w:r w:rsidRPr="005D065D">
              <w:rPr>
                <w:sz w:val="24"/>
                <w:szCs w:val="24"/>
              </w:rPr>
              <w:t>ay participate in DDIF</w:t>
            </w:r>
            <w:r w:rsidR="008B351E">
              <w:rPr>
                <w:rStyle w:val="FootnoteReference"/>
                <w:sz w:val="24"/>
                <w:szCs w:val="24"/>
              </w:rPr>
              <w:footnoteReference w:id="325"/>
            </w:r>
            <w:r w:rsidRPr="005D065D">
              <w:rPr>
                <w:sz w:val="24"/>
                <w:szCs w:val="24"/>
              </w:rPr>
              <w:t xml:space="preserve"> solicitations to receive additional value for distribution deferral.</w:t>
            </w:r>
          </w:p>
        </w:tc>
        <w:tc>
          <w:tcPr>
            <w:tcW w:w="3425" w:type="dxa"/>
          </w:tcPr>
          <w:p w:rsidRPr="005D065D" w:rsidR="00B96D68" w:rsidP="005D065D" w:rsidRDefault="00B96D68" w14:paraId="68ECDB08" w14:textId="41C25F62">
            <w:pPr>
              <w:spacing w:line="240" w:lineRule="auto"/>
              <w:ind w:firstLine="0"/>
              <w:rPr>
                <w:sz w:val="24"/>
                <w:szCs w:val="24"/>
              </w:rPr>
            </w:pPr>
            <w:r w:rsidRPr="005D065D">
              <w:rPr>
                <w:sz w:val="24"/>
                <w:szCs w:val="24"/>
              </w:rPr>
              <w:t xml:space="preserve">None; </w:t>
            </w:r>
            <w:r w:rsidR="00CE3CBF">
              <w:rPr>
                <w:sz w:val="24"/>
                <w:szCs w:val="24"/>
              </w:rPr>
              <w:t>m</w:t>
            </w:r>
            <w:r w:rsidRPr="005D065D">
              <w:rPr>
                <w:sz w:val="24"/>
                <w:szCs w:val="24"/>
              </w:rPr>
              <w:t>ay participate in DDIF solicitations to receive additional value for distribution deferral.</w:t>
            </w:r>
          </w:p>
        </w:tc>
      </w:tr>
      <w:tr w:rsidRPr="005D065D" w:rsidR="00B96D68" w:rsidTr="00560DF4" w14:paraId="539E263F" w14:textId="77777777">
        <w:tc>
          <w:tcPr>
            <w:tcW w:w="2605" w:type="dxa"/>
          </w:tcPr>
          <w:p w:rsidR="00BA58BF" w:rsidP="005D065D" w:rsidRDefault="00B96D68" w14:paraId="13402578" w14:textId="77777777">
            <w:pPr>
              <w:spacing w:line="240" w:lineRule="auto"/>
              <w:ind w:firstLine="0"/>
              <w:rPr>
                <w:sz w:val="24"/>
                <w:szCs w:val="24"/>
              </w:rPr>
            </w:pPr>
            <w:r w:rsidRPr="005D065D">
              <w:rPr>
                <w:sz w:val="24"/>
                <w:szCs w:val="24"/>
              </w:rPr>
              <w:t>Avoided Methane</w:t>
            </w:r>
          </w:p>
          <w:p w:rsidR="00BA58BF" w:rsidP="005D065D" w:rsidRDefault="00B96D68" w14:paraId="1AA8B880" w14:textId="77777777">
            <w:pPr>
              <w:spacing w:line="240" w:lineRule="auto"/>
              <w:ind w:firstLine="0"/>
              <w:rPr>
                <w:sz w:val="24"/>
                <w:szCs w:val="24"/>
              </w:rPr>
            </w:pPr>
            <w:r w:rsidRPr="005D065D">
              <w:rPr>
                <w:sz w:val="24"/>
                <w:szCs w:val="24"/>
              </w:rPr>
              <w:t>Leakage, GHG Adder</w:t>
            </w:r>
          </w:p>
          <w:p w:rsidRPr="005D065D" w:rsidR="00B96D68" w:rsidP="005D065D" w:rsidRDefault="00B96D68" w14:paraId="2A6AB7C9" w14:textId="1EEA3966">
            <w:pPr>
              <w:spacing w:line="240" w:lineRule="auto"/>
              <w:ind w:firstLine="0"/>
              <w:rPr>
                <w:sz w:val="24"/>
                <w:szCs w:val="24"/>
              </w:rPr>
            </w:pPr>
            <w:r w:rsidRPr="005D065D">
              <w:rPr>
                <w:sz w:val="24"/>
                <w:szCs w:val="24"/>
              </w:rPr>
              <w:t>and Rebalancing</w:t>
            </w:r>
          </w:p>
        </w:tc>
        <w:tc>
          <w:tcPr>
            <w:tcW w:w="3330" w:type="dxa"/>
          </w:tcPr>
          <w:p w:rsidRPr="005D065D" w:rsidR="00B96D68" w:rsidP="005D065D" w:rsidRDefault="00B96D68" w14:paraId="5B1951D7" w14:textId="1C599A93">
            <w:pPr>
              <w:spacing w:line="240" w:lineRule="auto"/>
              <w:ind w:firstLine="0"/>
              <w:rPr>
                <w:sz w:val="24"/>
                <w:szCs w:val="24"/>
              </w:rPr>
            </w:pPr>
            <w:r w:rsidRPr="005D065D">
              <w:rPr>
                <w:sz w:val="24"/>
                <w:szCs w:val="24"/>
              </w:rPr>
              <w:t>RECs</w:t>
            </w:r>
            <w:r w:rsidR="00DC575C">
              <w:rPr>
                <w:rStyle w:val="FootnoteReference"/>
                <w:sz w:val="24"/>
                <w:szCs w:val="24"/>
              </w:rPr>
              <w:footnoteReference w:id="326"/>
            </w:r>
            <w:r w:rsidRPr="005D065D">
              <w:rPr>
                <w:sz w:val="24"/>
                <w:szCs w:val="24"/>
              </w:rPr>
              <w:t xml:space="preserve"> </w:t>
            </w:r>
            <w:r w:rsidR="000F37D9">
              <w:rPr>
                <w:sz w:val="24"/>
                <w:szCs w:val="24"/>
              </w:rPr>
              <w:t>may be used by the utility</w:t>
            </w:r>
            <w:r w:rsidR="00243E95">
              <w:rPr>
                <w:sz w:val="24"/>
                <w:szCs w:val="24"/>
              </w:rPr>
              <w:t xml:space="preserve"> </w:t>
            </w:r>
            <w:r w:rsidRPr="005D065D">
              <w:rPr>
                <w:sz w:val="24"/>
                <w:szCs w:val="24"/>
              </w:rPr>
              <w:t xml:space="preserve">towards their RPS requirements. </w:t>
            </w:r>
          </w:p>
        </w:tc>
        <w:tc>
          <w:tcPr>
            <w:tcW w:w="3425" w:type="dxa"/>
          </w:tcPr>
          <w:p w:rsidRPr="005D065D" w:rsidR="00B96D68" w:rsidP="005D065D" w:rsidRDefault="00B96D68" w14:paraId="75658B4E" w14:textId="097DF6BD">
            <w:pPr>
              <w:spacing w:line="240" w:lineRule="auto"/>
              <w:ind w:firstLine="0"/>
              <w:rPr>
                <w:sz w:val="24"/>
                <w:szCs w:val="24"/>
              </w:rPr>
            </w:pPr>
            <w:r w:rsidRPr="005D065D">
              <w:rPr>
                <w:sz w:val="24"/>
                <w:szCs w:val="24"/>
              </w:rPr>
              <w:t xml:space="preserve">RECs, if any, </w:t>
            </w:r>
            <w:r w:rsidR="000F37D9">
              <w:rPr>
                <w:sz w:val="24"/>
                <w:szCs w:val="24"/>
              </w:rPr>
              <w:t>may be used by the utility</w:t>
            </w:r>
            <w:r w:rsidRPr="005D065D">
              <w:rPr>
                <w:sz w:val="24"/>
                <w:szCs w:val="24"/>
              </w:rPr>
              <w:t xml:space="preserve"> towards their RPS requirements. </w:t>
            </w:r>
          </w:p>
        </w:tc>
      </w:tr>
      <w:tr w:rsidRPr="005D065D" w:rsidR="00B96D68" w:rsidTr="00560DF4" w14:paraId="7D43628C" w14:textId="77777777">
        <w:tc>
          <w:tcPr>
            <w:tcW w:w="2605" w:type="dxa"/>
          </w:tcPr>
          <w:p w:rsidRPr="005D065D" w:rsidR="00B96D68" w:rsidP="005D065D" w:rsidRDefault="00B96D68" w14:paraId="752E22EA" w14:textId="77777777">
            <w:pPr>
              <w:spacing w:line="240" w:lineRule="auto"/>
              <w:ind w:firstLine="0"/>
              <w:rPr>
                <w:sz w:val="24"/>
                <w:szCs w:val="24"/>
              </w:rPr>
            </w:pPr>
            <w:r w:rsidRPr="005D065D">
              <w:rPr>
                <w:sz w:val="24"/>
                <w:szCs w:val="24"/>
              </w:rPr>
              <w:t>Cost</w:t>
            </w:r>
          </w:p>
        </w:tc>
        <w:tc>
          <w:tcPr>
            <w:tcW w:w="3330" w:type="dxa"/>
          </w:tcPr>
          <w:p w:rsidRPr="005D065D" w:rsidR="00B96D68" w:rsidP="005D065D" w:rsidRDefault="00B96D68" w14:paraId="05FE57A8" w14:textId="5229BB61">
            <w:pPr>
              <w:spacing w:line="240" w:lineRule="auto"/>
              <w:ind w:firstLine="0"/>
              <w:rPr>
                <w:sz w:val="24"/>
                <w:szCs w:val="24"/>
              </w:rPr>
            </w:pPr>
            <w:r w:rsidRPr="005D065D">
              <w:rPr>
                <w:sz w:val="24"/>
                <w:szCs w:val="24"/>
              </w:rPr>
              <w:t xml:space="preserve">Payment </w:t>
            </w:r>
            <w:r w:rsidR="000F37D9">
              <w:rPr>
                <w:sz w:val="24"/>
                <w:szCs w:val="24"/>
              </w:rPr>
              <w:t>to seller is</w:t>
            </w:r>
            <w:r w:rsidRPr="005D065D">
              <w:rPr>
                <w:sz w:val="24"/>
                <w:szCs w:val="24"/>
              </w:rPr>
              <w:t xml:space="preserve"> the all</w:t>
            </w:r>
            <w:r w:rsidR="003D6EF8">
              <w:rPr>
                <w:sz w:val="24"/>
                <w:szCs w:val="24"/>
              </w:rPr>
              <w:noBreakHyphen/>
            </w:r>
            <w:r w:rsidRPr="005D065D">
              <w:rPr>
                <w:sz w:val="24"/>
                <w:szCs w:val="24"/>
              </w:rPr>
              <w:t>in energy price.</w:t>
            </w:r>
          </w:p>
        </w:tc>
        <w:tc>
          <w:tcPr>
            <w:tcW w:w="3425" w:type="dxa"/>
          </w:tcPr>
          <w:p w:rsidRPr="005D065D" w:rsidR="00B96D68" w:rsidP="005D065D" w:rsidRDefault="00B96D68" w14:paraId="09758A32" w14:textId="67D5D4CB">
            <w:pPr>
              <w:spacing w:line="240" w:lineRule="auto"/>
              <w:ind w:firstLine="0"/>
              <w:rPr>
                <w:sz w:val="24"/>
                <w:szCs w:val="24"/>
              </w:rPr>
            </w:pPr>
            <w:r w:rsidRPr="005D065D">
              <w:rPr>
                <w:sz w:val="24"/>
                <w:szCs w:val="24"/>
              </w:rPr>
              <w:t xml:space="preserve">Payment </w:t>
            </w:r>
            <w:r w:rsidR="000F37D9">
              <w:rPr>
                <w:sz w:val="24"/>
                <w:szCs w:val="24"/>
              </w:rPr>
              <w:t>to seller based on</w:t>
            </w:r>
            <w:r w:rsidRPr="005D065D">
              <w:rPr>
                <w:sz w:val="24"/>
                <w:szCs w:val="24"/>
              </w:rPr>
              <w:t xml:space="preserve"> energy price</w:t>
            </w:r>
            <w:r w:rsidR="000F37D9">
              <w:rPr>
                <w:sz w:val="24"/>
                <w:szCs w:val="24"/>
              </w:rPr>
              <w:t xml:space="preserve"> and capacity price</w:t>
            </w:r>
            <w:r w:rsidRPr="005D065D">
              <w:rPr>
                <w:sz w:val="24"/>
                <w:szCs w:val="24"/>
              </w:rPr>
              <w:t>.</w:t>
            </w:r>
          </w:p>
        </w:tc>
      </w:tr>
      <w:tr w:rsidRPr="005D065D" w:rsidR="00B96D68" w:rsidTr="00560DF4" w14:paraId="36C067E9" w14:textId="77777777">
        <w:tc>
          <w:tcPr>
            <w:tcW w:w="2605" w:type="dxa"/>
          </w:tcPr>
          <w:p w:rsidRPr="005D065D" w:rsidR="00B96D68" w:rsidP="005D065D" w:rsidRDefault="00B96D68" w14:paraId="1D289284" w14:textId="77777777">
            <w:pPr>
              <w:spacing w:line="240" w:lineRule="auto"/>
              <w:ind w:firstLine="0"/>
              <w:rPr>
                <w:sz w:val="24"/>
                <w:szCs w:val="24"/>
              </w:rPr>
            </w:pPr>
            <w:r w:rsidRPr="005D065D">
              <w:rPr>
                <w:sz w:val="24"/>
                <w:szCs w:val="24"/>
              </w:rPr>
              <w:t>Contract Length</w:t>
            </w:r>
          </w:p>
        </w:tc>
        <w:tc>
          <w:tcPr>
            <w:tcW w:w="3330" w:type="dxa"/>
          </w:tcPr>
          <w:p w:rsidRPr="005D065D" w:rsidR="00B96D68" w:rsidP="005D065D" w:rsidRDefault="00B96D68" w14:paraId="38899CF5" w14:textId="727F3AF3">
            <w:pPr>
              <w:spacing w:line="240" w:lineRule="auto"/>
              <w:ind w:firstLine="0"/>
              <w:rPr>
                <w:sz w:val="24"/>
                <w:szCs w:val="24"/>
              </w:rPr>
            </w:pPr>
            <w:r w:rsidRPr="005D065D">
              <w:rPr>
                <w:sz w:val="24"/>
                <w:szCs w:val="24"/>
              </w:rPr>
              <w:t>Includes 10</w:t>
            </w:r>
            <w:r w:rsidR="003D6EF8">
              <w:rPr>
                <w:sz w:val="24"/>
                <w:szCs w:val="24"/>
              </w:rPr>
              <w:noBreakHyphen/>
            </w:r>
            <w:r w:rsidRPr="005D065D">
              <w:rPr>
                <w:sz w:val="24"/>
                <w:szCs w:val="24"/>
              </w:rPr>
              <w:t>, 15</w:t>
            </w:r>
            <w:r w:rsidR="003D6EF8">
              <w:rPr>
                <w:sz w:val="24"/>
                <w:szCs w:val="24"/>
              </w:rPr>
              <w:noBreakHyphen/>
            </w:r>
            <w:r w:rsidRPr="005D065D">
              <w:rPr>
                <w:sz w:val="24"/>
                <w:szCs w:val="24"/>
              </w:rPr>
              <w:t>, and 20</w:t>
            </w:r>
            <w:r w:rsidR="003D6EF8">
              <w:rPr>
                <w:sz w:val="24"/>
                <w:szCs w:val="24"/>
              </w:rPr>
              <w:noBreakHyphen/>
            </w:r>
            <w:r w:rsidRPr="005D065D">
              <w:rPr>
                <w:sz w:val="24"/>
                <w:szCs w:val="24"/>
              </w:rPr>
              <w:t>year options</w:t>
            </w:r>
            <w:r w:rsidR="00FC05C4">
              <w:rPr>
                <w:sz w:val="24"/>
                <w:szCs w:val="24"/>
              </w:rPr>
              <w:t>.</w:t>
            </w:r>
          </w:p>
        </w:tc>
        <w:tc>
          <w:tcPr>
            <w:tcW w:w="3425" w:type="dxa"/>
          </w:tcPr>
          <w:p w:rsidRPr="005D065D" w:rsidR="00B96D68" w:rsidP="005D065D" w:rsidRDefault="000F37D9" w14:paraId="12573607" w14:textId="46191F34">
            <w:pPr>
              <w:spacing w:line="240" w:lineRule="auto"/>
              <w:ind w:firstLine="0"/>
              <w:rPr>
                <w:sz w:val="24"/>
                <w:szCs w:val="24"/>
              </w:rPr>
            </w:pPr>
            <w:r>
              <w:rPr>
                <w:sz w:val="24"/>
                <w:szCs w:val="24"/>
              </w:rPr>
              <w:t xml:space="preserve">Up to </w:t>
            </w:r>
            <w:r w:rsidRPr="005D065D" w:rsidR="00B96D68">
              <w:rPr>
                <w:sz w:val="24"/>
                <w:szCs w:val="24"/>
              </w:rPr>
              <w:t>12</w:t>
            </w:r>
            <w:r w:rsidR="00CE3CBF">
              <w:rPr>
                <w:sz w:val="24"/>
                <w:szCs w:val="24"/>
              </w:rPr>
              <w:t xml:space="preserve"> </w:t>
            </w:r>
            <w:r w:rsidRPr="005D065D" w:rsidR="00B96D68">
              <w:rPr>
                <w:sz w:val="24"/>
                <w:szCs w:val="24"/>
              </w:rPr>
              <w:t>years</w:t>
            </w:r>
            <w:r>
              <w:rPr>
                <w:sz w:val="24"/>
                <w:szCs w:val="24"/>
              </w:rPr>
              <w:t xml:space="preserve"> for new resources.</w:t>
            </w:r>
          </w:p>
        </w:tc>
      </w:tr>
      <w:tr w:rsidRPr="005D065D" w:rsidR="00B96D68" w:rsidTr="00560DF4" w14:paraId="5F44207C" w14:textId="77777777">
        <w:tc>
          <w:tcPr>
            <w:tcW w:w="2605" w:type="dxa"/>
          </w:tcPr>
          <w:p w:rsidR="00BA58BF" w:rsidP="005D065D" w:rsidRDefault="00B96D68" w14:paraId="7B65D07C" w14:textId="6C17E5E8">
            <w:pPr>
              <w:spacing w:line="240" w:lineRule="auto"/>
              <w:ind w:firstLine="0"/>
              <w:rPr>
                <w:sz w:val="24"/>
                <w:szCs w:val="24"/>
              </w:rPr>
            </w:pPr>
            <w:r w:rsidRPr="005D065D">
              <w:rPr>
                <w:sz w:val="24"/>
                <w:szCs w:val="24"/>
              </w:rPr>
              <w:t>Defined On</w:t>
            </w:r>
            <w:r w:rsidR="003D6EF8">
              <w:rPr>
                <w:sz w:val="24"/>
                <w:szCs w:val="24"/>
              </w:rPr>
              <w:noBreakHyphen/>
            </w:r>
            <w:r w:rsidRPr="005D065D">
              <w:rPr>
                <w:sz w:val="24"/>
                <w:szCs w:val="24"/>
              </w:rPr>
              <w:t xml:space="preserve"> and</w:t>
            </w:r>
          </w:p>
          <w:p w:rsidRPr="005D065D" w:rsidR="00B96D68" w:rsidP="005D065D" w:rsidRDefault="00B96D68" w14:paraId="0E5F266C" w14:textId="6FAA9046">
            <w:pPr>
              <w:spacing w:line="240" w:lineRule="auto"/>
              <w:ind w:firstLine="0"/>
              <w:rPr>
                <w:sz w:val="24"/>
                <w:szCs w:val="24"/>
              </w:rPr>
            </w:pPr>
            <w:r w:rsidRPr="005D065D">
              <w:rPr>
                <w:sz w:val="24"/>
                <w:szCs w:val="24"/>
              </w:rPr>
              <w:t>Off</w:t>
            </w:r>
            <w:r w:rsidR="003D6EF8">
              <w:rPr>
                <w:sz w:val="24"/>
                <w:szCs w:val="24"/>
              </w:rPr>
              <w:noBreakHyphen/>
            </w:r>
            <w:r w:rsidRPr="005D065D">
              <w:rPr>
                <w:sz w:val="24"/>
                <w:szCs w:val="24"/>
              </w:rPr>
              <w:t>Peak Periods</w:t>
            </w:r>
          </w:p>
        </w:tc>
        <w:tc>
          <w:tcPr>
            <w:tcW w:w="3330" w:type="dxa"/>
          </w:tcPr>
          <w:p w:rsidRPr="005D065D" w:rsidR="00B96D68" w:rsidP="005D065D" w:rsidRDefault="000F37D9" w14:paraId="7351A95D" w14:textId="74A53D91">
            <w:pPr>
              <w:spacing w:line="240" w:lineRule="auto"/>
              <w:ind w:firstLine="0"/>
              <w:rPr>
                <w:sz w:val="24"/>
                <w:szCs w:val="24"/>
              </w:rPr>
            </w:pPr>
            <w:r>
              <w:rPr>
                <w:sz w:val="24"/>
                <w:szCs w:val="24"/>
              </w:rPr>
              <w:t>T</w:t>
            </w:r>
            <w:r w:rsidRPr="005D065D" w:rsidR="00B96D68">
              <w:rPr>
                <w:sz w:val="24"/>
                <w:szCs w:val="24"/>
              </w:rPr>
              <w:t>ime</w:t>
            </w:r>
            <w:r w:rsidR="003D6EF8">
              <w:rPr>
                <w:sz w:val="24"/>
                <w:szCs w:val="24"/>
              </w:rPr>
              <w:noBreakHyphen/>
            </w:r>
            <w:r w:rsidRPr="005D065D" w:rsidR="00B96D68">
              <w:rPr>
                <w:sz w:val="24"/>
                <w:szCs w:val="24"/>
              </w:rPr>
              <w:t>differentiated pricing</w:t>
            </w:r>
            <w:r>
              <w:rPr>
                <w:sz w:val="24"/>
                <w:szCs w:val="24"/>
              </w:rPr>
              <w:t xml:space="preserve"> allowed</w:t>
            </w:r>
            <w:r w:rsidR="00FC05C4">
              <w:rPr>
                <w:sz w:val="24"/>
                <w:szCs w:val="24"/>
              </w:rPr>
              <w:t>.</w:t>
            </w:r>
          </w:p>
        </w:tc>
        <w:tc>
          <w:tcPr>
            <w:tcW w:w="3425" w:type="dxa"/>
          </w:tcPr>
          <w:p w:rsidRPr="005D065D" w:rsidR="00B96D68" w:rsidP="005D065D" w:rsidRDefault="00B96D68" w14:paraId="1EDB5477" w14:textId="1E088D13">
            <w:pPr>
              <w:spacing w:line="240" w:lineRule="auto"/>
              <w:ind w:firstLine="0"/>
              <w:rPr>
                <w:sz w:val="24"/>
                <w:szCs w:val="24"/>
              </w:rPr>
            </w:pPr>
            <w:r w:rsidRPr="005D065D">
              <w:rPr>
                <w:sz w:val="24"/>
                <w:szCs w:val="24"/>
              </w:rPr>
              <w:t>On</w:t>
            </w:r>
            <w:r w:rsidR="003D6EF8">
              <w:rPr>
                <w:sz w:val="24"/>
                <w:szCs w:val="24"/>
              </w:rPr>
              <w:noBreakHyphen/>
            </w:r>
            <w:r w:rsidRPr="005D065D">
              <w:rPr>
                <w:sz w:val="24"/>
                <w:szCs w:val="24"/>
              </w:rPr>
              <w:t>, Mid</w:t>
            </w:r>
            <w:r w:rsidR="003D6EF8">
              <w:rPr>
                <w:sz w:val="24"/>
                <w:szCs w:val="24"/>
              </w:rPr>
              <w:noBreakHyphen/>
            </w:r>
            <w:r w:rsidRPr="005D065D">
              <w:rPr>
                <w:sz w:val="24"/>
                <w:szCs w:val="24"/>
              </w:rPr>
              <w:t>, Off</w:t>
            </w:r>
            <w:r w:rsidR="003D6EF8">
              <w:rPr>
                <w:sz w:val="24"/>
                <w:szCs w:val="24"/>
              </w:rPr>
              <w:noBreakHyphen/>
            </w:r>
            <w:r w:rsidRPr="005D065D">
              <w:rPr>
                <w:sz w:val="24"/>
                <w:szCs w:val="24"/>
              </w:rPr>
              <w:t>, and Super</w:t>
            </w:r>
            <w:r w:rsidR="003D6EF8">
              <w:rPr>
                <w:sz w:val="24"/>
                <w:szCs w:val="24"/>
              </w:rPr>
              <w:noBreakHyphen/>
            </w:r>
            <w:r w:rsidRPr="005D065D">
              <w:rPr>
                <w:sz w:val="24"/>
                <w:szCs w:val="24"/>
              </w:rPr>
              <w:t>Off</w:t>
            </w:r>
            <w:r w:rsidR="003D6EF8">
              <w:rPr>
                <w:sz w:val="24"/>
                <w:szCs w:val="24"/>
              </w:rPr>
              <w:noBreakHyphen/>
            </w:r>
            <w:r w:rsidRPr="005D065D">
              <w:rPr>
                <w:sz w:val="24"/>
                <w:szCs w:val="24"/>
              </w:rPr>
              <w:t>peak periods as specified in the SOC.</w:t>
            </w:r>
          </w:p>
        </w:tc>
      </w:tr>
      <w:tr w:rsidRPr="005D065D" w:rsidR="00B96D68" w:rsidTr="008862E7" w14:paraId="073A7EB4" w14:textId="77777777">
        <w:tc>
          <w:tcPr>
            <w:tcW w:w="2605" w:type="dxa"/>
            <w:tcBorders>
              <w:bottom w:val="single" w:color="auto" w:sz="4" w:space="0"/>
            </w:tcBorders>
          </w:tcPr>
          <w:p w:rsidRPr="005D065D" w:rsidR="00B96D68" w:rsidP="005D065D" w:rsidRDefault="00B96D68" w14:paraId="539F2B48" w14:textId="77777777">
            <w:pPr>
              <w:spacing w:line="240" w:lineRule="auto"/>
              <w:ind w:firstLine="0"/>
              <w:rPr>
                <w:sz w:val="24"/>
                <w:szCs w:val="24"/>
              </w:rPr>
            </w:pPr>
            <w:r w:rsidRPr="005D065D">
              <w:rPr>
                <w:sz w:val="24"/>
                <w:szCs w:val="24"/>
              </w:rPr>
              <w:t>Guardrails</w:t>
            </w:r>
          </w:p>
        </w:tc>
        <w:tc>
          <w:tcPr>
            <w:tcW w:w="3330" w:type="dxa"/>
            <w:tcBorders>
              <w:bottom w:val="single" w:color="auto" w:sz="4" w:space="0"/>
            </w:tcBorders>
          </w:tcPr>
          <w:p w:rsidRPr="005D065D" w:rsidR="00B96D68" w:rsidP="005D065D" w:rsidRDefault="00B96D68" w14:paraId="1C4C5B20" w14:textId="715D071D">
            <w:pPr>
              <w:spacing w:line="240" w:lineRule="auto"/>
              <w:ind w:firstLine="0"/>
              <w:rPr>
                <w:sz w:val="24"/>
                <w:szCs w:val="24"/>
              </w:rPr>
            </w:pPr>
            <w:r w:rsidRPr="005D065D">
              <w:rPr>
                <w:sz w:val="24"/>
                <w:szCs w:val="24"/>
              </w:rPr>
              <w:t>Project Size</w:t>
            </w:r>
            <w:r w:rsidR="005D30D7">
              <w:rPr>
                <w:sz w:val="24"/>
                <w:szCs w:val="24"/>
              </w:rPr>
              <w:t xml:space="preserve">: </w:t>
            </w:r>
            <w:r w:rsidRPr="005D065D">
              <w:rPr>
                <w:sz w:val="24"/>
                <w:szCs w:val="24"/>
              </w:rPr>
              <w:t>3</w:t>
            </w:r>
            <w:r w:rsidR="0096488E">
              <w:rPr>
                <w:sz w:val="24"/>
                <w:szCs w:val="24"/>
              </w:rPr>
              <w:t> MW</w:t>
            </w:r>
            <w:r w:rsidR="000F37D9">
              <w:rPr>
                <w:sz w:val="24"/>
                <w:szCs w:val="24"/>
              </w:rPr>
              <w:t xml:space="preserve"> or less</w:t>
            </w:r>
          </w:p>
          <w:p w:rsidRPr="005D065D" w:rsidR="00B96D68" w:rsidP="005D065D" w:rsidRDefault="00B96D68" w14:paraId="385098AB" w14:textId="6AC491F6">
            <w:pPr>
              <w:spacing w:line="240" w:lineRule="auto"/>
              <w:ind w:firstLine="0"/>
              <w:rPr>
                <w:sz w:val="24"/>
                <w:szCs w:val="24"/>
              </w:rPr>
            </w:pPr>
            <w:r w:rsidRPr="005D065D">
              <w:rPr>
                <w:sz w:val="24"/>
                <w:szCs w:val="24"/>
              </w:rPr>
              <w:t>Program Size</w:t>
            </w:r>
            <w:r w:rsidR="005D30D7">
              <w:rPr>
                <w:sz w:val="24"/>
                <w:szCs w:val="24"/>
              </w:rPr>
              <w:t xml:space="preserve">: </w:t>
            </w:r>
            <w:r w:rsidRPr="005D065D">
              <w:rPr>
                <w:sz w:val="24"/>
                <w:szCs w:val="24"/>
              </w:rPr>
              <w:t>493.6</w:t>
            </w:r>
            <w:r w:rsidR="0096488E">
              <w:rPr>
                <w:sz w:val="24"/>
                <w:szCs w:val="24"/>
              </w:rPr>
              <w:t> MW</w:t>
            </w:r>
            <w:r w:rsidRPr="005D065D">
              <w:rPr>
                <w:sz w:val="24"/>
                <w:szCs w:val="24"/>
              </w:rPr>
              <w:t xml:space="preserve"> statewide cap</w:t>
            </w:r>
          </w:p>
        </w:tc>
        <w:tc>
          <w:tcPr>
            <w:tcW w:w="3425" w:type="dxa"/>
            <w:tcBorders>
              <w:bottom w:val="single" w:color="auto" w:sz="4" w:space="0"/>
            </w:tcBorders>
          </w:tcPr>
          <w:p w:rsidRPr="005D065D" w:rsidR="00B96D68" w:rsidP="005D065D" w:rsidRDefault="00B96D68" w14:paraId="06FD9AE3" w14:textId="043782D0">
            <w:pPr>
              <w:spacing w:line="240" w:lineRule="auto"/>
              <w:ind w:firstLine="0"/>
              <w:rPr>
                <w:sz w:val="24"/>
                <w:szCs w:val="24"/>
              </w:rPr>
            </w:pPr>
            <w:r w:rsidRPr="005D065D">
              <w:rPr>
                <w:sz w:val="24"/>
                <w:szCs w:val="24"/>
              </w:rPr>
              <w:t>Project Cap</w:t>
            </w:r>
            <w:r w:rsidR="005D30D7">
              <w:rPr>
                <w:sz w:val="24"/>
                <w:szCs w:val="24"/>
              </w:rPr>
              <w:t xml:space="preserve">: </w:t>
            </w:r>
            <w:r w:rsidRPr="005D065D">
              <w:rPr>
                <w:sz w:val="24"/>
                <w:szCs w:val="24"/>
              </w:rPr>
              <w:t>20</w:t>
            </w:r>
            <w:r w:rsidR="0096488E">
              <w:rPr>
                <w:sz w:val="24"/>
                <w:szCs w:val="24"/>
              </w:rPr>
              <w:t> MW</w:t>
            </w:r>
          </w:p>
          <w:p w:rsidRPr="005D065D" w:rsidR="00B96D68" w:rsidP="005D065D" w:rsidRDefault="00B96D68" w14:paraId="4A2BA3DF" w14:textId="43E9DA5A">
            <w:pPr>
              <w:spacing w:line="240" w:lineRule="auto"/>
              <w:ind w:firstLine="0"/>
              <w:rPr>
                <w:sz w:val="24"/>
                <w:szCs w:val="24"/>
              </w:rPr>
            </w:pPr>
            <w:r w:rsidRPr="005D065D">
              <w:rPr>
                <w:sz w:val="24"/>
                <w:szCs w:val="24"/>
              </w:rPr>
              <w:t>Program Size</w:t>
            </w:r>
            <w:r w:rsidR="005D30D7">
              <w:rPr>
                <w:sz w:val="24"/>
                <w:szCs w:val="24"/>
              </w:rPr>
              <w:t xml:space="preserve">: </w:t>
            </w:r>
            <w:r w:rsidRPr="005D065D">
              <w:rPr>
                <w:sz w:val="24"/>
                <w:szCs w:val="24"/>
              </w:rPr>
              <w:t>uncapped</w:t>
            </w:r>
          </w:p>
        </w:tc>
      </w:tr>
      <w:tr w:rsidRPr="005D065D" w:rsidR="00B96D68" w:rsidTr="008862E7" w14:paraId="630819B2" w14:textId="77777777">
        <w:tc>
          <w:tcPr>
            <w:tcW w:w="2605" w:type="dxa"/>
            <w:tcBorders>
              <w:bottom w:val="single" w:color="auto" w:sz="4" w:space="0"/>
            </w:tcBorders>
          </w:tcPr>
          <w:p w:rsidRPr="005D065D" w:rsidR="00B96D68" w:rsidP="005D065D" w:rsidRDefault="00B96D68" w14:paraId="6A1B66F3" w14:textId="77777777">
            <w:pPr>
              <w:spacing w:line="240" w:lineRule="auto"/>
              <w:ind w:firstLine="0"/>
              <w:rPr>
                <w:sz w:val="24"/>
                <w:szCs w:val="24"/>
              </w:rPr>
            </w:pPr>
            <w:r w:rsidRPr="005D065D">
              <w:rPr>
                <w:sz w:val="24"/>
                <w:szCs w:val="24"/>
              </w:rPr>
              <w:t>Subscriber Bill Credit</w:t>
            </w:r>
          </w:p>
        </w:tc>
        <w:tc>
          <w:tcPr>
            <w:tcW w:w="3330" w:type="dxa"/>
            <w:tcBorders>
              <w:bottom w:val="single" w:color="auto" w:sz="4" w:space="0"/>
            </w:tcBorders>
          </w:tcPr>
          <w:p w:rsidRPr="005D065D" w:rsidR="00B96D68" w:rsidP="005D065D" w:rsidRDefault="00B96D68" w14:paraId="384974E2" w14:textId="78219E69">
            <w:pPr>
              <w:spacing w:line="240" w:lineRule="auto"/>
              <w:ind w:firstLine="0"/>
              <w:rPr>
                <w:sz w:val="24"/>
                <w:szCs w:val="24"/>
              </w:rPr>
            </w:pPr>
            <w:r w:rsidRPr="005D065D">
              <w:rPr>
                <w:sz w:val="24"/>
                <w:szCs w:val="24"/>
              </w:rPr>
              <w:t>No existing subscription element.</w:t>
            </w:r>
          </w:p>
        </w:tc>
        <w:tc>
          <w:tcPr>
            <w:tcW w:w="3425" w:type="dxa"/>
            <w:tcBorders>
              <w:bottom w:val="single" w:color="auto" w:sz="4" w:space="0"/>
            </w:tcBorders>
          </w:tcPr>
          <w:p w:rsidRPr="005D065D" w:rsidR="00B96D68" w:rsidP="005D065D" w:rsidRDefault="00B96D68" w14:paraId="7515DE8F" w14:textId="3B1C4915">
            <w:pPr>
              <w:spacing w:line="240" w:lineRule="auto"/>
              <w:ind w:firstLine="0"/>
              <w:rPr>
                <w:sz w:val="24"/>
                <w:szCs w:val="24"/>
              </w:rPr>
            </w:pPr>
            <w:r w:rsidRPr="005D065D">
              <w:rPr>
                <w:sz w:val="24"/>
                <w:szCs w:val="24"/>
              </w:rPr>
              <w:t>No existing subscription element.</w:t>
            </w:r>
          </w:p>
        </w:tc>
      </w:tr>
      <w:tr w:rsidRPr="008862E7" w:rsidR="008862E7" w:rsidTr="008862E7" w14:paraId="789BE921" w14:textId="77777777">
        <w:tc>
          <w:tcPr>
            <w:tcW w:w="2605" w:type="dxa"/>
            <w:tcBorders>
              <w:top w:val="single" w:color="auto" w:sz="4" w:space="0"/>
              <w:left w:val="nil"/>
              <w:bottom w:val="nil"/>
              <w:right w:val="nil"/>
            </w:tcBorders>
          </w:tcPr>
          <w:p w:rsidRPr="008862E7" w:rsidR="008862E7" w:rsidP="005D065D" w:rsidRDefault="008862E7" w14:paraId="2470CA93" w14:textId="77777777">
            <w:pPr>
              <w:spacing w:line="240" w:lineRule="auto"/>
              <w:ind w:firstLine="0"/>
              <w:rPr>
                <w:sz w:val="12"/>
                <w:szCs w:val="24"/>
              </w:rPr>
            </w:pPr>
          </w:p>
        </w:tc>
        <w:tc>
          <w:tcPr>
            <w:tcW w:w="3330" w:type="dxa"/>
            <w:tcBorders>
              <w:top w:val="single" w:color="auto" w:sz="4" w:space="0"/>
              <w:left w:val="nil"/>
              <w:bottom w:val="nil"/>
              <w:right w:val="nil"/>
            </w:tcBorders>
          </w:tcPr>
          <w:p w:rsidRPr="008862E7" w:rsidR="008862E7" w:rsidP="005D065D" w:rsidRDefault="008862E7" w14:paraId="16182353" w14:textId="77777777">
            <w:pPr>
              <w:spacing w:line="240" w:lineRule="auto"/>
              <w:ind w:firstLine="0"/>
              <w:rPr>
                <w:sz w:val="12"/>
                <w:szCs w:val="24"/>
              </w:rPr>
            </w:pPr>
          </w:p>
        </w:tc>
        <w:tc>
          <w:tcPr>
            <w:tcW w:w="3425" w:type="dxa"/>
            <w:tcBorders>
              <w:top w:val="single" w:color="auto" w:sz="4" w:space="0"/>
              <w:left w:val="nil"/>
              <w:bottom w:val="nil"/>
              <w:right w:val="nil"/>
            </w:tcBorders>
          </w:tcPr>
          <w:p w:rsidRPr="008862E7" w:rsidR="008862E7" w:rsidP="005D065D" w:rsidRDefault="008862E7" w14:paraId="370FEA4A" w14:textId="77777777">
            <w:pPr>
              <w:spacing w:line="240" w:lineRule="auto"/>
              <w:ind w:firstLine="0"/>
              <w:rPr>
                <w:sz w:val="12"/>
                <w:szCs w:val="24"/>
              </w:rPr>
            </w:pPr>
          </w:p>
        </w:tc>
      </w:tr>
    </w:tbl>
    <w:p w:rsidR="00862233" w:rsidP="008862E7" w:rsidRDefault="00DC46D4" w14:paraId="3335C67B" w14:textId="2AE5E471">
      <w:pPr>
        <w:pStyle w:val="Heading4"/>
      </w:pPr>
      <w:bookmarkStart w:name="_Toc159551198" w:id="190"/>
      <w:bookmarkStart w:name="_Toc168559316" w:id="191"/>
      <w:r>
        <w:t>Adopted Elements of</w:t>
      </w:r>
      <w:r w:rsidR="000806B8">
        <w:br/>
      </w:r>
      <w:r>
        <w:t>the Community Renewable</w:t>
      </w:r>
      <w:r w:rsidR="000806B8">
        <w:br/>
      </w:r>
      <w:r>
        <w:t>Energy Program</w:t>
      </w:r>
      <w:bookmarkEnd w:id="190"/>
      <w:bookmarkEnd w:id="191"/>
    </w:p>
    <w:p w:rsidR="00F61055" w:rsidP="00AC6E92" w:rsidRDefault="00DC46D4" w14:paraId="0AB37A65" w14:textId="72E3A2CE">
      <w:pPr>
        <w:pStyle w:val="Standard"/>
      </w:pPr>
      <w:r>
        <w:t xml:space="preserve">Below, this decision discusses the elements of the adopted community renewable </w:t>
      </w:r>
      <w:r w:rsidR="00F61055">
        <w:t>energy program. Generally, the adopted community renewable energy program will use the current tariffs (ReMAT and the PURPA Standard Offer Contract</w:t>
      </w:r>
      <w:r w:rsidR="000F37D9">
        <w:t xml:space="preserve"> or any other existing PURPA</w:t>
      </w:r>
      <w:r w:rsidR="003D6EF8">
        <w:noBreakHyphen/>
      </w:r>
      <w:r w:rsidR="000F37D9">
        <w:t>compliant wholesale tariffs as identified by Utilities</w:t>
      </w:r>
      <w:r w:rsidR="00F61055">
        <w:t>) as a foundation</w:t>
      </w:r>
      <w:r w:rsidR="009A121A">
        <w:t xml:space="preserve"> and layer on a subscription model</w:t>
      </w:r>
      <w:r w:rsidR="001E082C">
        <w:t>.</w:t>
      </w:r>
    </w:p>
    <w:p w:rsidR="00BA58BF" w:rsidP="00AC6E92" w:rsidRDefault="00F61055" w14:paraId="60E9341E" w14:textId="1B58E9D1">
      <w:pPr>
        <w:pStyle w:val="Standard"/>
      </w:pPr>
      <w:r>
        <w:lastRenderedPageBreak/>
        <w:t>First, t</w:t>
      </w:r>
      <w:r w:rsidR="008A1F26">
        <w:t xml:space="preserve">o address the concern that </w:t>
      </w:r>
      <w:r w:rsidR="000F37D9">
        <w:t>wholesale tariff compensation such as R</w:t>
      </w:r>
      <w:r w:rsidR="005D1887">
        <w:t>e</w:t>
      </w:r>
      <w:r w:rsidR="000F37D9">
        <w:t xml:space="preserve">MAT and </w:t>
      </w:r>
      <w:r w:rsidR="008A1F26">
        <w:t>PURPA avoided cost</w:t>
      </w:r>
      <w:r w:rsidR="006D7DD0">
        <w:t>s</w:t>
      </w:r>
      <w:r w:rsidR="008A1F26">
        <w:t xml:space="preserve"> may be insufficient to create and grow interest in community renewable energy program projects, </w:t>
      </w:r>
      <w:r w:rsidR="0042205C">
        <w:t>the Commission adopts the use</w:t>
      </w:r>
      <w:r w:rsidR="008A1F26">
        <w:t xml:space="preserve"> of $33</w:t>
      </w:r>
      <w:r w:rsidR="001E44CA">
        <w:t> million</w:t>
      </w:r>
      <w:r w:rsidR="008A1F26">
        <w:t xml:space="preserve"> appropriated to the Commission for community </w:t>
      </w:r>
      <w:r w:rsidR="00FC1307">
        <w:t xml:space="preserve">energy renewable program </w:t>
      </w:r>
      <w:r w:rsidR="008A1F26">
        <w:t>usage</w:t>
      </w:r>
      <w:r w:rsidR="00684B45">
        <w:t xml:space="preserve"> and storage</w:t>
      </w:r>
      <w:r w:rsidR="003D6EF8">
        <w:noBreakHyphen/>
      </w:r>
      <w:r w:rsidR="00684B45">
        <w:t>back</w:t>
      </w:r>
      <w:r w:rsidR="000B0DEB">
        <w:t>ed</w:t>
      </w:r>
      <w:r w:rsidR="00684B45">
        <w:t xml:space="preserve"> renewable generation programs</w:t>
      </w:r>
      <w:r w:rsidR="008A1F26">
        <w:t>.</w:t>
      </w:r>
      <w:r w:rsidR="008A1F26">
        <w:rPr>
          <w:rStyle w:val="FootnoteReference"/>
        </w:rPr>
        <w:footnoteReference w:id="327"/>
      </w:r>
      <w:r w:rsidR="008A1F26">
        <w:t xml:space="preserve"> Furt</w:t>
      </w:r>
      <w:r w:rsidRPr="0024119E" w:rsidR="008A1F26">
        <w:t xml:space="preserve">hermore, the California </w:t>
      </w:r>
      <w:r w:rsidRPr="0024119E" w:rsidR="000F37D9">
        <w:t>Infrastructure and Economic Development Bank</w:t>
      </w:r>
      <w:r w:rsidR="008A1F26">
        <w:t xml:space="preserve">, on behalf of California, has applied for grant </w:t>
      </w:r>
      <w:r w:rsidR="000F37D9">
        <w:t xml:space="preserve">funding </w:t>
      </w:r>
      <w:r w:rsidR="008A1F26">
        <w:t>from the Environmental Protection Agency</w:t>
      </w:r>
      <w:r w:rsidR="00440785">
        <w:t>’</w:t>
      </w:r>
      <w:r w:rsidR="008A1F26">
        <w:t>s Solar for All competition.</w:t>
      </w:r>
      <w:r w:rsidR="008A1F26">
        <w:rPr>
          <w:rStyle w:val="FootnoteReference"/>
        </w:rPr>
        <w:footnoteReference w:id="328"/>
      </w:r>
    </w:p>
    <w:p w:rsidR="00C63FDA" w:rsidP="00D50C17" w:rsidRDefault="00CA6CB3" w14:paraId="62D524CC" w14:textId="3D0EC18E">
      <w:pPr>
        <w:pStyle w:val="Standard"/>
      </w:pPr>
      <w:r>
        <w:t>In addition to taking maximum advantage of federal capital support and tax credits for community solar projects, developers are encouraged to utilize direct lending and credit support to be made available under the U.S. Environmental Protection Agency</w:t>
      </w:r>
      <w:r w:rsidR="00440785">
        <w:t>’</w:t>
      </w:r>
      <w:r>
        <w:t>s National Clean Investment Fund and</w:t>
      </w:r>
      <w:r w:rsidR="00B20E89">
        <w:t xml:space="preserve"> </w:t>
      </w:r>
      <w:r>
        <w:t>Clean Communities Investment Accelerator.</w:t>
      </w:r>
    </w:p>
    <w:p w:rsidR="00BA58BF" w:rsidP="00D50C17" w:rsidRDefault="008540C2" w14:paraId="06878A1E" w14:textId="6DA64F9A">
      <w:pPr>
        <w:pStyle w:val="Standard"/>
      </w:pPr>
      <w:r>
        <w:t>Turning to eligibility requirements</w:t>
      </w:r>
      <w:r w:rsidR="005C401F">
        <w:t xml:space="preserve">, </w:t>
      </w:r>
      <w:r w:rsidR="00CA6CB3">
        <w:t xml:space="preserve">in compliance with </w:t>
      </w:r>
      <w:r w:rsidR="00440785">
        <w:t>Pub. Util.</w:t>
      </w:r>
      <w:r w:rsidR="00CA6CB3">
        <w:t xml:space="preserve"> Code </w:t>
      </w:r>
      <w:r w:rsidR="003627A8">
        <w:t>Section </w:t>
      </w:r>
      <w:r w:rsidR="00CA6CB3">
        <w:t>769.3, each participating project shall have a minimum of 51</w:t>
      </w:r>
      <w:r w:rsidR="00D376A8">
        <w:t> percent</w:t>
      </w:r>
      <w:r w:rsidR="00CA6CB3">
        <w:t xml:space="preserve"> of subscribers</w:t>
      </w:r>
      <w:r w:rsidR="00440785">
        <w:t>’</w:t>
      </w:r>
      <w:r w:rsidR="00544875">
        <w:t xml:space="preserve"> capacity</w:t>
      </w:r>
      <w:r w:rsidR="00CA6CB3">
        <w:t xml:space="preserve"> </w:t>
      </w:r>
      <w:r w:rsidR="00544875">
        <w:t>as ascribed to</w:t>
      </w:r>
      <w:r w:rsidR="00CA6CB3">
        <w:t xml:space="preserve"> </w:t>
      </w:r>
      <w:r w:rsidR="005C401F">
        <w:t>low</w:t>
      </w:r>
      <w:r w:rsidR="003D6EF8">
        <w:noBreakHyphen/>
      </w:r>
      <w:r w:rsidR="005C401F">
        <w:t xml:space="preserve">income </w:t>
      </w:r>
      <w:bookmarkStart w:name="_Hlk158220204" w:id="192"/>
      <w:r w:rsidR="00544875">
        <w:t xml:space="preserve">customer </w:t>
      </w:r>
      <w:r w:rsidR="00CA6CB3">
        <w:t xml:space="preserve">subscribers </w:t>
      </w:r>
      <w:r w:rsidR="000F2AB1">
        <w:t>(</w:t>
      </w:r>
      <w:r w:rsidR="008E5279">
        <w:t xml:space="preserve">as defined in </w:t>
      </w:r>
      <w:r w:rsidR="00440785">
        <w:t>Pub. Util.</w:t>
      </w:r>
      <w:r w:rsidR="008E5279">
        <w:t xml:space="preserve"> Code </w:t>
      </w:r>
      <w:r w:rsidR="003627A8">
        <w:t>Section </w:t>
      </w:r>
      <w:r w:rsidR="008E5279">
        <w:t>769.3</w:t>
      </w:r>
      <w:r w:rsidR="000F2AB1">
        <w:t>)</w:t>
      </w:r>
      <w:r w:rsidR="00CA6CB3">
        <w:t xml:space="preserve">. The remaining portion </w:t>
      </w:r>
      <w:r w:rsidR="00544875">
        <w:t>is not limited</w:t>
      </w:r>
      <w:r w:rsidR="00407D81">
        <w:t xml:space="preserve">, but developers are encouraged to focus on enrolling </w:t>
      </w:r>
      <w:r w:rsidR="00CA6CB3">
        <w:t>non</w:t>
      </w:r>
      <w:r w:rsidR="003D6EF8">
        <w:noBreakHyphen/>
      </w:r>
      <w:r w:rsidR="00CA6CB3">
        <w:t>low</w:t>
      </w:r>
      <w:r w:rsidR="003D6EF8">
        <w:noBreakHyphen/>
      </w:r>
      <w:r w:rsidR="00CA6CB3">
        <w:t>income customers who rent or lease their space</w:t>
      </w:r>
      <w:r w:rsidR="008E5279">
        <w:t xml:space="preserve"> </w:t>
      </w:r>
      <w:bookmarkEnd w:id="192"/>
      <w:r w:rsidR="00CA6CB3">
        <w:t>as t</w:t>
      </w:r>
      <w:r w:rsidR="00496309">
        <w:t xml:space="preserve">hese </w:t>
      </w:r>
      <w:r w:rsidR="00EF4C2E">
        <w:t>(along with low</w:t>
      </w:r>
      <w:r w:rsidR="003D6EF8">
        <w:noBreakHyphen/>
      </w:r>
      <w:r w:rsidR="00EF4C2E">
        <w:t xml:space="preserve">income customers) </w:t>
      </w:r>
      <w:r w:rsidR="00496309">
        <w:t xml:space="preserve">are the </w:t>
      </w:r>
      <w:r w:rsidR="00E14FDE">
        <w:t xml:space="preserve">customers the Legislature intended to </w:t>
      </w:r>
      <w:r w:rsidR="00EF4C2E">
        <w:t>target</w:t>
      </w:r>
      <w:r w:rsidR="00E14FDE">
        <w:t xml:space="preserve"> with </w:t>
      </w:r>
      <w:r w:rsidR="003627A8">
        <w:t>AB </w:t>
      </w:r>
      <w:r w:rsidR="00E14FDE">
        <w:t xml:space="preserve">2316. </w:t>
      </w:r>
      <w:r w:rsidR="003E3E81">
        <w:t xml:space="preserve">To reduce administrative </w:t>
      </w:r>
      <w:r w:rsidR="00C221BA">
        <w:t>costs and minimize market, education, and outreach costs</w:t>
      </w:r>
      <w:r w:rsidR="005A2326">
        <w:t xml:space="preserve"> </w:t>
      </w:r>
      <w:r w:rsidR="004474BD">
        <w:t xml:space="preserve">while </w:t>
      </w:r>
      <w:r w:rsidR="004474BD">
        <w:lastRenderedPageBreak/>
        <w:t xml:space="preserve">also </w:t>
      </w:r>
      <w:r w:rsidR="00654502">
        <w:t>reducing</w:t>
      </w:r>
      <w:r w:rsidR="004474BD">
        <w:t xml:space="preserve"> barriers to access, </w:t>
      </w:r>
      <w:r w:rsidR="00CA6CB3">
        <w:t>low</w:t>
      </w:r>
      <w:r w:rsidR="003D6EF8">
        <w:noBreakHyphen/>
      </w:r>
      <w:r w:rsidR="00CA6CB3">
        <w:t>income subscribers meeting each Utility or C</w:t>
      </w:r>
      <w:r w:rsidR="003C66EC">
        <w:t>CA</w:t>
      </w:r>
      <w:r w:rsidR="00440785">
        <w:t>’</w:t>
      </w:r>
      <w:r w:rsidR="003C66EC">
        <w:t>s Arrearage Management Program enrollment criteria will be prioritized for automatic enrollment, followed by all other low</w:t>
      </w:r>
      <w:r w:rsidR="003D6EF8">
        <w:noBreakHyphen/>
      </w:r>
      <w:r w:rsidR="003C66EC">
        <w:t xml:space="preserve">income customers (as defined in </w:t>
      </w:r>
      <w:r w:rsidR="00440785">
        <w:t>Pub. Util.</w:t>
      </w:r>
      <w:r w:rsidR="003C66EC">
        <w:t xml:space="preserve"> Code </w:t>
      </w:r>
      <w:r w:rsidR="003627A8">
        <w:t>Section </w:t>
      </w:r>
      <w:r w:rsidR="003C66EC">
        <w:t>769.3) who subscribe to the tariff. These low</w:t>
      </w:r>
      <w:r w:rsidR="003D6EF8">
        <w:noBreakHyphen/>
      </w:r>
      <w:r w:rsidR="003C66EC">
        <w:t xml:space="preserve">income </w:t>
      </w:r>
      <w:r w:rsidR="007D2CA0">
        <w:t xml:space="preserve">customers will be automatically enrolled by their utility or participating </w:t>
      </w:r>
      <w:r w:rsidR="00FA0994">
        <w:t>CCA</w:t>
      </w:r>
      <w:r w:rsidR="00652384">
        <w:t xml:space="preserve"> but provided an opportunity to opt out of the tariff.</w:t>
      </w:r>
      <w:r w:rsidR="00E051E7">
        <w:t xml:space="preserve"> The Commission finds this reasonable as it adopted this practice previously in D.20</w:t>
      </w:r>
      <w:r w:rsidR="003D6EF8">
        <w:noBreakHyphen/>
      </w:r>
      <w:r w:rsidR="00E051E7">
        <w:t>07</w:t>
      </w:r>
      <w:r w:rsidR="003D6EF8">
        <w:noBreakHyphen/>
      </w:r>
      <w:r w:rsidR="00E051E7">
        <w:t xml:space="preserve">008, the </w:t>
      </w:r>
      <w:r w:rsidRPr="005D065D" w:rsidR="00E051E7">
        <w:rPr>
          <w:i/>
          <w:iCs/>
        </w:rPr>
        <w:t>Decision Implementing Automatic Enrollment of Disadvantaged Communities Green Tariff</w:t>
      </w:r>
      <w:r w:rsidR="003C66EC">
        <w:rPr>
          <w:i/>
          <w:iCs/>
        </w:rPr>
        <w:t xml:space="preserve">. </w:t>
      </w:r>
      <w:r w:rsidRPr="006C36A5" w:rsidR="003C66EC">
        <w:t>Non</w:t>
      </w:r>
      <w:r w:rsidR="003D6EF8">
        <w:noBreakHyphen/>
      </w:r>
      <w:r w:rsidRPr="006C36A5" w:rsidR="003C66EC">
        <w:t>low</w:t>
      </w:r>
      <w:r w:rsidR="003D6EF8">
        <w:noBreakHyphen/>
      </w:r>
      <w:r w:rsidRPr="006C36A5" w:rsidR="003C66EC">
        <w:t>income subscribers do not require auto</w:t>
      </w:r>
      <w:r w:rsidR="003D6EF8">
        <w:noBreakHyphen/>
      </w:r>
      <w:r w:rsidRPr="006C36A5" w:rsidR="003C66EC">
        <w:t>enrollment by a utility or participating CCA.</w:t>
      </w:r>
      <w:r w:rsidR="0075434B">
        <w:t xml:space="preserve"> This decision clarifies that, while AB 2316 and Pub. Util. Code §769.3 focus </w:t>
      </w:r>
      <w:r w:rsidR="00A422F9">
        <w:t xml:space="preserve">attention </w:t>
      </w:r>
      <w:r w:rsidR="0075434B">
        <w:t xml:space="preserve">on low-income customers and customers in disadvantaged communities, eligibility for participation in the community renewable energy program includes </w:t>
      </w:r>
      <w:r w:rsidR="00A422F9">
        <w:t xml:space="preserve">all customers including </w:t>
      </w:r>
      <w:r w:rsidR="0075434B">
        <w:t>small commercial customers.</w:t>
      </w:r>
    </w:p>
    <w:p w:rsidR="00E051E7" w:rsidP="00AC6E92" w:rsidRDefault="00464AFE" w14:paraId="06FCFC24" w14:textId="02869F5D">
      <w:pPr>
        <w:pStyle w:val="Standard"/>
      </w:pPr>
      <w:r>
        <w:t>With respect to bill credits</w:t>
      </w:r>
      <w:r w:rsidR="006E4D2F">
        <w:t>, the Commission finds the</w:t>
      </w:r>
      <w:r w:rsidR="00C31798">
        <w:t xml:space="preserve"> SCE proposal to </w:t>
      </w:r>
      <w:r w:rsidR="003C66EC">
        <w:t xml:space="preserve">use the simplified Shared Savings Model using balancing accounts to </w:t>
      </w:r>
      <w:r w:rsidR="00C31798">
        <w:t xml:space="preserve">provide a </w:t>
      </w:r>
      <w:r w:rsidR="001E0728">
        <w:t>flat</w:t>
      </w:r>
      <w:r w:rsidR="00C31798">
        <w:t xml:space="preserve"> monetary credit on </w:t>
      </w:r>
      <w:r w:rsidR="003C66EC">
        <w:t xml:space="preserve">subscriber </w:t>
      </w:r>
      <w:r w:rsidR="00C44297">
        <w:t xml:space="preserve">bills is reasonable, as </w:t>
      </w:r>
      <w:r w:rsidR="00E051E7">
        <w:t>compensation in energy units is not applicable because netting on the account is not being performed</w:t>
      </w:r>
      <w:r w:rsidR="00E6145B">
        <w:t>.</w:t>
      </w:r>
      <w:r w:rsidR="001E0728">
        <w:t xml:space="preserve"> </w:t>
      </w:r>
      <w:r w:rsidR="003C66EC">
        <w:t>Additional</w:t>
      </w:r>
      <w:r w:rsidR="0037107A">
        <w:t>ly,</w:t>
      </w:r>
      <w:r w:rsidR="003C66EC">
        <w:t xml:space="preserve"> PG&amp;E contends that providing a flat monetary credit based on percentage of resource revenue rather than subscriber usage would </w:t>
      </w:r>
      <w:r w:rsidR="00440785">
        <w:t>“</w:t>
      </w:r>
      <w:r w:rsidR="003C66EC">
        <w:t>avoid the volumetric discount prohibition that prevents [greenhouse gas] auction revenue being used to fund participant bill credits.</w:t>
      </w:r>
      <w:r w:rsidR="00440785">
        <w:t>”</w:t>
      </w:r>
      <w:r w:rsidR="003C66EC">
        <w:rPr>
          <w:rStyle w:val="FootnoteReference"/>
        </w:rPr>
        <w:footnoteReference w:id="329"/>
      </w:r>
      <w:r w:rsidR="003C66EC">
        <w:t xml:space="preserve"> </w:t>
      </w:r>
      <w:r w:rsidR="004764BA">
        <w:t xml:space="preserve">SCE proposes the credit would be based on a percentage of the </w:t>
      </w:r>
      <w:r w:rsidR="003108DE">
        <w:t xml:space="preserve">contracted compensation. </w:t>
      </w:r>
      <w:r w:rsidR="00EF49F0">
        <w:t>SCE proposes 20</w:t>
      </w:r>
      <w:r w:rsidR="00D376A8">
        <w:t> percent</w:t>
      </w:r>
      <w:r w:rsidR="00EF49F0">
        <w:t xml:space="preserve"> for low</w:t>
      </w:r>
      <w:r w:rsidR="003D6EF8">
        <w:noBreakHyphen/>
      </w:r>
      <w:r w:rsidR="00EF49F0">
        <w:t xml:space="preserve">income </w:t>
      </w:r>
      <w:r w:rsidR="00E20052">
        <w:t xml:space="preserve">subscribers </w:t>
      </w:r>
      <w:r w:rsidR="00EF49F0">
        <w:t>and 10</w:t>
      </w:r>
      <w:r w:rsidR="00D376A8">
        <w:t> percent</w:t>
      </w:r>
      <w:r w:rsidR="00EF49F0">
        <w:t xml:space="preserve"> for non</w:t>
      </w:r>
      <w:r w:rsidR="003D6EF8">
        <w:noBreakHyphen/>
      </w:r>
      <w:r w:rsidR="00EF49F0">
        <w:t>low</w:t>
      </w:r>
      <w:r w:rsidR="003D6EF8">
        <w:noBreakHyphen/>
      </w:r>
      <w:r w:rsidR="00EF49F0">
        <w:t xml:space="preserve">income </w:t>
      </w:r>
      <w:r w:rsidR="00E20052">
        <w:t>subscribers</w:t>
      </w:r>
      <w:r w:rsidR="00EF49F0">
        <w:t xml:space="preserve">. </w:t>
      </w:r>
      <w:r w:rsidR="00927A0A">
        <w:t xml:space="preserve">The </w:t>
      </w:r>
      <w:r w:rsidR="00927A0A">
        <w:lastRenderedPageBreak/>
        <w:t>Commission</w:t>
      </w:r>
      <w:r w:rsidR="00AD13C5">
        <w:t xml:space="preserve"> find</w:t>
      </w:r>
      <w:r w:rsidR="00927A0A">
        <w:t>s</w:t>
      </w:r>
      <w:r w:rsidR="00AD13C5">
        <w:t xml:space="preserve"> </w:t>
      </w:r>
      <w:r w:rsidR="00E20052">
        <w:t>that a minimum 20</w:t>
      </w:r>
      <w:r w:rsidR="00D376A8">
        <w:t> percent</w:t>
      </w:r>
      <w:r w:rsidR="00E20052">
        <w:t xml:space="preserve"> revenue share for low</w:t>
      </w:r>
      <w:r w:rsidR="003D6EF8">
        <w:noBreakHyphen/>
      </w:r>
      <w:r w:rsidR="00E20052">
        <w:t>income subscribers is reasonable</w:t>
      </w:r>
      <w:r w:rsidR="00FD28BA">
        <w:t xml:space="preserve"> and provides protection for subscribers</w:t>
      </w:r>
      <w:r w:rsidR="00E20052">
        <w:t xml:space="preserve">. </w:t>
      </w:r>
      <w:r w:rsidR="00544875">
        <w:t>However, t</w:t>
      </w:r>
      <w:r w:rsidR="00FD28BA">
        <w:t>he record of this proceeding does not contain adequate details on a specific percentage credit.</w:t>
      </w:r>
      <w:r w:rsidR="00E20052">
        <w:t xml:space="preserve"> </w:t>
      </w:r>
      <w:r w:rsidR="002F03BF">
        <w:t xml:space="preserve">A future ruling in this proceeding will allow for additional record development. </w:t>
      </w:r>
      <w:r w:rsidR="00E20052">
        <w:t xml:space="preserve">The Commission </w:t>
      </w:r>
      <w:r w:rsidR="00544875">
        <w:t xml:space="preserve">also </w:t>
      </w:r>
      <w:r w:rsidR="00E20052">
        <w:t>declines to specify a minimum revenue share for non</w:t>
      </w:r>
      <w:r w:rsidR="003D6EF8">
        <w:noBreakHyphen/>
      </w:r>
      <w:r w:rsidR="00E20052">
        <w:t>low</w:t>
      </w:r>
      <w:r w:rsidR="003D6EF8">
        <w:noBreakHyphen/>
      </w:r>
      <w:r w:rsidR="00E20052">
        <w:t>income subscribers as they will not receive a subsidy through external funding.</w:t>
      </w:r>
    </w:p>
    <w:p w:rsidR="000D7E2D" w:rsidP="002D234A" w:rsidRDefault="000D7E2D" w14:paraId="4EE5818B" w14:textId="26C2F87D">
      <w:pPr>
        <w:pStyle w:val="Standard"/>
      </w:pPr>
      <w:r>
        <w:t xml:space="preserve">Utilities would have the role of fiscal agents and apply monetary credits to the generation, </w:t>
      </w:r>
      <w:r w:rsidRPr="00150E4C" w:rsidR="00150E4C">
        <w:rPr>
          <w:i/>
          <w:iCs/>
        </w:rPr>
        <w:t>i.e.</w:t>
      </w:r>
      <w:r>
        <w:t xml:space="preserve">, benefiting, and customer, </w:t>
      </w:r>
      <w:r w:rsidRPr="00150E4C" w:rsidR="00150E4C">
        <w:rPr>
          <w:i/>
          <w:iCs/>
        </w:rPr>
        <w:t>i.e.</w:t>
      </w:r>
      <w:r>
        <w:t xml:space="preserve">, subscriber, accounts. The Commission finds that it is reasonable to direct </w:t>
      </w:r>
      <w:r w:rsidR="0037107A">
        <w:t>U</w:t>
      </w:r>
      <w:r>
        <w:t>tilities to establish a balancing account to track the subscriber revenue shares and distribute the appropriate shares through the bill credit. Further, changes to the credits based on facility performance and credit distribution can be easily updated through an annual true</w:t>
      </w:r>
      <w:r w:rsidR="003D6EF8">
        <w:noBreakHyphen/>
      </w:r>
      <w:r>
        <w:t>up process.</w:t>
      </w:r>
      <w:r>
        <w:rPr>
          <w:rStyle w:val="FootnoteReference"/>
        </w:rPr>
        <w:footnoteReference w:id="330"/>
      </w:r>
    </w:p>
    <w:p w:rsidR="00A05879" w:rsidP="002D234A" w:rsidRDefault="00A05879" w14:paraId="751F4D78" w14:textId="26DDADB1">
      <w:pPr>
        <w:pStyle w:val="Standard"/>
      </w:pPr>
      <w:r>
        <w:t>In comments to the proposed decision, several parties express concern over the viability of the community renewable energy program. In its proposed modifications to the NVBT, Cal Advocates proposed an evaluation in combination with a sunset date that occurs shortly after the evaluation, noting that if the program is successful, the sunset date could be extended.</w:t>
      </w:r>
      <w:r>
        <w:rPr>
          <w:rStyle w:val="FootnoteReference"/>
        </w:rPr>
        <w:footnoteReference w:id="331"/>
      </w:r>
      <w:r>
        <w:t xml:space="preserve"> As discussed in Section 3.4.8. below, </w:t>
      </w:r>
      <w:r w:rsidR="0022261B">
        <w:t>t</w:t>
      </w:r>
      <w:r>
        <w:t xml:space="preserve">his decision adopts an evaluation of the community renewable energy program </w:t>
      </w:r>
      <w:r w:rsidR="0022261B">
        <w:t xml:space="preserve">as well as the other tariffs adopted herein. </w:t>
      </w:r>
      <w:r w:rsidR="006A1F5C">
        <w:t>However, t</w:t>
      </w:r>
      <w:r w:rsidR="0022261B">
        <w:t xml:space="preserve">he record of this proceeding contains no details on what would be considered a successful community renewable energy program. </w:t>
      </w:r>
      <w:r w:rsidR="0022261B">
        <w:lastRenderedPageBreak/>
        <w:t xml:space="preserve">Accordingly, </w:t>
      </w:r>
      <w:r w:rsidR="006A1F5C">
        <w:t>the workshop with parties to discuss the objectives, methodology, and metrics for the evaluations of the community renewable energy program will include discussion of</w:t>
      </w:r>
      <w:r w:rsidR="0022261B">
        <w:t xml:space="preserve"> what a successful community renewable energy program would look like</w:t>
      </w:r>
      <w:r w:rsidR="009963FB">
        <w:t xml:space="preserve">, </w:t>
      </w:r>
      <w:r w:rsidRPr="009963FB" w:rsidR="009963FB">
        <w:rPr>
          <w:szCs w:val="26"/>
        </w:rPr>
        <w:t>including metrics for success and a megawatt baseline expectation for the community renewable energy program</w:t>
      </w:r>
      <w:r w:rsidRPr="009963FB" w:rsidR="0022261B">
        <w:rPr>
          <w:szCs w:val="26"/>
        </w:rPr>
        <w:t>.</w:t>
      </w:r>
    </w:p>
    <w:p w:rsidR="00BA58BF" w:rsidP="001B1E90" w:rsidRDefault="000D7E2D" w14:paraId="273B9FB8" w14:textId="03D45605">
      <w:pPr>
        <w:pStyle w:val="Heading4"/>
      </w:pPr>
      <w:bookmarkStart w:name="_Toc159551199" w:id="193"/>
      <w:bookmarkStart w:name="_Toc168559317" w:id="194"/>
      <w:r>
        <w:t>Adopted Community</w:t>
      </w:r>
      <w:r w:rsidR="000806B8">
        <w:br/>
      </w:r>
      <w:r>
        <w:t>Renewable Energy Program</w:t>
      </w:r>
      <w:r w:rsidR="000806B8">
        <w:br/>
      </w:r>
      <w:r>
        <w:t>Meets the Requirements of</w:t>
      </w:r>
      <w:r w:rsidR="000806B8">
        <w:br/>
      </w:r>
      <w:r w:rsidR="00D5178B">
        <w:t>Public Utilities</w:t>
      </w:r>
      <w:r>
        <w:t xml:space="preserve"> Code </w:t>
      </w:r>
      <w:r w:rsidR="003627A8">
        <w:t>Section </w:t>
      </w:r>
      <w:r>
        <w:t>769.3(c)</w:t>
      </w:r>
      <w:bookmarkEnd w:id="193"/>
      <w:bookmarkEnd w:id="194"/>
    </w:p>
    <w:p w:rsidRPr="00F967B1" w:rsidR="00F967B1" w:rsidP="005D065D" w:rsidRDefault="00F967B1" w14:paraId="15115F15" w14:textId="2548A890">
      <w:pPr>
        <w:pStyle w:val="Standard"/>
      </w:pPr>
      <w:r>
        <w:t xml:space="preserve">As discussed below, the Commission finds that the </w:t>
      </w:r>
      <w:r w:rsidR="0037107A">
        <w:t xml:space="preserve">new </w:t>
      </w:r>
      <w:r>
        <w:t xml:space="preserve">community renewable energy program adopted in </w:t>
      </w:r>
      <w:r w:rsidR="003627A8">
        <w:t>Section </w:t>
      </w:r>
      <w:r>
        <w:t>3.4.5.1</w:t>
      </w:r>
      <w:r w:rsidR="009765DB">
        <w:t xml:space="preserve"> above</w:t>
      </w:r>
      <w:r>
        <w:t xml:space="preserve"> meets the requirements of </w:t>
      </w:r>
      <w:r w:rsidR="00440785">
        <w:t>Pub. Util.</w:t>
      </w:r>
      <w:r>
        <w:t xml:space="preserve"> Code </w:t>
      </w:r>
      <w:r w:rsidR="003627A8">
        <w:t>Section </w:t>
      </w:r>
      <w:r>
        <w:t>769.3.</w:t>
      </w:r>
    </w:p>
    <w:p w:rsidR="00BA58BF" w:rsidP="00AC6E92" w:rsidRDefault="00C95859" w14:paraId="68680867" w14:textId="0D5DCEE5">
      <w:pPr>
        <w:pStyle w:val="Standard"/>
      </w:pPr>
      <w:r>
        <w:t xml:space="preserve">First, </w:t>
      </w:r>
      <w:r w:rsidR="00AF2677">
        <w:t xml:space="preserve">a </w:t>
      </w:r>
      <w:r w:rsidR="0037107A">
        <w:t xml:space="preserve">new </w:t>
      </w:r>
      <w:r w:rsidR="00AF2677">
        <w:t>community renewable energy program is required to be</w:t>
      </w:r>
      <w:r>
        <w:t xml:space="preserve"> complementary to, and consistent with, the requirements of </w:t>
      </w:r>
      <w:r w:rsidR="003627A8">
        <w:t>Section </w:t>
      </w:r>
      <w:r>
        <w:t>10</w:t>
      </w:r>
      <w:r w:rsidR="003D6EF8">
        <w:noBreakHyphen/>
      </w:r>
      <w:r>
        <w:t xml:space="preserve">115 of the California Building Standards Code, </w:t>
      </w:r>
      <w:r w:rsidRPr="00150E4C" w:rsidR="00150E4C">
        <w:rPr>
          <w:i/>
          <w:iCs/>
        </w:rPr>
        <w:t>i.e.</w:t>
      </w:r>
      <w:r>
        <w:t xml:space="preserve">, </w:t>
      </w:r>
      <w:r w:rsidR="00E67CA9">
        <w:t>Title </w:t>
      </w:r>
      <w:r>
        <w:t xml:space="preserve">24. </w:t>
      </w:r>
      <w:r w:rsidR="00544875">
        <w:t>T</w:t>
      </w:r>
      <w:r w:rsidR="0029766C">
        <w:t>he</w:t>
      </w:r>
      <w:r w:rsidR="00F967B1">
        <w:t xml:space="preserve"> Commission </w:t>
      </w:r>
      <w:r w:rsidR="0029766C">
        <w:t>concludes</w:t>
      </w:r>
      <w:r w:rsidR="00F967B1">
        <w:t xml:space="preserve"> that the </w:t>
      </w:r>
      <w:r w:rsidRPr="002042E0" w:rsidR="00783C47">
        <w:t>Energy Commission</w:t>
      </w:r>
      <w:r w:rsidR="00783C47">
        <w:t xml:space="preserve"> </w:t>
      </w:r>
      <w:r w:rsidR="00F967B1">
        <w:t xml:space="preserve">will make the final determination as to whether the adopted community renewable energy program meets </w:t>
      </w:r>
      <w:r w:rsidR="0029766C">
        <w:t xml:space="preserve">the requirement of </w:t>
      </w:r>
      <w:r w:rsidR="00440785">
        <w:t>Pub. Util.</w:t>
      </w:r>
      <w:r w:rsidR="0029766C">
        <w:t xml:space="preserve"> Code </w:t>
      </w:r>
      <w:r w:rsidR="003627A8">
        <w:t>Section </w:t>
      </w:r>
      <w:r w:rsidR="0029766C">
        <w:t>769.3(c)(1)</w:t>
      </w:r>
      <w:r w:rsidR="00F967B1">
        <w:t xml:space="preserve">. As </w:t>
      </w:r>
      <w:r w:rsidR="0029766C">
        <w:t>directed</w:t>
      </w:r>
      <w:r w:rsidR="00F967B1">
        <w:t>, the Commission has consulted with the Energy Commission.</w:t>
      </w:r>
    </w:p>
    <w:p w:rsidR="00F967B1" w:rsidP="00AC6E92" w:rsidRDefault="00F967B1" w14:paraId="1ADD6D71" w14:textId="0700489B">
      <w:pPr>
        <w:pStyle w:val="Standard"/>
      </w:pPr>
      <w:r>
        <w:t xml:space="preserve">In terms of party expectations, this decision turns to </w:t>
      </w:r>
      <w:r w:rsidR="0029766C">
        <w:t xml:space="preserve">a discussion of how </w:t>
      </w:r>
      <w:r>
        <w:t>other proposals in this record</w:t>
      </w:r>
      <w:r w:rsidR="004A59F3">
        <w:t xml:space="preserve"> would meet this requirement</w:t>
      </w:r>
      <w:r>
        <w:t xml:space="preserve">. </w:t>
      </w:r>
      <w:r w:rsidR="00C95859">
        <w:t xml:space="preserve">CCSA </w:t>
      </w:r>
      <w:r w:rsidR="00F31028">
        <w:t>contends</w:t>
      </w:r>
      <w:r w:rsidR="00C95859">
        <w:t xml:space="preserve"> the proposed NVBT </w:t>
      </w:r>
      <w:r w:rsidR="00F31028">
        <w:t xml:space="preserve">will help facilitate compliance with </w:t>
      </w:r>
      <w:r w:rsidR="00E67CA9">
        <w:t>Title </w:t>
      </w:r>
      <w:r w:rsidR="00F31028">
        <w:t xml:space="preserve">24 mandates through required coordination between an NVBT tariff applicant and the Energy Commission. CCSA asserts that the applicant will have the obligation to demonstrate to the </w:t>
      </w:r>
      <w:r w:rsidR="00783C47">
        <w:t xml:space="preserve">Energy Commission </w:t>
      </w:r>
      <w:r w:rsidR="00F31028">
        <w:t>that the applicant</w:t>
      </w:r>
      <w:r w:rsidR="00440785">
        <w:t>’</w:t>
      </w:r>
      <w:r w:rsidR="00F31028">
        <w:t xml:space="preserve">s proposal complies </w:t>
      </w:r>
      <w:r w:rsidR="00F31028">
        <w:lastRenderedPageBreak/>
        <w:t xml:space="preserve">with </w:t>
      </w:r>
      <w:r w:rsidR="003627A8">
        <w:t>Section </w:t>
      </w:r>
      <w:r w:rsidR="00F31028">
        <w:t>10</w:t>
      </w:r>
      <w:r w:rsidR="003D6EF8">
        <w:noBreakHyphen/>
      </w:r>
      <w:r w:rsidR="00F31028">
        <w:t>115.</w:t>
      </w:r>
      <w:r w:rsidR="00F31028">
        <w:rPr>
          <w:rStyle w:val="FootnoteReference"/>
        </w:rPr>
        <w:footnoteReference w:id="332"/>
      </w:r>
      <w:r w:rsidR="00F31028">
        <w:t xml:space="preserve"> </w:t>
      </w:r>
      <w:r w:rsidR="009021A8">
        <w:t xml:space="preserve">PG&amp;E asserts the NVBT does not address all the requirements of </w:t>
      </w:r>
      <w:r w:rsidR="00E67CA9">
        <w:t>Title </w:t>
      </w:r>
      <w:r w:rsidR="009021A8">
        <w:t>24</w:t>
      </w:r>
      <w:r w:rsidR="00642945">
        <w:t>, including that a customer transitioning service from an investor</w:t>
      </w:r>
      <w:r w:rsidR="003D6EF8">
        <w:noBreakHyphen/>
      </w:r>
      <w:r w:rsidR="00642945">
        <w:t xml:space="preserve">owned utility to a </w:t>
      </w:r>
      <w:r w:rsidR="00FA0994">
        <w:t>CCA</w:t>
      </w:r>
      <w:r w:rsidR="00642945">
        <w:t xml:space="preserve"> would not comply with </w:t>
      </w:r>
      <w:r w:rsidR="00E67CA9">
        <w:t>Title </w:t>
      </w:r>
      <w:r w:rsidR="00642945">
        <w:t>24, nor would a project over 20</w:t>
      </w:r>
      <w:r w:rsidR="00ED70F0">
        <w:t> MW</w:t>
      </w:r>
      <w:r w:rsidR="00642945">
        <w:t>.</w:t>
      </w:r>
      <w:r w:rsidR="00642945">
        <w:rPr>
          <w:rStyle w:val="FootnoteReference"/>
        </w:rPr>
        <w:footnoteReference w:id="333"/>
      </w:r>
    </w:p>
    <w:p w:rsidR="00E70251" w:rsidP="00AC6E92" w:rsidRDefault="004A59F3" w14:paraId="5D37AC61" w14:textId="0D791392">
      <w:pPr>
        <w:pStyle w:val="Standard"/>
      </w:pPr>
      <w:r>
        <w:t xml:space="preserve">Accordingly, </w:t>
      </w:r>
      <w:bookmarkStart w:name="_Hlk158195393" w:id="195"/>
      <w:r>
        <w:t>t</w:t>
      </w:r>
      <w:r w:rsidR="00AF2677">
        <w:t xml:space="preserve">o ensure compliance with </w:t>
      </w:r>
      <w:r w:rsidR="00440785">
        <w:t>Pub. Util.</w:t>
      </w:r>
      <w:r w:rsidR="00C57413">
        <w:t xml:space="preserve"> Code Section</w:t>
      </w:r>
      <w:r w:rsidR="00626A68">
        <w:t> </w:t>
      </w:r>
      <w:r w:rsidR="00C57413">
        <w:t>769.3</w:t>
      </w:r>
      <w:r w:rsidR="00AF2677">
        <w:t xml:space="preserve">, the Commission </w:t>
      </w:r>
      <w:r w:rsidR="00F967B1">
        <w:t>requires the adopted community renewable energy program tariff to include the following requirements</w:t>
      </w:r>
      <w:r w:rsidR="005D30D7">
        <w:t xml:space="preserve">: </w:t>
      </w:r>
      <w:r w:rsidR="002D234A">
        <w:t>(</w:t>
      </w:r>
      <w:r w:rsidR="00F967B1">
        <w:t>1</w:t>
      </w:r>
      <w:r w:rsidR="002D234A">
        <w:t>) </w:t>
      </w:r>
      <w:r w:rsidR="00F967B1">
        <w:t xml:space="preserve">developers shall have the obligation to demonstrate to the </w:t>
      </w:r>
      <w:r w:rsidR="00EA4CB8">
        <w:t>Energy Commission</w:t>
      </w:r>
      <w:r w:rsidR="00F967B1">
        <w:t xml:space="preserve"> that the proposal </w:t>
      </w:r>
      <w:r w:rsidR="00C57413">
        <w:t xml:space="preserve">is complementary to and consistent </w:t>
      </w:r>
      <w:r w:rsidR="00F967B1">
        <w:t xml:space="preserve">with </w:t>
      </w:r>
      <w:r w:rsidR="003627A8">
        <w:t>Section </w:t>
      </w:r>
      <w:r w:rsidR="00F967B1">
        <w:t>10</w:t>
      </w:r>
      <w:r w:rsidR="003D6EF8">
        <w:noBreakHyphen/>
      </w:r>
      <w:r w:rsidR="00F967B1">
        <w:t>115</w:t>
      </w:r>
      <w:r w:rsidR="00CB07DF">
        <w:t xml:space="preserve"> of the California Building Standards Code</w:t>
      </w:r>
      <w:r w:rsidR="00F967B1">
        <w:t xml:space="preserve">; </w:t>
      </w:r>
      <w:r>
        <w:t xml:space="preserve">and </w:t>
      </w:r>
      <w:r w:rsidR="00F967B1">
        <w:t>(2</w:t>
      </w:r>
      <w:r w:rsidR="002D234A">
        <w:t>) </w:t>
      </w:r>
      <w:r w:rsidR="00F967B1">
        <w:t xml:space="preserve">all projects, no matter what foundational tariff is used, </w:t>
      </w:r>
      <w:r w:rsidRPr="00150E4C" w:rsidR="00150E4C">
        <w:rPr>
          <w:i/>
          <w:iCs/>
        </w:rPr>
        <w:t>e.g.</w:t>
      </w:r>
      <w:r w:rsidR="00150E4C">
        <w:t>,</w:t>
      </w:r>
      <w:r w:rsidR="00F967B1">
        <w:t xml:space="preserve"> ReMAT, shall be </w:t>
      </w:r>
      <w:r w:rsidR="00AF2677">
        <w:t>limit</w:t>
      </w:r>
      <w:r w:rsidR="00F967B1">
        <w:t>ed</w:t>
      </w:r>
      <w:r w:rsidR="00AF2677">
        <w:t xml:space="preserve"> to 20</w:t>
      </w:r>
      <w:r w:rsidR="00ED70F0">
        <w:t> MW</w:t>
      </w:r>
      <w:r w:rsidR="00AF2677">
        <w:t>.</w:t>
      </w:r>
      <w:bookmarkEnd w:id="195"/>
    </w:p>
    <w:p w:rsidR="009021A8" w:rsidP="00AC6E92" w:rsidRDefault="008D6B3D" w14:paraId="558C3388" w14:textId="503536F1">
      <w:pPr>
        <w:pStyle w:val="Standard"/>
      </w:pPr>
      <w:r>
        <w:t>SBUA,</w:t>
      </w:r>
      <w:r w:rsidR="00F75EDB">
        <w:rPr>
          <w:rStyle w:val="FootnoteReference"/>
        </w:rPr>
        <w:footnoteReference w:id="334"/>
      </w:r>
      <w:r>
        <w:t xml:space="preserve"> TURN,</w:t>
      </w:r>
      <w:r w:rsidRPr="00F75EDB" w:rsidR="00F75EDB">
        <w:rPr>
          <w:rStyle w:val="FootnoteReference"/>
        </w:rPr>
        <w:t xml:space="preserve"> </w:t>
      </w:r>
      <w:r w:rsidR="00F75EDB">
        <w:rPr>
          <w:rStyle w:val="FootnoteReference"/>
        </w:rPr>
        <w:footnoteReference w:id="335"/>
      </w:r>
      <w:r>
        <w:t xml:space="preserve"> Solar Landscape,</w:t>
      </w:r>
      <w:r w:rsidR="00F75EDB">
        <w:rPr>
          <w:rStyle w:val="FootnoteReference"/>
        </w:rPr>
        <w:footnoteReference w:id="336"/>
      </w:r>
      <w:r>
        <w:t xml:space="preserve"> and Acadia</w:t>
      </w:r>
      <w:r w:rsidR="00F75EDB">
        <w:rPr>
          <w:rStyle w:val="FootnoteReference"/>
        </w:rPr>
        <w:footnoteReference w:id="337"/>
      </w:r>
      <w:r>
        <w:t xml:space="preserve"> oppose the capacity limit of 20 MW, </w:t>
      </w:r>
      <w:r w:rsidR="00F75EDB">
        <w:t>with TURN</w:t>
      </w:r>
      <w:r>
        <w:t xml:space="preserve"> warning that a capacity limit above five MW is not compliant with requirements</w:t>
      </w:r>
      <w:r w:rsidR="00E70251">
        <w:t xml:space="preserve"> for the enhanced 50 percent </w:t>
      </w:r>
      <w:r w:rsidR="00502FE6">
        <w:t>ITC</w:t>
      </w:r>
      <w:r>
        <w:t xml:space="preserve">. This decision finds that maintaining </w:t>
      </w:r>
      <w:r w:rsidR="00E70251">
        <w:t xml:space="preserve">the </w:t>
      </w:r>
      <w:r>
        <w:t xml:space="preserve">capacity limits </w:t>
      </w:r>
      <w:r w:rsidR="00E70251">
        <w:t xml:space="preserve">of the current tariffs </w:t>
      </w:r>
      <w:r>
        <w:t>does not conflict with federal requirements</w:t>
      </w:r>
      <w:r w:rsidR="00E70251">
        <w:t xml:space="preserve"> for the </w:t>
      </w:r>
      <w:r w:rsidR="00502FE6">
        <w:t>ITC</w:t>
      </w:r>
      <w:r>
        <w:t>. First, ReMAT has a capacity limit of three MW</w:t>
      </w:r>
      <w:r w:rsidR="00F75EDB">
        <w:t xml:space="preserve"> and therefore does not conflict with the </w:t>
      </w:r>
      <w:r w:rsidR="00502FE6">
        <w:t>ITC</w:t>
      </w:r>
      <w:r>
        <w:t xml:space="preserve">. Second, while the PURPA Standard Offer Contract has a 20 MW cap, </w:t>
      </w:r>
      <w:r w:rsidR="00E70251">
        <w:t>this</w:t>
      </w:r>
      <w:r>
        <w:t xml:space="preserve"> is a cap</w:t>
      </w:r>
      <w:r w:rsidR="00F75EDB">
        <w:t>,</w:t>
      </w:r>
      <w:r>
        <w:t xml:space="preserve"> and developers </w:t>
      </w:r>
      <w:r w:rsidR="00F75EDB">
        <w:t xml:space="preserve">should be motivated to submit offers for five MW or less in order to acquire the ITC funds. </w:t>
      </w:r>
      <w:r w:rsidR="00F75EDB">
        <w:lastRenderedPageBreak/>
        <w:t xml:space="preserve">Imposing a five MW cap on Standard Offer Contracts is not necessary and by omitting </w:t>
      </w:r>
      <w:r w:rsidR="00E70251">
        <w:t>such a cap</w:t>
      </w:r>
      <w:r w:rsidR="00F75EDB">
        <w:t>, developers have flexibility.</w:t>
      </w:r>
    </w:p>
    <w:p w:rsidR="00E70251" w:rsidP="00AC6E92" w:rsidRDefault="00E70251" w14:paraId="4701CDA3" w14:textId="1705A038">
      <w:pPr>
        <w:pStyle w:val="Standard"/>
      </w:pPr>
      <w:r>
        <w:t xml:space="preserve">In comments to the proposed decision, </w:t>
      </w:r>
      <w:r w:rsidR="008F3007">
        <w:t>Arcadia</w:t>
      </w:r>
      <w:r>
        <w:t xml:space="preserve"> argue</w:t>
      </w:r>
      <w:r w:rsidR="008F3007">
        <w:t>s</w:t>
      </w:r>
      <w:r>
        <w:t xml:space="preserve"> that the proposed community renewable energy program is not compliant with </w:t>
      </w:r>
      <w:r w:rsidR="008F3007">
        <w:t xml:space="preserve">the </w:t>
      </w:r>
      <w:r>
        <w:t xml:space="preserve">Title 24 </w:t>
      </w:r>
      <w:r w:rsidR="008F3007">
        <w:t>requirement “</w:t>
      </w:r>
      <w:r w:rsidRPr="008F3007" w:rsidR="008F3007">
        <w:t>to provide energy reduction credits that will result in virtual reductions in the building’s energy consumption that is subject to energy bill payments or payments to the building that will have an equivalent effect as energy bill reductions.</w:t>
      </w:r>
      <w:r w:rsidR="008F3007">
        <w:t>”</w:t>
      </w:r>
      <w:r w:rsidR="008F3007">
        <w:rPr>
          <w:rStyle w:val="FootnoteReference"/>
        </w:rPr>
        <w:footnoteReference w:id="338"/>
      </w:r>
      <w:r w:rsidRPr="008F3007" w:rsidR="008F3007">
        <w:t xml:space="preserve"> </w:t>
      </w:r>
      <w:r w:rsidR="008F3007">
        <w:t>Arcadia contends that because the</w:t>
      </w:r>
      <w:r w:rsidRPr="008F3007" w:rsidR="008F3007">
        <w:t xml:space="preserve"> primary means of customer participation in </w:t>
      </w:r>
      <w:r w:rsidR="008F3007">
        <w:t>the community renewable energy program</w:t>
      </w:r>
      <w:r w:rsidRPr="008F3007" w:rsidR="008F3007">
        <w:t xml:space="preserve"> is </w:t>
      </w:r>
      <w:r w:rsidR="008F3007">
        <w:t xml:space="preserve">through </w:t>
      </w:r>
      <w:r w:rsidRPr="008F3007" w:rsidR="008F3007">
        <w:t xml:space="preserve">automatic enrollment, </w:t>
      </w:r>
      <w:r w:rsidR="008F3007">
        <w:t>“</w:t>
      </w:r>
      <w:r w:rsidRPr="008F3007" w:rsidR="008F3007">
        <w:t>most of the capacity allocated under the program will flow to those automatically enrolled customers.”</w:t>
      </w:r>
      <w:r w:rsidR="008F3007">
        <w:rPr>
          <w:rStyle w:val="FootnoteReference"/>
        </w:rPr>
        <w:footnoteReference w:id="339"/>
      </w:r>
      <w:r w:rsidR="008F3007">
        <w:t xml:space="preserve"> The Commission considers this an implementation issue and plans to address this concern through a subsequent implementation decision.</w:t>
      </w:r>
    </w:p>
    <w:p w:rsidR="00AF2677" w:rsidP="00AC6E92" w:rsidRDefault="00AF2677" w14:paraId="4EF40446" w14:textId="6AAB289D">
      <w:pPr>
        <w:pStyle w:val="Standard"/>
      </w:pPr>
      <w:r>
        <w:t xml:space="preserve">Second, a </w:t>
      </w:r>
      <w:r w:rsidR="0037107A">
        <w:t xml:space="preserve">new </w:t>
      </w:r>
      <w:r>
        <w:t xml:space="preserve">community renewable energy program is required </w:t>
      </w:r>
      <w:bookmarkStart w:name="_Hlk158195562" w:id="196"/>
      <w:r>
        <w:t>to ensure at least 51</w:t>
      </w:r>
      <w:r w:rsidR="00D376A8">
        <w:t> percent</w:t>
      </w:r>
      <w:r>
        <w:t xml:space="preserve"> of the program</w:t>
      </w:r>
      <w:r w:rsidR="00440785">
        <w:t>’</w:t>
      </w:r>
      <w:r>
        <w:t>s capacity serves low</w:t>
      </w:r>
      <w:r w:rsidR="003D6EF8">
        <w:noBreakHyphen/>
      </w:r>
      <w:r>
        <w:t xml:space="preserve">income </w:t>
      </w:r>
      <w:r w:rsidR="00842FFA">
        <w:t xml:space="preserve">customers. </w:t>
      </w:r>
      <w:r w:rsidR="004A59F3">
        <w:t xml:space="preserve">The adopted community renewable energy program limits eligibility </w:t>
      </w:r>
      <w:r w:rsidR="00BB0628">
        <w:t>of 51</w:t>
      </w:r>
      <w:r w:rsidR="00626A68">
        <w:t> </w:t>
      </w:r>
      <w:r w:rsidR="00BB0628">
        <w:t>percent of the program</w:t>
      </w:r>
      <w:r w:rsidR="00440785">
        <w:t>’</w:t>
      </w:r>
      <w:r w:rsidR="00BB0628">
        <w:t xml:space="preserve">s capacity </w:t>
      </w:r>
      <w:r w:rsidR="004A59F3">
        <w:t>to low</w:t>
      </w:r>
      <w:r w:rsidR="003D6EF8">
        <w:noBreakHyphen/>
      </w:r>
      <w:r w:rsidR="004A59F3">
        <w:t>income customers (</w:t>
      </w:r>
      <w:r w:rsidDel="0037107A" w:rsidR="004A59F3">
        <w:t xml:space="preserve">as defined by </w:t>
      </w:r>
      <w:r w:rsidR="00440785">
        <w:t>Pub. Util.</w:t>
      </w:r>
      <w:r w:rsidDel="0037107A" w:rsidR="004A59F3">
        <w:t xml:space="preserve"> Code </w:t>
      </w:r>
      <w:r w:rsidDel="0037107A" w:rsidR="003627A8">
        <w:t>Section </w:t>
      </w:r>
      <w:r w:rsidDel="0037107A" w:rsidR="004A59F3">
        <w:t>769.3</w:t>
      </w:r>
      <w:r w:rsidR="004A59F3">
        <w:t>),</w:t>
      </w:r>
      <w:bookmarkEnd w:id="196"/>
      <w:r w:rsidR="004A59F3">
        <w:t xml:space="preserve"> which the Legislature specifically referenced in </w:t>
      </w:r>
      <w:r w:rsidR="003627A8">
        <w:t>AB </w:t>
      </w:r>
      <w:r w:rsidR="004A59F3">
        <w:t xml:space="preserve">2316. </w:t>
      </w:r>
      <w:r w:rsidR="00870734">
        <w:t>Finally</w:t>
      </w:r>
      <w:r w:rsidR="004A59F3">
        <w:t xml:space="preserve">, to ensure that projects </w:t>
      </w:r>
      <w:r w:rsidR="00870734">
        <w:t xml:space="preserve">under the tariff </w:t>
      </w:r>
      <w:r w:rsidR="004A59F3">
        <w:t xml:space="preserve">align with </w:t>
      </w:r>
      <w:r w:rsidR="00440785">
        <w:t>Pub. Util.</w:t>
      </w:r>
      <w:r w:rsidR="004A59F3">
        <w:t xml:space="preserve"> Code </w:t>
      </w:r>
      <w:r w:rsidR="003627A8">
        <w:t>Section </w:t>
      </w:r>
      <w:r w:rsidR="004A59F3">
        <w:t xml:space="preserve">769.3, the tariff will specifically state that </w:t>
      </w:r>
      <w:r w:rsidR="009A11A7">
        <w:t>in order for the project</w:t>
      </w:r>
      <w:r w:rsidR="00440785">
        <w:t>’</w:t>
      </w:r>
      <w:r w:rsidR="009A11A7">
        <w:t>s low</w:t>
      </w:r>
      <w:r w:rsidR="003D6EF8">
        <w:noBreakHyphen/>
      </w:r>
      <w:r w:rsidR="009A11A7">
        <w:t xml:space="preserve">income customers to be eligible for </w:t>
      </w:r>
      <w:r w:rsidR="00783C47">
        <w:t>additional external funding or subsidies</w:t>
      </w:r>
      <w:r w:rsidR="009A11A7">
        <w:t xml:space="preserve">, </w:t>
      </w:r>
      <w:r w:rsidR="00870734">
        <w:t>51</w:t>
      </w:r>
      <w:r w:rsidR="00D376A8">
        <w:t> percent</w:t>
      </w:r>
      <w:r w:rsidR="00870734">
        <w:t xml:space="preserve"> of </w:t>
      </w:r>
      <w:r w:rsidR="0037107A">
        <w:t xml:space="preserve">each </w:t>
      </w:r>
      <w:r w:rsidR="004A59F3">
        <w:t>project</w:t>
      </w:r>
      <w:r w:rsidR="00440785">
        <w:t>’</w:t>
      </w:r>
      <w:r w:rsidR="002F03BF">
        <w:t>s</w:t>
      </w:r>
      <w:r w:rsidR="00870734">
        <w:t xml:space="preserve"> capacity must be subscribed to low</w:t>
      </w:r>
      <w:r w:rsidR="003D6EF8">
        <w:noBreakHyphen/>
      </w:r>
      <w:r w:rsidR="00870734">
        <w:t xml:space="preserve">income </w:t>
      </w:r>
      <w:r w:rsidR="00783C47">
        <w:lastRenderedPageBreak/>
        <w:t>customers</w:t>
      </w:r>
      <w:r w:rsidR="00C410E3">
        <w:t>.</w:t>
      </w:r>
      <w:r w:rsidR="0029766C">
        <w:t xml:space="preserve"> The Commission concludes the adopted community renewable energy program complies with </w:t>
      </w:r>
      <w:r w:rsidR="00440785">
        <w:t>Pub. Util.</w:t>
      </w:r>
      <w:r w:rsidR="0029766C">
        <w:t xml:space="preserve"> Code </w:t>
      </w:r>
      <w:r w:rsidR="003627A8">
        <w:t>Section </w:t>
      </w:r>
      <w:r w:rsidR="0029766C">
        <w:t>769.3(c)(2).</w:t>
      </w:r>
    </w:p>
    <w:p w:rsidR="00C410E3" w:rsidP="00AC6E92" w:rsidRDefault="00C410E3" w14:paraId="30F13761" w14:textId="137AE62F">
      <w:pPr>
        <w:pStyle w:val="Standard"/>
      </w:pPr>
      <w:r>
        <w:t xml:space="preserve">Third, a </w:t>
      </w:r>
      <w:r w:rsidR="00B437CA">
        <w:t xml:space="preserve">new </w:t>
      </w:r>
      <w:r>
        <w:t>community renewable energy program is required to minimize impacts to nonparticipating customers by prohibiting the program</w:t>
      </w:r>
      <w:r w:rsidR="00440785">
        <w:t>’</w:t>
      </w:r>
      <w:r>
        <w:t xml:space="preserve">s costs from being paid by nonparticipating customers in excess of the avoided costs. </w:t>
      </w:r>
      <w:r w:rsidR="00C57413">
        <w:t>T</w:t>
      </w:r>
      <w:r w:rsidR="00870734">
        <w:t xml:space="preserve">his decision adopts a community renewable energy program that </w:t>
      </w:r>
      <w:bookmarkStart w:name="_Hlk158195815" w:id="197"/>
      <w:r w:rsidR="00870734">
        <w:t>uses PURPA avoided costs to compensate generation resources.</w:t>
      </w:r>
      <w:bookmarkEnd w:id="197"/>
      <w:r w:rsidR="00870734">
        <w:t xml:space="preserve"> </w:t>
      </w:r>
      <w:r w:rsidR="00B437CA">
        <w:t>Because</w:t>
      </w:r>
      <w:r w:rsidR="00870734">
        <w:t xml:space="preserve"> the adopted community renewable energy program uses non</w:t>
      </w:r>
      <w:r w:rsidR="003D6EF8">
        <w:noBreakHyphen/>
      </w:r>
      <w:r w:rsidR="00870734">
        <w:t>ratepayer funds</w:t>
      </w:r>
      <w:r w:rsidR="00B437CA">
        <w:t xml:space="preserve"> for the adder</w:t>
      </w:r>
      <w:r w:rsidR="00870734">
        <w:t xml:space="preserve">, the Commission finds </w:t>
      </w:r>
      <w:bookmarkStart w:name="_Hlk158195741" w:id="198"/>
      <w:r w:rsidR="00870734">
        <w:t>the community renewable energy program will not result in program costs above the avoided costs being paid by non</w:t>
      </w:r>
      <w:r w:rsidR="003D6EF8">
        <w:noBreakHyphen/>
      </w:r>
      <w:r w:rsidR="0029766C">
        <w:t>participat</w:t>
      </w:r>
      <w:r w:rsidR="00B437CA">
        <w:t>ing ratepayers</w:t>
      </w:r>
      <w:r w:rsidR="0029766C">
        <w:t xml:space="preserve">. </w:t>
      </w:r>
      <w:bookmarkEnd w:id="198"/>
      <w:r w:rsidR="009A11A7">
        <w:t>T</w:t>
      </w:r>
      <w:r>
        <w:t xml:space="preserve">he </w:t>
      </w:r>
      <w:r w:rsidR="0029766C">
        <w:t xml:space="preserve">Commission concludes the adopted community renewable energy program </w:t>
      </w:r>
      <w:r>
        <w:t xml:space="preserve">is compliant with </w:t>
      </w:r>
      <w:r w:rsidR="00440785">
        <w:t>Pub. Util.</w:t>
      </w:r>
      <w:r w:rsidR="00C87292">
        <w:t xml:space="preserve"> Code </w:t>
      </w:r>
      <w:r w:rsidR="003627A8">
        <w:t>Section </w:t>
      </w:r>
      <w:r w:rsidR="00C87292">
        <w:t>769.3(c)(3).</w:t>
      </w:r>
    </w:p>
    <w:p w:rsidR="00BA58BF" w:rsidP="00AC6E92" w:rsidRDefault="00C87292" w14:paraId="6C94BFEA" w14:textId="52EF4710">
      <w:pPr>
        <w:pStyle w:val="Standard"/>
      </w:pPr>
      <w:r>
        <w:t xml:space="preserve">Fourth, a </w:t>
      </w:r>
      <w:r w:rsidR="00B437CA">
        <w:t xml:space="preserve">new </w:t>
      </w:r>
      <w:r>
        <w:t xml:space="preserve">community renewable energy program shall comply with certain regulations regarding the payment of prevailing wages pursuant to </w:t>
      </w:r>
      <w:r w:rsidR="003627A8">
        <w:t>Section </w:t>
      </w:r>
      <w:r>
        <w:t>1773 of the Labor Code</w:t>
      </w:r>
      <w:r w:rsidR="00CB07DF">
        <w:t xml:space="preserve"> and, relatedly, Section</w:t>
      </w:r>
      <w:r w:rsidR="009255B1">
        <w:t> </w:t>
      </w:r>
      <w:r w:rsidR="00CB07DF">
        <w:t>1776</w:t>
      </w:r>
      <w:r w:rsidR="009A11A7">
        <w:t>.</w:t>
      </w:r>
      <w:r w:rsidR="00C57413">
        <w:t xml:space="preserve"> </w:t>
      </w:r>
      <w:r w:rsidR="009A11A7">
        <w:t xml:space="preserve">This decision turns to the record discussion of how proposals </w:t>
      </w:r>
      <w:r w:rsidR="00C57413">
        <w:t xml:space="preserve">in the record </w:t>
      </w:r>
      <w:r w:rsidR="009A11A7">
        <w:t xml:space="preserve">would meet this requirement. The record indicates little discussion. </w:t>
      </w:r>
      <w:r>
        <w:t>CCSA submit</w:t>
      </w:r>
      <w:r w:rsidR="00B437CA">
        <w:t>s</w:t>
      </w:r>
      <w:r>
        <w:t xml:space="preserve"> that the provisions of </w:t>
      </w:r>
      <w:r w:rsidR="00440785">
        <w:t>Pub. Util.</w:t>
      </w:r>
      <w:r>
        <w:t xml:space="preserve"> Code </w:t>
      </w:r>
      <w:r w:rsidR="003627A8">
        <w:t>Section </w:t>
      </w:r>
      <w:r>
        <w:t>769.3(c)(4) rely on existing enforcement mechanisms and do not create any new requirements.</w:t>
      </w:r>
      <w:r>
        <w:rPr>
          <w:rStyle w:val="FootnoteReference"/>
        </w:rPr>
        <w:footnoteReference w:id="340"/>
      </w:r>
      <w:r>
        <w:t xml:space="preserve"> No party presented contentions the NVBT does not meet this requirement. </w:t>
      </w:r>
      <w:r w:rsidR="00C57413">
        <w:t xml:space="preserve">SCE did not provide any discussion on how its proposal would comply with this element of </w:t>
      </w:r>
      <w:r w:rsidR="00440785">
        <w:t>Pub. Util.</w:t>
      </w:r>
      <w:r w:rsidR="00C57413">
        <w:t xml:space="preserve"> Code </w:t>
      </w:r>
      <w:r w:rsidR="00626A68">
        <w:t>Section </w:t>
      </w:r>
      <w:r w:rsidR="00C57413">
        <w:t>769.3. In order to ensure this requirement is followed by projects, the tariff shall specifically state that in order for the project</w:t>
      </w:r>
      <w:r w:rsidR="00440785">
        <w:t>’</w:t>
      </w:r>
      <w:r w:rsidR="00C57413">
        <w:t>s low</w:t>
      </w:r>
      <w:r w:rsidR="003D6EF8">
        <w:noBreakHyphen/>
      </w:r>
      <w:r w:rsidR="00C57413">
        <w:t xml:space="preserve">income subscribers to be eligible to receive the adder, projects shall comply with the </w:t>
      </w:r>
      <w:r w:rsidR="00C57413">
        <w:lastRenderedPageBreak/>
        <w:t xml:space="preserve">prevailing wage requirement. </w:t>
      </w:r>
      <w:r w:rsidR="009A11A7">
        <w:t xml:space="preserve">The Commission concludes </w:t>
      </w:r>
      <w:r w:rsidR="00C57413">
        <w:t xml:space="preserve">this additional tariff language aligns </w:t>
      </w:r>
      <w:r w:rsidR="009A11A7">
        <w:t xml:space="preserve">the community renewable energy program with </w:t>
      </w:r>
      <w:r w:rsidR="00440785">
        <w:t>Pub. Util.</w:t>
      </w:r>
      <w:r w:rsidR="009A11A7">
        <w:t xml:space="preserve"> Code </w:t>
      </w:r>
      <w:r w:rsidR="003627A8">
        <w:t>Section </w:t>
      </w:r>
      <w:r w:rsidR="009A11A7">
        <w:t>769.3</w:t>
      </w:r>
      <w:r w:rsidR="003627A8">
        <w:t>(c)</w:t>
      </w:r>
      <w:r w:rsidR="009A11A7">
        <w:t>(4).</w:t>
      </w:r>
    </w:p>
    <w:p w:rsidR="008829FE" w:rsidP="00AC6E92" w:rsidRDefault="008829FE" w14:paraId="77DB4BAA" w14:textId="463AD6A8">
      <w:pPr>
        <w:pStyle w:val="Standard"/>
      </w:pPr>
      <w:r>
        <w:t xml:space="preserve">Fifth, a </w:t>
      </w:r>
      <w:r w:rsidR="00B437CA">
        <w:t xml:space="preserve">new </w:t>
      </w:r>
      <w:r>
        <w:t xml:space="preserve">community renewable energy program </w:t>
      </w:r>
      <w:r w:rsidR="00E44344">
        <w:t>is required to</w:t>
      </w:r>
      <w:r>
        <w:t xml:space="preserve"> provide bill credits to subscribers based on the avoided costs of the program</w:t>
      </w:r>
      <w:r w:rsidR="00440785">
        <w:t>’</w:t>
      </w:r>
      <w:r>
        <w:t xml:space="preserve">s facilities, as determined by the </w:t>
      </w:r>
      <w:r w:rsidR="00B437CA">
        <w:t>C</w:t>
      </w:r>
      <w:r>
        <w:t>ommission</w:t>
      </w:r>
      <w:r w:rsidR="00440785">
        <w:t>’</w:t>
      </w:r>
      <w:r>
        <w:t xml:space="preserve">s methods for calculating the full set of benefits of distributed energy resources. </w:t>
      </w:r>
      <w:r w:rsidR="009A11A7">
        <w:t xml:space="preserve">The </w:t>
      </w:r>
      <w:bookmarkStart w:name="_Hlk158195998" w:id="199"/>
      <w:r w:rsidR="009A11A7">
        <w:t xml:space="preserve">adopted community renewable energy program </w:t>
      </w:r>
      <w:r w:rsidR="009632AF">
        <w:t xml:space="preserve">will </w:t>
      </w:r>
      <w:r w:rsidR="009A11A7">
        <w:t>compensate generating resources based on the PURPA avoided costs of the facility.</w:t>
      </w:r>
      <w:r w:rsidR="009632AF">
        <w:t xml:space="preserve"> Subscribing customers will receive a portion of this compensation as a bill credit. While the federal government provides guidance on PURPA avoided costs, states implementing PURPA</w:t>
      </w:r>
      <w:r w:rsidR="003D6EF8">
        <w:noBreakHyphen/>
      </w:r>
      <w:r w:rsidR="009632AF">
        <w:t xml:space="preserve">compliant programs have discretion to determine how avoided cost is calculated. Hence, the Commission will </w:t>
      </w:r>
      <w:r w:rsidR="005D065D">
        <w:t>use</w:t>
      </w:r>
      <w:r w:rsidR="009632AF">
        <w:t xml:space="preserve"> its own method to determine the avoided cost of the generating resource, with PURPA guidance. </w:t>
      </w:r>
      <w:bookmarkEnd w:id="199"/>
      <w:r w:rsidR="009632AF">
        <w:t>The Com</w:t>
      </w:r>
      <w:r w:rsidR="00E44344">
        <w:t xml:space="preserve">mission </w:t>
      </w:r>
      <w:r w:rsidR="009632AF">
        <w:t xml:space="preserve">concludes the community renewable energy program meets </w:t>
      </w:r>
      <w:r w:rsidR="00E44344">
        <w:t xml:space="preserve">the requirements of </w:t>
      </w:r>
      <w:r w:rsidR="00440785">
        <w:t>Pub. Util.</w:t>
      </w:r>
      <w:r w:rsidR="00E44344">
        <w:t xml:space="preserve"> Code </w:t>
      </w:r>
      <w:r w:rsidR="003627A8">
        <w:t>Section </w:t>
      </w:r>
      <w:r w:rsidR="00E44344">
        <w:t>769.3(c)(5).</w:t>
      </w:r>
    </w:p>
    <w:p w:rsidRPr="00E55CEF" w:rsidR="00E55CEF" w:rsidP="00AC6E92" w:rsidRDefault="00E44344" w14:paraId="5E0C07EA" w14:textId="59E5DA52">
      <w:pPr>
        <w:pStyle w:val="Standard"/>
      </w:pPr>
      <w:r>
        <w:t xml:space="preserve">Sixth, the </w:t>
      </w:r>
      <w:r w:rsidR="00B437CA">
        <w:t xml:space="preserve">new </w:t>
      </w:r>
      <w:r>
        <w:t xml:space="preserve">community renewable energy program is required </w:t>
      </w:r>
      <w:bookmarkStart w:name="_Hlk158196099" w:id="200"/>
      <w:r>
        <w:t>to prioritize the maximum use of state and federal incentives and accelerate implementation of the program to ensure that time</w:t>
      </w:r>
      <w:r w:rsidR="003D6EF8">
        <w:noBreakHyphen/>
      </w:r>
      <w:r>
        <w:t xml:space="preserve"> or quantity</w:t>
      </w:r>
      <w:r w:rsidR="003D6EF8">
        <w:noBreakHyphen/>
      </w:r>
      <w:r>
        <w:t>limited federal incentives can be obtained for the benefit of subscribers</w:t>
      </w:r>
      <w:bookmarkEnd w:id="200"/>
      <w:r>
        <w:t xml:space="preserve">. Further, the Commission is required to ensure that the </w:t>
      </w:r>
      <w:r w:rsidR="00D01642">
        <w:t xml:space="preserve">community renewable energy program </w:t>
      </w:r>
      <w:r>
        <w:t xml:space="preserve">facilities are eligible for an enhanced federal </w:t>
      </w:r>
      <w:r w:rsidR="00E73D2C">
        <w:t xml:space="preserve">ITC </w:t>
      </w:r>
      <w:r>
        <w:t>available as a qualified low</w:t>
      </w:r>
      <w:r w:rsidR="003D6EF8">
        <w:noBreakHyphen/>
      </w:r>
      <w:r>
        <w:t xml:space="preserve">income economic benefit project. Parties point to the availability of </w:t>
      </w:r>
      <w:r w:rsidR="00850C8F">
        <w:t xml:space="preserve">grants from the </w:t>
      </w:r>
      <w:r w:rsidR="00B437CA">
        <w:t>f</w:t>
      </w:r>
      <w:r w:rsidR="00850C8F">
        <w:t xml:space="preserve">ederal Inflation Reduction Act, noting these grants could be used to </w:t>
      </w:r>
      <w:r w:rsidR="00850C8F">
        <w:lastRenderedPageBreak/>
        <w:t xml:space="preserve">reduce the costs of the </w:t>
      </w:r>
      <w:r w:rsidR="00D01642">
        <w:t xml:space="preserve">community renewable energy program </w:t>
      </w:r>
      <w:r w:rsidR="00850C8F">
        <w:t>to subscribers.</w:t>
      </w:r>
      <w:r w:rsidR="00850C8F">
        <w:rPr>
          <w:rStyle w:val="FootnoteReference"/>
        </w:rPr>
        <w:footnoteReference w:id="341"/>
      </w:r>
      <w:r w:rsidR="00850C8F">
        <w:t xml:space="preserve"> Parties also point to the availability of state funding.</w:t>
      </w:r>
      <w:r w:rsidR="00850C8F">
        <w:rPr>
          <w:rStyle w:val="FootnoteReference"/>
        </w:rPr>
        <w:footnoteReference w:id="342"/>
      </w:r>
      <w:r w:rsidR="00D01642">
        <w:t xml:space="preserve"> </w:t>
      </w:r>
      <w:bookmarkStart w:name="_Hlk158196123" w:id="201"/>
      <w:r w:rsidR="00D01642">
        <w:t xml:space="preserve">The adopted community renewable energy program takes advantage of several state and federal funds </w:t>
      </w:r>
      <w:r w:rsidR="00783C47">
        <w:t xml:space="preserve">and incentives </w:t>
      </w:r>
      <w:r w:rsidR="00D01642">
        <w:t xml:space="preserve">including </w:t>
      </w:r>
      <w:r w:rsidR="003627A8">
        <w:t>AB </w:t>
      </w:r>
      <w:r w:rsidR="00D01642">
        <w:t>102, the Environmental Protection Agency</w:t>
      </w:r>
      <w:r w:rsidR="00440785">
        <w:t>’</w:t>
      </w:r>
      <w:r w:rsidR="00D01642">
        <w:t>s Solar for All</w:t>
      </w:r>
      <w:r w:rsidR="00F71C3A">
        <w:t xml:space="preserve"> grant competition</w:t>
      </w:r>
      <w:r w:rsidR="00D01642">
        <w:t xml:space="preserve">, </w:t>
      </w:r>
      <w:r w:rsidR="00783C47">
        <w:t xml:space="preserve">and </w:t>
      </w:r>
      <w:r w:rsidR="00D01642">
        <w:t xml:space="preserve">the </w:t>
      </w:r>
      <w:r w:rsidR="00E73D2C">
        <w:t>enhanced federal ITC</w:t>
      </w:r>
      <w:r w:rsidR="00D037F0">
        <w:t>. The</w:t>
      </w:r>
      <w:r w:rsidR="00783C47">
        <w:t xml:space="preserve"> programs remain open to Utility Greenhouse Gas Allowance Proceeds or California</w:t>
      </w:r>
      <w:r w:rsidR="00440785">
        <w:t>’</w:t>
      </w:r>
      <w:r w:rsidR="00783C47">
        <w:t>s</w:t>
      </w:r>
      <w:r w:rsidR="00D01642">
        <w:t xml:space="preserve"> Greenhouse Gas Reduction Fund. </w:t>
      </w:r>
      <w:bookmarkEnd w:id="201"/>
      <w:r w:rsidR="00D01642">
        <w:t xml:space="preserve">The Commission concludes the community renewable energy program complies with </w:t>
      </w:r>
      <w:r w:rsidR="00440785">
        <w:t>Pub. Util.</w:t>
      </w:r>
      <w:r w:rsidR="00E55CEF">
        <w:t xml:space="preserve"> Code </w:t>
      </w:r>
      <w:r w:rsidR="003627A8">
        <w:t>Section </w:t>
      </w:r>
      <w:r w:rsidR="00E55CEF">
        <w:t>769.3(c)(6).</w:t>
      </w:r>
    </w:p>
    <w:p w:rsidR="00621458" w:rsidP="001B1E90" w:rsidRDefault="00621458" w14:paraId="4CF3B44C" w14:textId="1856746C">
      <w:pPr>
        <w:pStyle w:val="Heading3"/>
      </w:pPr>
      <w:bookmarkStart w:name="_Toc159551200" w:id="202"/>
      <w:bookmarkStart w:name="_Toc168559318" w:id="203"/>
      <w:r>
        <w:t xml:space="preserve">Modification of </w:t>
      </w:r>
      <w:r w:rsidR="00F90080">
        <w:t>Existing</w:t>
      </w:r>
      <w:r w:rsidR="00D62231">
        <w:br/>
      </w:r>
      <w:r>
        <w:t>Green Access Program</w:t>
      </w:r>
      <w:r w:rsidR="00BB2D53">
        <w:t xml:space="preserve"> Tariff </w:t>
      </w:r>
      <w:r>
        <w:t>Options</w:t>
      </w:r>
      <w:bookmarkEnd w:id="202"/>
      <w:bookmarkEnd w:id="203"/>
    </w:p>
    <w:p w:rsidR="00956837" w:rsidP="00AC6E92" w:rsidRDefault="00440785" w14:paraId="3981BE4E" w14:textId="224DCB3B">
      <w:pPr>
        <w:pStyle w:val="Standard"/>
      </w:pPr>
      <w:r>
        <w:t>Pub. Util.</w:t>
      </w:r>
      <w:r w:rsidR="00495BB6">
        <w:t xml:space="preserve"> Code </w:t>
      </w:r>
      <w:r w:rsidR="003627A8">
        <w:t>Section </w:t>
      </w:r>
      <w:r w:rsidR="00495BB6">
        <w:t>769.3 directs that, following an evaluation</w:t>
      </w:r>
      <w:r w:rsidR="008F4F77">
        <w:t xml:space="preserve"> </w:t>
      </w:r>
      <w:r w:rsidR="00495BB6">
        <w:t xml:space="preserve">of the current Green Access Program tariffs, the Commission </w:t>
      </w:r>
      <w:r w:rsidR="00B20734">
        <w:t xml:space="preserve">shall </w:t>
      </w:r>
      <w:r w:rsidR="00495BB6">
        <w:t xml:space="preserve">determine whether it is </w:t>
      </w:r>
      <w:r>
        <w:t>“</w:t>
      </w:r>
      <w:r w:rsidR="00495BB6">
        <w:t xml:space="preserve">beneficial to ratepayers to establish a new tariff or program for an electrical corporation, or modify </w:t>
      </w:r>
      <w:r w:rsidR="00B437CA">
        <w:t xml:space="preserve">an </w:t>
      </w:r>
      <w:r w:rsidR="00495BB6">
        <w:t xml:space="preserve">existing tariff or program administered by an electrical corporation, to establish </w:t>
      </w:r>
      <w:r w:rsidR="00B437CA">
        <w:t xml:space="preserve">a </w:t>
      </w:r>
      <w:r w:rsidR="00495BB6">
        <w:t xml:space="preserve">community renewable energy program consistent with the criteria described in </w:t>
      </w:r>
      <w:r w:rsidR="00000807">
        <w:t>subdivision </w:t>
      </w:r>
      <w:r w:rsidR="00495BB6">
        <w:t>(c).</w:t>
      </w:r>
      <w:r>
        <w:t>”</w:t>
      </w:r>
      <w:r w:rsidR="00495BB6">
        <w:t xml:space="preserve"> As previously determined </w:t>
      </w:r>
      <w:r w:rsidR="008F4F77">
        <w:t xml:space="preserve">through the evaluation </w:t>
      </w:r>
      <w:r w:rsidR="00495BB6">
        <w:t>(and all parties agree), the current Green Access Program tariff options do not me</w:t>
      </w:r>
      <w:r w:rsidR="00237E56">
        <w:t>et al</w:t>
      </w:r>
      <w:r w:rsidR="00495BB6">
        <w:t xml:space="preserve">l the goals described in </w:t>
      </w:r>
      <w:r w:rsidR="003627A8">
        <w:t>AB </w:t>
      </w:r>
      <w:r w:rsidR="00495BB6">
        <w:t>2316</w:t>
      </w:r>
      <w:r w:rsidR="005D30D7">
        <w:t xml:space="preserve">: </w:t>
      </w:r>
      <w:r w:rsidR="00495BB6">
        <w:t>(a</w:t>
      </w:r>
      <w:r w:rsidR="008258CB">
        <w:t>) </w:t>
      </w:r>
      <w:r w:rsidR="00495BB6">
        <w:t>efficiently serves distinct customer groups; (b</w:t>
      </w:r>
      <w:r w:rsidR="008258CB">
        <w:t>) </w:t>
      </w:r>
      <w:r w:rsidR="00495BB6">
        <w:t>minimizes duplicative offerings; and (c</w:t>
      </w:r>
      <w:r w:rsidR="008258CB">
        <w:t>) </w:t>
      </w:r>
      <w:r w:rsidR="00495BB6">
        <w:t>promotes robust participation by low</w:t>
      </w:r>
      <w:r w:rsidR="003D6EF8">
        <w:noBreakHyphen/>
      </w:r>
      <w:r w:rsidR="00495BB6">
        <w:t xml:space="preserve">income customers. </w:t>
      </w:r>
      <w:r w:rsidR="00956837">
        <w:t>I</w:t>
      </w:r>
      <w:r w:rsidR="009B7116">
        <w:t xml:space="preserve">n </w:t>
      </w:r>
      <w:r w:rsidR="003627A8">
        <w:t>Section </w:t>
      </w:r>
      <w:r w:rsidR="009B7116">
        <w:t>3.4.</w:t>
      </w:r>
      <w:r w:rsidR="00B64D08">
        <w:t>3.1</w:t>
      </w:r>
      <w:r w:rsidR="00495BB6">
        <w:t>, the Commission determine</w:t>
      </w:r>
      <w:r w:rsidR="009B7116">
        <w:t>d</w:t>
      </w:r>
      <w:r w:rsidR="00495BB6">
        <w:t xml:space="preserve"> that the </w:t>
      </w:r>
      <w:r w:rsidR="00956837">
        <w:t xml:space="preserve">modifications to the existing Green Access Program tariffs are not required to meet the requirements for community renewable energy programs, as the modified programs are customer renewable energy subscription programs </w:t>
      </w:r>
      <w:r w:rsidR="008F4F77">
        <w:t xml:space="preserve">and </w:t>
      </w:r>
      <w:r w:rsidR="00956837">
        <w:t>not community renewable energy programs</w:t>
      </w:r>
      <w:r w:rsidR="00BB2D53">
        <w:t xml:space="preserve">. </w:t>
      </w:r>
      <w:r w:rsidR="003119AD">
        <w:t xml:space="preserve">While </w:t>
      </w:r>
      <w:r w:rsidR="003119AD">
        <w:lastRenderedPageBreak/>
        <w:t>the current Green Access Program tariff options do not me</w:t>
      </w:r>
      <w:r w:rsidR="00237E56">
        <w:t>et al</w:t>
      </w:r>
      <w:r w:rsidR="003119AD">
        <w:t xml:space="preserve">l the </w:t>
      </w:r>
      <w:r w:rsidR="00956837">
        <w:t xml:space="preserve">evaluation </w:t>
      </w:r>
      <w:r w:rsidR="003119AD">
        <w:t>goals</w:t>
      </w:r>
      <w:r w:rsidR="00956837">
        <w:t xml:space="preserve"> described in </w:t>
      </w:r>
      <w:r w:rsidR="003627A8">
        <w:t>AB </w:t>
      </w:r>
      <w:r w:rsidR="00956837">
        <w:t>2316</w:t>
      </w:r>
      <w:r w:rsidR="00BB2D53">
        <w:t>, th</w:t>
      </w:r>
      <w:r w:rsidR="003119AD">
        <w:t xml:space="preserve">e Commission finds </w:t>
      </w:r>
      <w:r w:rsidR="00956837">
        <w:t>it</w:t>
      </w:r>
      <w:r w:rsidR="003119AD">
        <w:t xml:space="preserve"> </w:t>
      </w:r>
      <w:r w:rsidR="00956837">
        <w:t>efficient</w:t>
      </w:r>
      <w:r w:rsidR="00E32626">
        <w:t xml:space="preserve"> — </w:t>
      </w:r>
      <w:r w:rsidR="00956837">
        <w:t>in terms of costs and resources</w:t>
      </w:r>
      <w:r w:rsidR="00E32626">
        <w:t xml:space="preserve"> — </w:t>
      </w:r>
      <w:r w:rsidR="003119AD">
        <w:t xml:space="preserve">to </w:t>
      </w:r>
      <w:r w:rsidR="00956837">
        <w:t xml:space="preserve">modify and streamline </w:t>
      </w:r>
      <w:r w:rsidR="00BB2D53">
        <w:t>existing Green Access Program tariffs</w:t>
      </w:r>
      <w:r w:rsidR="00A76DCF">
        <w:t xml:space="preserve">, </w:t>
      </w:r>
      <w:r w:rsidR="00E72AEA">
        <w:t xml:space="preserve">and simultaneously adopt a </w:t>
      </w:r>
      <w:r w:rsidR="00461E78">
        <w:t xml:space="preserve">community renewable energy program that </w:t>
      </w:r>
      <w:r w:rsidR="0096759B">
        <w:t>layer</w:t>
      </w:r>
      <w:r w:rsidR="00461E78">
        <w:t>s</w:t>
      </w:r>
      <w:r w:rsidR="0096759B">
        <w:t xml:space="preserve"> a customer subscription model and a non</w:t>
      </w:r>
      <w:r w:rsidR="003D6EF8">
        <w:noBreakHyphen/>
      </w:r>
      <w:r w:rsidR="0096759B">
        <w:t>ratepayer</w:t>
      </w:r>
      <w:r w:rsidR="003D6EF8">
        <w:noBreakHyphen/>
      </w:r>
      <w:r w:rsidR="0096759B">
        <w:t>funded adder onto one of several identified and existing standard supply</w:t>
      </w:r>
      <w:r w:rsidR="003D6EF8">
        <w:noBreakHyphen/>
      </w:r>
      <w:r w:rsidR="0096759B">
        <w:t>side tariffs and contract mechanisms</w:t>
      </w:r>
      <w:r w:rsidR="00461E78">
        <w:t xml:space="preserve"> that </w:t>
      </w:r>
      <w:r w:rsidR="00B20E89">
        <w:t xml:space="preserve">use the </w:t>
      </w:r>
      <w:r w:rsidR="00461E78">
        <w:t>PURPA</w:t>
      </w:r>
      <w:r w:rsidR="00B20E89">
        <w:t xml:space="preserve"> framework</w:t>
      </w:r>
      <w:r w:rsidR="0096759B">
        <w:t>.</w:t>
      </w:r>
    </w:p>
    <w:p w:rsidR="000C3C6C" w:rsidP="00AC6E92" w:rsidRDefault="000D7E2D" w14:paraId="3A27E337" w14:textId="242B1831">
      <w:pPr>
        <w:pStyle w:val="Standard"/>
      </w:pPr>
      <w:r>
        <w:t>As previously discussed, s</w:t>
      </w:r>
      <w:r w:rsidR="00B91697">
        <w:t xml:space="preserve">everal parties including </w:t>
      </w:r>
      <w:r w:rsidR="002917E2">
        <w:t>Cal Advoc</w:t>
      </w:r>
      <w:r w:rsidR="00B91697">
        <w:t xml:space="preserve">ates, TURN, and CCSA recommend terminating the current Green Access Program tariffs as they </w:t>
      </w:r>
      <w:r w:rsidR="00A76DCF">
        <w:t xml:space="preserve">assert these tariffs </w:t>
      </w:r>
      <w:r w:rsidR="00B91697">
        <w:t xml:space="preserve">have had limited operational success. </w:t>
      </w:r>
      <w:r w:rsidR="002917E2">
        <w:t>Cal Advoc</w:t>
      </w:r>
      <w:r w:rsidR="00B91697">
        <w:t xml:space="preserve">ates, TURN, </w:t>
      </w:r>
      <w:r w:rsidR="001E2C6F">
        <w:t xml:space="preserve">CCSA, </w:t>
      </w:r>
      <w:r w:rsidR="00B91697">
        <w:t xml:space="preserve">and SEIA submit </w:t>
      </w:r>
      <w:r w:rsidR="00C57C5A">
        <w:t xml:space="preserve">that </w:t>
      </w:r>
      <w:r w:rsidR="00B91697">
        <w:t>the current contracts should be retained for the Green Tariff and ECR tariff. SEIA proposes to maintain and modify the DAC</w:t>
      </w:r>
      <w:r w:rsidR="003D6EF8">
        <w:noBreakHyphen/>
      </w:r>
      <w:r w:rsidR="00B91697">
        <w:t xml:space="preserve">GT and CSGT tariffs but establish a sunset date. These parties also support </w:t>
      </w:r>
      <w:r w:rsidR="00924178">
        <w:t>adoption of</w:t>
      </w:r>
      <w:r w:rsidR="00B91697">
        <w:t xml:space="preserve"> a community renewable energy program </w:t>
      </w:r>
      <w:r w:rsidR="008F1F50">
        <w:t xml:space="preserve">and contend </w:t>
      </w:r>
      <w:r w:rsidR="002A0F2E">
        <w:t xml:space="preserve">adoption of the NVBT </w:t>
      </w:r>
      <w:r w:rsidR="00B91697">
        <w:t>would be beneficial to ratepayers.</w:t>
      </w:r>
    </w:p>
    <w:p w:rsidR="00BA58BF" w:rsidP="00AC6E92" w:rsidRDefault="00115D2E" w14:paraId="2E5A2A56" w14:textId="77777777">
      <w:pPr>
        <w:pStyle w:val="Standard"/>
      </w:pPr>
      <w:r>
        <w:t xml:space="preserve">Supporting the continuance of some of the Green Access Program tariffs, </w:t>
      </w:r>
      <w:r w:rsidR="000341A3">
        <w:t>Joint CCA</w:t>
      </w:r>
      <w:r w:rsidR="00A35011">
        <w:t>s</w:t>
      </w:r>
      <w:r w:rsidR="00956837">
        <w:t xml:space="preserve">, SCE, and </w:t>
      </w:r>
      <w:r>
        <w:t>P</w:t>
      </w:r>
      <w:r w:rsidR="00956837">
        <w:t xml:space="preserve">G&amp;E propose modifications to </w:t>
      </w:r>
      <w:r>
        <w:t>certain</w:t>
      </w:r>
      <w:r w:rsidR="00956837">
        <w:t xml:space="preserve"> existing tariffs, as described above in </w:t>
      </w:r>
      <w:r w:rsidR="003627A8">
        <w:t>Section </w:t>
      </w:r>
      <w:r w:rsidR="00956837">
        <w:t xml:space="preserve">3.4.1. As discussed below, </w:t>
      </w:r>
      <w:r w:rsidR="00C21681">
        <w:t xml:space="preserve">this decision </w:t>
      </w:r>
      <w:r w:rsidR="00884633">
        <w:t>agrees the Commission should make modifications to the current customer renewable energy subscription programs</w:t>
      </w:r>
      <w:r w:rsidR="00B20734">
        <w:t>,</w:t>
      </w:r>
      <w:r w:rsidR="00884633">
        <w:t xml:space="preserve"> </w:t>
      </w:r>
      <w:r w:rsidR="001C77B8">
        <w:t>also referred to as</w:t>
      </w:r>
      <w:r w:rsidR="00884633">
        <w:t xml:space="preserve"> Green Access Program tariffs.</w:t>
      </w:r>
    </w:p>
    <w:p w:rsidR="00C94876" w:rsidP="001B1E90" w:rsidRDefault="00707AF8" w14:paraId="5FAF4283" w14:textId="492DBFC7">
      <w:pPr>
        <w:pStyle w:val="Heading4"/>
      </w:pPr>
      <w:bookmarkStart w:name="_Toc168559319" w:id="204"/>
      <w:r>
        <w:t>Green Access Program</w:t>
      </w:r>
      <w:r w:rsidR="00537A90">
        <w:br/>
      </w:r>
      <w:r>
        <w:t>Tariff Modifications</w:t>
      </w:r>
      <w:bookmarkEnd w:id="204"/>
    </w:p>
    <w:p w:rsidR="00956837" w:rsidP="00AC6E92" w:rsidRDefault="00884633" w14:paraId="48E6336B" w14:textId="722B303E">
      <w:pPr>
        <w:pStyle w:val="Standard"/>
      </w:pPr>
      <w:r>
        <w:t xml:space="preserve">This decision </w:t>
      </w:r>
      <w:r w:rsidR="00C21681">
        <w:t xml:space="preserve">adopts some of the broader modifications </w:t>
      </w:r>
      <w:r>
        <w:t xml:space="preserve">proposed by </w:t>
      </w:r>
      <w:r w:rsidR="000341A3">
        <w:t>Joint CCA</w:t>
      </w:r>
      <w:r w:rsidR="00A35011">
        <w:t>s</w:t>
      </w:r>
      <w:r>
        <w:t xml:space="preserve">, SCE, and PG&amp;E, </w:t>
      </w:r>
      <w:r w:rsidR="00C21681">
        <w:t>such as consolidation and elimination</w:t>
      </w:r>
      <w:r w:rsidR="00B715D4">
        <w:t>.</w:t>
      </w:r>
    </w:p>
    <w:p w:rsidR="00646ADE" w:rsidP="00AC6E92" w:rsidRDefault="008D6FCF" w14:paraId="2F1A2B57" w14:textId="1D7A5D05">
      <w:pPr>
        <w:pStyle w:val="Standard"/>
      </w:pPr>
      <w:r>
        <w:t>T</w:t>
      </w:r>
      <w:r w:rsidR="001A3F20">
        <w:t xml:space="preserve">he evaluation of the Green Access Program tariffs </w:t>
      </w:r>
      <w:r w:rsidR="00CF3EBF">
        <w:t>finds</w:t>
      </w:r>
      <w:r w:rsidR="001A3F20">
        <w:t xml:space="preserve"> that</w:t>
      </w:r>
      <w:r w:rsidR="008F15D7">
        <w:t>:</w:t>
      </w:r>
      <w:r w:rsidR="001A3F20">
        <w:t xml:space="preserve"> </w:t>
      </w:r>
      <w:r w:rsidR="00B20734">
        <w:t>(1</w:t>
      </w:r>
      <w:r w:rsidR="000C21F2">
        <w:t>) </w:t>
      </w:r>
      <w:r w:rsidR="00B20734">
        <w:t xml:space="preserve">CSGT has had no customers enrolled since the rollout of the program and no projects </w:t>
      </w:r>
      <w:r w:rsidR="00B20734">
        <w:lastRenderedPageBreak/>
        <w:t>have come online</w:t>
      </w:r>
      <w:r w:rsidR="00913F87">
        <w:t xml:space="preserve"> as of the issuance of </w:t>
      </w:r>
      <w:r w:rsidR="00E04C73">
        <w:t xml:space="preserve">the proposed </w:t>
      </w:r>
      <w:r w:rsidR="00913F87">
        <w:t>decision</w:t>
      </w:r>
      <w:r w:rsidR="00E04C73">
        <w:t xml:space="preserve">. However, since the issuance of the proposed decision, a project has been placed in service </w:t>
      </w:r>
      <w:r w:rsidR="0041419A">
        <w:t xml:space="preserve">as of March 20, 2024, </w:t>
      </w:r>
      <w:r w:rsidR="00E04C73">
        <w:t xml:space="preserve">and two other projects are </w:t>
      </w:r>
      <w:r w:rsidR="0041419A">
        <w:t xml:space="preserve">considered to be </w:t>
      </w:r>
      <w:r w:rsidR="00E04C73">
        <w:t>mechanically complete</w:t>
      </w:r>
      <w:r w:rsidR="0041419A">
        <w:t xml:space="preserve"> by the developer, with enrollment obligations stated to be met</w:t>
      </w:r>
      <w:r w:rsidR="00E04C73">
        <w:t>.</w:t>
      </w:r>
      <w:r w:rsidR="00E04C73">
        <w:rPr>
          <w:rStyle w:val="FootnoteReference"/>
        </w:rPr>
        <w:footnoteReference w:id="343"/>
      </w:r>
      <w:r w:rsidR="00B20734">
        <w:t>; (2</w:t>
      </w:r>
      <w:r w:rsidR="000C21F2">
        <w:t>) </w:t>
      </w:r>
      <w:r w:rsidR="00B20734">
        <w:t>the DAC</w:t>
      </w:r>
      <w:r w:rsidR="003D6EF8">
        <w:noBreakHyphen/>
      </w:r>
      <w:r w:rsidR="00B20734">
        <w:t>GT is under</w:t>
      </w:r>
      <w:r w:rsidR="003D6EF8">
        <w:noBreakHyphen/>
      </w:r>
      <w:r w:rsidR="00B20734">
        <w:t>subscribed and under</w:t>
      </w:r>
      <w:r w:rsidR="003D6EF8">
        <w:noBreakHyphen/>
      </w:r>
      <w:r w:rsidR="00B20734">
        <w:t xml:space="preserve">procured; </w:t>
      </w:r>
      <w:r w:rsidR="00CF3EBF">
        <w:t>(</w:t>
      </w:r>
      <w:r w:rsidR="00B20734">
        <w:t>3</w:t>
      </w:r>
      <w:r w:rsidR="000C21F2">
        <w:t>) </w:t>
      </w:r>
      <w:r w:rsidR="00CF3EBF">
        <w:t xml:space="preserve">the Green Tariff fails to promote robust participation </w:t>
      </w:r>
      <w:r w:rsidR="00A152C7">
        <w:t>due to limited</w:t>
      </w:r>
      <w:r w:rsidR="00CF3EBF">
        <w:t xml:space="preserve"> enrollment by low</w:t>
      </w:r>
      <w:r w:rsidR="003D6EF8">
        <w:noBreakHyphen/>
      </w:r>
      <w:r w:rsidR="00CF3EBF">
        <w:t>income customers; and</w:t>
      </w:r>
      <w:r w:rsidR="00B20734">
        <w:t xml:space="preserve"> (4</w:t>
      </w:r>
      <w:r w:rsidR="000C21F2">
        <w:t>) </w:t>
      </w:r>
      <w:r w:rsidR="00B20734">
        <w:t xml:space="preserve">the ECR tariff </w:t>
      </w:r>
      <w:r w:rsidR="00913F87">
        <w:t xml:space="preserve">is duplicative and </w:t>
      </w:r>
      <w:r w:rsidR="00B20734">
        <w:t xml:space="preserve">has had </w:t>
      </w:r>
      <w:r w:rsidR="00D01642">
        <w:t xml:space="preserve">little </w:t>
      </w:r>
      <w:r w:rsidR="00B20734">
        <w:t>customer enrollment since the rollout of the program.</w:t>
      </w:r>
      <w:r w:rsidR="00913F87">
        <w:rPr>
          <w:rStyle w:val="FootnoteReference"/>
        </w:rPr>
        <w:footnoteReference w:id="344"/>
      </w:r>
      <w:r w:rsidR="004B3C59">
        <w:t xml:space="preserve"> The Commission recognizes there are challenges to attract</w:t>
      </w:r>
      <w:r w:rsidR="001C77B8">
        <w:t>ing</w:t>
      </w:r>
      <w:r w:rsidR="004B3C59">
        <w:t xml:space="preserve"> customers and developers.</w:t>
      </w:r>
      <w:r w:rsidR="00164A9E">
        <w:t xml:space="preserve"> </w:t>
      </w:r>
      <w:r w:rsidR="00E561FD">
        <w:t xml:space="preserve">As described in </w:t>
      </w:r>
      <w:r w:rsidR="003627A8">
        <w:t>Section </w:t>
      </w:r>
      <w:r w:rsidR="00E561FD">
        <w:t xml:space="preserve">3.3 above, the challenges </w:t>
      </w:r>
      <w:r w:rsidR="00BE66E1">
        <w:t>emanate from the</w:t>
      </w:r>
      <w:r w:rsidR="00E561FD">
        <w:t xml:space="preserve"> enrollment</w:t>
      </w:r>
      <w:r w:rsidR="00D6241D">
        <w:t xml:space="preserve"> rate</w:t>
      </w:r>
      <w:r w:rsidR="00E561FD">
        <w:t xml:space="preserve">, </w:t>
      </w:r>
      <w:r w:rsidR="00D6241D">
        <w:t xml:space="preserve">eligibility requirements, </w:t>
      </w:r>
      <w:r w:rsidR="00E561FD">
        <w:t xml:space="preserve">rate volatility, </w:t>
      </w:r>
      <w:r w:rsidR="00D6241D">
        <w:t>duplicati</w:t>
      </w:r>
      <w:r w:rsidR="00BE66E1">
        <w:t>on</w:t>
      </w:r>
      <w:r w:rsidR="00A152C7">
        <w:t>, and market confusion</w:t>
      </w:r>
      <w:r w:rsidR="00DB6BFC">
        <w:t>.</w:t>
      </w:r>
      <w:r w:rsidR="00F60722">
        <w:t xml:space="preserve"> Accordingly, the modifications adopted in this </w:t>
      </w:r>
      <w:r w:rsidR="002C6105">
        <w:t xml:space="preserve">section of the </w:t>
      </w:r>
      <w:r w:rsidR="00F60722">
        <w:t>decision are focused on addressing these challenges</w:t>
      </w:r>
      <w:r w:rsidR="00913F87">
        <w:t>.</w:t>
      </w:r>
    </w:p>
    <w:p w:rsidR="00176530" w:rsidP="00AC6E92" w:rsidRDefault="00176530" w14:paraId="6EEEB000" w14:textId="626045C0">
      <w:pPr>
        <w:pStyle w:val="Standard"/>
      </w:pPr>
      <w:r>
        <w:t xml:space="preserve">Borrowing a recommendation for the proposed community renewable energy program, this decision </w:t>
      </w:r>
      <w:r w:rsidR="001C0C4F">
        <w:t>requires</w:t>
      </w:r>
      <w:r w:rsidR="00DB19F5">
        <w:t xml:space="preserve"> the</w:t>
      </w:r>
      <w:r>
        <w:t xml:space="preserve"> develop</w:t>
      </w:r>
      <w:r w:rsidR="00DB19F5">
        <w:t>ment of</w:t>
      </w:r>
      <w:r>
        <w:t xml:space="preserve"> one central </w:t>
      </w:r>
      <w:r w:rsidR="00A152C7">
        <w:t xml:space="preserve">marketing </w:t>
      </w:r>
      <w:r>
        <w:t xml:space="preserve">website </w:t>
      </w:r>
      <w:r w:rsidR="00A152C7">
        <w:t xml:space="preserve">including, but not limited to, </w:t>
      </w:r>
      <w:r>
        <w:t xml:space="preserve">information on </w:t>
      </w:r>
      <w:r w:rsidR="00A152C7">
        <w:t>each program and how to apply</w:t>
      </w:r>
      <w:r>
        <w:t>, procurement</w:t>
      </w:r>
      <w:r w:rsidR="00A152C7">
        <w:t xml:space="preserve"> opportunities</w:t>
      </w:r>
      <w:r>
        <w:t xml:space="preserve">, and statewide program enrollment. </w:t>
      </w:r>
      <w:r w:rsidRPr="0043520E" w:rsidR="001C0C4F">
        <w:rPr>
          <w:rFonts w:cstheme="minorHAnsi"/>
          <w:color w:val="000000"/>
        </w:rPr>
        <w:t xml:space="preserve">Subject to budget appropriation, the Commission should authorize the Director of Energy Division to hire a consultant to </w:t>
      </w:r>
      <w:r w:rsidR="001C0C4F">
        <w:rPr>
          <w:rFonts w:cstheme="minorHAnsi"/>
          <w:color w:val="000000"/>
        </w:rPr>
        <w:t>develop a statewide website to overcome barriers in customer and project developer awareness of the Commission</w:t>
      </w:r>
      <w:r w:rsidR="00440785">
        <w:rPr>
          <w:rFonts w:cstheme="minorHAnsi"/>
          <w:color w:val="000000"/>
        </w:rPr>
        <w:t>’</w:t>
      </w:r>
      <w:r w:rsidR="001C0C4F">
        <w:rPr>
          <w:rFonts w:cstheme="minorHAnsi"/>
          <w:color w:val="000000"/>
        </w:rPr>
        <w:t xml:space="preserve">s </w:t>
      </w:r>
      <w:r w:rsidR="007554E9">
        <w:rPr>
          <w:rFonts w:cstheme="minorHAnsi"/>
          <w:color w:val="000000"/>
        </w:rPr>
        <w:t>p</w:t>
      </w:r>
      <w:r w:rsidR="007A5B5A">
        <w:rPr>
          <w:rFonts w:cstheme="minorHAnsi"/>
          <w:color w:val="000000"/>
        </w:rPr>
        <w:t>ortfolio</w:t>
      </w:r>
      <w:r w:rsidR="007554E9">
        <w:rPr>
          <w:rFonts w:cstheme="minorHAnsi"/>
          <w:color w:val="000000"/>
        </w:rPr>
        <w:t xml:space="preserve"> of renewable energy programs</w:t>
      </w:r>
      <w:r w:rsidR="001C0C4F">
        <w:rPr>
          <w:rFonts w:cstheme="minorHAnsi"/>
          <w:color w:val="000000"/>
        </w:rPr>
        <w:t xml:space="preserve">. </w:t>
      </w:r>
      <w:r w:rsidRPr="00FC00E3" w:rsidR="001C0C4F">
        <w:rPr>
          <w:rFonts w:cstheme="minorHAnsi"/>
          <w:color w:val="000000"/>
        </w:rPr>
        <w:t xml:space="preserve">Energy Division is authorized to provide </w:t>
      </w:r>
      <w:r w:rsidR="001C0C4F">
        <w:rPr>
          <w:rFonts w:cstheme="minorHAnsi"/>
          <w:color w:val="000000"/>
        </w:rPr>
        <w:t>early access to a draft version of the website</w:t>
      </w:r>
      <w:r w:rsidRPr="00FC00E3" w:rsidR="001C0C4F">
        <w:rPr>
          <w:rFonts w:cstheme="minorHAnsi"/>
          <w:color w:val="000000"/>
        </w:rPr>
        <w:t xml:space="preserve"> </w:t>
      </w:r>
      <w:r w:rsidR="001C0C4F">
        <w:rPr>
          <w:rFonts w:cstheme="minorHAnsi"/>
          <w:color w:val="000000"/>
        </w:rPr>
        <w:t xml:space="preserve">and related content </w:t>
      </w:r>
      <w:r w:rsidRPr="00FC00E3" w:rsidR="001C0C4F">
        <w:rPr>
          <w:rFonts w:cstheme="minorHAnsi"/>
          <w:color w:val="000000"/>
        </w:rPr>
        <w:t xml:space="preserve">to </w:t>
      </w:r>
      <w:r w:rsidR="007A5B5A">
        <w:rPr>
          <w:rFonts w:cstheme="minorHAnsi"/>
          <w:color w:val="000000"/>
        </w:rPr>
        <w:t>the</w:t>
      </w:r>
      <w:r w:rsidRPr="00FC00E3" w:rsidR="007A5B5A">
        <w:rPr>
          <w:rFonts w:cstheme="minorHAnsi"/>
          <w:color w:val="000000"/>
        </w:rPr>
        <w:t xml:space="preserve"> </w:t>
      </w:r>
      <w:r w:rsidRPr="00FC00E3" w:rsidR="001C0C4F">
        <w:rPr>
          <w:rFonts w:cstheme="minorHAnsi"/>
          <w:color w:val="000000"/>
        </w:rPr>
        <w:t xml:space="preserve">service list </w:t>
      </w:r>
      <w:r w:rsidR="007A5B5A">
        <w:rPr>
          <w:rFonts w:cstheme="minorHAnsi"/>
          <w:color w:val="000000"/>
        </w:rPr>
        <w:t xml:space="preserve">of </w:t>
      </w:r>
      <w:r w:rsidR="007A5B5A">
        <w:rPr>
          <w:rFonts w:cstheme="minorHAnsi"/>
          <w:color w:val="000000"/>
        </w:rPr>
        <w:lastRenderedPageBreak/>
        <w:t xml:space="preserve">this proceeding </w:t>
      </w:r>
      <w:r w:rsidRPr="00FC00E3" w:rsidR="001C0C4F">
        <w:rPr>
          <w:rFonts w:cstheme="minorHAnsi"/>
          <w:color w:val="000000"/>
        </w:rPr>
        <w:t>for informal party and other stakeholder comment</w:t>
      </w:r>
      <w:r w:rsidR="00D10F2F">
        <w:rPr>
          <w:rFonts w:cstheme="minorHAnsi"/>
          <w:color w:val="000000"/>
        </w:rPr>
        <w:t>s</w:t>
      </w:r>
      <w:r w:rsidRPr="00FC00E3" w:rsidR="001C0C4F">
        <w:rPr>
          <w:rFonts w:cstheme="minorHAnsi"/>
          <w:color w:val="000000"/>
        </w:rPr>
        <w:t xml:space="preserve"> to ensure the </w:t>
      </w:r>
      <w:r w:rsidR="001C0C4F">
        <w:rPr>
          <w:rFonts w:cstheme="minorHAnsi"/>
          <w:color w:val="000000"/>
        </w:rPr>
        <w:t>webpages are</w:t>
      </w:r>
      <w:r w:rsidRPr="00FC00E3" w:rsidR="001C0C4F">
        <w:rPr>
          <w:rFonts w:cstheme="minorHAnsi"/>
          <w:color w:val="000000"/>
        </w:rPr>
        <w:t xml:space="preserve"> clear and complete.</w:t>
      </w:r>
    </w:p>
    <w:p w:rsidR="00176530" w:rsidP="00AC6E92" w:rsidRDefault="00176530" w14:paraId="35F87E4D" w14:textId="523065E4">
      <w:pPr>
        <w:pStyle w:val="Standard"/>
      </w:pPr>
      <w:r>
        <w:t xml:space="preserve">In the improved version of the tariffs, the Commission will </w:t>
      </w:r>
      <w:r w:rsidR="001258A5">
        <w:t xml:space="preserve">allow </w:t>
      </w:r>
      <w:r>
        <w:t xml:space="preserve">the </w:t>
      </w:r>
      <w:bookmarkStart w:name="_Hlk158207626" w:id="205"/>
      <w:r w:rsidR="001258A5">
        <w:t xml:space="preserve">voluntary </w:t>
      </w:r>
      <w:r>
        <w:t xml:space="preserve">inclusion of storage in solicitations. While the Commission recognizes this will </w:t>
      </w:r>
      <w:r w:rsidR="008263FF">
        <w:t xml:space="preserve">likely </w:t>
      </w:r>
      <w:r>
        <w:t>result in more costly projects</w:t>
      </w:r>
      <w:r w:rsidR="001258A5">
        <w:t>, as compared to stand</w:t>
      </w:r>
      <w:r w:rsidR="003D6EF8">
        <w:noBreakHyphen/>
      </w:r>
      <w:r w:rsidR="001258A5">
        <w:t>alone solar projects</w:t>
      </w:r>
      <w:r>
        <w:t xml:space="preserve">, this additional cost is balanced with the additional value to the grid that resources combined with storage will provide, which the Commission </w:t>
      </w:r>
      <w:bookmarkEnd w:id="205"/>
      <w:r>
        <w:t>determined in D.22</w:t>
      </w:r>
      <w:r w:rsidR="003D6EF8">
        <w:noBreakHyphen/>
      </w:r>
      <w:r>
        <w:t>12</w:t>
      </w:r>
      <w:r w:rsidR="003D6EF8">
        <w:noBreakHyphen/>
      </w:r>
      <w:r>
        <w:t>056.</w:t>
      </w:r>
      <w:r>
        <w:rPr>
          <w:rStyle w:val="FootnoteReference"/>
        </w:rPr>
        <w:footnoteReference w:id="345"/>
      </w:r>
    </w:p>
    <w:p w:rsidR="00F7557A" w:rsidP="00F7557A" w:rsidRDefault="00176530" w14:paraId="0EFC7EB5" w14:textId="08BDEC05">
      <w:pPr>
        <w:pStyle w:val="Standard"/>
      </w:pPr>
      <w:r w:rsidRPr="005D1068">
        <w:t xml:space="preserve">To improve costs, this decision eliminates the requirement to </w:t>
      </w:r>
      <w:r w:rsidR="00327099">
        <w:t xml:space="preserve">(1) </w:t>
      </w:r>
      <w:r w:rsidRPr="005D1068">
        <w:t xml:space="preserve">report on the </w:t>
      </w:r>
      <w:r w:rsidRPr="00FD66C0" w:rsidR="00737439">
        <w:t>California Air Resources Board</w:t>
      </w:r>
      <w:r w:rsidRPr="002042E0" w:rsidDel="00737439" w:rsidR="00737439">
        <w:t xml:space="preserve"> </w:t>
      </w:r>
      <w:r w:rsidRPr="00FD66C0">
        <w:t xml:space="preserve">Voluntary Renewable Electricity </w:t>
      </w:r>
      <w:r w:rsidRPr="005D1068" w:rsidR="00C33B7C">
        <w:t>(</w:t>
      </w:r>
      <w:r w:rsidRPr="00FD66C0" w:rsidR="00C33B7C">
        <w:t>VRE</w:t>
      </w:r>
      <w:r w:rsidRPr="005D1068" w:rsidR="00C33B7C">
        <w:t>)</w:t>
      </w:r>
      <w:r w:rsidR="00C33B7C">
        <w:t xml:space="preserve"> </w:t>
      </w:r>
      <w:r w:rsidRPr="005D1068">
        <w:t>Reserve Account</w:t>
      </w:r>
      <w:r w:rsidR="0041419A">
        <w:t xml:space="preserve"> </w:t>
      </w:r>
      <w:r w:rsidR="00F2117F">
        <w:t xml:space="preserve">and </w:t>
      </w:r>
      <w:r w:rsidR="00327099">
        <w:t xml:space="preserve">(2) </w:t>
      </w:r>
      <w:r w:rsidRPr="005D1068" w:rsidR="00F2117F">
        <w:t>retire Renewable Energy Credits</w:t>
      </w:r>
      <w:r w:rsidR="00F2117F">
        <w:t xml:space="preserve"> in connection with the VRE Reserve account. Further,</w:t>
      </w:r>
      <w:r w:rsidR="0041419A">
        <w:t xml:space="preserve"> beginning in 2024, </w:t>
      </w:r>
      <w:r w:rsidR="00F2117F">
        <w:t>this decision also eliminates the requirement to report on the Green-e Certification process</w:t>
      </w:r>
      <w:r w:rsidR="00F7557A">
        <w:t xml:space="preserve"> in order to reduce, time, effort, and cost</w:t>
      </w:r>
      <w:r w:rsidRPr="005D1068">
        <w:t>.</w:t>
      </w:r>
      <w:r w:rsidR="00F2117F">
        <w:rPr>
          <w:rStyle w:val="FootnoteReference"/>
        </w:rPr>
        <w:footnoteReference w:id="346"/>
      </w:r>
      <w:r w:rsidRPr="005D1068">
        <w:t xml:space="preserve"> PG&amp;E and SCE assert these programs are expensive, noting that the capacity in the </w:t>
      </w:r>
      <w:r w:rsidRPr="00FD66C0" w:rsidR="00737439">
        <w:t>California Air Resources Board</w:t>
      </w:r>
      <w:r w:rsidRPr="005D1068" w:rsidDel="00737439" w:rsidR="00737439">
        <w:t xml:space="preserve"> </w:t>
      </w:r>
      <w:r w:rsidRPr="005D1068">
        <w:t xml:space="preserve">VRE is nearly at its maximum availability. The Commission finds that use of the </w:t>
      </w:r>
      <w:r w:rsidR="00A152C7">
        <w:t>DAC</w:t>
      </w:r>
      <w:r w:rsidR="003D6EF8">
        <w:noBreakHyphen/>
      </w:r>
      <w:r w:rsidR="00A152C7">
        <w:t xml:space="preserve">GT and Green Tariff </w:t>
      </w:r>
      <w:r w:rsidRPr="005D1068">
        <w:t>program administrator</w:t>
      </w:r>
      <w:r w:rsidR="00A152C7">
        <w:t>s</w:t>
      </w:r>
      <w:r w:rsidRPr="005D1068">
        <w:t xml:space="preserve"> provides an opportunity for a more cost</w:t>
      </w:r>
      <w:r w:rsidR="003D6EF8">
        <w:noBreakHyphen/>
      </w:r>
      <w:r w:rsidRPr="005D1068">
        <w:t xml:space="preserve">effective method of verification. Hence, </w:t>
      </w:r>
      <w:r w:rsidR="00327099">
        <w:t xml:space="preserve">in lieu of the Green-e Certification process, </w:t>
      </w:r>
      <w:r w:rsidRPr="005D1068">
        <w:t>the Commission requires that for the modified tariffs, the program administrators will be required to conduct their own validation and tracking</w:t>
      </w:r>
      <w:r w:rsidRPr="005D1068" w:rsidR="001C0C4F">
        <w:t>, as proposed by PG&amp;</w:t>
      </w:r>
      <w:r w:rsidRPr="005D1068" w:rsidR="005D065D">
        <w:t>E,</w:t>
      </w:r>
      <w:r w:rsidRPr="005D1068" w:rsidR="001C0C4F">
        <w:t xml:space="preserve"> and supported by the </w:t>
      </w:r>
      <w:r w:rsidR="000341A3">
        <w:t>Joint CCA</w:t>
      </w:r>
      <w:r w:rsidRPr="005D1068" w:rsidR="001C0C4F">
        <w:t>s</w:t>
      </w:r>
      <w:r w:rsidRPr="005D1068">
        <w:t>.</w:t>
      </w:r>
      <w:r w:rsidRPr="005D1068" w:rsidR="001C0C4F">
        <w:rPr>
          <w:rStyle w:val="FootnoteReference"/>
        </w:rPr>
        <w:footnoteReference w:id="347"/>
      </w:r>
      <w:r w:rsidR="00F7557A">
        <w:t xml:space="preserve"> Specifically, Utilities and </w:t>
      </w:r>
      <w:r w:rsidR="00F7557A">
        <w:lastRenderedPageBreak/>
        <w:t>participating CCAs shall include the following details within their quarterly DGStats reporting after the retirement of the RECs</w:t>
      </w:r>
      <w:r w:rsidR="0080574B">
        <w:t>, as further discussed below</w:t>
      </w:r>
      <w:r w:rsidR="00F7557A">
        <w:t>:</w:t>
      </w:r>
    </w:p>
    <w:p w:rsidR="00F7557A" w:rsidP="00F7557A" w:rsidRDefault="00F7557A" w14:paraId="0795A48C" w14:textId="77777777">
      <w:pPr>
        <w:pStyle w:val="Standard"/>
        <w:numPr>
          <w:ilvl w:val="0"/>
          <w:numId w:val="19"/>
        </w:numPr>
      </w:pPr>
      <w:r>
        <w:t>MWh of participant usage;</w:t>
      </w:r>
    </w:p>
    <w:p w:rsidR="00F7557A" w:rsidP="00F7557A" w:rsidRDefault="00F7557A" w14:paraId="73E8A536" w14:textId="77777777">
      <w:pPr>
        <w:pStyle w:val="Standard"/>
        <w:numPr>
          <w:ilvl w:val="0"/>
          <w:numId w:val="19"/>
        </w:numPr>
      </w:pPr>
      <w:r>
        <w:t>MWh of RPS RECs retired for participants (e.g. 40 percent from RPS would mean 40 percent of usage is accounted for by RPS RECs); and</w:t>
      </w:r>
    </w:p>
    <w:p w:rsidR="00F7557A" w:rsidP="000617A4" w:rsidRDefault="00F7557A" w14:paraId="739FA765" w14:textId="6AADBA49">
      <w:pPr>
        <w:pStyle w:val="Standard"/>
        <w:numPr>
          <w:ilvl w:val="0"/>
          <w:numId w:val="19"/>
        </w:numPr>
      </w:pPr>
      <w:r>
        <w:t>Remaining MWh of usage to account for with program RECs</w:t>
      </w:r>
      <w:r w:rsidR="00327099">
        <w:t>.</w:t>
      </w:r>
    </w:p>
    <w:p w:rsidR="00A152C7" w:rsidP="00AC6E92" w:rsidRDefault="001C0C4F" w14:paraId="33EA54F6" w14:textId="5089C655">
      <w:pPr>
        <w:pStyle w:val="Standard"/>
      </w:pPr>
      <w:r w:rsidRPr="001C0C4F">
        <w:t>In lieu of filing program</w:t>
      </w:r>
      <w:r w:rsidR="003D6EF8">
        <w:noBreakHyphen/>
      </w:r>
      <w:r w:rsidRPr="001C0C4F">
        <w:t>specific monthly, quarterly, and semi</w:t>
      </w:r>
      <w:r w:rsidR="003D6EF8">
        <w:noBreakHyphen/>
      </w:r>
      <w:r w:rsidRPr="001C0C4F">
        <w:t xml:space="preserve">annual reports to the relevant service list, each </w:t>
      </w:r>
      <w:r w:rsidR="007A5B5A">
        <w:t xml:space="preserve">modified </w:t>
      </w:r>
      <w:r w:rsidRPr="001C0C4F">
        <w:t>DAC</w:t>
      </w:r>
      <w:r w:rsidR="003D6EF8">
        <w:noBreakHyphen/>
      </w:r>
      <w:r w:rsidRPr="001C0C4F">
        <w:t xml:space="preserve">GT and </w:t>
      </w:r>
      <w:r w:rsidR="007A5B5A">
        <w:t xml:space="preserve">modified </w:t>
      </w:r>
      <w:r w:rsidRPr="001C0C4F">
        <w:t xml:space="preserve">Green Tariff Program Administrator </w:t>
      </w:r>
      <w:r>
        <w:t>is directed to</w:t>
      </w:r>
      <w:r w:rsidRPr="001C0C4F">
        <w:t xml:space="preserve"> conduct </w:t>
      </w:r>
      <w:bookmarkStart w:name="_Hlk158285478" w:id="206"/>
      <w:r w:rsidRPr="001C0C4F">
        <w:t xml:space="preserve">data collection and reporting on program operation and outcomes for public posting on the </w:t>
      </w:r>
      <w:r w:rsidR="009D38FF">
        <w:rPr>
          <w:rFonts w:cs="TimesNewRomanPSMT"/>
          <w:szCs w:val="26"/>
        </w:rPr>
        <w:t>DGStats</w:t>
      </w:r>
      <w:r w:rsidR="00966E54">
        <w:t xml:space="preserve"> </w:t>
      </w:r>
      <w:r w:rsidRPr="001C0C4F">
        <w:t>website</w:t>
      </w:r>
      <w:bookmarkEnd w:id="206"/>
      <w:r w:rsidRPr="001C0C4F">
        <w:t xml:space="preserve">. For </w:t>
      </w:r>
      <w:r w:rsidR="00A152C7">
        <w:t xml:space="preserve">the </w:t>
      </w:r>
      <w:r w:rsidR="007A5B5A">
        <w:t xml:space="preserve">modified </w:t>
      </w:r>
      <w:r w:rsidRPr="001C0C4F">
        <w:t>DAC</w:t>
      </w:r>
      <w:r w:rsidR="003D6EF8">
        <w:noBreakHyphen/>
      </w:r>
      <w:r w:rsidRPr="001C0C4F">
        <w:t>GT, D.18</w:t>
      </w:r>
      <w:r w:rsidR="003D6EF8">
        <w:noBreakHyphen/>
      </w:r>
      <w:r w:rsidRPr="001C0C4F">
        <w:t>06</w:t>
      </w:r>
      <w:r w:rsidR="003D6EF8">
        <w:noBreakHyphen/>
      </w:r>
      <w:r w:rsidRPr="001C0C4F">
        <w:t xml:space="preserve">027 instructed </w:t>
      </w:r>
      <w:r>
        <w:t>Utilities</w:t>
      </w:r>
      <w:r w:rsidRPr="001C0C4F">
        <w:t xml:space="preserve"> to work with the Energy Division to develop reporting requirements and </w:t>
      </w:r>
      <w:r w:rsidR="00440785">
        <w:t>Resolution </w:t>
      </w:r>
      <w:r w:rsidRPr="001C0C4F">
        <w:t>E</w:t>
      </w:r>
      <w:r w:rsidR="003D6EF8">
        <w:noBreakHyphen/>
      </w:r>
      <w:r w:rsidRPr="001C0C4F">
        <w:t>4999 further directed Program Administrators to file quarterly and semi</w:t>
      </w:r>
      <w:r w:rsidR="003D6EF8">
        <w:noBreakHyphen/>
      </w:r>
      <w:r w:rsidRPr="001C0C4F">
        <w:t>annual reports to the R.17</w:t>
      </w:r>
      <w:r w:rsidR="003D6EF8">
        <w:noBreakHyphen/>
      </w:r>
      <w:r w:rsidRPr="001C0C4F">
        <w:t>07</w:t>
      </w:r>
      <w:r w:rsidR="003D6EF8">
        <w:noBreakHyphen/>
      </w:r>
      <w:r w:rsidRPr="001C0C4F">
        <w:t xml:space="preserve">002 service list. For </w:t>
      </w:r>
      <w:r w:rsidR="00A152C7">
        <w:t xml:space="preserve">the </w:t>
      </w:r>
      <w:r w:rsidR="007A5B5A">
        <w:t xml:space="preserve">modified </w:t>
      </w:r>
      <w:r w:rsidR="00A152C7">
        <w:t>Green Tariff</w:t>
      </w:r>
      <w:r w:rsidRPr="001C0C4F">
        <w:t>, D.15</w:t>
      </w:r>
      <w:r w:rsidR="003D6EF8">
        <w:noBreakHyphen/>
      </w:r>
      <w:r w:rsidRPr="001C0C4F">
        <w:t>01</w:t>
      </w:r>
      <w:r w:rsidR="003D6EF8">
        <w:noBreakHyphen/>
      </w:r>
      <w:r w:rsidRPr="001C0C4F">
        <w:t xml:space="preserve">051, </w:t>
      </w:r>
      <w:r w:rsidR="00440785">
        <w:t>Resolution </w:t>
      </w:r>
      <w:r w:rsidRPr="001C0C4F">
        <w:t>E</w:t>
      </w:r>
      <w:r w:rsidR="003D6EF8">
        <w:noBreakHyphen/>
      </w:r>
      <w:r w:rsidRPr="001C0C4F">
        <w:t>5028, and D.21</w:t>
      </w:r>
      <w:r w:rsidR="003D6EF8">
        <w:noBreakHyphen/>
      </w:r>
      <w:r w:rsidRPr="001C0C4F">
        <w:t>12</w:t>
      </w:r>
      <w:r w:rsidR="003D6EF8">
        <w:noBreakHyphen/>
      </w:r>
      <w:r w:rsidRPr="001C0C4F">
        <w:t xml:space="preserve">036 directed </w:t>
      </w:r>
      <w:r>
        <w:t>U</w:t>
      </w:r>
      <w:r w:rsidRPr="001C0C4F">
        <w:t xml:space="preserve">tilities to submit monthly or quarterly program progress reports. </w:t>
      </w:r>
      <w:bookmarkStart w:name="_Hlk158285641" w:id="207"/>
      <w:r w:rsidRPr="001C0C4F">
        <w:t>Specific program metrics, such as projects approved and completed, project status and capacity, location of project, subscriber information, job training, local hiring, and coordination with low</w:t>
      </w:r>
      <w:r w:rsidR="003D6EF8">
        <w:noBreakHyphen/>
      </w:r>
      <w:r w:rsidRPr="001C0C4F">
        <w:t xml:space="preserve">income and clean energy programs shall be posted on the </w:t>
      </w:r>
      <w:r w:rsidR="003959C9">
        <w:t xml:space="preserve">DGStats </w:t>
      </w:r>
      <w:r w:rsidRPr="001C0C4F">
        <w:t xml:space="preserve">website, or another website as determined by the Energy Division, on a quarterly basis. </w:t>
      </w:r>
      <w:r w:rsidR="00FA1188">
        <w:t>Additionally, the elements of the RPS Transfer Report related to the modified Green Tariff shall also be included on the DGStats website.</w:t>
      </w:r>
      <w:r w:rsidR="00FA1188">
        <w:rPr>
          <w:rStyle w:val="FootnoteReference"/>
        </w:rPr>
        <w:footnoteReference w:id="348"/>
      </w:r>
      <w:r w:rsidR="00FA1188">
        <w:t xml:space="preserve"> </w:t>
      </w:r>
      <w:r w:rsidRPr="001C0C4F">
        <w:t xml:space="preserve">The data shall be uniformly formatted and contain no confidential material. Energy Division may </w:t>
      </w:r>
      <w:r w:rsidRPr="001C0C4F">
        <w:lastRenderedPageBreak/>
        <w:t>modify these reporting requirements as needed to inform evaluation, measurement, and verification activities.</w:t>
      </w:r>
    </w:p>
    <w:bookmarkEnd w:id="207"/>
    <w:p w:rsidR="00176530" w:rsidP="00E56FAA" w:rsidRDefault="001C0C4F" w14:paraId="63E8033F" w14:textId="4DF9DAC1">
      <w:pPr>
        <w:pStyle w:val="Standard"/>
      </w:pPr>
      <w:r>
        <w:t>Utilities</w:t>
      </w:r>
      <w:r w:rsidRPr="001C0C4F">
        <w:t xml:space="preserve"> and participating CCAs shall </w:t>
      </w:r>
      <w:r>
        <w:t>facilitate</w:t>
      </w:r>
      <w:r w:rsidRPr="001C0C4F">
        <w:t xml:space="preserve"> a workshop </w:t>
      </w:r>
      <w:r w:rsidR="00A152C7">
        <w:t xml:space="preserve">no later than 60 days after the adoption of this decision </w:t>
      </w:r>
      <w:r w:rsidRPr="001C0C4F">
        <w:t xml:space="preserve">to </w:t>
      </w:r>
      <w:bookmarkStart w:name="_Hlk158285289" w:id="208"/>
      <w:r w:rsidRPr="001C0C4F">
        <w:t xml:space="preserve">determine the format and specific data to be included in the DGStats program reporting. </w:t>
      </w:r>
      <w:r w:rsidR="00A152C7">
        <w:t>No later than 45 days a</w:t>
      </w:r>
      <w:r w:rsidRPr="001C0C4F">
        <w:t xml:space="preserve">fter the workshop, </w:t>
      </w:r>
      <w:r w:rsidR="005F472E">
        <w:t>Utilities</w:t>
      </w:r>
      <w:r w:rsidRPr="001C0C4F">
        <w:t xml:space="preserve"> and participating CCAs shall </w:t>
      </w:r>
      <w:r w:rsidR="00A152C7">
        <w:t>submit</w:t>
      </w:r>
      <w:r w:rsidRPr="001C0C4F" w:rsidR="00A152C7">
        <w:t xml:space="preserve"> </w:t>
      </w:r>
      <w:r w:rsidRPr="001C0C4F">
        <w:t xml:space="preserve">a joint </w:t>
      </w:r>
      <w:r w:rsidR="00440785">
        <w:t>Tier 1</w:t>
      </w:r>
      <w:r w:rsidR="00575D35">
        <w:t xml:space="preserve"> Advice Letter</w:t>
      </w:r>
      <w:r w:rsidR="003143C0">
        <w:t xml:space="preserve"> </w:t>
      </w:r>
      <w:r w:rsidRPr="001C0C4F">
        <w:t>outlining what was agreed upon as well as any efforts planned to better coordinate amongst the various Program Administrators and to automate the data collection and transfer process.</w:t>
      </w:r>
    </w:p>
    <w:bookmarkEnd w:id="208"/>
    <w:p w:rsidR="00956837" w:rsidP="00AC6E92" w:rsidRDefault="005F472E" w14:paraId="4555655E" w14:textId="5DEC6E4B">
      <w:pPr>
        <w:pStyle w:val="Standard"/>
      </w:pPr>
      <w:r>
        <w:t>Finally, t</w:t>
      </w:r>
      <w:r w:rsidR="00857AFE">
        <w:t xml:space="preserve">he Commission does not prescribe a name for these modified tariffs in this decision. A future </w:t>
      </w:r>
      <w:r w:rsidR="00480E78">
        <w:t>ruling</w:t>
      </w:r>
      <w:r w:rsidR="00857AFE">
        <w:t xml:space="preserve"> and decision</w:t>
      </w:r>
      <w:r w:rsidR="00CD7709">
        <w:t xml:space="preserve">, as discussed in </w:t>
      </w:r>
      <w:r w:rsidR="003627A8">
        <w:t>Section </w:t>
      </w:r>
      <w:r w:rsidR="00CD7709">
        <w:t>3.4.6.</w:t>
      </w:r>
      <w:r w:rsidR="00857AFE">
        <w:t xml:space="preserve"> will address aspects of the modifications</w:t>
      </w:r>
      <w:r w:rsidR="00480E78">
        <w:t xml:space="preserve"> where the record is deficient</w:t>
      </w:r>
      <w:r w:rsidR="00857AFE">
        <w:t>.</w:t>
      </w:r>
    </w:p>
    <w:p w:rsidR="00857AFE" w:rsidP="001B1E90" w:rsidRDefault="00857AFE" w14:paraId="17EAC050" w14:textId="195FD590">
      <w:pPr>
        <w:pStyle w:val="Heading4"/>
      </w:pPr>
      <w:bookmarkStart w:name="_Toc159551202" w:id="209"/>
      <w:bookmarkStart w:name="_Toc168559320" w:id="210"/>
      <w:r>
        <w:t xml:space="preserve">Modified </w:t>
      </w:r>
      <w:r w:rsidR="000C2028">
        <w:t>Disadvantaged</w:t>
      </w:r>
      <w:r w:rsidR="000806B8">
        <w:br/>
      </w:r>
      <w:r w:rsidR="000C2028">
        <w:t>Communities Green Tariff</w:t>
      </w:r>
      <w:bookmarkEnd w:id="209"/>
      <w:bookmarkEnd w:id="210"/>
    </w:p>
    <w:p w:rsidR="00382055" w:rsidP="00AC6E92" w:rsidRDefault="00E17ACD" w14:paraId="0DD9FD09" w14:textId="34C1F932">
      <w:pPr>
        <w:pStyle w:val="Standard"/>
      </w:pPr>
      <w:r>
        <w:t>T</w:t>
      </w:r>
      <w:r w:rsidR="008D6FCF">
        <w:t xml:space="preserve">his decision </w:t>
      </w:r>
      <w:bookmarkStart w:name="_Hlk158213543" w:id="211"/>
      <w:r w:rsidR="008D6FCF">
        <w:t xml:space="preserve">consolidates CSGT capacity into a modified </w:t>
      </w:r>
      <w:r w:rsidR="001E2201">
        <w:t xml:space="preserve">successor </w:t>
      </w:r>
      <w:r w:rsidR="008D6FCF">
        <w:t>DAC</w:t>
      </w:r>
      <w:r w:rsidR="003D6EF8">
        <w:noBreakHyphen/>
      </w:r>
      <w:r w:rsidR="008D6FCF">
        <w:t>GT</w:t>
      </w:r>
      <w:r w:rsidR="000043B1">
        <w:t>, this includes capacity assigned to existing contracts and to projects in negotiation pursuant to a previously held solicitation</w:t>
      </w:r>
      <w:r w:rsidR="008D6FCF">
        <w:t>.</w:t>
      </w:r>
      <w:bookmarkEnd w:id="211"/>
      <w:r w:rsidR="000043B1">
        <w:rPr>
          <w:rStyle w:val="FootnoteReference"/>
        </w:rPr>
        <w:footnoteReference w:id="349"/>
      </w:r>
      <w:r w:rsidR="008D6FCF">
        <w:t xml:space="preserve"> The record shows that DAC</w:t>
      </w:r>
      <w:r w:rsidR="003D6EF8">
        <w:noBreakHyphen/>
      </w:r>
      <w:r w:rsidR="008D6FCF">
        <w:t>GT is more cost</w:t>
      </w:r>
      <w:r w:rsidR="003D6EF8">
        <w:noBreakHyphen/>
      </w:r>
      <w:r w:rsidR="008D6FCF">
        <w:t>effective and easier to implement</w:t>
      </w:r>
      <w:r w:rsidR="00DE08A9">
        <w:t xml:space="preserve"> as compared to CSGT</w:t>
      </w:r>
      <w:r w:rsidR="008D6FCF">
        <w:t>.</w:t>
      </w:r>
      <w:r w:rsidR="00AC68E2">
        <w:rPr>
          <w:rStyle w:val="FootnoteReference"/>
        </w:rPr>
        <w:footnoteReference w:id="350"/>
      </w:r>
      <w:r w:rsidR="008D6FCF">
        <w:t xml:space="preserve"> Further, the record also shows that </w:t>
      </w:r>
      <w:r w:rsidR="00BE66E1">
        <w:t>CSGT overlaps with DAC</w:t>
      </w:r>
      <w:r w:rsidR="003D6EF8">
        <w:noBreakHyphen/>
      </w:r>
      <w:r w:rsidR="00BE66E1">
        <w:t xml:space="preserve">GT, has </w:t>
      </w:r>
      <w:r w:rsidR="001E2201">
        <w:t xml:space="preserve">a </w:t>
      </w:r>
      <w:r w:rsidR="00BE66E1">
        <w:t xml:space="preserve">higher </w:t>
      </w:r>
      <w:r w:rsidR="00AC68E2">
        <w:t xml:space="preserve">forecasted </w:t>
      </w:r>
      <w:r w:rsidR="00BE66E1">
        <w:t>cost per customer</w:t>
      </w:r>
      <w:r w:rsidR="000C3C6C">
        <w:t>,</w:t>
      </w:r>
      <w:r w:rsidR="00BE66E1">
        <w:t xml:space="preserve"> and lower enrollment and procurement rates.</w:t>
      </w:r>
      <w:r w:rsidR="000C3C6C">
        <w:t xml:space="preserve"> </w:t>
      </w:r>
      <w:r>
        <w:t xml:space="preserve">Such consolidation will address the evaluation finding of duplication in Green Access Program tariffs. </w:t>
      </w:r>
      <w:r w:rsidR="000043B1">
        <w:t>Additionally</w:t>
      </w:r>
      <w:r>
        <w:t>, t</w:t>
      </w:r>
      <w:r w:rsidR="00F60722">
        <w:t xml:space="preserve">he Commission finds it efficient to </w:t>
      </w:r>
      <w:bookmarkStart w:name="_Hlk158208282" w:id="212"/>
      <w:r w:rsidR="00F60722">
        <w:t>combine the capacity of the two programs</w:t>
      </w:r>
      <w:r w:rsidR="00382055">
        <w:t xml:space="preserve">, </w:t>
      </w:r>
      <w:r w:rsidR="001C62AE">
        <w:t>transition</w:t>
      </w:r>
      <w:r w:rsidR="00382055">
        <w:t xml:space="preserve"> </w:t>
      </w:r>
      <w:r w:rsidR="000043B1">
        <w:t xml:space="preserve">eligible </w:t>
      </w:r>
      <w:r w:rsidR="00382055">
        <w:t xml:space="preserve">customers </w:t>
      </w:r>
      <w:r w:rsidR="001E2201">
        <w:t xml:space="preserve">enrolled </w:t>
      </w:r>
      <w:r w:rsidR="00EF107A">
        <w:t>i</w:t>
      </w:r>
      <w:r w:rsidR="00382055">
        <w:t>n the existing CSGT to the modified DAC</w:t>
      </w:r>
      <w:r w:rsidR="003D6EF8">
        <w:noBreakHyphen/>
      </w:r>
      <w:r w:rsidR="00382055">
        <w:t>GT,</w:t>
      </w:r>
      <w:r w:rsidR="00F60722">
        <w:t xml:space="preserve"> </w:t>
      </w:r>
      <w:r w:rsidR="00382055">
        <w:t xml:space="preserve">allow </w:t>
      </w:r>
      <w:r w:rsidR="001C62AE">
        <w:t>the enrollment</w:t>
      </w:r>
      <w:r w:rsidR="00382055">
        <w:t xml:space="preserve"> of previously </w:t>
      </w:r>
      <w:r w:rsidR="00382055">
        <w:lastRenderedPageBreak/>
        <w:t>wait</w:t>
      </w:r>
      <w:r w:rsidR="003D6EF8">
        <w:noBreakHyphen/>
      </w:r>
      <w:r w:rsidR="00382055">
        <w:t xml:space="preserve">listed customers, </w:t>
      </w:r>
      <w:r w:rsidR="001C77B8">
        <w:t>and</w:t>
      </w:r>
      <w:r w:rsidR="00F60722">
        <w:t xml:space="preserve"> </w:t>
      </w:r>
      <w:r w:rsidR="00382055">
        <w:t xml:space="preserve">then </w:t>
      </w:r>
      <w:r w:rsidR="00F60722">
        <w:t xml:space="preserve">focus </w:t>
      </w:r>
      <w:r w:rsidR="00AC68E2">
        <w:t xml:space="preserve">on improving </w:t>
      </w:r>
      <w:r w:rsidR="001C77B8">
        <w:t xml:space="preserve">future </w:t>
      </w:r>
      <w:r w:rsidR="00F60722">
        <w:t>enrollment</w:t>
      </w:r>
      <w:r w:rsidR="00AC68E2">
        <w:t xml:space="preserve"> of low</w:t>
      </w:r>
      <w:r w:rsidR="003D6EF8">
        <w:noBreakHyphen/>
      </w:r>
      <w:r w:rsidR="00AC68E2">
        <w:t>income customers</w:t>
      </w:r>
      <w:r w:rsidR="00F60722">
        <w:t xml:space="preserve">. </w:t>
      </w:r>
      <w:bookmarkEnd w:id="212"/>
      <w:r w:rsidR="000043B1">
        <w:t xml:space="preserve">Customers currently enrolled in the existing CSGT who are not eligible for DAC-GT shall be offered the opportunity to participate in the modified Green Tariff. </w:t>
      </w:r>
      <w:r w:rsidR="00905721">
        <w:t>These changes</w:t>
      </w:r>
      <w:r w:rsidR="00EE6379">
        <w:t xml:space="preserve"> address </w:t>
      </w:r>
      <w:r w:rsidR="00905721">
        <w:t xml:space="preserve">the need for </w:t>
      </w:r>
      <w:r w:rsidR="00F5759A">
        <w:t>increased access to renewable energy for</w:t>
      </w:r>
      <w:r w:rsidR="00EE6379">
        <w:t xml:space="preserve"> </w:t>
      </w:r>
      <w:r w:rsidR="00F5759A">
        <w:t>these</w:t>
      </w:r>
      <w:r w:rsidR="00EE6379">
        <w:t xml:space="preserve"> households.</w:t>
      </w:r>
    </w:p>
    <w:p w:rsidR="001B7FA1" w:rsidP="00AC6E92" w:rsidRDefault="00E17ACD" w14:paraId="7634FCC2" w14:textId="2B584F5A">
      <w:pPr>
        <w:pStyle w:val="Standard"/>
      </w:pPr>
      <w:r>
        <w:t>The existing DAC</w:t>
      </w:r>
      <w:r w:rsidR="003D6EF8">
        <w:noBreakHyphen/>
      </w:r>
      <w:r>
        <w:t xml:space="preserve">GT </w:t>
      </w:r>
      <w:bookmarkStart w:name="_Hlk158208357" w:id="213"/>
      <w:r w:rsidR="007A5B5A">
        <w:t xml:space="preserve">program </w:t>
      </w:r>
      <w:r>
        <w:t xml:space="preserve">requires that projects be sited in the top quarter of disadvantaged communities within the service territory of the respective utility or </w:t>
      </w:r>
      <w:r w:rsidR="00FA0994">
        <w:t>CCA</w:t>
      </w:r>
      <w:r>
        <w:t xml:space="preserve">. The record indicates this requirement has led to fewer projects being eligible. </w:t>
      </w:r>
      <w:bookmarkEnd w:id="213"/>
      <w:r w:rsidR="0033470A">
        <w:t xml:space="preserve">SCE and </w:t>
      </w:r>
      <w:r w:rsidR="000341A3">
        <w:t>Joint CCA</w:t>
      </w:r>
      <w:r w:rsidR="00A35011">
        <w:t>s</w:t>
      </w:r>
      <w:r w:rsidR="0033470A">
        <w:t xml:space="preserve"> recommend softening this requirement to enable more projects to be eligible. SCE recommends the project site requirement be expanded such that projects within five miles from one of these disadvantaged community would be considered eligible for the tariff. </w:t>
      </w:r>
      <w:r w:rsidR="000341A3">
        <w:t>Joint CCA</w:t>
      </w:r>
      <w:r w:rsidR="00A35011">
        <w:t>s</w:t>
      </w:r>
      <w:r w:rsidR="0033470A">
        <w:t xml:space="preserve"> support such expansion. As one of </w:t>
      </w:r>
      <w:bookmarkStart w:name="_Hlk158208426" w:id="214"/>
      <w:r w:rsidR="0033470A">
        <w:t xml:space="preserve">the objectives of the </w:t>
      </w:r>
      <w:r w:rsidR="007A5B5A">
        <w:t xml:space="preserve">statute </w:t>
      </w:r>
      <w:r w:rsidR="0033470A">
        <w:t>is to promote robust participation by low</w:t>
      </w:r>
      <w:r w:rsidR="003D6EF8">
        <w:noBreakHyphen/>
      </w:r>
      <w:r w:rsidR="0033470A">
        <w:t xml:space="preserve">income customers, </w:t>
      </w:r>
      <w:r w:rsidRPr="00150E4C" w:rsidR="00150E4C">
        <w:rPr>
          <w:i/>
          <w:iCs/>
        </w:rPr>
        <w:t>i.e.</w:t>
      </w:r>
      <w:r w:rsidR="0033470A">
        <w:t>, provide for increased access to renewable energy</w:t>
      </w:r>
      <w:r w:rsidR="00974D1F">
        <w:t xml:space="preserve"> by challenged communities</w:t>
      </w:r>
      <w:bookmarkEnd w:id="214"/>
      <w:r w:rsidR="0033470A">
        <w:t xml:space="preserve">, the Commission finds it reasonable to </w:t>
      </w:r>
      <w:bookmarkStart w:name="_Hlk158208471" w:id="215"/>
      <w:r w:rsidR="0033470A">
        <w:t>expand the DAC</w:t>
      </w:r>
      <w:r w:rsidR="003D6EF8">
        <w:noBreakHyphen/>
      </w:r>
      <w:r w:rsidR="0033470A">
        <w:t xml:space="preserve">GT site requirements such that eligible projects are located no more than five miles from </w:t>
      </w:r>
      <w:r w:rsidR="00A56A97">
        <w:t>any</w:t>
      </w:r>
      <w:r w:rsidR="0033470A">
        <w:t xml:space="preserve"> </w:t>
      </w:r>
      <w:r w:rsidR="00311284">
        <w:t xml:space="preserve">DAC-GT-eligible </w:t>
      </w:r>
      <w:r w:rsidR="0033470A">
        <w:t>communit</w:t>
      </w:r>
      <w:r w:rsidR="00311284">
        <w:t>y</w:t>
      </w:r>
      <w:r w:rsidR="0033470A">
        <w:t>.</w:t>
      </w:r>
      <w:bookmarkEnd w:id="215"/>
    </w:p>
    <w:p w:rsidR="0033470A" w:rsidP="00AC6E92" w:rsidRDefault="00974D1F" w14:paraId="5785EF13" w14:textId="51E80A56">
      <w:pPr>
        <w:pStyle w:val="Standard"/>
      </w:pPr>
      <w:r>
        <w:t>Utilities also propose that the Commission expand access by softening another resource requirement. The existing tariff requires dedicated</w:t>
      </w:r>
      <w:r w:rsidR="008F609B">
        <w:t xml:space="preserve"> </w:t>
      </w:r>
      <w:r>
        <w:t>incremental new resources. PG&amp;E proposes that, instead of replacing 100</w:t>
      </w:r>
      <w:r w:rsidR="00D376A8">
        <w:t> percent</w:t>
      </w:r>
      <w:r>
        <w:t xml:space="preserve"> of a subscriber</w:t>
      </w:r>
      <w:r w:rsidR="00440785">
        <w:t>’</w:t>
      </w:r>
      <w:r>
        <w:t xml:space="preserve">s energy supply with these dedicated incremental new resources, the Commission could allow the use of a </w:t>
      </w:r>
      <w:r w:rsidR="00440785">
        <w:t>“</w:t>
      </w:r>
      <w:r>
        <w:t>top</w:t>
      </w:r>
      <w:r w:rsidR="003D6EF8">
        <w:noBreakHyphen/>
      </w:r>
      <w:r>
        <w:t>off</w:t>
      </w:r>
      <w:r w:rsidR="00440785">
        <w:t>”</w:t>
      </w:r>
      <w:r>
        <w:t xml:space="preserve"> approach, whereby dedicated resources would only deliver an incremental percentage of renewable energy to subscribers, in addition to the clean energy the subscriber receives through their </w:t>
      </w:r>
      <w:r w:rsidR="00440785">
        <w:t>“</w:t>
      </w:r>
      <w:r>
        <w:t>otherwise applicable tariff.</w:t>
      </w:r>
      <w:r w:rsidR="00440785">
        <w:t>”</w:t>
      </w:r>
      <w:r>
        <w:t xml:space="preserve"> PG&amp;E contends this approach does not have any </w:t>
      </w:r>
      <w:r>
        <w:lastRenderedPageBreak/>
        <w:t>impact on PG&amp;E</w:t>
      </w:r>
      <w:r w:rsidR="00440785">
        <w:t>’</w:t>
      </w:r>
      <w:r>
        <w:t xml:space="preserve">s expenditures </w:t>
      </w:r>
      <w:r w:rsidR="008F609B">
        <w:t>for the</w:t>
      </w:r>
      <w:r>
        <w:t xml:space="preserve"> dedicated resources, including the net costs of any </w:t>
      </w:r>
      <w:r w:rsidR="00EF107A">
        <w:t>p</w:t>
      </w:r>
      <w:r>
        <w:t xml:space="preserve">ower </w:t>
      </w:r>
      <w:r w:rsidR="00EF107A">
        <w:t>p</w:t>
      </w:r>
      <w:r>
        <w:t xml:space="preserve">urchase </w:t>
      </w:r>
      <w:r w:rsidR="00EF107A">
        <w:t>a</w:t>
      </w:r>
      <w:r>
        <w:t>greements or the costs of the renewable energy credits.</w:t>
      </w:r>
      <w:r>
        <w:rPr>
          <w:rStyle w:val="FootnoteReference"/>
        </w:rPr>
        <w:footnoteReference w:id="351"/>
      </w:r>
      <w:r>
        <w:t xml:space="preserve"> </w:t>
      </w:r>
      <w:r w:rsidR="000341A3">
        <w:t>Joint CCA</w:t>
      </w:r>
      <w:r w:rsidR="00A35011">
        <w:t>s</w:t>
      </w:r>
      <w:r>
        <w:t xml:space="preserve"> oppose this change asserting the </w:t>
      </w:r>
      <w:r w:rsidR="00440785">
        <w:t>“</w:t>
      </w:r>
      <w:r>
        <w:t>top</w:t>
      </w:r>
      <w:r w:rsidR="003D6EF8">
        <w:noBreakHyphen/>
      </w:r>
      <w:r>
        <w:t>off</w:t>
      </w:r>
      <w:r w:rsidR="00440785">
        <w:t>”</w:t>
      </w:r>
      <w:r>
        <w:t xml:space="preserve"> approach could inappropriately shift the costs of resources from the </w:t>
      </w:r>
      <w:r w:rsidR="00C02916">
        <w:t>RPS</w:t>
      </w:r>
      <w:r w:rsidR="00D037F0">
        <w:t xml:space="preserve"> </w:t>
      </w:r>
      <w:r>
        <w:t>to the DAC</w:t>
      </w:r>
      <w:r w:rsidR="003D6EF8">
        <w:noBreakHyphen/>
      </w:r>
      <w:r>
        <w:t xml:space="preserve">GT. While </w:t>
      </w:r>
      <w:r w:rsidR="008F609B">
        <w:t>it is the Commission</w:t>
      </w:r>
      <w:r w:rsidR="00440785">
        <w:t>’</w:t>
      </w:r>
      <w:r w:rsidR="008F609B">
        <w:t xml:space="preserve">s objective to increase access to renewable energy, this should only be done with caution </w:t>
      </w:r>
      <w:r w:rsidR="006C2FAE">
        <w:t>regarding</w:t>
      </w:r>
      <w:r w:rsidR="008F609B">
        <w:t xml:space="preserve"> the impact on nonparticipating ratepayers. As several efforts to improve access to renewables have been approved in this decision, the Commission declines to </w:t>
      </w:r>
      <w:bookmarkStart w:name="_Hlk158213679" w:id="216"/>
      <w:r w:rsidR="008F609B">
        <w:t xml:space="preserve">adopt the </w:t>
      </w:r>
      <w:r w:rsidR="00440785">
        <w:t>“</w:t>
      </w:r>
      <w:r w:rsidR="008F609B">
        <w:t>top off</w:t>
      </w:r>
      <w:r w:rsidR="00440785">
        <w:t>”</w:t>
      </w:r>
      <w:r w:rsidR="008F609B">
        <w:t xml:space="preserve"> approach</w:t>
      </w:r>
      <w:r w:rsidR="001C62AE">
        <w:t xml:space="preserve"> for the modified DAC</w:t>
      </w:r>
      <w:r w:rsidR="003D6EF8">
        <w:noBreakHyphen/>
      </w:r>
      <w:r w:rsidR="001C62AE">
        <w:t>GT</w:t>
      </w:r>
      <w:r w:rsidR="002070F4">
        <w:t xml:space="preserve"> until these efforts are tested</w:t>
      </w:r>
      <w:r w:rsidR="001C62AE">
        <w:t>.</w:t>
      </w:r>
      <w:bookmarkEnd w:id="216"/>
    </w:p>
    <w:p w:rsidR="00EE6379" w:rsidP="00AC6E92" w:rsidRDefault="004F1587" w14:paraId="2E76EDAB" w14:textId="029328E1">
      <w:pPr>
        <w:pStyle w:val="Standard"/>
      </w:pPr>
      <w:r>
        <w:t xml:space="preserve">To address </w:t>
      </w:r>
      <w:r w:rsidR="001B7FA1">
        <w:t xml:space="preserve">historical </w:t>
      </w:r>
      <w:r>
        <w:t xml:space="preserve">enrollment concerns, </w:t>
      </w:r>
      <w:bookmarkStart w:name="_Hlk158213732" w:id="217"/>
      <w:r>
        <w:t xml:space="preserve">the Commission adopts the proposal for </w:t>
      </w:r>
      <w:r w:rsidR="00EF107A">
        <w:t xml:space="preserve">automatic enrollment or </w:t>
      </w:r>
      <w:r w:rsidR="00C526F2">
        <w:t>auto</w:t>
      </w:r>
      <w:r w:rsidR="003D6EF8">
        <w:noBreakHyphen/>
      </w:r>
      <w:r>
        <w:t>enrollment</w:t>
      </w:r>
      <w:r w:rsidR="00B34850">
        <w:t xml:space="preserve"> </w:t>
      </w:r>
      <w:r w:rsidR="00EF107A">
        <w:t xml:space="preserve">of eligible customers </w:t>
      </w:r>
      <w:r w:rsidR="00B34850">
        <w:t>in the modified DAC</w:t>
      </w:r>
      <w:r w:rsidR="003D6EF8">
        <w:noBreakHyphen/>
      </w:r>
      <w:r w:rsidR="00B34850">
        <w:t>GT</w:t>
      </w:r>
      <w:bookmarkEnd w:id="217"/>
      <w:r>
        <w:t xml:space="preserve">. PG&amp;E has </w:t>
      </w:r>
      <w:r w:rsidR="00DB19F5">
        <w:t>adopted auto</w:t>
      </w:r>
      <w:r w:rsidR="003D6EF8">
        <w:noBreakHyphen/>
      </w:r>
      <w:r w:rsidR="00DB19F5">
        <w:t>enrollment</w:t>
      </w:r>
      <w:r>
        <w:t xml:space="preserve"> for customers at high risk of disconnection.</w:t>
      </w:r>
      <w:r w:rsidR="00DB19F5">
        <w:rPr>
          <w:rStyle w:val="FootnoteReference"/>
        </w:rPr>
        <w:footnoteReference w:id="352"/>
      </w:r>
      <w:r>
        <w:t xml:space="preserve"> </w:t>
      </w:r>
      <w:r w:rsidR="00B82951">
        <w:t xml:space="preserve">To be clear, Utilities </w:t>
      </w:r>
      <w:r w:rsidR="007A5B5A">
        <w:t xml:space="preserve">and participating CCAs </w:t>
      </w:r>
      <w:r w:rsidR="00B82951">
        <w:t>shall follow the auto</w:t>
      </w:r>
      <w:r w:rsidR="003D6EF8">
        <w:noBreakHyphen/>
      </w:r>
      <w:r w:rsidR="00B82951">
        <w:t>enrollment practice adopted by the Commission in D.20</w:t>
      </w:r>
      <w:r w:rsidR="003D6EF8">
        <w:noBreakHyphen/>
      </w:r>
      <w:r w:rsidR="00B82951">
        <w:t>07</w:t>
      </w:r>
      <w:r w:rsidR="003D6EF8">
        <w:noBreakHyphen/>
      </w:r>
      <w:r w:rsidR="00B82951">
        <w:t xml:space="preserve">008 and reiterated in </w:t>
      </w:r>
      <w:r w:rsidR="00440785">
        <w:t>Resolution </w:t>
      </w:r>
      <w:r w:rsidR="00B82951">
        <w:t>E</w:t>
      </w:r>
      <w:r w:rsidR="003D6EF8">
        <w:noBreakHyphen/>
      </w:r>
      <w:r w:rsidR="00B82951">
        <w:t xml:space="preserve">5124. </w:t>
      </w:r>
      <w:r>
        <w:t xml:space="preserve">This is efficient and </w:t>
      </w:r>
      <w:r w:rsidR="001C62AE">
        <w:t xml:space="preserve">should </w:t>
      </w:r>
      <w:r>
        <w:t>improve the current enrollment statistics for low</w:t>
      </w:r>
      <w:r w:rsidR="003D6EF8">
        <w:noBreakHyphen/>
      </w:r>
      <w:r>
        <w:t>income customers.</w:t>
      </w:r>
      <w:r w:rsidR="00382055">
        <w:t xml:space="preserve"> </w:t>
      </w:r>
      <w:r w:rsidR="001C62AE">
        <w:t>Because t</w:t>
      </w:r>
      <w:r w:rsidR="00382055">
        <w:t>he focus of this tariff is low</w:t>
      </w:r>
      <w:r w:rsidR="003D6EF8">
        <w:noBreakHyphen/>
      </w:r>
      <w:r w:rsidR="00382055">
        <w:t>income customers</w:t>
      </w:r>
      <w:r w:rsidR="001A3C71">
        <w:t>,</w:t>
      </w:r>
      <w:r w:rsidR="00382055">
        <w:t xml:space="preserve"> th</w:t>
      </w:r>
      <w:r w:rsidR="001A3C71">
        <w:t>e non</w:t>
      </w:r>
      <w:r w:rsidR="003D6EF8">
        <w:noBreakHyphen/>
      </w:r>
      <w:r w:rsidR="001A3C71">
        <w:t>generation costs of th</w:t>
      </w:r>
      <w:r w:rsidR="00382055">
        <w:t xml:space="preserve">is tariff will be fully subsidized by public purpose program funds. However, costs should be driven down by leveraging the </w:t>
      </w:r>
      <w:r w:rsidR="00E73D2C">
        <w:t xml:space="preserve">enhanced federal ITC </w:t>
      </w:r>
      <w:r w:rsidR="00382055">
        <w:t>and any federal and state funding.</w:t>
      </w:r>
    </w:p>
    <w:p w:rsidR="00BA58BF" w:rsidP="00AC6E92" w:rsidRDefault="00913F87" w14:paraId="0CDAED21" w14:textId="61AE740B">
      <w:pPr>
        <w:pStyle w:val="Standard"/>
      </w:pPr>
      <w:r>
        <w:t>The existing DAC</w:t>
      </w:r>
      <w:r w:rsidR="003D6EF8">
        <w:noBreakHyphen/>
      </w:r>
      <w:r>
        <w:t xml:space="preserve">GT includes a cost containment cap that is set at </w:t>
      </w:r>
      <w:r w:rsidR="00E04E2A">
        <w:t xml:space="preserve">the higher of either </w:t>
      </w:r>
      <w:r>
        <w:t>200</w:t>
      </w:r>
      <w:r w:rsidR="00D376A8">
        <w:t> percent</w:t>
      </w:r>
      <w:r>
        <w:t xml:space="preserve"> of the maximum executed price of the as</w:t>
      </w:r>
      <w:r w:rsidR="003D6EF8">
        <w:noBreakHyphen/>
      </w:r>
      <w:r>
        <w:t xml:space="preserve">available peaking category in the previous </w:t>
      </w:r>
      <w:r w:rsidRPr="004E5C3F" w:rsidR="001C62AE">
        <w:t>RAM</w:t>
      </w:r>
      <w:r w:rsidR="001C62AE">
        <w:t xml:space="preserve"> </w:t>
      </w:r>
      <w:r w:rsidR="00E04E2A">
        <w:t xml:space="preserve">or the existing Green Tariff. SCE asserts that updating the cost containment using current market prices and developer </w:t>
      </w:r>
      <w:r w:rsidR="00E04E2A">
        <w:lastRenderedPageBreak/>
        <w:t xml:space="preserve">costs will reduce customer risks of rate </w:t>
      </w:r>
      <w:r w:rsidRPr="00DB19F5" w:rsidR="00E04E2A">
        <w:t>volatility.</w:t>
      </w:r>
      <w:r w:rsidRPr="00DB19F5" w:rsidR="00E04E2A">
        <w:rPr>
          <w:rStyle w:val="FootnoteReference"/>
        </w:rPr>
        <w:footnoteReference w:id="353"/>
      </w:r>
      <w:r w:rsidRPr="00DB19F5" w:rsidR="00E04E2A">
        <w:t xml:space="preserve"> </w:t>
      </w:r>
      <w:r w:rsidRPr="005D065D" w:rsidR="00E04E2A">
        <w:t xml:space="preserve">The record shows that </w:t>
      </w:r>
      <w:bookmarkStart w:name="_Hlk158212109" w:id="218"/>
      <w:r w:rsidRPr="005D065D" w:rsidR="00E04E2A">
        <w:t>SCE</w:t>
      </w:r>
      <w:r w:rsidR="00440785">
        <w:t>’</w:t>
      </w:r>
      <w:r w:rsidRPr="005D065D" w:rsidR="00E04E2A">
        <w:t>s most recent RAM or Green Tariff contract was executed in 2016</w:t>
      </w:r>
      <w:bookmarkEnd w:id="218"/>
      <w:r w:rsidRPr="005D065D" w:rsidR="00E04E2A">
        <w:t>.</w:t>
      </w:r>
      <w:r w:rsidRPr="005D065D" w:rsidR="001C62AE">
        <w:rPr>
          <w:rStyle w:val="FootnoteReference"/>
        </w:rPr>
        <w:footnoteReference w:id="354"/>
      </w:r>
      <w:r w:rsidRPr="00DB19F5" w:rsidR="00E04E2A">
        <w:t xml:space="preserve"> </w:t>
      </w:r>
      <w:r w:rsidRPr="00DB19F5" w:rsidR="00B34850">
        <w:t>Accordingly</w:t>
      </w:r>
      <w:r w:rsidR="00B34850">
        <w:t xml:space="preserve">, it is reasonable </w:t>
      </w:r>
      <w:bookmarkStart w:name="_Hlk158212148" w:id="219"/>
      <w:r w:rsidR="00B34850">
        <w:t>for the Commission to update the cost containment cap such that it reflects current market prices and developer costs.</w:t>
      </w:r>
      <w:r w:rsidR="001A3C71">
        <w:t xml:space="preserve"> However, the record does not contain any proposal for </w:t>
      </w:r>
      <w:r w:rsidR="00D4551C">
        <w:t xml:space="preserve">the process </w:t>
      </w:r>
      <w:r w:rsidR="001A3C71">
        <w:t xml:space="preserve">to update the cost containment cap. </w:t>
      </w:r>
      <w:bookmarkStart w:name="_Hlk158213830" w:id="220"/>
      <w:bookmarkEnd w:id="219"/>
      <w:r w:rsidR="001A3C71">
        <w:t xml:space="preserve">Utilities </w:t>
      </w:r>
      <w:r w:rsidR="00EF107A">
        <w:t xml:space="preserve">and participating </w:t>
      </w:r>
      <w:r w:rsidR="00FA0994">
        <w:t>CCAs</w:t>
      </w:r>
      <w:r w:rsidR="00EF107A">
        <w:t xml:space="preserve"> </w:t>
      </w:r>
      <w:r w:rsidR="001A3C71">
        <w:t xml:space="preserve">shall </w:t>
      </w:r>
      <w:bookmarkStart w:name="_Hlk158286350" w:id="221"/>
      <w:r w:rsidR="001A3C71">
        <w:t>work together to develop a proposal for updating the cost containment cap.</w:t>
      </w:r>
      <w:bookmarkEnd w:id="221"/>
      <w:r w:rsidR="001A3C71">
        <w:t xml:space="preserve"> </w:t>
      </w:r>
      <w:bookmarkEnd w:id="220"/>
      <w:r w:rsidR="001A3C71">
        <w:t xml:space="preserve">No later than 90 days from the adoption of this decision, Utilities shall </w:t>
      </w:r>
      <w:r w:rsidR="00EF107A">
        <w:t xml:space="preserve">submit </w:t>
      </w:r>
      <w:r w:rsidR="001A3C71">
        <w:t xml:space="preserve">a </w:t>
      </w:r>
      <w:r w:rsidR="00EF107A">
        <w:t xml:space="preserve">joint </w:t>
      </w:r>
      <w:r w:rsidR="00440785">
        <w:t>Tier 2</w:t>
      </w:r>
      <w:r w:rsidR="001A3C71">
        <w:t xml:space="preserve"> Advice Letter </w:t>
      </w:r>
      <w:bookmarkStart w:name="_Hlk158286417" w:id="222"/>
      <w:r w:rsidR="001A3C71">
        <w:t xml:space="preserve">proposing </w:t>
      </w:r>
      <w:r w:rsidR="007A5B5A">
        <w:t xml:space="preserve">a </w:t>
      </w:r>
      <w:r w:rsidR="001A3C71">
        <w:t>method for updating the cost containment cap</w:t>
      </w:r>
      <w:bookmarkEnd w:id="222"/>
      <w:r w:rsidR="001A3C71">
        <w:t>.</w:t>
      </w:r>
    </w:p>
    <w:p w:rsidR="001C62AE" w:rsidP="00AC6E92" w:rsidRDefault="001C62AE" w14:paraId="1C24607F" w14:textId="2006BD8F">
      <w:pPr>
        <w:pStyle w:val="Standard"/>
      </w:pPr>
      <w:r>
        <w:t xml:space="preserve">To allow for improved accuracy in tracking costs, this decision revises </w:t>
      </w:r>
      <w:bookmarkStart w:name="_Hlk158213878" w:id="223"/>
      <w:r>
        <w:t xml:space="preserve">the submission date of the </w:t>
      </w:r>
      <w:r w:rsidR="001A3C71">
        <w:t>DAC</w:t>
      </w:r>
      <w:r w:rsidR="003D6EF8">
        <w:noBreakHyphen/>
      </w:r>
      <w:r w:rsidR="001A3C71">
        <w:t>GT Program Administrators</w:t>
      </w:r>
      <w:r w:rsidR="00F71C3A">
        <w:t>’</w:t>
      </w:r>
      <w:r w:rsidR="001A3C71">
        <w:t xml:space="preserve"> </w:t>
      </w:r>
      <w:r>
        <w:t>annual budget advice letter</w:t>
      </w:r>
      <w:r w:rsidR="00F71C3A">
        <w:t>s</w:t>
      </w:r>
      <w:r>
        <w:t xml:space="preserve"> from </w:t>
      </w:r>
      <w:r w:rsidR="001B0C0E">
        <w:t>February </w:t>
      </w:r>
      <w:r>
        <w:t>1</w:t>
      </w:r>
      <w:r w:rsidR="001B0C0E">
        <w:t>st</w:t>
      </w:r>
      <w:r>
        <w:t xml:space="preserve"> to </w:t>
      </w:r>
      <w:r w:rsidR="0013526D">
        <w:t>April </w:t>
      </w:r>
      <w:r>
        <w:t>1</w:t>
      </w:r>
      <w:r w:rsidR="001B0C0E">
        <w:t>st</w:t>
      </w:r>
      <w:r>
        <w:t>.</w:t>
      </w:r>
      <w:bookmarkEnd w:id="223"/>
      <w:r>
        <w:t xml:space="preserve"> The Commission agrees that two extra months will not </w:t>
      </w:r>
      <w:bookmarkStart w:name="_Hlk158212240" w:id="224"/>
      <w:r>
        <w:t xml:space="preserve">impact the timing of the Energy Resource Recovery Account proceedings and will provide additional time to ensure accuracy of the </w:t>
      </w:r>
      <w:r w:rsidRPr="00DB19F5">
        <w:t>costs.</w:t>
      </w:r>
      <w:bookmarkEnd w:id="224"/>
      <w:r w:rsidRPr="005D065D">
        <w:rPr>
          <w:rStyle w:val="FootnoteReference"/>
        </w:rPr>
        <w:footnoteReference w:id="355"/>
      </w:r>
    </w:p>
    <w:p w:rsidR="00BA58BF" w:rsidP="00AC6E92" w:rsidRDefault="009708D2" w14:paraId="1C107F53" w14:textId="77777777">
      <w:pPr>
        <w:pStyle w:val="Standard"/>
      </w:pPr>
      <w:r>
        <w:t xml:space="preserve">There are several matters related to CCAs </w:t>
      </w:r>
      <w:r w:rsidR="00EF107A">
        <w:t xml:space="preserve">and their customers </w:t>
      </w:r>
      <w:r>
        <w:t>that require Commission consideration.</w:t>
      </w:r>
    </w:p>
    <w:p w:rsidRPr="009708D2" w:rsidR="009708D2" w:rsidP="00AC6E92" w:rsidRDefault="009708D2" w14:paraId="20523EC7" w14:textId="20445A6A">
      <w:pPr>
        <w:pStyle w:val="Standard"/>
      </w:pPr>
      <w:r>
        <w:t xml:space="preserve">First, </w:t>
      </w:r>
      <w:r w:rsidR="000341A3">
        <w:t>Joint CCA</w:t>
      </w:r>
      <w:r>
        <w:t>s recommend the Commission direct PG&amp;E and the CCAs to engage in working sessions to define the costs and timeline for development of an automated billing solution for CCA program participants.</w:t>
      </w:r>
      <w:r>
        <w:rPr>
          <w:rStyle w:val="FootnoteReference"/>
        </w:rPr>
        <w:footnoteReference w:id="356"/>
      </w:r>
      <w:r>
        <w:t xml:space="preserve"> The Commission finds that </w:t>
      </w:r>
      <w:bookmarkStart w:name="_Hlk158212337" w:id="225"/>
      <w:r w:rsidR="00867D68">
        <w:t xml:space="preserve">it </w:t>
      </w:r>
      <w:r>
        <w:t xml:space="preserve">is prudent </w:t>
      </w:r>
      <w:r w:rsidR="00867D68">
        <w:t xml:space="preserve">to </w:t>
      </w:r>
      <w:r w:rsidRPr="009708D2">
        <w:t>consider the costs and benefits of implementing an automated billing solution for DAC</w:t>
      </w:r>
      <w:r w:rsidR="003D6EF8">
        <w:noBreakHyphen/>
      </w:r>
      <w:r w:rsidRPr="009708D2">
        <w:t xml:space="preserve">GT and CSGT customers given that the customers are eligible to remain enrolled for up to 20 years. </w:t>
      </w:r>
      <w:bookmarkEnd w:id="225"/>
      <w:r w:rsidRPr="009708D2">
        <w:t xml:space="preserve">This is </w:t>
      </w:r>
      <w:r w:rsidRPr="009708D2">
        <w:lastRenderedPageBreak/>
        <w:t xml:space="preserve">also in accordance with </w:t>
      </w:r>
      <w:bookmarkStart w:name="_Hlk158212418" w:id="226"/>
      <w:r w:rsidR="00440785">
        <w:t>Resolution </w:t>
      </w:r>
      <w:r w:rsidRPr="009708D2">
        <w:t>E</w:t>
      </w:r>
      <w:r w:rsidR="003D6EF8">
        <w:noBreakHyphen/>
      </w:r>
      <w:r w:rsidRPr="009708D2">
        <w:t>5124</w:t>
      </w:r>
      <w:r>
        <w:t xml:space="preserve">, which </w:t>
      </w:r>
      <w:r w:rsidRPr="009708D2">
        <w:t xml:space="preserve">required PG&amp;E to include in their 2022 Budget Advice Letter, </w:t>
      </w:r>
      <w:r w:rsidR="00440785">
        <w:t>“</w:t>
      </w:r>
      <w:r w:rsidRPr="009708D2">
        <w:t>efforts taken by PG&amp;E to eliminate manual data transfers between PG&amp;E and participating [CCAs] through [IT] software updates or other automated processes.</w:t>
      </w:r>
      <w:bookmarkEnd w:id="226"/>
      <w:r w:rsidR="00440785">
        <w:t>”</w:t>
      </w:r>
    </w:p>
    <w:p w:rsidR="009708D2" w:rsidP="00AC6E92" w:rsidRDefault="009708D2" w14:paraId="12614DFA" w14:textId="320D6AE1">
      <w:pPr>
        <w:pStyle w:val="Standard"/>
      </w:pPr>
      <w:r w:rsidRPr="009708D2">
        <w:t>In response to this requirement, PG&amp;E indicated in the supplement to PG&amp;E</w:t>
      </w:r>
      <w:r w:rsidR="00440785">
        <w:t>’</w:t>
      </w:r>
      <w:r w:rsidRPr="009708D2">
        <w:t>s 2022 Budget Advice Letter</w:t>
      </w:r>
      <w:r>
        <w:t xml:space="preserve"> that </w:t>
      </w:r>
      <w:r w:rsidRPr="009708D2">
        <w:t xml:space="preserve">it would </w:t>
      </w:r>
      <w:r w:rsidR="00440785">
        <w:t>“</w:t>
      </w:r>
      <w:r w:rsidRPr="009708D2">
        <w:t>evaluate the costs and benefits of a complete billing solution, including an analysis of the costs and benefits of the current system as compared to a fully automated solution</w:t>
      </w:r>
      <w:r w:rsidR="00440785">
        <w:t>”</w:t>
      </w:r>
      <w:r w:rsidRPr="009708D2">
        <w:t xml:space="preserve"> in 2023. </w:t>
      </w:r>
      <w:r w:rsidR="00867D68">
        <w:t>The Commission has</w:t>
      </w:r>
      <w:r w:rsidRPr="009708D2">
        <w:t xml:space="preserve"> not seen a comprehensive analysis from PG&amp;E </w:t>
      </w:r>
      <w:r w:rsidR="00440785">
        <w:t>“</w:t>
      </w:r>
      <w:r w:rsidRPr="009708D2">
        <w:t>evaluating the costs and benefits of a complete billing solution</w:t>
      </w:r>
      <w:r w:rsidR="00440785">
        <w:t>”</w:t>
      </w:r>
      <w:r w:rsidRPr="009708D2">
        <w:t xml:space="preserve"> for CCA program participants</w:t>
      </w:r>
      <w:r w:rsidR="00867D68">
        <w:t>.</w:t>
      </w:r>
      <w:r w:rsidR="009F5702">
        <w:t xml:space="preserve"> </w:t>
      </w:r>
      <w:r w:rsidR="00867D68">
        <w:t xml:space="preserve">Accordingly, the Commission finds </w:t>
      </w:r>
      <w:bookmarkStart w:name="_Hlk158213409" w:id="227"/>
      <w:r w:rsidR="00867D68">
        <w:t xml:space="preserve">it reasonable to require PG&amp;E </w:t>
      </w:r>
      <w:r w:rsidRPr="00867D68" w:rsidR="00867D68">
        <w:t xml:space="preserve">to </w:t>
      </w:r>
      <w:bookmarkStart w:name="_Hlk158290942" w:id="228"/>
      <w:r w:rsidRPr="00867D68" w:rsidR="00867D68">
        <w:t>provide a detailed scope and cost estimate of developing a fully automated billing solution for DAC</w:t>
      </w:r>
      <w:r w:rsidR="003D6EF8">
        <w:noBreakHyphen/>
      </w:r>
      <w:r w:rsidRPr="00867D68" w:rsidR="00867D68">
        <w:t xml:space="preserve">GT and CSGT CCA customers that follows the same billing process that is provided to participating </w:t>
      </w:r>
      <w:r w:rsidR="00867D68">
        <w:t>Utility</w:t>
      </w:r>
      <w:r w:rsidRPr="00867D68" w:rsidR="00867D68">
        <w:t xml:space="preserve"> customers</w:t>
      </w:r>
      <w:bookmarkEnd w:id="228"/>
      <w:r w:rsidRPr="00867D68" w:rsidR="00867D68">
        <w:t>.</w:t>
      </w:r>
      <w:bookmarkEnd w:id="227"/>
      <w:r w:rsidR="007A5B5A">
        <w:t xml:space="preserve"> This information shall be provided to the Commission on February</w:t>
      </w:r>
      <w:r w:rsidR="00F2293F">
        <w:t> </w:t>
      </w:r>
      <w:r w:rsidR="007A5B5A">
        <w:t>1, 2025, in PG&amp;E</w:t>
      </w:r>
      <w:r w:rsidR="00440785">
        <w:t>’</w:t>
      </w:r>
      <w:r w:rsidR="007A5B5A">
        <w:t xml:space="preserve">s annual </w:t>
      </w:r>
      <w:r w:rsidR="00440785">
        <w:t>Tier 2</w:t>
      </w:r>
      <w:r w:rsidR="007A5B5A">
        <w:t xml:space="preserve"> Budget Advice Letter as required by </w:t>
      </w:r>
      <w:r w:rsidR="00440785">
        <w:t>Resolution </w:t>
      </w:r>
      <w:r w:rsidR="007A5B5A">
        <w:t>E</w:t>
      </w:r>
      <w:r w:rsidR="003D6EF8">
        <w:noBreakHyphen/>
      </w:r>
      <w:r w:rsidR="007A5B5A">
        <w:t>4999.</w:t>
      </w:r>
      <w:r w:rsidR="007A5B5A">
        <w:rPr>
          <w:rStyle w:val="FootnoteReference"/>
        </w:rPr>
        <w:footnoteReference w:id="357"/>
      </w:r>
      <w:r w:rsidR="00071AFD">
        <w:t xml:space="preserve"> The submission shall document how PG&amp;E</w:t>
      </w:r>
      <w:r w:rsidR="00440785">
        <w:t>’</w:t>
      </w:r>
      <w:r w:rsidR="00071AFD">
        <w:t>s billing implementation efforts required by this decision would be integrated into PG&amp;E</w:t>
      </w:r>
      <w:r w:rsidR="00440785">
        <w:t>’</w:t>
      </w:r>
      <w:r w:rsidR="00071AFD">
        <w:t>s ongoing billing system upgrade.</w:t>
      </w:r>
    </w:p>
    <w:p w:rsidR="00BA58BF" w:rsidP="00AC6E92" w:rsidRDefault="009708D2" w14:paraId="2A42D137" w14:textId="2C6F7CAF">
      <w:pPr>
        <w:pStyle w:val="Standard"/>
      </w:pPr>
      <w:r>
        <w:t>Turning to energy load migration trends, i</w:t>
      </w:r>
      <w:r w:rsidR="00B34850">
        <w:t xml:space="preserve">n </w:t>
      </w:r>
      <w:r w:rsidR="003627A8">
        <w:t>AB </w:t>
      </w:r>
      <w:r w:rsidR="00B34850">
        <w:t>2316, the Legislature required that the energy load migration trends among bundled and nonbundled customers should be considered in the evaluation. In the existing DAC</w:t>
      </w:r>
      <w:r w:rsidR="003D6EF8">
        <w:noBreakHyphen/>
      </w:r>
      <w:r w:rsidR="00B34850">
        <w:t xml:space="preserve">GT, </w:t>
      </w:r>
      <w:r w:rsidR="00B34850">
        <w:lastRenderedPageBreak/>
        <w:t xml:space="preserve">unprocured capacity may be transferred if the associated utility and </w:t>
      </w:r>
      <w:r w:rsidR="00FA0994">
        <w:t>CCA</w:t>
      </w:r>
      <w:r w:rsidR="00B34850">
        <w:t xml:space="preserve"> agree through </w:t>
      </w:r>
      <w:r w:rsidR="001A3C71">
        <w:t xml:space="preserve">the current practice of </w:t>
      </w:r>
      <w:r w:rsidR="00B34850">
        <w:t>submission of a joint advice letter.</w:t>
      </w:r>
      <w:r w:rsidR="00C526F2">
        <w:t xml:space="preserve"> </w:t>
      </w:r>
      <w:r w:rsidR="008151B0">
        <w:t xml:space="preserve">Utilities and </w:t>
      </w:r>
      <w:r w:rsidR="000341A3">
        <w:t>Joint CCA</w:t>
      </w:r>
      <w:r w:rsidR="00A35011">
        <w:t>s</w:t>
      </w:r>
      <w:r w:rsidR="008151B0">
        <w:t xml:space="preserve"> offer differing proposals for addressing capacity and migrating customers.</w:t>
      </w:r>
    </w:p>
    <w:p w:rsidR="00B34850" w:rsidP="00AC6E92" w:rsidRDefault="00B34850" w14:paraId="187EF6AB" w14:textId="09186963">
      <w:pPr>
        <w:pStyle w:val="Standard"/>
      </w:pPr>
      <w:r>
        <w:t>PG&amp;E proposes that in a consolidated DAC</w:t>
      </w:r>
      <w:r w:rsidR="003D6EF8">
        <w:noBreakHyphen/>
      </w:r>
      <w:r>
        <w:t xml:space="preserve">GT, any available capacity created by customers transitioning to a </w:t>
      </w:r>
      <w:r w:rsidR="005D6340">
        <w:t xml:space="preserve">CCA </w:t>
      </w:r>
      <w:r>
        <w:t xml:space="preserve">would be subscribed by remaining </w:t>
      </w:r>
      <w:r w:rsidR="008151B0">
        <w:t xml:space="preserve">eligible PG&amp;E customers. </w:t>
      </w:r>
      <w:r w:rsidR="000341A3">
        <w:t>Joint CCA</w:t>
      </w:r>
      <w:r w:rsidR="00A35011">
        <w:t>s</w:t>
      </w:r>
      <w:r w:rsidR="008151B0">
        <w:t>, who support modifying both the DAC</w:t>
      </w:r>
      <w:r w:rsidR="003D6EF8">
        <w:noBreakHyphen/>
      </w:r>
      <w:r w:rsidR="008151B0">
        <w:t xml:space="preserve">GT and the CSGT, propose to allow utility CSGT projects, which are no longer viable due to customers migrating to </w:t>
      </w:r>
      <w:r w:rsidR="00964D71">
        <w:t>CCAs</w:t>
      </w:r>
      <w:r w:rsidR="008151B0">
        <w:t>, to transition to the DAC</w:t>
      </w:r>
      <w:r w:rsidR="003D6EF8">
        <w:noBreakHyphen/>
      </w:r>
      <w:r w:rsidR="008151B0">
        <w:t>GT but do not automatically transition the customer subscribers to the modified DAC</w:t>
      </w:r>
      <w:r w:rsidR="003D6EF8">
        <w:noBreakHyphen/>
      </w:r>
      <w:r w:rsidR="008151B0">
        <w:t xml:space="preserve">GT. </w:t>
      </w:r>
      <w:r w:rsidR="00072C03">
        <w:t>Asserting that the DAC</w:t>
      </w:r>
      <w:r w:rsidR="003D6EF8">
        <w:noBreakHyphen/>
      </w:r>
      <w:r w:rsidR="00072C03">
        <w:t>GT program efficiently serves low</w:t>
      </w:r>
      <w:r w:rsidR="003D6EF8">
        <w:noBreakHyphen/>
      </w:r>
      <w:r w:rsidR="00072C03">
        <w:t xml:space="preserve">income communities, </w:t>
      </w:r>
      <w:r w:rsidR="000341A3">
        <w:t>Joint CCA</w:t>
      </w:r>
      <w:r w:rsidR="00072C03">
        <w:t xml:space="preserve">s contend the program is limited by the capacity cap. Hence, </w:t>
      </w:r>
      <w:r w:rsidR="000341A3">
        <w:t>Joint CCA</w:t>
      </w:r>
      <w:r w:rsidR="00072C03">
        <w:t>s also recommend the Commission allocate additional capacity to the DAC</w:t>
      </w:r>
      <w:r w:rsidR="003D6EF8">
        <w:noBreakHyphen/>
      </w:r>
      <w:r w:rsidR="00072C03">
        <w:t xml:space="preserve">GT such that program administrators </w:t>
      </w:r>
      <w:r w:rsidR="008D0F1F">
        <w:t xml:space="preserve">whose collective capacity cap is close to being fully procured within a particular utility </w:t>
      </w:r>
      <w:r w:rsidR="00072C03">
        <w:t xml:space="preserve">service territory can enroll </w:t>
      </w:r>
      <w:r w:rsidR="008D0F1F">
        <w:t>ad additional 50</w:t>
      </w:r>
      <w:r w:rsidR="00D376A8">
        <w:t> percent</w:t>
      </w:r>
      <w:r w:rsidR="008D0F1F">
        <w:t xml:space="preserve"> of eligible customers </w:t>
      </w:r>
      <w:r w:rsidR="00072C03">
        <w:t>in the program.</w:t>
      </w:r>
      <w:r w:rsidR="00072C03">
        <w:rPr>
          <w:rStyle w:val="FootnoteReference"/>
        </w:rPr>
        <w:footnoteReference w:id="358"/>
      </w:r>
      <w:r w:rsidR="00072C03">
        <w:t xml:space="preserve"> </w:t>
      </w:r>
      <w:r w:rsidR="007E1E94">
        <w:t xml:space="preserve">At the other end of the spectrum, </w:t>
      </w:r>
      <w:r w:rsidR="008151B0">
        <w:t>SCE proposes there be no allocation of SCE</w:t>
      </w:r>
      <w:r w:rsidR="00440785">
        <w:t>’</w:t>
      </w:r>
      <w:r w:rsidR="008151B0">
        <w:t>s DAC</w:t>
      </w:r>
      <w:r w:rsidR="003D6EF8">
        <w:noBreakHyphen/>
      </w:r>
      <w:r w:rsidR="008151B0">
        <w:t xml:space="preserve">GT or CSGT capacity to </w:t>
      </w:r>
      <w:r w:rsidR="00071AFD">
        <w:t>other</w:t>
      </w:r>
      <w:r w:rsidR="008151B0">
        <w:t xml:space="preserve"> program administrators but </w:t>
      </w:r>
      <w:r w:rsidR="001B67AC">
        <w:t xml:space="preserve">that the Commission </w:t>
      </w:r>
      <w:r w:rsidR="008151B0">
        <w:t>allow CSGT contracts to move to DAC</w:t>
      </w:r>
      <w:r w:rsidR="003D6EF8">
        <w:noBreakHyphen/>
      </w:r>
      <w:r w:rsidR="008151B0">
        <w:t xml:space="preserve">GT. SCE also recommends </w:t>
      </w:r>
      <w:r w:rsidR="00D616CE">
        <w:t xml:space="preserve">the Commission prohibit </w:t>
      </w:r>
      <w:r w:rsidR="00FA0994">
        <w:t>CCAs</w:t>
      </w:r>
      <w:r w:rsidR="00D616CE">
        <w:t xml:space="preserve"> the ability to apply as program administrators, contending this is disruptive to procurement and increases administrative burden </w:t>
      </w:r>
      <w:r w:rsidR="002E7451">
        <w:t>with respect to the management of cost recovery for multiple tariffs.</w:t>
      </w:r>
    </w:p>
    <w:p w:rsidR="00176530" w:rsidP="00AC6E92" w:rsidRDefault="001B67AC" w14:paraId="5D5EB13A" w14:textId="73D98824">
      <w:pPr>
        <w:pStyle w:val="Standard"/>
      </w:pPr>
      <w:r>
        <w:t xml:space="preserve">The Commission finds some of these recommendations to be reasonable in improving the access </w:t>
      </w:r>
      <w:r w:rsidR="00B715D4">
        <w:t>to this program</w:t>
      </w:r>
      <w:r>
        <w:t xml:space="preserve">. </w:t>
      </w:r>
      <w:r w:rsidR="00176530">
        <w:t>T</w:t>
      </w:r>
      <w:r>
        <w:t xml:space="preserve">his decision permits Utilities and </w:t>
      </w:r>
      <w:r w:rsidR="00FA0994">
        <w:t>CCAs</w:t>
      </w:r>
      <w:r>
        <w:t xml:space="preserve"> </w:t>
      </w:r>
      <w:r>
        <w:lastRenderedPageBreak/>
        <w:t xml:space="preserve">the option to </w:t>
      </w:r>
      <w:bookmarkStart w:name="_Hlk158214153" w:id="229"/>
      <w:r>
        <w:t>move legacy CSGT projects to the modified DAC</w:t>
      </w:r>
      <w:r w:rsidR="003D6EF8">
        <w:noBreakHyphen/>
      </w:r>
      <w:r>
        <w:t>GT</w:t>
      </w:r>
      <w:bookmarkEnd w:id="229"/>
      <w:r>
        <w:t xml:space="preserve"> successor. Utilities and </w:t>
      </w:r>
      <w:r w:rsidR="00FA0994">
        <w:t>CCAs</w:t>
      </w:r>
      <w:r>
        <w:t xml:space="preserve"> may also </w:t>
      </w:r>
      <w:bookmarkStart w:name="_Hlk158214172" w:id="230"/>
      <w:r>
        <w:t xml:space="preserve">allow the transfer of previously enrolled utility or </w:t>
      </w:r>
      <w:r w:rsidR="00FA0994">
        <w:t>CCA</w:t>
      </w:r>
      <w:r>
        <w:t xml:space="preserve"> customers to the modified DAC</w:t>
      </w:r>
      <w:r w:rsidR="003D6EF8">
        <w:noBreakHyphen/>
      </w:r>
      <w:r>
        <w:t>GT</w:t>
      </w:r>
      <w:bookmarkEnd w:id="230"/>
      <w:r>
        <w:t xml:space="preserve">, unless there is no remaining capacity. </w:t>
      </w:r>
      <w:bookmarkStart w:name="_Hlk158291311" w:id="231"/>
      <w:r>
        <w:t>If capacity is at subscription maximum, the new load serving entity is responsible for informing them of the loss of their discount.</w:t>
      </w:r>
      <w:bookmarkEnd w:id="231"/>
      <w:r w:rsidR="005E3C14">
        <w:t xml:space="preserve"> This decision also adopts the </w:t>
      </w:r>
      <w:r w:rsidR="000341A3">
        <w:t>Joint CCA</w:t>
      </w:r>
      <w:r w:rsidR="00440785">
        <w:t>’</w:t>
      </w:r>
      <w:r w:rsidR="005E3C14">
        <w:t xml:space="preserve">s proposal to </w:t>
      </w:r>
      <w:bookmarkStart w:name="_Hlk158214194" w:id="232"/>
      <w:r w:rsidR="005E3C14">
        <w:t xml:space="preserve">increase </w:t>
      </w:r>
      <w:r w:rsidR="00143A1F">
        <w:t>capacity allocations for those DAC</w:t>
      </w:r>
      <w:r w:rsidR="003D6EF8">
        <w:noBreakHyphen/>
      </w:r>
      <w:r w:rsidR="00143A1F">
        <w:t xml:space="preserve">GT </w:t>
      </w:r>
      <w:r w:rsidR="005E3C14">
        <w:t xml:space="preserve">Program Administrators </w:t>
      </w:r>
      <w:r w:rsidR="00143A1F">
        <w:t xml:space="preserve">whose collective </w:t>
      </w:r>
      <w:r w:rsidR="005E3C14">
        <w:t xml:space="preserve">capacity cap </w:t>
      </w:r>
      <w:r w:rsidR="00143A1F">
        <w:t xml:space="preserve">is close to being fully procured within a particular utility service territory and allow </w:t>
      </w:r>
      <w:r w:rsidR="005E3C14">
        <w:t>to enroll an additional 50</w:t>
      </w:r>
      <w:r w:rsidR="00D376A8">
        <w:t> percent</w:t>
      </w:r>
      <w:r w:rsidR="005E3C14">
        <w:t xml:space="preserve"> of eligible customers.</w:t>
      </w:r>
      <w:bookmarkEnd w:id="232"/>
      <w:r w:rsidR="00072C03">
        <w:rPr>
          <w:rStyle w:val="FootnoteReference"/>
        </w:rPr>
        <w:footnoteReference w:id="359"/>
      </w:r>
      <w:r w:rsidR="005E3C14">
        <w:t xml:space="preserve"> </w:t>
      </w:r>
      <w:r w:rsidR="00143A1F">
        <w:t xml:space="preserve">As shown in </w:t>
      </w:r>
      <w:r w:rsidR="005674F9">
        <w:t>Table </w:t>
      </w:r>
      <w:r w:rsidR="00033DC0">
        <w:t>6</w:t>
      </w:r>
      <w:r w:rsidR="00143A1F">
        <w:t xml:space="preserve"> below, t</w:t>
      </w:r>
      <w:r w:rsidR="005E3C14">
        <w:t xml:space="preserve">his will result in </w:t>
      </w:r>
      <w:r w:rsidR="00143A1F">
        <w:t>37.316</w:t>
      </w:r>
      <w:r w:rsidR="00ED70F0">
        <w:t> MW</w:t>
      </w:r>
      <w:r w:rsidR="005E3C14">
        <w:t xml:space="preserve"> of additional </w:t>
      </w:r>
      <w:r w:rsidR="00143A1F">
        <w:t>DAC</w:t>
      </w:r>
      <w:r w:rsidR="003D6EF8">
        <w:noBreakHyphen/>
      </w:r>
      <w:r w:rsidR="00143A1F">
        <w:t xml:space="preserve">GT </w:t>
      </w:r>
      <w:r w:rsidR="005E3C14">
        <w:t>capacity</w:t>
      </w:r>
      <w:r w:rsidR="00143A1F">
        <w:t xml:space="preserve"> before consolidation with CSGT</w:t>
      </w:r>
      <w:r w:rsidR="005E3C14">
        <w:t xml:space="preserve">, which </w:t>
      </w:r>
      <w:bookmarkStart w:name="_Hlk158214128" w:id="233"/>
      <w:r w:rsidR="00072C03">
        <w:t xml:space="preserve">addresses the </w:t>
      </w:r>
      <w:r w:rsidR="00440785">
        <w:t>Pub. Util.</w:t>
      </w:r>
      <w:r w:rsidR="00072C03">
        <w:t xml:space="preserve"> </w:t>
      </w:r>
      <w:r w:rsidR="00934C7F">
        <w:t>Code Section 7</w:t>
      </w:r>
      <w:r w:rsidR="00072C03">
        <w:t>69.3 goal of promoting robust participation by low</w:t>
      </w:r>
      <w:r w:rsidR="003D6EF8">
        <w:noBreakHyphen/>
      </w:r>
      <w:r w:rsidR="00072C03">
        <w:t>income customers.</w:t>
      </w:r>
      <w:bookmarkEnd w:id="233"/>
    </w:p>
    <w:p w:rsidRPr="005605D6" w:rsidR="00143A1F" w:rsidP="00F2293F" w:rsidRDefault="005674F9" w14:paraId="664BE1BD" w14:textId="45831F5D">
      <w:pPr>
        <w:keepNext/>
        <w:spacing w:line="240" w:lineRule="auto"/>
        <w:ind w:firstLine="0"/>
        <w:jc w:val="center"/>
        <w:rPr>
          <w:b/>
          <w:bCs/>
        </w:rPr>
      </w:pPr>
      <w:r w:rsidRPr="005605D6">
        <w:rPr>
          <w:b/>
          <w:bCs/>
        </w:rPr>
        <w:t>Table </w:t>
      </w:r>
      <w:r w:rsidR="00033DC0">
        <w:rPr>
          <w:b/>
          <w:bCs/>
        </w:rPr>
        <w:t>6</w:t>
      </w:r>
    </w:p>
    <w:p w:rsidRPr="005605D6" w:rsidR="00143A1F" w:rsidP="00F264F2" w:rsidRDefault="00143A1F" w14:paraId="071A0466" w14:textId="71F281AA">
      <w:pPr>
        <w:pStyle w:val="Standard"/>
        <w:keepNext/>
        <w:spacing w:after="240" w:line="240" w:lineRule="auto"/>
        <w:ind w:firstLine="0"/>
        <w:jc w:val="center"/>
        <w:rPr>
          <w:b/>
          <w:bCs/>
        </w:rPr>
      </w:pPr>
      <w:r w:rsidRPr="005605D6">
        <w:rPr>
          <w:b/>
          <w:bCs/>
        </w:rPr>
        <w:t>DAC</w:t>
      </w:r>
      <w:r w:rsidR="003D6EF8">
        <w:rPr>
          <w:b/>
          <w:bCs/>
        </w:rPr>
        <w:noBreakHyphen/>
      </w:r>
      <w:r w:rsidRPr="005605D6">
        <w:rPr>
          <w:b/>
          <w:bCs/>
        </w:rPr>
        <w:t>GT Capacity Estimates By Program Administrat</w:t>
      </w:r>
      <w:r w:rsidR="00071AFD">
        <w:rPr>
          <w:b/>
          <w:bCs/>
        </w:rPr>
        <w:t>or</w:t>
      </w:r>
    </w:p>
    <w:tbl>
      <w:tblPr>
        <w:tblW w:w="9360" w:type="dxa"/>
        <w:tblLayout w:type="fixed"/>
        <w:tblCellMar>
          <w:top w:w="58" w:type="dxa"/>
          <w:bottom w:w="58" w:type="dxa"/>
        </w:tblCellMar>
        <w:tblLook w:val="04A0" w:firstRow="1" w:lastRow="0" w:firstColumn="1" w:lastColumn="0" w:noHBand="0" w:noVBand="1"/>
      </w:tblPr>
      <w:tblGrid>
        <w:gridCol w:w="2065"/>
        <w:gridCol w:w="1620"/>
        <w:gridCol w:w="2160"/>
        <w:gridCol w:w="1890"/>
        <w:gridCol w:w="1625"/>
      </w:tblGrid>
      <w:tr w:rsidRPr="00775B2B" w:rsidR="005C6920" w:rsidTr="00DA254F" w14:paraId="74D3BBE4" w14:textId="77777777">
        <w:trPr>
          <w:cantSplit/>
          <w:tblHeader/>
        </w:trPr>
        <w:tc>
          <w:tcPr>
            <w:tcW w:w="2065" w:type="dxa"/>
            <w:tcBorders>
              <w:top w:val="single" w:color="000000" w:sz="4" w:space="0"/>
              <w:left w:val="single" w:color="000000" w:sz="4" w:space="0"/>
              <w:bottom w:val="single" w:color="000000" w:sz="4" w:space="0"/>
              <w:right w:val="single" w:color="000000" w:sz="4" w:space="0"/>
            </w:tcBorders>
            <w:vAlign w:val="bottom"/>
            <w:hideMark/>
          </w:tcPr>
          <w:p w:rsidRPr="00C90F22" w:rsidR="00BA58BF" w:rsidP="00775B2B" w:rsidRDefault="00143A1F" w14:paraId="04FA1E5A" w14:textId="77777777">
            <w:pPr>
              <w:spacing w:line="240" w:lineRule="auto"/>
              <w:ind w:firstLine="0"/>
              <w:jc w:val="center"/>
              <w:rPr>
                <w:rFonts w:eastAsia="Times New Roman" w:cs="Calibri"/>
                <w:b/>
                <w:bCs/>
                <w:color w:val="000000"/>
                <w:szCs w:val="24"/>
              </w:rPr>
            </w:pPr>
            <w:r w:rsidRPr="00C90F22">
              <w:rPr>
                <w:rFonts w:eastAsia="Times New Roman" w:cs="Calibri"/>
                <w:b/>
                <w:bCs/>
                <w:color w:val="000000"/>
                <w:szCs w:val="24"/>
              </w:rPr>
              <w:t>Program</w:t>
            </w:r>
          </w:p>
          <w:p w:rsidRPr="00775B2B" w:rsidR="00143A1F" w:rsidP="00775B2B" w:rsidRDefault="00143A1F" w14:paraId="54C9391D" w14:textId="60610498">
            <w:pPr>
              <w:spacing w:line="240" w:lineRule="auto"/>
              <w:ind w:firstLine="0"/>
              <w:jc w:val="center"/>
              <w:rPr>
                <w:rFonts w:eastAsia="Times New Roman" w:cs="Calibri"/>
                <w:b/>
                <w:bCs/>
                <w:color w:val="000000"/>
                <w:szCs w:val="24"/>
              </w:rPr>
            </w:pPr>
            <w:r w:rsidRPr="00C90F22">
              <w:rPr>
                <w:rFonts w:eastAsia="Times New Roman" w:cs="Calibri"/>
                <w:b/>
                <w:bCs/>
                <w:color w:val="000000"/>
                <w:szCs w:val="24"/>
              </w:rPr>
              <w:t>Administrator</w:t>
            </w:r>
          </w:p>
        </w:tc>
        <w:tc>
          <w:tcPr>
            <w:tcW w:w="1620" w:type="dxa"/>
            <w:tcBorders>
              <w:top w:val="single" w:color="000000" w:sz="4" w:space="0"/>
              <w:left w:val="single" w:color="000000" w:sz="4" w:space="0"/>
              <w:bottom w:val="single" w:color="000000" w:sz="4" w:space="0"/>
              <w:right w:val="single" w:color="000000" w:sz="4" w:space="0"/>
            </w:tcBorders>
            <w:vAlign w:val="bottom"/>
            <w:hideMark/>
          </w:tcPr>
          <w:p w:rsidR="00071AFD" w:rsidP="005D1068" w:rsidRDefault="00071AFD" w14:paraId="688EB1E1" w14:textId="7257AEBD">
            <w:pPr>
              <w:spacing w:line="240" w:lineRule="auto"/>
              <w:ind w:firstLine="0"/>
              <w:jc w:val="center"/>
              <w:rPr>
                <w:rFonts w:eastAsia="Times New Roman" w:cs="Calibri"/>
                <w:b/>
                <w:bCs/>
                <w:color w:val="000000"/>
                <w:szCs w:val="24"/>
              </w:rPr>
            </w:pPr>
            <w:r>
              <w:rPr>
                <w:rFonts w:eastAsia="Times New Roman" w:cs="Calibri"/>
                <w:b/>
                <w:bCs/>
                <w:color w:val="000000"/>
                <w:szCs w:val="24"/>
              </w:rPr>
              <w:t>Previous</w:t>
            </w:r>
          </w:p>
          <w:p w:rsidR="00BA58BF" w:rsidP="005D1068" w:rsidRDefault="00143A1F" w14:paraId="4B077318" w14:textId="4B53CA8F">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Allocated</w:t>
            </w:r>
          </w:p>
          <w:p w:rsidR="00BA58BF" w:rsidP="005D1068" w:rsidRDefault="00143A1F" w14:paraId="1640DAB4"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Capacity</w:t>
            </w:r>
          </w:p>
          <w:p w:rsidRPr="00775B2B" w:rsidR="00143A1F" w:rsidP="005D1068" w:rsidRDefault="00143A1F" w14:paraId="46A0EB32" w14:textId="77D73608">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(MW)</w:t>
            </w:r>
          </w:p>
        </w:tc>
        <w:tc>
          <w:tcPr>
            <w:tcW w:w="2160" w:type="dxa"/>
            <w:tcBorders>
              <w:top w:val="single" w:color="000000" w:sz="4" w:space="0"/>
              <w:left w:val="single" w:color="000000" w:sz="4" w:space="0"/>
              <w:bottom w:val="single" w:color="000000" w:sz="4" w:space="0"/>
              <w:right w:val="single" w:color="000000" w:sz="4" w:space="0"/>
            </w:tcBorders>
            <w:vAlign w:val="bottom"/>
            <w:hideMark/>
          </w:tcPr>
          <w:p w:rsidR="00711189" w:rsidP="005D1068" w:rsidRDefault="00143A1F" w14:paraId="55C9AAA8" w14:textId="77777777">
            <w:pPr>
              <w:spacing w:line="240" w:lineRule="auto"/>
              <w:ind w:firstLine="0"/>
              <w:jc w:val="center"/>
              <w:rPr>
                <w:rFonts w:eastAsia="Times New Roman" w:cs="Calibri"/>
                <w:b/>
                <w:bCs/>
                <w:color w:val="000000"/>
                <w:szCs w:val="24"/>
              </w:rPr>
            </w:pPr>
            <w:bookmarkStart w:name="Capacity_Allocations!D26" w:id="234"/>
            <w:r w:rsidRPr="00775B2B">
              <w:rPr>
                <w:rFonts w:eastAsia="Times New Roman" w:cs="Calibri"/>
                <w:b/>
                <w:bCs/>
                <w:color w:val="000000"/>
                <w:szCs w:val="24"/>
              </w:rPr>
              <w:t xml:space="preserve">Total </w:t>
            </w:r>
            <w:r w:rsidR="00071AFD">
              <w:rPr>
                <w:rFonts w:eastAsia="Times New Roman" w:cs="Calibri"/>
                <w:b/>
                <w:bCs/>
                <w:color w:val="000000"/>
                <w:szCs w:val="24"/>
              </w:rPr>
              <w:t>Capacity</w:t>
            </w:r>
          </w:p>
          <w:p w:rsidR="00BA58BF" w:rsidP="005D1068" w:rsidRDefault="00143A1F" w14:paraId="049949FF" w14:textId="40D8BCA4">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Procured</w:t>
            </w:r>
            <w:bookmarkEnd w:id="234"/>
            <w:r w:rsidR="00F2293F">
              <w:rPr>
                <w:rFonts w:eastAsia="Times New Roman" w:cs="Calibri"/>
                <w:b/>
                <w:bCs/>
                <w:color w:val="000000"/>
                <w:szCs w:val="24"/>
              </w:rPr>
              <w:t xml:space="preserve"> </w:t>
            </w:r>
            <w:r w:rsidRPr="00775B2B">
              <w:rPr>
                <w:rFonts w:eastAsia="Times New Roman" w:cs="Calibri"/>
                <w:b/>
                <w:bCs/>
                <w:color w:val="000000"/>
                <w:szCs w:val="24"/>
              </w:rPr>
              <w:t>as of</w:t>
            </w:r>
          </w:p>
          <w:p w:rsidR="00F2293F" w:rsidP="005D1068" w:rsidRDefault="00143A1F" w14:paraId="7B19FDF4" w14:textId="7A30C435">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Oct. 31, 2023</w:t>
            </w:r>
          </w:p>
          <w:p w:rsidRPr="00775B2B" w:rsidR="00143A1F" w:rsidP="005D1068" w:rsidRDefault="00071AFD" w14:paraId="266BB8F4" w14:textId="0200FDEC">
            <w:pPr>
              <w:spacing w:line="240" w:lineRule="auto"/>
              <w:ind w:firstLine="0"/>
              <w:jc w:val="center"/>
              <w:rPr>
                <w:rFonts w:eastAsia="Times New Roman" w:cs="Calibri"/>
                <w:b/>
                <w:bCs/>
                <w:color w:val="000000"/>
                <w:szCs w:val="24"/>
              </w:rPr>
            </w:pPr>
            <w:r>
              <w:rPr>
                <w:rFonts w:eastAsia="Times New Roman" w:cs="Calibri"/>
                <w:b/>
                <w:bCs/>
                <w:color w:val="000000"/>
                <w:szCs w:val="24"/>
              </w:rPr>
              <w:t>(MW)</w:t>
            </w:r>
          </w:p>
        </w:tc>
        <w:tc>
          <w:tcPr>
            <w:tcW w:w="1890" w:type="dxa"/>
            <w:tcBorders>
              <w:top w:val="single" w:color="000000" w:sz="4" w:space="0"/>
              <w:left w:val="single" w:color="000000" w:sz="4" w:space="0"/>
              <w:bottom w:val="single" w:color="000000" w:sz="4" w:space="0"/>
              <w:right w:val="single" w:color="000000" w:sz="4" w:space="0"/>
            </w:tcBorders>
            <w:vAlign w:val="bottom"/>
            <w:hideMark/>
          </w:tcPr>
          <w:p w:rsidR="00BA58BF" w:rsidP="005D1068" w:rsidRDefault="00143A1F" w14:paraId="48608AA8"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Allocated</w:t>
            </w:r>
          </w:p>
          <w:p w:rsidR="00BA58BF" w:rsidP="005D1068" w:rsidRDefault="00143A1F" w14:paraId="2D7C7A15"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Capacity</w:t>
            </w:r>
          </w:p>
          <w:p w:rsidRPr="00775B2B" w:rsidR="00143A1F" w:rsidP="005D1068" w:rsidRDefault="00143A1F" w14:paraId="0DA32FAD" w14:textId="3AB42F04">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Procured (%)</w:t>
            </w:r>
          </w:p>
        </w:tc>
        <w:tc>
          <w:tcPr>
            <w:tcW w:w="1625" w:type="dxa"/>
            <w:tcBorders>
              <w:top w:val="single" w:color="000000" w:sz="4" w:space="0"/>
              <w:left w:val="single" w:color="000000" w:sz="4" w:space="0"/>
              <w:bottom w:val="single" w:color="000000" w:sz="4" w:space="0"/>
              <w:right w:val="single" w:color="000000" w:sz="4" w:space="0"/>
            </w:tcBorders>
            <w:vAlign w:val="bottom"/>
            <w:hideMark/>
          </w:tcPr>
          <w:p w:rsidR="00BA58BF" w:rsidP="005D1068" w:rsidRDefault="00143A1F" w14:paraId="6DDEF094"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50%</w:t>
            </w:r>
          </w:p>
          <w:p w:rsidR="00BA58BF" w:rsidP="005D1068" w:rsidRDefault="00143A1F" w14:paraId="1B7CFDDC" w14:textId="77777777">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Additional</w:t>
            </w:r>
          </w:p>
          <w:p w:rsidR="00F2293F" w:rsidP="005D1068" w:rsidRDefault="00143A1F" w14:paraId="536C6F91" w14:textId="20C9D658">
            <w:pPr>
              <w:spacing w:line="240" w:lineRule="auto"/>
              <w:ind w:firstLine="0"/>
              <w:jc w:val="center"/>
              <w:rPr>
                <w:rFonts w:eastAsia="Times New Roman" w:cs="Calibri"/>
                <w:b/>
                <w:bCs/>
                <w:color w:val="000000"/>
                <w:szCs w:val="24"/>
              </w:rPr>
            </w:pPr>
            <w:r w:rsidRPr="00775B2B">
              <w:rPr>
                <w:rFonts w:eastAsia="Times New Roman" w:cs="Calibri"/>
                <w:b/>
                <w:bCs/>
                <w:color w:val="000000"/>
                <w:szCs w:val="24"/>
              </w:rPr>
              <w:t>Capacity</w:t>
            </w:r>
          </w:p>
          <w:p w:rsidRPr="00775B2B" w:rsidR="00143A1F" w:rsidP="005D1068" w:rsidRDefault="00071AFD" w14:paraId="4868BAD1" w14:textId="690DD9E1">
            <w:pPr>
              <w:spacing w:line="240" w:lineRule="auto"/>
              <w:ind w:firstLine="0"/>
              <w:jc w:val="center"/>
              <w:rPr>
                <w:rFonts w:eastAsia="Times New Roman" w:cs="Calibri"/>
                <w:b/>
                <w:bCs/>
                <w:color w:val="000000"/>
                <w:szCs w:val="24"/>
              </w:rPr>
            </w:pPr>
            <w:r>
              <w:rPr>
                <w:rFonts w:eastAsia="Times New Roman" w:cs="Calibri"/>
                <w:b/>
                <w:bCs/>
                <w:color w:val="000000"/>
                <w:szCs w:val="24"/>
              </w:rPr>
              <w:t>(MW)</w:t>
            </w:r>
          </w:p>
        </w:tc>
      </w:tr>
      <w:tr w:rsidRPr="00775B2B" w:rsidR="005C6920" w:rsidTr="00DA254F" w14:paraId="6A6A342B"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79DBFD1B" w14:textId="77777777">
            <w:pPr>
              <w:keepNext/>
              <w:spacing w:line="240" w:lineRule="auto"/>
              <w:ind w:firstLine="0"/>
              <w:rPr>
                <w:rFonts w:eastAsia="Times New Roman" w:cs="Calibri"/>
                <w:color w:val="000000"/>
                <w:szCs w:val="24"/>
              </w:rPr>
            </w:pPr>
            <w:bookmarkStart w:name="_Hlk159532973" w:id="235"/>
            <w:r w:rsidRPr="00775B2B">
              <w:rPr>
                <w:rFonts w:eastAsia="Times New Roman" w:cs="Calibri"/>
                <w:color w:val="000000"/>
                <w:szCs w:val="24"/>
              </w:rPr>
              <w:t>CPA</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0789E894" w14:textId="276B3D3D">
            <w:pPr>
              <w:keepNext/>
              <w:spacing w:line="240" w:lineRule="auto"/>
              <w:ind w:firstLine="0"/>
              <w:jc w:val="right"/>
              <w:rPr>
                <w:rFonts w:eastAsia="Times New Roman" w:cs="Calibri"/>
                <w:color w:val="000000"/>
                <w:szCs w:val="24"/>
              </w:rPr>
            </w:pPr>
            <w:r w:rsidRPr="00775B2B">
              <w:rPr>
                <w:rFonts w:eastAsia="Times New Roman" w:cs="Calibri"/>
                <w:color w:val="000000"/>
                <w:szCs w:val="24"/>
              </w:rPr>
              <w:t>12.19</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50AC1B4E" w14:textId="5819262C">
            <w:pPr>
              <w:keepNext/>
              <w:spacing w:line="240" w:lineRule="auto"/>
              <w:ind w:firstLine="0"/>
              <w:jc w:val="right"/>
              <w:rPr>
                <w:rFonts w:eastAsia="Times New Roman" w:cs="Calibri"/>
                <w:color w:val="000000"/>
                <w:szCs w:val="24"/>
              </w:rPr>
            </w:pPr>
            <w:r w:rsidRPr="00775B2B">
              <w:rPr>
                <w:rFonts w:eastAsia="Times New Roman" w:cs="Calibri"/>
                <w:color w:val="000000"/>
                <w:szCs w:val="24"/>
              </w:rPr>
              <w:t>12.19</w:t>
            </w:r>
            <w:r w:rsidR="00071AFD">
              <w:rPr>
                <w:rFonts w:eastAsia="Times New Roman" w:cs="Calibri"/>
                <w:color w:val="000000"/>
                <w:szCs w:val="24"/>
              </w:rPr>
              <w:t>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75A0593F" w14:textId="3C494289">
            <w:pPr>
              <w:keepNext/>
              <w:spacing w:line="240" w:lineRule="auto"/>
              <w:ind w:firstLine="0"/>
              <w:jc w:val="right"/>
              <w:rPr>
                <w:rFonts w:eastAsia="Times New Roman" w:cs="Calibri"/>
                <w:color w:val="000000"/>
                <w:szCs w:val="24"/>
              </w:rPr>
            </w:pPr>
            <w:r w:rsidRPr="00775B2B">
              <w:rPr>
                <w:rFonts w:eastAsia="Times New Roman" w:cs="Calibri"/>
                <w:color w:val="000000"/>
                <w:szCs w:val="24"/>
              </w:rPr>
              <w:t>100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C6920" w:rsidRDefault="00143A1F" w14:paraId="238CC4E4" w14:textId="57DA5E18">
            <w:pPr>
              <w:keepNext/>
              <w:spacing w:line="240" w:lineRule="auto"/>
              <w:ind w:firstLine="0"/>
              <w:jc w:val="right"/>
              <w:rPr>
                <w:rFonts w:eastAsia="Times New Roman" w:cs="Calibri"/>
                <w:color w:val="000000"/>
                <w:szCs w:val="24"/>
              </w:rPr>
            </w:pPr>
            <w:r w:rsidRPr="00775B2B">
              <w:rPr>
                <w:rFonts w:eastAsia="Times New Roman" w:cs="Calibri"/>
                <w:color w:val="000000"/>
                <w:szCs w:val="24"/>
              </w:rPr>
              <w:t>6.095</w:t>
            </w:r>
            <w:r w:rsidR="00071AFD">
              <w:rPr>
                <w:rFonts w:eastAsia="Times New Roman" w:cs="Calibri"/>
                <w:color w:val="000000"/>
                <w:szCs w:val="24"/>
              </w:rPr>
              <w:t>0</w:t>
            </w:r>
          </w:p>
        </w:tc>
      </w:tr>
      <w:tr w:rsidRPr="00775B2B" w:rsidR="005C6920" w:rsidTr="00DA254F" w14:paraId="3A3777AE"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760518E" w14:textId="77777777">
            <w:pPr>
              <w:spacing w:line="240" w:lineRule="auto"/>
              <w:ind w:firstLine="0"/>
              <w:rPr>
                <w:rFonts w:eastAsia="Times New Roman" w:cs="Calibri"/>
                <w:color w:val="000000"/>
                <w:szCs w:val="24"/>
              </w:rPr>
            </w:pPr>
            <w:r w:rsidRPr="00775B2B">
              <w:rPr>
                <w:rFonts w:eastAsia="Times New Roman" w:cs="Calibri"/>
                <w:color w:val="000000"/>
                <w:szCs w:val="24"/>
              </w:rPr>
              <w:t>CleanPowerSF</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52578B3"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1.826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99422C6" w14:textId="2211DBD5">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306E52A" w14:textId="2A97B8AD">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5A9250ED" w14:textId="6F088BCE">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4615A8F7"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7CF7110B" w14:textId="77777777">
            <w:pPr>
              <w:spacing w:line="240" w:lineRule="auto"/>
              <w:ind w:firstLine="0"/>
              <w:rPr>
                <w:rFonts w:eastAsia="Times New Roman" w:cs="Calibri"/>
                <w:color w:val="000000"/>
                <w:szCs w:val="24"/>
              </w:rPr>
            </w:pPr>
            <w:r w:rsidRPr="00775B2B">
              <w:rPr>
                <w:rFonts w:eastAsia="Times New Roman" w:cs="Calibri"/>
                <w:color w:val="000000"/>
                <w:szCs w:val="24"/>
              </w:rPr>
              <w:t>CalChoice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D55D419" w14:textId="6F589F13">
            <w:pPr>
              <w:spacing w:line="240" w:lineRule="auto"/>
              <w:ind w:firstLine="0"/>
              <w:jc w:val="right"/>
              <w:rPr>
                <w:rFonts w:eastAsia="Times New Roman" w:cs="Calibri"/>
                <w:color w:val="000000"/>
                <w:szCs w:val="24"/>
              </w:rPr>
            </w:pPr>
            <w:r w:rsidRPr="00775B2B">
              <w:rPr>
                <w:rFonts w:eastAsia="Times New Roman" w:cs="Calibri"/>
                <w:color w:val="000000"/>
                <w:szCs w:val="24"/>
              </w:rPr>
              <w:t>1.31</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0B69BB9" w14:textId="261A830F">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880DD7B" w14:textId="7E1E03DC">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52BD5FEB" w14:textId="62ED021F">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41DC4C4E"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7FFE977" w14:textId="77777777">
            <w:pPr>
              <w:spacing w:line="240" w:lineRule="auto"/>
              <w:ind w:firstLine="0"/>
              <w:rPr>
                <w:rFonts w:eastAsia="Times New Roman" w:cs="Calibri"/>
                <w:color w:val="000000"/>
                <w:szCs w:val="24"/>
              </w:rPr>
            </w:pPr>
            <w:r w:rsidRPr="00775B2B">
              <w:rPr>
                <w:rFonts w:eastAsia="Times New Roman" w:cs="Calibri"/>
                <w:color w:val="000000"/>
                <w:szCs w:val="24"/>
              </w:rPr>
              <w:t>EBCE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3FAC5CFC"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5.726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27818D2" w14:textId="628E8D2F">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45D11FE" w14:textId="6C8FA8B2">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61883814" w14:textId="4B4F96C0">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0FAD3BF4"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3B681B89" w14:textId="77777777">
            <w:pPr>
              <w:spacing w:line="240" w:lineRule="auto"/>
              <w:ind w:firstLine="0"/>
              <w:rPr>
                <w:rFonts w:eastAsia="Times New Roman" w:cs="Calibri"/>
                <w:color w:val="000000"/>
                <w:szCs w:val="24"/>
              </w:rPr>
            </w:pPr>
            <w:r w:rsidRPr="00775B2B">
              <w:rPr>
                <w:rFonts w:eastAsia="Times New Roman" w:cs="Calibri"/>
                <w:color w:val="000000"/>
                <w:szCs w:val="24"/>
              </w:rPr>
              <w:t>MCE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3F53063"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4.646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04E02BC" w14:textId="35DB8C5F">
            <w:pPr>
              <w:spacing w:line="240" w:lineRule="auto"/>
              <w:ind w:firstLine="0"/>
              <w:jc w:val="right"/>
              <w:rPr>
                <w:rFonts w:eastAsia="Times New Roman" w:cs="Calibri"/>
                <w:color w:val="000000"/>
                <w:szCs w:val="24"/>
              </w:rPr>
            </w:pPr>
            <w:r w:rsidRPr="00775B2B">
              <w:rPr>
                <w:rFonts w:eastAsia="Times New Roman" w:cs="Calibri"/>
                <w:color w:val="000000"/>
                <w:szCs w:val="24"/>
              </w:rPr>
              <w:t>4.64</w:t>
            </w:r>
            <w:r w:rsidR="00071AFD">
              <w:rPr>
                <w:rFonts w:eastAsia="Times New Roman" w:cs="Calibri"/>
                <w:color w:val="000000"/>
                <w:szCs w:val="24"/>
              </w:rPr>
              <w:t>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BCBA5B0" w14:textId="42A4E4B7">
            <w:pPr>
              <w:spacing w:line="240" w:lineRule="auto"/>
              <w:ind w:firstLine="0"/>
              <w:jc w:val="right"/>
              <w:rPr>
                <w:rFonts w:eastAsia="Times New Roman" w:cs="Calibri"/>
                <w:color w:val="000000"/>
                <w:szCs w:val="24"/>
              </w:rPr>
            </w:pPr>
            <w:r w:rsidRPr="00775B2B">
              <w:rPr>
                <w:rFonts w:eastAsia="Times New Roman" w:cs="Calibri"/>
                <w:color w:val="000000"/>
                <w:szCs w:val="24"/>
              </w:rPr>
              <w:t>99.87</w:t>
            </w:r>
            <w:r w:rsidR="00071AFD">
              <w:rPr>
                <w:rFonts w:eastAsia="Times New Roman" w:cs="Calibri"/>
                <w:color w:val="000000"/>
                <w:szCs w:val="24"/>
              </w:rPr>
              <w:t>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EA01E09"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2.323</w:t>
            </w:r>
          </w:p>
        </w:tc>
      </w:tr>
      <w:tr w:rsidRPr="00775B2B" w:rsidR="005C6920" w:rsidTr="00DA254F" w14:paraId="445E43E1"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3E1BCB6" w14:textId="77777777">
            <w:pPr>
              <w:spacing w:line="240" w:lineRule="auto"/>
              <w:ind w:firstLine="0"/>
              <w:rPr>
                <w:rFonts w:eastAsia="Times New Roman" w:cs="Calibri"/>
                <w:color w:val="000000"/>
                <w:szCs w:val="24"/>
              </w:rPr>
            </w:pPr>
            <w:r w:rsidRPr="00775B2B">
              <w:rPr>
                <w:rFonts w:eastAsia="Times New Roman" w:cs="Calibri"/>
                <w:color w:val="000000"/>
                <w:szCs w:val="24"/>
              </w:rPr>
              <w:t>PCE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6114705" w14:textId="4AE70FE7">
            <w:pPr>
              <w:spacing w:line="240" w:lineRule="auto"/>
              <w:ind w:firstLine="0"/>
              <w:jc w:val="right"/>
              <w:rPr>
                <w:rFonts w:eastAsia="Times New Roman" w:cs="Calibri"/>
                <w:color w:val="000000"/>
                <w:szCs w:val="24"/>
              </w:rPr>
            </w:pPr>
            <w:r w:rsidRPr="00775B2B">
              <w:rPr>
                <w:rFonts w:eastAsia="Times New Roman" w:cs="Calibri"/>
                <w:color w:val="000000"/>
                <w:szCs w:val="24"/>
              </w:rPr>
              <w:t>3.74</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FDE476F" w14:textId="039A885A">
            <w:pPr>
              <w:spacing w:line="240" w:lineRule="auto"/>
              <w:ind w:firstLine="0"/>
              <w:jc w:val="right"/>
              <w:rPr>
                <w:rFonts w:eastAsia="Times New Roman" w:cs="Calibri"/>
                <w:color w:val="000000"/>
                <w:szCs w:val="24"/>
              </w:rPr>
            </w:pPr>
            <w:r w:rsidRPr="00775B2B">
              <w:rPr>
                <w:rFonts w:eastAsia="Times New Roman" w:cs="Calibri"/>
                <w:color w:val="000000"/>
                <w:szCs w:val="24"/>
              </w:rPr>
              <w:t>3</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D674523" w14:textId="6B2C3356">
            <w:pPr>
              <w:spacing w:line="240" w:lineRule="auto"/>
              <w:ind w:firstLine="0"/>
              <w:jc w:val="right"/>
              <w:rPr>
                <w:rFonts w:eastAsia="Times New Roman" w:cs="Calibri"/>
                <w:color w:val="000000"/>
                <w:szCs w:val="24"/>
              </w:rPr>
            </w:pPr>
            <w:r w:rsidRPr="00775B2B">
              <w:rPr>
                <w:rFonts w:eastAsia="Times New Roman" w:cs="Calibri"/>
                <w:color w:val="000000"/>
                <w:szCs w:val="24"/>
              </w:rPr>
              <w:t>80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DD44B6C"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1.870</w:t>
            </w:r>
          </w:p>
        </w:tc>
      </w:tr>
      <w:tr w:rsidRPr="00775B2B" w:rsidR="005C6920" w:rsidTr="00DA254F" w14:paraId="2038C9A8"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F5ED9D0" w14:textId="77777777">
            <w:pPr>
              <w:spacing w:line="240" w:lineRule="auto"/>
              <w:ind w:firstLine="0"/>
              <w:rPr>
                <w:rFonts w:eastAsia="Times New Roman" w:cs="Calibri"/>
                <w:color w:val="000000"/>
                <w:szCs w:val="24"/>
              </w:rPr>
            </w:pPr>
            <w:r w:rsidRPr="00775B2B">
              <w:rPr>
                <w:rFonts w:eastAsia="Times New Roman" w:cs="Calibri"/>
                <w:color w:val="000000"/>
                <w:szCs w:val="24"/>
              </w:rPr>
              <w:t>PG&amp;E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24D700EB" w14:textId="1D59FF71">
            <w:pPr>
              <w:spacing w:line="240" w:lineRule="auto"/>
              <w:ind w:firstLine="0"/>
              <w:jc w:val="right"/>
              <w:rPr>
                <w:rFonts w:eastAsia="Times New Roman" w:cs="Calibri"/>
                <w:color w:val="000000"/>
                <w:szCs w:val="24"/>
              </w:rPr>
            </w:pPr>
            <w:r w:rsidRPr="00775B2B">
              <w:rPr>
                <w:rFonts w:eastAsia="Times New Roman" w:cs="Calibri"/>
                <w:color w:val="000000"/>
                <w:szCs w:val="24"/>
              </w:rPr>
              <w:t>52.32</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74AF0B0" w14:textId="20A94275">
            <w:pPr>
              <w:spacing w:line="240" w:lineRule="auto"/>
              <w:ind w:firstLine="0"/>
              <w:jc w:val="right"/>
              <w:rPr>
                <w:rFonts w:eastAsia="Times New Roman" w:cs="Calibri"/>
                <w:color w:val="000000"/>
                <w:szCs w:val="24"/>
              </w:rPr>
            </w:pPr>
            <w:r w:rsidRPr="00775B2B">
              <w:rPr>
                <w:rFonts w:eastAsia="Times New Roman" w:cs="Calibri"/>
                <w:color w:val="000000"/>
                <w:szCs w:val="24"/>
              </w:rPr>
              <w:t>52.32</w:t>
            </w:r>
            <w:r w:rsidR="00071AFD">
              <w:rPr>
                <w:rFonts w:eastAsia="Times New Roman" w:cs="Calibri"/>
                <w:color w:val="000000"/>
                <w:szCs w:val="24"/>
              </w:rPr>
              <w:t>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1008E6B" w14:textId="6438D12E">
            <w:pPr>
              <w:spacing w:line="240" w:lineRule="auto"/>
              <w:ind w:firstLine="0"/>
              <w:jc w:val="right"/>
              <w:rPr>
                <w:rFonts w:eastAsia="Times New Roman" w:cs="Calibri"/>
                <w:color w:val="000000"/>
                <w:szCs w:val="24"/>
              </w:rPr>
            </w:pPr>
            <w:r w:rsidRPr="00775B2B">
              <w:rPr>
                <w:rFonts w:eastAsia="Times New Roman" w:cs="Calibri"/>
                <w:color w:val="000000"/>
                <w:szCs w:val="24"/>
              </w:rPr>
              <w:t>100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D6469B9" w14:textId="77777777">
            <w:pPr>
              <w:spacing w:line="240" w:lineRule="auto"/>
              <w:ind w:firstLine="0"/>
              <w:jc w:val="right"/>
              <w:rPr>
                <w:rFonts w:eastAsia="Times New Roman" w:cs="Calibri"/>
                <w:color w:val="000000"/>
                <w:szCs w:val="24"/>
              </w:rPr>
            </w:pPr>
            <w:r w:rsidRPr="00775B2B">
              <w:rPr>
                <w:rFonts w:eastAsia="Times New Roman" w:cs="Calibri"/>
                <w:color w:val="000000"/>
                <w:szCs w:val="24"/>
              </w:rPr>
              <w:t>26.160</w:t>
            </w:r>
          </w:p>
        </w:tc>
      </w:tr>
      <w:tr w:rsidRPr="00775B2B" w:rsidR="005C6920" w:rsidTr="00DA254F" w14:paraId="112F25CB"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3D9CF7A4" w14:textId="77777777">
            <w:pPr>
              <w:spacing w:line="240" w:lineRule="auto"/>
              <w:ind w:firstLine="0"/>
              <w:rPr>
                <w:rFonts w:eastAsia="Times New Roman" w:cs="Calibri"/>
                <w:color w:val="000000"/>
                <w:szCs w:val="24"/>
              </w:rPr>
            </w:pPr>
            <w:r w:rsidRPr="00775B2B">
              <w:rPr>
                <w:rFonts w:eastAsia="Times New Roman" w:cs="Calibri"/>
                <w:color w:val="000000"/>
                <w:szCs w:val="24"/>
              </w:rPr>
              <w:t>SCE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9D51E9A" w14:textId="18674305">
            <w:pPr>
              <w:spacing w:line="240" w:lineRule="auto"/>
              <w:ind w:firstLine="0"/>
              <w:jc w:val="right"/>
              <w:rPr>
                <w:rFonts w:eastAsia="Times New Roman" w:cs="Calibri"/>
                <w:color w:val="000000"/>
                <w:szCs w:val="24"/>
              </w:rPr>
            </w:pPr>
            <w:r w:rsidRPr="00775B2B">
              <w:rPr>
                <w:rFonts w:eastAsia="Times New Roman" w:cs="Calibri"/>
                <w:color w:val="000000"/>
                <w:szCs w:val="24"/>
              </w:rPr>
              <w:t>56.5</w:t>
            </w:r>
            <w:r w:rsidR="00071AFD">
              <w:rPr>
                <w:rFonts w:eastAsia="Times New Roman" w:cs="Calibri"/>
                <w:color w:val="000000"/>
                <w:szCs w:val="24"/>
              </w:rPr>
              <w:t>00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003D37D" w14:textId="7943CE9E">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7DD51835" w14:textId="25DCC2B7">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730E9320" w14:textId="7514EC37">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2B2AE6FB"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8C99744" w14:textId="77777777">
            <w:pPr>
              <w:spacing w:line="240" w:lineRule="auto"/>
              <w:ind w:firstLine="0"/>
              <w:rPr>
                <w:rFonts w:eastAsia="Times New Roman" w:cs="Calibri"/>
                <w:color w:val="000000"/>
                <w:szCs w:val="24"/>
              </w:rPr>
            </w:pPr>
            <w:r w:rsidRPr="00775B2B">
              <w:rPr>
                <w:rFonts w:eastAsia="Times New Roman" w:cs="Calibri"/>
                <w:color w:val="000000"/>
                <w:szCs w:val="24"/>
              </w:rPr>
              <w:lastRenderedPageBreak/>
              <w:t>SDCP</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8BCE039" w14:textId="4C82D95A">
            <w:pPr>
              <w:spacing w:line="240" w:lineRule="auto"/>
              <w:ind w:firstLine="0"/>
              <w:jc w:val="right"/>
              <w:rPr>
                <w:rFonts w:eastAsia="Times New Roman" w:cs="Calibri"/>
                <w:color w:val="000000"/>
                <w:szCs w:val="24"/>
              </w:rPr>
            </w:pPr>
            <w:r w:rsidRPr="00775B2B">
              <w:rPr>
                <w:rFonts w:eastAsia="Times New Roman" w:cs="Calibri"/>
                <w:color w:val="000000"/>
                <w:szCs w:val="24"/>
              </w:rPr>
              <w:t>15.78</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10F2C05A" w14:textId="33318D94">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4BCA07C6" w14:textId="15FC7E19">
            <w:pPr>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071AFD" w14:paraId="209910EC" w14:textId="509AD120">
            <w:pPr>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484AB27D"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27EBFC55" w14:textId="77777777">
            <w:pPr>
              <w:keepNext/>
              <w:spacing w:line="240" w:lineRule="auto"/>
              <w:ind w:firstLine="0"/>
              <w:rPr>
                <w:rFonts w:eastAsia="Times New Roman" w:cs="Calibri"/>
                <w:color w:val="000000"/>
                <w:szCs w:val="24"/>
              </w:rPr>
            </w:pPr>
            <w:r w:rsidRPr="00775B2B">
              <w:rPr>
                <w:rFonts w:eastAsia="Times New Roman" w:cs="Calibri"/>
                <w:color w:val="000000"/>
                <w:szCs w:val="24"/>
              </w:rPr>
              <w:t>SDG&amp;E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233C17DB" w14:textId="52D936EC">
            <w:pPr>
              <w:keepNext/>
              <w:spacing w:line="240" w:lineRule="auto"/>
              <w:ind w:firstLine="0"/>
              <w:jc w:val="right"/>
              <w:rPr>
                <w:rFonts w:eastAsia="Times New Roman" w:cs="Calibri"/>
                <w:color w:val="000000"/>
                <w:szCs w:val="24"/>
              </w:rPr>
            </w:pPr>
            <w:r w:rsidRPr="00775B2B">
              <w:rPr>
                <w:rFonts w:eastAsia="Times New Roman" w:cs="Calibri"/>
                <w:color w:val="000000"/>
                <w:szCs w:val="24"/>
              </w:rPr>
              <w:t>2.22</w:t>
            </w:r>
            <w:r w:rsidR="00071AFD">
              <w:rPr>
                <w:rFonts w:eastAsia="Times New Roman" w:cs="Calibri"/>
                <w:color w:val="000000"/>
                <w:szCs w:val="24"/>
              </w:rPr>
              <w:t>0</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536BF144" w14:textId="3A8F015E">
            <w:pPr>
              <w:keepNext/>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6F13AD32" w14:textId="070FD52A">
            <w:pPr>
              <w:keepNext/>
              <w:spacing w:line="240" w:lineRule="auto"/>
              <w:ind w:firstLine="0"/>
              <w:jc w:val="right"/>
              <w:rPr>
                <w:rFonts w:eastAsia="Times New Roman" w:cs="Calibri"/>
                <w:color w:val="000000"/>
                <w:szCs w:val="24"/>
              </w:rPr>
            </w:pPr>
            <w:r w:rsidRPr="00775B2B">
              <w:rPr>
                <w:rFonts w:eastAsia="Times New Roman" w:cs="Calibri"/>
                <w:color w:val="000000"/>
                <w:szCs w:val="24"/>
              </w:rPr>
              <w:t>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071AFD" w14:paraId="60E83BCB" w14:textId="430ACAD3">
            <w:pPr>
              <w:keepNext/>
              <w:spacing w:line="240" w:lineRule="auto"/>
              <w:ind w:firstLine="0"/>
              <w:jc w:val="right"/>
              <w:rPr>
                <w:rFonts w:eastAsia="Times New Roman" w:cs="Calibri"/>
                <w:color w:val="000000"/>
                <w:szCs w:val="24"/>
              </w:rPr>
            </w:pPr>
            <w:r w:rsidRPr="00775B2B">
              <w:rPr>
                <w:rFonts w:eastAsia="Times New Roman" w:cs="Calibri"/>
                <w:color w:val="000000"/>
                <w:szCs w:val="24"/>
              </w:rPr>
              <w:t>0</w:t>
            </w:r>
            <w:r>
              <w:rPr>
                <w:rFonts w:eastAsia="Times New Roman" w:cs="Calibri"/>
                <w:color w:val="000000"/>
                <w:szCs w:val="24"/>
              </w:rPr>
              <w:t>.000</w:t>
            </w:r>
          </w:p>
        </w:tc>
      </w:tr>
      <w:tr w:rsidRPr="00775B2B" w:rsidR="005C6920" w:rsidTr="00DA254F" w14:paraId="54CDD6C5"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74AE33C8" w14:textId="77777777">
            <w:pPr>
              <w:keepNext/>
              <w:spacing w:line="240" w:lineRule="auto"/>
              <w:ind w:firstLine="0"/>
              <w:rPr>
                <w:rFonts w:eastAsia="Times New Roman" w:cs="Calibri"/>
                <w:color w:val="000000"/>
                <w:szCs w:val="24"/>
              </w:rPr>
            </w:pPr>
            <w:r w:rsidRPr="00775B2B">
              <w:rPr>
                <w:rFonts w:eastAsia="Times New Roman" w:cs="Calibri"/>
                <w:color w:val="000000"/>
                <w:szCs w:val="24"/>
              </w:rPr>
              <w:t>SJCE</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5A057FB5" w14:textId="77777777">
            <w:pPr>
              <w:keepNext/>
              <w:spacing w:line="240" w:lineRule="auto"/>
              <w:ind w:firstLine="0"/>
              <w:jc w:val="right"/>
              <w:rPr>
                <w:rFonts w:eastAsia="Times New Roman" w:cs="Calibri"/>
                <w:color w:val="000000"/>
                <w:szCs w:val="24"/>
              </w:rPr>
            </w:pPr>
            <w:r w:rsidRPr="00775B2B">
              <w:rPr>
                <w:rFonts w:eastAsia="Times New Roman" w:cs="Calibri"/>
                <w:color w:val="000000"/>
                <w:szCs w:val="24"/>
              </w:rPr>
              <w:t>1.736</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20012CEE" w14:textId="77777777">
            <w:pPr>
              <w:keepNext/>
              <w:spacing w:line="240" w:lineRule="auto"/>
              <w:ind w:firstLine="0"/>
              <w:jc w:val="right"/>
              <w:rPr>
                <w:rFonts w:eastAsia="Times New Roman" w:cs="Calibri"/>
                <w:color w:val="000000"/>
                <w:szCs w:val="24"/>
              </w:rPr>
            </w:pPr>
            <w:r w:rsidRPr="00775B2B">
              <w:rPr>
                <w:rFonts w:eastAsia="Times New Roman" w:cs="Calibri"/>
                <w:color w:val="000000"/>
                <w:szCs w:val="24"/>
              </w:rPr>
              <w:t>1.736</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682568B2" w14:textId="0656BF67">
            <w:pPr>
              <w:keepNext/>
              <w:spacing w:line="240" w:lineRule="auto"/>
              <w:ind w:firstLine="0"/>
              <w:jc w:val="right"/>
              <w:rPr>
                <w:rFonts w:eastAsia="Times New Roman" w:cs="Calibri"/>
                <w:color w:val="000000"/>
                <w:szCs w:val="24"/>
              </w:rPr>
            </w:pPr>
            <w:r w:rsidRPr="00775B2B">
              <w:rPr>
                <w:rFonts w:eastAsia="Times New Roman" w:cs="Calibri"/>
                <w:color w:val="000000"/>
                <w:szCs w:val="24"/>
              </w:rPr>
              <w:t>100</w:t>
            </w:r>
            <w:r w:rsidR="00071AFD">
              <w:rPr>
                <w:rFonts w:eastAsia="Times New Roman" w:cs="Calibri"/>
                <w:color w:val="000000"/>
                <w:szCs w:val="24"/>
              </w:rPr>
              <w:t>.000</w:t>
            </w:r>
            <w:r w:rsidRPr="00775B2B">
              <w:rPr>
                <w:rFonts w:eastAsia="Times New Roman" w:cs="Calibri"/>
                <w:color w:val="000000"/>
                <w:szCs w:val="24"/>
              </w:rPr>
              <w:t>%</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605D6" w:rsidRDefault="00143A1F" w14:paraId="7E2E6461" w14:textId="77777777">
            <w:pPr>
              <w:keepNext/>
              <w:spacing w:line="240" w:lineRule="auto"/>
              <w:ind w:firstLine="0"/>
              <w:jc w:val="right"/>
              <w:rPr>
                <w:rFonts w:eastAsia="Times New Roman" w:cs="Calibri"/>
                <w:color w:val="000000"/>
                <w:szCs w:val="24"/>
              </w:rPr>
            </w:pPr>
            <w:r w:rsidRPr="00775B2B">
              <w:rPr>
                <w:rFonts w:eastAsia="Times New Roman" w:cs="Calibri"/>
                <w:color w:val="000000"/>
                <w:szCs w:val="24"/>
              </w:rPr>
              <w:t>0.868</w:t>
            </w:r>
          </w:p>
        </w:tc>
      </w:tr>
      <w:bookmarkEnd w:id="235"/>
      <w:tr w:rsidRPr="00775B2B" w:rsidR="005C6920" w:rsidTr="00DA254F" w14:paraId="0B033AA6" w14:textId="77777777">
        <w:trPr>
          <w:cantSplit/>
        </w:trPr>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5D1068" w:rsidRDefault="00143A1F" w14:paraId="77B53561" w14:textId="77777777">
            <w:pPr>
              <w:spacing w:line="240" w:lineRule="auto"/>
              <w:ind w:firstLine="0"/>
              <w:jc w:val="right"/>
              <w:rPr>
                <w:rFonts w:eastAsia="Times New Roman" w:cs="Calibri"/>
                <w:color w:val="000000"/>
              </w:rPr>
            </w:pPr>
            <w:r w:rsidRPr="00775B2B">
              <w:rPr>
                <w:rFonts w:eastAsia="Times New Roman" w:cs="Calibri"/>
                <w:color w:val="000000"/>
              </w:rPr>
              <w:t>TOTAL</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7DCDC711" w14:textId="77777777">
            <w:pPr>
              <w:spacing w:line="240" w:lineRule="auto"/>
              <w:ind w:firstLine="0"/>
              <w:jc w:val="right"/>
              <w:rPr>
                <w:rFonts w:eastAsia="Times New Roman" w:cs="Calibri"/>
                <w:color w:val="000000"/>
              </w:rPr>
            </w:pPr>
            <w:r w:rsidRPr="00775B2B">
              <w:rPr>
                <w:rFonts w:eastAsia="Times New Roman" w:cs="Calibri"/>
                <w:color w:val="000000"/>
              </w:rPr>
              <w:t>157.99</w:t>
            </w:r>
          </w:p>
        </w:tc>
        <w:tc>
          <w:tcPr>
            <w:tcW w:w="216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5A5AC8B1" w14:textId="77777777">
            <w:pPr>
              <w:spacing w:line="240" w:lineRule="auto"/>
              <w:ind w:firstLine="0"/>
              <w:jc w:val="right"/>
              <w:rPr>
                <w:rFonts w:eastAsia="Times New Roman" w:cs="Calibri"/>
                <w:color w:val="000000"/>
              </w:rPr>
            </w:pPr>
            <w:r w:rsidRPr="00775B2B">
              <w:rPr>
                <w:rFonts w:eastAsia="Times New Roman" w:cs="Calibri"/>
                <w:color w:val="000000"/>
              </w:rPr>
              <w:t>73.89</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67D20F55" w14:textId="77777777">
            <w:pPr>
              <w:spacing w:line="240" w:lineRule="auto"/>
              <w:ind w:firstLine="0"/>
              <w:jc w:val="right"/>
              <w:rPr>
                <w:rFonts w:eastAsia="Times New Roman" w:cs="Calibri"/>
                <w:color w:val="000000"/>
              </w:rPr>
            </w:pPr>
            <w:r w:rsidRPr="00775B2B">
              <w:rPr>
                <w:rFonts w:eastAsia="Times New Roman" w:cs="Calibri"/>
                <w:color w:val="000000"/>
              </w:rPr>
              <w:t>46.77%</w:t>
            </w:r>
          </w:p>
        </w:tc>
        <w:tc>
          <w:tcPr>
            <w:tcW w:w="1625" w:type="dxa"/>
            <w:tcBorders>
              <w:top w:val="single" w:color="000000" w:sz="4" w:space="0"/>
              <w:left w:val="single" w:color="000000" w:sz="4" w:space="0"/>
              <w:bottom w:val="single" w:color="000000" w:sz="4" w:space="0"/>
              <w:right w:val="single" w:color="000000" w:sz="4" w:space="0"/>
            </w:tcBorders>
            <w:noWrap/>
            <w:vAlign w:val="bottom"/>
            <w:hideMark/>
          </w:tcPr>
          <w:p w:rsidRPr="00775B2B" w:rsidR="00143A1F" w:rsidP="008749AC" w:rsidRDefault="00143A1F" w14:paraId="00A31257" w14:textId="77777777">
            <w:pPr>
              <w:spacing w:line="240" w:lineRule="auto"/>
              <w:ind w:firstLine="0"/>
              <w:jc w:val="right"/>
              <w:rPr>
                <w:rFonts w:eastAsia="Times New Roman" w:cs="Calibri"/>
                <w:color w:val="000000"/>
              </w:rPr>
            </w:pPr>
            <w:r w:rsidRPr="00775B2B">
              <w:rPr>
                <w:rFonts w:eastAsia="Times New Roman" w:cs="Calibri"/>
                <w:color w:val="000000"/>
              </w:rPr>
              <w:t>37.316</w:t>
            </w:r>
          </w:p>
        </w:tc>
      </w:tr>
    </w:tbl>
    <w:p w:rsidR="00B662C6" w:rsidP="005605D6" w:rsidRDefault="00071AFD" w14:paraId="5CC35957" w14:textId="19398B84">
      <w:pPr>
        <w:pStyle w:val="StandardTableSub"/>
      </w:pPr>
      <w:r>
        <w:t>Table</w:t>
      </w:r>
      <w:r w:rsidR="004F205E">
        <w:t> </w:t>
      </w:r>
      <w:r w:rsidR="00033DC0">
        <w:t>7</w:t>
      </w:r>
      <w:r>
        <w:t xml:space="preserve"> below shows the estimated total available capacity after tallying the unprocured DAC</w:t>
      </w:r>
      <w:r w:rsidR="003D6EF8">
        <w:noBreakHyphen/>
      </w:r>
      <w:r>
        <w:t>GT capacity and the unprocured CSGT capacity as of October</w:t>
      </w:r>
      <w:r w:rsidR="004F205E">
        <w:t> </w:t>
      </w:r>
      <w:r>
        <w:t>31, 2023</w:t>
      </w:r>
      <w:r w:rsidR="004F205E">
        <w:t>,</w:t>
      </w:r>
      <w:r>
        <w:t xml:space="preserve"> with the 50</w:t>
      </w:r>
      <w:r w:rsidR="004F205E">
        <w:t> </w:t>
      </w:r>
      <w:r>
        <w:t>percent additional capacity allocation for DAC</w:t>
      </w:r>
      <w:r w:rsidR="003D6EF8">
        <w:noBreakHyphen/>
      </w:r>
      <w:r>
        <w:t>GT Program Administrators</w:t>
      </w:r>
      <w:r w:rsidR="00B662C6">
        <w:t xml:space="preserve"> that are close to or fully procured within a particular utility service territory.</w:t>
      </w:r>
    </w:p>
    <w:p w:rsidRPr="006C36A5" w:rsidR="00B662C6" w:rsidP="004F205E" w:rsidRDefault="00B662C6" w14:paraId="171600BE" w14:textId="2E5A37D3">
      <w:pPr>
        <w:keepNext/>
        <w:spacing w:line="240" w:lineRule="auto"/>
        <w:ind w:firstLine="0"/>
        <w:jc w:val="center"/>
        <w:rPr>
          <w:b/>
          <w:bCs/>
        </w:rPr>
      </w:pPr>
      <w:r w:rsidRPr="006C36A5">
        <w:rPr>
          <w:b/>
          <w:bCs/>
        </w:rPr>
        <w:t xml:space="preserve">Table </w:t>
      </w:r>
      <w:r w:rsidR="00033DC0">
        <w:rPr>
          <w:b/>
          <w:bCs/>
        </w:rPr>
        <w:t>7</w:t>
      </w:r>
    </w:p>
    <w:p w:rsidRPr="006C36A5" w:rsidR="00B662C6" w:rsidP="004F205E" w:rsidRDefault="00B662C6" w14:paraId="3822F229" w14:textId="485D8F99">
      <w:pPr>
        <w:pStyle w:val="StandardTableSub"/>
        <w:keepNext/>
        <w:spacing w:before="0" w:after="240" w:line="240" w:lineRule="auto"/>
        <w:ind w:firstLine="0"/>
        <w:jc w:val="center"/>
        <w:rPr>
          <w:b/>
          <w:bCs/>
        </w:rPr>
      </w:pPr>
      <w:r w:rsidRPr="006C36A5">
        <w:rPr>
          <w:b/>
          <w:bCs/>
        </w:rPr>
        <w:t>Modified DAC</w:t>
      </w:r>
      <w:r w:rsidR="003D6EF8">
        <w:rPr>
          <w:b/>
          <w:bCs/>
        </w:rPr>
        <w:noBreakHyphen/>
      </w:r>
      <w:r w:rsidRPr="006C36A5">
        <w:rPr>
          <w:b/>
          <w:bCs/>
        </w:rPr>
        <w:t>GT Capacity Estimate By Program Administrator</w:t>
      </w:r>
    </w:p>
    <w:tbl>
      <w:tblPr>
        <w:tblW w:w="9360" w:type="dxa"/>
        <w:tblLayout w:type="fixed"/>
        <w:tblCellMar>
          <w:top w:w="58" w:type="dxa"/>
          <w:bottom w:w="58" w:type="dxa"/>
        </w:tblCellMar>
        <w:tblLook w:val="04A0" w:firstRow="1" w:lastRow="0" w:firstColumn="1" w:lastColumn="0" w:noHBand="0" w:noVBand="1"/>
      </w:tblPr>
      <w:tblGrid>
        <w:gridCol w:w="1975"/>
        <w:gridCol w:w="1890"/>
        <w:gridCol w:w="1620"/>
        <w:gridCol w:w="1800"/>
        <w:gridCol w:w="2065"/>
        <w:gridCol w:w="10"/>
      </w:tblGrid>
      <w:tr w:rsidRPr="00703812" w:rsidR="00B662C6" w:rsidTr="003636A9" w14:paraId="575906A9" w14:textId="77777777">
        <w:trPr>
          <w:tblHeader/>
        </w:trPr>
        <w:tc>
          <w:tcPr>
            <w:tcW w:w="1975" w:type="dxa"/>
            <w:tcBorders>
              <w:top w:val="single" w:color="000000" w:sz="4" w:space="0"/>
              <w:left w:val="single" w:color="000000" w:sz="4" w:space="0"/>
              <w:bottom w:val="single" w:color="000000" w:sz="4" w:space="0"/>
              <w:right w:val="single" w:color="000000" w:sz="4" w:space="0"/>
            </w:tcBorders>
            <w:vAlign w:val="bottom"/>
            <w:hideMark/>
          </w:tcPr>
          <w:p w:rsidR="00703812" w:rsidP="00703812" w:rsidRDefault="00B662C6" w14:paraId="7BEE8CD3" w14:textId="099D7610">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Program</w:t>
            </w:r>
          </w:p>
          <w:p w:rsidRPr="00703812" w:rsidR="00B662C6" w:rsidP="00703812" w:rsidRDefault="00B662C6" w14:paraId="065557F9" w14:textId="72171E33">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Administrator</w:t>
            </w:r>
          </w:p>
        </w:tc>
        <w:tc>
          <w:tcPr>
            <w:tcW w:w="1890" w:type="dxa"/>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12DF3FA0" w14:textId="59C5E8E4">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Un</w:t>
            </w:r>
            <w:r w:rsidR="003D6EF8">
              <w:rPr>
                <w:rFonts w:eastAsia="Times New Roman" w:cs="Calibri"/>
                <w:b/>
                <w:bCs/>
                <w:color w:val="000000"/>
                <w:szCs w:val="24"/>
              </w:rPr>
              <w:noBreakHyphen/>
            </w:r>
            <w:r w:rsidRPr="00703812">
              <w:rPr>
                <w:rFonts w:eastAsia="Times New Roman" w:cs="Calibri"/>
                <w:b/>
                <w:bCs/>
                <w:color w:val="000000"/>
                <w:szCs w:val="24"/>
              </w:rPr>
              <w:t>Procured</w:t>
            </w:r>
          </w:p>
          <w:p w:rsidR="003636A9" w:rsidP="00115798" w:rsidRDefault="00B662C6" w14:paraId="0C5D6858" w14:textId="27EDFD3E">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DAC</w:t>
            </w:r>
            <w:r w:rsidR="003D6EF8">
              <w:rPr>
                <w:rFonts w:eastAsia="Times New Roman" w:cs="Calibri"/>
                <w:b/>
                <w:bCs/>
                <w:color w:val="000000"/>
                <w:szCs w:val="24"/>
              </w:rPr>
              <w:noBreakHyphen/>
            </w:r>
            <w:r w:rsidRPr="00703812">
              <w:rPr>
                <w:rFonts w:eastAsia="Times New Roman" w:cs="Calibri"/>
                <w:b/>
                <w:bCs/>
                <w:color w:val="000000"/>
                <w:szCs w:val="24"/>
              </w:rPr>
              <w:t>GT</w:t>
            </w:r>
          </w:p>
          <w:p w:rsidR="003636A9" w:rsidP="00115798" w:rsidRDefault="00B662C6" w14:paraId="1209BC18"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 as of</w:t>
            </w:r>
          </w:p>
          <w:p w:rsidR="003636A9" w:rsidP="00115798" w:rsidRDefault="00B662C6" w14:paraId="5DA54CB9"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Oct</w:t>
            </w:r>
            <w:r w:rsidR="003636A9">
              <w:rPr>
                <w:rFonts w:eastAsia="Times New Roman" w:cs="Calibri"/>
                <w:b/>
                <w:bCs/>
                <w:color w:val="000000"/>
                <w:szCs w:val="24"/>
              </w:rPr>
              <w:t>. </w:t>
            </w:r>
            <w:r w:rsidRPr="00703812">
              <w:rPr>
                <w:rFonts w:eastAsia="Times New Roman" w:cs="Calibri"/>
                <w:b/>
                <w:bCs/>
                <w:color w:val="000000"/>
                <w:szCs w:val="24"/>
              </w:rPr>
              <w:t>31, 2023</w:t>
            </w:r>
          </w:p>
          <w:p w:rsidRPr="00703812" w:rsidR="00B662C6" w:rsidP="00115798" w:rsidRDefault="00B662C6" w14:paraId="131C975E" w14:textId="05CB270A">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(MW)</w:t>
            </w:r>
          </w:p>
        </w:tc>
        <w:tc>
          <w:tcPr>
            <w:tcW w:w="1620" w:type="dxa"/>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0CF039F4"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50%</w:t>
            </w:r>
          </w:p>
          <w:p w:rsidR="003636A9" w:rsidP="00115798" w:rsidRDefault="00B662C6" w14:paraId="620132CE"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Additional</w:t>
            </w:r>
          </w:p>
          <w:p w:rsidR="003636A9" w:rsidP="00115798" w:rsidRDefault="00B662C6" w14:paraId="4F58EB02" w14:textId="07C16CE6">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DAC</w:t>
            </w:r>
            <w:r w:rsidR="003D6EF8">
              <w:rPr>
                <w:rFonts w:eastAsia="Times New Roman" w:cs="Calibri"/>
                <w:b/>
                <w:bCs/>
                <w:color w:val="000000"/>
                <w:szCs w:val="24"/>
              </w:rPr>
              <w:noBreakHyphen/>
            </w:r>
            <w:r w:rsidRPr="00703812">
              <w:rPr>
                <w:rFonts w:eastAsia="Times New Roman" w:cs="Calibri"/>
                <w:b/>
                <w:bCs/>
                <w:color w:val="000000"/>
                <w:szCs w:val="24"/>
              </w:rPr>
              <w:t>GT</w:t>
            </w:r>
          </w:p>
          <w:p w:rsidR="003636A9" w:rsidP="00115798" w:rsidRDefault="00B662C6" w14:paraId="54241274"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w:t>
            </w:r>
          </w:p>
          <w:p w:rsidRPr="00703812" w:rsidR="00B662C6" w:rsidP="00115798" w:rsidRDefault="00B662C6" w14:paraId="4AE7B58F" w14:textId="0789FFB9">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(MW)</w:t>
            </w:r>
          </w:p>
        </w:tc>
        <w:tc>
          <w:tcPr>
            <w:tcW w:w="1800" w:type="dxa"/>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7EB3A638" w14:textId="727FF756">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Un</w:t>
            </w:r>
            <w:r w:rsidR="003D6EF8">
              <w:rPr>
                <w:rFonts w:eastAsia="Times New Roman" w:cs="Calibri"/>
                <w:b/>
                <w:bCs/>
                <w:color w:val="000000"/>
                <w:szCs w:val="24"/>
              </w:rPr>
              <w:noBreakHyphen/>
            </w:r>
            <w:r w:rsidRPr="00703812">
              <w:rPr>
                <w:rFonts w:eastAsia="Times New Roman" w:cs="Calibri"/>
                <w:b/>
                <w:bCs/>
                <w:color w:val="000000"/>
                <w:szCs w:val="24"/>
              </w:rPr>
              <w:t>Procured</w:t>
            </w:r>
          </w:p>
          <w:p w:rsidR="003636A9" w:rsidP="00115798" w:rsidRDefault="00B662C6" w14:paraId="5E7EE9E4"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CSGT</w:t>
            </w:r>
          </w:p>
          <w:p w:rsidR="003636A9" w:rsidP="00115798" w:rsidRDefault="00B662C6" w14:paraId="237FB846"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 as</w:t>
            </w:r>
          </w:p>
          <w:p w:rsidR="003636A9" w:rsidP="00115798" w:rsidRDefault="00B662C6" w14:paraId="2613D0B9"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 xml:space="preserve">of </w:t>
            </w:r>
            <w:r w:rsidR="003636A9">
              <w:rPr>
                <w:rFonts w:eastAsia="Times New Roman" w:cs="Calibri"/>
                <w:b/>
                <w:bCs/>
                <w:color w:val="000000"/>
                <w:szCs w:val="24"/>
              </w:rPr>
              <w:t>Oct. 31</w:t>
            </w:r>
            <w:r w:rsidRPr="00703812">
              <w:rPr>
                <w:rFonts w:eastAsia="Times New Roman" w:cs="Calibri"/>
                <w:b/>
                <w:bCs/>
                <w:color w:val="000000"/>
                <w:szCs w:val="24"/>
              </w:rPr>
              <w:t>,</w:t>
            </w:r>
          </w:p>
          <w:p w:rsidRPr="00703812" w:rsidR="00B662C6" w:rsidP="00115798" w:rsidRDefault="00B662C6" w14:paraId="362D0292" w14:textId="16F3E7E4">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2023 (MW)</w:t>
            </w:r>
          </w:p>
        </w:tc>
        <w:tc>
          <w:tcPr>
            <w:tcW w:w="2075" w:type="dxa"/>
            <w:gridSpan w:val="2"/>
            <w:tcBorders>
              <w:top w:val="single" w:color="000000" w:sz="4" w:space="0"/>
              <w:left w:val="single" w:color="000000" w:sz="4" w:space="0"/>
              <w:bottom w:val="single" w:color="000000" w:sz="4" w:space="0"/>
              <w:right w:val="single" w:color="000000" w:sz="4" w:space="0"/>
            </w:tcBorders>
            <w:vAlign w:val="bottom"/>
            <w:hideMark/>
          </w:tcPr>
          <w:p w:rsidR="003636A9" w:rsidP="00115798" w:rsidRDefault="00B662C6" w14:paraId="5D6D52E8"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Modified</w:t>
            </w:r>
          </w:p>
          <w:p w:rsidR="003636A9" w:rsidP="00115798" w:rsidRDefault="00B662C6" w14:paraId="6C610C76" w14:textId="70C9B2AA">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DAC</w:t>
            </w:r>
            <w:r w:rsidR="003D6EF8">
              <w:rPr>
                <w:rFonts w:eastAsia="Times New Roman" w:cs="Calibri"/>
                <w:b/>
                <w:bCs/>
                <w:color w:val="000000"/>
                <w:szCs w:val="24"/>
              </w:rPr>
              <w:noBreakHyphen/>
            </w:r>
            <w:r w:rsidRPr="00703812">
              <w:rPr>
                <w:rFonts w:eastAsia="Times New Roman" w:cs="Calibri"/>
                <w:b/>
                <w:bCs/>
                <w:color w:val="000000"/>
                <w:szCs w:val="24"/>
              </w:rPr>
              <w:t>GT</w:t>
            </w:r>
          </w:p>
          <w:p w:rsidR="003636A9" w:rsidP="00115798" w:rsidRDefault="00B662C6" w14:paraId="04ED768B" w14:textId="77777777">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Total Available</w:t>
            </w:r>
          </w:p>
          <w:p w:rsidRPr="00703812" w:rsidR="00B662C6" w:rsidP="00115798" w:rsidRDefault="00B662C6" w14:paraId="77C869C9" w14:textId="31A0E7E8">
            <w:pPr>
              <w:spacing w:line="240" w:lineRule="auto"/>
              <w:ind w:firstLine="0"/>
              <w:jc w:val="center"/>
              <w:rPr>
                <w:rFonts w:eastAsia="Times New Roman" w:cs="Calibri"/>
                <w:b/>
                <w:bCs/>
                <w:color w:val="000000"/>
                <w:szCs w:val="24"/>
              </w:rPr>
            </w:pPr>
            <w:r w:rsidRPr="00703812">
              <w:rPr>
                <w:rFonts w:eastAsia="Times New Roman" w:cs="Calibri"/>
                <w:b/>
                <w:bCs/>
                <w:color w:val="000000"/>
                <w:szCs w:val="24"/>
              </w:rPr>
              <w:t>Capacity (MW)</w:t>
            </w:r>
          </w:p>
        </w:tc>
      </w:tr>
      <w:tr w:rsidRPr="00703812" w:rsidR="00B662C6" w:rsidTr="003636A9" w14:paraId="2EAFC00F"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8AC36DE" w14:textId="77777777">
            <w:pPr>
              <w:keepNext/>
              <w:spacing w:line="240" w:lineRule="auto"/>
              <w:ind w:firstLine="0"/>
              <w:rPr>
                <w:rFonts w:eastAsia="Times New Roman" w:cs="Calibri"/>
                <w:color w:val="000000"/>
                <w:szCs w:val="24"/>
              </w:rPr>
            </w:pPr>
            <w:r w:rsidRPr="00703812">
              <w:rPr>
                <w:rFonts w:eastAsia="Times New Roman" w:cs="Calibri"/>
                <w:color w:val="000000"/>
                <w:szCs w:val="24"/>
              </w:rPr>
              <w:t>CPA</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41C1ADBA" w14:textId="5DDF603C">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E32928F"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6.095</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52D578F"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2784DA19"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6.0950</w:t>
            </w:r>
          </w:p>
        </w:tc>
      </w:tr>
      <w:tr w:rsidRPr="00703812" w:rsidR="00B662C6" w:rsidTr="003636A9" w14:paraId="55B8C2E5"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767C429" w14:textId="77777777">
            <w:pPr>
              <w:spacing w:line="240" w:lineRule="auto"/>
              <w:ind w:firstLine="0"/>
              <w:rPr>
                <w:rFonts w:eastAsia="Times New Roman" w:cs="Calibri"/>
                <w:color w:val="000000"/>
                <w:szCs w:val="24"/>
              </w:rPr>
            </w:pPr>
            <w:r w:rsidRPr="00703812">
              <w:rPr>
                <w:rFonts w:eastAsia="Times New Roman" w:cs="Calibri"/>
                <w:color w:val="000000"/>
                <w:szCs w:val="24"/>
              </w:rPr>
              <w:t>CleanPowerSF</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2DD220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1.826</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86F24D0"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AE3F0DE"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0.5525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59C3C0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2.3785</w:t>
            </w:r>
          </w:p>
        </w:tc>
      </w:tr>
      <w:tr w:rsidRPr="00703812" w:rsidR="00B662C6" w:rsidTr="003636A9" w14:paraId="1CB17D1B"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C19B4EB" w14:textId="77777777">
            <w:pPr>
              <w:spacing w:line="240" w:lineRule="auto"/>
              <w:ind w:firstLine="0"/>
              <w:rPr>
                <w:rFonts w:eastAsia="Times New Roman" w:cs="Calibri"/>
                <w:color w:val="000000"/>
                <w:szCs w:val="24"/>
              </w:rPr>
            </w:pPr>
            <w:r w:rsidRPr="00703812">
              <w:rPr>
                <w:rFonts w:eastAsia="Times New Roman" w:cs="Calibri"/>
                <w:color w:val="000000"/>
                <w:szCs w:val="24"/>
              </w:rPr>
              <w:t>CalChoice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13E5A29"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1.310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015B8FB"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C661FD1"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N/A</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4DF7C54"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1.3100</w:t>
            </w:r>
          </w:p>
        </w:tc>
      </w:tr>
      <w:tr w:rsidRPr="00703812" w:rsidR="00B662C6" w:rsidTr="003636A9" w14:paraId="1C4B7EA0"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0193F6F" w14:textId="77777777">
            <w:pPr>
              <w:spacing w:line="240" w:lineRule="auto"/>
              <w:ind w:firstLine="0"/>
              <w:rPr>
                <w:rFonts w:eastAsia="Times New Roman" w:cs="Calibri"/>
                <w:color w:val="000000"/>
                <w:szCs w:val="24"/>
              </w:rPr>
            </w:pPr>
            <w:r w:rsidRPr="00703812">
              <w:rPr>
                <w:rFonts w:eastAsia="Times New Roman" w:cs="Calibri"/>
                <w:color w:val="000000"/>
                <w:szCs w:val="24"/>
              </w:rPr>
              <w:t>EBCE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43A3823B"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5.726</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2C7E36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96BDBAD"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1.5625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9D78664"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7.2885</w:t>
            </w:r>
          </w:p>
        </w:tc>
      </w:tr>
      <w:tr w:rsidRPr="00703812" w:rsidR="00B662C6" w:rsidTr="003636A9" w14:paraId="24ED5504"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174580DE" w14:textId="77777777">
            <w:pPr>
              <w:spacing w:line="240" w:lineRule="auto"/>
              <w:ind w:firstLine="0"/>
              <w:rPr>
                <w:rFonts w:eastAsia="Times New Roman" w:cs="Calibri"/>
                <w:color w:val="000000"/>
                <w:szCs w:val="24"/>
              </w:rPr>
            </w:pPr>
            <w:r w:rsidRPr="00703812">
              <w:rPr>
                <w:rFonts w:eastAsia="Times New Roman" w:cs="Calibri"/>
                <w:color w:val="000000"/>
                <w:szCs w:val="24"/>
              </w:rPr>
              <w:t>MCE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06D75BA"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0.006</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24A396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2.323</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48A417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1.2800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6FF8DBC"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3.6090</w:t>
            </w:r>
          </w:p>
        </w:tc>
      </w:tr>
      <w:tr w:rsidRPr="00703812" w:rsidR="00B662C6" w:rsidTr="003636A9" w14:paraId="1F24CFC4"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FE34DA0" w14:textId="77777777">
            <w:pPr>
              <w:spacing w:line="240" w:lineRule="auto"/>
              <w:ind w:firstLine="0"/>
              <w:rPr>
                <w:rFonts w:eastAsia="Times New Roman" w:cs="Calibri"/>
                <w:color w:val="000000"/>
                <w:szCs w:val="24"/>
              </w:rPr>
            </w:pPr>
            <w:r w:rsidRPr="00703812">
              <w:rPr>
                <w:rFonts w:eastAsia="Times New Roman" w:cs="Calibri"/>
                <w:color w:val="000000"/>
                <w:szCs w:val="24"/>
              </w:rPr>
              <w:t>PCE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E25BE6E"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0.740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9074A7E"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1.870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7C1970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0.4025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8CB6D1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3.0125</w:t>
            </w:r>
          </w:p>
        </w:tc>
      </w:tr>
      <w:tr w:rsidRPr="00703812" w:rsidR="00B662C6" w:rsidTr="003636A9" w14:paraId="1A715DF5"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24365D2" w14:textId="77777777">
            <w:pPr>
              <w:spacing w:line="240" w:lineRule="auto"/>
              <w:ind w:firstLine="0"/>
              <w:rPr>
                <w:rFonts w:eastAsia="Times New Roman" w:cs="Calibri"/>
                <w:color w:val="000000"/>
                <w:szCs w:val="24"/>
              </w:rPr>
            </w:pPr>
            <w:r w:rsidRPr="00703812">
              <w:rPr>
                <w:rFonts w:eastAsia="Times New Roman" w:cs="Calibri"/>
                <w:color w:val="000000"/>
                <w:szCs w:val="24"/>
              </w:rPr>
              <w:t>PG&amp;E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4EA61E6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5E92B9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26.160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D39EEFC"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2.2000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2921D0D"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28.3600</w:t>
            </w:r>
          </w:p>
        </w:tc>
      </w:tr>
      <w:tr w:rsidRPr="00703812" w:rsidR="00B662C6" w:rsidTr="003636A9" w14:paraId="634D749B"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A2E3881" w14:textId="77777777">
            <w:pPr>
              <w:spacing w:line="240" w:lineRule="auto"/>
              <w:ind w:firstLine="0"/>
              <w:rPr>
                <w:rFonts w:eastAsia="Times New Roman" w:cs="Calibri"/>
                <w:color w:val="000000"/>
                <w:szCs w:val="24"/>
              </w:rPr>
            </w:pPr>
            <w:r w:rsidRPr="00703812">
              <w:rPr>
                <w:rFonts w:eastAsia="Times New Roman" w:cs="Calibri"/>
                <w:color w:val="000000"/>
                <w:szCs w:val="24"/>
              </w:rPr>
              <w:t>SCE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A3A5EB1"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56.500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1C4F7E20"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0A65297"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11.6300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77BB30D6"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68.1300</w:t>
            </w:r>
          </w:p>
        </w:tc>
      </w:tr>
      <w:tr w:rsidRPr="00703812" w:rsidR="00B662C6" w:rsidTr="003636A9" w14:paraId="66AC004A"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D7F49AF" w14:textId="77777777">
            <w:pPr>
              <w:spacing w:line="240" w:lineRule="auto"/>
              <w:ind w:firstLine="0"/>
              <w:rPr>
                <w:rFonts w:eastAsia="Times New Roman" w:cs="Calibri"/>
                <w:color w:val="000000"/>
                <w:szCs w:val="24"/>
              </w:rPr>
            </w:pPr>
            <w:r w:rsidRPr="00703812">
              <w:rPr>
                <w:rFonts w:eastAsia="Times New Roman" w:cs="Calibri"/>
                <w:color w:val="000000"/>
                <w:szCs w:val="24"/>
              </w:rPr>
              <w:t>SDCP</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73A7D38"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15.780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9E27B1F"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09A53CA"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4.3800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2B8D4C11" w14:textId="77777777">
            <w:pPr>
              <w:spacing w:line="240" w:lineRule="auto"/>
              <w:ind w:firstLine="0"/>
              <w:jc w:val="right"/>
              <w:rPr>
                <w:rFonts w:eastAsia="Times New Roman" w:cs="Calibri"/>
                <w:color w:val="000000"/>
                <w:szCs w:val="24"/>
              </w:rPr>
            </w:pPr>
            <w:r w:rsidRPr="00703812">
              <w:rPr>
                <w:rFonts w:eastAsia="Times New Roman" w:cs="Calibri"/>
                <w:color w:val="000000"/>
                <w:szCs w:val="24"/>
              </w:rPr>
              <w:t>20.1600</w:t>
            </w:r>
          </w:p>
        </w:tc>
      </w:tr>
      <w:tr w:rsidRPr="00703812" w:rsidR="00B662C6" w:rsidTr="003636A9" w14:paraId="2811D77E"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6F940819" w14:textId="77777777">
            <w:pPr>
              <w:keepNext/>
              <w:spacing w:line="240" w:lineRule="auto"/>
              <w:ind w:firstLine="0"/>
              <w:rPr>
                <w:rFonts w:eastAsia="Times New Roman" w:cs="Calibri"/>
                <w:color w:val="000000"/>
                <w:szCs w:val="24"/>
              </w:rPr>
            </w:pPr>
            <w:r w:rsidRPr="00703812">
              <w:rPr>
                <w:rFonts w:eastAsia="Times New Roman" w:cs="Calibri"/>
                <w:color w:val="000000"/>
                <w:szCs w:val="24"/>
              </w:rPr>
              <w:lastRenderedPageBreak/>
              <w:t>SDG&amp;E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1D079288"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2.220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468D312A"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1A3F638"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0.6200</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7A2993A3"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2.8400</w:t>
            </w:r>
          </w:p>
        </w:tc>
      </w:tr>
      <w:tr w:rsidRPr="00703812" w:rsidR="00B662C6" w:rsidTr="003636A9" w14:paraId="68117D07"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4F84B93D" w14:textId="77777777">
            <w:pPr>
              <w:keepNext/>
              <w:spacing w:line="240" w:lineRule="auto"/>
              <w:ind w:firstLine="0"/>
              <w:rPr>
                <w:rFonts w:eastAsia="Times New Roman" w:cs="Calibri"/>
                <w:color w:val="000000"/>
                <w:szCs w:val="24"/>
              </w:rPr>
            </w:pPr>
            <w:r w:rsidRPr="00703812">
              <w:rPr>
                <w:rFonts w:eastAsia="Times New Roman" w:cs="Calibri"/>
                <w:color w:val="000000"/>
                <w:szCs w:val="24"/>
              </w:rPr>
              <w:t>SJCE</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1C34967"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0.000</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2BE3D201"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0.868</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5DFC452E"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N/A</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703812" w:rsidRDefault="00B662C6" w14:paraId="31F6E73A" w14:textId="77777777">
            <w:pPr>
              <w:keepNext/>
              <w:spacing w:line="240" w:lineRule="auto"/>
              <w:ind w:firstLine="0"/>
              <w:jc w:val="right"/>
              <w:rPr>
                <w:rFonts w:eastAsia="Times New Roman" w:cs="Calibri"/>
                <w:color w:val="000000"/>
                <w:szCs w:val="24"/>
              </w:rPr>
            </w:pPr>
            <w:r w:rsidRPr="00703812">
              <w:rPr>
                <w:rFonts w:eastAsia="Times New Roman" w:cs="Calibri"/>
                <w:color w:val="000000"/>
                <w:szCs w:val="24"/>
              </w:rPr>
              <w:t>0.8680</w:t>
            </w:r>
          </w:p>
        </w:tc>
      </w:tr>
      <w:tr w:rsidRPr="00703812" w:rsidR="00B662C6" w:rsidTr="003636A9" w14:paraId="5E86271B" w14:textId="77777777">
        <w:trPr>
          <w:gridAfter w:val="1"/>
          <w:wAfter w:w="10" w:type="dxa"/>
        </w:trPr>
        <w:tc>
          <w:tcPr>
            <w:tcW w:w="197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01F65109" w14:textId="77777777">
            <w:pPr>
              <w:spacing w:line="240" w:lineRule="auto"/>
              <w:ind w:firstLine="0"/>
              <w:jc w:val="right"/>
              <w:rPr>
                <w:rFonts w:eastAsia="Times New Roman" w:cs="Calibri"/>
                <w:color w:val="000000"/>
              </w:rPr>
            </w:pPr>
            <w:r w:rsidRPr="00703812">
              <w:rPr>
                <w:rFonts w:eastAsia="Times New Roman" w:cs="Calibri"/>
                <w:color w:val="000000"/>
              </w:rPr>
              <w:t>TOTAL</w:t>
            </w:r>
          </w:p>
        </w:tc>
        <w:tc>
          <w:tcPr>
            <w:tcW w:w="189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618F716D" w14:textId="77777777">
            <w:pPr>
              <w:spacing w:line="240" w:lineRule="auto"/>
              <w:ind w:firstLine="0"/>
              <w:jc w:val="right"/>
              <w:rPr>
                <w:rFonts w:eastAsia="Times New Roman" w:cs="Calibri"/>
                <w:color w:val="000000"/>
              </w:rPr>
            </w:pPr>
            <w:r w:rsidRPr="00703812">
              <w:rPr>
                <w:rFonts w:eastAsia="Times New Roman" w:cs="Calibri"/>
                <w:color w:val="000000"/>
              </w:rPr>
              <w:t>84.108</w:t>
            </w:r>
          </w:p>
        </w:tc>
        <w:tc>
          <w:tcPr>
            <w:tcW w:w="162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56FF546A" w14:textId="77777777">
            <w:pPr>
              <w:spacing w:line="240" w:lineRule="auto"/>
              <w:ind w:firstLine="0"/>
              <w:jc w:val="right"/>
              <w:rPr>
                <w:rFonts w:eastAsia="Times New Roman" w:cs="Calibri"/>
                <w:color w:val="000000"/>
              </w:rPr>
            </w:pPr>
            <w:r w:rsidRPr="00703812">
              <w:rPr>
                <w:rFonts w:eastAsia="Times New Roman" w:cs="Calibri"/>
                <w:color w:val="000000"/>
              </w:rPr>
              <w:t>37.316</w:t>
            </w:r>
          </w:p>
        </w:tc>
        <w:tc>
          <w:tcPr>
            <w:tcW w:w="1800"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1C5653FB" w14:textId="77777777">
            <w:pPr>
              <w:spacing w:line="240" w:lineRule="auto"/>
              <w:ind w:firstLine="0"/>
              <w:jc w:val="right"/>
              <w:rPr>
                <w:rFonts w:eastAsia="Times New Roman" w:cs="Calibri"/>
                <w:color w:val="000000"/>
              </w:rPr>
            </w:pPr>
            <w:r w:rsidRPr="00703812">
              <w:rPr>
                <w:rFonts w:eastAsia="Times New Roman" w:cs="Calibri"/>
                <w:color w:val="000000"/>
              </w:rPr>
              <w:t>22.6275</w:t>
            </w:r>
          </w:p>
        </w:tc>
        <w:tc>
          <w:tcPr>
            <w:tcW w:w="2065" w:type="dxa"/>
            <w:tcBorders>
              <w:top w:val="single" w:color="000000" w:sz="4" w:space="0"/>
              <w:left w:val="single" w:color="000000" w:sz="4" w:space="0"/>
              <w:bottom w:val="single" w:color="000000" w:sz="4" w:space="0"/>
              <w:right w:val="single" w:color="000000" w:sz="4" w:space="0"/>
            </w:tcBorders>
            <w:noWrap/>
            <w:vAlign w:val="bottom"/>
            <w:hideMark/>
          </w:tcPr>
          <w:p w:rsidRPr="00703812" w:rsidR="00B662C6" w:rsidP="00115798" w:rsidRDefault="00B662C6" w14:paraId="36E0861F" w14:textId="77777777">
            <w:pPr>
              <w:spacing w:line="240" w:lineRule="auto"/>
              <w:ind w:firstLine="0"/>
              <w:jc w:val="right"/>
              <w:rPr>
                <w:rFonts w:eastAsia="Times New Roman" w:cs="Calibri"/>
                <w:color w:val="000000"/>
              </w:rPr>
            </w:pPr>
            <w:r w:rsidRPr="00703812">
              <w:rPr>
                <w:rFonts w:eastAsia="Times New Roman" w:cs="Calibri"/>
                <w:color w:val="000000"/>
              </w:rPr>
              <w:t>144.0515</w:t>
            </w:r>
          </w:p>
        </w:tc>
      </w:tr>
    </w:tbl>
    <w:p w:rsidR="005E3C14" w:rsidP="005605D6" w:rsidRDefault="00C27008" w14:paraId="3E4E81B5" w14:textId="15DA869C">
      <w:pPr>
        <w:pStyle w:val="StandardTableSub"/>
      </w:pPr>
      <w:r>
        <w:t>In addressing the issue of capacity and migrating customers, the Commission considers the circumstances of SDG&amp;E. As indicated in</w:t>
      </w:r>
      <w:r w:rsidR="00D42978">
        <w:t xml:space="preserve"> the evaluation discussion</w:t>
      </w:r>
      <w:r>
        <w:t xml:space="preserve"> </w:t>
      </w:r>
      <w:r w:rsidR="00D42978">
        <w:t xml:space="preserve">above, SDG&amp;E has experienced a mass migration of customers from its service territory to the local </w:t>
      </w:r>
      <w:r w:rsidR="00FA0994">
        <w:t>CCA</w:t>
      </w:r>
      <w:r w:rsidR="00D42978">
        <w:t xml:space="preserve">. SDG&amp;E describes this situation in its opening brief noting that </w:t>
      </w:r>
      <w:r w:rsidR="00440785">
        <w:t>“</w:t>
      </w:r>
      <w:r w:rsidR="00D42978">
        <w:t xml:space="preserve">because of recent and unprecedented adoption of </w:t>
      </w:r>
      <w:r w:rsidR="00FA0994">
        <w:t>CCA</w:t>
      </w:r>
      <w:r w:rsidR="00D42978">
        <w:t xml:space="preserve"> by local governments in SDG&amp;E</w:t>
      </w:r>
      <w:r w:rsidR="00440785">
        <w:t>’</w:t>
      </w:r>
      <w:r w:rsidR="00D42978">
        <w:t>s service territory, SDG&amp;E lacks sufficient bundled customers to support these programs.</w:t>
      </w:r>
      <w:r w:rsidR="00440785">
        <w:t>”</w:t>
      </w:r>
      <w:r w:rsidR="00D42978">
        <w:rPr>
          <w:rStyle w:val="FootnoteReference"/>
        </w:rPr>
        <w:footnoteReference w:id="360"/>
      </w:r>
      <w:r w:rsidR="00D42978">
        <w:t xml:space="preserve"> SDG&amp;E asserts that </w:t>
      </w:r>
      <w:r w:rsidR="00440785">
        <w:t>“</w:t>
      </w:r>
      <w:r w:rsidR="00D42978">
        <w:t xml:space="preserve">any discounts in new </w:t>
      </w:r>
      <w:r w:rsidR="0068555C">
        <w:t>[</w:t>
      </w:r>
      <w:r w:rsidR="00D42978">
        <w:t>Green Access Program tariffs</w:t>
      </w:r>
      <w:r w:rsidR="0068555C">
        <w:t>]</w:t>
      </w:r>
      <w:r w:rsidR="00D42978">
        <w:t xml:space="preserve"> to the disadvantaged in SDG&amp;E</w:t>
      </w:r>
      <w:r w:rsidR="00440785">
        <w:t>’</w:t>
      </w:r>
      <w:r w:rsidR="00D42978">
        <w:t xml:space="preserve">s service </w:t>
      </w:r>
      <w:r w:rsidR="0068555C">
        <w:t>territory</w:t>
      </w:r>
      <w:r w:rsidR="00D42978">
        <w:t xml:space="preserve"> </w:t>
      </w:r>
      <w:r w:rsidR="0068555C">
        <w:t>would be paid for by other customers.</w:t>
      </w:r>
      <w:r w:rsidR="00440785">
        <w:t>”</w:t>
      </w:r>
      <w:r w:rsidR="0068555C">
        <w:rPr>
          <w:rStyle w:val="FootnoteReference"/>
        </w:rPr>
        <w:footnoteReference w:id="361"/>
      </w:r>
      <w:r w:rsidR="0068555C">
        <w:t xml:space="preserve"> Noting that it supports the adoption of </w:t>
      </w:r>
      <w:r w:rsidR="00AE7E21">
        <w:t xml:space="preserve">Green Access Programs </w:t>
      </w:r>
      <w:r w:rsidR="0068555C">
        <w:t xml:space="preserve">by CCA, </w:t>
      </w:r>
      <w:r w:rsidR="00D42978">
        <w:t xml:space="preserve">SDG&amp;E </w:t>
      </w:r>
      <w:r w:rsidR="0068555C">
        <w:t>requests the Commission to not require SDG&amp;E to implement any new programs and to allow it to terminate its remaining Green Access Program tariffs.</w:t>
      </w:r>
      <w:r w:rsidR="0068555C">
        <w:rPr>
          <w:rStyle w:val="FootnoteReference"/>
        </w:rPr>
        <w:footnoteReference w:id="362"/>
      </w:r>
    </w:p>
    <w:p w:rsidR="00C27008" w:rsidP="00AC6E92" w:rsidRDefault="0068555C" w14:paraId="735C3EE2" w14:textId="7DCF6931">
      <w:pPr>
        <w:pStyle w:val="Standard"/>
      </w:pPr>
      <w:r>
        <w:t xml:space="preserve">The Commission agrees that </w:t>
      </w:r>
      <w:bookmarkStart w:name="_Hlk158214474" w:id="236"/>
      <w:r>
        <w:t>SDG&amp;E</w:t>
      </w:r>
      <w:r w:rsidR="00440785">
        <w:t>’</w:t>
      </w:r>
      <w:r>
        <w:t xml:space="preserve">s small customer base may not support participation and could result in the small volume of bundled customers being unfairly burdened by the costs associated with </w:t>
      </w:r>
      <w:r w:rsidR="00774B4F">
        <w:t>Green Access Program</w:t>
      </w:r>
      <w:r>
        <w:t xml:space="preserve"> </w:t>
      </w:r>
      <w:r w:rsidR="00523A50">
        <w:lastRenderedPageBreak/>
        <w:t>tariffs</w:t>
      </w:r>
      <w:bookmarkEnd w:id="236"/>
      <w:r w:rsidR="00523A50">
        <w:t>.</w:t>
      </w:r>
      <w:r w:rsidR="00523A50">
        <w:rPr>
          <w:rStyle w:val="FootnoteReference"/>
        </w:rPr>
        <w:footnoteReference w:id="363"/>
      </w:r>
      <w:r w:rsidR="00523A50">
        <w:t xml:space="preserve"> Accordingly, </w:t>
      </w:r>
      <w:bookmarkStart w:name="_Hlk158214605" w:id="237"/>
      <w:r w:rsidR="00523A50">
        <w:t>this decision does not allocate additional capacity to SDG&amp;E as the result of the changes adopted for the modified DAC</w:t>
      </w:r>
      <w:r w:rsidR="003D6EF8">
        <w:noBreakHyphen/>
      </w:r>
      <w:r w:rsidR="00523A50">
        <w:t xml:space="preserve">GT. This decision allows for the facilitation of participating </w:t>
      </w:r>
      <w:r w:rsidR="00FA0994">
        <w:t>CCAs</w:t>
      </w:r>
      <w:r w:rsidR="00523A50">
        <w:t xml:space="preserve"> within the SDG&amp;E territor</w:t>
      </w:r>
      <w:r w:rsidR="00B662C6">
        <w:t>y</w:t>
      </w:r>
      <w:r w:rsidR="00523A50">
        <w:t xml:space="preserve">. </w:t>
      </w:r>
      <w:r w:rsidR="008E4EB6">
        <w:t>Further, this decision allows SDG&amp;E to terminate its CSGT and DAC</w:t>
      </w:r>
      <w:r w:rsidR="003D6EF8">
        <w:noBreakHyphen/>
      </w:r>
      <w:r w:rsidR="008E4EB6">
        <w:t>GT programs to its bundled customers</w:t>
      </w:r>
      <w:r w:rsidR="00157790">
        <w:t xml:space="preserve">. </w:t>
      </w:r>
      <w:bookmarkEnd w:id="237"/>
      <w:r w:rsidR="00537BDB">
        <w:t xml:space="preserve">However, </w:t>
      </w:r>
      <w:r w:rsidR="00157790">
        <w:t xml:space="preserve">SDG&amp;E </w:t>
      </w:r>
      <w:bookmarkStart w:name="_Hlk158291696" w:id="238"/>
      <w:r w:rsidR="00537BDB">
        <w:t xml:space="preserve">shall </w:t>
      </w:r>
      <w:r w:rsidR="008E4EB6">
        <w:t xml:space="preserve">continue </w:t>
      </w:r>
      <w:r w:rsidR="00157790">
        <w:t xml:space="preserve">its cooperation with any </w:t>
      </w:r>
      <w:r w:rsidR="00FA0994">
        <w:t>CCA</w:t>
      </w:r>
      <w:r w:rsidR="00157790">
        <w:t xml:space="preserve"> that seeks to offer these Green Access Program tariffs in its territory by </w:t>
      </w:r>
      <w:r w:rsidR="00B662C6">
        <w:t xml:space="preserve">proposing a venue in which to seek cost recovery as part of its </w:t>
      </w:r>
      <w:r w:rsidR="00440785">
        <w:t>Tier 2</w:t>
      </w:r>
      <w:r w:rsidR="00575D35">
        <w:t xml:space="preserve"> Advice Letter</w:t>
      </w:r>
      <w:r w:rsidR="00157790">
        <w:t xml:space="preserve"> </w:t>
      </w:r>
      <w:r w:rsidR="00B662C6">
        <w:t>updating its Green Access Program tariffs</w:t>
      </w:r>
      <w:bookmarkEnd w:id="238"/>
      <w:r w:rsidR="00B662C6">
        <w:t xml:space="preserve"> due</w:t>
      </w:r>
      <w:r w:rsidR="00537BDB">
        <w:t xml:space="preserve"> no later than 60 days after the adoption of this decision.</w:t>
      </w:r>
    </w:p>
    <w:p w:rsidR="007E1E94" w:rsidP="00AC6E92" w:rsidRDefault="007E1E94" w14:paraId="66330872" w14:textId="580C250B">
      <w:pPr>
        <w:pStyle w:val="Standard"/>
      </w:pPr>
      <w:r>
        <w:t xml:space="preserve">With respect to procurement for this capacity, parties discussed solicitation frequency, which is currently biannual. SCE highlighted that changing the frequency of solicitations is consistent with recommendations in </w:t>
      </w:r>
      <w:bookmarkStart w:name="_Hlk158214777" w:id="239"/>
      <w:r>
        <w:t>the DAC</w:t>
      </w:r>
      <w:r w:rsidR="003D6EF8">
        <w:noBreakHyphen/>
      </w:r>
      <w:r>
        <w:t>GT and CSGT Process Evaluation report</w:t>
      </w:r>
      <w:bookmarkEnd w:id="239"/>
      <w:r>
        <w:t>.</w:t>
      </w:r>
      <w:r>
        <w:rPr>
          <w:rStyle w:val="FootnoteReference"/>
        </w:rPr>
        <w:footnoteReference w:id="364"/>
      </w:r>
      <w:r>
        <w:t xml:space="preserve"> This decision adopts the recommendation </w:t>
      </w:r>
      <w:bookmarkStart w:name="_Hlk158214808" w:id="240"/>
      <w:r>
        <w:t xml:space="preserve">to </w:t>
      </w:r>
      <w:bookmarkStart w:name="_Hlk158292491" w:id="241"/>
      <w:r>
        <w:t xml:space="preserve">decrease the frequency of solicitations to </w:t>
      </w:r>
      <w:r w:rsidR="00B662C6">
        <w:t xml:space="preserve">a minimum of </w:t>
      </w:r>
      <w:r>
        <w:t xml:space="preserve">once a year </w:t>
      </w:r>
      <w:r w:rsidR="00BC5F72">
        <w:t xml:space="preserve">in order for the solicitations </w:t>
      </w:r>
      <w:r>
        <w:t>to be more effici</w:t>
      </w:r>
      <w:bookmarkEnd w:id="241"/>
      <w:r>
        <w:t>ent and</w:t>
      </w:r>
      <w:r w:rsidR="00BC5F72">
        <w:t xml:space="preserve">, </w:t>
      </w:r>
      <w:r>
        <w:t xml:space="preserve">as stated in the evaluation report, </w:t>
      </w:r>
      <w:r w:rsidR="00BC5F72">
        <w:t>to be on a more predictable schedule that allows time for developers to prepare and submit offers.</w:t>
      </w:r>
      <w:bookmarkEnd w:id="240"/>
      <w:r w:rsidR="00BC5F72">
        <w:rPr>
          <w:rStyle w:val="FootnoteReference"/>
        </w:rPr>
        <w:footnoteReference w:id="365"/>
      </w:r>
    </w:p>
    <w:p w:rsidR="00E507D7" w:rsidP="00AC6E92" w:rsidRDefault="00AB6113" w14:paraId="52A38334" w14:textId="7A7EDE6A">
      <w:pPr>
        <w:pStyle w:val="Standard"/>
      </w:pPr>
      <w:r>
        <w:t>Several parties discuss the proposal for a sunset date for the existing DAC</w:t>
      </w:r>
      <w:r w:rsidR="003D6EF8">
        <w:noBreakHyphen/>
      </w:r>
      <w:r>
        <w:t xml:space="preserve">GT. In the existing tariffs, Utilities would no longer take new subscriptions when the capacity cap is fully procured. </w:t>
      </w:r>
      <w:r w:rsidR="00E507D7">
        <w:t xml:space="preserve">Contending that the tariffs have failed the evaluation, </w:t>
      </w:r>
      <w:r w:rsidR="002917E2">
        <w:t>Cal Advoc</w:t>
      </w:r>
      <w:r w:rsidR="00E507D7">
        <w:t>ates recommends establishing a sunset for all the existing tariffs.</w:t>
      </w:r>
      <w:r w:rsidR="00E507D7">
        <w:rPr>
          <w:rStyle w:val="FootnoteReference"/>
        </w:rPr>
        <w:footnoteReference w:id="366"/>
      </w:r>
      <w:r w:rsidR="00E507D7">
        <w:t xml:space="preserve"> </w:t>
      </w:r>
      <w:r>
        <w:t xml:space="preserve">SCE proposes that </w:t>
      </w:r>
      <w:r w:rsidR="006B4D58">
        <w:t xml:space="preserve">should </w:t>
      </w:r>
      <w:r>
        <w:t xml:space="preserve">the remaining </w:t>
      </w:r>
      <w:r w:rsidR="006B4D58">
        <w:t xml:space="preserve">capacity </w:t>
      </w:r>
      <w:r>
        <w:t xml:space="preserve">for the tariff </w:t>
      </w:r>
      <w:r>
        <w:lastRenderedPageBreak/>
        <w:t>fall below 500</w:t>
      </w:r>
      <w:r w:rsidR="004336ED">
        <w:t> kW</w:t>
      </w:r>
      <w:r>
        <w:t xml:space="preserve">, SCE would automatically sunset program </w:t>
      </w:r>
      <w:r w:rsidR="00AE7E21">
        <w:t xml:space="preserve">procurement </w:t>
      </w:r>
      <w:r>
        <w:t>without the need for any further solicitations.</w:t>
      </w:r>
      <w:r>
        <w:rPr>
          <w:rStyle w:val="FootnoteReference"/>
        </w:rPr>
        <w:footnoteReference w:id="367"/>
      </w:r>
      <w:r>
        <w:t xml:space="preserve"> PG&amp;E recommends submission of an advice letter when </w:t>
      </w:r>
      <w:r w:rsidR="00D560E2">
        <w:t>a utility</w:t>
      </w:r>
      <w:r w:rsidR="00440785">
        <w:t>’</w:t>
      </w:r>
      <w:r w:rsidR="00D560E2">
        <w:t xml:space="preserve">s </w:t>
      </w:r>
      <w:r>
        <w:t>capacity drops to three megawatts or less and there has been no participation by developers in two consecutive solicitations.</w:t>
      </w:r>
      <w:r>
        <w:rPr>
          <w:rStyle w:val="FootnoteReference"/>
        </w:rPr>
        <w:footnoteReference w:id="368"/>
      </w:r>
      <w:r w:rsidR="00D560E2">
        <w:t xml:space="preserve"> PG&amp;E also proposes that, upon expiration of the DAC</w:t>
      </w:r>
      <w:r w:rsidR="003D6EF8">
        <w:noBreakHyphen/>
      </w:r>
      <w:r w:rsidR="00D560E2">
        <w:t xml:space="preserve">GT and CSGT contracts, </w:t>
      </w:r>
      <w:r w:rsidR="006B4D58">
        <w:t>Utilities</w:t>
      </w:r>
      <w:r w:rsidR="00D560E2">
        <w:t xml:space="preserve"> would use R</w:t>
      </w:r>
      <w:r w:rsidR="00537BDB">
        <w:t>P</w:t>
      </w:r>
      <w:r w:rsidR="00D560E2">
        <w:t>S</w:t>
      </w:r>
      <w:r w:rsidR="008906BC">
        <w:t xml:space="preserve"> </w:t>
      </w:r>
      <w:r w:rsidR="00D560E2">
        <w:t xml:space="preserve">resources to bridge any capacity shortfalls. </w:t>
      </w:r>
      <w:r w:rsidR="00E507D7">
        <w:t>PG&amp;E contends that a clear sunset for a successor program is needed to clarify how subscribers are to be served as contracts for dedicated facilities expire.</w:t>
      </w:r>
      <w:r w:rsidR="00E507D7">
        <w:rPr>
          <w:rStyle w:val="FootnoteReference"/>
        </w:rPr>
        <w:footnoteReference w:id="369"/>
      </w:r>
    </w:p>
    <w:p w:rsidR="00FA1188" w:rsidP="00F7557A" w:rsidRDefault="00D560E2" w14:paraId="5A718864" w14:textId="26432E8F">
      <w:pPr>
        <w:pStyle w:val="Standard"/>
      </w:pPr>
      <w:r>
        <w:t xml:space="preserve">The Commission agrees that </w:t>
      </w:r>
      <w:bookmarkStart w:name="_Hlk158214937" w:id="242"/>
      <w:r w:rsidR="00CF0BD4">
        <w:t>the implementation of a</w:t>
      </w:r>
      <w:r>
        <w:t xml:space="preserve"> tariff sunset is advisable</w:t>
      </w:r>
      <w:r w:rsidR="00E507D7">
        <w:t xml:space="preserve"> to </w:t>
      </w:r>
      <w:r w:rsidR="008D073C">
        <w:t xml:space="preserve">provide </w:t>
      </w:r>
      <w:r w:rsidR="00E507D7">
        <w:t>clarity to subscribers</w:t>
      </w:r>
      <w:r w:rsidR="00CF0BD4">
        <w:t>.</w:t>
      </w:r>
      <w:bookmarkEnd w:id="242"/>
      <w:r w:rsidR="00E507D7">
        <w:t xml:space="preserve"> Accordingly, </w:t>
      </w:r>
      <w:bookmarkStart w:name="_Hlk158292584" w:id="243"/>
      <w:r w:rsidR="00E507D7">
        <w:t>when the remaining capacity for the modified DAC</w:t>
      </w:r>
      <w:r w:rsidR="003D6EF8">
        <w:noBreakHyphen/>
      </w:r>
      <w:r w:rsidR="00E507D7">
        <w:t xml:space="preserve">GT reaches </w:t>
      </w:r>
      <w:r w:rsidR="001C62AE">
        <w:t>500</w:t>
      </w:r>
      <w:r w:rsidR="004336ED">
        <w:t> kW</w:t>
      </w:r>
      <w:r w:rsidR="006B4D58">
        <w:t>, or less,</w:t>
      </w:r>
      <w:r w:rsidR="001C62AE">
        <w:t xml:space="preserve"> </w:t>
      </w:r>
      <w:r w:rsidR="006B4D58">
        <w:t xml:space="preserve">or </w:t>
      </w:r>
      <w:r w:rsidR="001C62AE">
        <w:t xml:space="preserve">there has been no participation by developers in two consecutive solicitations, </w:t>
      </w:r>
      <w:r w:rsidR="006B4D58">
        <w:t>Utilities</w:t>
      </w:r>
      <w:r w:rsidR="001C62AE">
        <w:t xml:space="preserve"> shall submit a </w:t>
      </w:r>
      <w:r w:rsidR="00440785">
        <w:t>Tier 1</w:t>
      </w:r>
      <w:r w:rsidR="001C62AE">
        <w:t xml:space="preserve"> Advice Letter informing the Commission that the modified DAC</w:t>
      </w:r>
      <w:r w:rsidR="003D6EF8">
        <w:noBreakHyphen/>
      </w:r>
      <w:r w:rsidR="001C62AE">
        <w:t xml:space="preserve">GT </w:t>
      </w:r>
      <w:r w:rsidR="008A3244">
        <w:t>solicitations have been suspended</w:t>
      </w:r>
      <w:r w:rsidR="006B4D58">
        <w:t xml:space="preserve"> and that, pursuant to this decision, the DAC</w:t>
      </w:r>
      <w:r w:rsidR="003D6EF8">
        <w:noBreakHyphen/>
      </w:r>
      <w:r w:rsidR="006B4D58">
        <w:t>GT program is sunsetting</w:t>
      </w:r>
      <w:r w:rsidR="001C62AE">
        <w:t>.</w:t>
      </w:r>
      <w:bookmarkEnd w:id="243"/>
      <w:r w:rsidR="00157790">
        <w:t xml:space="preserve"> </w:t>
      </w:r>
      <w:bookmarkStart w:name="_Hlk160194308" w:id="244"/>
      <w:r w:rsidR="00157790">
        <w:t xml:space="preserve">However, the Commission declines to adopt </w:t>
      </w:r>
      <w:bookmarkStart w:name="_Hlk158214984" w:id="245"/>
      <w:r w:rsidR="00157790">
        <w:t xml:space="preserve">the </w:t>
      </w:r>
      <w:r w:rsidR="005E3C14">
        <w:t xml:space="preserve">PG&amp;E proposed </w:t>
      </w:r>
      <w:r w:rsidR="00157790">
        <w:t xml:space="preserve">use of </w:t>
      </w:r>
      <w:r w:rsidR="00C02916">
        <w:t xml:space="preserve">RPS </w:t>
      </w:r>
      <w:r w:rsidR="00157790">
        <w:t xml:space="preserve">resources </w:t>
      </w:r>
      <w:r w:rsidR="005E3C14">
        <w:t>to bridge capacity shortfalls due to the lack of record on how to determine when PG&amp;E should procure additional resources.</w:t>
      </w:r>
      <w:bookmarkEnd w:id="244"/>
      <w:bookmarkEnd w:id="245"/>
    </w:p>
    <w:p w:rsidR="001B67AC" w:rsidP="00AC6E92" w:rsidRDefault="001B67AC" w14:paraId="1FD2724B" w14:textId="6A389A13">
      <w:pPr>
        <w:pStyle w:val="Standard"/>
      </w:pPr>
      <w:r>
        <w:t>Implementation of the</w:t>
      </w:r>
      <w:r w:rsidR="00523A50">
        <w:t xml:space="preserve"> modified DAC</w:t>
      </w:r>
      <w:r w:rsidR="003D6EF8">
        <w:noBreakHyphen/>
      </w:r>
      <w:r w:rsidR="00523A50">
        <w:t xml:space="preserve">GT </w:t>
      </w:r>
      <w:r>
        <w:t xml:space="preserve">is discussed in </w:t>
      </w:r>
      <w:r w:rsidR="003627A8">
        <w:t>Section </w:t>
      </w:r>
      <w:r>
        <w:t>3.4.</w:t>
      </w:r>
      <w:r w:rsidR="00867D68">
        <w:t>6</w:t>
      </w:r>
      <w:r>
        <w:t>.</w:t>
      </w:r>
      <w:r w:rsidR="00867D68">
        <w:t>4</w:t>
      </w:r>
      <w:r>
        <w:t>.</w:t>
      </w:r>
    </w:p>
    <w:p w:rsidR="00857AFE" w:rsidP="001B1E90" w:rsidRDefault="00857AFE" w14:paraId="4F36B7BB" w14:textId="6A6CA757">
      <w:pPr>
        <w:pStyle w:val="Heading4"/>
      </w:pPr>
      <w:bookmarkStart w:name="_Toc159551203" w:id="246"/>
      <w:bookmarkStart w:name="_Toc168559321" w:id="247"/>
      <w:r>
        <w:t>Modified Green Tariff</w:t>
      </w:r>
      <w:bookmarkEnd w:id="246"/>
      <w:bookmarkEnd w:id="247"/>
    </w:p>
    <w:p w:rsidR="00BA58BF" w:rsidP="00AC6E92" w:rsidRDefault="00913F87" w14:paraId="63202648" w14:textId="3ABA4AA9">
      <w:pPr>
        <w:pStyle w:val="Standard"/>
      </w:pPr>
      <w:r>
        <w:t>Turning to</w:t>
      </w:r>
      <w:r w:rsidR="00EE6379">
        <w:t xml:space="preserve"> the needs of</w:t>
      </w:r>
      <w:r w:rsidR="00C61733">
        <w:t xml:space="preserve"> non</w:t>
      </w:r>
      <w:r w:rsidR="003D6EF8">
        <w:noBreakHyphen/>
      </w:r>
      <w:r w:rsidR="00C61733">
        <w:t>low</w:t>
      </w:r>
      <w:r w:rsidR="003D6EF8">
        <w:noBreakHyphen/>
      </w:r>
      <w:r w:rsidR="00C61733">
        <w:t xml:space="preserve">income </w:t>
      </w:r>
      <w:r w:rsidR="00FA1188">
        <w:t xml:space="preserve">customers </w:t>
      </w:r>
      <w:r w:rsidR="00C61733">
        <w:t>who have not had access to renewable energy</w:t>
      </w:r>
      <w:r w:rsidR="00B20734">
        <w:t xml:space="preserve">, </w:t>
      </w:r>
      <w:r w:rsidR="007554E9">
        <w:t>this decision</w:t>
      </w:r>
      <w:r w:rsidR="00F06557">
        <w:t xml:space="preserve"> </w:t>
      </w:r>
      <w:r w:rsidR="00C61733">
        <w:t xml:space="preserve">approves </w:t>
      </w:r>
      <w:r w:rsidR="003472F5">
        <w:t xml:space="preserve">the second </w:t>
      </w:r>
      <w:r w:rsidR="007554E9">
        <w:t>tariff of the Commission</w:t>
      </w:r>
      <w:r w:rsidR="00440785">
        <w:t>’</w:t>
      </w:r>
      <w:r w:rsidR="007554E9">
        <w:t>s p</w:t>
      </w:r>
      <w:r w:rsidR="003472F5">
        <w:t>ortfolio</w:t>
      </w:r>
      <w:r w:rsidR="007554E9">
        <w:t xml:space="preserve"> of renewable energy programs</w:t>
      </w:r>
      <w:r w:rsidR="003472F5">
        <w:t xml:space="preserve">, </w:t>
      </w:r>
      <w:r w:rsidR="00C61733">
        <w:t xml:space="preserve">a modified Green Tariff </w:t>
      </w:r>
      <w:r w:rsidR="00806DAA">
        <w:t xml:space="preserve">with the objective of </w:t>
      </w:r>
      <w:r w:rsidR="00DC712C">
        <w:t>improv</w:t>
      </w:r>
      <w:r w:rsidR="00806DAA">
        <w:t xml:space="preserve">ing </w:t>
      </w:r>
      <w:r w:rsidR="00DC712C">
        <w:t>the outcomes of the evaluation</w:t>
      </w:r>
      <w:r w:rsidR="00806DAA">
        <w:t xml:space="preserve">, </w:t>
      </w:r>
      <w:r w:rsidR="00DC712C">
        <w:t xml:space="preserve">including </w:t>
      </w:r>
      <w:r w:rsidR="00C61733">
        <w:lastRenderedPageBreak/>
        <w:t>ensur</w:t>
      </w:r>
      <w:r w:rsidR="00DC712C">
        <w:t>ing more</w:t>
      </w:r>
      <w:r w:rsidR="00C61733">
        <w:t xml:space="preserve"> predictable rates and focus</w:t>
      </w:r>
      <w:r w:rsidR="00DC712C">
        <w:t>ing</w:t>
      </w:r>
      <w:r w:rsidR="00C61733">
        <w:t xml:space="preserve"> on improved </w:t>
      </w:r>
      <w:r w:rsidR="008A1B6F">
        <w:t>solicitation efforts</w:t>
      </w:r>
      <w:r w:rsidR="00C61733">
        <w:t xml:space="preserve"> by integrating with the Integrated Resources Planning procurement process. </w:t>
      </w:r>
      <w:r w:rsidR="003472F5">
        <w:t>In addition</w:t>
      </w:r>
      <w:r w:rsidR="00DC712C">
        <w:t xml:space="preserve">, this decision </w:t>
      </w:r>
      <w:r w:rsidR="00FA1188">
        <w:t xml:space="preserve">closes </w:t>
      </w:r>
      <w:r w:rsidR="00DC712C">
        <w:t xml:space="preserve">the ECR tariff </w:t>
      </w:r>
      <w:r w:rsidR="00FA1188">
        <w:t xml:space="preserve">to new procurement not currently under negotiation or contract </w:t>
      </w:r>
      <w:r w:rsidR="00DC712C">
        <w:t>due to the findings of the evaluation (</w:t>
      </w:r>
      <w:r w:rsidRPr="00150E4C" w:rsidR="00150E4C">
        <w:rPr>
          <w:i/>
          <w:iCs/>
        </w:rPr>
        <w:t>e.g.</w:t>
      </w:r>
      <w:r w:rsidR="00DC712C">
        <w:t>, duplicative of the Green Tariff, low enrollment</w:t>
      </w:r>
      <w:r w:rsidR="00B23176">
        <w:t> —</w:t>
      </w:r>
      <w:r w:rsidR="00DC712C">
        <w:t xml:space="preserve"> especially low</w:t>
      </w:r>
      <w:r w:rsidR="003D6EF8">
        <w:noBreakHyphen/>
      </w:r>
      <w:r w:rsidR="00DC712C">
        <w:t>income participants, and failure to efficiently serve any distinct customer group).</w:t>
      </w:r>
    </w:p>
    <w:p w:rsidR="004E3AAF" w:rsidP="004E3AAF" w:rsidRDefault="004E3AAF" w14:paraId="7ECCA22F" w14:textId="1CD0F5C5">
      <w:pPr>
        <w:pStyle w:val="Standard"/>
      </w:pPr>
      <w:r>
        <w:t>To begin</w:t>
      </w:r>
      <w:r w:rsidR="00C75BDF">
        <w:t xml:space="preserve">, this decision points to AB 2838, which authorizes the Commission to terminate the Green Tariff. The Commission exercises that authority </w:t>
      </w:r>
      <w:r w:rsidR="002B58EE">
        <w:t>and</w:t>
      </w:r>
      <w:r w:rsidR="00C75BDF">
        <w:t xml:space="preserve"> establishes a new </w:t>
      </w:r>
      <w:r w:rsidR="002B58EE">
        <w:t xml:space="preserve">but </w:t>
      </w:r>
      <w:r w:rsidR="00C75BDF">
        <w:t>modified Green Tariff. While the modified Green Tariff retains several elements of the prior tariff, the Commission removes other elements that have constrained the success of the tariff. For example, the modified Green Tariff does not require that only purpose-built dedicated resources beyond an interim period can be used to serve Green Tariff customers.</w:t>
      </w:r>
      <w:r w:rsidR="00C75BDF">
        <w:rPr>
          <w:rStyle w:val="FootnoteReference"/>
        </w:rPr>
        <w:footnoteReference w:id="370"/>
      </w:r>
      <w:r>
        <w:t xml:space="preserve"> Accordingly, while</w:t>
      </w:r>
      <w:r w:rsidRPr="004E3AAF">
        <w:t xml:space="preserve"> </w:t>
      </w:r>
      <w:r w:rsidRPr="000617A4">
        <w:rPr>
          <w:szCs w:val="26"/>
        </w:rPr>
        <w:t>participation in the modified Green Tariff must still result in commensurate, incremental green power generation, the modified Green Tariff does not require a strict, direct causation between customer enrollment and program-specific procurement. This restriction may have contributed to the program’s limited performance.</w:t>
      </w:r>
    </w:p>
    <w:p w:rsidR="00F06557" w:rsidP="00AC6E92" w:rsidRDefault="003472F5" w14:paraId="19221FF4" w14:textId="0E0DDFBF">
      <w:pPr>
        <w:pStyle w:val="Standard"/>
      </w:pPr>
      <w:r>
        <w:t>The modified Green Tariff</w:t>
      </w:r>
      <w:r w:rsidR="00C61733">
        <w:t xml:space="preserve"> will be targeted to market</w:t>
      </w:r>
      <w:r w:rsidR="003D6EF8">
        <w:noBreakHyphen/>
      </w:r>
      <w:r w:rsidR="00C61733">
        <w:t xml:space="preserve">rate customers </w:t>
      </w:r>
      <w:r w:rsidR="00DC712C">
        <w:t xml:space="preserve">only </w:t>
      </w:r>
      <w:r w:rsidR="00C61733">
        <w:t>and therefore is cost neutral</w:t>
      </w:r>
      <w:r w:rsidR="008A1B6F">
        <w:t xml:space="preserve">, </w:t>
      </w:r>
      <w:r w:rsidRPr="00150E4C" w:rsidR="00150E4C">
        <w:rPr>
          <w:i/>
          <w:iCs/>
        </w:rPr>
        <w:t>i.e.</w:t>
      </w:r>
      <w:r w:rsidR="008A1B6F">
        <w:t xml:space="preserve">, all costs </w:t>
      </w:r>
      <w:r w:rsidR="00DC712C">
        <w:t>shall be</w:t>
      </w:r>
      <w:r w:rsidR="008A1B6F">
        <w:t xml:space="preserve"> recovered by participating customer subscribers</w:t>
      </w:r>
      <w:r w:rsidR="004E3AAF">
        <w:t xml:space="preserve"> through a simplified, streamlined rate design based on the annual final RPS Market Price Benchmark</w:t>
      </w:r>
      <w:r w:rsidR="00C61733">
        <w:t>.</w:t>
      </w:r>
      <w:r w:rsidR="008A1B6F">
        <w:t xml:space="preserve"> </w:t>
      </w:r>
      <w:r w:rsidR="004E3AAF">
        <w:t xml:space="preserve">The modified Green Tariff requires Utilities to ensure that program costs and revenues are fully transparent and auditable. </w:t>
      </w:r>
      <w:r w:rsidR="008A1B6F">
        <w:t xml:space="preserve">Because </w:t>
      </w:r>
      <w:r w:rsidR="006B4D58">
        <w:t xml:space="preserve">Green Tariff participants </w:t>
      </w:r>
      <w:r w:rsidR="008A1B6F">
        <w:t xml:space="preserve">will be responsible for all costs, the </w:t>
      </w:r>
      <w:r w:rsidR="008A1B6F">
        <w:lastRenderedPageBreak/>
        <w:t>Commission does not prescribe location requirements for the solicited resources, except that the resources and customers be in the same investor</w:t>
      </w:r>
      <w:r w:rsidR="003D6EF8">
        <w:noBreakHyphen/>
      </w:r>
      <w:r w:rsidR="008A1B6F">
        <w:t>owned utility service territory.</w:t>
      </w:r>
      <w:r w:rsidR="00DC712C">
        <w:t xml:space="preserve"> </w:t>
      </w:r>
      <w:r>
        <w:t>The details of the modified Green Tariff are discussed further below.</w:t>
      </w:r>
    </w:p>
    <w:p w:rsidR="00CB2ED6" w:rsidP="00AC6E92" w:rsidRDefault="003472F5" w14:paraId="4CC012CD" w14:textId="0A4A12CB">
      <w:pPr>
        <w:pStyle w:val="Standard"/>
      </w:pPr>
      <w:r>
        <w:t>I</w:t>
      </w:r>
      <w:r w:rsidR="00F06557">
        <w:t xml:space="preserve">n the evaluation of the </w:t>
      </w:r>
      <w:r w:rsidR="003C20EB">
        <w:t xml:space="preserve">existing </w:t>
      </w:r>
      <w:r w:rsidR="00F06557">
        <w:t xml:space="preserve">Green Tariff, Utilities state that their respective </w:t>
      </w:r>
      <w:r w:rsidR="003917EA">
        <w:t>tariffs</w:t>
      </w:r>
      <w:r w:rsidR="00F06557">
        <w:t xml:space="preserve"> </w:t>
      </w:r>
      <w:r w:rsidR="003917EA">
        <w:t>had success early on but, for multiple reasons, have experienced participation decline</w:t>
      </w:r>
      <w:r w:rsidR="00F06557">
        <w:t xml:space="preserve">. </w:t>
      </w:r>
      <w:r w:rsidR="003917EA">
        <w:t>For example</w:t>
      </w:r>
      <w:r w:rsidR="00DC712C">
        <w:t>,</w:t>
      </w:r>
      <w:r w:rsidR="003917EA">
        <w:t xml:space="preserve"> due to the migration of a large percentage of SDG&amp;E</w:t>
      </w:r>
      <w:r w:rsidR="00440785">
        <w:t>’</w:t>
      </w:r>
      <w:r w:rsidR="003917EA">
        <w:t>s customers to the local CCA</w:t>
      </w:r>
      <w:r w:rsidR="00537BDB">
        <w:t xml:space="preserve"> and the requirement for GTSR expenses to be captured by the decreasing number of remaining bundled customers</w:t>
      </w:r>
      <w:r w:rsidR="003917EA">
        <w:t xml:space="preserve">, the resulting rate for the tariff </w:t>
      </w:r>
      <w:r w:rsidR="00537BDB">
        <w:t>increased sharply</w:t>
      </w:r>
      <w:r w:rsidR="003917EA">
        <w:t>, which led to further attrition and program suspension in 2022.</w:t>
      </w:r>
      <w:r w:rsidR="003917EA">
        <w:rPr>
          <w:rStyle w:val="FootnoteReference"/>
        </w:rPr>
        <w:footnoteReference w:id="371"/>
      </w:r>
      <w:r w:rsidR="003917EA">
        <w:t xml:space="preserve"> In the case of PG&amp;E and SCE, both tariffs are fully subscribed </w:t>
      </w:r>
      <w:r w:rsidR="008D3841">
        <w:t>against procured</w:t>
      </w:r>
      <w:r w:rsidR="003917EA">
        <w:t xml:space="preserve"> capacity.</w:t>
      </w:r>
      <w:r w:rsidR="001E47B5">
        <w:rPr>
          <w:rStyle w:val="FootnoteReference"/>
        </w:rPr>
        <w:footnoteReference w:id="372"/>
      </w:r>
    </w:p>
    <w:p w:rsidR="003C20EB" w:rsidP="00AC6E92" w:rsidRDefault="001E47B5" w14:paraId="23A5EB0B" w14:textId="56661B36">
      <w:pPr>
        <w:pStyle w:val="Standard"/>
      </w:pPr>
      <w:r>
        <w:t xml:space="preserve">The evaluation of the </w:t>
      </w:r>
      <w:r w:rsidR="003C20EB">
        <w:t xml:space="preserve">existing </w:t>
      </w:r>
      <w:r>
        <w:t xml:space="preserve">Green Tariff also discussed the concern of rate volatility. PG&amp;E states that </w:t>
      </w:r>
      <w:bookmarkStart w:name="_Hlk158216736" w:id="248"/>
      <w:r w:rsidR="006E01EB">
        <w:t xml:space="preserve">due to </w:t>
      </w:r>
      <w:r w:rsidR="00537BDB">
        <w:t>a substantial change in commodity rates that flowed through to result in an overall lower GTSR rate</w:t>
      </w:r>
      <w:r w:rsidR="008756E4">
        <w:t xml:space="preserve"> for customers</w:t>
      </w:r>
      <w:r w:rsidR="00537BDB">
        <w:t>, which was lower tha</w:t>
      </w:r>
      <w:r w:rsidR="00C41B54">
        <w:t>n</w:t>
      </w:r>
      <w:r w:rsidR="00537BDB">
        <w:t xml:space="preserve"> the otherwise applicable rate at the end of 2020, enrollment greatly increased </w:t>
      </w:r>
      <w:r w:rsidR="006E01EB">
        <w:t>between December 2020 and April 2021</w:t>
      </w:r>
      <w:r w:rsidR="00C41B54">
        <w:t xml:space="preserve"> and</w:t>
      </w:r>
      <w:r w:rsidR="006E01EB">
        <w:t xml:space="preserve"> participating customers experienced an increase in their bill credits. This created a surge in enrollments to the tariff, which </w:t>
      </w:r>
      <w:r w:rsidR="00537BDB">
        <w:t>exceeded the available d</w:t>
      </w:r>
      <w:r w:rsidR="003472F5">
        <w:t>e</w:t>
      </w:r>
      <w:r w:rsidR="00537BDB">
        <w:t>dicated capacity</w:t>
      </w:r>
      <w:r w:rsidR="006E01EB">
        <w:t>.</w:t>
      </w:r>
      <w:bookmarkEnd w:id="248"/>
      <w:r w:rsidR="006E01EB">
        <w:rPr>
          <w:rStyle w:val="FootnoteReference"/>
        </w:rPr>
        <w:footnoteReference w:id="373"/>
      </w:r>
    </w:p>
    <w:p w:rsidR="00BA58BF" w:rsidP="00AC6E92" w:rsidRDefault="006E01EB" w14:paraId="633807EA" w14:textId="507059A5">
      <w:pPr>
        <w:pStyle w:val="Standard"/>
      </w:pPr>
      <w:r>
        <w:t>To combat the rate volatility, PG&amp;E propose</w:t>
      </w:r>
      <w:r w:rsidR="002750E9">
        <w:t>s two efforts</w:t>
      </w:r>
      <w:r w:rsidR="005D30D7">
        <w:t xml:space="preserve">: </w:t>
      </w:r>
      <w:r w:rsidR="00C41B54">
        <w:t>(</w:t>
      </w:r>
      <w:r w:rsidR="002750E9">
        <w:t>1) increase the capacity for the tariff to 272</w:t>
      </w:r>
      <w:r w:rsidR="00FB4CF7">
        <w:t> MW</w:t>
      </w:r>
      <w:r w:rsidR="002750E9">
        <w:t xml:space="preserve">, with flexibility to raise the cap higher, and </w:t>
      </w:r>
      <w:r w:rsidR="00C41B54">
        <w:t>(</w:t>
      </w:r>
      <w:r w:rsidR="002750E9">
        <w:t>2)</w:t>
      </w:r>
      <w:r w:rsidR="00B052FA">
        <w:t> </w:t>
      </w:r>
      <w:r>
        <w:t>instead of procuring 100</w:t>
      </w:r>
      <w:r w:rsidR="00D376A8">
        <w:t> percent</w:t>
      </w:r>
      <w:r>
        <w:t xml:space="preserve"> new green incremental projects, allow for the procurement of resources not allocated to </w:t>
      </w:r>
      <w:r w:rsidR="00AA4ECB">
        <w:t xml:space="preserve">the </w:t>
      </w:r>
      <w:r w:rsidR="00C02916">
        <w:t xml:space="preserve">RPS </w:t>
      </w:r>
      <w:r w:rsidR="002750E9">
        <w:t xml:space="preserve">program. Here, similar to </w:t>
      </w:r>
      <w:r w:rsidR="002750E9">
        <w:lastRenderedPageBreak/>
        <w:t>SCE</w:t>
      </w:r>
      <w:r w:rsidR="00440785">
        <w:t>’</w:t>
      </w:r>
      <w:r w:rsidR="002750E9">
        <w:t xml:space="preserve">s proposal, </w:t>
      </w:r>
      <w:r w:rsidR="00CB2ED6">
        <w:t xml:space="preserve">customers remain on their otherwise applicable tariff and are </w:t>
      </w:r>
      <w:r w:rsidR="00440785">
        <w:t>“</w:t>
      </w:r>
      <w:r w:rsidR="00CB2ED6">
        <w:t>topped off</w:t>
      </w:r>
      <w:r w:rsidR="00440785">
        <w:t>”</w:t>
      </w:r>
      <w:r w:rsidR="00CB2ED6">
        <w:t xml:space="preserve"> to achieve 100</w:t>
      </w:r>
      <w:r w:rsidR="00D376A8">
        <w:t> percent</w:t>
      </w:r>
      <w:r w:rsidR="00CB2ED6">
        <w:t xml:space="preserve"> clean energy.</w:t>
      </w:r>
      <w:r w:rsidR="00CB2ED6">
        <w:rPr>
          <w:rStyle w:val="FootnoteReference"/>
        </w:rPr>
        <w:footnoteReference w:id="374"/>
      </w:r>
      <w:r w:rsidR="002750E9">
        <w:t xml:space="preserve"> </w:t>
      </w:r>
      <w:r w:rsidR="00A44EE7">
        <w:t xml:space="preserve">SCE also recommends increasing the capacity. </w:t>
      </w:r>
      <w:r w:rsidR="00CB2ED6">
        <w:t>Further, in order to ensure least</w:t>
      </w:r>
      <w:r w:rsidR="003D6EF8">
        <w:noBreakHyphen/>
      </w:r>
      <w:r w:rsidR="00CB2ED6">
        <w:t xml:space="preserve">cost best fit procurement, PG&amp;E recommends that future solicitations to meet tariff demand be coupled with procurement activities in the </w:t>
      </w:r>
      <w:r w:rsidRPr="00FD66C0" w:rsidR="00977EB2">
        <w:t>Integrated Resource Plan</w:t>
      </w:r>
      <w:r w:rsidR="00CB2ED6">
        <w:t>.</w:t>
      </w:r>
    </w:p>
    <w:p w:rsidR="009039D2" w:rsidP="00AC6E92" w:rsidRDefault="00A44EE7" w14:paraId="0C0F21BB" w14:textId="0F1E24CF">
      <w:pPr>
        <w:pStyle w:val="Standard"/>
      </w:pPr>
      <w:r>
        <w:t>The Commission finds PG&amp;E</w:t>
      </w:r>
      <w:r w:rsidR="00440785">
        <w:t>’</w:t>
      </w:r>
      <w:r>
        <w:t xml:space="preserve">s proposal </w:t>
      </w:r>
      <w:r w:rsidR="007A33DB">
        <w:t xml:space="preserve">for combatting rate volatility </w:t>
      </w:r>
      <w:r>
        <w:t xml:space="preserve">to be reasonable </w:t>
      </w:r>
      <w:r w:rsidR="00CC4472">
        <w:t>but requires</w:t>
      </w:r>
      <w:r>
        <w:t xml:space="preserve"> fine tuning. </w:t>
      </w:r>
      <w:r w:rsidR="00806DAA">
        <w:t>Again</w:t>
      </w:r>
      <w:r w:rsidR="00CC4472">
        <w:t>, t</w:t>
      </w:r>
      <w:r>
        <w:t xml:space="preserve">he Commission finds it reasonable to </w:t>
      </w:r>
      <w:r w:rsidR="000D239C">
        <w:t xml:space="preserve">disallow new projects </w:t>
      </w:r>
      <w:r w:rsidR="004633B1">
        <w:t xml:space="preserve">from </w:t>
      </w:r>
      <w:r w:rsidR="000D239C">
        <w:t xml:space="preserve">participating in </w:t>
      </w:r>
      <w:r>
        <w:t xml:space="preserve">the ECR tariff due </w:t>
      </w:r>
      <w:r w:rsidR="00754F9E">
        <w:t>to the findings of the evaluation (</w:t>
      </w:r>
      <w:r w:rsidRPr="00150E4C" w:rsidR="00150E4C">
        <w:rPr>
          <w:i/>
          <w:iCs/>
        </w:rPr>
        <w:t>e.g.</w:t>
      </w:r>
      <w:r w:rsidR="00754F9E">
        <w:t>, duplicative of the Green Tariff, low enrollment</w:t>
      </w:r>
      <w:r w:rsidR="00B23176">
        <w:t xml:space="preserve"> — </w:t>
      </w:r>
      <w:r w:rsidR="00754F9E">
        <w:t>especially low</w:t>
      </w:r>
      <w:r w:rsidR="003D6EF8">
        <w:noBreakHyphen/>
      </w:r>
      <w:r w:rsidR="00754F9E">
        <w:t xml:space="preserve">income participants, and failure to efficiently serve any distinct customer group). </w:t>
      </w:r>
      <w:r w:rsidR="004633B1">
        <w:t>However, the Commission clarifies that projects in contract or in negotiation (including shortlisted projects in existing solicitations) remain eligible to participate in the GTSR-ECR.</w:t>
      </w:r>
      <w:r w:rsidR="004633B1">
        <w:rPr>
          <w:rStyle w:val="FootnoteReference"/>
        </w:rPr>
        <w:footnoteReference w:id="375"/>
      </w:r>
      <w:r w:rsidR="004633B1">
        <w:t xml:space="preserve"> The Commission recognizes the time and resources that developers and Utilities have spent to get to that point of a solicitation and the Commission would not want to hamper future participation by stepping on such efforts. </w:t>
      </w:r>
      <w:r w:rsidR="00754F9E">
        <w:t>Accordingly, t</w:t>
      </w:r>
      <w:r>
        <w:t xml:space="preserve">he Commission reassigns the </w:t>
      </w:r>
      <w:r w:rsidR="000D239C">
        <w:t xml:space="preserve">unprocured </w:t>
      </w:r>
      <w:r>
        <w:t xml:space="preserve">capacity for the ECR </w:t>
      </w:r>
      <w:r w:rsidR="00C41B54">
        <w:t xml:space="preserve">tariff </w:t>
      </w:r>
      <w:r>
        <w:t xml:space="preserve">to the </w:t>
      </w:r>
      <w:r w:rsidR="00CC4472">
        <w:t xml:space="preserve">modified </w:t>
      </w:r>
      <w:r>
        <w:t xml:space="preserve">Green Tariff, creating a cap of </w:t>
      </w:r>
      <w:r w:rsidR="00FA1188">
        <w:t>562</w:t>
      </w:r>
      <w:r w:rsidR="00ED70F0">
        <w:t> MW</w:t>
      </w:r>
      <w:r>
        <w:t xml:space="preserve"> statewide</w:t>
      </w:r>
      <w:r w:rsidR="0006368C">
        <w:t xml:space="preserve"> for the modified Green Tariff</w:t>
      </w:r>
      <w:r>
        <w:t xml:space="preserve">. </w:t>
      </w:r>
      <w:r w:rsidR="004633B1">
        <w:t xml:space="preserve">This cap may require adjustment upon implementation. </w:t>
      </w:r>
      <w:r>
        <w:t xml:space="preserve">Utilities may request to increase this cap </w:t>
      </w:r>
      <w:r w:rsidR="0006368C">
        <w:t xml:space="preserve">in the future </w:t>
      </w:r>
      <w:r>
        <w:t>through a</w:t>
      </w:r>
      <w:r w:rsidR="000F6CBF">
        <w:t xml:space="preserve"> </w:t>
      </w:r>
      <w:r w:rsidR="00440785">
        <w:t>Tier 2</w:t>
      </w:r>
      <w:r>
        <w:t xml:space="preserve"> advice letter.</w:t>
      </w:r>
      <w:r w:rsidR="009039D2">
        <w:t xml:space="preserve"> </w:t>
      </w:r>
      <w:r w:rsidR="004E3AAF">
        <w:t>T</w:t>
      </w:r>
      <w:r w:rsidR="009039D2">
        <w:t>he modified Green Tariff is an optional rate and price volatility has been challenging</w:t>
      </w:r>
      <w:r w:rsidR="004E3AAF">
        <w:t>. As such,</w:t>
      </w:r>
      <w:r w:rsidR="009039D2">
        <w:t xml:space="preserve"> the Commission allows </w:t>
      </w:r>
      <w:r w:rsidR="004E3AAF">
        <w:t xml:space="preserve">for </w:t>
      </w:r>
      <w:r w:rsidR="009039D2">
        <w:t xml:space="preserve">the adoption of the top-off approach for this tariff. </w:t>
      </w:r>
      <w:r w:rsidR="00D91127">
        <w:t xml:space="preserve">The Commission anticipates </w:t>
      </w:r>
      <w:r w:rsidR="006A780C">
        <w:t xml:space="preserve">use of </w:t>
      </w:r>
      <w:r w:rsidR="00D91127">
        <w:t xml:space="preserve">the top-off approach </w:t>
      </w:r>
      <w:r w:rsidR="006A780C">
        <w:t xml:space="preserve">in the modified Green Tariff will assist in </w:t>
      </w:r>
      <w:r w:rsidR="006A780C">
        <w:lastRenderedPageBreak/>
        <w:t xml:space="preserve">limiting future price volatility. </w:t>
      </w:r>
      <w:r w:rsidR="009039D2">
        <w:t>For clarity, this decision defines the top-off approach as customers remaining on their otherwise applicable tariff but “topped off” to achieve 100 percent clean energy.</w:t>
      </w:r>
    </w:p>
    <w:p w:rsidR="003C20EB" w:rsidP="00AC6E92" w:rsidRDefault="009039D2" w14:paraId="061F263B" w14:textId="309D23D3">
      <w:pPr>
        <w:pStyle w:val="Standard"/>
      </w:pPr>
      <w:r>
        <w:t>As previously directed</w:t>
      </w:r>
      <w:r w:rsidR="004F5D16">
        <w:t xml:space="preserve">, any request to increase </w:t>
      </w:r>
      <w:r>
        <w:t xml:space="preserve">the </w:t>
      </w:r>
      <w:r w:rsidR="004E3AAF">
        <w:t xml:space="preserve">modified </w:t>
      </w:r>
      <w:r>
        <w:t xml:space="preserve">Green Tariff statewide procurement </w:t>
      </w:r>
      <w:r w:rsidR="004F5D16">
        <w:t xml:space="preserve">cap must provide the details of how the program </w:t>
      </w:r>
      <w:r w:rsidR="0006368C">
        <w:t>has</w:t>
      </w:r>
      <w:r w:rsidR="004B3F90">
        <w:t xml:space="preserve">, and will, result in </w:t>
      </w:r>
      <w:r w:rsidR="004F5D16">
        <w:t>incremental new renewable energy being purchased</w:t>
      </w:r>
      <w:r w:rsidR="004B3F90">
        <w:t xml:space="preserve"> beyond other state mandates</w:t>
      </w:r>
      <w:r w:rsidR="004F5D16">
        <w:t>.</w:t>
      </w:r>
      <w:r w:rsidR="00A87FBF">
        <w:t xml:space="preserve"> The Commission’s aim is to ensure that dedicated resources </w:t>
      </w:r>
      <w:r>
        <w:t>(the top</w:t>
      </w:r>
      <w:r w:rsidR="00D91127">
        <w:t xml:space="preserve">ped off portion of 100 percent clean energy) </w:t>
      </w:r>
      <w:r w:rsidR="00A87FBF">
        <w:t xml:space="preserve">are built to serve </w:t>
      </w:r>
      <w:r w:rsidR="004B3F90">
        <w:t xml:space="preserve">customers enrolled in the modified </w:t>
      </w:r>
      <w:r w:rsidR="00A87FBF">
        <w:t>Green Tariff. While this decision allows for the</w:t>
      </w:r>
      <w:r w:rsidR="00B1434C">
        <w:t xml:space="preserve"> coupling of </w:t>
      </w:r>
      <w:r w:rsidR="004B3F90">
        <w:t>energy procurement</w:t>
      </w:r>
      <w:r w:rsidR="00B1434C">
        <w:t xml:space="preserve"> with the Integrated Resource Plan</w:t>
      </w:r>
      <w:r w:rsidR="004B3F90">
        <w:t xml:space="preserve"> as a mechanism to drive additional renewable energy development</w:t>
      </w:r>
      <w:r w:rsidR="00B1434C">
        <w:t xml:space="preserve">, </w:t>
      </w:r>
      <w:r w:rsidR="00FB3B1D">
        <w:t xml:space="preserve">the Commission agrees with party comments and requires that </w:t>
      </w:r>
      <w:r w:rsidR="00B1434C">
        <w:t xml:space="preserve">the </w:t>
      </w:r>
      <w:r w:rsidR="00FB3B1D">
        <w:t xml:space="preserve">solicited </w:t>
      </w:r>
      <w:r w:rsidR="00B1434C">
        <w:t>resources shall be incremental to RPS resources</w:t>
      </w:r>
      <w:r w:rsidR="00FB3B1D">
        <w:t xml:space="preserve"> and not merely unallocated to RPS</w:t>
      </w:r>
      <w:r w:rsidR="00B1434C">
        <w:t>.</w:t>
      </w:r>
      <w:r w:rsidR="00FB3B1D">
        <w:rPr>
          <w:rStyle w:val="FootnoteReference"/>
        </w:rPr>
        <w:footnoteReference w:id="376"/>
      </w:r>
      <w:r w:rsidR="00A87FBF">
        <w:t xml:space="preserve"> </w:t>
      </w:r>
      <w:r w:rsidR="00FB3B1D">
        <w:t>The Commission confirms its previous policy that “subscriber demand should result in commensurate incremental renewable energy facilities being developed beyond what would have been built in the absence of the [</w:t>
      </w:r>
      <w:r w:rsidR="004B3F90">
        <w:t xml:space="preserve">modified </w:t>
      </w:r>
      <w:r w:rsidR="00FB3B1D">
        <w:t>Green Tariff].”</w:t>
      </w:r>
      <w:r w:rsidR="00FB3B1D">
        <w:rPr>
          <w:rStyle w:val="FootnoteReference"/>
        </w:rPr>
        <w:footnoteReference w:id="377"/>
      </w:r>
    </w:p>
    <w:p w:rsidR="003C20EB" w:rsidP="00AC6E92" w:rsidRDefault="00F45987" w14:paraId="43429E90" w14:textId="0DF667D2">
      <w:pPr>
        <w:pStyle w:val="Standard"/>
      </w:pPr>
      <w:r>
        <w:t xml:space="preserve">As is the case with the </w:t>
      </w:r>
      <w:r w:rsidR="000D239C">
        <w:t>community renewable energy program</w:t>
      </w:r>
      <w:r>
        <w:t>, the Commission does not prescribe the location of the generation resource</w:t>
      </w:r>
      <w:r w:rsidR="00C41B54">
        <w:t xml:space="preserve"> for the modified Green Tariff</w:t>
      </w:r>
      <w:r>
        <w:t>, except to require that subscribing customers and the generator must be located in the same utility service territory.</w:t>
      </w:r>
    </w:p>
    <w:p w:rsidR="00CB5E2A" w:rsidP="00CB5E2A" w:rsidRDefault="00F45987" w14:paraId="1F649C43" w14:textId="1BEA1C04">
      <w:pPr>
        <w:pStyle w:val="Standard"/>
      </w:pPr>
      <w:r>
        <w:t xml:space="preserve">Currently, customers subscribing to the Green Tariff are limited to a subscription of </w:t>
      </w:r>
      <w:r w:rsidR="000D239C">
        <w:t>two</w:t>
      </w:r>
      <w:r>
        <w:t xml:space="preserve"> megawatts per customer. PG&amp;E proposes to increase this to </w:t>
      </w:r>
      <w:r>
        <w:lastRenderedPageBreak/>
        <w:t>a</w:t>
      </w:r>
      <w:r w:rsidR="00FA1188">
        <w:t>n annual</w:t>
      </w:r>
      <w:r>
        <w:t xml:space="preserve"> soft cap </w:t>
      </w:r>
      <w:r w:rsidR="00FA1188">
        <w:t xml:space="preserve">range </w:t>
      </w:r>
      <w:r>
        <w:t xml:space="preserve">of </w:t>
      </w:r>
      <w:r w:rsidR="00FA1188">
        <w:t xml:space="preserve">100,000 to </w:t>
      </w:r>
      <w:r>
        <w:t>150,000 megawatt hours, with a one</w:t>
      </w:r>
      <w:r w:rsidR="003D6EF8">
        <w:noBreakHyphen/>
      </w:r>
      <w:r>
        <w:t>year notice.</w:t>
      </w:r>
      <w:r w:rsidR="009A7629">
        <w:rPr>
          <w:rStyle w:val="FootnoteReference"/>
        </w:rPr>
        <w:footnoteReference w:id="378"/>
      </w:r>
      <w:r>
        <w:t xml:space="preserve"> SCE proposes to increase the cap to a 50</w:t>
      </w:r>
      <w:r w:rsidR="003D6EF8">
        <w:noBreakHyphen/>
      </w:r>
      <w:r>
        <w:t>megawatt soft cap. The Commission adopts a 40</w:t>
      </w:r>
      <w:r w:rsidR="003D6EF8">
        <w:noBreakHyphen/>
      </w:r>
      <w:r>
        <w:t xml:space="preserve">megawatt </w:t>
      </w:r>
      <w:r w:rsidR="00A87FBF">
        <w:t xml:space="preserve">customer subscription </w:t>
      </w:r>
      <w:r>
        <w:t xml:space="preserve">cap </w:t>
      </w:r>
      <w:r w:rsidR="00CB5E2A">
        <w:t>for each customer</w:t>
      </w:r>
      <w:r w:rsidR="00CB5E2A">
        <w:rPr>
          <w:rStyle w:val="FootnoteReference"/>
        </w:rPr>
        <w:footnoteReference w:id="379"/>
      </w:r>
      <w:r w:rsidR="00CB5E2A">
        <w:t xml:space="preserve"> </w:t>
      </w:r>
      <w:r>
        <w:t>and requires Utilities to annually report participation by both megawatts and megawatt hours.</w:t>
      </w:r>
      <w:r w:rsidR="003C20EB">
        <w:t xml:space="preserve"> The Commission may consider increasing this </w:t>
      </w:r>
      <w:r w:rsidR="00A87FBF">
        <w:t xml:space="preserve">customer subscription </w:t>
      </w:r>
      <w:r w:rsidR="003C20EB">
        <w:t>cap if the modified Green Tariff has the success intended by the modifications.</w:t>
      </w:r>
      <w:r w:rsidR="00CB5E2A">
        <w:t xml:space="preserve"> </w:t>
      </w:r>
      <w:r w:rsidR="00144C5E">
        <w:t>Any project caps will be determined by the underlying procuring mechanism.</w:t>
      </w:r>
    </w:p>
    <w:p w:rsidR="00BA58BF" w:rsidP="00AC6E92" w:rsidRDefault="00705A09" w14:paraId="171AA4C1" w14:textId="4A6BC9FB">
      <w:pPr>
        <w:pStyle w:val="Standard"/>
      </w:pPr>
      <w:bookmarkStart w:name="_Hlk163834440" w:id="249"/>
      <w:r>
        <w:t>T</w:t>
      </w:r>
      <w:r w:rsidR="00F549DA">
        <w:t xml:space="preserve">his decision </w:t>
      </w:r>
      <w:r w:rsidR="009F7C62">
        <w:t>declines to</w:t>
      </w:r>
      <w:r>
        <w:t xml:space="preserve"> adopt SCE’s proposal for the Green Share program</w:t>
      </w:r>
      <w:r w:rsidR="009F7C62">
        <w:t>, including its two-phase approach, and its rate design and cost recovery proposal</w:t>
      </w:r>
      <w:r>
        <w:t xml:space="preserve">. </w:t>
      </w:r>
      <w:r w:rsidR="006F33C3">
        <w:t>Instead, the Commission adopt</w:t>
      </w:r>
      <w:r w:rsidR="00BD5CCE">
        <w:t>s</w:t>
      </w:r>
      <w:r w:rsidR="006F33C3">
        <w:t xml:space="preserve"> the modified Green Tariff, which is intended to be paid for completely through customer subscriptions. T</w:t>
      </w:r>
      <w:r>
        <w:t xml:space="preserve">his decision </w:t>
      </w:r>
      <w:r w:rsidR="00F549DA">
        <w:t>addresses the request by SCE to recover up to $5.</w:t>
      </w:r>
      <w:r w:rsidR="009039D2">
        <w:t>4</w:t>
      </w:r>
      <w:r w:rsidR="00F549DA">
        <w:t>71</w:t>
      </w:r>
      <w:r w:rsidR="001E44CA">
        <w:t> million</w:t>
      </w:r>
      <w:r w:rsidR="00F549DA">
        <w:t xml:space="preserve"> in incremental Green Share program implementation costs through 2028. </w:t>
      </w:r>
      <w:bookmarkStart w:name="_Hlk158217521" w:id="250"/>
      <w:r w:rsidR="006F33C3">
        <w:t xml:space="preserve">As </w:t>
      </w:r>
      <w:r w:rsidR="00BD5CCE">
        <w:t>the Commission</w:t>
      </w:r>
      <w:r w:rsidR="006F33C3">
        <w:t xml:space="preserve"> </w:t>
      </w:r>
      <w:r w:rsidR="00BD5CCE">
        <w:t>has</w:t>
      </w:r>
      <w:r w:rsidR="006F33C3">
        <w:t xml:space="preserve"> declined </w:t>
      </w:r>
      <w:r w:rsidR="00BD5CCE">
        <w:t xml:space="preserve">to adopt </w:t>
      </w:r>
      <w:r w:rsidR="006F33C3">
        <w:t>the Green Share program</w:t>
      </w:r>
      <w:r w:rsidR="00BD5CCE">
        <w:t xml:space="preserve">, </w:t>
      </w:r>
      <w:r w:rsidR="006F33C3">
        <w:t xml:space="preserve">implementation </w:t>
      </w:r>
      <w:r w:rsidR="00BD5CCE">
        <w:t>is</w:t>
      </w:r>
      <w:r w:rsidR="006F33C3">
        <w:t xml:space="preserve"> </w:t>
      </w:r>
      <w:r w:rsidR="00BD5CCE">
        <w:t>un</w:t>
      </w:r>
      <w:r w:rsidR="006F33C3">
        <w:t>necessary</w:t>
      </w:r>
      <w:bookmarkEnd w:id="250"/>
      <w:r w:rsidR="00F549DA">
        <w:t>.</w:t>
      </w:r>
      <w:r w:rsidR="006F33C3">
        <w:t xml:space="preserve"> Further, implementation costs for the modified Green Tariff should be recovered through </w:t>
      </w:r>
      <w:r w:rsidR="004B3F90">
        <w:t xml:space="preserve">customers subscribed to the modified </w:t>
      </w:r>
      <w:r w:rsidR="006F33C3">
        <w:t>Green Tariff.</w:t>
      </w:r>
    </w:p>
    <w:bookmarkEnd w:id="249"/>
    <w:p w:rsidR="003C20EB" w:rsidP="00AC6E92" w:rsidRDefault="003C20EB" w14:paraId="000F32FB" w14:textId="779480B5">
      <w:pPr>
        <w:pStyle w:val="Standard"/>
      </w:pPr>
      <w:r>
        <w:t>The implementation of the modified Green Tariff is discussed in the next section of this decision.</w:t>
      </w:r>
    </w:p>
    <w:p w:rsidR="00A76DCF" w:rsidP="001B1E90" w:rsidRDefault="00A76DCF" w14:paraId="08CE5523" w14:textId="0CAE575C">
      <w:pPr>
        <w:pStyle w:val="Heading4"/>
      </w:pPr>
      <w:bookmarkStart w:name="_Toc159551204" w:id="251"/>
      <w:bookmarkStart w:name="_Toc168559322" w:id="252"/>
      <w:r>
        <w:lastRenderedPageBreak/>
        <w:t xml:space="preserve">Implementation of </w:t>
      </w:r>
      <w:bookmarkEnd w:id="251"/>
      <w:r w:rsidR="007554E9">
        <w:t>Modified and</w:t>
      </w:r>
      <w:r w:rsidR="005A1269">
        <w:br/>
      </w:r>
      <w:r w:rsidR="007554E9">
        <w:t xml:space="preserve">New </w:t>
      </w:r>
      <w:r w:rsidR="0059573C">
        <w:t>Tariffs</w:t>
      </w:r>
      <w:bookmarkEnd w:id="252"/>
    </w:p>
    <w:p w:rsidR="00480E78" w:rsidP="00AC6E92" w:rsidRDefault="00127C34" w14:paraId="09157691" w14:textId="36D2F452">
      <w:pPr>
        <w:pStyle w:val="Standard"/>
      </w:pPr>
      <w:r>
        <w:t>T</w:t>
      </w:r>
      <w:r w:rsidR="00735EB5">
        <w:t xml:space="preserve">he </w:t>
      </w:r>
      <w:r w:rsidR="008102C6">
        <w:t xml:space="preserve">adopted </w:t>
      </w:r>
      <w:r w:rsidR="00735EB5">
        <w:t xml:space="preserve">tariffs </w:t>
      </w:r>
      <w:r w:rsidR="008102C6">
        <w:t xml:space="preserve">of the </w:t>
      </w:r>
      <w:r w:rsidR="007554E9">
        <w:t>Commission</w:t>
      </w:r>
      <w:r w:rsidR="00440785">
        <w:t>’</w:t>
      </w:r>
      <w:r w:rsidR="007554E9">
        <w:t>s</w:t>
      </w:r>
      <w:r w:rsidR="008102C6">
        <w:t xml:space="preserve"> </w:t>
      </w:r>
      <w:r w:rsidR="007554E9">
        <w:t>p</w:t>
      </w:r>
      <w:r w:rsidR="008102C6">
        <w:t xml:space="preserve">ortfolio </w:t>
      </w:r>
      <w:r w:rsidR="007554E9">
        <w:t xml:space="preserve">of renewable energy programs </w:t>
      </w:r>
      <w:r w:rsidR="00735EB5">
        <w:t>do not require a</w:t>
      </w:r>
      <w:r w:rsidR="006445EC">
        <w:t xml:space="preserve"> lengthy </w:t>
      </w:r>
      <w:r>
        <w:t>implementation</w:t>
      </w:r>
      <w:r w:rsidR="00735EB5">
        <w:t xml:space="preserve"> time</w:t>
      </w:r>
      <w:r w:rsidR="006445EC">
        <w:t>line</w:t>
      </w:r>
      <w:r w:rsidR="00735EB5">
        <w:t xml:space="preserve">, as they are </w:t>
      </w:r>
      <w:r w:rsidR="00614A69">
        <w:t xml:space="preserve">essentially </w:t>
      </w:r>
      <w:r w:rsidR="00735EB5">
        <w:t xml:space="preserve">modifications of existing tariffs. </w:t>
      </w:r>
      <w:r>
        <w:t xml:space="preserve">However, there are steps that need to be taken prior to updating the </w:t>
      </w:r>
      <w:r w:rsidR="008102C6">
        <w:t xml:space="preserve">existing </w:t>
      </w:r>
      <w:r>
        <w:t>tariffs.</w:t>
      </w:r>
      <w:r w:rsidR="006445EC">
        <w:t xml:space="preserve"> As previously determined, the record does not contain any cost data for the portfolio</w:t>
      </w:r>
      <w:r w:rsidR="00440785">
        <w:t>’</w:t>
      </w:r>
      <w:r w:rsidR="006445EC">
        <w:t xml:space="preserve">s </w:t>
      </w:r>
      <w:r w:rsidR="000D239C">
        <w:t>marketing website</w:t>
      </w:r>
      <w:r w:rsidR="006445EC">
        <w:t xml:space="preserve">. Hence a ruling will be issued </w:t>
      </w:r>
      <w:r w:rsidR="00614A69">
        <w:t>following the adoption of this decision</w:t>
      </w:r>
      <w:r w:rsidR="008102C6">
        <w:t xml:space="preserve"> </w:t>
      </w:r>
      <w:r w:rsidR="006445EC">
        <w:t xml:space="preserve">to take comments on aspects of the budget, as well as the responsibilities </w:t>
      </w:r>
      <w:r w:rsidR="00480E78">
        <w:t>of</w:t>
      </w:r>
      <w:r w:rsidR="006445EC">
        <w:t xml:space="preserve"> the </w:t>
      </w:r>
      <w:r w:rsidR="000D239C">
        <w:t xml:space="preserve">website </w:t>
      </w:r>
      <w:r w:rsidR="006445EC">
        <w:t xml:space="preserve">administrator. </w:t>
      </w:r>
      <w:r w:rsidR="00480E78">
        <w:t>Also in this ruling, parties will be provided the opportunity to propose names for the two tariffs and the overall portfolio. A proposed decision will be issued to finalize these issues.</w:t>
      </w:r>
    </w:p>
    <w:p w:rsidR="00A76DCF" w:rsidP="00AC6E92" w:rsidRDefault="00F549DA" w14:paraId="5F4D2BDC" w14:textId="1A889874">
      <w:pPr>
        <w:pStyle w:val="Standard"/>
      </w:pPr>
      <w:r>
        <w:t xml:space="preserve">No later than </w:t>
      </w:r>
      <w:r w:rsidR="00FB3B1D">
        <w:t>6</w:t>
      </w:r>
      <w:r>
        <w:t xml:space="preserve">0 days from the adoption of </w:t>
      </w:r>
      <w:r w:rsidR="00480E78">
        <w:t>the second</w:t>
      </w:r>
      <w:r>
        <w:t xml:space="preserve"> decision, </w:t>
      </w:r>
      <w:r w:rsidR="00735EB5">
        <w:t xml:space="preserve">Utilities </w:t>
      </w:r>
      <w:bookmarkStart w:name="_Hlk158221272" w:id="253"/>
      <w:r w:rsidR="000D239C">
        <w:t xml:space="preserve">and participating </w:t>
      </w:r>
      <w:r w:rsidR="00FA0994">
        <w:t>CCA</w:t>
      </w:r>
      <w:r w:rsidR="000D239C">
        <w:t xml:space="preserve"> program administrators </w:t>
      </w:r>
      <w:r w:rsidR="00735EB5">
        <w:t xml:space="preserve">shall </w:t>
      </w:r>
      <w:r w:rsidR="00610CEB">
        <w:t xml:space="preserve">each </w:t>
      </w:r>
      <w:r w:rsidR="00735EB5">
        <w:t xml:space="preserve">submit a </w:t>
      </w:r>
      <w:r w:rsidR="00440785">
        <w:t>Tier 2</w:t>
      </w:r>
      <w:r w:rsidR="00735EB5">
        <w:t xml:space="preserve"> </w:t>
      </w:r>
      <w:r w:rsidR="008102C6">
        <w:t>A</w:t>
      </w:r>
      <w:r w:rsidR="00735EB5">
        <w:t xml:space="preserve">dvice </w:t>
      </w:r>
      <w:r w:rsidR="008102C6">
        <w:t>L</w:t>
      </w:r>
      <w:r w:rsidR="00735EB5">
        <w:t xml:space="preserve">etter </w:t>
      </w:r>
      <w:r>
        <w:t>updating</w:t>
      </w:r>
      <w:r w:rsidR="00735EB5">
        <w:t xml:space="preserve"> the</w:t>
      </w:r>
      <w:r w:rsidR="00610CEB">
        <w:t>ir</w:t>
      </w:r>
      <w:r w:rsidR="00735EB5">
        <w:t xml:space="preserve"> </w:t>
      </w:r>
      <w:r>
        <w:t xml:space="preserve">existing Green Access Program </w:t>
      </w:r>
      <w:r w:rsidR="00735EB5">
        <w:t>tariffs according to the directives of this decision</w:t>
      </w:r>
      <w:r w:rsidR="00614A69">
        <w:t>, including details on how th</w:t>
      </w:r>
      <w:r w:rsidR="00610CEB">
        <w:t>eir</w:t>
      </w:r>
      <w:r w:rsidR="00614A69">
        <w:t xml:space="preserve"> program</w:t>
      </w:r>
      <w:r w:rsidR="00610CEB">
        <w:t>s</w:t>
      </w:r>
      <w:r w:rsidR="00614A69">
        <w:t xml:space="preserve"> will result in incremental new renewable energy being purchased</w:t>
      </w:r>
      <w:r w:rsidR="00735EB5">
        <w:t xml:space="preserve">. </w:t>
      </w:r>
      <w:bookmarkEnd w:id="253"/>
      <w:r w:rsidR="00610CEB">
        <w:t>Utilities and participating CCAs shall coordinate before submitting the advice letters to ensure language uniformity, to the extent possible, to</w:t>
      </w:r>
      <w:r>
        <w:t xml:space="preserve"> ensure that tariff language is uniform across the state, as is the intention of </w:t>
      </w:r>
      <w:r w:rsidR="00127C34">
        <w:t xml:space="preserve">this statewide </w:t>
      </w:r>
      <w:r w:rsidR="007554E9">
        <w:t>p</w:t>
      </w:r>
      <w:r w:rsidR="00127C34">
        <w:t>ortfolio</w:t>
      </w:r>
      <w:r w:rsidR="007554E9">
        <w:t xml:space="preserve"> of renewable energy programs</w:t>
      </w:r>
      <w:r>
        <w:t>.</w:t>
      </w:r>
    </w:p>
    <w:p w:rsidR="00621458" w:rsidP="001B1E90" w:rsidRDefault="00621458" w14:paraId="40ED9609" w14:textId="29B78073">
      <w:pPr>
        <w:pStyle w:val="Heading3"/>
      </w:pPr>
      <w:bookmarkStart w:name="_Toc159551205" w:id="254"/>
      <w:bookmarkStart w:name="_Toc168559323" w:id="255"/>
      <w:r>
        <w:t>Next Steps</w:t>
      </w:r>
      <w:bookmarkEnd w:id="254"/>
      <w:bookmarkEnd w:id="255"/>
    </w:p>
    <w:p w:rsidR="00F664BB" w:rsidP="00AC6E92" w:rsidRDefault="00440785" w14:paraId="419B61C7" w14:textId="60FFD394">
      <w:pPr>
        <w:pStyle w:val="Standard"/>
      </w:pPr>
      <w:r>
        <w:t>Pub. Util.</w:t>
      </w:r>
      <w:r w:rsidR="00FB0149">
        <w:t xml:space="preserve"> Code </w:t>
      </w:r>
      <w:r w:rsidR="003627A8">
        <w:t>Section </w:t>
      </w:r>
      <w:r w:rsidR="00FB0149">
        <w:t>769.3</w:t>
      </w:r>
      <w:r w:rsidR="001866AF">
        <w:t>(b)</w:t>
      </w:r>
      <w:r w:rsidR="00FB0149">
        <w:t xml:space="preserve"> requires </w:t>
      </w:r>
      <w:r w:rsidR="005972CF">
        <w:t xml:space="preserve">that </w:t>
      </w:r>
      <w:r w:rsidR="00FB0149">
        <w:t xml:space="preserve">the Commission complete an evaluation of existing Green Access Program tariffs </w:t>
      </w:r>
      <w:r w:rsidR="005972CF">
        <w:t xml:space="preserve">and determine whether it is beneficial to establish a new tariff or modify existing tariffs. </w:t>
      </w:r>
      <w:r w:rsidR="001866AF">
        <w:t xml:space="preserve">As </w:t>
      </w:r>
      <w:r w:rsidR="000E0F32">
        <w:t>described</w:t>
      </w:r>
      <w:r w:rsidR="001866AF">
        <w:t xml:space="preserve"> above, both of these requirements have been completed</w:t>
      </w:r>
      <w:r w:rsidR="000E0F32">
        <w:t xml:space="preserve"> in this decision</w:t>
      </w:r>
      <w:r w:rsidR="001866AF">
        <w:t xml:space="preserve">. Further, </w:t>
      </w:r>
      <w:r>
        <w:t>Pub. Util.</w:t>
      </w:r>
      <w:r w:rsidR="005972CF">
        <w:t xml:space="preserve"> Code </w:t>
      </w:r>
      <w:r w:rsidR="003627A8">
        <w:t>Section </w:t>
      </w:r>
      <w:r w:rsidR="005972CF">
        <w:t>769.3</w:t>
      </w:r>
      <w:r w:rsidR="00084164">
        <w:t>(</w:t>
      </w:r>
      <w:r w:rsidR="005972CF">
        <w:t xml:space="preserve">b) also requires </w:t>
      </w:r>
      <w:r w:rsidR="00FB0149">
        <w:t xml:space="preserve">the Commission </w:t>
      </w:r>
      <w:r w:rsidR="000E0F32">
        <w:t>to</w:t>
      </w:r>
      <w:r w:rsidR="00FB0149">
        <w:t xml:space="preserve"> determine </w:t>
      </w:r>
      <w:r w:rsidR="00FB0149">
        <w:lastRenderedPageBreak/>
        <w:t>whether to authorize the termination or modification of existing programs and/or determine whether to develop a new tariff to be established</w:t>
      </w:r>
      <w:r w:rsidR="00621458">
        <w:t>.</w:t>
      </w:r>
      <w:r w:rsidR="001D5927">
        <w:t xml:space="preserve"> This decision determines that it is </w:t>
      </w:r>
      <w:r w:rsidR="004D0814">
        <w:t xml:space="preserve">beneficial to ratepayers to establish a community renewable energy </w:t>
      </w:r>
      <w:r w:rsidR="000E0F32">
        <w:t>program</w:t>
      </w:r>
      <w:r w:rsidR="00543443">
        <w:t>.</w:t>
      </w:r>
      <w:r w:rsidR="00614A69">
        <w:t xml:space="preserve"> Accordingly, this decision adopts the community renewable energy program as</w:t>
      </w:r>
      <w:r w:rsidR="00543443">
        <w:t xml:space="preserve"> described in this decision</w:t>
      </w:r>
      <w:r w:rsidR="00614A69">
        <w:t>.</w:t>
      </w:r>
    </w:p>
    <w:p w:rsidR="00DA4097" w:rsidP="00DA4097" w:rsidRDefault="003C78D1" w14:paraId="5FF2F278" w14:textId="1277A06F">
      <w:pPr>
        <w:pStyle w:val="Standard"/>
      </w:pPr>
      <w:bookmarkStart w:name="_Hlk158221448" w:id="256"/>
      <w:r>
        <w:t xml:space="preserve">No later than </w:t>
      </w:r>
      <w:r w:rsidR="00C27661">
        <w:t xml:space="preserve">60 </w:t>
      </w:r>
      <w:r>
        <w:t xml:space="preserve">days from the adoption of this decision, </w:t>
      </w:r>
      <w:r w:rsidR="00D63CAB">
        <w:t xml:space="preserve">Utilities shall </w:t>
      </w:r>
      <w:r>
        <w:t xml:space="preserve">each </w:t>
      </w:r>
      <w:r w:rsidR="00D63CAB">
        <w:t xml:space="preserve">submit </w:t>
      </w:r>
      <w:r>
        <w:t xml:space="preserve">a </w:t>
      </w:r>
      <w:r w:rsidR="00440785">
        <w:t>Tier </w:t>
      </w:r>
      <w:r w:rsidR="00C27661">
        <w:t>1</w:t>
      </w:r>
      <w:r w:rsidR="00575D35">
        <w:t xml:space="preserve"> Advice Letter</w:t>
      </w:r>
      <w:r w:rsidR="00D63CAB">
        <w:t xml:space="preserve"> </w:t>
      </w:r>
      <w:r w:rsidRPr="00543443" w:rsidR="00614A69">
        <w:t xml:space="preserve">proposing </w:t>
      </w:r>
      <w:r w:rsidR="00C27661">
        <w:t>supply</w:t>
      </w:r>
      <w:r w:rsidR="00C27661">
        <w:noBreakHyphen/>
        <w:t>side tariffs, in addition to ReMAT and the PURPA Standard</w:t>
      </w:r>
      <w:r w:rsidR="00C27661">
        <w:noBreakHyphen/>
        <w:t>Offer</w:t>
      </w:r>
      <w:r w:rsidR="00C27661">
        <w:noBreakHyphen/>
        <w:t xml:space="preserve">Contract that are applicable </w:t>
      </w:r>
      <w:r w:rsidRPr="00543443">
        <w:t xml:space="preserve">for the </w:t>
      </w:r>
      <w:r w:rsidRPr="00543443" w:rsidR="00614A69">
        <w:t>community renewable energy program</w:t>
      </w:r>
      <w:r w:rsidRPr="00543443">
        <w:t xml:space="preserve">, as set forth in </w:t>
      </w:r>
      <w:r w:rsidRPr="005D065D" w:rsidR="00543443">
        <w:t>this decision</w:t>
      </w:r>
      <w:r w:rsidRPr="005D065D">
        <w:t>.</w:t>
      </w:r>
      <w:r>
        <w:t>.</w:t>
      </w:r>
      <w:r w:rsidR="00DA4097">
        <w:t xml:space="preserve"> As CCAs are permitted to participate in the new community renewable energy program, the foundational tariffs will need to be revised to accommodate this participation. </w:t>
      </w:r>
      <w:r w:rsidR="008E77C6">
        <w:t>At this time, the record does not contain the specifics for CCA participation. A future ruling will seek party comment on such specifics.</w:t>
      </w:r>
    </w:p>
    <w:p w:rsidR="00543443" w:rsidP="00AC6E92" w:rsidRDefault="00C27661" w14:paraId="7E130D6E" w14:textId="12528EAE">
      <w:pPr>
        <w:pStyle w:val="Standard"/>
      </w:pPr>
      <w:bookmarkStart w:name="_Hlk158221572" w:id="257"/>
      <w:bookmarkEnd w:id="256"/>
      <w:r>
        <w:t>Also w</w:t>
      </w:r>
      <w:r w:rsidR="00543443">
        <w:t xml:space="preserve">ithin 60 days of the adoption of this decision, Utilities shall </w:t>
      </w:r>
      <w:r>
        <w:t xml:space="preserve">submit a separate Tier 1 advice letter requesting to </w:t>
      </w:r>
      <w:r w:rsidR="00543443">
        <w:t xml:space="preserve">establish a memorandum account </w:t>
      </w:r>
      <w:r w:rsidR="008E2331">
        <w:t>to</w:t>
      </w:r>
      <w:r w:rsidR="00543443">
        <w:t xml:space="preserve"> receive and track external funds to supplement eligible projects through the community renewable energy program adder.</w:t>
      </w:r>
    </w:p>
    <w:bookmarkEnd w:id="257"/>
    <w:p w:rsidR="00EE22F9" w:rsidP="00AC6E92" w:rsidRDefault="00A05879" w14:paraId="1FD61266" w14:textId="772DE6FD">
      <w:pPr>
        <w:pStyle w:val="Standard"/>
      </w:pPr>
      <w:r>
        <w:t>As discussed above, s</w:t>
      </w:r>
      <w:r w:rsidR="00543443">
        <w:t xml:space="preserve">everal parties recommend that the Commission require an evaluation of the </w:t>
      </w:r>
      <w:r>
        <w:t xml:space="preserve">adopted </w:t>
      </w:r>
      <w:r w:rsidR="00543443">
        <w:t xml:space="preserve">community renewable energy program. As this decision creates the community renewable energy program and modifies the Green Access Program tariffs, it is prudent that the Commission ensure these </w:t>
      </w:r>
      <w:r w:rsidR="000D239C">
        <w:t xml:space="preserve">actions </w:t>
      </w:r>
      <w:r w:rsidR="00543443">
        <w:t xml:space="preserve">fulfill the objectives of this proceeding. As such, </w:t>
      </w:r>
      <w:bookmarkStart w:name="_Hlk158221666" w:id="258"/>
      <w:r w:rsidR="00543443">
        <w:t xml:space="preserve">Energy Division is </w:t>
      </w:r>
      <w:r w:rsidR="00B800FF">
        <w:t>authorized</w:t>
      </w:r>
      <w:r w:rsidR="00543443">
        <w:t xml:space="preserve"> to </w:t>
      </w:r>
      <w:r w:rsidR="00B800FF">
        <w:t xml:space="preserve">take steps for an evaluation of the entire </w:t>
      </w:r>
      <w:r w:rsidR="007554E9">
        <w:t>p</w:t>
      </w:r>
      <w:r w:rsidR="00B800FF">
        <w:t>ortfolio</w:t>
      </w:r>
      <w:r w:rsidR="007554E9">
        <w:t xml:space="preserve"> of renewable energy programs adopted in this decision</w:t>
      </w:r>
      <w:r w:rsidR="00B800FF">
        <w:t xml:space="preserve">. </w:t>
      </w:r>
      <w:r w:rsidR="000D239C">
        <w:t>Specifically, the Commission</w:t>
      </w:r>
      <w:r w:rsidR="00440785">
        <w:t>’</w:t>
      </w:r>
      <w:r w:rsidR="000D239C">
        <w:t xml:space="preserve">s </w:t>
      </w:r>
      <w:r w:rsidR="00610CEB">
        <w:t>E</w:t>
      </w:r>
      <w:r w:rsidR="000D239C">
        <w:t xml:space="preserve">nergy Division is authorized to develop and issue a Request for Proposal to hire a consultant with expertise in evaluation methods and processes to conduct an </w:t>
      </w:r>
      <w:r w:rsidR="000D239C">
        <w:lastRenderedPageBreak/>
        <w:t xml:space="preserve">evaluation of the </w:t>
      </w:r>
      <w:r w:rsidR="00610CEB">
        <w:t>modified Green Tariff and new community renewable energy program components of the P</w:t>
      </w:r>
      <w:r w:rsidR="000D239C">
        <w:t>ortfolio</w:t>
      </w:r>
      <w:r w:rsidR="007554E9">
        <w:t xml:space="preserve"> of renewable energy programs</w:t>
      </w:r>
      <w:r w:rsidR="009963FB">
        <w:t xml:space="preserve">, </w:t>
      </w:r>
      <w:r w:rsidRPr="009963FB" w:rsidR="009963FB">
        <w:t>incorporating an evaluation of metrics for success, including a megawatt baseline expectation for the community renewable energy program</w:t>
      </w:r>
      <w:r w:rsidR="000D239C">
        <w:t>.</w:t>
      </w:r>
    </w:p>
    <w:p w:rsidR="00EE22F9" w:rsidP="00AC6E92" w:rsidRDefault="00230FA8" w14:paraId="11230615" w14:textId="6DE88E2E">
      <w:pPr>
        <w:pStyle w:val="Standard"/>
      </w:pPr>
      <w:r>
        <w:t>In D.18</w:t>
      </w:r>
      <w:r w:rsidR="003D6EF8">
        <w:noBreakHyphen/>
      </w:r>
      <w:r>
        <w:t>06</w:t>
      </w:r>
      <w:r w:rsidR="003D6EF8">
        <w:noBreakHyphen/>
      </w:r>
      <w:r>
        <w:t>027, the Commission authorized f</w:t>
      </w:r>
      <w:r w:rsidR="000D239C">
        <w:t>unding for a tri</w:t>
      </w:r>
      <w:r w:rsidR="003D6EF8">
        <w:noBreakHyphen/>
      </w:r>
      <w:r w:rsidR="000D239C">
        <w:t>annual evaluation of the DAC</w:t>
      </w:r>
      <w:r w:rsidR="003D6EF8">
        <w:noBreakHyphen/>
      </w:r>
      <w:r w:rsidR="000D239C">
        <w:t>GT program</w:t>
      </w:r>
      <w:r>
        <w:t>.</w:t>
      </w:r>
      <w:r w:rsidR="0001058F">
        <w:t xml:space="preserve"> That decision required an evaluation to be conducted every three years beginning in 2021. This decision revises the schedule for the DAC</w:t>
      </w:r>
      <w:r w:rsidR="003D6EF8">
        <w:noBreakHyphen/>
      </w:r>
      <w:r w:rsidR="0001058F">
        <w:t>GT evaluation such that it aligns with the evaluation schedule for the modified Green Tariff and new community renewable energy program.</w:t>
      </w:r>
    </w:p>
    <w:p w:rsidR="000043B1" w:rsidP="00AC6E92" w:rsidRDefault="000043B1" w14:paraId="01E686E8" w14:textId="20A7B8D1">
      <w:pPr>
        <w:pStyle w:val="Standard"/>
      </w:pPr>
      <w:r>
        <w:t xml:space="preserve">Referencing Resolution E-4999, Cal Advocates states that the resolution found it appropriate for program evaluation funding for the DAC-GT </w:t>
      </w:r>
      <w:r w:rsidR="007B27BA">
        <w:t xml:space="preserve">to </w:t>
      </w:r>
      <w:r>
        <w:t>be shared by Utilities in proportion to their share of capacity for the DAC-GT and the CSGT.</w:t>
      </w:r>
      <w:r>
        <w:rPr>
          <w:rStyle w:val="FootnoteReference"/>
        </w:rPr>
        <w:footnoteReference w:id="380"/>
      </w:r>
      <w:r>
        <w:t xml:space="preserve"> Cal Advocates asserts that because this decision reallocates the CSGT capacity to PG&amp;E and SCE, the proportion of funding must be revised. Cal Advocates maintains that revised allocations should be as follows: 50 percent for PG&amp;E, 40 percent for SCE, and 10 percent for SDG&amp;E, as indicated in Table 8 below.</w:t>
      </w:r>
      <w:r>
        <w:rPr>
          <w:rStyle w:val="FootnoteReference"/>
        </w:rPr>
        <w:footnoteReference w:id="381"/>
      </w:r>
      <w:r>
        <w:t xml:space="preserve"> This decision </w:t>
      </w:r>
      <w:r w:rsidR="008E77C6">
        <w:t xml:space="preserve">finds that for consistency the Commission should </w:t>
      </w:r>
      <w:r>
        <w:t xml:space="preserve">maintain the practice adopted in Resolution E-4999 for funding the </w:t>
      </w:r>
      <w:r w:rsidR="004B3F90">
        <w:t xml:space="preserve">DAC-GT </w:t>
      </w:r>
      <w:r>
        <w:t>evaluations required by this decision and adopts these revised percentages.</w:t>
      </w:r>
    </w:p>
    <w:tbl>
      <w:tblPr>
        <w:tblStyle w:val="TableGrid"/>
        <w:tblW w:w="0" w:type="auto"/>
        <w:tblLook w:val="04A0" w:firstRow="1" w:lastRow="0" w:firstColumn="1" w:lastColumn="0" w:noHBand="0" w:noVBand="1"/>
      </w:tblPr>
      <w:tblGrid>
        <w:gridCol w:w="2337"/>
        <w:gridCol w:w="2337"/>
        <w:gridCol w:w="2338"/>
        <w:gridCol w:w="2338"/>
      </w:tblGrid>
      <w:tr w:rsidR="000043B1" w:rsidTr="001B4BE0" w14:paraId="38C8F87A" w14:textId="77777777">
        <w:tc>
          <w:tcPr>
            <w:tcW w:w="9350" w:type="dxa"/>
            <w:gridSpan w:val="4"/>
          </w:tcPr>
          <w:p w:rsidR="000043B1" w:rsidP="001B4BE0" w:rsidRDefault="000043B1" w14:paraId="1EF35E10" w14:textId="77777777">
            <w:pPr>
              <w:pStyle w:val="Standard"/>
              <w:spacing w:line="240" w:lineRule="auto"/>
              <w:ind w:firstLine="0"/>
              <w:jc w:val="center"/>
              <w:rPr>
                <w:sz w:val="24"/>
                <w:szCs w:val="24"/>
              </w:rPr>
            </w:pPr>
            <w:r>
              <w:rPr>
                <w:sz w:val="24"/>
                <w:szCs w:val="24"/>
              </w:rPr>
              <w:t>Table 8</w:t>
            </w:r>
            <w:r>
              <w:rPr>
                <w:rStyle w:val="FootnoteReference"/>
                <w:sz w:val="24"/>
                <w:szCs w:val="24"/>
              </w:rPr>
              <w:footnoteReference w:id="382"/>
            </w:r>
          </w:p>
          <w:p w:rsidRPr="001B4BE0" w:rsidR="000043B1" w:rsidP="001B4BE0" w:rsidRDefault="000043B1" w14:paraId="796C431B" w14:textId="77777777">
            <w:pPr>
              <w:pStyle w:val="Standard"/>
              <w:spacing w:line="240" w:lineRule="auto"/>
              <w:ind w:firstLine="0"/>
              <w:jc w:val="center"/>
              <w:rPr>
                <w:sz w:val="24"/>
                <w:szCs w:val="24"/>
              </w:rPr>
            </w:pPr>
            <w:r w:rsidRPr="001B4BE0">
              <w:rPr>
                <w:sz w:val="24"/>
                <w:szCs w:val="24"/>
              </w:rPr>
              <w:t>DAC-GT and CSGT Capacity and MW Share by Program Administrator</w:t>
            </w:r>
          </w:p>
          <w:p w:rsidRPr="006D7D46" w:rsidR="000043B1" w:rsidP="001B4BE0" w:rsidRDefault="000043B1" w14:paraId="495764F5" w14:textId="77777777">
            <w:pPr>
              <w:pStyle w:val="Standard"/>
              <w:spacing w:line="240" w:lineRule="auto"/>
              <w:ind w:firstLine="0"/>
              <w:jc w:val="center"/>
              <w:rPr>
                <w:sz w:val="24"/>
                <w:szCs w:val="24"/>
              </w:rPr>
            </w:pPr>
            <w:r w:rsidRPr="001B4BE0">
              <w:rPr>
                <w:sz w:val="24"/>
                <w:szCs w:val="24"/>
              </w:rPr>
              <w:t>(After Modified DAC-GT Capacity Increase)</w:t>
            </w:r>
          </w:p>
        </w:tc>
      </w:tr>
      <w:tr w:rsidR="000043B1" w:rsidTr="001B4BE0" w14:paraId="72DEEA76" w14:textId="77777777">
        <w:tc>
          <w:tcPr>
            <w:tcW w:w="2337" w:type="dxa"/>
            <w:vAlign w:val="center"/>
          </w:tcPr>
          <w:p w:rsidRPr="001B4BE0" w:rsidR="000043B1" w:rsidP="001B4BE0" w:rsidRDefault="000043B1" w14:paraId="10F12243" w14:textId="77777777">
            <w:pPr>
              <w:pStyle w:val="Standard"/>
              <w:spacing w:line="240" w:lineRule="auto"/>
              <w:ind w:firstLine="0"/>
              <w:jc w:val="center"/>
              <w:rPr>
                <w:sz w:val="24"/>
                <w:szCs w:val="24"/>
              </w:rPr>
            </w:pPr>
            <w:r w:rsidRPr="001B4BE0">
              <w:rPr>
                <w:sz w:val="24"/>
                <w:szCs w:val="24"/>
              </w:rPr>
              <w:lastRenderedPageBreak/>
              <w:t>Program Administrator</w:t>
            </w:r>
          </w:p>
        </w:tc>
        <w:tc>
          <w:tcPr>
            <w:tcW w:w="2337" w:type="dxa"/>
            <w:vAlign w:val="center"/>
          </w:tcPr>
          <w:p w:rsidRPr="001B4BE0" w:rsidR="000043B1" w:rsidP="001B4BE0" w:rsidRDefault="000043B1" w14:paraId="0DBC11D3" w14:textId="77777777">
            <w:pPr>
              <w:pStyle w:val="Standard"/>
              <w:spacing w:line="240" w:lineRule="auto"/>
              <w:ind w:firstLine="0"/>
              <w:jc w:val="center"/>
              <w:rPr>
                <w:sz w:val="24"/>
                <w:szCs w:val="24"/>
              </w:rPr>
            </w:pPr>
            <w:r w:rsidRPr="001B4BE0">
              <w:rPr>
                <w:sz w:val="24"/>
                <w:szCs w:val="24"/>
              </w:rPr>
              <w:t>DAC-GT Capacity (MW)</w:t>
            </w:r>
          </w:p>
        </w:tc>
        <w:tc>
          <w:tcPr>
            <w:tcW w:w="2338" w:type="dxa"/>
            <w:vAlign w:val="center"/>
          </w:tcPr>
          <w:p w:rsidRPr="001B4BE0" w:rsidR="000043B1" w:rsidP="001B4BE0" w:rsidRDefault="000043B1" w14:paraId="030488F3" w14:textId="77777777">
            <w:pPr>
              <w:pStyle w:val="Standard"/>
              <w:spacing w:line="240" w:lineRule="auto"/>
              <w:ind w:firstLine="0"/>
              <w:jc w:val="center"/>
              <w:rPr>
                <w:sz w:val="24"/>
                <w:szCs w:val="24"/>
              </w:rPr>
            </w:pPr>
            <w:r w:rsidRPr="001B4BE0">
              <w:rPr>
                <w:sz w:val="24"/>
                <w:szCs w:val="24"/>
              </w:rPr>
              <w:t>CSGT Capacity (MW)</w:t>
            </w:r>
          </w:p>
        </w:tc>
        <w:tc>
          <w:tcPr>
            <w:tcW w:w="2338" w:type="dxa"/>
            <w:vAlign w:val="center"/>
          </w:tcPr>
          <w:p w:rsidRPr="001B4BE0" w:rsidR="000043B1" w:rsidP="001B4BE0" w:rsidRDefault="000043B1" w14:paraId="600675B8" w14:textId="77777777">
            <w:pPr>
              <w:pStyle w:val="Standard"/>
              <w:spacing w:line="240" w:lineRule="auto"/>
              <w:ind w:firstLine="0"/>
              <w:jc w:val="center"/>
              <w:rPr>
                <w:sz w:val="24"/>
                <w:szCs w:val="24"/>
              </w:rPr>
            </w:pPr>
            <w:r w:rsidRPr="001B4BE0">
              <w:rPr>
                <w:sz w:val="24"/>
                <w:szCs w:val="24"/>
              </w:rPr>
              <w:t>Percent of Total MW Capacity (236.306 MW)</w:t>
            </w:r>
          </w:p>
        </w:tc>
      </w:tr>
      <w:tr w:rsidR="000043B1" w:rsidTr="001B4BE0" w14:paraId="26D0979E" w14:textId="77777777">
        <w:tc>
          <w:tcPr>
            <w:tcW w:w="2337" w:type="dxa"/>
          </w:tcPr>
          <w:p w:rsidRPr="006D7D46" w:rsidR="000043B1" w:rsidP="001B4BE0" w:rsidRDefault="000043B1" w14:paraId="6CD5A0CF" w14:textId="77777777">
            <w:pPr>
              <w:pStyle w:val="Standard"/>
              <w:spacing w:line="240" w:lineRule="auto"/>
              <w:ind w:firstLine="0"/>
              <w:rPr>
                <w:sz w:val="24"/>
                <w:szCs w:val="24"/>
              </w:rPr>
            </w:pPr>
            <w:r>
              <w:rPr>
                <w:sz w:val="24"/>
                <w:szCs w:val="24"/>
              </w:rPr>
              <w:t>PG&amp;E</w:t>
            </w:r>
          </w:p>
        </w:tc>
        <w:tc>
          <w:tcPr>
            <w:tcW w:w="2337" w:type="dxa"/>
          </w:tcPr>
          <w:p w:rsidRPr="006D7D46" w:rsidR="000043B1" w:rsidP="001B4BE0" w:rsidRDefault="000043B1" w14:paraId="5A870D6C" w14:textId="77777777">
            <w:pPr>
              <w:pStyle w:val="Standard"/>
              <w:spacing w:line="240" w:lineRule="auto"/>
              <w:ind w:firstLine="0"/>
              <w:jc w:val="center"/>
              <w:rPr>
                <w:sz w:val="24"/>
                <w:szCs w:val="24"/>
              </w:rPr>
            </w:pPr>
            <w:r>
              <w:rPr>
                <w:sz w:val="24"/>
                <w:szCs w:val="24"/>
              </w:rPr>
              <w:t>80.68</w:t>
            </w:r>
          </w:p>
        </w:tc>
        <w:tc>
          <w:tcPr>
            <w:tcW w:w="2338" w:type="dxa"/>
          </w:tcPr>
          <w:p w:rsidRPr="006D7D46" w:rsidR="000043B1" w:rsidP="001B4BE0" w:rsidRDefault="000043B1" w14:paraId="0A1ADB8D" w14:textId="77777777">
            <w:pPr>
              <w:pStyle w:val="Standard"/>
              <w:spacing w:line="240" w:lineRule="auto"/>
              <w:ind w:firstLine="0"/>
              <w:jc w:val="center"/>
              <w:rPr>
                <w:sz w:val="24"/>
                <w:szCs w:val="24"/>
              </w:rPr>
            </w:pPr>
            <w:r>
              <w:rPr>
                <w:sz w:val="24"/>
                <w:szCs w:val="24"/>
              </w:rPr>
              <w:t>12</w:t>
            </w:r>
          </w:p>
        </w:tc>
        <w:tc>
          <w:tcPr>
            <w:tcW w:w="2338" w:type="dxa"/>
          </w:tcPr>
          <w:p w:rsidRPr="006D7D46" w:rsidR="000043B1" w:rsidP="001B4BE0" w:rsidRDefault="000043B1" w14:paraId="4365789A" w14:textId="77777777">
            <w:pPr>
              <w:pStyle w:val="Standard"/>
              <w:spacing w:line="240" w:lineRule="auto"/>
              <w:ind w:firstLine="0"/>
              <w:jc w:val="center"/>
              <w:rPr>
                <w:sz w:val="24"/>
                <w:szCs w:val="24"/>
              </w:rPr>
            </w:pPr>
            <w:r>
              <w:rPr>
                <w:sz w:val="24"/>
                <w:szCs w:val="24"/>
              </w:rPr>
              <w:t>39.22</w:t>
            </w:r>
          </w:p>
        </w:tc>
      </w:tr>
      <w:tr w:rsidR="000043B1" w:rsidTr="001B4BE0" w14:paraId="35579FD2" w14:textId="77777777">
        <w:tc>
          <w:tcPr>
            <w:tcW w:w="2337" w:type="dxa"/>
          </w:tcPr>
          <w:p w:rsidRPr="006D7D46" w:rsidR="000043B1" w:rsidP="001B4BE0" w:rsidRDefault="000043B1" w14:paraId="2B5562EA" w14:textId="77777777">
            <w:pPr>
              <w:pStyle w:val="Standard"/>
              <w:spacing w:line="240" w:lineRule="auto"/>
              <w:ind w:firstLine="0"/>
              <w:rPr>
                <w:sz w:val="24"/>
                <w:szCs w:val="24"/>
              </w:rPr>
            </w:pPr>
            <w:r>
              <w:rPr>
                <w:sz w:val="24"/>
                <w:szCs w:val="24"/>
              </w:rPr>
              <w:t>CleanPower SF</w:t>
            </w:r>
          </w:p>
        </w:tc>
        <w:tc>
          <w:tcPr>
            <w:tcW w:w="2337" w:type="dxa"/>
          </w:tcPr>
          <w:p w:rsidRPr="006D7D46" w:rsidR="000043B1" w:rsidP="001B4BE0" w:rsidRDefault="000043B1" w14:paraId="05C06EAC" w14:textId="77777777">
            <w:pPr>
              <w:pStyle w:val="Standard"/>
              <w:spacing w:line="240" w:lineRule="auto"/>
              <w:ind w:firstLine="0"/>
              <w:jc w:val="center"/>
              <w:rPr>
                <w:sz w:val="24"/>
                <w:szCs w:val="24"/>
              </w:rPr>
            </w:pPr>
            <w:r>
              <w:rPr>
                <w:sz w:val="24"/>
                <w:szCs w:val="24"/>
              </w:rPr>
              <w:t>2.3785</w:t>
            </w:r>
          </w:p>
        </w:tc>
        <w:tc>
          <w:tcPr>
            <w:tcW w:w="2338" w:type="dxa"/>
          </w:tcPr>
          <w:p w:rsidRPr="006D7D46" w:rsidR="000043B1" w:rsidP="001B4BE0" w:rsidRDefault="000043B1" w14:paraId="426270C9"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58DA09E" w14:textId="77777777">
            <w:pPr>
              <w:pStyle w:val="Standard"/>
              <w:spacing w:line="240" w:lineRule="auto"/>
              <w:ind w:firstLine="0"/>
              <w:jc w:val="center"/>
              <w:rPr>
                <w:sz w:val="24"/>
                <w:szCs w:val="24"/>
              </w:rPr>
            </w:pPr>
            <w:r>
              <w:rPr>
                <w:sz w:val="24"/>
                <w:szCs w:val="24"/>
              </w:rPr>
              <w:t>1.01</w:t>
            </w:r>
          </w:p>
        </w:tc>
      </w:tr>
      <w:tr w:rsidR="000043B1" w:rsidTr="001B4BE0" w14:paraId="23C98886" w14:textId="77777777">
        <w:tc>
          <w:tcPr>
            <w:tcW w:w="2337" w:type="dxa"/>
          </w:tcPr>
          <w:p w:rsidRPr="006D7D46" w:rsidR="000043B1" w:rsidP="001B4BE0" w:rsidRDefault="000043B1" w14:paraId="7D9B0DA2" w14:textId="77777777">
            <w:pPr>
              <w:pStyle w:val="Standard"/>
              <w:spacing w:line="240" w:lineRule="auto"/>
              <w:ind w:firstLine="0"/>
              <w:rPr>
                <w:sz w:val="24"/>
                <w:szCs w:val="24"/>
              </w:rPr>
            </w:pPr>
            <w:r>
              <w:rPr>
                <w:sz w:val="24"/>
                <w:szCs w:val="24"/>
              </w:rPr>
              <w:t>Ava Community Energy</w:t>
            </w:r>
            <w:r>
              <w:rPr>
                <w:rStyle w:val="FootnoteReference"/>
                <w:sz w:val="24"/>
                <w:szCs w:val="24"/>
              </w:rPr>
              <w:footnoteReference w:id="383"/>
            </w:r>
            <w:r>
              <w:rPr>
                <w:sz w:val="24"/>
                <w:szCs w:val="24"/>
              </w:rPr>
              <w:t xml:space="preserve"> </w:t>
            </w:r>
          </w:p>
        </w:tc>
        <w:tc>
          <w:tcPr>
            <w:tcW w:w="2337" w:type="dxa"/>
          </w:tcPr>
          <w:p w:rsidRPr="006D7D46" w:rsidR="000043B1" w:rsidP="001B4BE0" w:rsidRDefault="000043B1" w14:paraId="4066F198" w14:textId="77777777">
            <w:pPr>
              <w:pStyle w:val="Standard"/>
              <w:spacing w:line="240" w:lineRule="auto"/>
              <w:ind w:firstLine="0"/>
              <w:jc w:val="center"/>
              <w:rPr>
                <w:sz w:val="24"/>
                <w:szCs w:val="24"/>
              </w:rPr>
            </w:pPr>
            <w:r>
              <w:rPr>
                <w:sz w:val="24"/>
                <w:szCs w:val="24"/>
              </w:rPr>
              <w:t>7.2885</w:t>
            </w:r>
          </w:p>
        </w:tc>
        <w:tc>
          <w:tcPr>
            <w:tcW w:w="2338" w:type="dxa"/>
          </w:tcPr>
          <w:p w:rsidRPr="006D7D46" w:rsidR="000043B1" w:rsidP="001B4BE0" w:rsidRDefault="000043B1" w14:paraId="484F23DE"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1F1FD8B6" w14:textId="77777777">
            <w:pPr>
              <w:pStyle w:val="Standard"/>
              <w:spacing w:line="240" w:lineRule="auto"/>
              <w:ind w:firstLine="0"/>
              <w:jc w:val="center"/>
              <w:rPr>
                <w:sz w:val="24"/>
                <w:szCs w:val="24"/>
              </w:rPr>
            </w:pPr>
            <w:r>
              <w:rPr>
                <w:sz w:val="24"/>
                <w:szCs w:val="24"/>
              </w:rPr>
              <w:t>3.08</w:t>
            </w:r>
          </w:p>
        </w:tc>
      </w:tr>
      <w:tr w:rsidR="000043B1" w:rsidTr="001B4BE0" w14:paraId="45D1B818" w14:textId="77777777">
        <w:tc>
          <w:tcPr>
            <w:tcW w:w="2337" w:type="dxa"/>
          </w:tcPr>
          <w:p w:rsidRPr="006D7D46" w:rsidR="000043B1" w:rsidP="001B4BE0" w:rsidRDefault="000043B1" w14:paraId="05873E52" w14:textId="77777777">
            <w:pPr>
              <w:pStyle w:val="Standard"/>
              <w:spacing w:line="240" w:lineRule="auto"/>
              <w:ind w:firstLine="0"/>
              <w:rPr>
                <w:sz w:val="24"/>
                <w:szCs w:val="24"/>
              </w:rPr>
            </w:pPr>
            <w:r>
              <w:rPr>
                <w:sz w:val="24"/>
                <w:szCs w:val="24"/>
              </w:rPr>
              <w:t>MCE</w:t>
            </w:r>
          </w:p>
        </w:tc>
        <w:tc>
          <w:tcPr>
            <w:tcW w:w="2337" w:type="dxa"/>
          </w:tcPr>
          <w:p w:rsidRPr="006D7D46" w:rsidR="000043B1" w:rsidP="001B4BE0" w:rsidRDefault="000043B1" w14:paraId="306E87C3" w14:textId="77777777">
            <w:pPr>
              <w:pStyle w:val="Standard"/>
              <w:spacing w:line="240" w:lineRule="auto"/>
              <w:ind w:firstLine="0"/>
              <w:jc w:val="center"/>
              <w:rPr>
                <w:sz w:val="24"/>
                <w:szCs w:val="24"/>
              </w:rPr>
            </w:pPr>
            <w:r>
              <w:rPr>
                <w:sz w:val="24"/>
                <w:szCs w:val="24"/>
              </w:rPr>
              <w:t>8.2515</w:t>
            </w:r>
          </w:p>
        </w:tc>
        <w:tc>
          <w:tcPr>
            <w:tcW w:w="2338" w:type="dxa"/>
          </w:tcPr>
          <w:p w:rsidRPr="006D7D46" w:rsidR="000043B1" w:rsidP="001B4BE0" w:rsidRDefault="000043B1" w14:paraId="1B5B119E"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0FBFA2B5" w14:textId="77777777">
            <w:pPr>
              <w:pStyle w:val="Standard"/>
              <w:spacing w:line="240" w:lineRule="auto"/>
              <w:ind w:firstLine="0"/>
              <w:jc w:val="center"/>
              <w:rPr>
                <w:sz w:val="24"/>
                <w:szCs w:val="24"/>
              </w:rPr>
            </w:pPr>
            <w:r>
              <w:rPr>
                <w:sz w:val="24"/>
                <w:szCs w:val="24"/>
              </w:rPr>
              <w:t>3.49</w:t>
            </w:r>
          </w:p>
        </w:tc>
      </w:tr>
      <w:tr w:rsidR="000043B1" w:rsidTr="001B4BE0" w14:paraId="36B68E0F" w14:textId="77777777">
        <w:tc>
          <w:tcPr>
            <w:tcW w:w="2337" w:type="dxa"/>
          </w:tcPr>
          <w:p w:rsidRPr="006D7D46" w:rsidR="000043B1" w:rsidP="001B4BE0" w:rsidRDefault="000043B1" w14:paraId="19904F5B" w14:textId="77777777">
            <w:pPr>
              <w:pStyle w:val="Standard"/>
              <w:spacing w:line="240" w:lineRule="auto"/>
              <w:ind w:firstLine="0"/>
              <w:rPr>
                <w:sz w:val="24"/>
                <w:szCs w:val="24"/>
              </w:rPr>
            </w:pPr>
            <w:r>
              <w:rPr>
                <w:sz w:val="24"/>
                <w:szCs w:val="24"/>
              </w:rPr>
              <w:t>PCE</w:t>
            </w:r>
          </w:p>
        </w:tc>
        <w:tc>
          <w:tcPr>
            <w:tcW w:w="2337" w:type="dxa"/>
          </w:tcPr>
          <w:p w:rsidRPr="006D7D46" w:rsidR="000043B1" w:rsidP="001B4BE0" w:rsidRDefault="000043B1" w14:paraId="50411958" w14:textId="77777777">
            <w:pPr>
              <w:pStyle w:val="Standard"/>
              <w:spacing w:line="240" w:lineRule="auto"/>
              <w:ind w:firstLine="0"/>
              <w:jc w:val="center"/>
              <w:rPr>
                <w:sz w:val="24"/>
                <w:szCs w:val="24"/>
              </w:rPr>
            </w:pPr>
            <w:r>
              <w:rPr>
                <w:sz w:val="24"/>
                <w:szCs w:val="24"/>
              </w:rPr>
              <w:t>6.008</w:t>
            </w:r>
          </w:p>
        </w:tc>
        <w:tc>
          <w:tcPr>
            <w:tcW w:w="2338" w:type="dxa"/>
          </w:tcPr>
          <w:p w:rsidRPr="006D7D46" w:rsidR="000043B1" w:rsidP="001B4BE0" w:rsidRDefault="000043B1" w14:paraId="6C762327"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0B2F7560" w14:textId="77777777">
            <w:pPr>
              <w:pStyle w:val="Standard"/>
              <w:spacing w:line="240" w:lineRule="auto"/>
              <w:ind w:firstLine="0"/>
              <w:jc w:val="center"/>
              <w:rPr>
                <w:sz w:val="24"/>
                <w:szCs w:val="24"/>
              </w:rPr>
            </w:pPr>
            <w:r>
              <w:rPr>
                <w:sz w:val="24"/>
                <w:szCs w:val="24"/>
              </w:rPr>
              <w:t>2.54</w:t>
            </w:r>
          </w:p>
        </w:tc>
      </w:tr>
      <w:tr w:rsidR="000043B1" w:rsidTr="001B4BE0" w14:paraId="432FC300" w14:textId="77777777">
        <w:tc>
          <w:tcPr>
            <w:tcW w:w="2337" w:type="dxa"/>
          </w:tcPr>
          <w:p w:rsidRPr="006D7D46" w:rsidR="000043B1" w:rsidP="001B4BE0" w:rsidRDefault="000043B1" w14:paraId="1474B968" w14:textId="77777777">
            <w:pPr>
              <w:pStyle w:val="Standard"/>
              <w:spacing w:line="240" w:lineRule="auto"/>
              <w:ind w:firstLine="0"/>
              <w:rPr>
                <w:sz w:val="24"/>
                <w:szCs w:val="24"/>
              </w:rPr>
            </w:pPr>
            <w:r>
              <w:rPr>
                <w:sz w:val="24"/>
                <w:szCs w:val="24"/>
              </w:rPr>
              <w:t>SJCE</w:t>
            </w:r>
          </w:p>
        </w:tc>
        <w:tc>
          <w:tcPr>
            <w:tcW w:w="2337" w:type="dxa"/>
          </w:tcPr>
          <w:p w:rsidRPr="006D7D46" w:rsidR="000043B1" w:rsidP="001B4BE0" w:rsidRDefault="000043B1" w14:paraId="5CF98A18" w14:textId="77777777">
            <w:pPr>
              <w:pStyle w:val="Standard"/>
              <w:spacing w:line="240" w:lineRule="auto"/>
              <w:ind w:firstLine="0"/>
              <w:jc w:val="center"/>
              <w:rPr>
                <w:sz w:val="24"/>
                <w:szCs w:val="24"/>
              </w:rPr>
            </w:pPr>
            <w:r>
              <w:rPr>
                <w:sz w:val="24"/>
                <w:szCs w:val="24"/>
              </w:rPr>
              <w:t>2.604</w:t>
            </w:r>
          </w:p>
        </w:tc>
        <w:tc>
          <w:tcPr>
            <w:tcW w:w="2338" w:type="dxa"/>
          </w:tcPr>
          <w:p w:rsidRPr="006D7D46" w:rsidR="000043B1" w:rsidP="001B4BE0" w:rsidRDefault="000043B1" w14:paraId="6C33A736"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14A2C36C" w14:textId="77777777">
            <w:pPr>
              <w:pStyle w:val="Standard"/>
              <w:spacing w:line="240" w:lineRule="auto"/>
              <w:ind w:firstLine="0"/>
              <w:jc w:val="center"/>
              <w:rPr>
                <w:sz w:val="24"/>
                <w:szCs w:val="24"/>
              </w:rPr>
            </w:pPr>
            <w:r>
              <w:rPr>
                <w:sz w:val="24"/>
                <w:szCs w:val="24"/>
              </w:rPr>
              <w:t>1.10</w:t>
            </w:r>
          </w:p>
        </w:tc>
      </w:tr>
      <w:tr w:rsidR="000043B1" w:rsidTr="001B4BE0" w14:paraId="1E28F2E6" w14:textId="77777777">
        <w:tc>
          <w:tcPr>
            <w:tcW w:w="2337" w:type="dxa"/>
            <w:vAlign w:val="center"/>
          </w:tcPr>
          <w:p w:rsidRPr="006D7D46" w:rsidR="000043B1" w:rsidP="001B4BE0" w:rsidRDefault="000043B1" w14:paraId="1A58BCC1" w14:textId="77777777">
            <w:pPr>
              <w:pStyle w:val="Standard"/>
              <w:spacing w:line="240" w:lineRule="auto"/>
              <w:ind w:firstLine="0"/>
              <w:jc w:val="right"/>
              <w:rPr>
                <w:sz w:val="24"/>
                <w:szCs w:val="24"/>
              </w:rPr>
            </w:pPr>
            <w:r>
              <w:rPr>
                <w:sz w:val="24"/>
                <w:szCs w:val="24"/>
              </w:rPr>
              <w:t>PG&amp;E Service Territory</w:t>
            </w:r>
          </w:p>
        </w:tc>
        <w:tc>
          <w:tcPr>
            <w:tcW w:w="2337" w:type="dxa"/>
          </w:tcPr>
          <w:p w:rsidRPr="006D7D46" w:rsidR="000043B1" w:rsidP="001B4BE0" w:rsidRDefault="000043B1" w14:paraId="594E0537" w14:textId="77777777">
            <w:pPr>
              <w:pStyle w:val="Standard"/>
              <w:spacing w:line="240" w:lineRule="auto"/>
              <w:ind w:firstLine="0"/>
              <w:jc w:val="center"/>
              <w:rPr>
                <w:sz w:val="24"/>
                <w:szCs w:val="24"/>
              </w:rPr>
            </w:pPr>
            <w:r>
              <w:rPr>
                <w:sz w:val="24"/>
                <w:szCs w:val="24"/>
              </w:rPr>
              <w:t>107.2085</w:t>
            </w:r>
          </w:p>
        </w:tc>
        <w:tc>
          <w:tcPr>
            <w:tcW w:w="2338" w:type="dxa"/>
          </w:tcPr>
          <w:p w:rsidRPr="006D7D46" w:rsidR="000043B1" w:rsidP="001B4BE0" w:rsidRDefault="000043B1" w14:paraId="212AE54D" w14:textId="77777777">
            <w:pPr>
              <w:pStyle w:val="Standard"/>
              <w:spacing w:line="240" w:lineRule="auto"/>
              <w:ind w:firstLine="0"/>
              <w:jc w:val="center"/>
              <w:rPr>
                <w:sz w:val="24"/>
                <w:szCs w:val="24"/>
              </w:rPr>
            </w:pPr>
            <w:r>
              <w:rPr>
                <w:sz w:val="24"/>
                <w:szCs w:val="24"/>
              </w:rPr>
              <w:t>12</w:t>
            </w:r>
          </w:p>
        </w:tc>
        <w:tc>
          <w:tcPr>
            <w:tcW w:w="2338" w:type="dxa"/>
          </w:tcPr>
          <w:p w:rsidRPr="006D7D46" w:rsidR="000043B1" w:rsidP="001B4BE0" w:rsidRDefault="000043B1" w14:paraId="05AB780B" w14:textId="77777777">
            <w:pPr>
              <w:pStyle w:val="Standard"/>
              <w:spacing w:line="240" w:lineRule="auto"/>
              <w:ind w:firstLine="0"/>
              <w:jc w:val="center"/>
              <w:rPr>
                <w:sz w:val="24"/>
                <w:szCs w:val="24"/>
              </w:rPr>
            </w:pPr>
            <w:r>
              <w:rPr>
                <w:sz w:val="24"/>
                <w:szCs w:val="24"/>
              </w:rPr>
              <w:t>50.45</w:t>
            </w:r>
          </w:p>
        </w:tc>
      </w:tr>
      <w:tr w:rsidR="000043B1" w:rsidTr="001B4BE0" w14:paraId="1370351F" w14:textId="77777777">
        <w:tc>
          <w:tcPr>
            <w:tcW w:w="2337" w:type="dxa"/>
          </w:tcPr>
          <w:p w:rsidRPr="006D7D46" w:rsidR="000043B1" w:rsidP="001B4BE0" w:rsidRDefault="000043B1" w14:paraId="23FB1E2C" w14:textId="77777777">
            <w:pPr>
              <w:pStyle w:val="Standard"/>
              <w:spacing w:line="240" w:lineRule="auto"/>
              <w:ind w:firstLine="0"/>
              <w:rPr>
                <w:sz w:val="24"/>
                <w:szCs w:val="24"/>
              </w:rPr>
            </w:pPr>
            <w:r>
              <w:rPr>
                <w:sz w:val="24"/>
                <w:szCs w:val="24"/>
              </w:rPr>
              <w:t>SCE</w:t>
            </w:r>
          </w:p>
        </w:tc>
        <w:tc>
          <w:tcPr>
            <w:tcW w:w="2337" w:type="dxa"/>
          </w:tcPr>
          <w:p w:rsidRPr="006D7D46" w:rsidR="000043B1" w:rsidP="001B4BE0" w:rsidRDefault="000043B1" w14:paraId="73C155CC" w14:textId="77777777">
            <w:pPr>
              <w:pStyle w:val="Standard"/>
              <w:spacing w:line="240" w:lineRule="auto"/>
              <w:ind w:firstLine="0"/>
              <w:jc w:val="center"/>
              <w:rPr>
                <w:sz w:val="24"/>
                <w:szCs w:val="24"/>
              </w:rPr>
            </w:pPr>
            <w:r>
              <w:rPr>
                <w:sz w:val="24"/>
                <w:szCs w:val="24"/>
              </w:rPr>
              <w:t>68.13</w:t>
            </w:r>
          </w:p>
        </w:tc>
        <w:tc>
          <w:tcPr>
            <w:tcW w:w="2338" w:type="dxa"/>
          </w:tcPr>
          <w:p w:rsidRPr="006D7D46" w:rsidR="000043B1" w:rsidP="001B4BE0" w:rsidRDefault="000043B1" w14:paraId="5B056ED1" w14:textId="77777777">
            <w:pPr>
              <w:pStyle w:val="Standard"/>
              <w:spacing w:line="240" w:lineRule="auto"/>
              <w:ind w:firstLine="0"/>
              <w:jc w:val="center"/>
              <w:rPr>
                <w:sz w:val="24"/>
                <w:szCs w:val="24"/>
              </w:rPr>
            </w:pPr>
            <w:r>
              <w:rPr>
                <w:sz w:val="24"/>
                <w:szCs w:val="24"/>
              </w:rPr>
              <w:t>3</w:t>
            </w:r>
          </w:p>
        </w:tc>
        <w:tc>
          <w:tcPr>
            <w:tcW w:w="2338" w:type="dxa"/>
          </w:tcPr>
          <w:p w:rsidRPr="006D7D46" w:rsidR="000043B1" w:rsidP="001B4BE0" w:rsidRDefault="000043B1" w14:paraId="7A791D91" w14:textId="77777777">
            <w:pPr>
              <w:pStyle w:val="Standard"/>
              <w:spacing w:line="240" w:lineRule="auto"/>
              <w:ind w:firstLine="0"/>
              <w:jc w:val="center"/>
              <w:rPr>
                <w:sz w:val="24"/>
                <w:szCs w:val="24"/>
              </w:rPr>
            </w:pPr>
            <w:r>
              <w:rPr>
                <w:sz w:val="24"/>
                <w:szCs w:val="24"/>
              </w:rPr>
              <w:t>30.10</w:t>
            </w:r>
          </w:p>
        </w:tc>
      </w:tr>
      <w:tr w:rsidR="000043B1" w:rsidTr="001B4BE0" w14:paraId="68A23A79" w14:textId="77777777">
        <w:tc>
          <w:tcPr>
            <w:tcW w:w="2337" w:type="dxa"/>
          </w:tcPr>
          <w:p w:rsidRPr="006D7D46" w:rsidR="000043B1" w:rsidP="001B4BE0" w:rsidRDefault="000043B1" w14:paraId="52B29A09" w14:textId="77777777">
            <w:pPr>
              <w:pStyle w:val="Standard"/>
              <w:spacing w:line="240" w:lineRule="auto"/>
              <w:ind w:firstLine="0"/>
              <w:rPr>
                <w:sz w:val="24"/>
                <w:szCs w:val="24"/>
              </w:rPr>
            </w:pPr>
            <w:r>
              <w:rPr>
                <w:sz w:val="24"/>
                <w:szCs w:val="24"/>
              </w:rPr>
              <w:t>CPA</w:t>
            </w:r>
          </w:p>
        </w:tc>
        <w:tc>
          <w:tcPr>
            <w:tcW w:w="2337" w:type="dxa"/>
          </w:tcPr>
          <w:p w:rsidRPr="006D7D46" w:rsidR="000043B1" w:rsidP="001B4BE0" w:rsidRDefault="000043B1" w14:paraId="28CC38D1" w14:textId="77777777">
            <w:pPr>
              <w:pStyle w:val="Standard"/>
              <w:spacing w:line="240" w:lineRule="auto"/>
              <w:ind w:firstLine="0"/>
              <w:jc w:val="center"/>
              <w:rPr>
                <w:sz w:val="24"/>
                <w:szCs w:val="24"/>
              </w:rPr>
            </w:pPr>
            <w:r>
              <w:rPr>
                <w:sz w:val="24"/>
                <w:szCs w:val="24"/>
              </w:rPr>
              <w:t>18.285</w:t>
            </w:r>
          </w:p>
        </w:tc>
        <w:tc>
          <w:tcPr>
            <w:tcW w:w="2338" w:type="dxa"/>
          </w:tcPr>
          <w:p w:rsidRPr="006D7D46" w:rsidR="000043B1" w:rsidP="001B4BE0" w:rsidRDefault="000043B1" w14:paraId="3DAC72D5" w14:textId="77777777">
            <w:pPr>
              <w:pStyle w:val="Standard"/>
              <w:spacing w:line="240" w:lineRule="auto"/>
              <w:ind w:firstLine="0"/>
              <w:jc w:val="center"/>
              <w:rPr>
                <w:sz w:val="24"/>
                <w:szCs w:val="24"/>
              </w:rPr>
            </w:pPr>
            <w:r>
              <w:rPr>
                <w:sz w:val="24"/>
                <w:szCs w:val="24"/>
              </w:rPr>
              <w:t>3.37</w:t>
            </w:r>
          </w:p>
        </w:tc>
        <w:tc>
          <w:tcPr>
            <w:tcW w:w="2338" w:type="dxa"/>
          </w:tcPr>
          <w:p w:rsidRPr="006D7D46" w:rsidR="000043B1" w:rsidP="001B4BE0" w:rsidRDefault="000043B1" w14:paraId="1BBE251B" w14:textId="77777777">
            <w:pPr>
              <w:pStyle w:val="Standard"/>
              <w:spacing w:line="240" w:lineRule="auto"/>
              <w:ind w:firstLine="0"/>
              <w:jc w:val="center"/>
              <w:rPr>
                <w:sz w:val="24"/>
                <w:szCs w:val="24"/>
              </w:rPr>
            </w:pPr>
            <w:r>
              <w:rPr>
                <w:sz w:val="24"/>
                <w:szCs w:val="24"/>
              </w:rPr>
              <w:t>9.16</w:t>
            </w:r>
          </w:p>
        </w:tc>
      </w:tr>
      <w:tr w:rsidR="000043B1" w:rsidTr="001B4BE0" w14:paraId="27E9CFDD" w14:textId="77777777">
        <w:tc>
          <w:tcPr>
            <w:tcW w:w="2337" w:type="dxa"/>
          </w:tcPr>
          <w:p w:rsidRPr="006D7D46" w:rsidR="000043B1" w:rsidP="001B4BE0" w:rsidRDefault="000043B1" w14:paraId="32AA209B" w14:textId="77777777">
            <w:pPr>
              <w:pStyle w:val="Standard"/>
              <w:spacing w:line="240" w:lineRule="auto"/>
              <w:ind w:firstLine="0"/>
              <w:rPr>
                <w:sz w:val="24"/>
                <w:szCs w:val="24"/>
              </w:rPr>
            </w:pPr>
            <w:r>
              <w:rPr>
                <w:sz w:val="24"/>
                <w:szCs w:val="24"/>
              </w:rPr>
              <w:t>CalChoice</w:t>
            </w:r>
          </w:p>
        </w:tc>
        <w:tc>
          <w:tcPr>
            <w:tcW w:w="2337" w:type="dxa"/>
          </w:tcPr>
          <w:p w:rsidRPr="006D7D46" w:rsidR="000043B1" w:rsidP="001B4BE0" w:rsidRDefault="000043B1" w14:paraId="43B19C52" w14:textId="77777777">
            <w:pPr>
              <w:pStyle w:val="Standard"/>
              <w:spacing w:line="240" w:lineRule="auto"/>
              <w:ind w:firstLine="0"/>
              <w:jc w:val="center"/>
              <w:rPr>
                <w:sz w:val="24"/>
                <w:szCs w:val="24"/>
              </w:rPr>
            </w:pPr>
            <w:r>
              <w:rPr>
                <w:sz w:val="24"/>
                <w:szCs w:val="24"/>
              </w:rPr>
              <w:t>1.31</w:t>
            </w:r>
          </w:p>
        </w:tc>
        <w:tc>
          <w:tcPr>
            <w:tcW w:w="2338" w:type="dxa"/>
          </w:tcPr>
          <w:p w:rsidRPr="006D7D46" w:rsidR="000043B1" w:rsidP="001B4BE0" w:rsidRDefault="000043B1" w14:paraId="0FC6D09B"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93D837A" w14:textId="77777777">
            <w:pPr>
              <w:pStyle w:val="Standard"/>
              <w:spacing w:line="240" w:lineRule="auto"/>
              <w:ind w:firstLine="0"/>
              <w:jc w:val="center"/>
              <w:rPr>
                <w:sz w:val="24"/>
                <w:szCs w:val="24"/>
              </w:rPr>
            </w:pPr>
            <w:r>
              <w:rPr>
                <w:sz w:val="24"/>
                <w:szCs w:val="24"/>
              </w:rPr>
              <w:t>.55</w:t>
            </w:r>
          </w:p>
        </w:tc>
      </w:tr>
      <w:tr w:rsidR="000043B1" w:rsidTr="001B4BE0" w14:paraId="689DAC9C" w14:textId="77777777">
        <w:tc>
          <w:tcPr>
            <w:tcW w:w="2337" w:type="dxa"/>
          </w:tcPr>
          <w:p w:rsidRPr="006D7D46" w:rsidR="000043B1" w:rsidP="001B4BE0" w:rsidRDefault="000043B1" w14:paraId="4FD82461" w14:textId="77777777">
            <w:pPr>
              <w:pStyle w:val="Standard"/>
              <w:spacing w:line="240" w:lineRule="auto"/>
              <w:ind w:firstLine="0"/>
              <w:jc w:val="right"/>
              <w:rPr>
                <w:sz w:val="24"/>
                <w:szCs w:val="24"/>
              </w:rPr>
            </w:pPr>
            <w:r>
              <w:rPr>
                <w:sz w:val="24"/>
                <w:szCs w:val="24"/>
              </w:rPr>
              <w:t>SCE Service Territory</w:t>
            </w:r>
          </w:p>
        </w:tc>
        <w:tc>
          <w:tcPr>
            <w:tcW w:w="2337" w:type="dxa"/>
          </w:tcPr>
          <w:p w:rsidRPr="006D7D46" w:rsidR="000043B1" w:rsidP="001B4BE0" w:rsidRDefault="000043B1" w14:paraId="31F887F0" w14:textId="77777777">
            <w:pPr>
              <w:pStyle w:val="Standard"/>
              <w:spacing w:line="240" w:lineRule="auto"/>
              <w:ind w:firstLine="0"/>
              <w:jc w:val="center"/>
              <w:rPr>
                <w:sz w:val="24"/>
                <w:szCs w:val="24"/>
              </w:rPr>
            </w:pPr>
            <w:r>
              <w:rPr>
                <w:sz w:val="24"/>
                <w:szCs w:val="24"/>
              </w:rPr>
              <w:t>87.725</w:t>
            </w:r>
          </w:p>
        </w:tc>
        <w:tc>
          <w:tcPr>
            <w:tcW w:w="2338" w:type="dxa"/>
          </w:tcPr>
          <w:p w:rsidRPr="006D7D46" w:rsidR="000043B1" w:rsidP="001B4BE0" w:rsidRDefault="000043B1" w14:paraId="2683CED7" w14:textId="77777777">
            <w:pPr>
              <w:pStyle w:val="Standard"/>
              <w:spacing w:line="240" w:lineRule="auto"/>
              <w:ind w:firstLine="0"/>
              <w:jc w:val="center"/>
              <w:rPr>
                <w:sz w:val="24"/>
                <w:szCs w:val="24"/>
              </w:rPr>
            </w:pPr>
            <w:r>
              <w:rPr>
                <w:sz w:val="24"/>
                <w:szCs w:val="24"/>
              </w:rPr>
              <w:t>6.37</w:t>
            </w:r>
          </w:p>
        </w:tc>
        <w:tc>
          <w:tcPr>
            <w:tcW w:w="2338" w:type="dxa"/>
          </w:tcPr>
          <w:p w:rsidRPr="006D7D46" w:rsidR="000043B1" w:rsidP="001B4BE0" w:rsidRDefault="000043B1" w14:paraId="29A2E0FA" w14:textId="77777777">
            <w:pPr>
              <w:pStyle w:val="Standard"/>
              <w:spacing w:line="240" w:lineRule="auto"/>
              <w:ind w:firstLine="0"/>
              <w:jc w:val="center"/>
              <w:rPr>
                <w:sz w:val="24"/>
                <w:szCs w:val="24"/>
              </w:rPr>
            </w:pPr>
            <w:r>
              <w:rPr>
                <w:sz w:val="24"/>
                <w:szCs w:val="24"/>
              </w:rPr>
              <w:t>39.82</w:t>
            </w:r>
          </w:p>
        </w:tc>
      </w:tr>
      <w:tr w:rsidR="000043B1" w:rsidTr="001B4BE0" w14:paraId="3B608084" w14:textId="77777777">
        <w:tc>
          <w:tcPr>
            <w:tcW w:w="2337" w:type="dxa"/>
          </w:tcPr>
          <w:p w:rsidR="000043B1" w:rsidP="001B4BE0" w:rsidRDefault="000043B1" w14:paraId="03F3DC0E" w14:textId="77777777">
            <w:pPr>
              <w:pStyle w:val="Standard"/>
              <w:spacing w:line="240" w:lineRule="auto"/>
              <w:ind w:firstLine="0"/>
              <w:rPr>
                <w:sz w:val="24"/>
                <w:szCs w:val="24"/>
              </w:rPr>
            </w:pPr>
            <w:r>
              <w:rPr>
                <w:sz w:val="24"/>
                <w:szCs w:val="24"/>
              </w:rPr>
              <w:t>SDG&amp;E</w:t>
            </w:r>
          </w:p>
        </w:tc>
        <w:tc>
          <w:tcPr>
            <w:tcW w:w="2337" w:type="dxa"/>
          </w:tcPr>
          <w:p w:rsidRPr="006D7D46" w:rsidR="000043B1" w:rsidP="001B4BE0" w:rsidRDefault="000043B1" w14:paraId="3D4DB078" w14:textId="77777777">
            <w:pPr>
              <w:pStyle w:val="Standard"/>
              <w:spacing w:line="240" w:lineRule="auto"/>
              <w:ind w:firstLine="0"/>
              <w:jc w:val="center"/>
              <w:rPr>
                <w:sz w:val="24"/>
                <w:szCs w:val="24"/>
              </w:rPr>
            </w:pPr>
            <w:r>
              <w:rPr>
                <w:sz w:val="24"/>
                <w:szCs w:val="24"/>
              </w:rPr>
              <w:t>2.84</w:t>
            </w:r>
          </w:p>
        </w:tc>
        <w:tc>
          <w:tcPr>
            <w:tcW w:w="2338" w:type="dxa"/>
          </w:tcPr>
          <w:p w:rsidRPr="006D7D46" w:rsidR="000043B1" w:rsidP="001B4BE0" w:rsidRDefault="000043B1" w14:paraId="6877CBF3"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6D819BE" w14:textId="77777777">
            <w:pPr>
              <w:pStyle w:val="Standard"/>
              <w:spacing w:line="240" w:lineRule="auto"/>
              <w:ind w:firstLine="0"/>
              <w:jc w:val="center"/>
              <w:rPr>
                <w:sz w:val="24"/>
                <w:szCs w:val="24"/>
              </w:rPr>
            </w:pPr>
            <w:r>
              <w:rPr>
                <w:sz w:val="24"/>
                <w:szCs w:val="24"/>
              </w:rPr>
              <w:t>1.20</w:t>
            </w:r>
          </w:p>
        </w:tc>
      </w:tr>
      <w:tr w:rsidR="000043B1" w:rsidTr="001B4BE0" w14:paraId="64AC4BFD" w14:textId="77777777">
        <w:tc>
          <w:tcPr>
            <w:tcW w:w="2337" w:type="dxa"/>
          </w:tcPr>
          <w:p w:rsidR="000043B1" w:rsidP="001B4BE0" w:rsidRDefault="000043B1" w14:paraId="002F106A" w14:textId="77777777">
            <w:pPr>
              <w:pStyle w:val="Standard"/>
              <w:spacing w:line="240" w:lineRule="auto"/>
              <w:ind w:firstLine="0"/>
              <w:rPr>
                <w:sz w:val="24"/>
                <w:szCs w:val="24"/>
              </w:rPr>
            </w:pPr>
            <w:r>
              <w:rPr>
                <w:sz w:val="24"/>
                <w:szCs w:val="24"/>
              </w:rPr>
              <w:t>SDCP</w:t>
            </w:r>
          </w:p>
        </w:tc>
        <w:tc>
          <w:tcPr>
            <w:tcW w:w="2337" w:type="dxa"/>
          </w:tcPr>
          <w:p w:rsidRPr="006D7D46" w:rsidR="000043B1" w:rsidP="001B4BE0" w:rsidRDefault="000043B1" w14:paraId="2895586C" w14:textId="77777777">
            <w:pPr>
              <w:pStyle w:val="Standard"/>
              <w:spacing w:line="240" w:lineRule="auto"/>
              <w:ind w:firstLine="0"/>
              <w:jc w:val="center"/>
              <w:rPr>
                <w:sz w:val="24"/>
                <w:szCs w:val="24"/>
              </w:rPr>
            </w:pPr>
            <w:r>
              <w:rPr>
                <w:sz w:val="24"/>
                <w:szCs w:val="24"/>
              </w:rPr>
              <w:t>20.16</w:t>
            </w:r>
          </w:p>
        </w:tc>
        <w:tc>
          <w:tcPr>
            <w:tcW w:w="2338" w:type="dxa"/>
          </w:tcPr>
          <w:p w:rsidRPr="006D7D46" w:rsidR="000043B1" w:rsidP="001B4BE0" w:rsidRDefault="000043B1" w14:paraId="046DFDA2"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0AA7DBEA" w14:textId="77777777">
            <w:pPr>
              <w:pStyle w:val="Standard"/>
              <w:spacing w:line="240" w:lineRule="auto"/>
              <w:ind w:firstLine="0"/>
              <w:jc w:val="center"/>
              <w:rPr>
                <w:sz w:val="24"/>
                <w:szCs w:val="24"/>
              </w:rPr>
            </w:pPr>
            <w:r>
              <w:rPr>
                <w:sz w:val="24"/>
                <w:szCs w:val="24"/>
              </w:rPr>
              <w:t>8.53</w:t>
            </w:r>
          </w:p>
        </w:tc>
      </w:tr>
      <w:tr w:rsidR="000043B1" w:rsidTr="001B4BE0" w14:paraId="108A2C29" w14:textId="77777777">
        <w:tc>
          <w:tcPr>
            <w:tcW w:w="2337" w:type="dxa"/>
          </w:tcPr>
          <w:p w:rsidR="000043B1" w:rsidP="001B4BE0" w:rsidRDefault="000043B1" w14:paraId="40EC1AA7" w14:textId="77777777">
            <w:pPr>
              <w:pStyle w:val="Standard"/>
              <w:spacing w:line="240" w:lineRule="auto"/>
              <w:ind w:firstLine="0"/>
              <w:jc w:val="right"/>
              <w:rPr>
                <w:sz w:val="24"/>
                <w:szCs w:val="24"/>
              </w:rPr>
            </w:pPr>
            <w:r>
              <w:rPr>
                <w:sz w:val="24"/>
                <w:szCs w:val="24"/>
              </w:rPr>
              <w:t>SDG&amp;E Service Territory</w:t>
            </w:r>
          </w:p>
        </w:tc>
        <w:tc>
          <w:tcPr>
            <w:tcW w:w="2337" w:type="dxa"/>
          </w:tcPr>
          <w:p w:rsidRPr="006D7D46" w:rsidR="000043B1" w:rsidP="001B4BE0" w:rsidRDefault="000043B1" w14:paraId="3CC7482B" w14:textId="77777777">
            <w:pPr>
              <w:pStyle w:val="Standard"/>
              <w:spacing w:line="240" w:lineRule="auto"/>
              <w:ind w:firstLine="0"/>
              <w:jc w:val="center"/>
              <w:rPr>
                <w:sz w:val="24"/>
                <w:szCs w:val="24"/>
              </w:rPr>
            </w:pPr>
            <w:r>
              <w:rPr>
                <w:sz w:val="24"/>
                <w:szCs w:val="24"/>
              </w:rPr>
              <w:t>23</w:t>
            </w:r>
          </w:p>
        </w:tc>
        <w:tc>
          <w:tcPr>
            <w:tcW w:w="2338" w:type="dxa"/>
          </w:tcPr>
          <w:p w:rsidRPr="006D7D46" w:rsidR="000043B1" w:rsidP="001B4BE0" w:rsidRDefault="000043B1" w14:paraId="442868BF" w14:textId="77777777">
            <w:pPr>
              <w:pStyle w:val="Standard"/>
              <w:spacing w:line="240" w:lineRule="auto"/>
              <w:ind w:firstLine="0"/>
              <w:jc w:val="center"/>
              <w:rPr>
                <w:sz w:val="24"/>
                <w:szCs w:val="24"/>
              </w:rPr>
            </w:pPr>
            <w:r>
              <w:rPr>
                <w:sz w:val="24"/>
                <w:szCs w:val="24"/>
              </w:rPr>
              <w:t>0</w:t>
            </w:r>
          </w:p>
        </w:tc>
        <w:tc>
          <w:tcPr>
            <w:tcW w:w="2338" w:type="dxa"/>
          </w:tcPr>
          <w:p w:rsidRPr="006D7D46" w:rsidR="000043B1" w:rsidP="001B4BE0" w:rsidRDefault="000043B1" w14:paraId="5D473A08" w14:textId="77777777">
            <w:pPr>
              <w:pStyle w:val="Standard"/>
              <w:spacing w:line="240" w:lineRule="auto"/>
              <w:ind w:firstLine="0"/>
              <w:jc w:val="center"/>
              <w:rPr>
                <w:sz w:val="24"/>
                <w:szCs w:val="24"/>
              </w:rPr>
            </w:pPr>
            <w:r>
              <w:rPr>
                <w:sz w:val="24"/>
                <w:szCs w:val="24"/>
              </w:rPr>
              <w:t>9.73</w:t>
            </w:r>
          </w:p>
        </w:tc>
      </w:tr>
      <w:tr w:rsidR="000043B1" w:rsidTr="001B4BE0" w14:paraId="20217816" w14:textId="77777777">
        <w:tc>
          <w:tcPr>
            <w:tcW w:w="2337" w:type="dxa"/>
          </w:tcPr>
          <w:p w:rsidR="000043B1" w:rsidP="001B4BE0" w:rsidRDefault="000043B1" w14:paraId="1FCCDFE9" w14:textId="77777777">
            <w:pPr>
              <w:pStyle w:val="Standard"/>
              <w:spacing w:line="240" w:lineRule="auto"/>
              <w:ind w:firstLine="0"/>
              <w:jc w:val="right"/>
              <w:rPr>
                <w:sz w:val="24"/>
                <w:szCs w:val="24"/>
              </w:rPr>
            </w:pPr>
            <w:r>
              <w:rPr>
                <w:sz w:val="24"/>
                <w:szCs w:val="24"/>
              </w:rPr>
              <w:t>Total</w:t>
            </w:r>
          </w:p>
        </w:tc>
        <w:tc>
          <w:tcPr>
            <w:tcW w:w="2337" w:type="dxa"/>
          </w:tcPr>
          <w:p w:rsidR="000043B1" w:rsidP="001B4BE0" w:rsidRDefault="000043B1" w14:paraId="11B6BE45" w14:textId="77777777">
            <w:pPr>
              <w:pStyle w:val="Standard"/>
              <w:spacing w:line="240" w:lineRule="auto"/>
              <w:ind w:firstLine="0"/>
              <w:jc w:val="center"/>
              <w:rPr>
                <w:sz w:val="24"/>
                <w:szCs w:val="24"/>
              </w:rPr>
            </w:pPr>
            <w:r>
              <w:rPr>
                <w:sz w:val="24"/>
                <w:szCs w:val="24"/>
              </w:rPr>
              <w:t>217.936</w:t>
            </w:r>
          </w:p>
        </w:tc>
        <w:tc>
          <w:tcPr>
            <w:tcW w:w="2338" w:type="dxa"/>
          </w:tcPr>
          <w:p w:rsidR="000043B1" w:rsidP="001B4BE0" w:rsidRDefault="000043B1" w14:paraId="2AAE21A1" w14:textId="77777777">
            <w:pPr>
              <w:pStyle w:val="Standard"/>
              <w:spacing w:line="240" w:lineRule="auto"/>
              <w:ind w:firstLine="0"/>
              <w:jc w:val="center"/>
              <w:rPr>
                <w:sz w:val="24"/>
                <w:szCs w:val="24"/>
              </w:rPr>
            </w:pPr>
            <w:r>
              <w:rPr>
                <w:sz w:val="24"/>
                <w:szCs w:val="24"/>
              </w:rPr>
              <w:t>18.37</w:t>
            </w:r>
          </w:p>
        </w:tc>
        <w:tc>
          <w:tcPr>
            <w:tcW w:w="2338" w:type="dxa"/>
          </w:tcPr>
          <w:p w:rsidR="000043B1" w:rsidP="001B4BE0" w:rsidRDefault="000043B1" w14:paraId="754CD8AE" w14:textId="77777777">
            <w:pPr>
              <w:pStyle w:val="Standard"/>
              <w:spacing w:line="240" w:lineRule="auto"/>
              <w:ind w:firstLine="0"/>
              <w:jc w:val="center"/>
              <w:rPr>
                <w:sz w:val="24"/>
                <w:szCs w:val="24"/>
              </w:rPr>
            </w:pPr>
            <w:r>
              <w:rPr>
                <w:sz w:val="24"/>
                <w:szCs w:val="24"/>
              </w:rPr>
              <w:t>100</w:t>
            </w:r>
          </w:p>
        </w:tc>
      </w:tr>
    </w:tbl>
    <w:p w:rsidR="00543443" w:rsidP="00AC6E92" w:rsidRDefault="00B800FF" w14:paraId="1037AAC9" w14:textId="51384A09">
      <w:pPr>
        <w:pStyle w:val="Standard"/>
      </w:pPr>
      <w:r>
        <w:t xml:space="preserve">No later than 90 days following the </w:t>
      </w:r>
      <w:r w:rsidR="00230FA8">
        <w:t>effective date of the contract or agreement with the selected consultant</w:t>
      </w:r>
      <w:r w:rsidR="0001058F">
        <w:t xml:space="preserve"> or consultants</w:t>
      </w:r>
      <w:r>
        <w:t xml:space="preserve">, </w:t>
      </w:r>
      <w:r w:rsidR="00230FA8">
        <w:t>the consultant</w:t>
      </w:r>
      <w:r w:rsidR="0001058F">
        <w:t>(s)</w:t>
      </w:r>
      <w:r w:rsidR="00230FA8">
        <w:t xml:space="preserve">, under direction of the </w:t>
      </w:r>
      <w:r>
        <w:t>Energy Division</w:t>
      </w:r>
      <w:r w:rsidR="00230FA8">
        <w:t>,</w:t>
      </w:r>
      <w:r>
        <w:t xml:space="preserve"> </w:t>
      </w:r>
      <w:r w:rsidR="008E2331">
        <w:t>should</w:t>
      </w:r>
      <w:r>
        <w:t xml:space="preserve"> </w:t>
      </w:r>
      <w:r w:rsidR="00230FA8">
        <w:t xml:space="preserve">facilitate </w:t>
      </w:r>
      <w:r>
        <w:t>a workshop with parties to discuss the objectives, methodology, and metrics for the evaluation</w:t>
      </w:r>
      <w:r w:rsidR="0001058F">
        <w:t>s</w:t>
      </w:r>
      <w:r w:rsidR="004B3F90">
        <w:t xml:space="preserve"> of the modified Green Tariff and community renewable energy program</w:t>
      </w:r>
      <w:r>
        <w:t>. The evaluation</w:t>
      </w:r>
      <w:r w:rsidR="0001058F">
        <w:t>s</w:t>
      </w:r>
      <w:r>
        <w:t xml:space="preserve"> shall be completed, and results (including recommendations) shared with the service list no later than three years from the </w:t>
      </w:r>
      <w:r w:rsidR="00C02916">
        <w:t xml:space="preserve">adoption </w:t>
      </w:r>
      <w:r>
        <w:t>of this decision. Parties will be provided an opportunity to comment on the results of the</w:t>
      </w:r>
      <w:r w:rsidR="0001058F">
        <w:t>se</w:t>
      </w:r>
      <w:r>
        <w:t xml:space="preserve"> evaluation</w:t>
      </w:r>
      <w:r w:rsidR="0001058F">
        <w:t>s</w:t>
      </w:r>
      <w:r>
        <w:t xml:space="preserve"> and potential next steps.</w:t>
      </w:r>
    </w:p>
    <w:p w:rsidR="00C27661" w:rsidP="00C27661" w:rsidRDefault="00C27661" w14:paraId="4B31EF3F" w14:textId="668DE80F">
      <w:pPr>
        <w:pStyle w:val="Standard"/>
      </w:pPr>
      <w:r>
        <w:lastRenderedPageBreak/>
        <w:t xml:space="preserve">In comments to the proposed decision, Cal Advocates </w:t>
      </w:r>
      <w:r w:rsidR="004C3FD1">
        <w:t>recommends</w:t>
      </w:r>
      <w:r>
        <w:t xml:space="preserve"> the Commission establish a scope of </w:t>
      </w:r>
      <w:r w:rsidR="00B4140C">
        <w:t xml:space="preserve">implementation </w:t>
      </w:r>
      <w:r>
        <w:t>issues that remain to be considered in this proceeding</w:t>
      </w:r>
      <w:r w:rsidR="004C3FD1">
        <w:t xml:space="preserve"> with respect to the community renewable energy program</w:t>
      </w:r>
      <w:r w:rsidR="00B4140C">
        <w:t xml:space="preserve"> and the modified tariffs adopted in this decision</w:t>
      </w:r>
      <w:r>
        <w:t>.</w:t>
      </w:r>
      <w:r w:rsidR="004C3FD1">
        <w:rPr>
          <w:rStyle w:val="FootnoteReference"/>
        </w:rPr>
        <w:footnoteReference w:id="384"/>
      </w:r>
      <w:r>
        <w:t xml:space="preserve"> Previous</w:t>
      </w:r>
      <w:r w:rsidR="004C3FD1">
        <w:t>ly, this decision</w:t>
      </w:r>
      <w:r>
        <w:t xml:space="preserve"> stated that a future ruling would be issued to </w:t>
      </w:r>
      <w:r w:rsidR="004C3FD1">
        <w:t xml:space="preserve">develop a record to address remaining details. </w:t>
      </w:r>
      <w:r>
        <w:t>This decision confirms a future ruling regarding details on the community renewable energy program</w:t>
      </w:r>
      <w:r w:rsidR="004C3FD1">
        <w:t xml:space="preserve"> will pose questions regarding, but not limited to, the following issues</w:t>
      </w:r>
      <w:r>
        <w:t xml:space="preserve">; (1) method for dispersing </w:t>
      </w:r>
      <w:r w:rsidR="00C85CD0">
        <w:t>external funding to the projects and participating customers of Utilities and CCAs</w:t>
      </w:r>
      <w:r>
        <w:t>; (</w:t>
      </w:r>
      <w:r w:rsidR="00C85CD0">
        <w:t>2</w:t>
      </w:r>
      <w:r w:rsidR="004C3FD1">
        <w:t>) customer protections; (</w:t>
      </w:r>
      <w:r w:rsidR="00C85CD0">
        <w:t>3</w:t>
      </w:r>
      <w:r w:rsidR="004C3FD1">
        <w:t>) reporting requirements; (</w:t>
      </w:r>
      <w:r w:rsidR="00C85CD0">
        <w:t>4</w:t>
      </w:r>
      <w:r w:rsidR="004C3FD1">
        <w:t xml:space="preserve">) auto-enrollment </w:t>
      </w:r>
      <w:r w:rsidR="000501A5">
        <w:t>processes</w:t>
      </w:r>
      <w:r w:rsidR="004C3FD1">
        <w:t>; (</w:t>
      </w:r>
      <w:r w:rsidR="00C85CD0">
        <w:t>5</w:t>
      </w:r>
      <w:r w:rsidR="004C3FD1">
        <w:t>)</w:t>
      </w:r>
      <w:r>
        <w:t>process for CCA participation in the program; (</w:t>
      </w:r>
      <w:r w:rsidR="00C85CD0">
        <w:t>6</w:t>
      </w:r>
      <w:r>
        <w:t xml:space="preserve">) eligible CCA tariffs for the program; </w:t>
      </w:r>
      <w:r w:rsidR="00C85CD0">
        <w:t xml:space="preserve">and </w:t>
      </w:r>
      <w:r>
        <w:t>(</w:t>
      </w:r>
      <w:r w:rsidR="00C85CD0">
        <w:t>7</w:t>
      </w:r>
      <w:r>
        <w:t>)</w:t>
      </w:r>
      <w:r w:rsidR="004C3FD1">
        <w:t xml:space="preserve"> </w:t>
      </w:r>
      <w:r w:rsidR="004B3F90">
        <w:t>an evaluation of stranded legacy Green Tariff costs and appropriate cost recovery mechanisms.</w:t>
      </w:r>
      <w:r>
        <w:t xml:space="preserve"> </w:t>
      </w:r>
    </w:p>
    <w:p w:rsidR="00603238" w:rsidP="001B1E90" w:rsidRDefault="00603238" w14:paraId="1C711D90" w14:textId="69BAFDC3">
      <w:pPr>
        <w:pStyle w:val="Heading1"/>
      </w:pPr>
      <w:bookmarkStart w:name="_Toc158024716" w:id="259"/>
      <w:bookmarkStart w:name="_Toc159551206" w:id="260"/>
      <w:bookmarkStart w:name="_Toc168559324" w:id="261"/>
      <w:bookmarkStart w:name="_Toc8123721" w:id="262"/>
      <w:bookmarkEnd w:id="258"/>
      <w:bookmarkEnd w:id="259"/>
      <w:r>
        <w:t>Summary of Public Comment</w:t>
      </w:r>
      <w:bookmarkEnd w:id="260"/>
      <w:bookmarkEnd w:id="261"/>
    </w:p>
    <w:p w:rsidR="00603238" w:rsidP="00AC6E92" w:rsidRDefault="00566DFA" w14:paraId="095B904C" w14:textId="4A393292">
      <w:pPr>
        <w:pStyle w:val="Standard"/>
      </w:pPr>
      <w:r>
        <w:t>Rule </w:t>
      </w:r>
      <w:r w:rsidRPr="00DF549C" w:rsidR="00603238">
        <w:t xml:space="preserve">1.18 allows any member of the public to submit written comment in any Commission proceeding using the </w:t>
      </w:r>
      <w:r w:rsidR="00440785">
        <w:t>“</w:t>
      </w:r>
      <w:r w:rsidRPr="00DF549C" w:rsidR="00603238">
        <w:t>Public Comment</w:t>
      </w:r>
      <w:r w:rsidR="00440785">
        <w:t>”</w:t>
      </w:r>
      <w:r w:rsidRPr="00DF549C" w:rsidR="00603238">
        <w:t xml:space="preserve"> tab of the online Docket Card for that proceeding on the Commission</w:t>
      </w:r>
      <w:r w:rsidR="00440785">
        <w:t>’</w:t>
      </w:r>
      <w:r w:rsidRPr="00DF549C" w:rsidR="00603238">
        <w:t>s website.</w:t>
      </w:r>
      <w:r w:rsidR="009F5702">
        <w:t xml:space="preserve"> </w:t>
      </w:r>
      <w:r>
        <w:t>Rule </w:t>
      </w:r>
      <w:r w:rsidRPr="00DF549C" w:rsidR="00603238">
        <w:t>1.18(b) requires that relevant written comment submitted in a proceeding be summarized in the final decision issued in that proceeding.</w:t>
      </w:r>
    </w:p>
    <w:p w:rsidRPr="00DF549C" w:rsidR="00EB1A31" w:rsidP="00EB1A31" w:rsidRDefault="00C137D0" w14:paraId="07A97332" w14:textId="5E33ADDD">
      <w:pPr>
        <w:pStyle w:val="Standard"/>
      </w:pPr>
      <w:r>
        <w:t>Fifty-</w:t>
      </w:r>
      <w:r w:rsidR="00EB1A31">
        <w:t>five</w:t>
      </w:r>
      <w:r>
        <w:t xml:space="preserve"> members of the public have posted a comment on the Docket Card for this proceeding. </w:t>
      </w:r>
      <w:r w:rsidR="00EB1A31">
        <w:t xml:space="preserve">However, only 10 of these comments discuss the issues in this proceeding. The other 45 address net energy metering, virtual net energy metering, net energy metering aggregation, and the proposal on an income-based fixed charge. Of the 10 discussing concerns related to the Green Access </w:t>
      </w:r>
      <w:r w:rsidR="00EB1A31">
        <w:lastRenderedPageBreak/>
        <w:t xml:space="preserve">Program tariffs or the community renewable energy program, two </w:t>
      </w:r>
      <w:r w:rsidR="00224F76">
        <w:t xml:space="preserve">are from </w:t>
      </w:r>
      <w:r w:rsidR="00EB1A31">
        <w:t>Boston and eight are from various areas of California including Bakersfield, Fresno, Oakland, San Francisco, San Luis Obispo, and Santa Barbara</w:t>
      </w:r>
      <w:r w:rsidR="00224F76">
        <w:t>. A majority of the eight commenters express opposition to the proposed decision, others seek clarity on aspects of the Green Access Program tariffs.</w:t>
      </w:r>
    </w:p>
    <w:p w:rsidRPr="00603238" w:rsidR="00603238" w:rsidP="00603238" w:rsidRDefault="00DF549C" w14:paraId="18BB6A3C" w14:textId="235A7565">
      <w:pPr>
        <w:pStyle w:val="Standard"/>
      </w:pPr>
      <w:r>
        <w:t>.</w:t>
      </w:r>
    </w:p>
    <w:p w:rsidR="005939A5" w:rsidP="001B1E90" w:rsidRDefault="005939A5" w14:paraId="4406978C" w14:textId="77777777">
      <w:pPr>
        <w:pStyle w:val="Heading1"/>
      </w:pPr>
      <w:bookmarkStart w:name="_Toc8123723" w:id="263"/>
      <w:bookmarkStart w:name="_Toc159551207" w:id="264"/>
      <w:bookmarkStart w:name="_Toc168559325" w:id="265"/>
      <w:bookmarkEnd w:id="262"/>
      <w:r>
        <w:t>Comments on Proposed Decision</w:t>
      </w:r>
      <w:bookmarkEnd w:id="263"/>
      <w:bookmarkEnd w:id="264"/>
      <w:bookmarkEnd w:id="265"/>
    </w:p>
    <w:p w:rsidR="005939A5" w:rsidP="00993744" w:rsidRDefault="005C58FA" w14:paraId="4BF0A728" w14:textId="15E5676C">
      <w:pPr>
        <w:pStyle w:val="Standard"/>
      </w:pPr>
      <w:r w:rsidRPr="00993744">
        <w:t xml:space="preserve">The proposed decision of </w:t>
      </w:r>
      <w:r w:rsidRPr="001857CF" w:rsidR="0069663F">
        <w:t>A</w:t>
      </w:r>
      <w:r w:rsidR="006433E5">
        <w:t xml:space="preserve">dministrative </w:t>
      </w:r>
      <w:r w:rsidRPr="001857CF" w:rsidR="0069663F">
        <w:t>L</w:t>
      </w:r>
      <w:r w:rsidR="006433E5">
        <w:t xml:space="preserve">aw </w:t>
      </w:r>
      <w:r w:rsidRPr="001857CF" w:rsidR="0069663F">
        <w:t>J</w:t>
      </w:r>
      <w:r w:rsidR="006433E5">
        <w:t>udge</w:t>
      </w:r>
      <w:r w:rsidR="0069663F">
        <w:t> </w:t>
      </w:r>
      <w:r w:rsidRPr="00993744" w:rsidR="00993744">
        <w:t>Deb</w:t>
      </w:r>
      <w:r w:rsidR="00993744">
        <w:t>b</w:t>
      </w:r>
      <w:r w:rsidRPr="00993744" w:rsidR="00993744">
        <w:t>i</w:t>
      </w:r>
      <w:r w:rsidR="00993744">
        <w:t>e</w:t>
      </w:r>
      <w:r w:rsidRPr="00993744" w:rsidR="00993744">
        <w:t xml:space="preserve"> Chiv and </w:t>
      </w:r>
      <w:r w:rsidR="0069663F">
        <w:t>A</w:t>
      </w:r>
      <w:r w:rsidR="006433E5">
        <w:t xml:space="preserve">dministrative </w:t>
      </w:r>
      <w:r w:rsidR="0069663F">
        <w:t>L</w:t>
      </w:r>
      <w:r w:rsidR="006433E5">
        <w:t xml:space="preserve">aw </w:t>
      </w:r>
      <w:r w:rsidR="0069663F">
        <w:t>J</w:t>
      </w:r>
      <w:r w:rsidR="006433E5">
        <w:t>udge</w:t>
      </w:r>
      <w:r w:rsidR="0069663F">
        <w:t> </w:t>
      </w:r>
      <w:r w:rsidRPr="00993744" w:rsidR="00993744">
        <w:t>Kelly</w:t>
      </w:r>
      <w:r w:rsidR="0069663F">
        <w:t> </w:t>
      </w:r>
      <w:r w:rsidRPr="00993744" w:rsidR="00993744">
        <w:t xml:space="preserve">A. Hymes </w:t>
      </w:r>
      <w:r w:rsidRPr="00993744">
        <w:t xml:space="preserve">in this matter was mailed to the parties in accordance with </w:t>
      </w:r>
      <w:r w:rsidR="00440785">
        <w:t>Pub. Util.</w:t>
      </w:r>
      <w:r w:rsidR="00D819D8">
        <w:t xml:space="preserve"> Code </w:t>
      </w:r>
      <w:r w:rsidR="003627A8">
        <w:t>Section </w:t>
      </w:r>
      <w:r w:rsidRPr="00993744">
        <w:t>311</w:t>
      </w:r>
      <w:r>
        <w:t xml:space="preserve"> and comments were allowed under </w:t>
      </w:r>
      <w:r w:rsidR="00566DFA">
        <w:t>Rule </w:t>
      </w:r>
      <w:r>
        <w:t>14.3.</w:t>
      </w:r>
      <w:r w:rsidR="009F5702">
        <w:t xml:space="preserve"> </w:t>
      </w:r>
      <w:r>
        <w:t>Comments were filed on</w:t>
      </w:r>
      <w:r w:rsidR="00496B37">
        <w:t xml:space="preserve"> March 24, 2024 by the following parties: </w:t>
      </w:r>
      <w:r w:rsidRPr="00AB4A05" w:rsidR="009F0805">
        <w:t>Arcadia Power;</w:t>
      </w:r>
      <w:r w:rsidRPr="009F0805" w:rsidR="009F0805">
        <w:t xml:space="preserve"> </w:t>
      </w:r>
      <w:r w:rsidRPr="00AB4A05" w:rsidR="009F0805">
        <w:t>Cal Advocates</w:t>
      </w:r>
      <w:r w:rsidRPr="009F0805" w:rsidR="009F0805">
        <w:t xml:space="preserve">: </w:t>
      </w:r>
      <w:r w:rsidRPr="00AB4A05" w:rsidR="009F0805">
        <w:t>CBD;</w:t>
      </w:r>
      <w:r w:rsidRPr="009F0805" w:rsidR="009F0805">
        <w:t xml:space="preserve"> </w:t>
      </w:r>
      <w:r w:rsidRPr="00AB4A05" w:rsidR="009F0805">
        <w:t>CEJA et al.;</w:t>
      </w:r>
      <w:r w:rsidRPr="009F0805" w:rsidR="009F0805">
        <w:t xml:space="preserve"> </w:t>
      </w:r>
      <w:r w:rsidRPr="00AB4A05" w:rsidR="009F0805">
        <w:t>Clean Coalition</w:t>
      </w:r>
      <w:r w:rsidRPr="009F0805" w:rsidR="009F0805">
        <w:t xml:space="preserve">; </w:t>
      </w:r>
      <w:r w:rsidRPr="00AB4A05" w:rsidR="009F0805">
        <w:t>CUE</w:t>
      </w:r>
      <w:r w:rsidRPr="009F0805" w:rsidR="009F0805">
        <w:t xml:space="preserve">; </w:t>
      </w:r>
      <w:r w:rsidRPr="00AB4A05" w:rsidR="009F0805">
        <w:t>CCSA</w:t>
      </w:r>
      <w:r w:rsidRPr="009F0805" w:rsidR="009F0805">
        <w:t xml:space="preserve">: </w:t>
      </w:r>
      <w:r w:rsidRPr="00AB4A05" w:rsidR="009F0805">
        <w:t>Cypress Creek Renewables</w:t>
      </w:r>
      <w:r w:rsidRPr="009F0805" w:rsidR="009F0805">
        <w:t xml:space="preserve">; </w:t>
      </w:r>
      <w:r w:rsidRPr="00AB4A05" w:rsidR="00AB4A05">
        <w:t>Dimension Energy</w:t>
      </w:r>
      <w:r w:rsidR="00AB4A05">
        <w:t xml:space="preserve">; </w:t>
      </w:r>
      <w:r w:rsidRPr="00AB4A05" w:rsidR="009F0805">
        <w:t>Joint CCAs;</w:t>
      </w:r>
      <w:r w:rsidRPr="009F0805" w:rsidR="009F0805">
        <w:t xml:space="preserve"> </w:t>
      </w:r>
      <w:r w:rsidRPr="00AB4A05" w:rsidR="009F0805">
        <w:t>PG&amp;E;</w:t>
      </w:r>
      <w:r w:rsidRPr="009F0805" w:rsidR="009F0805">
        <w:t xml:space="preserve"> </w:t>
      </w:r>
      <w:r w:rsidRPr="00AB4A05" w:rsidR="00AB4A05">
        <w:t>PearlX Infrastructure;</w:t>
      </w:r>
      <w:r w:rsidR="00AB4A05">
        <w:t xml:space="preserve"> San Diego Community Power and Clean Energy Alliance (SDCP et al.); </w:t>
      </w:r>
      <w:r w:rsidRPr="00AB4A05" w:rsidR="009F0805">
        <w:t>SDG&amp;E</w:t>
      </w:r>
      <w:r w:rsidRPr="009F0805" w:rsidR="009F0805">
        <w:t xml:space="preserve">; </w:t>
      </w:r>
      <w:r w:rsidRPr="00AB4A05" w:rsidR="009F0805">
        <w:t>SoCal CCAs</w:t>
      </w:r>
      <w:r w:rsidRPr="009F0805" w:rsidR="009F0805">
        <w:t xml:space="preserve">; </w:t>
      </w:r>
      <w:r w:rsidRPr="00AB4A05" w:rsidR="009F0805">
        <w:t>SCE</w:t>
      </w:r>
      <w:r w:rsidRPr="009F0805" w:rsidR="009F0805">
        <w:t xml:space="preserve">; </w:t>
      </w:r>
      <w:r w:rsidRPr="00AB4A05" w:rsidR="009F0805">
        <w:t>SEIA</w:t>
      </w:r>
      <w:r w:rsidRPr="009F0805" w:rsidR="009F0805">
        <w:t xml:space="preserve">; </w:t>
      </w:r>
      <w:r w:rsidRPr="00AB4A05" w:rsidR="009F0805">
        <w:t>SBUA;</w:t>
      </w:r>
      <w:r w:rsidRPr="009F0805" w:rsidR="009F0805">
        <w:t xml:space="preserve"> </w:t>
      </w:r>
      <w:r w:rsidRPr="00AB4A05" w:rsidR="00AB4A05">
        <w:t>Solar Landscape</w:t>
      </w:r>
      <w:r w:rsidR="00AB4A05">
        <w:t xml:space="preserve">; </w:t>
      </w:r>
      <w:r w:rsidRPr="00AB4A05" w:rsidR="009F0805">
        <w:t>TURN</w:t>
      </w:r>
      <w:r w:rsidRPr="009F0805" w:rsidR="009F0805">
        <w:t xml:space="preserve">; and </w:t>
      </w:r>
      <w:r w:rsidRPr="0050501F" w:rsidR="009F0805">
        <w:t>Valta</w:t>
      </w:r>
      <w:r w:rsidRPr="009F0805" w:rsidR="009F0805">
        <w:t xml:space="preserve"> Energy</w:t>
      </w:r>
      <w:r w:rsidR="00AB4A05">
        <w:t>.</w:t>
      </w:r>
      <w:r w:rsidR="007919FA">
        <w:t xml:space="preserve"> </w:t>
      </w:r>
      <w:r w:rsidR="00496B37">
        <w:t>R</w:t>
      </w:r>
      <w:r>
        <w:t xml:space="preserve">eply comments were filed on </w:t>
      </w:r>
      <w:r w:rsidR="00496B37">
        <w:t>April 2, 2024</w:t>
      </w:r>
      <w:r>
        <w:t xml:space="preserve"> by </w:t>
      </w:r>
      <w:r w:rsidR="00496B37">
        <w:t xml:space="preserve">the following </w:t>
      </w:r>
      <w:r w:rsidRPr="009F0805" w:rsidR="00496B37">
        <w:t xml:space="preserve">parties: </w:t>
      </w:r>
      <w:r w:rsidRPr="009F0805" w:rsidR="009F0805">
        <w:t xml:space="preserve">Arcadia Power, Inc.; Cal Advocates: </w:t>
      </w:r>
      <w:r w:rsidRPr="009F0805" w:rsidR="00496B37">
        <w:t xml:space="preserve">CBD; </w:t>
      </w:r>
      <w:r w:rsidRPr="009F0805" w:rsidR="009F0805">
        <w:t xml:space="preserve">CEJA et al.; </w:t>
      </w:r>
      <w:r w:rsidRPr="009F0805" w:rsidR="00496B37">
        <w:t xml:space="preserve">Clean Coalition; CUE; </w:t>
      </w:r>
      <w:r w:rsidRPr="009F0805" w:rsidR="009F0805">
        <w:t xml:space="preserve">CCSA: </w:t>
      </w:r>
      <w:r w:rsidRPr="009F0805" w:rsidR="00496B37">
        <w:t xml:space="preserve">Cypress Creek Renewables; </w:t>
      </w:r>
      <w:r w:rsidRPr="009F0805" w:rsidR="009F0805">
        <w:t xml:space="preserve">Joint CCAs; </w:t>
      </w:r>
      <w:r w:rsidRPr="009F0805" w:rsidR="00496B37">
        <w:t xml:space="preserve">PG&amp;E; </w:t>
      </w:r>
      <w:r w:rsidRPr="009F0805" w:rsidR="009F0805">
        <w:t xml:space="preserve">SDG&amp;E; </w:t>
      </w:r>
      <w:r w:rsidRPr="009F0805" w:rsidR="00496B37">
        <w:t xml:space="preserve">SoCal CCAs; </w:t>
      </w:r>
      <w:r w:rsidRPr="009F0805" w:rsidR="009F0805">
        <w:t xml:space="preserve">SCE; SEIA; SBUA; TURN; and </w:t>
      </w:r>
      <w:r w:rsidRPr="009F0805" w:rsidR="00496B37">
        <w:t>Valta Energy.</w:t>
      </w:r>
    </w:p>
    <w:p w:rsidR="00B4140C" w:rsidP="00B4140C" w:rsidRDefault="00A56A97" w14:paraId="31C52036" w14:textId="0E4BDFAA">
      <w:pPr>
        <w:pStyle w:val="Standard"/>
      </w:pPr>
      <w:r>
        <w:t>Revisions and corrections have been made to the decision in response to comments. Comments that reiterate arguments made in party briefs are not repeated here.</w:t>
      </w:r>
      <w:r w:rsidR="00C94CE5">
        <w:t xml:space="preserve">SDG&amp;E requests the Commission to exempt them from participation in the community renewable energy program, citing the </w:t>
      </w:r>
      <w:r w:rsidR="00B55793">
        <w:t xml:space="preserve">undisputed and unique situation in SDG&amp;E territory with respect to the </w:t>
      </w:r>
      <w:r w:rsidR="00B55793">
        <w:lastRenderedPageBreak/>
        <w:t>unworkability of small renewable generation programs.</w:t>
      </w:r>
      <w:r w:rsidR="00B55793">
        <w:rPr>
          <w:rStyle w:val="FootnoteReference"/>
        </w:rPr>
        <w:footnoteReference w:id="385"/>
      </w:r>
      <w:r w:rsidR="00C94CE5">
        <w:t xml:space="preserve">. </w:t>
      </w:r>
      <w:r w:rsidR="00B55793">
        <w:t>Pub. Util. Code §769.3 (b)(2)(A) requires that if the Commission determines that it would be beneficial to ratepayers to establish the community renewable energy program, the Commission shall establish the program and require each electrical corporation to participate in the program. SDG&amp;E’s request to be exempt from participation in the community renewable energy program is denied.</w:t>
      </w:r>
    </w:p>
    <w:p w:rsidR="005939A5" w:rsidP="001B1E90" w:rsidRDefault="005939A5" w14:paraId="6A498671" w14:textId="77777777">
      <w:pPr>
        <w:pStyle w:val="Heading1"/>
      </w:pPr>
      <w:bookmarkStart w:name="_Toc8123724" w:id="266"/>
      <w:bookmarkStart w:name="_Toc159551208" w:id="267"/>
      <w:bookmarkStart w:name="_Toc168559326" w:id="268"/>
      <w:r>
        <w:t>Assignment of Proceeding</w:t>
      </w:r>
      <w:bookmarkEnd w:id="266"/>
      <w:bookmarkEnd w:id="267"/>
      <w:bookmarkEnd w:id="268"/>
    </w:p>
    <w:p w:rsidR="005939A5" w:rsidP="006E6574" w:rsidRDefault="002E7DC7" w14:paraId="21B77FE2" w14:textId="5ADD03A8">
      <w:pPr>
        <w:pStyle w:val="Standard"/>
      </w:pPr>
      <w:r>
        <w:t>Alice Reynolds</w:t>
      </w:r>
      <w:r w:rsidR="005939A5">
        <w:t xml:space="preserve"> is the assigned Commissioner and </w:t>
      </w:r>
      <w:r>
        <w:t>Deb</w:t>
      </w:r>
      <w:r w:rsidR="00993744">
        <w:t>b</w:t>
      </w:r>
      <w:r>
        <w:t>i</w:t>
      </w:r>
      <w:r w:rsidR="00993744">
        <w:t>e</w:t>
      </w:r>
      <w:r>
        <w:t xml:space="preserve"> Chiv and Kelly</w:t>
      </w:r>
      <w:r w:rsidR="00E57E96">
        <w:t> </w:t>
      </w:r>
      <w:r>
        <w:t>A. Hymes are</w:t>
      </w:r>
      <w:r w:rsidR="005939A5">
        <w:t xml:space="preserve"> the assigned </w:t>
      </w:r>
      <w:r w:rsidR="00E57E96">
        <w:t>A</w:t>
      </w:r>
      <w:r w:rsidR="006433E5">
        <w:t xml:space="preserve">dministrative </w:t>
      </w:r>
      <w:r w:rsidR="00E57E96">
        <w:t>L</w:t>
      </w:r>
      <w:r w:rsidR="006433E5">
        <w:t xml:space="preserve">aw </w:t>
      </w:r>
      <w:r w:rsidR="00E57E96">
        <w:t>J</w:t>
      </w:r>
      <w:r w:rsidR="006433E5">
        <w:t>udge</w:t>
      </w:r>
      <w:r w:rsidR="006D312B">
        <w:t>s</w:t>
      </w:r>
      <w:r w:rsidR="00E57E96">
        <w:t xml:space="preserve"> </w:t>
      </w:r>
      <w:r w:rsidR="005939A5">
        <w:t>in this proceeding.</w:t>
      </w:r>
    </w:p>
    <w:p w:rsidR="005939A5" w:rsidP="005D1068" w:rsidRDefault="005939A5" w14:paraId="17B1CAFC" w14:textId="77777777">
      <w:pPr>
        <w:pStyle w:val="Dummy"/>
      </w:pPr>
      <w:bookmarkStart w:name="_Toc8123725" w:id="269"/>
      <w:bookmarkStart w:name="_Toc159551209" w:id="270"/>
      <w:bookmarkStart w:name="_Toc168559327" w:id="271"/>
      <w:r>
        <w:t>Findings of Fact</w:t>
      </w:r>
      <w:bookmarkEnd w:id="269"/>
      <w:bookmarkEnd w:id="270"/>
      <w:bookmarkEnd w:id="271"/>
    </w:p>
    <w:p w:rsidR="000F17C7" w:rsidP="000F17C7" w:rsidRDefault="000F17C7" w14:paraId="69FF45A8" w14:textId="60CD913E">
      <w:pPr>
        <w:pStyle w:val="FoF"/>
        <w:numPr>
          <w:ilvl w:val="0"/>
          <w:numId w:val="3"/>
        </w:numPr>
        <w:ind w:firstLine="547"/>
      </w:pPr>
      <w:r>
        <w:t>In evaluating any existing, modified, or new Green Access Program tariff, the Commission determine</w:t>
      </w:r>
      <w:r w:rsidR="000D0A8F">
        <w:t>s</w:t>
      </w:r>
      <w:r>
        <w:t xml:space="preserve"> if the program meets the following goals</w:t>
      </w:r>
      <w:r w:rsidR="005D30D7">
        <w:t xml:space="preserve">: </w:t>
      </w:r>
      <w:r>
        <w:t>(1</w:t>
      </w:r>
      <w:r w:rsidR="00345CFD">
        <w:t>) </w:t>
      </w:r>
      <w:r>
        <w:t>efficiently serves distinct customer groups; (2</w:t>
      </w:r>
      <w:r w:rsidR="00345CFD">
        <w:t>) </w:t>
      </w:r>
      <w:r>
        <w:t>minimizes duplicative offerings; and (3</w:t>
      </w:r>
      <w:r w:rsidR="00345CFD">
        <w:t>) </w:t>
      </w:r>
      <w:r>
        <w:t>promotes robust participation by low</w:t>
      </w:r>
      <w:r w:rsidR="003D6EF8">
        <w:noBreakHyphen/>
      </w:r>
      <w:r>
        <w:t>income customers.</w:t>
      </w:r>
    </w:p>
    <w:p w:rsidR="000F17C7" w:rsidP="005D065D" w:rsidRDefault="000D0A8F" w14:paraId="0696587C" w14:textId="63E08655">
      <w:pPr>
        <w:pStyle w:val="FoF"/>
        <w:numPr>
          <w:ilvl w:val="0"/>
          <w:numId w:val="3"/>
        </w:numPr>
        <w:ind w:firstLine="547"/>
      </w:pPr>
      <w:r>
        <w:t xml:space="preserve">When </w:t>
      </w:r>
      <w:r w:rsidR="0064073F">
        <w:t xml:space="preserve">a Green Access Program tariff does not meet the goals provided in </w:t>
      </w:r>
      <w:r w:rsidR="00440785">
        <w:t>Pub. Util.</w:t>
      </w:r>
      <w:r w:rsidR="00582EE5">
        <w:t xml:space="preserve"> </w:t>
      </w:r>
      <w:r w:rsidR="0064073F">
        <w:t xml:space="preserve">Code </w:t>
      </w:r>
      <w:r w:rsidR="003627A8">
        <w:t>Section </w:t>
      </w:r>
      <w:r w:rsidR="0064073F">
        <w:t xml:space="preserve">769.3(b)(1)(B), </w:t>
      </w:r>
      <w:r w:rsidR="00496B17">
        <w:t>Pub.</w:t>
      </w:r>
      <w:r w:rsidR="00F933F5">
        <w:t> </w:t>
      </w:r>
      <w:r w:rsidR="00496B17">
        <w:t xml:space="preserve">Util. Code </w:t>
      </w:r>
      <w:r w:rsidR="00F933F5">
        <w:t>Section </w:t>
      </w:r>
      <w:r w:rsidR="00496B17">
        <w:t xml:space="preserve">769.3 authorizes </w:t>
      </w:r>
      <w:r w:rsidR="0064073F">
        <w:t xml:space="preserve">the Commission </w:t>
      </w:r>
      <w:r w:rsidR="00496B17">
        <w:t>to</w:t>
      </w:r>
      <w:r w:rsidR="0064073F">
        <w:t xml:space="preserve"> terminat</w:t>
      </w:r>
      <w:r w:rsidR="00496B17">
        <w:t>e</w:t>
      </w:r>
      <w:r w:rsidR="0064073F">
        <w:t xml:space="preserve"> or modif</w:t>
      </w:r>
      <w:r w:rsidR="00496B17">
        <w:t>y</w:t>
      </w:r>
      <w:r w:rsidR="0064073F">
        <w:t xml:space="preserve"> the tariff.</w:t>
      </w:r>
    </w:p>
    <w:p w:rsidR="000F17C7" w:rsidP="005D065D" w:rsidRDefault="006679E2" w14:paraId="187C9AF4" w14:textId="0D6AA50E">
      <w:pPr>
        <w:pStyle w:val="FoF"/>
        <w:numPr>
          <w:ilvl w:val="0"/>
          <w:numId w:val="3"/>
        </w:numPr>
        <w:ind w:firstLine="547"/>
      </w:pPr>
      <w:r>
        <w:t xml:space="preserve">Whether a program </w:t>
      </w:r>
      <w:r w:rsidR="00440785">
        <w:t>“</w:t>
      </w:r>
      <w:r>
        <w:t>efficiently serves</w:t>
      </w:r>
      <w:r w:rsidR="00440785">
        <w:t>”</w:t>
      </w:r>
      <w:r>
        <w:t xml:space="preserve"> distinct customer groups </w:t>
      </w:r>
      <w:r w:rsidR="000D0A8F">
        <w:t>is</w:t>
      </w:r>
      <w:r>
        <w:t xml:space="preserve"> evaluated by balancing sufficient enrollment by customer groups with a program</w:t>
      </w:r>
      <w:r w:rsidR="00440785">
        <w:t>’</w:t>
      </w:r>
      <w:r>
        <w:t>s overall customer costs.</w:t>
      </w:r>
    </w:p>
    <w:p w:rsidR="000F17C7" w:rsidP="005D065D" w:rsidRDefault="008676F1" w14:paraId="117AD3E5" w14:textId="091AA22A">
      <w:pPr>
        <w:pStyle w:val="FoF"/>
        <w:numPr>
          <w:ilvl w:val="0"/>
          <w:numId w:val="3"/>
        </w:numPr>
        <w:ind w:firstLine="547"/>
      </w:pPr>
      <w:r>
        <w:t xml:space="preserve">Whether a program </w:t>
      </w:r>
      <w:r w:rsidR="00440785">
        <w:t>“</w:t>
      </w:r>
      <w:r>
        <w:t>minimizes duplicative offerings</w:t>
      </w:r>
      <w:r w:rsidR="00440785">
        <w:t>”</w:t>
      </w:r>
      <w:r>
        <w:t xml:space="preserve"> </w:t>
      </w:r>
      <w:r w:rsidR="000D0A8F">
        <w:t>is</w:t>
      </w:r>
      <w:r>
        <w:t xml:space="preserve"> defined as whether a program offering overlaps with similar offerings to the same customer groups.</w:t>
      </w:r>
    </w:p>
    <w:p w:rsidR="00BA58BF" w:rsidP="005D065D" w:rsidRDefault="003811FB" w14:paraId="543C5E1C" w14:textId="3914315C">
      <w:pPr>
        <w:pStyle w:val="FoF"/>
        <w:numPr>
          <w:ilvl w:val="0"/>
          <w:numId w:val="3"/>
        </w:numPr>
        <w:ind w:firstLine="547"/>
      </w:pPr>
      <w:r>
        <w:lastRenderedPageBreak/>
        <w:t xml:space="preserve">Whether a program </w:t>
      </w:r>
      <w:r w:rsidR="00440785">
        <w:t>“</w:t>
      </w:r>
      <w:r>
        <w:t>promotes robust participation by low</w:t>
      </w:r>
      <w:r w:rsidR="003D6EF8">
        <w:noBreakHyphen/>
      </w:r>
      <w:r>
        <w:t>income customers</w:t>
      </w:r>
      <w:r w:rsidR="00440785">
        <w:t>”</w:t>
      </w:r>
      <w:r>
        <w:t xml:space="preserve"> </w:t>
      </w:r>
      <w:r w:rsidR="000D0A8F">
        <w:t>is</w:t>
      </w:r>
      <w:r>
        <w:t xml:space="preserve"> measured by the number of enrolled low</w:t>
      </w:r>
      <w:r w:rsidR="003D6EF8">
        <w:noBreakHyphen/>
      </w:r>
      <w:r>
        <w:t>income customers for existing programs, and the number of prospective low</w:t>
      </w:r>
      <w:r w:rsidR="003D6EF8">
        <w:noBreakHyphen/>
      </w:r>
      <w:r>
        <w:t>income customers for new programs.</w:t>
      </w:r>
    </w:p>
    <w:p w:rsidR="000F17C7" w:rsidP="005D065D" w:rsidRDefault="00440785" w14:paraId="4E1D3ACB" w14:textId="55A0B9F4">
      <w:pPr>
        <w:pStyle w:val="FoF"/>
        <w:numPr>
          <w:ilvl w:val="0"/>
          <w:numId w:val="3"/>
        </w:numPr>
        <w:ind w:firstLine="547"/>
      </w:pPr>
      <w:r>
        <w:t>Pub. Util.</w:t>
      </w:r>
      <w:r w:rsidR="00582EE5">
        <w:t xml:space="preserve"> </w:t>
      </w:r>
      <w:r w:rsidR="0046492E">
        <w:t xml:space="preserve">Code </w:t>
      </w:r>
      <w:r w:rsidR="003627A8">
        <w:t>Section </w:t>
      </w:r>
      <w:r w:rsidR="0046492E">
        <w:t>769.3(c)</w:t>
      </w:r>
      <w:r w:rsidR="000D0A8F">
        <w:t xml:space="preserve"> establishes the requirements for new Green Access Program tariffs</w:t>
      </w:r>
      <w:r w:rsidR="0046492E">
        <w:t>.</w:t>
      </w:r>
    </w:p>
    <w:p w:rsidR="000F17C7" w:rsidP="005D065D" w:rsidRDefault="007B27B2" w14:paraId="1F26C7DE" w14:textId="3AEBA029">
      <w:pPr>
        <w:pStyle w:val="FoF"/>
        <w:numPr>
          <w:ilvl w:val="0"/>
          <w:numId w:val="3"/>
        </w:numPr>
        <w:ind w:firstLine="547"/>
      </w:pPr>
      <w:r>
        <w:t>The current ECR program fails to efficiently serve distinct customer groups because, among other reasons, the investor</w:t>
      </w:r>
      <w:r w:rsidR="003D6EF8">
        <w:noBreakHyphen/>
      </w:r>
      <w:r>
        <w:t>owned utilities</w:t>
      </w:r>
      <w:r w:rsidR="00440785">
        <w:t>’</w:t>
      </w:r>
      <w:r>
        <w:t xml:space="preserve"> programs have had no customer enrollment since the programs</w:t>
      </w:r>
      <w:r w:rsidR="00440785">
        <w:t>’</w:t>
      </w:r>
      <w:r>
        <w:t xml:space="preserve"> inception.</w:t>
      </w:r>
      <w:r w:rsidR="009F5702">
        <w:t xml:space="preserve"> </w:t>
      </w:r>
      <w:r>
        <w:t>The current ECR program fails to promote robust participation among low</w:t>
      </w:r>
      <w:r w:rsidR="003D6EF8">
        <w:noBreakHyphen/>
      </w:r>
      <w:r>
        <w:t>income customers based on the lack of enrollment by low</w:t>
      </w:r>
      <w:r w:rsidR="003D6EF8">
        <w:noBreakHyphen/>
      </w:r>
      <w:r>
        <w:t>income customers.</w:t>
      </w:r>
    </w:p>
    <w:p w:rsidR="000F17C7" w:rsidP="005D065D" w:rsidRDefault="00DC0B1E" w14:paraId="414CF0EC" w14:textId="285B6F55">
      <w:pPr>
        <w:pStyle w:val="FoF"/>
        <w:numPr>
          <w:ilvl w:val="0"/>
          <w:numId w:val="3"/>
        </w:numPr>
        <w:ind w:firstLine="547"/>
      </w:pPr>
      <w:r>
        <w:t>The current GT program fails to efficiently serve distinct customer groups because, among other reasons, the investor</w:t>
      </w:r>
      <w:r w:rsidR="003D6EF8">
        <w:noBreakHyphen/>
      </w:r>
      <w:r>
        <w:t>owned utilities</w:t>
      </w:r>
      <w:r w:rsidR="00440785">
        <w:t>’</w:t>
      </w:r>
      <w:r>
        <w:t xml:space="preserve"> programs have all been suspended in some capacity.</w:t>
      </w:r>
      <w:r w:rsidR="009F5702">
        <w:t xml:space="preserve"> </w:t>
      </w:r>
      <w:r>
        <w:t>The current GT program fails to promote robust participation among low</w:t>
      </w:r>
      <w:r w:rsidR="003D6EF8">
        <w:noBreakHyphen/>
      </w:r>
      <w:r>
        <w:t>income customers based on the lack of enrollment by low</w:t>
      </w:r>
      <w:r w:rsidR="003D6EF8">
        <w:noBreakHyphen/>
      </w:r>
      <w:r>
        <w:t>income customers.</w:t>
      </w:r>
    </w:p>
    <w:p w:rsidR="000F17C7" w:rsidP="005D065D" w:rsidRDefault="00E14A62" w14:paraId="46EFF5EC" w14:textId="526618C4">
      <w:pPr>
        <w:pStyle w:val="FoF"/>
        <w:numPr>
          <w:ilvl w:val="0"/>
          <w:numId w:val="3"/>
        </w:numPr>
        <w:ind w:firstLine="547"/>
      </w:pPr>
      <w:r>
        <w:t>The current DAC</w:t>
      </w:r>
      <w:r w:rsidR="003D6EF8">
        <w:noBreakHyphen/>
      </w:r>
      <w:r>
        <w:t>GT program fails to efficiently serve distinct customer groups because, among other reasons, the program is under</w:t>
      </w:r>
      <w:r w:rsidR="003D6EF8">
        <w:noBreakHyphen/>
      </w:r>
      <w:r>
        <w:t>subscribed and under</w:t>
      </w:r>
      <w:r w:rsidR="003D6EF8">
        <w:noBreakHyphen/>
      </w:r>
      <w:r>
        <w:t>procured.</w:t>
      </w:r>
      <w:r w:rsidR="009F5702">
        <w:t xml:space="preserve"> </w:t>
      </w:r>
      <w:r>
        <w:t>The current DAC</w:t>
      </w:r>
      <w:r w:rsidR="003D6EF8">
        <w:noBreakHyphen/>
      </w:r>
      <w:r>
        <w:t>GT program fails to promote robust participation among low</w:t>
      </w:r>
      <w:r w:rsidR="003D6EF8">
        <w:noBreakHyphen/>
      </w:r>
      <w:r>
        <w:t>income customers based on the low level of enrollment among low</w:t>
      </w:r>
      <w:r w:rsidR="003D6EF8">
        <w:noBreakHyphen/>
      </w:r>
      <w:r>
        <w:t>income customers.</w:t>
      </w:r>
    </w:p>
    <w:p w:rsidR="0064073F" w:rsidP="005D065D" w:rsidRDefault="008204C7" w14:paraId="42BC12C2" w14:textId="681ACFB4">
      <w:pPr>
        <w:pStyle w:val="FoF"/>
        <w:numPr>
          <w:ilvl w:val="0"/>
          <w:numId w:val="3"/>
        </w:numPr>
        <w:ind w:firstLine="547"/>
      </w:pPr>
      <w:r>
        <w:t xml:space="preserve">The current CSGT program fails to efficiently serve distinct customer groups because, among other reasons, there have been </w:t>
      </w:r>
      <w:r w:rsidR="008E77C6">
        <w:t xml:space="preserve">few </w:t>
      </w:r>
      <w:r>
        <w:t>customers enrolled in the CSGT program.</w:t>
      </w:r>
      <w:r w:rsidR="009F5702">
        <w:t xml:space="preserve"> </w:t>
      </w:r>
      <w:r>
        <w:t>The current CSGT program fails to promote robust participation among low</w:t>
      </w:r>
      <w:r w:rsidR="003D6EF8">
        <w:noBreakHyphen/>
      </w:r>
      <w:r>
        <w:t>income customers based on the lack of enrollment by low</w:t>
      </w:r>
      <w:r w:rsidR="003D6EF8">
        <w:noBreakHyphen/>
      </w:r>
      <w:r>
        <w:t>income customers.</w:t>
      </w:r>
    </w:p>
    <w:p w:rsidR="001363BA" w:rsidP="001363BA" w:rsidRDefault="003627A8" w14:paraId="010C6B7E" w14:textId="6B626445">
      <w:pPr>
        <w:pStyle w:val="FoF"/>
        <w:numPr>
          <w:ilvl w:val="0"/>
          <w:numId w:val="3"/>
        </w:numPr>
      </w:pPr>
      <w:r>
        <w:lastRenderedPageBreak/>
        <w:t>Section </w:t>
      </w:r>
      <w:r w:rsidR="001363BA">
        <w:t>769.3(b)(2)(B) contains the following language</w:t>
      </w:r>
      <w:r w:rsidR="005D30D7">
        <w:t xml:space="preserve">: </w:t>
      </w:r>
      <w:r w:rsidR="00440785">
        <w:t>“</w:t>
      </w:r>
      <w:r w:rsidR="001363BA">
        <w:t xml:space="preserve">If the commission establishes a community renewable energy program pursuant to </w:t>
      </w:r>
      <w:r w:rsidR="00B54A82">
        <w:t>subparagraph </w:t>
      </w:r>
      <w:r w:rsidR="001363BA">
        <w:t>(A).</w:t>
      </w:r>
      <w:r w:rsidR="00440785">
        <w:t>”</w:t>
      </w:r>
    </w:p>
    <w:p w:rsidR="001363BA" w:rsidP="001363BA" w:rsidRDefault="001363BA" w14:paraId="54846689" w14:textId="4B6D8AFC">
      <w:pPr>
        <w:pStyle w:val="FoF"/>
        <w:numPr>
          <w:ilvl w:val="0"/>
          <w:numId w:val="3"/>
        </w:numPr>
      </w:pPr>
      <w:r>
        <w:t xml:space="preserve">The plain language of </w:t>
      </w:r>
      <w:r w:rsidR="003627A8">
        <w:t>AB </w:t>
      </w:r>
      <w:r>
        <w:t xml:space="preserve">2316 and </w:t>
      </w:r>
      <w:r w:rsidR="00440785">
        <w:t>Pub. Util.</w:t>
      </w:r>
      <w:r>
        <w:t xml:space="preserve"> Code </w:t>
      </w:r>
      <w:r w:rsidR="003627A8">
        <w:t>Section </w:t>
      </w:r>
      <w:r>
        <w:t xml:space="preserve">769.3 allows the Commission to make its own determination on the reasonableness of </w:t>
      </w:r>
      <w:r w:rsidR="002E6FC9">
        <w:t xml:space="preserve">adopting and </w:t>
      </w:r>
      <w:r>
        <w:t xml:space="preserve">implementing </w:t>
      </w:r>
      <w:r w:rsidR="002E6FC9">
        <w:t xml:space="preserve">a </w:t>
      </w:r>
      <w:r>
        <w:t>community renewable energy program.</w:t>
      </w:r>
    </w:p>
    <w:p w:rsidR="001363BA" w:rsidP="001363BA" w:rsidRDefault="001363BA" w14:paraId="765E8496" w14:textId="04AFB8AA">
      <w:pPr>
        <w:pStyle w:val="FoF"/>
        <w:numPr>
          <w:ilvl w:val="0"/>
          <w:numId w:val="3"/>
        </w:numPr>
      </w:pPr>
      <w:r>
        <w:t xml:space="preserve">Because the NVBT proposals would compensate generators and customers based on the Avoided Cost Calculator values and not the required PURPA avoided costs, adopting the NVBT proposal would result in ratepayers paying more than the </w:t>
      </w:r>
      <w:r w:rsidR="0081726C">
        <w:t xml:space="preserve">utility’s </w:t>
      </w:r>
      <w:r>
        <w:t>avoided costs for these resources.</w:t>
      </w:r>
    </w:p>
    <w:p w:rsidR="001363BA" w:rsidP="001363BA" w:rsidRDefault="001363BA" w14:paraId="23116C99" w14:textId="28AF8759">
      <w:pPr>
        <w:pStyle w:val="FoF"/>
        <w:numPr>
          <w:ilvl w:val="0"/>
          <w:numId w:val="3"/>
        </w:numPr>
      </w:pPr>
      <w:r>
        <w:t xml:space="preserve">Absent project </w:t>
      </w:r>
      <w:r w:rsidR="00D037F0">
        <w:t>c</w:t>
      </w:r>
      <w:r>
        <w:t>iting requirements, beyond being in the same service territory as the subscribers, the Commission is unable to determine whether a project would avoid any transmission or distribution costs, much less what that avoided costs equals.</w:t>
      </w:r>
    </w:p>
    <w:p w:rsidR="001363BA" w:rsidP="001363BA" w:rsidRDefault="001363BA" w14:paraId="6E7FF808" w14:textId="77777777">
      <w:pPr>
        <w:pStyle w:val="FoF"/>
        <w:numPr>
          <w:ilvl w:val="0"/>
          <w:numId w:val="3"/>
        </w:numPr>
      </w:pPr>
      <w:r>
        <w:t>Without the certainty that the NVBT resources would be located close to customers, the avoided costs of transmission and distribution cannot be confirmed.</w:t>
      </w:r>
    </w:p>
    <w:p w:rsidR="00BA58BF" w:rsidP="001363BA" w:rsidRDefault="001363BA" w14:paraId="2702BB61" w14:textId="0FDC01CC">
      <w:pPr>
        <w:pStyle w:val="FoF"/>
        <w:numPr>
          <w:ilvl w:val="0"/>
          <w:numId w:val="3"/>
        </w:numPr>
      </w:pPr>
      <w:r>
        <w:t>Without Utilities</w:t>
      </w:r>
      <w:r w:rsidR="00440785">
        <w:t>’</w:t>
      </w:r>
      <w:r>
        <w:t xml:space="preserve"> ability to claim Resource Adequacy credits, NVBT projects cannot avoid generation capacity costs.</w:t>
      </w:r>
    </w:p>
    <w:p w:rsidR="001363BA" w:rsidP="001363BA" w:rsidRDefault="001363BA" w14:paraId="4AA31970" w14:textId="7A3D9179">
      <w:pPr>
        <w:pStyle w:val="FoF"/>
        <w:numPr>
          <w:ilvl w:val="0"/>
          <w:numId w:val="3"/>
        </w:numPr>
      </w:pPr>
      <w:r>
        <w:t>The lack of a deliverability study, required in the Resource Adequacy process, could lead to the need for transmission upgrades that could result in higher costs for all ratepayers.</w:t>
      </w:r>
    </w:p>
    <w:p w:rsidR="001363BA" w:rsidP="001363BA" w:rsidRDefault="001363BA" w14:paraId="6E13CDA1" w14:textId="644C0BD3">
      <w:pPr>
        <w:pStyle w:val="FoF"/>
        <w:numPr>
          <w:ilvl w:val="0"/>
          <w:numId w:val="3"/>
        </w:numPr>
      </w:pPr>
      <w:r>
        <w:t>In the VNEM, NEMA, and RES</w:t>
      </w:r>
      <w:r w:rsidR="003D6EF8">
        <w:noBreakHyphen/>
      </w:r>
      <w:r>
        <w:t>BCT tariffs, the generator is sized to fit the load; in the NVBT proposal</w:t>
      </w:r>
      <w:r w:rsidR="009F5702">
        <w:t xml:space="preserve"> </w:t>
      </w:r>
      <w:r>
        <w:t>the customer subscriptions are sized to fit the production of the generator.</w:t>
      </w:r>
    </w:p>
    <w:p w:rsidR="001363BA" w:rsidP="001363BA" w:rsidRDefault="001363BA" w14:paraId="08C48191" w14:textId="0805C9FA">
      <w:pPr>
        <w:pStyle w:val="FoF"/>
        <w:numPr>
          <w:ilvl w:val="0"/>
          <w:numId w:val="3"/>
        </w:numPr>
      </w:pPr>
      <w:r>
        <w:lastRenderedPageBreak/>
        <w:t>For both the VNEM and NEMA tariffs, the generating facility is located onsite, or on a contiguous property; whereas, with the NVBT, the generating facility will be located anywhere within a utility</w:t>
      </w:r>
      <w:r w:rsidR="00440785">
        <w:t>’</w:t>
      </w:r>
      <w:r>
        <w:t>s service territory.</w:t>
      </w:r>
    </w:p>
    <w:p w:rsidR="001363BA" w:rsidP="001363BA" w:rsidRDefault="001363BA" w14:paraId="75AB56B0" w14:textId="71598869">
      <w:pPr>
        <w:pStyle w:val="FoF"/>
        <w:numPr>
          <w:ilvl w:val="0"/>
          <w:numId w:val="3"/>
        </w:numPr>
      </w:pPr>
      <w:r>
        <w:t xml:space="preserve">The proposed NVBT does not have a </w:t>
      </w:r>
      <w:r w:rsidR="000710B1">
        <w:t xml:space="preserve">proximate </w:t>
      </w:r>
      <w:r>
        <w:t>connection between the location of the generating facility and the subscribers in the proposed NVBT.</w:t>
      </w:r>
    </w:p>
    <w:p w:rsidR="001363BA" w:rsidP="001363BA" w:rsidRDefault="001363BA" w14:paraId="492994EC" w14:textId="726FC79D">
      <w:pPr>
        <w:pStyle w:val="FoF"/>
        <w:numPr>
          <w:ilvl w:val="0"/>
          <w:numId w:val="3"/>
        </w:numPr>
      </w:pPr>
      <w:r>
        <w:t>The NVBT does not similarly avoid transmission and distribution costs</w:t>
      </w:r>
      <w:r w:rsidR="007B27BA">
        <w:t xml:space="preserve"> as the VNEM, NEMA, and RE</w:t>
      </w:r>
      <w:r w:rsidR="004B3F90">
        <w:t>S</w:t>
      </w:r>
      <w:r w:rsidR="007B27BA">
        <w:t>-BCT tariffs</w:t>
      </w:r>
      <w:r>
        <w:t>.</w:t>
      </w:r>
    </w:p>
    <w:p w:rsidR="002C39A6" w:rsidP="001363BA" w:rsidRDefault="001363BA" w14:paraId="52EC371F" w14:textId="32992F45">
      <w:pPr>
        <w:pStyle w:val="FoF"/>
        <w:numPr>
          <w:ilvl w:val="0"/>
          <w:numId w:val="3"/>
        </w:numPr>
      </w:pPr>
      <w:r>
        <w:t>Front</w:t>
      </w:r>
      <w:r w:rsidR="003D6EF8">
        <w:noBreakHyphen/>
      </w:r>
      <w:r>
        <w:t>of</w:t>
      </w:r>
      <w:r w:rsidR="003D6EF8">
        <w:noBreakHyphen/>
      </w:r>
      <w:r>
        <w:t>the</w:t>
      </w:r>
      <w:r w:rsidR="003D6EF8">
        <w:noBreakHyphen/>
      </w:r>
      <w:r>
        <w:t>meter resources are in front of a customer</w:t>
      </w:r>
      <w:r w:rsidR="00440785">
        <w:t>’</w:t>
      </w:r>
      <w:r>
        <w:t>s meter</w:t>
      </w:r>
      <w:r w:rsidR="002C39A6">
        <w:t>.</w:t>
      </w:r>
    </w:p>
    <w:p w:rsidR="001363BA" w:rsidP="001363BA" w:rsidRDefault="002C39A6" w14:paraId="5B430CA8" w14:textId="3BF132CD">
      <w:pPr>
        <w:pStyle w:val="FoF"/>
        <w:numPr>
          <w:ilvl w:val="0"/>
          <w:numId w:val="3"/>
        </w:numPr>
      </w:pPr>
      <w:r>
        <w:t>B</w:t>
      </w:r>
      <w:r w:rsidR="001363BA">
        <w:t>ehind</w:t>
      </w:r>
      <w:r w:rsidR="003D6EF8">
        <w:noBreakHyphen/>
      </w:r>
      <w:r w:rsidR="001363BA">
        <w:t>the</w:t>
      </w:r>
      <w:r w:rsidR="003D6EF8">
        <w:noBreakHyphen/>
      </w:r>
      <w:r w:rsidR="001363BA">
        <w:t>meter resources are behind a customer</w:t>
      </w:r>
      <w:r w:rsidR="00440785">
        <w:t>’</w:t>
      </w:r>
      <w:r w:rsidR="001363BA">
        <w:t>s meter and will address onsite load, if any, and then feed back into the grid.</w:t>
      </w:r>
    </w:p>
    <w:p w:rsidR="001363BA" w:rsidP="001363BA" w:rsidRDefault="001363BA" w14:paraId="36496A97" w14:textId="58EC25E4">
      <w:pPr>
        <w:pStyle w:val="FoF"/>
        <w:numPr>
          <w:ilvl w:val="0"/>
          <w:numId w:val="3"/>
        </w:numPr>
      </w:pPr>
      <w:r>
        <w:t>If a resource is behind the meter then the resource will offset any load from the customer before producing energy to the distribution grid.</w:t>
      </w:r>
    </w:p>
    <w:p w:rsidR="001363BA" w:rsidP="001363BA" w:rsidRDefault="001363BA" w14:paraId="398AE95D" w14:textId="0CCA78D7">
      <w:pPr>
        <w:pStyle w:val="FoF"/>
        <w:numPr>
          <w:ilvl w:val="0"/>
          <w:numId w:val="3"/>
        </w:numPr>
      </w:pPr>
      <w:r>
        <w:t>If the resource is in front of the meter, a customer</w:t>
      </w:r>
      <w:r w:rsidR="00440785">
        <w:t>’</w:t>
      </w:r>
      <w:r>
        <w:t>s load may not be offset. Instead, the energy will be sent directly to the distribution grid. The location of the resource and its proximity to customers will determine what happens to the produced energy.</w:t>
      </w:r>
    </w:p>
    <w:p w:rsidR="001363BA" w:rsidP="001363BA" w:rsidRDefault="000710B1" w14:paraId="21276BB4" w14:textId="4549C127">
      <w:pPr>
        <w:pStyle w:val="FoF"/>
        <w:numPr>
          <w:ilvl w:val="0"/>
          <w:numId w:val="3"/>
        </w:numPr>
      </w:pPr>
      <w:r>
        <w:t>The Avoided Cost Calculator and, therefore, the RIM test results should not be relied upon to determine the impact of NVBT proposal on nonparticipating customers</w:t>
      </w:r>
      <w:r w:rsidR="001363BA">
        <w:t>.</w:t>
      </w:r>
    </w:p>
    <w:p w:rsidR="001363BA" w:rsidP="001363BA" w:rsidRDefault="001363BA" w14:paraId="571C66C3" w14:textId="77777777">
      <w:pPr>
        <w:pStyle w:val="FoF"/>
        <w:numPr>
          <w:ilvl w:val="0"/>
          <w:numId w:val="3"/>
        </w:numPr>
      </w:pPr>
      <w:r>
        <w:t>Comparing wholesale procured resources with the proposed NVBT resources is not how the Commission has historically evaluated distributed energy resources.</w:t>
      </w:r>
    </w:p>
    <w:p w:rsidR="001363BA" w:rsidP="001363BA" w:rsidRDefault="001363BA" w14:paraId="779F2CD1" w14:textId="3983DD65">
      <w:pPr>
        <w:pStyle w:val="FoF"/>
        <w:numPr>
          <w:ilvl w:val="0"/>
          <w:numId w:val="3"/>
        </w:numPr>
      </w:pPr>
      <w:r>
        <w:t>The NVBT proposal would result in ratepayers compensating customers for costs that are not avoided, which would result in a cost shift.</w:t>
      </w:r>
    </w:p>
    <w:p w:rsidR="001363BA" w:rsidP="001363BA" w:rsidRDefault="001363BA" w14:paraId="30873E52" w14:textId="4C5A9F56">
      <w:pPr>
        <w:pStyle w:val="FoF"/>
        <w:numPr>
          <w:ilvl w:val="0"/>
          <w:numId w:val="3"/>
        </w:numPr>
      </w:pPr>
      <w:r>
        <w:t xml:space="preserve">Neither the plain language in </w:t>
      </w:r>
      <w:r w:rsidR="003627A8">
        <w:t>AB </w:t>
      </w:r>
      <w:r>
        <w:t xml:space="preserve">2316 nor in </w:t>
      </w:r>
      <w:r w:rsidR="00440785">
        <w:t>Pub. Util.</w:t>
      </w:r>
      <w:r>
        <w:t xml:space="preserve"> Code </w:t>
      </w:r>
      <w:r w:rsidR="003627A8">
        <w:t>Section </w:t>
      </w:r>
      <w:r>
        <w:t>769.3 uses the term Avoided Cost Calculator.</w:t>
      </w:r>
    </w:p>
    <w:p w:rsidR="001363BA" w:rsidP="001363BA" w:rsidRDefault="001363BA" w14:paraId="4F6E94F2" w14:textId="43181F3F">
      <w:pPr>
        <w:pStyle w:val="FoF"/>
        <w:numPr>
          <w:ilvl w:val="0"/>
          <w:numId w:val="3"/>
        </w:numPr>
      </w:pPr>
      <w:r>
        <w:lastRenderedPageBreak/>
        <w:t xml:space="preserve">A reasonable interpretation of the term </w:t>
      </w:r>
      <w:r w:rsidR="00440785">
        <w:t>“</w:t>
      </w:r>
      <w:r>
        <w:t>avoided costs</w:t>
      </w:r>
      <w:r w:rsidR="00440785">
        <w:t>”</w:t>
      </w:r>
      <w:r>
        <w:t xml:space="preserve"> in </w:t>
      </w:r>
      <w:r w:rsidR="00440785">
        <w:t>Pub. Util.</w:t>
      </w:r>
      <w:r>
        <w:t xml:space="preserve"> Code </w:t>
      </w:r>
      <w:r w:rsidR="003627A8">
        <w:t>Section </w:t>
      </w:r>
      <w:r>
        <w:t>769.3 could refer to either the PURPA avoided costs or the avoided costs in the Avoided Cost Calculator.</w:t>
      </w:r>
    </w:p>
    <w:p w:rsidR="001363BA" w:rsidP="001363BA" w:rsidRDefault="00440785" w14:paraId="6054FADA" w14:textId="5F1C69B9">
      <w:pPr>
        <w:pStyle w:val="FoF"/>
        <w:numPr>
          <w:ilvl w:val="0"/>
          <w:numId w:val="3"/>
        </w:numPr>
      </w:pPr>
      <w:r>
        <w:t>Pub. Util.</w:t>
      </w:r>
      <w:r w:rsidR="001363BA">
        <w:t xml:space="preserve"> Code </w:t>
      </w:r>
      <w:r w:rsidR="003627A8">
        <w:t>Section </w:t>
      </w:r>
      <w:r w:rsidR="001363BA">
        <w:t>769.3 makes no requirement to use the Avoided Cost Calculator or any other specific method.</w:t>
      </w:r>
    </w:p>
    <w:p w:rsidR="001363BA" w:rsidP="001363BA" w:rsidRDefault="00440785" w14:paraId="37286F76" w14:textId="7FA7910A">
      <w:pPr>
        <w:pStyle w:val="FoF"/>
        <w:numPr>
          <w:ilvl w:val="0"/>
          <w:numId w:val="3"/>
        </w:numPr>
      </w:pPr>
      <w:r>
        <w:t>Pub. Util.</w:t>
      </w:r>
      <w:r w:rsidR="001363BA">
        <w:t xml:space="preserve"> Code </w:t>
      </w:r>
      <w:r w:rsidR="003627A8">
        <w:t>Section </w:t>
      </w:r>
      <w:r w:rsidR="001363BA">
        <w:t>769.3 requires the use of a Commission method of calculating the avoided cost.</w:t>
      </w:r>
    </w:p>
    <w:p w:rsidR="001363BA" w:rsidP="001363BA" w:rsidRDefault="001363BA" w14:paraId="2548DBC8" w14:textId="557DFD18">
      <w:pPr>
        <w:pStyle w:val="FoF"/>
        <w:numPr>
          <w:ilvl w:val="0"/>
          <w:numId w:val="3"/>
        </w:numPr>
      </w:pPr>
      <w:r>
        <w:t xml:space="preserve">FERC has </w:t>
      </w:r>
      <w:r w:rsidR="0081726C">
        <w:t>adopted regulations specifying</w:t>
      </w:r>
      <w:r>
        <w:t xml:space="preserve"> how to calculate avoided cost</w:t>
      </w:r>
      <w:r w:rsidR="0081726C">
        <w:t>,</w:t>
      </w:r>
      <w:r>
        <w:t xml:space="preserve"> but allows state discretion to determine how avoided cost is calculated</w:t>
      </w:r>
      <w:r w:rsidR="0081726C">
        <w:t xml:space="preserve"> within the parameters established by FERC</w:t>
      </w:r>
      <w:r>
        <w:t>.</w:t>
      </w:r>
    </w:p>
    <w:p w:rsidR="001363BA" w:rsidP="001363BA" w:rsidRDefault="001363BA" w14:paraId="11BA3E7E" w14:textId="364E502C">
      <w:pPr>
        <w:pStyle w:val="FoF"/>
        <w:numPr>
          <w:ilvl w:val="0"/>
          <w:numId w:val="3"/>
        </w:numPr>
      </w:pPr>
      <w:r>
        <w:t>The record indicates strong support for the adoption of a new community renewable energy program from a diverse array of entities.</w:t>
      </w:r>
    </w:p>
    <w:p w:rsidR="001363BA" w:rsidP="001363BA" w:rsidRDefault="001363BA" w14:paraId="30FC1794" w14:textId="513FB7EB">
      <w:pPr>
        <w:pStyle w:val="FoF"/>
        <w:numPr>
          <w:ilvl w:val="0"/>
          <w:numId w:val="3"/>
        </w:numPr>
      </w:pPr>
      <w:r>
        <w:t>The Commission twice set aside submission of the record of this proceeding because of concerns with NVBT proposal regarding cost effectiveness and reliability matters; SCE</w:t>
      </w:r>
      <w:r w:rsidR="00440785">
        <w:t>’</w:t>
      </w:r>
      <w:r>
        <w:t>s PURPA</w:t>
      </w:r>
      <w:r w:rsidR="00F768D9">
        <w:t xml:space="preserve"> compliant</w:t>
      </w:r>
      <w:r>
        <w:t xml:space="preserve"> proposal is an alternative </w:t>
      </w:r>
      <w:r w:rsidR="008A3A0B">
        <w:t xml:space="preserve">community renewable energy program </w:t>
      </w:r>
      <w:r>
        <w:t>to address these concerns.</w:t>
      </w:r>
    </w:p>
    <w:p w:rsidR="001363BA" w:rsidP="001363BA" w:rsidRDefault="001363BA" w14:paraId="52215E42" w14:textId="64C5917B">
      <w:pPr>
        <w:pStyle w:val="FoF"/>
        <w:numPr>
          <w:ilvl w:val="0"/>
          <w:numId w:val="3"/>
        </w:numPr>
      </w:pPr>
      <w:r>
        <w:t>All parties have been provided with an opportunity to comment on SCE</w:t>
      </w:r>
      <w:r w:rsidR="00440785">
        <w:t>’</w:t>
      </w:r>
      <w:r>
        <w:t>s PURPA compliant proposal.</w:t>
      </w:r>
    </w:p>
    <w:p w:rsidR="001A677A" w:rsidP="001A677A" w:rsidRDefault="001A677A" w14:paraId="15DFF7E4" w14:textId="77777777">
      <w:pPr>
        <w:pStyle w:val="FoF"/>
      </w:pPr>
      <w:r>
        <w:t>Pub. Util. Code Section 769.3 does not require the community renewable energy program to attain any specific procurement target.</w:t>
      </w:r>
    </w:p>
    <w:p w:rsidR="001A677A" w:rsidP="00FD530D" w:rsidRDefault="001A677A" w14:paraId="0DEFC0C7" w14:textId="7370A470">
      <w:pPr>
        <w:pStyle w:val="FoF"/>
      </w:pPr>
      <w:r>
        <w:t>Pub. Util. Code Section 769.3 requires the Commission to determine by March 31, 2024, whether it is beneficial to adopt a community renewable energy program.</w:t>
      </w:r>
    </w:p>
    <w:p w:rsidR="001363BA" w:rsidP="001363BA" w:rsidRDefault="001363BA" w14:paraId="6529ED7B" w14:textId="4919D0A5">
      <w:pPr>
        <w:pStyle w:val="FoF"/>
        <w:numPr>
          <w:ilvl w:val="0"/>
          <w:numId w:val="3"/>
        </w:numPr>
      </w:pPr>
      <w:r>
        <w:t>SCE</w:t>
      </w:r>
      <w:r w:rsidR="00440785">
        <w:t>’</w:t>
      </w:r>
      <w:r>
        <w:t>s PURPA compliant proposal is neither out of scope nor does it violate due process rights.</w:t>
      </w:r>
    </w:p>
    <w:p w:rsidR="001363BA" w:rsidP="001363BA" w:rsidRDefault="001363BA" w14:paraId="148869EB" w14:textId="364AA38B">
      <w:pPr>
        <w:pStyle w:val="FoF"/>
        <w:numPr>
          <w:ilvl w:val="0"/>
          <w:numId w:val="3"/>
        </w:numPr>
      </w:pPr>
      <w:r>
        <w:lastRenderedPageBreak/>
        <w:t xml:space="preserve">SCE provides no analysis that </w:t>
      </w:r>
      <w:r w:rsidR="00D61369">
        <w:t>its</w:t>
      </w:r>
      <w:r>
        <w:t xml:space="preserve"> PURPA compliant proposal would comply with </w:t>
      </w:r>
      <w:r w:rsidR="00440785">
        <w:t>Pub. Util.</w:t>
      </w:r>
      <w:r>
        <w:t xml:space="preserve"> Code </w:t>
      </w:r>
      <w:r w:rsidR="003627A8">
        <w:t>Section </w:t>
      </w:r>
      <w:r>
        <w:t xml:space="preserve">769.3(c)(1) or </w:t>
      </w:r>
      <w:r w:rsidR="00440785">
        <w:t>Pub. Util.</w:t>
      </w:r>
      <w:r>
        <w:t xml:space="preserve"> Code </w:t>
      </w:r>
      <w:r w:rsidR="003627A8">
        <w:t>Section </w:t>
      </w:r>
      <w:r>
        <w:t>769.3(c)(6).</w:t>
      </w:r>
    </w:p>
    <w:p w:rsidR="00BA58BF" w:rsidP="001363BA" w:rsidRDefault="001363BA" w14:paraId="2DF725CD" w14:textId="2D0F527D">
      <w:pPr>
        <w:pStyle w:val="FoF"/>
        <w:numPr>
          <w:ilvl w:val="0"/>
          <w:numId w:val="3"/>
        </w:numPr>
      </w:pPr>
      <w:r>
        <w:t>The Energy Commission will decide whether a proposal compl</w:t>
      </w:r>
      <w:r w:rsidR="00D61369">
        <w:t>ies</w:t>
      </w:r>
      <w:r>
        <w:t xml:space="preserve"> with </w:t>
      </w:r>
      <w:r w:rsidR="003627A8">
        <w:t>Section </w:t>
      </w:r>
      <w:r>
        <w:t>769.3(c)(1).</w:t>
      </w:r>
    </w:p>
    <w:p w:rsidR="001363BA" w:rsidP="001363BA" w:rsidRDefault="00440785" w14:paraId="44B160D7" w14:textId="2BB682A9">
      <w:pPr>
        <w:pStyle w:val="FoF"/>
        <w:numPr>
          <w:ilvl w:val="0"/>
          <w:numId w:val="3"/>
        </w:numPr>
      </w:pPr>
      <w:r>
        <w:t>Pub. Util.</w:t>
      </w:r>
      <w:r w:rsidR="001363BA">
        <w:t xml:space="preserve"> Code </w:t>
      </w:r>
      <w:r w:rsidR="003627A8">
        <w:t>Section </w:t>
      </w:r>
      <w:r w:rsidR="001363BA">
        <w:t xml:space="preserve">769.3(c)(1) directs that </w:t>
      </w:r>
      <w:r>
        <w:t>“</w:t>
      </w:r>
      <w:r w:rsidR="001363BA">
        <w:t>[f]or purposes of this paragraph, the Commission shall consult with the Energy Commission.</w:t>
      </w:r>
      <w:r>
        <w:t>”</w:t>
      </w:r>
    </w:p>
    <w:p w:rsidR="001363BA" w:rsidP="001363BA" w:rsidRDefault="001363BA" w14:paraId="030DEB96" w14:textId="60566C94">
      <w:pPr>
        <w:pStyle w:val="FoF"/>
        <w:numPr>
          <w:ilvl w:val="0"/>
          <w:numId w:val="3"/>
        </w:numPr>
      </w:pPr>
      <w:r>
        <w:t>In SCE</w:t>
      </w:r>
      <w:r w:rsidR="00440785">
        <w:t>’</w:t>
      </w:r>
      <w:r>
        <w:t>s PURPA compliant proposal, the subscribing customer</w:t>
      </w:r>
      <w:r w:rsidR="00440785">
        <w:t>’</w:t>
      </w:r>
      <w:r>
        <w:t>s share of the generation resource</w:t>
      </w:r>
      <w:r w:rsidR="00440785">
        <w:t>’</w:t>
      </w:r>
      <w:r>
        <w:t>s compensation would be set aside in a balancing account and distributed through a flat $/kWh credit that can be trued</w:t>
      </w:r>
      <w:r w:rsidR="003D6EF8">
        <w:noBreakHyphen/>
      </w:r>
      <w:r>
        <w:t>up annually based on facility performance and credits distributed; the credit is deducted from compensation to the generation, which is calculated based on PURPA avoided costs of the program</w:t>
      </w:r>
      <w:r w:rsidR="00440785">
        <w:t>’</w:t>
      </w:r>
      <w:r>
        <w:t>s facilities.</w:t>
      </w:r>
    </w:p>
    <w:p w:rsidR="001363BA" w:rsidP="001363BA" w:rsidRDefault="001363BA" w14:paraId="2F142ECA" w14:textId="7DA5949A">
      <w:pPr>
        <w:pStyle w:val="FoF"/>
        <w:numPr>
          <w:ilvl w:val="0"/>
          <w:numId w:val="3"/>
        </w:numPr>
      </w:pPr>
      <w:r>
        <w:t>SCE has presented evidence on how its proposal</w:t>
      </w:r>
      <w:r w:rsidR="0081726C">
        <w:t>’s PURPA-compliant avoided cost</w:t>
      </w:r>
      <w:r>
        <w:t xml:space="preserve"> meets the requirements of </w:t>
      </w:r>
      <w:r w:rsidR="00440785">
        <w:t>Pub. Util.</w:t>
      </w:r>
      <w:r>
        <w:t xml:space="preserve"> Code </w:t>
      </w:r>
      <w:r w:rsidR="003627A8">
        <w:t>Section </w:t>
      </w:r>
      <w:r>
        <w:t>769.3(c)</w:t>
      </w:r>
      <w:r w:rsidR="008A3A0B">
        <w:t>(3</w:t>
      </w:r>
      <w:r w:rsidR="00873790">
        <w:t>),</w:t>
      </w:r>
      <w:r w:rsidR="008A3A0B">
        <w:t xml:space="preserve"> and </w:t>
      </w:r>
      <w:r>
        <w:t>Green Access Program tariff</w:t>
      </w:r>
      <w:r w:rsidR="009F5702">
        <w:t xml:space="preserve"> </w:t>
      </w:r>
      <w:r>
        <w:t>evaluation results indicate the</w:t>
      </w:r>
      <w:r w:rsidR="00D74817">
        <w:t>re</w:t>
      </w:r>
      <w:r>
        <w:t xml:space="preserve"> has been limited success developing community solar.</w:t>
      </w:r>
    </w:p>
    <w:p w:rsidR="001363BA" w:rsidP="001363BA" w:rsidRDefault="001363BA" w14:paraId="3453CA0F" w14:textId="77777777">
      <w:pPr>
        <w:pStyle w:val="FoF"/>
        <w:numPr>
          <w:ilvl w:val="0"/>
          <w:numId w:val="3"/>
        </w:numPr>
      </w:pPr>
      <w:r>
        <w:t>The limited past success was one of the reasons for requiring an evaluation of the Green Access Program tariffs and the subsequent required applications for improvement filed as the basis of this proceeding.</w:t>
      </w:r>
    </w:p>
    <w:p w:rsidR="001363BA" w:rsidP="001363BA" w:rsidRDefault="001363BA" w14:paraId="0D7B70A7" w14:textId="5442DD2B">
      <w:pPr>
        <w:pStyle w:val="FoF"/>
        <w:numPr>
          <w:ilvl w:val="0"/>
          <w:numId w:val="3"/>
        </w:numPr>
      </w:pPr>
      <w:r>
        <w:t xml:space="preserve">PURPA prices alone may not be sufficient compensation for garnering additional interest in </w:t>
      </w:r>
      <w:r w:rsidR="00FC1307">
        <w:t>the community renewable energy program</w:t>
      </w:r>
      <w:r>
        <w:t xml:space="preserve"> by developers.</w:t>
      </w:r>
    </w:p>
    <w:p w:rsidR="002C39A6" w:rsidP="001363BA" w:rsidRDefault="002C39A6" w14:paraId="07AF17C3" w14:textId="242B92F7">
      <w:pPr>
        <w:pStyle w:val="FoF"/>
        <w:numPr>
          <w:ilvl w:val="0"/>
          <w:numId w:val="3"/>
        </w:numPr>
      </w:pPr>
      <w:r>
        <w:t>The SCE proposal is incomplete.</w:t>
      </w:r>
    </w:p>
    <w:p w:rsidR="001363BA" w:rsidP="001363BA" w:rsidRDefault="001363BA" w14:paraId="539D69EB" w14:textId="36B1C720">
      <w:pPr>
        <w:pStyle w:val="FoF"/>
        <w:numPr>
          <w:ilvl w:val="0"/>
          <w:numId w:val="3"/>
        </w:numPr>
      </w:pPr>
      <w:r>
        <w:t>The incomplete SCE proposal require</w:t>
      </w:r>
      <w:r w:rsidR="00D74817">
        <w:t>s</w:t>
      </w:r>
      <w:r>
        <w:t xml:space="preserve"> additional record building time that the Commission does not have.</w:t>
      </w:r>
    </w:p>
    <w:p w:rsidR="001363BA" w:rsidP="001363BA" w:rsidRDefault="001363BA" w14:paraId="58F53F80" w14:textId="77777777">
      <w:pPr>
        <w:pStyle w:val="FoF"/>
        <w:numPr>
          <w:ilvl w:val="0"/>
          <w:numId w:val="3"/>
        </w:numPr>
      </w:pPr>
      <w:r>
        <w:t>The Commission has several existing tariffs that are PURPA compliant.</w:t>
      </w:r>
    </w:p>
    <w:p w:rsidR="001363BA" w:rsidP="001363BA" w:rsidRDefault="001363BA" w14:paraId="21C745B7" w14:textId="5D30F5B5">
      <w:pPr>
        <w:pStyle w:val="FoF"/>
        <w:numPr>
          <w:ilvl w:val="0"/>
          <w:numId w:val="3"/>
        </w:numPr>
      </w:pPr>
      <w:r>
        <w:lastRenderedPageBreak/>
        <w:t xml:space="preserve">It is reasonable to address the concern that PURPA avoided costs may be </w:t>
      </w:r>
      <w:r w:rsidR="006F70B9">
        <w:t>in</w:t>
      </w:r>
      <w:r>
        <w:t>sufficient by using the $33</w:t>
      </w:r>
      <w:r w:rsidR="001E44CA">
        <w:t> million</w:t>
      </w:r>
      <w:r>
        <w:t xml:space="preserve"> appropriated to the Commission </w:t>
      </w:r>
      <w:r w:rsidR="007B27BA">
        <w:t xml:space="preserve"> as a subsidy to subscribing low-income customers who enroll or are enrolled in the adopted community renewable energy program</w:t>
      </w:r>
      <w:r>
        <w:t>.</w:t>
      </w:r>
    </w:p>
    <w:p w:rsidR="001363BA" w:rsidP="001363BA" w:rsidRDefault="001363BA" w14:paraId="74CA53CC" w14:textId="342A2D2F">
      <w:pPr>
        <w:pStyle w:val="FoF"/>
        <w:numPr>
          <w:ilvl w:val="0"/>
          <w:numId w:val="3"/>
        </w:numPr>
      </w:pPr>
      <w:r>
        <w:t xml:space="preserve">In </w:t>
      </w:r>
      <w:r w:rsidR="00440785">
        <w:t>Pub. Util.</w:t>
      </w:r>
      <w:r>
        <w:t xml:space="preserve"> Code </w:t>
      </w:r>
      <w:r w:rsidR="003627A8">
        <w:t>Section </w:t>
      </w:r>
      <w:r>
        <w:t>769.3, the Legislature intended low</w:t>
      </w:r>
      <w:r w:rsidR="003D6EF8">
        <w:noBreakHyphen/>
      </w:r>
      <w:r>
        <w:t xml:space="preserve">income households </w:t>
      </w:r>
      <w:r w:rsidR="00EF4C2E">
        <w:t xml:space="preserve">and those who rent or lease their space </w:t>
      </w:r>
      <w:r>
        <w:t xml:space="preserve">to be the </w:t>
      </w:r>
      <w:r w:rsidR="00EF4C2E">
        <w:t>target market for the community renewable energy programs</w:t>
      </w:r>
      <w:r>
        <w:t>.</w:t>
      </w:r>
    </w:p>
    <w:p w:rsidR="001363BA" w:rsidP="001363BA" w:rsidRDefault="001363BA" w14:paraId="10FD9C8B" w14:textId="0C98B9B9">
      <w:pPr>
        <w:pStyle w:val="FoF"/>
        <w:numPr>
          <w:ilvl w:val="0"/>
          <w:numId w:val="3"/>
        </w:numPr>
      </w:pPr>
      <w:r>
        <w:t>Only low</w:t>
      </w:r>
      <w:r w:rsidR="003D6EF8">
        <w:noBreakHyphen/>
      </w:r>
      <w:r>
        <w:t>income households are eligible for the $33</w:t>
      </w:r>
      <w:r w:rsidR="001E44CA">
        <w:t> million</w:t>
      </w:r>
      <w:r>
        <w:t xml:space="preserve"> funds</w:t>
      </w:r>
      <w:r w:rsidR="00EF4C2E">
        <w:t xml:space="preserve"> appropriated to the Commission through AB 102</w:t>
      </w:r>
      <w:r>
        <w:t>.</w:t>
      </w:r>
    </w:p>
    <w:p w:rsidR="001363BA" w:rsidP="001363BA" w:rsidRDefault="001363BA" w14:paraId="6C6B3578" w14:textId="4CE7FEFA">
      <w:pPr>
        <w:pStyle w:val="FoF"/>
        <w:numPr>
          <w:ilvl w:val="0"/>
          <w:numId w:val="3"/>
        </w:numPr>
      </w:pPr>
      <w:r>
        <w:t>The Commission adopted automatic enrollment in DAC</w:t>
      </w:r>
      <w:r w:rsidR="003D6EF8">
        <w:noBreakHyphen/>
      </w:r>
      <w:r>
        <w:t>GT in D.20</w:t>
      </w:r>
      <w:r w:rsidR="003D6EF8">
        <w:noBreakHyphen/>
      </w:r>
      <w:r>
        <w:t>07</w:t>
      </w:r>
      <w:r w:rsidR="003D6EF8">
        <w:noBreakHyphen/>
      </w:r>
      <w:r>
        <w:t>008.</w:t>
      </w:r>
    </w:p>
    <w:p w:rsidR="001363BA" w:rsidP="001363BA" w:rsidRDefault="001363BA" w14:paraId="67EF268A" w14:textId="57338FD0">
      <w:pPr>
        <w:pStyle w:val="FoF"/>
        <w:numPr>
          <w:ilvl w:val="0"/>
          <w:numId w:val="3"/>
        </w:numPr>
      </w:pPr>
      <w:r>
        <w:t xml:space="preserve">Automatic enrollment </w:t>
      </w:r>
      <w:r w:rsidR="006F70B9">
        <w:t>r</w:t>
      </w:r>
      <w:r>
        <w:t>educe</w:t>
      </w:r>
      <w:r w:rsidR="006F70B9">
        <w:t>s</w:t>
      </w:r>
      <w:r>
        <w:t xml:space="preserve"> administrative costs, minimize</w:t>
      </w:r>
      <w:r w:rsidR="006F70B9">
        <w:t>s</w:t>
      </w:r>
      <w:r>
        <w:t xml:space="preserve"> marketing, education, and outreach costs, and reduce</w:t>
      </w:r>
      <w:r w:rsidR="006F70B9">
        <w:t>s</w:t>
      </w:r>
      <w:r>
        <w:t xml:space="preserve"> barriers to access.</w:t>
      </w:r>
    </w:p>
    <w:p w:rsidR="001363BA" w:rsidP="001363BA" w:rsidRDefault="001363BA" w14:paraId="5CA67657" w14:textId="77777777">
      <w:pPr>
        <w:pStyle w:val="FoF"/>
        <w:numPr>
          <w:ilvl w:val="0"/>
          <w:numId w:val="3"/>
        </w:numPr>
      </w:pPr>
      <w:r>
        <w:t>Compensating customers in energy units is not applicable when netting is not being performed.</w:t>
      </w:r>
    </w:p>
    <w:p w:rsidR="001363BA" w:rsidP="001363BA" w:rsidRDefault="008A3A0B" w14:paraId="7916CB42" w14:textId="572B4B87">
      <w:pPr>
        <w:pStyle w:val="FoF"/>
        <w:numPr>
          <w:ilvl w:val="0"/>
          <w:numId w:val="3"/>
        </w:numPr>
      </w:pPr>
      <w:r>
        <w:t>L</w:t>
      </w:r>
      <w:r w:rsidR="001363BA">
        <w:t>imit</w:t>
      </w:r>
      <w:r>
        <w:t>ing</w:t>
      </w:r>
      <w:r w:rsidR="001363BA">
        <w:t xml:space="preserve"> the size of </w:t>
      </w:r>
      <w:r>
        <w:t>PURPA</w:t>
      </w:r>
      <w:r w:rsidR="003D6EF8">
        <w:noBreakHyphen/>
      </w:r>
      <w:r>
        <w:t xml:space="preserve">compliant community renewable energy program </w:t>
      </w:r>
      <w:r w:rsidR="001363BA">
        <w:t>projects to 20</w:t>
      </w:r>
      <w:r w:rsidR="00ED70F0">
        <w:t> MW</w:t>
      </w:r>
      <w:r w:rsidR="001363BA">
        <w:t xml:space="preserve"> and requir</w:t>
      </w:r>
      <w:r>
        <w:t>ing</w:t>
      </w:r>
      <w:r w:rsidR="001363BA">
        <w:t xml:space="preserve"> developers to demonstrate to the </w:t>
      </w:r>
      <w:r w:rsidR="00EA4CB8">
        <w:t>Energy Commission</w:t>
      </w:r>
      <w:r w:rsidR="001363BA">
        <w:t xml:space="preserve"> that </w:t>
      </w:r>
      <w:r w:rsidR="0050485D">
        <w:t xml:space="preserve">a project </w:t>
      </w:r>
      <w:r w:rsidR="001363BA">
        <w:t xml:space="preserve">complies with </w:t>
      </w:r>
      <w:r w:rsidR="003627A8">
        <w:t>Section </w:t>
      </w:r>
      <w:r w:rsidR="001363BA">
        <w:t>10</w:t>
      </w:r>
      <w:r w:rsidR="003D6EF8">
        <w:noBreakHyphen/>
      </w:r>
      <w:r w:rsidR="001363BA">
        <w:t>115</w:t>
      </w:r>
      <w:r w:rsidR="0050485D">
        <w:t xml:space="preserve"> of the California Building Code</w:t>
      </w:r>
      <w:r>
        <w:t xml:space="preserve"> ensure</w:t>
      </w:r>
      <w:r w:rsidR="002E2DE7">
        <w:t>s</w:t>
      </w:r>
      <w:r>
        <w:t xml:space="preserve"> compliance with </w:t>
      </w:r>
      <w:r w:rsidR="00DE03EB">
        <w:t>Pub.</w:t>
      </w:r>
      <w:r w:rsidR="00F933F5">
        <w:t> </w:t>
      </w:r>
      <w:r w:rsidR="00DE03EB">
        <w:t xml:space="preserve">Util. Code </w:t>
      </w:r>
      <w:r w:rsidR="00F933F5">
        <w:t>Section </w:t>
      </w:r>
      <w:r w:rsidR="00DE03EB">
        <w:t>769.3(c)(1)</w:t>
      </w:r>
      <w:r w:rsidR="001363BA">
        <w:t>.</w:t>
      </w:r>
    </w:p>
    <w:p w:rsidR="001363BA" w:rsidP="001363BA" w:rsidRDefault="005D6F50" w14:paraId="7A809324" w14:textId="183D78C0">
      <w:pPr>
        <w:pStyle w:val="FoF"/>
        <w:numPr>
          <w:ilvl w:val="0"/>
          <w:numId w:val="3"/>
        </w:numPr>
      </w:pPr>
      <w:r>
        <w:t>R</w:t>
      </w:r>
      <w:r w:rsidR="001363BA">
        <w:t>equir</w:t>
      </w:r>
      <w:r>
        <w:t>ing</w:t>
      </w:r>
      <w:r w:rsidR="001363BA">
        <w:t xml:space="preserve"> that 51</w:t>
      </w:r>
      <w:r w:rsidR="00D376A8">
        <w:t> percent</w:t>
      </w:r>
      <w:r w:rsidR="001363BA">
        <w:t xml:space="preserve"> of a </w:t>
      </w:r>
      <w:r w:rsidR="00CB07DF">
        <w:t>PURPA</w:t>
      </w:r>
      <w:r w:rsidR="003D6EF8">
        <w:noBreakHyphen/>
      </w:r>
      <w:r w:rsidR="00CB07DF">
        <w:t xml:space="preserve">compliant community renewable energy program generation </w:t>
      </w:r>
      <w:r w:rsidR="001363BA">
        <w:t>facilit</w:t>
      </w:r>
      <w:r w:rsidR="00CB07DF">
        <w:t>y</w:t>
      </w:r>
      <w:r w:rsidR="00440785">
        <w:t>’</w:t>
      </w:r>
      <w:r w:rsidR="00CB07DF">
        <w:t>s</w:t>
      </w:r>
      <w:r w:rsidR="001363BA">
        <w:t xml:space="preserve"> capacity be subscribed to low</w:t>
      </w:r>
      <w:r w:rsidR="003D6EF8">
        <w:noBreakHyphen/>
      </w:r>
      <w:r w:rsidR="001363BA">
        <w:t>income households</w:t>
      </w:r>
      <w:r w:rsidR="00CB07DF">
        <w:t xml:space="preserve"> ensures compliance with Pub</w:t>
      </w:r>
      <w:r w:rsidR="00F933F5">
        <w:t>. </w:t>
      </w:r>
      <w:r w:rsidR="00CB07DF">
        <w:t xml:space="preserve">Util. Code </w:t>
      </w:r>
      <w:r w:rsidR="00F933F5">
        <w:t>Section </w:t>
      </w:r>
      <w:r w:rsidR="00CB07DF">
        <w:t>769.3(c)(</w:t>
      </w:r>
      <w:r w:rsidR="00DE03EB">
        <w:t>2)</w:t>
      </w:r>
      <w:r w:rsidR="001363BA">
        <w:t>.</w:t>
      </w:r>
    </w:p>
    <w:p w:rsidR="001363BA" w:rsidP="001363BA" w:rsidRDefault="002E2DE7" w14:paraId="3199C922" w14:textId="144520BE">
      <w:pPr>
        <w:pStyle w:val="FoF"/>
        <w:numPr>
          <w:ilvl w:val="0"/>
          <w:numId w:val="3"/>
        </w:numPr>
      </w:pPr>
      <w:r>
        <w:t>Requiring t</w:t>
      </w:r>
      <w:r w:rsidR="001363BA">
        <w:t>he PURPA</w:t>
      </w:r>
      <w:r w:rsidR="003D6EF8">
        <w:noBreakHyphen/>
      </w:r>
      <w:r w:rsidR="001363BA">
        <w:t xml:space="preserve">compliant community renewable energy program </w:t>
      </w:r>
      <w:r>
        <w:t xml:space="preserve">to </w:t>
      </w:r>
      <w:r w:rsidR="001363BA">
        <w:t>use PURPA avoided costs to compensate generation resources</w:t>
      </w:r>
      <w:r>
        <w:t xml:space="preserve"> ensures program costs are not paid by nonparticipating customers in excess of avoided costs</w:t>
      </w:r>
      <w:r w:rsidR="001363BA">
        <w:t>.</w:t>
      </w:r>
    </w:p>
    <w:p w:rsidR="001363BA" w:rsidP="001363BA" w:rsidRDefault="002E2DE7" w14:paraId="73C5FD55" w14:textId="6B8B3940">
      <w:pPr>
        <w:pStyle w:val="FoF"/>
        <w:numPr>
          <w:ilvl w:val="0"/>
          <w:numId w:val="3"/>
        </w:numPr>
      </w:pPr>
      <w:r>
        <w:lastRenderedPageBreak/>
        <w:t xml:space="preserve">Requiring </w:t>
      </w:r>
      <w:r w:rsidR="001363BA">
        <w:t>the PURPA</w:t>
      </w:r>
      <w:r w:rsidR="003D6EF8">
        <w:noBreakHyphen/>
      </w:r>
      <w:r w:rsidR="001363BA">
        <w:t>compliant community renewable energy program project developers to comply with the prevailing wage requirement</w:t>
      </w:r>
      <w:r>
        <w:t xml:space="preserve"> ensures compliance with Section 1773 of the Labor Code</w:t>
      </w:r>
      <w:r w:rsidR="00DE03EB">
        <w:t xml:space="preserve"> and Pub</w:t>
      </w:r>
      <w:r w:rsidR="00603E77">
        <w:t>. </w:t>
      </w:r>
      <w:r w:rsidR="00DE03EB">
        <w:t xml:space="preserve">Util. Code </w:t>
      </w:r>
      <w:r w:rsidR="00603E77">
        <w:t>Section </w:t>
      </w:r>
      <w:r w:rsidR="00DE03EB">
        <w:t>769.3(c)(4)</w:t>
      </w:r>
      <w:r w:rsidR="001363BA">
        <w:t>.</w:t>
      </w:r>
    </w:p>
    <w:p w:rsidR="001363BA" w:rsidP="001363BA" w:rsidRDefault="00DE03EB" w14:paraId="0D9499DF" w14:textId="0D0AD0ED">
      <w:pPr>
        <w:pStyle w:val="FoF"/>
        <w:numPr>
          <w:ilvl w:val="0"/>
          <w:numId w:val="3"/>
        </w:numPr>
      </w:pPr>
      <w:r>
        <w:t>Requiring t</w:t>
      </w:r>
      <w:r w:rsidR="001363BA">
        <w:t>he PURPA</w:t>
      </w:r>
      <w:r w:rsidR="003D6EF8">
        <w:noBreakHyphen/>
      </w:r>
      <w:r w:rsidR="001363BA">
        <w:t xml:space="preserve">compliant community renewable energy program </w:t>
      </w:r>
      <w:r>
        <w:t>to</w:t>
      </w:r>
      <w:r w:rsidR="00603E77">
        <w:t>:</w:t>
      </w:r>
      <w:r>
        <w:t xml:space="preserve"> (1</w:t>
      </w:r>
      <w:r w:rsidR="00603E77">
        <w:t>) </w:t>
      </w:r>
      <w:r w:rsidR="001363BA">
        <w:t xml:space="preserve">compensate generating resources based on the PURPA avoided costs of the facility and </w:t>
      </w:r>
      <w:r>
        <w:t>(2)</w:t>
      </w:r>
      <w:r w:rsidR="00603E77">
        <w:t> </w:t>
      </w:r>
      <w:r w:rsidR="005D6F50">
        <w:t xml:space="preserve">provide </w:t>
      </w:r>
      <w:r w:rsidR="001363BA">
        <w:t xml:space="preserve">subscribing customers </w:t>
      </w:r>
      <w:r w:rsidR="005D6F50">
        <w:t>with their</w:t>
      </w:r>
      <w:r w:rsidR="001363BA">
        <w:t xml:space="preserve"> portion of this compensation as a bill credit</w:t>
      </w:r>
      <w:r w:rsidR="005D6F50">
        <w:t xml:space="preserve"> </w:t>
      </w:r>
      <w:r>
        <w:t>results in compliance with Pub.</w:t>
      </w:r>
      <w:r w:rsidR="00603E77">
        <w:t> </w:t>
      </w:r>
      <w:r>
        <w:t xml:space="preserve">Util. Code </w:t>
      </w:r>
      <w:r w:rsidR="00603E77">
        <w:t>Section </w:t>
      </w:r>
      <w:r>
        <w:t>769.3</w:t>
      </w:r>
      <w:r w:rsidR="005D6F50">
        <w:t>.</w:t>
      </w:r>
      <w:r>
        <w:t>(c)(3) and (c)(5)</w:t>
      </w:r>
      <w:r w:rsidR="001363BA">
        <w:t>.</w:t>
      </w:r>
    </w:p>
    <w:p w:rsidR="002349AC" w:rsidP="001363BA" w:rsidRDefault="002349AC" w14:paraId="133B43D4" w14:textId="0D094223">
      <w:pPr>
        <w:pStyle w:val="FoF"/>
        <w:numPr>
          <w:ilvl w:val="0"/>
          <w:numId w:val="3"/>
        </w:numPr>
      </w:pPr>
      <w:r w:rsidRPr="002349AC">
        <w:t>There are several state and federal funding sources available for PURPA</w:t>
      </w:r>
      <w:r w:rsidR="003D6EF8">
        <w:noBreakHyphen/>
      </w:r>
      <w:r w:rsidRPr="002349AC">
        <w:t>compliant community renewable energy programs</w:t>
      </w:r>
      <w:r w:rsidR="001363BA">
        <w:t xml:space="preserve"> </w:t>
      </w:r>
      <w:r w:rsidR="003627A8">
        <w:t>AB </w:t>
      </w:r>
      <w:r w:rsidR="001363BA">
        <w:t>102, the Environmental Protection Agency</w:t>
      </w:r>
      <w:r w:rsidR="00440785">
        <w:t>’</w:t>
      </w:r>
      <w:r w:rsidR="001363BA">
        <w:t xml:space="preserve">s Solar for All, the </w:t>
      </w:r>
      <w:r w:rsidR="00E73D2C">
        <w:t>enhanced federal ITC</w:t>
      </w:r>
      <w:r w:rsidR="001363BA">
        <w:t>, and the Greenhouse Gas Reduction Fund</w:t>
      </w:r>
      <w:r>
        <w:t>.</w:t>
      </w:r>
    </w:p>
    <w:p w:rsidR="001363BA" w:rsidP="001363BA" w:rsidRDefault="002349AC" w14:paraId="18DFBA62" w14:textId="19DB5F75">
      <w:pPr>
        <w:pStyle w:val="FoF"/>
        <w:numPr>
          <w:ilvl w:val="0"/>
          <w:numId w:val="3"/>
        </w:numPr>
      </w:pPr>
      <w:r>
        <w:t>Requiring developers of community renewable energy program projects to take advantage of the available state and federal funding results in compliance with Pub.</w:t>
      </w:r>
      <w:r w:rsidR="00603E77">
        <w:t> </w:t>
      </w:r>
      <w:r>
        <w:t xml:space="preserve">Util. Code </w:t>
      </w:r>
      <w:r w:rsidR="00603E77">
        <w:t>Section </w:t>
      </w:r>
      <w:r>
        <w:t>769.3(c)(6).</w:t>
      </w:r>
    </w:p>
    <w:p w:rsidR="001363BA" w:rsidP="001363BA" w:rsidRDefault="001363BA" w14:paraId="59FE082F" w14:textId="77777777">
      <w:pPr>
        <w:pStyle w:val="FoF"/>
        <w:numPr>
          <w:ilvl w:val="0"/>
          <w:numId w:val="3"/>
        </w:numPr>
      </w:pPr>
      <w:r>
        <w:t>The results of the evaluation above and the record of this proceeding indicate the need for improvement in the existing Green Access Program tariffs.</w:t>
      </w:r>
    </w:p>
    <w:p w:rsidR="001363BA" w:rsidP="001363BA" w:rsidRDefault="001363BA" w14:paraId="123937B3" w14:textId="77777777">
      <w:pPr>
        <w:pStyle w:val="FoF"/>
        <w:numPr>
          <w:ilvl w:val="0"/>
          <w:numId w:val="3"/>
        </w:numPr>
      </w:pPr>
      <w:r>
        <w:t>The original intention of the filing of the applications in this proceeding was to review and improve the Green Access Program tariffs.</w:t>
      </w:r>
    </w:p>
    <w:p w:rsidR="001363BA" w:rsidP="001363BA" w:rsidRDefault="001363BA" w14:paraId="74A069C5" w14:textId="77777777">
      <w:pPr>
        <w:pStyle w:val="FoF"/>
        <w:numPr>
          <w:ilvl w:val="0"/>
          <w:numId w:val="3"/>
        </w:numPr>
      </w:pPr>
      <w:r>
        <w:t>Challenges to attracting customers and developers in the Green Access Program tariffs emanate from enrollment rate, eligibility requirements, rate volatility, and duplication.</w:t>
      </w:r>
    </w:p>
    <w:p w:rsidR="001363BA" w:rsidP="001363BA" w:rsidRDefault="001363BA" w14:paraId="4906ACDE" w14:textId="04070F0E">
      <w:pPr>
        <w:pStyle w:val="FoF"/>
        <w:numPr>
          <w:ilvl w:val="0"/>
          <w:numId w:val="3"/>
        </w:numPr>
      </w:pPr>
      <w:r>
        <w:t>Voluntary inclusion of storage will likely result in more costly projects</w:t>
      </w:r>
      <w:r w:rsidR="005D18DF">
        <w:t>,</w:t>
      </w:r>
      <w:r>
        <w:t xml:space="preserve"> but this cost is balanced with the additional value to the grid that resources combined with storage will provide.</w:t>
      </w:r>
    </w:p>
    <w:p w:rsidR="001363BA" w:rsidP="001363BA" w:rsidRDefault="00737439" w14:paraId="202295B2" w14:textId="2C14F380">
      <w:pPr>
        <w:pStyle w:val="FoF"/>
        <w:numPr>
          <w:ilvl w:val="0"/>
          <w:numId w:val="3"/>
        </w:numPr>
      </w:pPr>
      <w:r w:rsidRPr="00FD66C0">
        <w:lastRenderedPageBreak/>
        <w:t>California Air Resources Board</w:t>
      </w:r>
      <w:r w:rsidR="001363BA">
        <w:t xml:space="preserve"> VRE programs are costly and should be eliminated.</w:t>
      </w:r>
    </w:p>
    <w:p w:rsidR="001363BA" w:rsidP="001363BA" w:rsidRDefault="001363BA" w14:paraId="69D5875B" w14:textId="6CB18C62">
      <w:pPr>
        <w:pStyle w:val="FoF"/>
        <w:numPr>
          <w:ilvl w:val="0"/>
          <w:numId w:val="3"/>
        </w:numPr>
      </w:pPr>
      <w:r>
        <w:t xml:space="preserve">Validation and tracking by program administrators on a single website </w:t>
      </w:r>
      <w:r w:rsidR="00AC65C5">
        <w:t xml:space="preserve">is </w:t>
      </w:r>
      <w:r>
        <w:t>a more cost</w:t>
      </w:r>
      <w:r w:rsidR="003D6EF8">
        <w:noBreakHyphen/>
      </w:r>
      <w:r>
        <w:t>effective method of verification and is consistent with prior Commission directives.</w:t>
      </w:r>
    </w:p>
    <w:p w:rsidR="001363BA" w:rsidP="001363BA" w:rsidRDefault="001363BA" w14:paraId="3FB6A904" w14:textId="4CA88F43">
      <w:pPr>
        <w:pStyle w:val="FoF"/>
        <w:numPr>
          <w:ilvl w:val="0"/>
          <w:numId w:val="3"/>
        </w:numPr>
      </w:pPr>
      <w:r>
        <w:t>It is efficient to combine the unprocured capacity of the CSGT and DAC</w:t>
      </w:r>
      <w:r w:rsidR="003D6EF8">
        <w:noBreakHyphen/>
      </w:r>
      <w:r>
        <w:t>GT, transition customers on the existing CSGT to the modified DAC</w:t>
      </w:r>
      <w:r w:rsidR="003D6EF8">
        <w:noBreakHyphen/>
      </w:r>
      <w:r>
        <w:t>GT, allow the enrollment of previously wait</w:t>
      </w:r>
      <w:r w:rsidR="003D6EF8">
        <w:noBreakHyphen/>
      </w:r>
      <w:r>
        <w:t>listed customers, and focus on improving future enrollment of low</w:t>
      </w:r>
      <w:r w:rsidR="003D6EF8">
        <w:noBreakHyphen/>
      </w:r>
      <w:r>
        <w:t>income customers.</w:t>
      </w:r>
    </w:p>
    <w:p w:rsidR="001363BA" w:rsidP="001363BA" w:rsidRDefault="001363BA" w14:paraId="5D7EDB10" w14:textId="2A3EFBDC">
      <w:pPr>
        <w:pStyle w:val="FoF"/>
        <w:numPr>
          <w:ilvl w:val="0"/>
          <w:numId w:val="3"/>
        </w:numPr>
      </w:pPr>
      <w:r>
        <w:t xml:space="preserve">Requiring projects to be sited in the top quarter of disadvantaged communities within the service territory of the respective utility or </w:t>
      </w:r>
      <w:r w:rsidR="00FA0994">
        <w:t>CCA</w:t>
      </w:r>
      <w:r>
        <w:t xml:space="preserve"> has led to fewer projects being eligible for the DAC</w:t>
      </w:r>
      <w:r w:rsidR="003D6EF8">
        <w:noBreakHyphen/>
      </w:r>
      <w:r>
        <w:t>GT.</w:t>
      </w:r>
    </w:p>
    <w:p w:rsidR="001363BA" w:rsidP="001363BA" w:rsidRDefault="001363BA" w14:paraId="66A6E221" w14:textId="5CFA175F">
      <w:pPr>
        <w:pStyle w:val="FoF"/>
        <w:numPr>
          <w:ilvl w:val="0"/>
          <w:numId w:val="3"/>
        </w:numPr>
      </w:pPr>
      <w:r>
        <w:t>An objective of DAC</w:t>
      </w:r>
      <w:r w:rsidR="003D6EF8">
        <w:noBreakHyphen/>
      </w:r>
      <w:r>
        <w:t>GT is to promote robust participation by low</w:t>
      </w:r>
      <w:r w:rsidR="003D6EF8">
        <w:noBreakHyphen/>
      </w:r>
      <w:r>
        <w:t xml:space="preserve">income customers, </w:t>
      </w:r>
      <w:r w:rsidRPr="00150E4C" w:rsidR="00150E4C">
        <w:rPr>
          <w:i/>
          <w:iCs/>
        </w:rPr>
        <w:t>i.e.</w:t>
      </w:r>
      <w:r>
        <w:t>, provide for increased access to renewable energy by challenged communities.</w:t>
      </w:r>
    </w:p>
    <w:p w:rsidR="001363BA" w:rsidP="001363BA" w:rsidRDefault="001363BA" w14:paraId="2B3E0CB7" w14:textId="286364AE">
      <w:pPr>
        <w:pStyle w:val="FoF"/>
        <w:numPr>
          <w:ilvl w:val="0"/>
          <w:numId w:val="3"/>
        </w:numPr>
      </w:pPr>
      <w:bookmarkStart w:name="_Hlk160190021" w:id="272"/>
      <w:r>
        <w:t>Expanding the DAC</w:t>
      </w:r>
      <w:r w:rsidR="003D6EF8">
        <w:noBreakHyphen/>
      </w:r>
      <w:r>
        <w:t xml:space="preserve">GT site requirements to allow eligible projects to be located no more than five miles from  </w:t>
      </w:r>
      <w:r w:rsidR="00311284">
        <w:t xml:space="preserve">any DAC-GT-eligible </w:t>
      </w:r>
      <w:r>
        <w:t>communit</w:t>
      </w:r>
      <w:r w:rsidR="00311284">
        <w:t>y</w:t>
      </w:r>
      <w:r>
        <w:t xml:space="preserve"> will help to meet the objective of promoting robust participation by low</w:t>
      </w:r>
      <w:r w:rsidR="003D6EF8">
        <w:noBreakHyphen/>
      </w:r>
      <w:r>
        <w:t>income customers.</w:t>
      </w:r>
    </w:p>
    <w:bookmarkEnd w:id="272"/>
    <w:p w:rsidR="001363BA" w:rsidP="001363BA" w:rsidRDefault="006761B5" w14:paraId="067AA492" w14:textId="74966F36">
      <w:pPr>
        <w:pStyle w:val="FoF"/>
        <w:numPr>
          <w:ilvl w:val="0"/>
          <w:numId w:val="3"/>
        </w:numPr>
      </w:pPr>
      <w:r>
        <w:t xml:space="preserve">Using the </w:t>
      </w:r>
      <w:r w:rsidR="00440785">
        <w:t>“</w:t>
      </w:r>
      <w:r w:rsidR="001363BA">
        <w:t>top off</w:t>
      </w:r>
      <w:r w:rsidR="00440785">
        <w:t>”</w:t>
      </w:r>
      <w:r w:rsidR="001363BA">
        <w:t xml:space="preserve"> approach </w:t>
      </w:r>
      <w:r>
        <w:t xml:space="preserve">in the DAC-GT </w:t>
      </w:r>
      <w:r w:rsidR="00DE03EB">
        <w:t xml:space="preserve">would </w:t>
      </w:r>
      <w:r w:rsidR="005D6F50">
        <w:t>have</w:t>
      </w:r>
      <w:r w:rsidR="001363BA">
        <w:t xml:space="preserve"> negative impacts on nonparticipating ratepayers.</w:t>
      </w:r>
    </w:p>
    <w:p w:rsidR="001363BA" w:rsidP="001363BA" w:rsidRDefault="001363BA" w14:paraId="2A083195" w14:textId="6278F583">
      <w:pPr>
        <w:pStyle w:val="FoF"/>
        <w:numPr>
          <w:ilvl w:val="0"/>
          <w:numId w:val="3"/>
        </w:numPr>
      </w:pPr>
      <w:r>
        <w:t>PG&amp;E has adopted auto</w:t>
      </w:r>
      <w:r w:rsidR="003D6EF8">
        <w:noBreakHyphen/>
      </w:r>
      <w:r>
        <w:t>enrollment in the DAC</w:t>
      </w:r>
      <w:r w:rsidR="003D6EF8">
        <w:noBreakHyphen/>
      </w:r>
      <w:r>
        <w:t>GT for customers at high risk of disconnection.</w:t>
      </w:r>
    </w:p>
    <w:p w:rsidR="001363BA" w:rsidP="001363BA" w:rsidRDefault="001363BA" w14:paraId="1762F1FB" w14:textId="30E5BB0E">
      <w:pPr>
        <w:pStyle w:val="FoF"/>
        <w:numPr>
          <w:ilvl w:val="0"/>
          <w:numId w:val="3"/>
        </w:numPr>
      </w:pPr>
      <w:r>
        <w:t>The Commission has adopted the practice of customer self</w:t>
      </w:r>
      <w:r w:rsidR="003D6EF8">
        <w:noBreakHyphen/>
      </w:r>
      <w:r>
        <w:t>certification in other public purpose programs.</w:t>
      </w:r>
    </w:p>
    <w:p w:rsidR="001363BA" w:rsidP="001363BA" w:rsidRDefault="001363BA" w14:paraId="49E9DD49" w14:textId="4D1387C2">
      <w:pPr>
        <w:pStyle w:val="FoF"/>
        <w:numPr>
          <w:ilvl w:val="0"/>
          <w:numId w:val="3"/>
        </w:numPr>
      </w:pPr>
      <w:r>
        <w:lastRenderedPageBreak/>
        <w:t>Adopting the auto</w:t>
      </w:r>
      <w:r w:rsidR="003D6EF8">
        <w:noBreakHyphen/>
      </w:r>
      <w:r>
        <w:t>enrollment practice adopted by the Commission in D.20</w:t>
      </w:r>
      <w:r w:rsidR="003D6EF8">
        <w:noBreakHyphen/>
      </w:r>
      <w:r>
        <w:t>07</w:t>
      </w:r>
      <w:r w:rsidR="003D6EF8">
        <w:noBreakHyphen/>
      </w:r>
      <w:r>
        <w:t>008 for use in the modified DAC</w:t>
      </w:r>
      <w:r w:rsidR="003D6EF8">
        <w:noBreakHyphen/>
      </w:r>
      <w:r>
        <w:t xml:space="preserve">GT is efficient and </w:t>
      </w:r>
      <w:r w:rsidR="0016459D">
        <w:t xml:space="preserve">will </w:t>
      </w:r>
      <w:r>
        <w:t>improve the current enrollment statistics for low</w:t>
      </w:r>
      <w:r w:rsidR="003D6EF8">
        <w:noBreakHyphen/>
      </w:r>
      <w:r>
        <w:t>income customers.</w:t>
      </w:r>
    </w:p>
    <w:p w:rsidR="001363BA" w:rsidP="001363BA" w:rsidRDefault="001363BA" w14:paraId="2BDB0EB7" w14:textId="107429B5">
      <w:pPr>
        <w:pStyle w:val="FoF"/>
        <w:numPr>
          <w:ilvl w:val="0"/>
          <w:numId w:val="3"/>
        </w:numPr>
      </w:pPr>
      <w:r>
        <w:t>SCE</w:t>
      </w:r>
      <w:r w:rsidR="00440785">
        <w:t>’</w:t>
      </w:r>
      <w:r>
        <w:t>s most recent Green Tariff contract was executed in 2016.</w:t>
      </w:r>
    </w:p>
    <w:p w:rsidR="00BA58BF" w:rsidP="001363BA" w:rsidRDefault="00B336E3" w14:paraId="1A0724F6" w14:textId="71CD3C0C">
      <w:pPr>
        <w:pStyle w:val="FoF"/>
        <w:numPr>
          <w:ilvl w:val="0"/>
          <w:numId w:val="3"/>
        </w:numPr>
      </w:pPr>
      <w:r>
        <w:t>A</w:t>
      </w:r>
      <w:r w:rsidR="001A5581">
        <w:t xml:space="preserve"> current </w:t>
      </w:r>
      <w:r w:rsidR="001363BA">
        <w:t>cost containment cap reflect</w:t>
      </w:r>
      <w:r w:rsidR="00D4551C">
        <w:t>s</w:t>
      </w:r>
      <w:r w:rsidR="001363BA">
        <w:t xml:space="preserve"> current market prices and developer costs.</w:t>
      </w:r>
    </w:p>
    <w:p w:rsidR="001363BA" w:rsidP="001363BA" w:rsidRDefault="001363BA" w14:paraId="0AB806E4" w14:textId="520C532C">
      <w:pPr>
        <w:pStyle w:val="FoF"/>
        <w:numPr>
          <w:ilvl w:val="0"/>
          <w:numId w:val="3"/>
        </w:numPr>
      </w:pPr>
      <w:r>
        <w:t xml:space="preserve">The record does not contain any proposal for </w:t>
      </w:r>
      <w:r w:rsidR="001A5581">
        <w:t xml:space="preserve">the process </w:t>
      </w:r>
      <w:r>
        <w:t>to update the cost containment cap.</w:t>
      </w:r>
    </w:p>
    <w:p w:rsidR="001363BA" w:rsidP="001363BA" w:rsidRDefault="001363BA" w14:paraId="50ED0FD3" w14:textId="5972DA92">
      <w:pPr>
        <w:pStyle w:val="FoF"/>
        <w:numPr>
          <w:ilvl w:val="0"/>
          <w:numId w:val="3"/>
        </w:numPr>
      </w:pPr>
      <w:r>
        <w:t>Revising the submission date of the DAC</w:t>
      </w:r>
      <w:r w:rsidR="003D6EF8">
        <w:noBreakHyphen/>
      </w:r>
      <w:r>
        <w:t>GT Program Administrator</w:t>
      </w:r>
      <w:r w:rsidR="00440785">
        <w:t>’</w:t>
      </w:r>
      <w:r>
        <w:t xml:space="preserve">s annual budget advice letter to </w:t>
      </w:r>
      <w:r w:rsidR="0013526D">
        <w:t>April </w:t>
      </w:r>
      <w:r>
        <w:t>1st will not impact the timing of the Energy Resource Recovery Account proceedings and will provide additional time to ensure accuracy of the costs.</w:t>
      </w:r>
    </w:p>
    <w:p w:rsidR="001363BA" w:rsidP="001363BA" w:rsidRDefault="00440785" w14:paraId="3184F7EE" w14:textId="4E7E0339">
      <w:pPr>
        <w:pStyle w:val="FoF"/>
        <w:numPr>
          <w:ilvl w:val="0"/>
          <w:numId w:val="3"/>
        </w:numPr>
      </w:pPr>
      <w:r>
        <w:t>Resolution </w:t>
      </w:r>
      <w:r w:rsidR="001363BA">
        <w:t>E</w:t>
      </w:r>
      <w:r w:rsidR="003D6EF8">
        <w:noBreakHyphen/>
      </w:r>
      <w:r w:rsidR="001363BA">
        <w:t>5124 required PG&amp;E to provide in their 2022 Budget Advice Letter a discussion on its efforts to eliminate manual data transfers between PG&amp;E and participating CCAs.</w:t>
      </w:r>
    </w:p>
    <w:p w:rsidR="001363BA" w:rsidP="001363BA" w:rsidRDefault="001363BA" w14:paraId="55283CFA" w14:textId="77777777">
      <w:pPr>
        <w:pStyle w:val="FoF"/>
        <w:numPr>
          <w:ilvl w:val="0"/>
          <w:numId w:val="3"/>
        </w:numPr>
      </w:pPr>
      <w:r>
        <w:t>While PG&amp;E stated it would evaluate the costs and benefits of implementing a billing solution, the Commission has not seen a comprehensive analysis.</w:t>
      </w:r>
    </w:p>
    <w:p w:rsidR="001363BA" w:rsidP="001363BA" w:rsidRDefault="001363BA" w14:paraId="03B822A8" w14:textId="3E2876BC">
      <w:pPr>
        <w:pStyle w:val="FoF"/>
        <w:numPr>
          <w:ilvl w:val="0"/>
          <w:numId w:val="3"/>
        </w:numPr>
      </w:pPr>
      <w:r>
        <w:t>Because customers are eligible to be enrolled in DAC</w:t>
      </w:r>
      <w:r w:rsidR="003D6EF8">
        <w:noBreakHyphen/>
      </w:r>
      <w:r>
        <w:t>GT and CSGT for up to 20 years, it is prudent to consider the costs and benefits of implementing an automated billing solution for DAC</w:t>
      </w:r>
      <w:r w:rsidR="003D6EF8">
        <w:noBreakHyphen/>
      </w:r>
      <w:r>
        <w:t>GT and CSGT customers.</w:t>
      </w:r>
    </w:p>
    <w:p w:rsidR="001363BA" w:rsidP="001363BA" w:rsidRDefault="001363BA" w14:paraId="53A3E9D1" w14:textId="7492DDA2">
      <w:pPr>
        <w:pStyle w:val="FoF"/>
        <w:numPr>
          <w:ilvl w:val="0"/>
          <w:numId w:val="3"/>
        </w:numPr>
      </w:pPr>
      <w:r>
        <w:t>The following improvements will lead to potential enrollment increases in the modified DAC</w:t>
      </w:r>
      <w:r w:rsidR="003D6EF8">
        <w:noBreakHyphen/>
      </w:r>
      <w:r>
        <w:t xml:space="preserve">GT, thus addressing the </w:t>
      </w:r>
      <w:r w:rsidR="00440785">
        <w:t>Pub. Util.</w:t>
      </w:r>
      <w:r>
        <w:t xml:space="preserve"> </w:t>
      </w:r>
      <w:r w:rsidR="00934C7F">
        <w:t>Code Section 7</w:t>
      </w:r>
      <w:r>
        <w:t>69.3 goal of promoting robust participation by low</w:t>
      </w:r>
      <w:r w:rsidR="003D6EF8">
        <w:noBreakHyphen/>
      </w:r>
      <w:r>
        <w:t>income customers</w:t>
      </w:r>
      <w:r w:rsidR="005D30D7">
        <w:t xml:space="preserve">: </w:t>
      </w:r>
      <w:r w:rsidR="004561A1">
        <w:t>(</w:t>
      </w:r>
      <w:r>
        <w:t>1</w:t>
      </w:r>
      <w:r w:rsidR="004561A1">
        <w:t>) </w:t>
      </w:r>
      <w:r>
        <w:t>move legacy CSGT projects to the modified DAC</w:t>
      </w:r>
      <w:r w:rsidR="003D6EF8">
        <w:noBreakHyphen/>
      </w:r>
      <w:r>
        <w:t xml:space="preserve">GT; </w:t>
      </w:r>
      <w:r w:rsidR="004561A1">
        <w:t>(</w:t>
      </w:r>
      <w:r>
        <w:t>2</w:t>
      </w:r>
      <w:r w:rsidR="004561A1">
        <w:t>) </w:t>
      </w:r>
      <w:r>
        <w:t xml:space="preserve">transfer previously enrolled utility or </w:t>
      </w:r>
      <w:r w:rsidR="00FA0994">
        <w:t>CCA</w:t>
      </w:r>
      <w:r>
        <w:t xml:space="preserve"> customers to the modified DAC</w:t>
      </w:r>
      <w:r w:rsidR="003D6EF8">
        <w:noBreakHyphen/>
      </w:r>
      <w:r>
        <w:t xml:space="preserve">GT; and </w:t>
      </w:r>
      <w:r w:rsidR="004561A1">
        <w:t>(</w:t>
      </w:r>
      <w:r>
        <w:t>3</w:t>
      </w:r>
      <w:r w:rsidR="004561A1">
        <w:t>) </w:t>
      </w:r>
      <w:r>
        <w:t xml:space="preserve">increase </w:t>
      </w:r>
      <w:r w:rsidR="005D18DF">
        <w:t xml:space="preserve">the cap of </w:t>
      </w:r>
      <w:r>
        <w:t xml:space="preserve">each Program </w:t>
      </w:r>
      <w:r>
        <w:lastRenderedPageBreak/>
        <w:t xml:space="preserve">Administrator </w:t>
      </w:r>
      <w:r w:rsidR="005D18DF">
        <w:t>that is close to being fully procured within a particular utility service territory</w:t>
      </w:r>
      <w:r>
        <w:t xml:space="preserve"> to </w:t>
      </w:r>
      <w:r w:rsidR="005D18DF">
        <w:t xml:space="preserve">allow </w:t>
      </w:r>
      <w:r>
        <w:t>enroll</w:t>
      </w:r>
      <w:r w:rsidR="005D18DF">
        <w:t>ment of</w:t>
      </w:r>
      <w:r>
        <w:t xml:space="preserve"> an additional 50</w:t>
      </w:r>
      <w:r w:rsidR="00D376A8">
        <w:t> percent</w:t>
      </w:r>
      <w:r>
        <w:t xml:space="preserve"> of eligible customers.</w:t>
      </w:r>
    </w:p>
    <w:p w:rsidR="00BA58BF" w:rsidP="001363BA" w:rsidRDefault="001363BA" w14:paraId="6AB7AD61" w14:textId="11DB7A99">
      <w:pPr>
        <w:pStyle w:val="FoF"/>
        <w:numPr>
          <w:ilvl w:val="0"/>
          <w:numId w:val="3"/>
        </w:numPr>
      </w:pPr>
      <w:r>
        <w:t>SDG&amp;E</w:t>
      </w:r>
      <w:r w:rsidR="00440785">
        <w:t>’</w:t>
      </w:r>
      <w:r>
        <w:t>s small customer base may not support participation in Green Access Program tariffs and could result in the small volume of bundled customers being unfairly burdened by the costs associated with the Green Access Program tariffs.</w:t>
      </w:r>
    </w:p>
    <w:p w:rsidR="001363BA" w:rsidP="001363BA" w:rsidRDefault="001363BA" w14:paraId="110F0131" w14:textId="54B0DC75">
      <w:pPr>
        <w:pStyle w:val="FoF"/>
        <w:numPr>
          <w:ilvl w:val="0"/>
          <w:numId w:val="3"/>
        </w:numPr>
      </w:pPr>
      <w:r>
        <w:t>The DAC</w:t>
      </w:r>
      <w:r w:rsidR="003D6EF8">
        <w:noBreakHyphen/>
      </w:r>
      <w:r>
        <w:t>GT and CSGT Process Evaluation report recommends the Commission decrease the frequency of solicitations to once a year in order for the solicitations to be more efficient and to be on a more predictable schedule that allows time for developers to prepare and submit offers.</w:t>
      </w:r>
    </w:p>
    <w:p w:rsidR="001363BA" w:rsidP="001363BA" w:rsidRDefault="003F0B30" w14:paraId="07AD81FB" w14:textId="2D8AF10C">
      <w:pPr>
        <w:pStyle w:val="FoF"/>
        <w:numPr>
          <w:ilvl w:val="0"/>
          <w:numId w:val="3"/>
        </w:numPr>
      </w:pPr>
      <w:bookmarkStart w:name="_Hlk160194940" w:id="273"/>
      <w:r>
        <w:t xml:space="preserve">A </w:t>
      </w:r>
      <w:r w:rsidR="001363BA">
        <w:t>tariff sunset for DAC</w:t>
      </w:r>
      <w:r w:rsidR="003D6EF8">
        <w:noBreakHyphen/>
      </w:r>
      <w:r w:rsidR="001363BA">
        <w:t xml:space="preserve">GT </w:t>
      </w:r>
      <w:r w:rsidR="008D073C">
        <w:t xml:space="preserve">provides </w:t>
      </w:r>
      <w:r w:rsidR="001363BA">
        <w:t>clarity to subscribers.</w:t>
      </w:r>
    </w:p>
    <w:p w:rsidR="001363BA" w:rsidP="001363BA" w:rsidRDefault="001363BA" w14:paraId="2660311C" w14:textId="45BAD1EA">
      <w:pPr>
        <w:pStyle w:val="FoF"/>
        <w:numPr>
          <w:ilvl w:val="0"/>
          <w:numId w:val="3"/>
        </w:numPr>
      </w:pPr>
      <w:r>
        <w:t xml:space="preserve">The PG&amp;E proposed use of </w:t>
      </w:r>
      <w:r w:rsidR="009255B1">
        <w:t xml:space="preserve">RPS </w:t>
      </w:r>
      <w:r>
        <w:t>resources to bridge capacity shortfalls does not indicate when PG&amp;E should buy versus procure additional resources.</w:t>
      </w:r>
    </w:p>
    <w:p w:rsidR="001363BA" w:rsidP="001363BA" w:rsidRDefault="001363BA" w14:paraId="5348B81E" w14:textId="3E3D7DA9">
      <w:pPr>
        <w:pStyle w:val="FoF"/>
        <w:numPr>
          <w:ilvl w:val="0"/>
          <w:numId w:val="3"/>
        </w:numPr>
      </w:pPr>
      <w:r>
        <w:t>The ECR tariff has experienced low</w:t>
      </w:r>
      <w:r w:rsidR="003D6EF8">
        <w:noBreakHyphen/>
      </w:r>
      <w:r>
        <w:t>enrollment and fails to efficiently serve any distinct customer group.</w:t>
      </w:r>
    </w:p>
    <w:bookmarkEnd w:id="273"/>
    <w:p w:rsidR="001363BA" w:rsidP="001363BA" w:rsidRDefault="001363BA" w14:paraId="27CC328A" w14:textId="5AE3A925">
      <w:pPr>
        <w:pStyle w:val="FoF"/>
        <w:numPr>
          <w:ilvl w:val="0"/>
          <w:numId w:val="3"/>
        </w:numPr>
      </w:pPr>
      <w:r>
        <w:t xml:space="preserve">Due to a </w:t>
      </w:r>
      <w:r w:rsidR="00230FA8">
        <w:t>de</w:t>
      </w:r>
      <w:r>
        <w:t xml:space="preserve">crease in </w:t>
      </w:r>
      <w:r w:rsidR="00230FA8">
        <w:t xml:space="preserve">rates at the end of </w:t>
      </w:r>
      <w:r>
        <w:t>December 2020</w:t>
      </w:r>
      <w:r w:rsidR="00BF7765">
        <w:t>,</w:t>
      </w:r>
      <w:r>
        <w:t xml:space="preserve"> participating Green Tariff customers experienced an increase in their bill credits, which created a surge in enrollments to the tariff leading to more customers</w:t>
      </w:r>
      <w:r w:rsidR="007B55A5">
        <w:t>.</w:t>
      </w:r>
    </w:p>
    <w:p w:rsidR="006A780C" w:rsidP="001363BA" w:rsidRDefault="006A780C" w14:paraId="0B24FF91" w14:textId="70C95444">
      <w:pPr>
        <w:pStyle w:val="FoF"/>
        <w:numPr>
          <w:ilvl w:val="0"/>
          <w:numId w:val="3"/>
        </w:numPr>
      </w:pPr>
      <w:r>
        <w:t>Use of the top-off approach in the modified Green Tariff will assist in limiting future price volatility.</w:t>
      </w:r>
    </w:p>
    <w:p w:rsidR="001363BA" w:rsidP="001363BA" w:rsidRDefault="00230FA8" w14:paraId="5FBB913A" w14:textId="486F5D8A">
      <w:pPr>
        <w:pStyle w:val="FoF"/>
        <w:numPr>
          <w:ilvl w:val="0"/>
          <w:numId w:val="3"/>
        </w:numPr>
      </w:pPr>
      <w:r>
        <w:t xml:space="preserve">Integrating Green Tariff resource availability with other Integrated Resource plans </w:t>
      </w:r>
      <w:r w:rsidR="003F0B30">
        <w:t>c</w:t>
      </w:r>
      <w:r w:rsidR="001363BA">
        <w:t>ould lead to less rate volatility.</w:t>
      </w:r>
    </w:p>
    <w:p w:rsidR="002349AC" w:rsidP="001363BA" w:rsidRDefault="002349AC" w14:paraId="5603B56D" w14:textId="2F3E3491">
      <w:pPr>
        <w:pStyle w:val="FoF"/>
        <w:numPr>
          <w:ilvl w:val="0"/>
          <w:numId w:val="3"/>
        </w:numPr>
      </w:pPr>
      <w:r>
        <w:t>All costs for the modified Green Tariff are borne by the participating subscribers.</w:t>
      </w:r>
    </w:p>
    <w:p w:rsidR="008E77C6" w:rsidP="001363BA" w:rsidRDefault="008E77C6" w14:paraId="24D28365" w14:textId="197CC19D">
      <w:pPr>
        <w:pStyle w:val="FoF"/>
        <w:numPr>
          <w:ilvl w:val="0"/>
          <w:numId w:val="3"/>
        </w:numPr>
      </w:pPr>
      <w:r>
        <w:lastRenderedPageBreak/>
        <w:t>Resolution E-4999 found it appropriate for program evaluation funding for the DAC-GT to be shared by Utilities in proportion to their share of capacity for the DAC-GT and the CSGT.</w:t>
      </w:r>
    </w:p>
    <w:p w:rsidR="007B27BA" w:rsidP="001363BA" w:rsidRDefault="007B27BA" w14:paraId="58F0D585" w14:textId="4B5B7519">
      <w:pPr>
        <w:pStyle w:val="FoF"/>
        <w:numPr>
          <w:ilvl w:val="0"/>
          <w:numId w:val="3"/>
        </w:numPr>
      </w:pPr>
      <w:r>
        <w:t xml:space="preserve">It is consistent for the Commission to maintain the practice adopted in Resolution E-4999 for funding the </w:t>
      </w:r>
      <w:r w:rsidR="005673CC">
        <w:t xml:space="preserve">DAC-GT </w:t>
      </w:r>
      <w:r>
        <w:t>evaluations required by this decision.</w:t>
      </w:r>
    </w:p>
    <w:p w:rsidR="000F17C7" w:rsidP="005D1068" w:rsidRDefault="005939A5" w14:paraId="1A0F4399" w14:textId="7B36B278">
      <w:pPr>
        <w:pStyle w:val="Dummy"/>
      </w:pPr>
      <w:bookmarkStart w:name="_Toc8123726" w:id="274"/>
      <w:bookmarkStart w:name="_Toc159551210" w:id="275"/>
      <w:bookmarkStart w:name="_Toc168559328" w:id="276"/>
      <w:r>
        <w:t>Conclusions of Law</w:t>
      </w:r>
      <w:bookmarkEnd w:id="274"/>
      <w:bookmarkEnd w:id="275"/>
      <w:bookmarkEnd w:id="276"/>
    </w:p>
    <w:p w:rsidR="001E76CF" w:rsidP="001E76CF" w:rsidRDefault="000F17C7" w14:paraId="50450F10" w14:textId="1E94F574">
      <w:pPr>
        <w:pStyle w:val="CoL"/>
        <w:numPr>
          <w:ilvl w:val="0"/>
          <w:numId w:val="4"/>
        </w:numPr>
        <w:ind w:firstLine="547"/>
      </w:pPr>
      <w:r>
        <w:t xml:space="preserve">The current ECR tariff fails to meet the goals of </w:t>
      </w:r>
      <w:r w:rsidR="00440785">
        <w:t>Pub. Util.</w:t>
      </w:r>
      <w:r w:rsidR="00BF7765">
        <w:t xml:space="preserve"> </w:t>
      </w:r>
      <w:r>
        <w:t xml:space="preserve">Code </w:t>
      </w:r>
      <w:r w:rsidR="003627A8">
        <w:t>Section </w:t>
      </w:r>
      <w:r>
        <w:t>769.3(b)(1)(A).</w:t>
      </w:r>
    </w:p>
    <w:p w:rsidR="001E76CF" w:rsidP="005D065D" w:rsidRDefault="00E11F36" w14:paraId="443C7FE2" w14:textId="33A675D4">
      <w:pPr>
        <w:pStyle w:val="CoL"/>
        <w:numPr>
          <w:ilvl w:val="0"/>
          <w:numId w:val="4"/>
        </w:numPr>
        <w:ind w:firstLine="547"/>
      </w:pPr>
      <w:r>
        <w:t xml:space="preserve">The current GT tariff fails to meet the goals of </w:t>
      </w:r>
      <w:r w:rsidR="00440785">
        <w:t>Pub. Util.</w:t>
      </w:r>
      <w:r>
        <w:t xml:space="preserve"> Code </w:t>
      </w:r>
      <w:r w:rsidR="003627A8">
        <w:t>Section </w:t>
      </w:r>
      <w:r>
        <w:t>769.3(b)(1)(A).</w:t>
      </w:r>
    </w:p>
    <w:p w:rsidR="001E76CF" w:rsidP="005D065D" w:rsidRDefault="00360054" w14:paraId="06D75851" w14:textId="73C24ABE">
      <w:pPr>
        <w:pStyle w:val="CoL"/>
        <w:numPr>
          <w:ilvl w:val="0"/>
          <w:numId w:val="4"/>
        </w:numPr>
        <w:ind w:firstLine="547"/>
      </w:pPr>
      <w:r>
        <w:t>The current DAC</w:t>
      </w:r>
      <w:r w:rsidR="003D6EF8">
        <w:noBreakHyphen/>
      </w:r>
      <w:r>
        <w:t xml:space="preserve">GT tariff fails to meet the goals of </w:t>
      </w:r>
      <w:r w:rsidR="00440785">
        <w:t>Pub. Util.</w:t>
      </w:r>
      <w:r>
        <w:t xml:space="preserve"> Code </w:t>
      </w:r>
      <w:r w:rsidR="003627A8">
        <w:t>Section </w:t>
      </w:r>
      <w:r>
        <w:t>769.3(b)(1)(A).</w:t>
      </w:r>
    </w:p>
    <w:p w:rsidR="004F7DED" w:rsidP="005D065D" w:rsidRDefault="004F7DED" w14:paraId="50C94E65" w14:textId="0274900B">
      <w:pPr>
        <w:pStyle w:val="CoL"/>
        <w:numPr>
          <w:ilvl w:val="0"/>
          <w:numId w:val="4"/>
        </w:numPr>
        <w:ind w:firstLine="547"/>
      </w:pPr>
      <w:r>
        <w:t xml:space="preserve">The current CSGT tariff fails to meet the goals of </w:t>
      </w:r>
      <w:r w:rsidR="00440785">
        <w:t>Pub. Util.</w:t>
      </w:r>
      <w:r>
        <w:t xml:space="preserve"> Code </w:t>
      </w:r>
      <w:r w:rsidR="003627A8">
        <w:t>Section </w:t>
      </w:r>
      <w:r>
        <w:t>769.3(b)(1)(A).</w:t>
      </w:r>
    </w:p>
    <w:p w:rsidR="003F0B30" w:rsidP="001363BA" w:rsidRDefault="003F0B30" w14:paraId="42A077A6" w14:textId="573FBFD4">
      <w:pPr>
        <w:pStyle w:val="CoL"/>
        <w:numPr>
          <w:ilvl w:val="0"/>
          <w:numId w:val="4"/>
        </w:numPr>
      </w:pPr>
      <w:r>
        <w:t>The Commission should not adopt the NVBT proposal as a foundation for a community renewable energy program.</w:t>
      </w:r>
    </w:p>
    <w:p w:rsidR="001363BA" w:rsidP="001363BA" w:rsidRDefault="005E3C13" w14:paraId="70E39B81" w14:textId="712480EA">
      <w:pPr>
        <w:pStyle w:val="CoL"/>
        <w:numPr>
          <w:ilvl w:val="0"/>
          <w:numId w:val="4"/>
        </w:numPr>
      </w:pPr>
      <w:r>
        <w:t>AB 2316 and Pub. Util. Code Section 769.3 does not require t</w:t>
      </w:r>
      <w:r w:rsidR="001363BA">
        <w:t>he Commission to adopt a community renewable energy program.</w:t>
      </w:r>
    </w:p>
    <w:p w:rsidR="001363BA" w:rsidP="001363BA" w:rsidRDefault="001363BA" w14:paraId="66D19215" w14:textId="711FCD25">
      <w:pPr>
        <w:pStyle w:val="CoL"/>
        <w:numPr>
          <w:ilvl w:val="0"/>
          <w:numId w:val="4"/>
        </w:numPr>
      </w:pPr>
      <w:r>
        <w:t>The NVBT proposal do</w:t>
      </w:r>
      <w:r w:rsidR="00FC1307">
        <w:t>es</w:t>
      </w:r>
      <w:r>
        <w:t xml:space="preserve"> not comply with the requirements of </w:t>
      </w:r>
      <w:r w:rsidR="00440785">
        <w:t>Pub. Util.</w:t>
      </w:r>
      <w:r>
        <w:t xml:space="preserve"> Code </w:t>
      </w:r>
      <w:r w:rsidR="003627A8">
        <w:t>Section </w:t>
      </w:r>
      <w:r>
        <w:t>769.3.</w:t>
      </w:r>
    </w:p>
    <w:p w:rsidR="001363BA" w:rsidP="001363BA" w:rsidRDefault="001363BA" w14:paraId="10DE10F7" w14:textId="2F469DDB">
      <w:pPr>
        <w:pStyle w:val="CoL"/>
        <w:numPr>
          <w:ilvl w:val="0"/>
          <w:numId w:val="4"/>
        </w:numPr>
      </w:pPr>
      <w:r>
        <w:t xml:space="preserve">Neither </w:t>
      </w:r>
      <w:r w:rsidR="003627A8">
        <w:t>AB </w:t>
      </w:r>
      <w:r>
        <w:t xml:space="preserve">2316 nor </w:t>
      </w:r>
      <w:r w:rsidR="00440785">
        <w:t>Pub. Util.</w:t>
      </w:r>
      <w:r>
        <w:t xml:space="preserve"> Code </w:t>
      </w:r>
      <w:r w:rsidR="003627A8">
        <w:t>Section </w:t>
      </w:r>
      <w:r>
        <w:t>769.3 require the use of the Avoided Cost Calculator or any other specific method to determine the avoided costs of the NVBT facilities.</w:t>
      </w:r>
    </w:p>
    <w:p w:rsidR="001363BA" w:rsidP="001363BA" w:rsidRDefault="001363BA" w14:paraId="323D8556" w14:textId="77777777">
      <w:pPr>
        <w:pStyle w:val="CoL"/>
        <w:numPr>
          <w:ilvl w:val="0"/>
          <w:numId w:val="4"/>
        </w:numPr>
      </w:pPr>
      <w:r>
        <w:t>The Commission should use the PURPA avoided costs for calculating avoided costs of the community renewable energy program facilities.</w:t>
      </w:r>
    </w:p>
    <w:p w:rsidR="002349AC" w:rsidP="002349AC" w:rsidRDefault="002349AC" w14:paraId="183EAE2B" w14:textId="6DC327ED">
      <w:pPr>
        <w:pStyle w:val="CoL"/>
        <w:numPr>
          <w:ilvl w:val="0"/>
          <w:numId w:val="4"/>
        </w:numPr>
      </w:pPr>
      <w:r w:rsidRPr="002349AC">
        <w:lastRenderedPageBreak/>
        <w:t>To prioritize the maximum use of state and federal incentives and accelerate implementation of the program to ensure that time</w:t>
      </w:r>
      <w:r w:rsidR="003D6EF8">
        <w:noBreakHyphen/>
      </w:r>
      <w:r w:rsidRPr="002349AC">
        <w:t xml:space="preserve"> or quantity</w:t>
      </w:r>
      <w:r w:rsidR="003D6EF8">
        <w:noBreakHyphen/>
      </w:r>
      <w:r w:rsidRPr="002349AC">
        <w:t xml:space="preserve">limited federal incentives can be obtained for the benefit of subscribers, the </w:t>
      </w:r>
      <w:r>
        <w:t xml:space="preserve">Commission should require that developers of </w:t>
      </w:r>
      <w:r w:rsidRPr="002349AC">
        <w:t>PURPA</w:t>
      </w:r>
      <w:r w:rsidR="003D6EF8">
        <w:noBreakHyphen/>
      </w:r>
      <w:r w:rsidRPr="002349AC">
        <w:t xml:space="preserve">compliant community renewable energy program </w:t>
      </w:r>
      <w:r>
        <w:t xml:space="preserve">projects </w:t>
      </w:r>
      <w:r w:rsidRPr="002349AC">
        <w:t>should take advantage of state and federal funds including AB 102, the Environmental Protection Agency’s Solar for All</w:t>
      </w:r>
      <w:r w:rsidR="005673CC">
        <w:t xml:space="preserve"> grant competition</w:t>
      </w:r>
      <w:r w:rsidRPr="002349AC">
        <w:t>, the enhanced federal ITC, and the Greenhouse Gas Reduction Fund.</w:t>
      </w:r>
    </w:p>
    <w:p w:rsidR="001363BA" w:rsidP="001363BA" w:rsidRDefault="001363BA" w14:paraId="59A07F38" w14:textId="05449E61">
      <w:pPr>
        <w:pStyle w:val="CoL"/>
        <w:numPr>
          <w:ilvl w:val="0"/>
          <w:numId w:val="4"/>
        </w:numPr>
      </w:pPr>
      <w:r>
        <w:t>The Commission should find it beneficial to adopt a community renewable energy program.</w:t>
      </w:r>
    </w:p>
    <w:p w:rsidR="00683696" w:rsidP="001363BA" w:rsidRDefault="00683696" w14:paraId="5EB8B160" w14:textId="2D9C181B">
      <w:pPr>
        <w:pStyle w:val="CoL"/>
        <w:numPr>
          <w:ilvl w:val="0"/>
          <w:numId w:val="4"/>
        </w:numPr>
      </w:pPr>
      <w:r>
        <w:t>The Commission should not adopt the top</w:t>
      </w:r>
      <w:r w:rsidR="003D6EF8">
        <w:noBreakHyphen/>
      </w:r>
      <w:r>
        <w:t>off approach.</w:t>
      </w:r>
    </w:p>
    <w:p w:rsidR="001363BA" w:rsidP="001363BA" w:rsidRDefault="001363BA" w14:paraId="0738484E" w14:textId="77777777">
      <w:pPr>
        <w:pStyle w:val="CoL"/>
        <w:numPr>
          <w:ilvl w:val="0"/>
          <w:numId w:val="4"/>
        </w:numPr>
      </w:pPr>
      <w:r>
        <w:t>The Commission should adopt automatic enrollment in the community renewable energy program.</w:t>
      </w:r>
    </w:p>
    <w:p w:rsidR="001363BA" w:rsidP="001363BA" w:rsidRDefault="005E3C13" w14:paraId="153A9076" w14:textId="0FF76874">
      <w:pPr>
        <w:pStyle w:val="CoL"/>
        <w:numPr>
          <w:ilvl w:val="0"/>
          <w:numId w:val="4"/>
        </w:numPr>
      </w:pPr>
      <w:r>
        <w:t>The Commission should</w:t>
      </w:r>
      <w:r w:rsidR="001363BA">
        <w:t xml:space="preserve"> adopt the proposal to provide customers a flat monetary credit on customer bills.</w:t>
      </w:r>
    </w:p>
    <w:p w:rsidR="00B336E3" w:rsidP="00B04A3A" w:rsidRDefault="00B336E3" w14:paraId="730AB3D8" w14:textId="6F6DDCA4">
      <w:pPr>
        <w:pStyle w:val="CoL"/>
      </w:pPr>
      <w:r>
        <w:t>The Commission should adopt a community renewable energy program that uses the current PURPA compliant tariffs as a foundation.</w:t>
      </w:r>
    </w:p>
    <w:p w:rsidR="001363BA" w:rsidP="001363BA" w:rsidRDefault="001363BA" w14:paraId="02C4B438" w14:textId="142B2B29">
      <w:pPr>
        <w:pStyle w:val="CoL"/>
        <w:numPr>
          <w:ilvl w:val="0"/>
          <w:numId w:val="4"/>
        </w:numPr>
      </w:pPr>
      <w:r>
        <w:t xml:space="preserve">A community renewable energy program compliant with PURPA can meet the requirements of </w:t>
      </w:r>
      <w:r w:rsidR="00440785">
        <w:t>Pub. Util.</w:t>
      </w:r>
      <w:r>
        <w:t xml:space="preserve"> Code </w:t>
      </w:r>
      <w:r w:rsidR="003627A8">
        <w:t>Section </w:t>
      </w:r>
      <w:r>
        <w:t>769.3.</w:t>
      </w:r>
    </w:p>
    <w:p w:rsidR="001363BA" w:rsidP="001363BA" w:rsidRDefault="001363BA" w14:paraId="4F428868" w14:textId="05F51135">
      <w:pPr>
        <w:pStyle w:val="CoL"/>
        <w:numPr>
          <w:ilvl w:val="0"/>
          <w:numId w:val="4"/>
        </w:numPr>
      </w:pPr>
      <w:r>
        <w:t xml:space="preserve">The community renewable energy program meets the requirements of </w:t>
      </w:r>
      <w:r w:rsidR="00440785">
        <w:t>Pub. Util.</w:t>
      </w:r>
      <w:r>
        <w:t xml:space="preserve"> Code </w:t>
      </w:r>
      <w:r w:rsidR="003627A8">
        <w:t>Section </w:t>
      </w:r>
      <w:r>
        <w:t>769.3.</w:t>
      </w:r>
    </w:p>
    <w:p w:rsidR="001363BA" w:rsidP="001363BA" w:rsidRDefault="001363BA" w14:paraId="4677E33D" w14:textId="77777777">
      <w:pPr>
        <w:pStyle w:val="CoL"/>
        <w:numPr>
          <w:ilvl w:val="0"/>
          <w:numId w:val="4"/>
        </w:numPr>
      </w:pPr>
      <w:r>
        <w:t>The Commission should adopt the community renewable energy program compliant with PURPA.</w:t>
      </w:r>
    </w:p>
    <w:p w:rsidR="001363BA" w:rsidP="001363BA" w:rsidRDefault="001363BA" w14:paraId="00556365" w14:textId="77777777">
      <w:pPr>
        <w:pStyle w:val="CoL"/>
        <w:numPr>
          <w:ilvl w:val="0"/>
          <w:numId w:val="4"/>
        </w:numPr>
      </w:pPr>
      <w:r>
        <w:t>The Commission should take the best elements of the existing Green Access Program tariffs and consolidate and, where necessary, eliminate to improve access for customers.</w:t>
      </w:r>
    </w:p>
    <w:p w:rsidR="001363BA" w:rsidP="001363BA" w:rsidRDefault="001363BA" w14:paraId="66D2D110" w14:textId="63634AF4">
      <w:pPr>
        <w:pStyle w:val="CoL"/>
        <w:numPr>
          <w:ilvl w:val="0"/>
          <w:numId w:val="4"/>
        </w:numPr>
      </w:pPr>
      <w:r>
        <w:lastRenderedPageBreak/>
        <w:t xml:space="preserve">The Commission should consolidate </w:t>
      </w:r>
      <w:r w:rsidR="0063678B">
        <w:t xml:space="preserve">unprocured </w:t>
      </w:r>
      <w:r>
        <w:t>CSGT capacity into a modified DAC</w:t>
      </w:r>
      <w:r w:rsidR="003D6EF8">
        <w:noBreakHyphen/>
      </w:r>
      <w:r>
        <w:t>GT.</w:t>
      </w:r>
    </w:p>
    <w:p w:rsidR="001363BA" w:rsidP="001363BA" w:rsidRDefault="001363BA" w14:paraId="40AB3592" w14:textId="33166FAF">
      <w:pPr>
        <w:pStyle w:val="CoL"/>
        <w:numPr>
          <w:ilvl w:val="0"/>
          <w:numId w:val="4"/>
        </w:numPr>
      </w:pPr>
      <w:r>
        <w:t>The Commission should expand the DAC</w:t>
      </w:r>
      <w:r w:rsidR="003D6EF8">
        <w:noBreakHyphen/>
      </w:r>
      <w:r>
        <w:t xml:space="preserve">GT site requirements to locate eligible projects no more than five miles from </w:t>
      </w:r>
      <w:r w:rsidR="00311284">
        <w:t>any DAC-GT-eligible</w:t>
      </w:r>
      <w:r>
        <w:t xml:space="preserve"> communit</w:t>
      </w:r>
      <w:r w:rsidR="00311284">
        <w:t>y</w:t>
      </w:r>
      <w:r>
        <w:t>.</w:t>
      </w:r>
    </w:p>
    <w:p w:rsidR="001363BA" w:rsidP="001363BA" w:rsidRDefault="001363BA" w14:paraId="0332F357" w14:textId="746CF2AF">
      <w:pPr>
        <w:pStyle w:val="CoL"/>
        <w:numPr>
          <w:ilvl w:val="0"/>
          <w:numId w:val="4"/>
        </w:numPr>
      </w:pPr>
      <w:r>
        <w:t xml:space="preserve">The Commission should not adopt the </w:t>
      </w:r>
      <w:r w:rsidR="00440785">
        <w:t>“</w:t>
      </w:r>
      <w:r>
        <w:t>top off</w:t>
      </w:r>
      <w:r w:rsidR="00440785">
        <w:t>”</w:t>
      </w:r>
      <w:r>
        <w:t xml:space="preserve"> approach for the modified DAC</w:t>
      </w:r>
      <w:r w:rsidR="003D6EF8">
        <w:noBreakHyphen/>
      </w:r>
      <w:r>
        <w:t>GT until other efforts to increase access to renewable energy are tested.</w:t>
      </w:r>
    </w:p>
    <w:p w:rsidR="001363BA" w:rsidP="001363BA" w:rsidRDefault="001363BA" w14:paraId="54AE0727" w14:textId="6F05CD42">
      <w:pPr>
        <w:pStyle w:val="CoL"/>
        <w:numPr>
          <w:ilvl w:val="0"/>
          <w:numId w:val="4"/>
        </w:numPr>
      </w:pPr>
      <w:r>
        <w:t>The Commission should adopt the proposal for auto</w:t>
      </w:r>
      <w:r w:rsidR="003D6EF8">
        <w:noBreakHyphen/>
      </w:r>
      <w:r>
        <w:t>enrollment in the modified DAC</w:t>
      </w:r>
      <w:r w:rsidR="003D6EF8">
        <w:noBreakHyphen/>
      </w:r>
      <w:r>
        <w:t>GT.</w:t>
      </w:r>
    </w:p>
    <w:p w:rsidR="001363BA" w:rsidP="001363BA" w:rsidRDefault="001363BA" w14:paraId="33554600" w14:textId="0A36575D">
      <w:pPr>
        <w:pStyle w:val="CoL"/>
        <w:numPr>
          <w:ilvl w:val="0"/>
          <w:numId w:val="4"/>
        </w:numPr>
      </w:pPr>
      <w:r>
        <w:t xml:space="preserve">The Commission should direct Utilities </w:t>
      </w:r>
      <w:r w:rsidR="00160C49">
        <w:t xml:space="preserve">and CCAs </w:t>
      </w:r>
      <w:r>
        <w:t>to work together to develop a proposal for updating the cost containment cap.</w:t>
      </w:r>
    </w:p>
    <w:p w:rsidR="001363BA" w:rsidP="001363BA" w:rsidRDefault="001363BA" w14:paraId="696B4EE1" w14:textId="7EC7522E">
      <w:pPr>
        <w:pStyle w:val="CoL"/>
        <w:numPr>
          <w:ilvl w:val="0"/>
          <w:numId w:val="4"/>
        </w:numPr>
      </w:pPr>
      <w:r>
        <w:t>The Commission should revise the submission date of the DAC</w:t>
      </w:r>
      <w:r w:rsidR="003D6EF8">
        <w:noBreakHyphen/>
      </w:r>
      <w:r>
        <w:t>GT Program Administrators</w:t>
      </w:r>
      <w:r w:rsidR="005673CC">
        <w:t>’</w:t>
      </w:r>
      <w:r>
        <w:t xml:space="preserve"> annual budget advice letter</w:t>
      </w:r>
      <w:r w:rsidR="005673CC">
        <w:t>s</w:t>
      </w:r>
      <w:r>
        <w:t xml:space="preserve"> from </w:t>
      </w:r>
      <w:r w:rsidR="001B0C0E">
        <w:t>February </w:t>
      </w:r>
      <w:r>
        <w:t>1</w:t>
      </w:r>
      <w:r w:rsidR="00FC1405">
        <w:t>st</w:t>
      </w:r>
      <w:r>
        <w:t xml:space="preserve"> to </w:t>
      </w:r>
      <w:r w:rsidR="0013526D">
        <w:t>April </w:t>
      </w:r>
      <w:r>
        <w:t>1</w:t>
      </w:r>
      <w:r w:rsidR="00FC1405">
        <w:t>st</w:t>
      </w:r>
      <w:r>
        <w:t>.</w:t>
      </w:r>
    </w:p>
    <w:p w:rsidR="001363BA" w:rsidP="001363BA" w:rsidRDefault="001363BA" w14:paraId="54BE089F" w14:textId="0036303E">
      <w:pPr>
        <w:pStyle w:val="CoL"/>
        <w:numPr>
          <w:ilvl w:val="0"/>
          <w:numId w:val="4"/>
        </w:numPr>
      </w:pPr>
      <w:r>
        <w:t>The Commission should require PG&amp;E to provide a detailed scope and cost estimate of developing a fully automated billing solution for DAC</w:t>
      </w:r>
      <w:r w:rsidR="003D6EF8">
        <w:noBreakHyphen/>
      </w:r>
      <w:r>
        <w:t>GT and CSGT CCA customers that follows the same billing process that is provided to participating Utility customers.</w:t>
      </w:r>
    </w:p>
    <w:p w:rsidR="001363BA" w:rsidP="001363BA" w:rsidRDefault="001363BA" w14:paraId="195D9168" w14:textId="6948EF8D">
      <w:pPr>
        <w:pStyle w:val="CoL"/>
        <w:numPr>
          <w:ilvl w:val="0"/>
          <w:numId w:val="4"/>
        </w:numPr>
      </w:pPr>
      <w:r>
        <w:t xml:space="preserve">The Commission should adopt the following revisions to improve access </w:t>
      </w:r>
      <w:r w:rsidR="00047F92">
        <w:t>t</w:t>
      </w:r>
      <w:r>
        <w:t>o renewable energy</w:t>
      </w:r>
      <w:r w:rsidR="005D30D7">
        <w:t xml:space="preserve">: </w:t>
      </w:r>
      <w:r w:rsidR="002F3529">
        <w:t>(</w:t>
      </w:r>
      <w:r>
        <w:t>1</w:t>
      </w:r>
      <w:r w:rsidR="002F3529">
        <w:t>) </w:t>
      </w:r>
      <w:r>
        <w:t>move legacy CSGT projects to the modified DAC</w:t>
      </w:r>
      <w:r w:rsidR="003D6EF8">
        <w:noBreakHyphen/>
      </w:r>
      <w:r>
        <w:t xml:space="preserve">GT; </w:t>
      </w:r>
      <w:r w:rsidR="002F3529">
        <w:t>(</w:t>
      </w:r>
      <w:r>
        <w:t>2</w:t>
      </w:r>
      <w:r w:rsidR="002F3529">
        <w:t>) </w:t>
      </w:r>
      <w:r>
        <w:t xml:space="preserve">transfer previously enrolled utility or </w:t>
      </w:r>
      <w:r w:rsidR="00FA0994">
        <w:t>CCA</w:t>
      </w:r>
      <w:r>
        <w:t xml:space="preserve"> customers to the modified DAC</w:t>
      </w:r>
      <w:r w:rsidR="003D6EF8">
        <w:noBreakHyphen/>
      </w:r>
      <w:r>
        <w:t xml:space="preserve">GT; and </w:t>
      </w:r>
      <w:r w:rsidR="002F3529">
        <w:t>(</w:t>
      </w:r>
      <w:r>
        <w:t>3</w:t>
      </w:r>
      <w:r w:rsidR="002F3529">
        <w:t>) </w:t>
      </w:r>
      <w:r>
        <w:t xml:space="preserve">increase </w:t>
      </w:r>
      <w:r w:rsidR="0063678B">
        <w:t xml:space="preserve">the capacity cap of </w:t>
      </w:r>
      <w:r>
        <w:t xml:space="preserve">each </w:t>
      </w:r>
      <w:r w:rsidR="0063678B">
        <w:t>DAC</w:t>
      </w:r>
      <w:r w:rsidR="003D6EF8">
        <w:noBreakHyphen/>
      </w:r>
      <w:r w:rsidR="0063678B">
        <w:t xml:space="preserve">GT </w:t>
      </w:r>
      <w:r>
        <w:t xml:space="preserve">Program Administrator </w:t>
      </w:r>
      <w:r w:rsidR="0063678B">
        <w:t xml:space="preserve">who is close to being fully procured within a particular utility service territory and </w:t>
      </w:r>
      <w:r>
        <w:t>enroll an additional 50</w:t>
      </w:r>
      <w:r w:rsidR="00D376A8">
        <w:t> percent</w:t>
      </w:r>
      <w:r>
        <w:t xml:space="preserve"> of eligible customers.</w:t>
      </w:r>
    </w:p>
    <w:p w:rsidR="001363BA" w:rsidP="001363BA" w:rsidRDefault="001363BA" w14:paraId="35A00DDC" w14:textId="5A370CBF">
      <w:pPr>
        <w:pStyle w:val="CoL"/>
        <w:numPr>
          <w:ilvl w:val="0"/>
          <w:numId w:val="4"/>
        </w:numPr>
      </w:pPr>
      <w:r>
        <w:t>The Commission should not allocate additional capacity to SDG&amp;E for the modified DAC</w:t>
      </w:r>
      <w:r w:rsidR="003D6EF8">
        <w:noBreakHyphen/>
      </w:r>
      <w:r>
        <w:t>GT.</w:t>
      </w:r>
    </w:p>
    <w:p w:rsidR="00BA58BF" w:rsidP="001363BA" w:rsidRDefault="001363BA" w14:paraId="7D1D5781" w14:textId="77777777">
      <w:pPr>
        <w:pStyle w:val="CoL"/>
        <w:numPr>
          <w:ilvl w:val="0"/>
          <w:numId w:val="4"/>
        </w:numPr>
      </w:pPr>
      <w:r>
        <w:lastRenderedPageBreak/>
        <w:t xml:space="preserve">The Commission should allow for the facilitation of participating </w:t>
      </w:r>
      <w:r w:rsidR="00FA0994">
        <w:t>CCAs</w:t>
      </w:r>
      <w:r>
        <w:t xml:space="preserve"> within the SDG&amp;E territories.</w:t>
      </w:r>
    </w:p>
    <w:p w:rsidR="001363BA" w:rsidP="001363BA" w:rsidRDefault="001363BA" w14:paraId="3F1DEC41" w14:textId="10CBC5BE">
      <w:pPr>
        <w:pStyle w:val="CoL"/>
        <w:numPr>
          <w:ilvl w:val="0"/>
          <w:numId w:val="4"/>
        </w:numPr>
      </w:pPr>
      <w:r>
        <w:t>The Commission should allow SDG&amp;E to terminate its CSGT and DAC</w:t>
      </w:r>
      <w:r w:rsidR="003D6EF8">
        <w:noBreakHyphen/>
      </w:r>
      <w:r>
        <w:t>GT programs to its bundled customers.</w:t>
      </w:r>
    </w:p>
    <w:p w:rsidR="001363BA" w:rsidP="001363BA" w:rsidRDefault="001363BA" w14:paraId="79FD4AC2" w14:textId="108A313B">
      <w:pPr>
        <w:pStyle w:val="CoL"/>
        <w:numPr>
          <w:ilvl w:val="0"/>
          <w:numId w:val="4"/>
        </w:numPr>
      </w:pPr>
      <w:r>
        <w:t>The Commission should decrease the frequency of DAC</w:t>
      </w:r>
      <w:r w:rsidR="003D6EF8">
        <w:noBreakHyphen/>
      </w:r>
      <w:r>
        <w:t xml:space="preserve">GT solicitations to </w:t>
      </w:r>
      <w:r w:rsidR="006761B5">
        <w:t xml:space="preserve">a minimum of </w:t>
      </w:r>
      <w:r>
        <w:t>once a year.</w:t>
      </w:r>
    </w:p>
    <w:p w:rsidR="001363BA" w:rsidP="001363BA" w:rsidRDefault="001363BA" w14:paraId="0529E9D1" w14:textId="790095FE">
      <w:pPr>
        <w:pStyle w:val="CoL"/>
        <w:numPr>
          <w:ilvl w:val="0"/>
          <w:numId w:val="4"/>
        </w:numPr>
      </w:pPr>
      <w:r>
        <w:t>The Commission should implement a tariff sunset for the DAC</w:t>
      </w:r>
      <w:r w:rsidR="003D6EF8">
        <w:noBreakHyphen/>
      </w:r>
      <w:r>
        <w:t>GT.</w:t>
      </w:r>
    </w:p>
    <w:p w:rsidR="006761B5" w:rsidP="001363BA" w:rsidRDefault="006761B5" w14:paraId="6D95CB7D" w14:textId="51814A1F">
      <w:pPr>
        <w:pStyle w:val="CoL"/>
        <w:numPr>
          <w:ilvl w:val="0"/>
          <w:numId w:val="4"/>
        </w:numPr>
      </w:pPr>
      <w:r>
        <w:t>The Commission should remove Green-e certification and institute annual validation and reporting after the retirement of the applicable RECs.</w:t>
      </w:r>
    </w:p>
    <w:p w:rsidR="001363BA" w:rsidP="001363BA" w:rsidRDefault="001363BA" w14:paraId="33FBBBC9" w14:textId="1103136D">
      <w:pPr>
        <w:pStyle w:val="CoL"/>
        <w:numPr>
          <w:ilvl w:val="0"/>
          <w:numId w:val="4"/>
        </w:numPr>
      </w:pPr>
      <w:r>
        <w:t xml:space="preserve">The Commission should not adopt the PG&amp;E proposed use of </w:t>
      </w:r>
      <w:r w:rsidR="009255B1">
        <w:t xml:space="preserve">RPS </w:t>
      </w:r>
      <w:r>
        <w:t>resources to bridge capacity shortfalls.</w:t>
      </w:r>
    </w:p>
    <w:p w:rsidR="001363BA" w:rsidP="001363BA" w:rsidRDefault="001363BA" w14:paraId="5B5FE516" w14:textId="4AB6087D">
      <w:pPr>
        <w:pStyle w:val="CoL"/>
        <w:numPr>
          <w:ilvl w:val="0"/>
          <w:numId w:val="4"/>
        </w:numPr>
      </w:pPr>
      <w:r>
        <w:t>The Commission should increase the customer subscription cap to 40</w:t>
      </w:r>
      <w:r w:rsidR="00ED70F0">
        <w:t> MW</w:t>
      </w:r>
      <w:r>
        <w:t>.</w:t>
      </w:r>
    </w:p>
    <w:p w:rsidR="001363BA" w:rsidP="001363BA" w:rsidRDefault="001363BA" w14:paraId="08E45962" w14:textId="43D2899F">
      <w:pPr>
        <w:pStyle w:val="CoL"/>
        <w:numPr>
          <w:ilvl w:val="0"/>
          <w:numId w:val="4"/>
        </w:numPr>
      </w:pPr>
      <w:r>
        <w:t xml:space="preserve">The Commission should </w:t>
      </w:r>
      <w:r w:rsidR="0063678B">
        <w:t xml:space="preserve">disallow any future </w:t>
      </w:r>
      <w:r w:rsidR="006761B5">
        <w:t xml:space="preserve">solicitations </w:t>
      </w:r>
      <w:r w:rsidR="0063678B">
        <w:t xml:space="preserve">in </w:t>
      </w:r>
      <w:r>
        <w:t xml:space="preserve">the ECR tariff and reassign </w:t>
      </w:r>
      <w:r w:rsidR="006761B5">
        <w:t xml:space="preserve">all </w:t>
      </w:r>
      <w:r w:rsidR="0063678B">
        <w:t xml:space="preserve">uncontracted </w:t>
      </w:r>
      <w:r>
        <w:t xml:space="preserve">capacity to the modified Green Tariff leading to a total of </w:t>
      </w:r>
      <w:r w:rsidR="0063678B">
        <w:t>562</w:t>
      </w:r>
      <w:r w:rsidR="00ED70F0">
        <w:t> MW</w:t>
      </w:r>
      <w:r>
        <w:t xml:space="preserve"> statewide.</w:t>
      </w:r>
    </w:p>
    <w:p w:rsidR="003F0B30" w:rsidP="001363BA" w:rsidRDefault="003F0B30" w14:paraId="174B2157" w14:textId="0FA71C42">
      <w:pPr>
        <w:pStyle w:val="CoL"/>
        <w:numPr>
          <w:ilvl w:val="0"/>
          <w:numId w:val="4"/>
        </w:numPr>
      </w:pPr>
      <w:r>
        <w:t>The Commission should require that all costs for the modified Green Tariff be borne by the participating subscribers.</w:t>
      </w:r>
    </w:p>
    <w:p w:rsidR="006A780C" w:rsidP="001363BA" w:rsidRDefault="006A780C" w14:paraId="64F129B2" w14:textId="7F29E844">
      <w:pPr>
        <w:pStyle w:val="CoL"/>
        <w:numPr>
          <w:ilvl w:val="0"/>
          <w:numId w:val="4"/>
        </w:numPr>
      </w:pPr>
      <w:r>
        <w:t>The Commission should adopt the use of the top-off approach in the modified Green Tariff.</w:t>
      </w:r>
    </w:p>
    <w:p w:rsidR="001363BA" w:rsidP="001363BA" w:rsidRDefault="001363BA" w14:paraId="6ADEA70A" w14:textId="0830000F">
      <w:pPr>
        <w:pStyle w:val="CoL"/>
        <w:numPr>
          <w:ilvl w:val="0"/>
          <w:numId w:val="4"/>
        </w:numPr>
      </w:pPr>
      <w:r>
        <w:t>The Commission should deny the SCE request to recover up to $5.</w:t>
      </w:r>
      <w:r w:rsidR="005673CC">
        <w:t>4</w:t>
      </w:r>
      <w:r>
        <w:t>71</w:t>
      </w:r>
      <w:r w:rsidR="001E44CA">
        <w:t> million</w:t>
      </w:r>
      <w:r>
        <w:t xml:space="preserve"> in incremental Green Share program implementation costs</w:t>
      </w:r>
      <w:r w:rsidR="00160C49">
        <w:t xml:space="preserve"> from all bundled service customers</w:t>
      </w:r>
      <w:r w:rsidR="005673CC">
        <w:t xml:space="preserve"> and authorize recovery from program subscribers</w:t>
      </w:r>
      <w:r>
        <w:t>.</w:t>
      </w:r>
    </w:p>
    <w:p w:rsidRPr="001E2A62" w:rsidR="007B27BA" w:rsidP="001363BA" w:rsidRDefault="007B27BA" w14:paraId="09CB8DED" w14:textId="4B76C38E">
      <w:pPr>
        <w:pStyle w:val="CoL"/>
        <w:numPr>
          <w:ilvl w:val="0"/>
          <w:numId w:val="4"/>
        </w:numPr>
      </w:pPr>
      <w:r>
        <w:t xml:space="preserve">The Commission should maintain the practice adopted in Resolution E-4999 for funding the </w:t>
      </w:r>
      <w:r w:rsidR="005673CC">
        <w:t xml:space="preserve">DAC-GT </w:t>
      </w:r>
      <w:r>
        <w:t>evaluations required by this decision and should adopt the revised percentages herein.</w:t>
      </w:r>
    </w:p>
    <w:p w:rsidR="00BB0243" w:rsidP="00492E8E" w:rsidRDefault="005939A5" w14:paraId="5B6504F1" w14:textId="77777777">
      <w:pPr>
        <w:pStyle w:val="Mainex"/>
        <w:spacing w:before="180"/>
      </w:pPr>
      <w:bookmarkStart w:name="_Toc159551211" w:id="277"/>
      <w:bookmarkStart w:name="_Toc168559329" w:id="278"/>
      <w:r>
        <w:lastRenderedPageBreak/>
        <w:t>O</w:t>
      </w:r>
      <w:r w:rsidR="00722850">
        <w:t>RDER</w:t>
      </w:r>
      <w:bookmarkEnd w:id="277"/>
      <w:bookmarkEnd w:id="278"/>
    </w:p>
    <w:p w:rsidR="00BB0243" w:rsidP="00AC6E92" w:rsidRDefault="00BB0243" w14:paraId="4D7B834B" w14:textId="77777777">
      <w:pPr>
        <w:pStyle w:val="Standard"/>
        <w:keepNext/>
      </w:pPr>
      <w:r w:rsidRPr="00AC6E92">
        <w:rPr>
          <w:b/>
          <w:bCs/>
        </w:rPr>
        <w:t>IT IS ORDERED</w:t>
      </w:r>
      <w:r>
        <w:t xml:space="preserve"> that:</w:t>
      </w:r>
    </w:p>
    <w:p w:rsidR="001363BA" w:rsidP="00BB6FEE" w:rsidRDefault="00FA1732" w14:paraId="6FC2BC7F" w14:textId="7D3EB4BC">
      <w:pPr>
        <w:pStyle w:val="OP"/>
      </w:pPr>
      <w:r>
        <w:t xml:space="preserve">A </w:t>
      </w:r>
      <w:r w:rsidR="001363BA">
        <w:t xml:space="preserve">community renewable energy program </w:t>
      </w:r>
      <w:r>
        <w:t xml:space="preserve">is adopted and </w:t>
      </w:r>
      <w:r w:rsidR="001363BA">
        <w:t>shall contain the following elements:</w:t>
      </w:r>
    </w:p>
    <w:p w:rsidR="001363BA" w:rsidP="00BB6FEE" w:rsidRDefault="001363BA" w14:paraId="7AB47E4C" w14:textId="6AC69A2E">
      <w:pPr>
        <w:pStyle w:val="BlockQuoteH033subH033"/>
        <w:numPr>
          <w:ilvl w:val="1"/>
          <w:numId w:val="14"/>
        </w:numPr>
        <w:ind w:left="1670" w:hanging="475"/>
      </w:pPr>
      <w:r w:rsidRPr="001363BA">
        <w:t>Foundational Tariff</w:t>
      </w:r>
      <w:r w:rsidR="001C43E7">
        <w:t xml:space="preserve"> — </w:t>
      </w:r>
      <w:r w:rsidRPr="001363BA">
        <w:t xml:space="preserve">Selection of one of </w:t>
      </w:r>
      <w:r w:rsidR="005D18DF">
        <w:t xml:space="preserve">the </w:t>
      </w:r>
      <w:r w:rsidRPr="001363BA">
        <w:t>existing tariffs that are compliant with the federal Public Utilit</w:t>
      </w:r>
      <w:r w:rsidR="005A3E9F">
        <w:t>y</w:t>
      </w:r>
      <w:r w:rsidRPr="001363BA">
        <w:t xml:space="preserve"> Regulatory Policies Act including, but not limited to, the </w:t>
      </w:r>
      <w:r w:rsidRPr="00D9513E">
        <w:t xml:space="preserve">Renewable Market Adjusting Tariff </w:t>
      </w:r>
      <w:r w:rsidRPr="001363BA">
        <w:t>(</w:t>
      </w:r>
      <w:r w:rsidRPr="00D9513E">
        <w:t>ReMAT</w:t>
      </w:r>
      <w:r w:rsidRPr="001363BA">
        <w:t>) and Standard</w:t>
      </w:r>
      <w:r w:rsidR="003D6EF8">
        <w:noBreakHyphen/>
      </w:r>
      <w:r w:rsidRPr="001363BA">
        <w:t>Offer</w:t>
      </w:r>
      <w:r w:rsidR="003D6EF8">
        <w:noBreakHyphen/>
      </w:r>
      <w:r w:rsidRPr="001363BA">
        <w:t>Contract. Developers shall adhere to the previously adopted tariff rules for the selected foundational tariff.</w:t>
      </w:r>
    </w:p>
    <w:p w:rsidR="003E1B87" w:rsidP="00BB6FEE" w:rsidRDefault="001363BA" w14:paraId="4BBC943B" w14:textId="066D76F5">
      <w:pPr>
        <w:pStyle w:val="BlockQuoteH033subH033"/>
        <w:numPr>
          <w:ilvl w:val="1"/>
          <w:numId w:val="14"/>
        </w:numPr>
        <w:ind w:left="1670" w:hanging="475"/>
      </w:pPr>
      <w:r>
        <w:t>Subscription Model and Bill Credit</w:t>
      </w:r>
      <w:r w:rsidR="00D04B79">
        <w:t xml:space="preserve"> — </w:t>
      </w:r>
      <w:r>
        <w:t xml:space="preserve">Subscribing customers will receive a flat monetary credit on their monthly bill based on a percentage of </w:t>
      </w:r>
      <w:r w:rsidR="00980DDF">
        <w:t>each project</w:t>
      </w:r>
      <w:r w:rsidR="00440785">
        <w:t>’</w:t>
      </w:r>
      <w:r w:rsidR="00980DDF">
        <w:t>s overall revenue share paid for through external funding or incentives</w:t>
      </w:r>
      <w:r>
        <w:t>. Low</w:t>
      </w:r>
      <w:r w:rsidR="003D6EF8">
        <w:noBreakHyphen/>
      </w:r>
      <w:r>
        <w:t xml:space="preserve">income customers, as defined in </w:t>
      </w:r>
      <w:r w:rsidRPr="00D9513E">
        <w:t xml:space="preserve">Public Utilities </w:t>
      </w:r>
      <w:r w:rsidR="006211DC">
        <w:t>(</w:t>
      </w:r>
      <w:r w:rsidR="00440785">
        <w:t>Pub. Util.</w:t>
      </w:r>
      <w:r w:rsidR="006211DC">
        <w:t xml:space="preserve">) </w:t>
      </w:r>
      <w:r>
        <w:t xml:space="preserve">Code </w:t>
      </w:r>
      <w:r w:rsidR="003627A8">
        <w:t>Section </w:t>
      </w:r>
      <w:r>
        <w:t>769.3 will receive no less than 20</w:t>
      </w:r>
      <w:r w:rsidR="00D376A8">
        <w:t> percent</w:t>
      </w:r>
      <w:r w:rsidR="00980DDF">
        <w:t xml:space="preserve">. </w:t>
      </w:r>
      <w:r>
        <w:t>The bill credit will be reviewed on an annual basis and updated through a true</w:t>
      </w:r>
      <w:r w:rsidR="003D6EF8">
        <w:noBreakHyphen/>
      </w:r>
      <w:r>
        <w:t>up process.</w:t>
      </w:r>
    </w:p>
    <w:p w:rsidR="003E1B87" w:rsidP="00BB6FEE" w:rsidRDefault="001363BA" w14:paraId="6F12C882" w14:textId="7F2A554F">
      <w:pPr>
        <w:pStyle w:val="BlockQuoteH033subH033"/>
        <w:numPr>
          <w:ilvl w:val="1"/>
          <w:numId w:val="14"/>
        </w:numPr>
        <w:ind w:left="1670" w:hanging="475"/>
      </w:pPr>
      <w:r>
        <w:t>Adder</w:t>
      </w:r>
      <w:r w:rsidR="001C43E7">
        <w:t xml:space="preserve">— </w:t>
      </w:r>
      <w:r w:rsidR="00980DDF">
        <w:t>A</w:t>
      </w:r>
      <w:r>
        <w:t xml:space="preserve"> fund of monies will be kept in a balancing account and will be provided to eligible subscribers</w:t>
      </w:r>
      <w:r w:rsidR="007A1C65">
        <w:t>.</w:t>
      </w:r>
      <w:r w:rsidR="009F5702">
        <w:t xml:space="preserve"> </w:t>
      </w:r>
      <w:r w:rsidR="007A1C65">
        <w:t>I</w:t>
      </w:r>
      <w:r w:rsidR="000A5187">
        <w:t xml:space="preserve">ncentive levels </w:t>
      </w:r>
      <w:r>
        <w:t>will be depend</w:t>
      </w:r>
      <w:r w:rsidR="007A1C65">
        <w:t>ent</w:t>
      </w:r>
      <w:r>
        <w:t xml:space="preserve"> upon the amount of funds in the balancing account, including new funds when they become available.</w:t>
      </w:r>
    </w:p>
    <w:p w:rsidR="003E1B87" w:rsidP="00BB6FEE" w:rsidRDefault="001363BA" w14:paraId="31875A35" w14:textId="05BA149D">
      <w:pPr>
        <w:pStyle w:val="BlockQuoteH033subH033"/>
        <w:numPr>
          <w:ilvl w:val="1"/>
          <w:numId w:val="14"/>
        </w:numPr>
        <w:ind w:left="1670" w:hanging="475"/>
      </w:pPr>
      <w:r>
        <w:t>Eligibility Requirements</w:t>
      </w:r>
      <w:r w:rsidR="001C43E7">
        <w:t xml:space="preserve"> — </w:t>
      </w:r>
      <w:r w:rsidR="007A1C65">
        <w:t>All customers</w:t>
      </w:r>
      <w:r w:rsidR="009F5702">
        <w:t xml:space="preserve"> </w:t>
      </w:r>
      <w:r>
        <w:t>will be eligible to enroll as subscribers in this tariff.</w:t>
      </w:r>
    </w:p>
    <w:p w:rsidR="003E1B87" w:rsidP="00BB6FEE" w:rsidRDefault="001363BA" w14:paraId="16741F8F" w14:textId="00E0EBC6">
      <w:pPr>
        <w:pStyle w:val="BlockQuoteH033subH033"/>
        <w:numPr>
          <w:ilvl w:val="1"/>
          <w:numId w:val="14"/>
        </w:numPr>
        <w:ind w:left="1670" w:hanging="475"/>
      </w:pPr>
      <w:r>
        <w:t>Automatic Enrollment</w:t>
      </w:r>
      <w:r w:rsidR="001C43E7">
        <w:t xml:space="preserve"> — </w:t>
      </w:r>
      <w:r>
        <w:t xml:space="preserve">Pacific Gas and Electric Company, </w:t>
      </w:r>
      <w:r w:rsidR="00D463F5">
        <w:t>San </w:t>
      </w:r>
      <w:r>
        <w:t>Diego Gas</w:t>
      </w:r>
      <w:r w:rsidR="0038077D">
        <w:t xml:space="preserve"> &amp; </w:t>
      </w:r>
      <w:r>
        <w:t>Electric Company and Southern California Edison Company shall implement the same auto</w:t>
      </w:r>
      <w:r w:rsidR="003D6EF8">
        <w:noBreakHyphen/>
      </w:r>
      <w:r>
        <w:t>enrollment procedures as approved by the Commission in Decision</w:t>
      </w:r>
      <w:r w:rsidR="001E1E68">
        <w:t> </w:t>
      </w:r>
      <w:r>
        <w:t>20</w:t>
      </w:r>
      <w:r w:rsidR="003D6EF8">
        <w:noBreakHyphen/>
      </w:r>
      <w:r>
        <w:t>07</w:t>
      </w:r>
      <w:r w:rsidR="003D6EF8">
        <w:noBreakHyphen/>
      </w:r>
      <w:r>
        <w:t>008</w:t>
      </w:r>
      <w:r w:rsidR="005D18DF">
        <w:t xml:space="preserve"> and </w:t>
      </w:r>
      <w:r w:rsidR="00440785">
        <w:t>Resolution </w:t>
      </w:r>
      <w:r w:rsidR="005D18DF">
        <w:t>E</w:t>
      </w:r>
      <w:r w:rsidR="003D6EF8">
        <w:noBreakHyphen/>
      </w:r>
      <w:r w:rsidR="005D18DF">
        <w:t>5124</w:t>
      </w:r>
      <w:r>
        <w:t>.</w:t>
      </w:r>
    </w:p>
    <w:p w:rsidR="003E1B87" w:rsidP="002B2816" w:rsidRDefault="001363BA" w14:paraId="19E836E9" w14:textId="56818FA7">
      <w:pPr>
        <w:pStyle w:val="BlockQuoteH033subH033"/>
        <w:numPr>
          <w:ilvl w:val="1"/>
          <w:numId w:val="14"/>
        </w:numPr>
        <w:ind w:left="1670" w:hanging="475"/>
      </w:pPr>
      <w:r>
        <w:t xml:space="preserve">Compliance with </w:t>
      </w:r>
      <w:r w:rsidR="00440785">
        <w:t>Pub. Util.</w:t>
      </w:r>
      <w:r>
        <w:t xml:space="preserve"> Code </w:t>
      </w:r>
      <w:r w:rsidR="003627A8">
        <w:t>Section </w:t>
      </w:r>
      <w:r>
        <w:t>769.3(c)(1)</w:t>
      </w:r>
      <w:r w:rsidR="002B2816">
        <w:t> </w:t>
      </w:r>
      <w:r w:rsidR="001C43E7">
        <w:t xml:space="preserve">— </w:t>
      </w:r>
      <w:r>
        <w:t xml:space="preserve">In addition to the requirements of the foundational </w:t>
      </w:r>
      <w:r>
        <w:lastRenderedPageBreak/>
        <w:t>tariff and the subscription model, the community renewable energy program tariff shall require that</w:t>
      </w:r>
      <w:r w:rsidR="00B21954">
        <w:t>:</w:t>
      </w:r>
      <w:r>
        <w:t xml:space="preserve"> (</w:t>
      </w:r>
      <w:r w:rsidR="00100C1C">
        <w:t>1</w:t>
      </w:r>
      <w:r>
        <w:t>)</w:t>
      </w:r>
      <w:r w:rsidR="00100C1C">
        <w:t> </w:t>
      </w:r>
      <w:r>
        <w:t xml:space="preserve">developers demonstrate to the California Energy Commission that the proposal complies with </w:t>
      </w:r>
      <w:r w:rsidR="003627A8">
        <w:t>Section </w:t>
      </w:r>
      <w:r>
        <w:t>10</w:t>
      </w:r>
      <w:r w:rsidR="003D6EF8">
        <w:noBreakHyphen/>
      </w:r>
      <w:r>
        <w:t>115 of the California Building Code; and (2)</w:t>
      </w:r>
      <w:r w:rsidR="0077430C">
        <w:t> </w:t>
      </w:r>
      <w:r>
        <w:t>all projects shall be limited to 20</w:t>
      </w:r>
      <w:r w:rsidR="00ED70F0">
        <w:t> </w:t>
      </w:r>
      <w:r w:rsidR="0077430C">
        <w:t>meg</w:t>
      </w:r>
      <w:r w:rsidR="00084164">
        <w:t>a</w:t>
      </w:r>
      <w:r w:rsidR="0077430C">
        <w:t>watts</w:t>
      </w:r>
      <w:r>
        <w:t>.</w:t>
      </w:r>
    </w:p>
    <w:p w:rsidR="003E1B87" w:rsidP="002B2816" w:rsidRDefault="001363BA" w14:paraId="2A992819" w14:textId="5B15AC65">
      <w:pPr>
        <w:pStyle w:val="BlockQuoteH033subH033"/>
        <w:numPr>
          <w:ilvl w:val="1"/>
          <w:numId w:val="14"/>
        </w:numPr>
        <w:ind w:left="1670" w:hanging="475"/>
      </w:pPr>
      <w:r>
        <w:t xml:space="preserve">Compliance with </w:t>
      </w:r>
      <w:r w:rsidR="00440785">
        <w:t>Pub. Util.</w:t>
      </w:r>
      <w:r>
        <w:t xml:space="preserve"> Code </w:t>
      </w:r>
      <w:r w:rsidR="003627A8">
        <w:t>Section </w:t>
      </w:r>
      <w:r>
        <w:t>769.3(c)(2)</w:t>
      </w:r>
      <w:r w:rsidR="001C43E7">
        <w:t xml:space="preserve"> — </w:t>
      </w:r>
      <w:r>
        <w:t>In addition to the requirements of the foundational tariff and the subscription model, the community renewable energy program tariff shall require that developers demonstrate that 51</w:t>
      </w:r>
      <w:r w:rsidR="00D376A8">
        <w:t> percent</w:t>
      </w:r>
      <w:r>
        <w:t xml:space="preserve"> of a project</w:t>
      </w:r>
      <w:r w:rsidR="00440785">
        <w:t>’</w:t>
      </w:r>
      <w:r>
        <w:t>s capacity is subscribed to low</w:t>
      </w:r>
      <w:r w:rsidR="003D6EF8">
        <w:noBreakHyphen/>
      </w:r>
      <w:r>
        <w:t>income customers.</w:t>
      </w:r>
    </w:p>
    <w:p w:rsidR="001363BA" w:rsidP="002B2816" w:rsidRDefault="001363BA" w14:paraId="7B1EC59B" w14:textId="69698096">
      <w:pPr>
        <w:pStyle w:val="BlockQuoteH033subH033"/>
        <w:numPr>
          <w:ilvl w:val="1"/>
          <w:numId w:val="14"/>
        </w:numPr>
        <w:ind w:left="1670" w:hanging="475"/>
      </w:pPr>
      <w:r>
        <w:t xml:space="preserve">Compliance with </w:t>
      </w:r>
      <w:r w:rsidR="00440785">
        <w:t>Pub. Util.</w:t>
      </w:r>
      <w:r>
        <w:t xml:space="preserve"> Code </w:t>
      </w:r>
      <w:r w:rsidR="003627A8">
        <w:t>Section </w:t>
      </w:r>
      <w:r>
        <w:t>769.3(c)(4)</w:t>
      </w:r>
      <w:r w:rsidR="001C43E7">
        <w:t xml:space="preserve"> — </w:t>
      </w:r>
      <w:r>
        <w:t>In addition to the requirements of the foundational tariff and the subscription model, the community renewable energy program tariff shall require that developers demonstrate that all projects shall comply with the prevailing wage requirement.</w:t>
      </w:r>
    </w:p>
    <w:p w:rsidR="005673CC" w:rsidP="002B2816" w:rsidRDefault="005673CC" w14:paraId="7BD3B087" w14:textId="3114EF2D">
      <w:pPr>
        <w:pStyle w:val="BlockQuoteH033subH033"/>
        <w:numPr>
          <w:ilvl w:val="1"/>
          <w:numId w:val="14"/>
        </w:numPr>
        <w:ind w:left="1670" w:hanging="475"/>
      </w:pPr>
      <w:r>
        <w:t xml:space="preserve">Storage – </w:t>
      </w:r>
      <w:r w:rsidR="008F3007">
        <w:t>T</w:t>
      </w:r>
      <w:r>
        <w:t>he community renewable energy program tariff shall allow for co-located solar and storage.</w:t>
      </w:r>
    </w:p>
    <w:p w:rsidR="003E1B87" w:rsidP="006217AA" w:rsidRDefault="001363BA" w14:paraId="468A9F1E" w14:textId="52E65F87">
      <w:pPr>
        <w:pStyle w:val="OP"/>
      </w:pPr>
      <w:r>
        <w:t xml:space="preserve">The </w:t>
      </w:r>
      <w:r w:rsidRPr="00D9513E">
        <w:t xml:space="preserve">Community Solar Green Tariff </w:t>
      </w:r>
      <w:r>
        <w:t>(</w:t>
      </w:r>
      <w:r w:rsidRPr="00D9513E">
        <w:t>CSGT</w:t>
      </w:r>
      <w:r>
        <w:t xml:space="preserve">) is discontinued. </w:t>
      </w:r>
      <w:r w:rsidR="001A677A">
        <w:t>Pacific Gas and Electric Company, San</w:t>
      </w:r>
      <w:r w:rsidR="00262A4B">
        <w:t> </w:t>
      </w:r>
      <w:r w:rsidR="001A677A">
        <w:t>Diego Gas</w:t>
      </w:r>
      <w:r w:rsidR="00262A4B">
        <w:t> </w:t>
      </w:r>
      <w:r w:rsidR="001A677A">
        <w:t xml:space="preserve">&amp; Electric </w:t>
      </w:r>
      <w:r w:rsidR="00C57C5A">
        <w:t>Company,</w:t>
      </w:r>
      <w:r w:rsidR="001A677A">
        <w:t xml:space="preserve"> and Southern California Edison Company (</w:t>
      </w:r>
      <w:r w:rsidR="00262A4B">
        <w:t>collectively</w:t>
      </w:r>
      <w:r w:rsidR="001A677A">
        <w:t>, Utilities) and Community Choice Aggregators (CCAs) shall transfer a</w:t>
      </w:r>
      <w:r>
        <w:t xml:space="preserve">ll remaining </w:t>
      </w:r>
      <w:r w:rsidR="000A5187">
        <w:t>un</w:t>
      </w:r>
      <w:r w:rsidR="003D6EF8">
        <w:noBreakHyphen/>
      </w:r>
      <w:r w:rsidR="000A5187">
        <w:t xml:space="preserve">procured </w:t>
      </w:r>
      <w:r>
        <w:t xml:space="preserve">capacity assigned to this tariff to the modified </w:t>
      </w:r>
      <w:r w:rsidRPr="00D9513E" w:rsidR="00D304ED">
        <w:t xml:space="preserve">Disadvantaged Communities Green Tariff </w:t>
      </w:r>
      <w:r>
        <w:t>(</w:t>
      </w:r>
      <w:r w:rsidRPr="00D9513E">
        <w:t>DAC</w:t>
      </w:r>
      <w:r w:rsidR="003D6EF8">
        <w:noBreakHyphen/>
      </w:r>
      <w:r w:rsidRPr="00D9513E">
        <w:t>GT</w:t>
      </w:r>
      <w:r>
        <w:t xml:space="preserve">). </w:t>
      </w:r>
      <w:r w:rsidR="008756E4">
        <w:t xml:space="preserve">Procured CSGT capacity and procurement in existing active solicitations may be transferred to DAC-GT. </w:t>
      </w:r>
      <w:r w:rsidR="001A677A">
        <w:t xml:space="preserve">Utilities and CCAs may transition </w:t>
      </w:r>
      <w:r w:rsidR="00A422F9">
        <w:t xml:space="preserve">DAC-GT-eligible </w:t>
      </w:r>
      <w:r w:rsidR="001A677A">
        <w:t>c</w:t>
      </w:r>
      <w:r>
        <w:t>ustomers currently enrolled in CSGT into the modified DAC</w:t>
      </w:r>
      <w:r w:rsidR="003D6EF8">
        <w:noBreakHyphen/>
      </w:r>
      <w:r>
        <w:t xml:space="preserve">GT, unless there is no remaining capacity. If capacity is at subscription maximum, </w:t>
      </w:r>
      <w:r w:rsidR="001A677A">
        <w:t>Utilities and CCAs are</w:t>
      </w:r>
      <w:r>
        <w:t xml:space="preserve"> responsible for informing the customer of the loss of their discount.</w:t>
      </w:r>
      <w:r w:rsidR="008756E4">
        <w:t xml:space="preserve"> </w:t>
      </w:r>
    </w:p>
    <w:p w:rsidR="003E1B87" w:rsidP="00BB6FEE" w:rsidRDefault="001363BA" w14:paraId="56572F1B" w14:textId="5A7B7765">
      <w:pPr>
        <w:pStyle w:val="OP"/>
      </w:pPr>
      <w:r>
        <w:lastRenderedPageBreak/>
        <w:t xml:space="preserve">The </w:t>
      </w:r>
      <w:r w:rsidR="00624891">
        <w:t>D</w:t>
      </w:r>
      <w:r>
        <w:t xml:space="preserve">isadvantaged </w:t>
      </w:r>
      <w:r w:rsidR="00624891">
        <w:t>C</w:t>
      </w:r>
      <w:r>
        <w:t xml:space="preserve">ommunities </w:t>
      </w:r>
      <w:r w:rsidR="00624891">
        <w:t>G</w:t>
      </w:r>
      <w:r>
        <w:t xml:space="preserve">reen </w:t>
      </w:r>
      <w:r w:rsidR="00624891">
        <w:t>T</w:t>
      </w:r>
      <w:r>
        <w:t>ariff shall be modified as follows:</w:t>
      </w:r>
    </w:p>
    <w:p w:rsidR="000A5187" w:rsidP="00BB6FEE" w:rsidRDefault="000A5187" w14:paraId="45DB90E6" w14:textId="1F37B63D">
      <w:pPr>
        <w:pStyle w:val="BlockQuoteH033subH033"/>
        <w:numPr>
          <w:ilvl w:val="1"/>
          <w:numId w:val="14"/>
        </w:numPr>
        <w:ind w:left="1670" w:hanging="475"/>
      </w:pPr>
      <w:r>
        <w:t xml:space="preserve">Site requirements are revised to allow eligible projects to be located no more than five miles from eligible </w:t>
      </w:r>
      <w:r w:rsidR="001A34D8">
        <w:t>disadvantaged communities census tracts.</w:t>
      </w:r>
    </w:p>
    <w:p w:rsidR="001A34D8" w:rsidP="00BB6FEE" w:rsidRDefault="001A34D8" w14:paraId="1EFCE3DF" w14:textId="59F812B8">
      <w:pPr>
        <w:pStyle w:val="BlockQuoteH033subH033"/>
        <w:numPr>
          <w:ilvl w:val="1"/>
          <w:numId w:val="14"/>
        </w:numPr>
        <w:ind w:left="1670" w:hanging="475"/>
      </w:pPr>
      <w:r>
        <w:t xml:space="preserve">Pacific Gas and Electric Company, </w:t>
      </w:r>
      <w:r w:rsidRPr="00D9513E" w:rsidR="00D463F5">
        <w:t>San </w:t>
      </w:r>
      <w:r w:rsidRPr="00D9513E">
        <w:t>Diego Gas</w:t>
      </w:r>
      <w:r w:rsidRPr="00D9513E" w:rsidR="0038077D">
        <w:t xml:space="preserve"> &amp; </w:t>
      </w:r>
      <w:r w:rsidRPr="00D9513E">
        <w:t>Electric Company</w:t>
      </w:r>
      <w:r w:rsidRPr="00D9513E" w:rsidR="009B5E32">
        <w:t xml:space="preserve"> </w:t>
      </w:r>
      <w:r w:rsidR="009B5E32">
        <w:t>(</w:t>
      </w:r>
      <w:r w:rsidRPr="00D9513E" w:rsidR="009B5E32">
        <w:t>SDG&amp;E</w:t>
      </w:r>
      <w:r w:rsidR="009B5E32">
        <w:t>),</w:t>
      </w:r>
      <w:r>
        <w:t xml:space="preserve"> and Southern California Edison Company shall implement automatic enrollment </w:t>
      </w:r>
      <w:r w:rsidR="002E50F4">
        <w:t>as previously adopted in Decision</w:t>
      </w:r>
      <w:r w:rsidR="00100C1C">
        <w:t> </w:t>
      </w:r>
      <w:r w:rsidR="002E50F4">
        <w:t>20</w:t>
      </w:r>
      <w:r w:rsidR="003D6EF8">
        <w:noBreakHyphen/>
      </w:r>
      <w:r w:rsidR="002E50F4">
        <w:t>07</w:t>
      </w:r>
      <w:r w:rsidR="003D6EF8">
        <w:noBreakHyphen/>
      </w:r>
      <w:r w:rsidR="002E50F4">
        <w:t xml:space="preserve">008 and reiterated in </w:t>
      </w:r>
      <w:r w:rsidR="00440785">
        <w:t>Resolution </w:t>
      </w:r>
      <w:r w:rsidR="002E50F4">
        <w:t>E</w:t>
      </w:r>
      <w:r w:rsidR="003D6EF8">
        <w:noBreakHyphen/>
      </w:r>
      <w:r w:rsidR="002E50F4">
        <w:t>5124.</w:t>
      </w:r>
    </w:p>
    <w:p w:rsidR="003E1B87" w:rsidP="00BB6FEE" w:rsidRDefault="009B5E32" w14:paraId="72F2E1DF" w14:textId="0313ADB4">
      <w:pPr>
        <w:pStyle w:val="BlockQuoteH033subH033"/>
        <w:numPr>
          <w:ilvl w:val="1"/>
          <w:numId w:val="14"/>
        </w:numPr>
        <w:ind w:left="1670" w:hanging="475"/>
      </w:pPr>
      <w:r>
        <w:t xml:space="preserve">SDG&amp;E </w:t>
      </w:r>
      <w:r w:rsidR="001363BA">
        <w:t xml:space="preserve">is permitted to terminate its tariff to its bundled customers but </w:t>
      </w:r>
      <w:r w:rsidR="002E50F4">
        <w:t xml:space="preserve">must </w:t>
      </w:r>
      <w:r w:rsidR="001363BA">
        <w:t xml:space="preserve">continue its cooperation with any </w:t>
      </w:r>
      <w:r w:rsidR="00964D71">
        <w:t xml:space="preserve">Community Choice Aggregator </w:t>
      </w:r>
      <w:r w:rsidR="001363BA">
        <w:t xml:space="preserve">that seeks to offer the tariff in its territory by </w:t>
      </w:r>
      <w:r w:rsidR="002E50F4">
        <w:t>including</w:t>
      </w:r>
      <w:r w:rsidR="001363BA">
        <w:t xml:space="preserve"> a proposed venue in which to seek cost recovery</w:t>
      </w:r>
      <w:r w:rsidR="00D576F3">
        <w:t xml:space="preserve"> in the </w:t>
      </w:r>
      <w:r w:rsidR="00440785">
        <w:t>Tier 2</w:t>
      </w:r>
      <w:r w:rsidR="00D576F3">
        <w:t xml:space="preserve"> Advice Letter required by Ordering </w:t>
      </w:r>
      <w:r w:rsidR="006B06A9">
        <w:t>Paragraph </w:t>
      </w:r>
      <w:r w:rsidR="005E3C13">
        <w:t>9</w:t>
      </w:r>
      <w:r w:rsidR="001363BA">
        <w:t>.</w:t>
      </w:r>
    </w:p>
    <w:p w:rsidR="003E1B87" w:rsidP="00BB6FEE" w:rsidRDefault="001363BA" w14:paraId="1C4D0612" w14:textId="6301E5A2">
      <w:pPr>
        <w:pStyle w:val="BlockQuoteH033subH033"/>
        <w:numPr>
          <w:ilvl w:val="1"/>
          <w:numId w:val="14"/>
        </w:numPr>
        <w:ind w:left="1670" w:hanging="475"/>
      </w:pPr>
      <w:r>
        <w:t xml:space="preserve">Capacity is increased by an additional </w:t>
      </w:r>
      <w:r w:rsidR="002E50F4">
        <w:t>37.316</w:t>
      </w:r>
      <w:r w:rsidR="00ED70F0">
        <w:t> </w:t>
      </w:r>
      <w:r w:rsidR="0005770D">
        <w:t>meg</w:t>
      </w:r>
      <w:r w:rsidR="002C6591">
        <w:t>a</w:t>
      </w:r>
      <w:r w:rsidR="0005770D">
        <w:t>watts</w:t>
      </w:r>
      <w:r>
        <w:t xml:space="preserve"> of additional capacity.</w:t>
      </w:r>
    </w:p>
    <w:p w:rsidR="003E1B87" w:rsidP="00BB6FEE" w:rsidRDefault="00D576F3" w14:paraId="66FAA4A5" w14:textId="1BB82625">
      <w:pPr>
        <w:pStyle w:val="BlockQuoteH033subH033"/>
        <w:numPr>
          <w:ilvl w:val="1"/>
          <w:numId w:val="14"/>
        </w:numPr>
        <w:ind w:left="1670" w:hanging="475"/>
      </w:pPr>
      <w:r>
        <w:t>The capacity cap of e</w:t>
      </w:r>
      <w:r w:rsidR="001363BA">
        <w:t>ach Program Administrator</w:t>
      </w:r>
      <w:r w:rsidR="00624891">
        <w:t>,</w:t>
      </w:r>
      <w:r>
        <w:t xml:space="preserve"> who is close to being fully procured within a particular utility service territory</w:t>
      </w:r>
      <w:r w:rsidR="00624891">
        <w:t>,</w:t>
      </w:r>
      <w:r w:rsidR="009F5702">
        <w:t xml:space="preserve"> </w:t>
      </w:r>
      <w:r w:rsidR="001363BA">
        <w:t>is increased to allow the enrollment of an additional 50</w:t>
      </w:r>
      <w:r w:rsidR="00D376A8">
        <w:t> percent</w:t>
      </w:r>
      <w:r w:rsidR="001363BA">
        <w:t xml:space="preserve"> of eligible customers</w:t>
      </w:r>
      <w:r w:rsidR="003E1B87">
        <w:t>.</w:t>
      </w:r>
    </w:p>
    <w:p w:rsidR="003E1B87" w:rsidP="00BB6FEE" w:rsidRDefault="001363BA" w14:paraId="18D69FD6" w14:textId="40A13C94">
      <w:pPr>
        <w:pStyle w:val="BlockQuoteH033subH033"/>
        <w:numPr>
          <w:ilvl w:val="1"/>
          <w:numId w:val="14"/>
        </w:numPr>
        <w:ind w:left="1670" w:hanging="475"/>
      </w:pPr>
      <w:r>
        <w:t xml:space="preserve">Solicitations are decreased to </w:t>
      </w:r>
      <w:r w:rsidR="00624891">
        <w:t xml:space="preserve">a minimum of </w:t>
      </w:r>
      <w:r>
        <w:t>once a year.</w:t>
      </w:r>
    </w:p>
    <w:p w:rsidR="003E1B87" w:rsidP="00BB6FEE" w:rsidRDefault="00EF778E" w14:paraId="60DBD513" w14:textId="222CF777">
      <w:pPr>
        <w:pStyle w:val="BlockQuoteH033subH033"/>
        <w:numPr>
          <w:ilvl w:val="1"/>
          <w:numId w:val="14"/>
        </w:numPr>
        <w:ind w:left="1670" w:hanging="475"/>
      </w:pPr>
      <w:r>
        <w:t>Voluntary inclusion of storage is permitted</w:t>
      </w:r>
      <w:r w:rsidR="003E1B87">
        <w:t>.</w:t>
      </w:r>
    </w:p>
    <w:p w:rsidR="003E1B87" w:rsidP="00BB6FEE" w:rsidRDefault="001363BA" w14:paraId="5E0E78AF" w14:textId="4A52CB8A">
      <w:pPr>
        <w:pStyle w:val="BlockQuoteH033subH033"/>
        <w:numPr>
          <w:ilvl w:val="1"/>
          <w:numId w:val="14"/>
        </w:numPr>
        <w:ind w:left="1670" w:hanging="475"/>
      </w:pPr>
      <w:r>
        <w:t xml:space="preserve">The cost containment cap shall be updated using the steps in Ordering </w:t>
      </w:r>
      <w:r w:rsidR="006B06A9">
        <w:t>Paragraph </w:t>
      </w:r>
      <w:r w:rsidR="00FA1732">
        <w:t>4</w:t>
      </w:r>
      <w:r>
        <w:t>.</w:t>
      </w:r>
    </w:p>
    <w:p w:rsidR="003E1B87" w:rsidP="00BB6FEE" w:rsidRDefault="001363BA" w14:paraId="556603F5" w14:textId="321E5D7C">
      <w:pPr>
        <w:pStyle w:val="BlockQuoteH033subH033"/>
        <w:numPr>
          <w:ilvl w:val="1"/>
          <w:numId w:val="14"/>
        </w:numPr>
        <w:ind w:left="1670" w:hanging="475"/>
      </w:pPr>
      <w:r>
        <w:t>The submission date of the DAC</w:t>
      </w:r>
      <w:r w:rsidR="003D6EF8">
        <w:noBreakHyphen/>
      </w:r>
      <w:r>
        <w:t>GT Program Administrators</w:t>
      </w:r>
      <w:r w:rsidR="00EF778E">
        <w:t>’</w:t>
      </w:r>
      <w:r>
        <w:t xml:space="preserve"> annual budget advice letter</w:t>
      </w:r>
      <w:r w:rsidR="00EF778E">
        <w:t>s</w:t>
      </w:r>
      <w:r>
        <w:t xml:space="preserve"> is changed to </w:t>
      </w:r>
      <w:r w:rsidR="0013526D">
        <w:t>April </w:t>
      </w:r>
      <w:r>
        <w:t>1</w:t>
      </w:r>
      <w:r w:rsidR="001B0C0E">
        <w:t>st</w:t>
      </w:r>
      <w:r>
        <w:t>.</w:t>
      </w:r>
    </w:p>
    <w:p w:rsidR="00AE2850" w:rsidP="00BB6FEE" w:rsidRDefault="001363BA" w14:paraId="077DDC54" w14:textId="62FF48D2">
      <w:pPr>
        <w:pStyle w:val="BlockQuoteH033subH033"/>
        <w:numPr>
          <w:ilvl w:val="1"/>
          <w:numId w:val="14"/>
        </w:numPr>
        <w:ind w:left="1670" w:hanging="475"/>
      </w:pPr>
      <w:r>
        <w:t>A sunset for the tariff is adopted whereby when the remaining capacity for the modified tariff reaches 500</w:t>
      </w:r>
      <w:r w:rsidR="004336ED">
        <w:t> </w:t>
      </w:r>
      <w:r w:rsidR="00101131">
        <w:t>kilowatts</w:t>
      </w:r>
      <w:r>
        <w:t xml:space="preserve"> </w:t>
      </w:r>
      <w:r w:rsidR="00624891">
        <w:t xml:space="preserve">or </w:t>
      </w:r>
      <w:r>
        <w:t xml:space="preserve">there has been no participation by </w:t>
      </w:r>
      <w:r>
        <w:lastRenderedPageBreak/>
        <w:t xml:space="preserve">developers in two consecutive solicitations, a utility shall submit a </w:t>
      </w:r>
      <w:r w:rsidR="00440785">
        <w:t>Tier 1</w:t>
      </w:r>
      <w:r>
        <w:t xml:space="preserve"> Advice Letter informing the Commission that solicitations have been suspended.</w:t>
      </w:r>
    </w:p>
    <w:p w:rsidR="006761B5" w:rsidP="00BB6FEE" w:rsidRDefault="006761B5" w14:paraId="4BF28411" w14:textId="6183BED5">
      <w:pPr>
        <w:pStyle w:val="BlockQuoteH033subH033"/>
        <w:numPr>
          <w:ilvl w:val="1"/>
          <w:numId w:val="14"/>
        </w:numPr>
        <w:ind w:left="1670" w:hanging="475"/>
      </w:pPr>
      <w:r>
        <w:t>Green-e certification is no longer required.</w:t>
      </w:r>
      <w:r w:rsidR="00D91127">
        <w:t xml:space="preserve"> Consistent </w:t>
      </w:r>
      <w:r w:rsidRPr="006A780C" w:rsidR="00D91127">
        <w:t xml:space="preserve">with </w:t>
      </w:r>
      <w:r w:rsidRPr="000617A4" w:rsidR="00D91127">
        <w:t>Ordering Paragraph 6 below</w:t>
      </w:r>
      <w:r w:rsidRPr="006A780C" w:rsidR="00D91127">
        <w:t>, Quarterly reporting</w:t>
      </w:r>
      <w:r w:rsidR="00D91127">
        <w:t xml:space="preserve"> to </w:t>
      </w:r>
      <w:r w:rsidRPr="00D9513E" w:rsidR="00D91127">
        <w:t xml:space="preserve">California Distributed Generation Statistics </w:t>
      </w:r>
      <w:r w:rsidRPr="001C0C4F" w:rsidR="00D91127">
        <w:t>(</w:t>
      </w:r>
      <w:r w:rsidRPr="00D9513E" w:rsidR="00D91127">
        <w:t>DGStats</w:t>
      </w:r>
      <w:r w:rsidRPr="001C0C4F" w:rsidR="00D91127">
        <w:t>) website</w:t>
      </w:r>
      <w:r w:rsidR="00D91127">
        <w:t>, or another website as determined by Energy Division, shall include: megawatt-hours (MWh) of participant usage; MWh of Renewable Portfolio Standard (RPS) Renewable Energy Credits (RECs) retired for participants; and remaining MWh of usage to account for with program RECs.</w:t>
      </w:r>
    </w:p>
    <w:p w:rsidR="00AE2850" w:rsidP="006217AA" w:rsidRDefault="001363BA" w14:paraId="1B652B01" w14:textId="3243F624">
      <w:pPr>
        <w:pStyle w:val="OP"/>
      </w:pPr>
      <w:r>
        <w:t xml:space="preserve">Pacific Gas and Electric Company </w:t>
      </w:r>
      <w:r w:rsidR="00252A11">
        <w:t xml:space="preserve">(PG&amp;E) </w:t>
      </w:r>
      <w:r>
        <w:t xml:space="preserve">and Southern California Edison Company </w:t>
      </w:r>
      <w:r w:rsidR="00252A11">
        <w:t>(SCE)</w:t>
      </w:r>
      <w:r w:rsidR="003233A9">
        <w:t>, and participating Community Choice Aggregators</w:t>
      </w:r>
      <w:r w:rsidR="00252A11">
        <w:t xml:space="preserve"> </w:t>
      </w:r>
      <w:r>
        <w:t xml:space="preserve">shall work together to develop a proposal for updating the cost containment cap for the </w:t>
      </w:r>
      <w:r w:rsidR="00624891">
        <w:t>D</w:t>
      </w:r>
      <w:r>
        <w:t xml:space="preserve">isadvantaged </w:t>
      </w:r>
      <w:r w:rsidR="00624891">
        <w:t>C</w:t>
      </w:r>
      <w:r>
        <w:t xml:space="preserve">ommunities </w:t>
      </w:r>
      <w:r w:rsidR="00624891">
        <w:t>G</w:t>
      </w:r>
      <w:r>
        <w:t xml:space="preserve">reen </w:t>
      </w:r>
      <w:r w:rsidR="00624891">
        <w:t>T</w:t>
      </w:r>
      <w:r>
        <w:t xml:space="preserve">ariff. </w:t>
      </w:r>
      <w:r w:rsidR="00EF778E">
        <w:t xml:space="preserve">The cost containment cap shall reflect the option for paired storage. </w:t>
      </w:r>
      <w:r>
        <w:t xml:space="preserve">No later than 90 days from the adoption of this decision, </w:t>
      </w:r>
      <w:r w:rsidR="00252A11">
        <w:t>PG&amp;E</w:t>
      </w:r>
      <w:r w:rsidR="00D27DA7">
        <w:t xml:space="preserve"> </w:t>
      </w:r>
      <w:r w:rsidRPr="00252A11" w:rsidR="00252A11">
        <w:t xml:space="preserve">and </w:t>
      </w:r>
      <w:r w:rsidR="00252A11">
        <w:t>SCE</w:t>
      </w:r>
      <w:r w:rsidRPr="00252A11" w:rsidR="00252A11">
        <w:t xml:space="preserve"> </w:t>
      </w:r>
      <w:r>
        <w:t xml:space="preserve">shall submit a </w:t>
      </w:r>
      <w:r w:rsidR="00440785">
        <w:t>Tier 2</w:t>
      </w:r>
      <w:r>
        <w:t xml:space="preserve"> Advice Letter proposing a method for updating the cost containment cap.</w:t>
      </w:r>
    </w:p>
    <w:p w:rsidR="001363BA" w:rsidP="00BB6FEE" w:rsidRDefault="001363BA" w14:paraId="7175BAA4" w14:textId="661834EB">
      <w:pPr>
        <w:pStyle w:val="OP"/>
        <w:keepNext/>
        <w:ind w:firstLine="547"/>
      </w:pPr>
      <w:r>
        <w:t xml:space="preserve">The </w:t>
      </w:r>
      <w:r w:rsidR="00624891">
        <w:t>G</w:t>
      </w:r>
      <w:r>
        <w:t xml:space="preserve">reen </w:t>
      </w:r>
      <w:r w:rsidR="00624891">
        <w:t>T</w:t>
      </w:r>
      <w:r>
        <w:t>ariff shall be modified as follows:</w:t>
      </w:r>
    </w:p>
    <w:p w:rsidR="001363BA" w:rsidP="00BB6FEE" w:rsidRDefault="001363BA" w14:paraId="4C860E67" w14:textId="49B2F788">
      <w:pPr>
        <w:pStyle w:val="BlockQuoteH033subH033"/>
        <w:numPr>
          <w:ilvl w:val="1"/>
          <w:numId w:val="14"/>
        </w:numPr>
        <w:ind w:left="1670" w:hanging="475"/>
      </w:pPr>
      <w:r>
        <w:t xml:space="preserve">Eligibility is </w:t>
      </w:r>
      <w:r w:rsidR="00624891">
        <w:t xml:space="preserve">aimed at </w:t>
      </w:r>
      <w:r>
        <w:t>market rate customers and all costs shall be recovered by participating customer subscribers.</w:t>
      </w:r>
    </w:p>
    <w:p w:rsidR="00D576F3" w:rsidP="00BB6FEE" w:rsidRDefault="001363BA" w14:paraId="4ED9C778" w14:textId="433DA160">
      <w:pPr>
        <w:pStyle w:val="BlockQuoteH033subH033"/>
        <w:numPr>
          <w:ilvl w:val="1"/>
          <w:numId w:val="14"/>
        </w:numPr>
        <w:ind w:left="1670" w:hanging="475"/>
      </w:pPr>
      <w:r>
        <w:t xml:space="preserve">The </w:t>
      </w:r>
      <w:r w:rsidRPr="00FD66C0" w:rsidR="00763529">
        <w:t>Green Tariff Shared Renewables enhanced community renewables</w:t>
      </w:r>
      <w:r w:rsidR="00763529">
        <w:t xml:space="preserve"> (</w:t>
      </w:r>
      <w:r w:rsidRPr="00E73D2C" w:rsidR="00763529">
        <w:t>GTSR</w:t>
      </w:r>
      <w:r w:rsidR="003D6EF8">
        <w:noBreakHyphen/>
      </w:r>
      <w:r w:rsidRPr="00E73D2C" w:rsidR="00763529">
        <w:t>ECR</w:t>
      </w:r>
      <w:r w:rsidR="00763529">
        <w:t xml:space="preserve">) </w:t>
      </w:r>
      <w:r>
        <w:t xml:space="preserve">option is </w:t>
      </w:r>
      <w:r w:rsidR="006761B5">
        <w:t>closed to new procurement not currently under negotiation or contract</w:t>
      </w:r>
      <w:r>
        <w:t xml:space="preserve">. The </w:t>
      </w:r>
      <w:r w:rsidR="00D576F3">
        <w:t xml:space="preserve">unprocured </w:t>
      </w:r>
      <w:r>
        <w:t>capacity for th</w:t>
      </w:r>
      <w:r w:rsidR="00624891">
        <w:t>is</w:t>
      </w:r>
      <w:r>
        <w:t xml:space="preserve"> </w:t>
      </w:r>
      <w:r w:rsidR="00624891">
        <w:t>option</w:t>
      </w:r>
      <w:r w:rsidR="007C7FE6">
        <w:t xml:space="preserve"> </w:t>
      </w:r>
      <w:r>
        <w:t xml:space="preserve">is reassigned to the modified </w:t>
      </w:r>
      <w:r w:rsidR="00624891">
        <w:t>G</w:t>
      </w:r>
      <w:r>
        <w:t xml:space="preserve">reen </w:t>
      </w:r>
      <w:r w:rsidR="00624891">
        <w:t>T</w:t>
      </w:r>
      <w:r>
        <w:t xml:space="preserve">ariff, creating a cap of </w:t>
      </w:r>
      <w:r w:rsidR="00D576F3">
        <w:t>562</w:t>
      </w:r>
      <w:r w:rsidR="00ED70F0">
        <w:t> </w:t>
      </w:r>
      <w:r w:rsidRPr="00D9513E" w:rsidR="00810D06">
        <w:t>megawatts</w:t>
      </w:r>
      <w:r w:rsidR="00810D06">
        <w:t xml:space="preserve"> (</w:t>
      </w:r>
      <w:r w:rsidRPr="00D9513E" w:rsidR="00ED70F0">
        <w:t>MW</w:t>
      </w:r>
      <w:r w:rsidR="00810D06">
        <w:t>)</w:t>
      </w:r>
      <w:r>
        <w:t xml:space="preserve"> statewide.</w:t>
      </w:r>
      <w:r w:rsidR="00D576F3">
        <w:t xml:space="preserve"> </w:t>
      </w:r>
      <w:r w:rsidRPr="00D9513E" w:rsidR="00D576F3">
        <w:t>Southern California Edison Company</w:t>
      </w:r>
      <w:r w:rsidRPr="00D9513E" w:rsidR="00E71166">
        <w:t xml:space="preserve"> </w:t>
      </w:r>
      <w:r w:rsidR="00E71166">
        <w:t>(</w:t>
      </w:r>
      <w:r w:rsidRPr="00D9513E" w:rsidR="00E71166">
        <w:t>SCE</w:t>
      </w:r>
      <w:r w:rsidR="00E71166">
        <w:t>)</w:t>
      </w:r>
      <w:r w:rsidR="00D576F3">
        <w:t xml:space="preserve"> may eliminate the </w:t>
      </w:r>
      <w:r w:rsidR="008747CC">
        <w:t>one</w:t>
      </w:r>
      <w:r w:rsidR="003D6EF8">
        <w:noBreakHyphen/>
      </w:r>
      <w:r w:rsidR="008747CC">
        <w:t xml:space="preserve">sixth </w:t>
      </w:r>
      <w:r w:rsidR="00D576F3">
        <w:t xml:space="preserve">residential </w:t>
      </w:r>
      <w:r w:rsidR="00106815">
        <w:t>requirement.</w:t>
      </w:r>
    </w:p>
    <w:p w:rsidR="00AE2850" w:rsidP="00BB6FEE" w:rsidRDefault="00CB5E2A" w14:paraId="531FB5E9" w14:textId="2E64BBE3">
      <w:pPr>
        <w:pStyle w:val="BlockQuoteH033subH033"/>
        <w:numPr>
          <w:ilvl w:val="1"/>
          <w:numId w:val="14"/>
        </w:numPr>
        <w:ind w:left="1670" w:hanging="475"/>
      </w:pPr>
      <w:r>
        <w:t>C</w:t>
      </w:r>
      <w:r w:rsidR="006761B5">
        <w:t xml:space="preserve">ustomer subscriptions </w:t>
      </w:r>
      <w:r w:rsidR="001363BA">
        <w:t>are capped at 40</w:t>
      </w:r>
      <w:r w:rsidR="00ED70F0">
        <w:t> MW</w:t>
      </w:r>
      <w:r>
        <w:t xml:space="preserve"> per customer</w:t>
      </w:r>
      <w:r w:rsidR="001363BA">
        <w:t xml:space="preserve">. Pacific Gas and Electric Company, </w:t>
      </w:r>
      <w:r w:rsidR="00D463F5">
        <w:t>San </w:t>
      </w:r>
      <w:r w:rsidR="001363BA">
        <w:t xml:space="preserve">Diego </w:t>
      </w:r>
      <w:r w:rsidR="001363BA">
        <w:lastRenderedPageBreak/>
        <w:t>Gas</w:t>
      </w:r>
      <w:r w:rsidR="0038077D">
        <w:t xml:space="preserve"> &amp; </w:t>
      </w:r>
      <w:r w:rsidR="001363BA">
        <w:t>Electric Company</w:t>
      </w:r>
      <w:r w:rsidR="00D576F3">
        <w:t>,</w:t>
      </w:r>
      <w:r w:rsidR="001363BA">
        <w:t xml:space="preserve"> and </w:t>
      </w:r>
      <w:r w:rsidR="0040287E">
        <w:t xml:space="preserve">Southern California Edison Company </w:t>
      </w:r>
      <w:r w:rsidR="001363BA">
        <w:t xml:space="preserve">may request to increase these caps through a </w:t>
      </w:r>
      <w:r w:rsidR="00440785">
        <w:t>Tier 2</w:t>
      </w:r>
      <w:r w:rsidR="00D576F3">
        <w:t xml:space="preserve"> A</w:t>
      </w:r>
      <w:r w:rsidR="001363BA">
        <w:t xml:space="preserve">dvice </w:t>
      </w:r>
      <w:r w:rsidR="00D576F3">
        <w:t>L</w:t>
      </w:r>
      <w:r w:rsidR="001363BA">
        <w:t>etter.</w:t>
      </w:r>
    </w:p>
    <w:p w:rsidR="00D91127" w:rsidP="00BB6FEE" w:rsidRDefault="00D91127" w14:paraId="61C5BB5E" w14:textId="26C69227">
      <w:pPr>
        <w:pStyle w:val="BlockQuoteH033subH033"/>
        <w:numPr>
          <w:ilvl w:val="1"/>
          <w:numId w:val="14"/>
        </w:numPr>
        <w:ind w:left="1670" w:hanging="475"/>
      </w:pPr>
      <w:r>
        <w:t>The “topped-off” approach is adopted, whereby customers subscribed to the tariff remain on their otherwise applicable tariff and are “topped off” to achieve 100 percent clean energy.</w:t>
      </w:r>
    </w:p>
    <w:p w:rsidR="00EF778E" w:rsidP="00BB6FEE" w:rsidRDefault="00EF778E" w14:paraId="182C0CBC" w14:textId="42DE864F">
      <w:pPr>
        <w:pStyle w:val="BlockQuoteH033subH033"/>
        <w:numPr>
          <w:ilvl w:val="1"/>
          <w:numId w:val="14"/>
        </w:numPr>
        <w:ind w:left="1670" w:hanging="475"/>
      </w:pPr>
      <w:r>
        <w:t>Voluntary inclusion of storage is permitted</w:t>
      </w:r>
      <w:r w:rsidR="007919FA">
        <w:t>.</w:t>
      </w:r>
    </w:p>
    <w:p w:rsidR="006761B5" w:rsidP="00BB6FEE" w:rsidRDefault="006761B5" w14:paraId="35E239D2" w14:textId="5F4D3321">
      <w:pPr>
        <w:pStyle w:val="BlockQuoteH033subH033"/>
        <w:numPr>
          <w:ilvl w:val="1"/>
          <w:numId w:val="14"/>
        </w:numPr>
        <w:ind w:left="1670" w:hanging="475"/>
      </w:pPr>
      <w:r>
        <w:t>A sunset is adopted whereby when the remaining enrolled capacity for the modified tariff falls below 500 kilowatts or there has been no participation by developers in two consecutive solicitations, a utility shall submit a Tier 1 Advice Letter informing the Commission that solicitations have been suspended.</w:t>
      </w:r>
    </w:p>
    <w:p w:rsidR="006761B5" w:rsidP="006761B5" w:rsidRDefault="006761B5" w14:paraId="4BF0E7BA" w14:textId="66E062FD">
      <w:pPr>
        <w:pStyle w:val="BlockQuoteH033subH033"/>
        <w:numPr>
          <w:ilvl w:val="1"/>
          <w:numId w:val="14"/>
        </w:numPr>
        <w:ind w:left="1670" w:hanging="475"/>
      </w:pPr>
      <w:r>
        <w:t xml:space="preserve">Green-e certification is no longer required. Consistent </w:t>
      </w:r>
      <w:r w:rsidRPr="007919FA">
        <w:t xml:space="preserve">with </w:t>
      </w:r>
      <w:r w:rsidRPr="000617A4">
        <w:t>O</w:t>
      </w:r>
      <w:r w:rsidRPr="000617A4" w:rsidR="006A780C">
        <w:t>rdering Paragraph</w:t>
      </w:r>
      <w:r w:rsidRPr="000617A4">
        <w:t xml:space="preserve"> 6 below</w:t>
      </w:r>
      <w:r w:rsidRPr="007919FA">
        <w:t>, Quarterly reporting</w:t>
      </w:r>
      <w:r>
        <w:t xml:space="preserve"> to </w:t>
      </w:r>
      <w:r w:rsidRPr="00D9513E">
        <w:t xml:space="preserve">California Distributed Generation Statistics </w:t>
      </w:r>
      <w:r w:rsidRPr="001C0C4F">
        <w:t>(</w:t>
      </w:r>
      <w:r w:rsidRPr="00D9513E">
        <w:t>DGStats</w:t>
      </w:r>
      <w:r w:rsidRPr="001C0C4F">
        <w:t>) website</w:t>
      </w:r>
      <w:r>
        <w:t xml:space="preserve">, or another website as determined by Energy Division, shall include: megawatt-hours (MWh) of participant usage; MWh of Renewable Portfolio Standard (RPS) Renewable Energy Credits (RECs) retired for participants; and remaining MWh of usage to account for with program RECs. </w:t>
      </w:r>
    </w:p>
    <w:p w:rsidR="006761B5" w:rsidP="00BB6FEE" w:rsidRDefault="006761B5" w14:paraId="771C368F" w14:textId="5CD031E9">
      <w:pPr>
        <w:pStyle w:val="BlockQuoteH033subH033"/>
        <w:numPr>
          <w:ilvl w:val="1"/>
          <w:numId w:val="14"/>
        </w:numPr>
        <w:ind w:left="1670" w:hanging="475"/>
      </w:pPr>
      <w:r>
        <w:t>Pacific Gas and Electric Company, San Diego Gas &amp; Electric Company, and Southern California Edison Company are no longer required to file a marketing and budget plan through a Tier 2 Advice Letter.</w:t>
      </w:r>
    </w:p>
    <w:p w:rsidR="00BA58BF" w:rsidP="006217AA" w:rsidRDefault="001363BA" w14:paraId="0DAE3096" w14:textId="04709D29">
      <w:pPr>
        <w:pStyle w:val="OP"/>
      </w:pPr>
      <w:r>
        <w:t xml:space="preserve">Pacific Gas and Electric Company, </w:t>
      </w:r>
      <w:r w:rsidR="00D463F5">
        <w:t>San </w:t>
      </w:r>
      <w:r>
        <w:t>Diego Gas</w:t>
      </w:r>
      <w:r w:rsidR="0038077D">
        <w:t xml:space="preserve"> &amp; </w:t>
      </w:r>
      <w:r>
        <w:t>Electric Company</w:t>
      </w:r>
      <w:r w:rsidR="00ED40D7">
        <w:t>,</w:t>
      </w:r>
      <w:r>
        <w:t xml:space="preserve"> Southern California Edison Company</w:t>
      </w:r>
      <w:r w:rsidR="009D38FF">
        <w:t>,</w:t>
      </w:r>
      <w:r>
        <w:t xml:space="preserve"> and Program Administrators of tariffs in the California Renewable Energy Portfolio shall conduct </w:t>
      </w:r>
      <w:r w:rsidRPr="001C0C4F">
        <w:t xml:space="preserve">data collection and reporting on program operation and outcomes for public posting on the </w:t>
      </w:r>
      <w:r w:rsidRPr="00D9513E">
        <w:t xml:space="preserve">California Distributed Generation Statistics </w:t>
      </w:r>
      <w:r w:rsidRPr="001C0C4F">
        <w:t>(</w:t>
      </w:r>
      <w:r w:rsidRPr="00D9513E" w:rsidR="009D38FF">
        <w:t>DGStats</w:t>
      </w:r>
      <w:r w:rsidRPr="001C0C4F">
        <w:t>) website</w:t>
      </w:r>
      <w:r>
        <w:t xml:space="preserve">. This directive replaces reporting requirements in </w:t>
      </w:r>
      <w:r w:rsidRPr="00D9513E">
        <w:t>Decision</w:t>
      </w:r>
      <w:r>
        <w:t xml:space="preserve"> (</w:t>
      </w:r>
      <w:r w:rsidRPr="00D9513E">
        <w:t>D.</w:t>
      </w:r>
      <w:r>
        <w:t>)</w:t>
      </w:r>
      <w:r w:rsidR="00F26ADF">
        <w:t> </w:t>
      </w:r>
      <w:r w:rsidR="00630617">
        <w:t xml:space="preserve">15-01-051, </w:t>
      </w:r>
      <w:hyperlink w:tooltip="D.16-05-006" w:history="1" r:id="rId15">
        <w:r w:rsidRPr="0084254F" w:rsidR="00630617">
          <w:rPr>
            <w:rStyle w:val="Hyperlink"/>
          </w:rPr>
          <w:t>D.</w:t>
        </w:r>
        <w:r w:rsidR="00630617">
          <w:t> </w:t>
        </w:r>
        <w:r w:rsidRPr="0084254F" w:rsidR="00630617">
          <w:rPr>
            <w:rStyle w:val="Hyperlink"/>
          </w:rPr>
          <w:t>16-05-006</w:t>
        </w:r>
      </w:hyperlink>
      <w:r w:rsidR="00630617">
        <w:t xml:space="preserve">, </w:t>
      </w:r>
      <w:r w:rsidR="00630617">
        <w:lastRenderedPageBreak/>
        <w:t>D.</w:t>
      </w:r>
      <w:r>
        <w:t>18</w:t>
      </w:r>
      <w:r w:rsidR="003D6EF8">
        <w:noBreakHyphen/>
      </w:r>
      <w:r>
        <w:t>06</w:t>
      </w:r>
      <w:r w:rsidR="003D6EF8">
        <w:noBreakHyphen/>
      </w:r>
      <w:r>
        <w:t xml:space="preserve">027, </w:t>
      </w:r>
      <w:r w:rsidR="00440785">
        <w:t>Resolution </w:t>
      </w:r>
      <w:r>
        <w:t>E</w:t>
      </w:r>
      <w:r w:rsidR="003D6EF8">
        <w:noBreakHyphen/>
      </w:r>
      <w:r>
        <w:t>4999, D.21</w:t>
      </w:r>
      <w:r w:rsidR="003D6EF8">
        <w:noBreakHyphen/>
      </w:r>
      <w:r>
        <w:t>12</w:t>
      </w:r>
      <w:r w:rsidR="003D6EF8">
        <w:noBreakHyphen/>
      </w:r>
      <w:r>
        <w:t xml:space="preserve">036 and </w:t>
      </w:r>
      <w:r w:rsidR="00440785">
        <w:t>Resolution </w:t>
      </w:r>
      <w:r>
        <w:t>E</w:t>
      </w:r>
      <w:r w:rsidR="003D6EF8">
        <w:noBreakHyphen/>
      </w:r>
      <w:r>
        <w:t xml:space="preserve">5028. </w:t>
      </w:r>
      <w:r w:rsidRPr="001C0C4F">
        <w:t>Specific program metrics, such as projects approved and completed, project status and capacity, location of project, subscriber information, job training, local hiring, and coordination with low</w:t>
      </w:r>
      <w:r w:rsidR="003D6EF8">
        <w:noBreakHyphen/>
      </w:r>
      <w:r w:rsidRPr="001C0C4F">
        <w:t xml:space="preserve">income and clean energy programs shall be posted on the </w:t>
      </w:r>
      <w:r>
        <w:t xml:space="preserve">DGStats </w:t>
      </w:r>
      <w:r w:rsidRPr="001C0C4F">
        <w:t xml:space="preserve">website, or another website as determined by the Energy Division, on a quarterly basis. The data shall be uniformly formatted and contain no confidential material. Energy Division </w:t>
      </w:r>
      <w:r>
        <w:t>is authorized to</w:t>
      </w:r>
      <w:r w:rsidRPr="001C0C4F">
        <w:t xml:space="preserve"> modify these reporting requirements as needed to inform evaluation, measurement, and verification activities.</w:t>
      </w:r>
    </w:p>
    <w:p w:rsidR="003E3E75" w:rsidP="00AE2850" w:rsidRDefault="001363BA" w14:paraId="060AB60E" w14:textId="726510E3">
      <w:pPr>
        <w:pStyle w:val="OP"/>
      </w:pPr>
      <w:r>
        <w:t xml:space="preserve">No later than 60 days from the </w:t>
      </w:r>
      <w:r w:rsidR="00C02916">
        <w:t xml:space="preserve">adoption </w:t>
      </w:r>
      <w:r>
        <w:t xml:space="preserve">of this decision, Pacific Gas and Electric Company, </w:t>
      </w:r>
      <w:r w:rsidR="00D463F5">
        <w:t>San </w:t>
      </w:r>
      <w:r>
        <w:t>Diego Gas</w:t>
      </w:r>
      <w:r w:rsidR="0038077D">
        <w:t xml:space="preserve"> &amp; </w:t>
      </w:r>
      <w:r>
        <w:t>Electric Company</w:t>
      </w:r>
      <w:r w:rsidR="00B57317">
        <w:t>,</w:t>
      </w:r>
      <w:r>
        <w:t xml:space="preserve"> and Southern California Edison Company</w:t>
      </w:r>
      <w:r w:rsidR="005F5CA1">
        <w:t>,</w:t>
      </w:r>
      <w:r>
        <w:t xml:space="preserve"> and participating </w:t>
      </w:r>
      <w:r w:rsidR="00964D71">
        <w:t xml:space="preserve">Community Choice Aggregators </w:t>
      </w:r>
      <w:r>
        <w:t xml:space="preserve">shall facilitate a workshop with Energy Division, parties to this proceeding, and other relevant stakeholders to </w:t>
      </w:r>
      <w:r w:rsidRPr="001C0C4F">
        <w:t xml:space="preserve">determine the format and specific data to be included in the California Distributed Generation Statistics </w:t>
      </w:r>
      <w:r>
        <w:t>website</w:t>
      </w:r>
      <w:r w:rsidRPr="001C0C4F">
        <w:t xml:space="preserve"> reporting</w:t>
      </w:r>
      <w:r>
        <w:t xml:space="preserve">, as directed by Ordering </w:t>
      </w:r>
      <w:r w:rsidR="006B06A9">
        <w:t>Paragraph </w:t>
      </w:r>
      <w:r w:rsidR="00D27DA7">
        <w:t>6</w:t>
      </w:r>
      <w:r>
        <w:t xml:space="preserve"> above</w:t>
      </w:r>
      <w:r w:rsidRPr="001C0C4F">
        <w:t>.</w:t>
      </w:r>
    </w:p>
    <w:p w:rsidR="00AE2850" w:rsidP="00AE2850" w:rsidRDefault="001363BA" w14:paraId="45AB9118" w14:textId="52197595">
      <w:pPr>
        <w:pStyle w:val="OP"/>
      </w:pPr>
      <w:r>
        <w:t>No later than 45 days after</w:t>
      </w:r>
      <w:r w:rsidRPr="001C0C4F">
        <w:t xml:space="preserve"> </w:t>
      </w:r>
      <w:r w:rsidR="00400E51">
        <w:t xml:space="preserve">facilitating </w:t>
      </w:r>
      <w:r w:rsidRPr="001C0C4F">
        <w:t>the workshop</w:t>
      </w:r>
      <w:r w:rsidR="00400E51">
        <w:t>, as directed by Ordering Paragraph 7 above</w:t>
      </w:r>
      <w:r w:rsidRPr="001C0C4F">
        <w:t xml:space="preserve">, </w:t>
      </w:r>
      <w:r w:rsidRPr="00317EAE" w:rsidR="00317EAE">
        <w:t xml:space="preserve">Pacific Gas and Electric Company, San Diego Gas &amp; Electric Company, and Southern California Edison Company, and participating Community Choice Aggregators </w:t>
      </w:r>
      <w:r w:rsidRPr="001C0C4F">
        <w:t xml:space="preserve">shall </w:t>
      </w:r>
      <w:r w:rsidR="00C02916">
        <w:t>submit</w:t>
      </w:r>
      <w:r w:rsidRPr="001C0C4F" w:rsidR="00C02916">
        <w:t xml:space="preserve"> </w:t>
      </w:r>
      <w:r w:rsidRPr="001C0C4F">
        <w:t xml:space="preserve">a joint </w:t>
      </w:r>
      <w:r w:rsidR="00440785">
        <w:t>Tier 1</w:t>
      </w:r>
      <w:r w:rsidR="00575D35">
        <w:t xml:space="preserve"> Advice Letter</w:t>
      </w:r>
      <w:r w:rsidR="003143C0">
        <w:t xml:space="preserve"> </w:t>
      </w:r>
      <w:r w:rsidRPr="001C0C4F">
        <w:t>outlining what was agreed upon as well as any efforts planned to better coordinate amongst the various Program Administrators and to automate the data collection and transfer process.</w:t>
      </w:r>
    </w:p>
    <w:p w:rsidR="00AE2850" w:rsidP="00AE2850" w:rsidRDefault="001363BA" w14:paraId="2AA341CC" w14:textId="6988CF66">
      <w:pPr>
        <w:pStyle w:val="OP"/>
      </w:pPr>
      <w:r>
        <w:t xml:space="preserve">No later than </w:t>
      </w:r>
      <w:r w:rsidR="00ED2296">
        <w:t xml:space="preserve">120 </w:t>
      </w:r>
      <w:r>
        <w:t xml:space="preserve">days from the </w:t>
      </w:r>
      <w:r w:rsidR="00C02916">
        <w:t xml:space="preserve">adoption </w:t>
      </w:r>
      <w:r>
        <w:t xml:space="preserve">of this decision, Pacific Gas and Electric Company, </w:t>
      </w:r>
      <w:r w:rsidR="00D463F5">
        <w:t>San </w:t>
      </w:r>
      <w:r>
        <w:t>Diego Gas</w:t>
      </w:r>
      <w:r w:rsidR="0038077D">
        <w:t xml:space="preserve"> &amp; </w:t>
      </w:r>
      <w:r>
        <w:t xml:space="preserve">Electric Company, and Southern California Edison Company </w:t>
      </w:r>
      <w:r w:rsidR="00624891">
        <w:t xml:space="preserve">(Utilities) and/or participating Community Choice </w:t>
      </w:r>
      <w:r w:rsidR="00624891">
        <w:lastRenderedPageBreak/>
        <w:t>Aggregators</w:t>
      </w:r>
      <w:r w:rsidR="00A05BFD">
        <w:t xml:space="preserve"> (CCAs)</w:t>
      </w:r>
      <w:r w:rsidR="00624891">
        <w:t xml:space="preserve"> </w:t>
      </w:r>
      <w:r>
        <w:t xml:space="preserve">shall </w:t>
      </w:r>
      <w:r w:rsidR="00624891">
        <w:t xml:space="preserve">each </w:t>
      </w:r>
      <w:r>
        <w:t xml:space="preserve">submit a </w:t>
      </w:r>
      <w:r w:rsidR="00440785">
        <w:t>Tier 2</w:t>
      </w:r>
      <w:r>
        <w:t xml:space="preserve"> Advice Letter updating the</w:t>
      </w:r>
      <w:r w:rsidR="00624891">
        <w:t>ir</w:t>
      </w:r>
      <w:r>
        <w:t xml:space="preserve"> </w:t>
      </w:r>
      <w:r w:rsidR="00624891">
        <w:t>Community Solar Green Tariff according to Ordering Paragraph </w:t>
      </w:r>
      <w:r w:rsidR="00FA1732">
        <w:t>2</w:t>
      </w:r>
      <w:r w:rsidR="00624891">
        <w:t>, their D</w:t>
      </w:r>
      <w:r>
        <w:t xml:space="preserve">isadvantaged </w:t>
      </w:r>
      <w:r w:rsidR="00624891">
        <w:t>C</w:t>
      </w:r>
      <w:r>
        <w:t xml:space="preserve">ommunities </w:t>
      </w:r>
      <w:r w:rsidR="00624891">
        <w:t>G</w:t>
      </w:r>
      <w:r>
        <w:t xml:space="preserve">reen </w:t>
      </w:r>
      <w:r w:rsidR="00624891">
        <w:t>T</w:t>
      </w:r>
      <w:r>
        <w:t xml:space="preserve">ariff according </w:t>
      </w:r>
      <w:r w:rsidR="00624891">
        <w:t xml:space="preserve">to </w:t>
      </w:r>
      <w:r>
        <w:t xml:space="preserve">Ordering </w:t>
      </w:r>
      <w:r w:rsidR="006B06A9">
        <w:t>Paragraph </w:t>
      </w:r>
      <w:r w:rsidR="00FA1732">
        <w:t>3</w:t>
      </w:r>
      <w:r w:rsidR="00624891">
        <w:t>,</w:t>
      </w:r>
      <w:r>
        <w:t xml:space="preserve"> and</w:t>
      </w:r>
      <w:r w:rsidR="00624891">
        <w:t>/or</w:t>
      </w:r>
      <w:r>
        <w:t xml:space="preserve"> the</w:t>
      </w:r>
      <w:r w:rsidR="00624891">
        <w:t>ir</w:t>
      </w:r>
      <w:r>
        <w:t xml:space="preserve"> </w:t>
      </w:r>
      <w:r w:rsidR="00624891">
        <w:t>Enhanced Community Renewables and G</w:t>
      </w:r>
      <w:r>
        <w:t xml:space="preserve">reen </w:t>
      </w:r>
      <w:r w:rsidR="00624891">
        <w:t>T</w:t>
      </w:r>
      <w:r>
        <w:t xml:space="preserve">ariff according to Ordering </w:t>
      </w:r>
      <w:r w:rsidR="006B06A9">
        <w:t>Paragraph </w:t>
      </w:r>
      <w:r w:rsidR="00FA1732">
        <w:t>5</w:t>
      </w:r>
      <w:r>
        <w:t xml:space="preserve"> above. </w:t>
      </w:r>
      <w:r w:rsidR="00624891">
        <w:t xml:space="preserve">Utilities and participating CCAs shall coordinate before submitting the advice letters to ensure uniformity, to the extent possible to ensure that tariff language is uniform across the state. </w:t>
      </w:r>
      <w:r>
        <w:t>The advice letter shall include details on how the tariff</w:t>
      </w:r>
      <w:r w:rsidR="00A05BFD">
        <w:t>(</w:t>
      </w:r>
      <w:r>
        <w:t>s</w:t>
      </w:r>
      <w:r w:rsidR="00A05BFD">
        <w:t>)</w:t>
      </w:r>
      <w:r>
        <w:t xml:space="preserve"> will result in incremental new renewable energy being purchased</w:t>
      </w:r>
      <w:r w:rsidR="00ED2296">
        <w:t xml:space="preserve"> to specifically serve subscribers of that tariff</w:t>
      </w:r>
      <w:r>
        <w:t>.</w:t>
      </w:r>
    </w:p>
    <w:p w:rsidR="00AE2850" w:rsidP="00AE2850" w:rsidRDefault="001363BA" w14:paraId="25DBADD5" w14:textId="7B396F52">
      <w:pPr>
        <w:pStyle w:val="OP"/>
      </w:pPr>
      <w:r>
        <w:t xml:space="preserve">No later than </w:t>
      </w:r>
      <w:r w:rsidR="00A422F9">
        <w:t>6</w:t>
      </w:r>
      <w:r>
        <w:t xml:space="preserve">0 days from the adoption of this decision, Pacific Gas and Electric Company, </w:t>
      </w:r>
      <w:r w:rsidR="00D463F5">
        <w:t>San </w:t>
      </w:r>
      <w:r>
        <w:t>Diego Gas</w:t>
      </w:r>
      <w:r w:rsidR="0038077D">
        <w:t xml:space="preserve"> &amp; </w:t>
      </w:r>
      <w:r>
        <w:t>Electric Company, and Southern California Edison Company</w:t>
      </w:r>
      <w:r w:rsidR="009F5702">
        <w:t xml:space="preserve"> </w:t>
      </w:r>
      <w:r>
        <w:t xml:space="preserve">shall each submit a </w:t>
      </w:r>
      <w:r w:rsidR="00440785">
        <w:t>Tier </w:t>
      </w:r>
      <w:r w:rsidR="00A422F9">
        <w:t xml:space="preserve">1 </w:t>
      </w:r>
      <w:r w:rsidR="00575D35">
        <w:t>Advice Letter</w:t>
      </w:r>
      <w:r>
        <w:t xml:space="preserve"> </w:t>
      </w:r>
      <w:r w:rsidRPr="00543443">
        <w:t xml:space="preserve">proposing </w:t>
      </w:r>
      <w:r w:rsidR="00A422F9">
        <w:t>any additional supply</w:t>
      </w:r>
      <w:r w:rsidR="00A422F9">
        <w:noBreakHyphen/>
        <w:t>side tariffs applicable</w:t>
      </w:r>
      <w:r w:rsidRPr="00543443">
        <w:t xml:space="preserve"> for the community renewable energy program, as set forth in </w:t>
      </w:r>
      <w:r w:rsidRPr="005D065D">
        <w:t>this decision</w:t>
      </w:r>
      <w:r w:rsidR="00C67E38">
        <w:t>, and adopted in Ordering Paragraph</w:t>
      </w:r>
      <w:r w:rsidR="005E3C13">
        <w:t> </w:t>
      </w:r>
      <w:r w:rsidR="00C67E38">
        <w:t>1</w:t>
      </w:r>
      <w:r w:rsidR="005E3C13">
        <w:t xml:space="preserve"> above</w:t>
      </w:r>
      <w:r w:rsidRPr="005D065D">
        <w:t>.</w:t>
      </w:r>
      <w:r w:rsidRPr="00543443">
        <w:t xml:space="preserve"> </w:t>
      </w:r>
    </w:p>
    <w:p w:rsidR="00AE2850" w:rsidP="00AE2850" w:rsidRDefault="001363BA" w14:paraId="625C0FA1" w14:textId="65708C5B">
      <w:pPr>
        <w:pStyle w:val="OP"/>
      </w:pPr>
      <w:r>
        <w:t xml:space="preserve">No later than 60 days of the adoption of this decision, Pacific Gas and Electric Company, </w:t>
      </w:r>
      <w:r w:rsidR="00D463F5">
        <w:t>San </w:t>
      </w:r>
      <w:r>
        <w:t>Diego Gas</w:t>
      </w:r>
      <w:r w:rsidR="0038077D">
        <w:t xml:space="preserve"> &amp; </w:t>
      </w:r>
      <w:r>
        <w:t>Electric Company, and Southern California Edison Company (</w:t>
      </w:r>
      <w:r w:rsidRPr="00D9513E" w:rsidR="003D292F">
        <w:t>collectively</w:t>
      </w:r>
      <w:r w:rsidR="003D292F">
        <w:t xml:space="preserve">, </w:t>
      </w:r>
      <w:r w:rsidRPr="00D9513E">
        <w:t>Utilities</w:t>
      </w:r>
      <w:r>
        <w:t xml:space="preserve">) shall </w:t>
      </w:r>
      <w:r w:rsidR="00630617">
        <w:t xml:space="preserve">each submit a Tier 1 Advice Letter </w:t>
      </w:r>
      <w:r>
        <w:t>establish</w:t>
      </w:r>
      <w:r w:rsidR="00630617">
        <w:t>ing</w:t>
      </w:r>
      <w:r>
        <w:t xml:space="preserve"> a balancing account to track the subscriber revenue shares and distribute the appropriate shares through the bill credit described in Ordering </w:t>
      </w:r>
      <w:r w:rsidR="006B06A9">
        <w:t>Paragraph </w:t>
      </w:r>
      <w:r w:rsidR="00FA1732">
        <w:t>1</w:t>
      </w:r>
      <w:r>
        <w:t xml:space="preserve"> above. Utilities shall also use this balancing account to receive and track external funds to supplement eligible projects through the community renewable energy program low</w:t>
      </w:r>
      <w:r w:rsidR="003D6EF8">
        <w:noBreakHyphen/>
      </w:r>
      <w:r>
        <w:t xml:space="preserve">income </w:t>
      </w:r>
      <w:r w:rsidR="00ED2296">
        <w:t>incentive</w:t>
      </w:r>
      <w:r>
        <w:t>.</w:t>
      </w:r>
    </w:p>
    <w:p w:rsidR="00AE2850" w:rsidP="00AE2850" w:rsidRDefault="00A05BFD" w14:paraId="5DDB9186" w14:textId="2D689FDD">
      <w:pPr>
        <w:pStyle w:val="OP"/>
      </w:pPr>
      <w:r>
        <w:t xml:space="preserve">In its next </w:t>
      </w:r>
      <w:r w:rsidR="00440785">
        <w:t>Tier 2</w:t>
      </w:r>
      <w:r>
        <w:t xml:space="preserve"> Disadvantaged Community Green Tariff (DAC</w:t>
      </w:r>
      <w:r w:rsidR="003D6EF8">
        <w:noBreakHyphen/>
      </w:r>
      <w:r>
        <w:t>GT) Annual Budget Advice Letter</w:t>
      </w:r>
      <w:r w:rsidR="00033DC0">
        <w:t xml:space="preserve">, </w:t>
      </w:r>
      <w:r>
        <w:t xml:space="preserve">required by </w:t>
      </w:r>
      <w:r w:rsidR="00440785">
        <w:t>Resolution </w:t>
      </w:r>
      <w:r>
        <w:t>E</w:t>
      </w:r>
      <w:r w:rsidR="003D6EF8">
        <w:noBreakHyphen/>
      </w:r>
      <w:r>
        <w:t xml:space="preserve">4999 and due on </w:t>
      </w:r>
      <w:r w:rsidR="00ED2296">
        <w:t>April </w:t>
      </w:r>
      <w:r>
        <w:t>1, 2025</w:t>
      </w:r>
      <w:r w:rsidR="001363BA">
        <w:t xml:space="preserve">, Pacific Gas and Electric Company </w:t>
      </w:r>
      <w:r>
        <w:t xml:space="preserve">(PG&amp;E) </w:t>
      </w:r>
      <w:r w:rsidR="001363BA">
        <w:t xml:space="preserve">shall </w:t>
      </w:r>
      <w:r w:rsidRPr="00867D68" w:rsidR="001363BA">
        <w:t xml:space="preserve">provide a detailed scope </w:t>
      </w:r>
      <w:r w:rsidRPr="00867D68" w:rsidR="001363BA">
        <w:lastRenderedPageBreak/>
        <w:t xml:space="preserve">and cost estimate of developing a fully automated billing solution for </w:t>
      </w:r>
      <w:r w:rsidR="001363BA">
        <w:t>Community Choice Aggregat</w:t>
      </w:r>
      <w:r w:rsidR="00FA0994">
        <w:t>or</w:t>
      </w:r>
      <w:r w:rsidRPr="00867D68" w:rsidR="001363BA">
        <w:t xml:space="preserve"> customers </w:t>
      </w:r>
      <w:r w:rsidR="001363BA">
        <w:t xml:space="preserve">enrolled in the modified </w:t>
      </w:r>
      <w:r>
        <w:t>DAC</w:t>
      </w:r>
      <w:r w:rsidR="003D6EF8">
        <w:noBreakHyphen/>
      </w:r>
      <w:r>
        <w:t>GT</w:t>
      </w:r>
      <w:r w:rsidR="001363BA">
        <w:t>. The proposed billing solution shall</w:t>
      </w:r>
      <w:r w:rsidRPr="00867D68" w:rsidR="001363BA">
        <w:t xml:space="preserve"> follow the same billing process that is provided to participating </w:t>
      </w:r>
      <w:r w:rsidRPr="00FA1732">
        <w:t xml:space="preserve">PG&amp;E </w:t>
      </w:r>
      <w:r w:rsidRPr="00FA1732" w:rsidR="001363BA">
        <w:t>customers.</w:t>
      </w:r>
      <w:r w:rsidRPr="006C36A5">
        <w:t xml:space="preserve"> The filing shall also describe how PG&amp;E</w:t>
      </w:r>
      <w:r w:rsidR="00440785">
        <w:t>’</w:t>
      </w:r>
      <w:r w:rsidRPr="006C36A5">
        <w:t>s billing implementation efforts here would be integrated into PG&amp;E</w:t>
      </w:r>
      <w:r w:rsidR="00440785">
        <w:t>’</w:t>
      </w:r>
      <w:r w:rsidRPr="006C36A5">
        <w:t>s ongoing billing system upgrades.</w:t>
      </w:r>
    </w:p>
    <w:p w:rsidR="00AE2850" w:rsidP="00AE2850" w:rsidRDefault="001363BA" w14:paraId="46C176ED" w14:textId="404B705A">
      <w:pPr>
        <w:pStyle w:val="OP"/>
        <w:rPr>
          <w:rFonts w:cstheme="minorHAnsi"/>
          <w:color w:val="000000"/>
        </w:rPr>
      </w:pPr>
      <w:r>
        <w:t xml:space="preserve">Energy Division is authorized to hire a consultant to develop a statewide website for the </w:t>
      </w:r>
      <w:r w:rsidR="007554E9">
        <w:t>Commission</w:t>
      </w:r>
      <w:r w:rsidR="00440785">
        <w:t>’</w:t>
      </w:r>
      <w:r w:rsidR="007554E9">
        <w:t>s p</w:t>
      </w:r>
      <w:r>
        <w:t>ortfolio</w:t>
      </w:r>
      <w:r w:rsidR="007554E9">
        <w:t xml:space="preserve"> of renewable energy programs adopted in this decision</w:t>
      </w:r>
      <w:r>
        <w:t xml:space="preserve">, subject to budget appropriation. The objective of the website is to assist in overcoming barriers in customer and project developer awareness of the tariffs in the portfolio. Energy Division is </w:t>
      </w:r>
      <w:r w:rsidRPr="00AE2850">
        <w:rPr>
          <w:rFonts w:cstheme="minorHAnsi"/>
          <w:color w:val="000000"/>
        </w:rPr>
        <w:t>authorized to provide early access to a draft version of the website and related content to this service list for informal party and other stakeholder comment to ensure the webpages are clear and complete.</w:t>
      </w:r>
    </w:p>
    <w:p w:rsidR="00AE2850" w:rsidP="00AE2850" w:rsidRDefault="001363BA" w14:paraId="076A9E9A" w14:textId="13F85223">
      <w:pPr>
        <w:pStyle w:val="OP"/>
      </w:pPr>
      <w:r>
        <w:t xml:space="preserve">Energy Division is authorized to </w:t>
      </w:r>
      <w:r w:rsidR="00A05BFD">
        <w:t>develop and issue a Request for Proposal for</w:t>
      </w:r>
      <w:r>
        <w:t xml:space="preserve"> an independent consultant </w:t>
      </w:r>
      <w:r w:rsidR="00A05BFD">
        <w:t xml:space="preserve">with expertise in evaluation methods and processes </w:t>
      </w:r>
      <w:r>
        <w:t>to conduct evaluation</w:t>
      </w:r>
      <w:r w:rsidR="00FA1732">
        <w:t>s</w:t>
      </w:r>
      <w:r w:rsidR="00A05BFD">
        <w:t xml:space="preserve"> of the modified Green Tariff </w:t>
      </w:r>
      <w:r w:rsidR="007554E9">
        <w:t xml:space="preserve">program </w:t>
      </w:r>
      <w:r w:rsidR="00A05BFD">
        <w:t>and new community renewable energy program</w:t>
      </w:r>
      <w:r>
        <w:t xml:space="preserve">. </w:t>
      </w:r>
      <w:r w:rsidR="00A05BFD">
        <w:t xml:space="preserve">The Disadvantaged Communities Green Tariff </w:t>
      </w:r>
      <w:r w:rsidR="003233A9">
        <w:t xml:space="preserve">(DAC-GT) </w:t>
      </w:r>
      <w:r w:rsidR="00A05BFD">
        <w:t xml:space="preserve">evaluation </w:t>
      </w:r>
      <w:r w:rsidR="00053062">
        <w:t>schedule</w:t>
      </w:r>
      <w:r w:rsidR="00FA1732">
        <w:t>, as</w:t>
      </w:r>
      <w:r w:rsidR="00A05BFD">
        <w:t xml:space="preserve"> ordered in </w:t>
      </w:r>
      <w:r w:rsidR="00053062">
        <w:t>Decision</w:t>
      </w:r>
      <w:r w:rsidR="005A1269">
        <w:t> </w:t>
      </w:r>
      <w:r w:rsidR="00053062">
        <w:t>18</w:t>
      </w:r>
      <w:r w:rsidR="003D6EF8">
        <w:noBreakHyphen/>
      </w:r>
      <w:r w:rsidR="00053062">
        <w:t>06</w:t>
      </w:r>
      <w:r w:rsidR="003D6EF8">
        <w:noBreakHyphen/>
      </w:r>
      <w:r w:rsidR="00053062">
        <w:t>027</w:t>
      </w:r>
      <w:r w:rsidR="00FA1732">
        <w:t xml:space="preserve">, </w:t>
      </w:r>
      <w:r w:rsidR="00053062">
        <w:t>is revised to align with the evaluation</w:t>
      </w:r>
      <w:r w:rsidR="00FA1732">
        <w:t>s</w:t>
      </w:r>
      <w:r w:rsidR="00053062">
        <w:t xml:space="preserve"> ordered here. </w:t>
      </w:r>
      <w:r w:rsidR="003233A9">
        <w:t xml:space="preserve">Funding for the DAC-GT </w:t>
      </w:r>
      <w:r w:rsidR="00EF778E">
        <w:t xml:space="preserve">evaluation </w:t>
      </w:r>
      <w:r w:rsidR="003233A9">
        <w:t xml:space="preserve">shall </w:t>
      </w:r>
      <w:r w:rsidR="00D91127">
        <w:t xml:space="preserve">continue to </w:t>
      </w:r>
      <w:r w:rsidR="003233A9">
        <w:t xml:space="preserve">be shared by Pacific Gas and Electric Company (PG&amp;E), San Diego Gas &amp; Electric Company (SDG&amp;E), and Southern California Edison Company </w:t>
      </w:r>
      <w:r w:rsidR="006E45F2">
        <w:t>(</w:t>
      </w:r>
      <w:r w:rsidR="003233A9">
        <w:t>SCE</w:t>
      </w:r>
      <w:r w:rsidR="006E45F2">
        <w:t>)</w:t>
      </w:r>
      <w:r w:rsidR="003233A9">
        <w:t xml:space="preserve"> in proportion to their share of capacity for the DAC-GT as follows: 50 percent for PG&amp;E, 40 percent for SCE, and 10 percent for SDG&amp;E. </w:t>
      </w:r>
      <w:r>
        <w:t>The evaluation</w:t>
      </w:r>
      <w:r w:rsidR="00FA1732">
        <w:t>s</w:t>
      </w:r>
      <w:r>
        <w:t xml:space="preserve"> shall be completed, and results (including recommendations) shared with the service list no later than three years from the </w:t>
      </w:r>
      <w:r w:rsidR="00C02916">
        <w:t xml:space="preserve">adoption </w:t>
      </w:r>
      <w:r>
        <w:t xml:space="preserve">of this decision. </w:t>
      </w:r>
      <w:r>
        <w:lastRenderedPageBreak/>
        <w:t>Parties will be provided an opportunity to comment on the results of the evaluation</w:t>
      </w:r>
      <w:r w:rsidR="00FA1732">
        <w:t>s</w:t>
      </w:r>
      <w:r>
        <w:t xml:space="preserve"> and potential next steps.</w:t>
      </w:r>
      <w:r w:rsidR="00053062">
        <w:t xml:space="preserve"> No later than 90 days following the effective date of the contract or agreement with the selected consultant or consultants, the consultant(s) under the direction of the Energy Division, should facilitate a workshop with parties to discuss the objectives, methodology, and metrics for the evaluation</w:t>
      </w:r>
      <w:r w:rsidR="00FA1732">
        <w:t>s</w:t>
      </w:r>
      <w:r w:rsidR="00053062">
        <w:t>.</w:t>
      </w:r>
    </w:p>
    <w:p w:rsidR="001363BA" w:rsidP="00152A24" w:rsidRDefault="001363BA" w14:paraId="4E6EDE98" w14:textId="21BC09E6">
      <w:pPr>
        <w:pStyle w:val="OP"/>
        <w:keepNext/>
      </w:pPr>
      <w:r w:rsidRPr="00D9513E">
        <w:t>Application</w:t>
      </w:r>
      <w:r>
        <w:t xml:space="preserve"> (</w:t>
      </w:r>
      <w:r w:rsidRPr="00D9513E">
        <w:t>A.</w:t>
      </w:r>
      <w:r>
        <w:t>)</w:t>
      </w:r>
      <w:r w:rsidR="00A27BC5">
        <w:t> </w:t>
      </w:r>
      <w:r>
        <w:t>22</w:t>
      </w:r>
      <w:r w:rsidR="003D6EF8">
        <w:noBreakHyphen/>
      </w:r>
      <w:r>
        <w:t>05</w:t>
      </w:r>
      <w:r w:rsidR="003D6EF8">
        <w:noBreakHyphen/>
      </w:r>
      <w:r>
        <w:t>022, A.22</w:t>
      </w:r>
      <w:r w:rsidR="003D6EF8">
        <w:noBreakHyphen/>
      </w:r>
      <w:r>
        <w:t>05</w:t>
      </w:r>
      <w:r w:rsidR="003D6EF8">
        <w:noBreakHyphen/>
      </w:r>
      <w:r>
        <w:t>023, and A.22</w:t>
      </w:r>
      <w:r w:rsidR="003D6EF8">
        <w:noBreakHyphen/>
      </w:r>
      <w:r>
        <w:t>05</w:t>
      </w:r>
      <w:r w:rsidR="003D6EF8">
        <w:noBreakHyphen/>
      </w:r>
      <w:r>
        <w:t>024 remain open to address further implementation issues related to the California Shared Renewables Portfolio of tariffs.</w:t>
      </w:r>
    </w:p>
    <w:p w:rsidR="008F0116" w:rsidP="00152A24" w:rsidRDefault="008F0116" w14:paraId="1500653D" w14:textId="77777777">
      <w:pPr>
        <w:pStyle w:val="Standard"/>
        <w:keepNext/>
      </w:pPr>
      <w:r>
        <w:t>This order is effective today.</w:t>
      </w:r>
    </w:p>
    <w:p w:rsidR="00714CF2" w:rsidP="00152A24" w:rsidRDefault="008F0116" w14:paraId="4B38960C" w14:textId="54808820">
      <w:pPr>
        <w:pStyle w:val="Standard"/>
        <w:keepNext/>
      </w:pPr>
      <w:r>
        <w:t xml:space="preserve">Dated </w:t>
      </w:r>
      <w:r w:rsidR="00F24375">
        <w:t>May 30, 2024</w:t>
      </w:r>
      <w:r>
        <w:t xml:space="preserve">, at </w:t>
      </w:r>
      <w:r w:rsidR="005A48B3">
        <w:t>Sacramento</w:t>
      </w:r>
      <w:r>
        <w:t>, California</w:t>
      </w:r>
      <w:r w:rsidR="00EF471A">
        <w:t>.</w:t>
      </w:r>
    </w:p>
    <w:p w:rsidRPr="00630EBF" w:rsidR="00F24375" w:rsidP="00F24375" w:rsidRDefault="00F24375" w14:paraId="5A3FCFC8" w14:textId="77777777">
      <w:pPr>
        <w:pStyle w:val="SigSpaceBA"/>
      </w:pPr>
    </w:p>
    <w:p w:rsidRPr="00630EBF" w:rsidR="00F24375" w:rsidP="00F24375" w:rsidRDefault="00F24375" w14:paraId="5D13057E" w14:textId="77777777">
      <w:pPr>
        <w:pStyle w:val="SigBlockBA-Cmr"/>
      </w:pPr>
      <w:r w:rsidRPr="00630EBF">
        <w:t>ALICE REYNOLDS</w:t>
      </w:r>
    </w:p>
    <w:p w:rsidRPr="00630EBF" w:rsidR="00F24375" w:rsidP="00F24375" w:rsidRDefault="00F24375" w14:paraId="3DC6AACF" w14:textId="77777777">
      <w:pPr>
        <w:pStyle w:val="SigBlockBA-Title"/>
      </w:pPr>
      <w:r w:rsidRPr="00630EBF">
        <w:t>President</w:t>
      </w:r>
    </w:p>
    <w:p w:rsidRPr="00630EBF" w:rsidR="00F24375" w:rsidP="00F24375" w:rsidRDefault="00F24375" w14:paraId="0993A098" w14:textId="77777777">
      <w:pPr>
        <w:pStyle w:val="SigBlockBA-Cmr"/>
      </w:pPr>
      <w:r w:rsidRPr="00630EBF">
        <w:t>JOHN REYNOLDS</w:t>
      </w:r>
    </w:p>
    <w:p w:rsidRPr="00630EBF" w:rsidR="00F24375" w:rsidP="00F24375" w:rsidRDefault="00F24375" w14:paraId="7F848F14" w14:textId="77777777">
      <w:pPr>
        <w:pStyle w:val="SigBlockBA-Cmr"/>
      </w:pPr>
      <w:r w:rsidRPr="00630EBF">
        <w:t>KAREN DOUGLAS</w:t>
      </w:r>
    </w:p>
    <w:p w:rsidRPr="00132251" w:rsidR="00F24375" w:rsidP="00F24375" w:rsidRDefault="00F24375" w14:paraId="1B71E462" w14:textId="77777777">
      <w:pPr>
        <w:pStyle w:val="SigBlockBA-Title"/>
      </w:pPr>
      <w:r w:rsidRPr="00132251">
        <w:t>Commissioners</w:t>
      </w:r>
    </w:p>
    <w:p w:rsidRPr="008F5B2D" w:rsidR="00F24375" w:rsidP="00833710" w:rsidRDefault="00F24375" w14:paraId="7B534FA7" w14:textId="77777777">
      <w:pPr>
        <w:pStyle w:val="SigBlockBA-Cmr"/>
      </w:pPr>
    </w:p>
    <w:p w:rsidR="00B30793" w:rsidP="00B30793" w:rsidRDefault="00F24375" w14:paraId="33FDD93E" w14:textId="499FD220">
      <w:pPr>
        <w:pStyle w:val="SigBlockBA-Cmr"/>
      </w:pPr>
      <w:r w:rsidRPr="007248BC">
        <w:t xml:space="preserve">Commissioner </w:t>
      </w:r>
      <w:r>
        <w:t>Matthew Baker</w:t>
      </w:r>
      <w:r w:rsidRPr="007248BC">
        <w:t>,</w:t>
      </w:r>
      <w:r w:rsidR="005C3A3A">
        <w:br/>
      </w:r>
      <w:r w:rsidRPr="007248BC">
        <w:t>being absent, did not participate.</w:t>
      </w:r>
    </w:p>
    <w:p w:rsidR="00CF5B3E" w:rsidP="00314506" w:rsidRDefault="00CF5B3E" w14:paraId="33107637" w14:textId="77777777">
      <w:pPr>
        <w:keepNext/>
        <w:autoSpaceDE w:val="0"/>
        <w:autoSpaceDN w:val="0"/>
        <w:adjustRightInd w:val="0"/>
        <w:spacing w:line="240" w:lineRule="auto"/>
        <w:ind w:firstLine="0"/>
        <w:rPr>
          <w:rFonts w:cs="Times New Roman"/>
          <w:szCs w:val="20"/>
        </w:rPr>
      </w:pPr>
    </w:p>
    <w:p w:rsidR="00CF5B3E" w:rsidP="00314506" w:rsidRDefault="00CF5B3E" w14:paraId="58A6F4DC" w14:textId="77777777">
      <w:pPr>
        <w:keepNext/>
        <w:autoSpaceDE w:val="0"/>
        <w:autoSpaceDN w:val="0"/>
        <w:adjustRightInd w:val="0"/>
        <w:spacing w:line="240" w:lineRule="auto"/>
        <w:ind w:firstLine="0"/>
        <w:rPr>
          <w:rFonts w:cs="Times New Roman"/>
          <w:szCs w:val="20"/>
        </w:rPr>
      </w:pPr>
    </w:p>
    <w:p w:rsidRPr="00630EBF" w:rsidR="00314506" w:rsidP="00314506" w:rsidRDefault="00314506" w14:paraId="4F07BE89" w14:textId="1993DD8C">
      <w:pPr>
        <w:keepNext/>
        <w:autoSpaceDE w:val="0"/>
        <w:autoSpaceDN w:val="0"/>
        <w:adjustRightInd w:val="0"/>
        <w:spacing w:line="240" w:lineRule="auto"/>
        <w:ind w:firstLine="0"/>
        <w:rPr>
          <w:rFonts w:cs="Times New Roman"/>
          <w:szCs w:val="20"/>
        </w:rPr>
      </w:pPr>
      <w:r w:rsidRPr="00630EBF">
        <w:rPr>
          <w:rFonts w:cs="Times New Roman"/>
          <w:szCs w:val="20"/>
        </w:rPr>
        <w:t xml:space="preserve">I </w:t>
      </w:r>
      <w:r w:rsidRPr="00314506">
        <w:rPr>
          <w:rFonts w:cs="Times New Roman"/>
          <w:szCs w:val="20"/>
        </w:rPr>
        <w:t>reserve the right to file a dissent</w:t>
      </w:r>
      <w:r w:rsidRPr="00630EBF">
        <w:rPr>
          <w:rFonts w:cs="Times New Roman"/>
          <w:szCs w:val="20"/>
        </w:rPr>
        <w:t>.</w:t>
      </w:r>
    </w:p>
    <w:p w:rsidRPr="00630EBF" w:rsidR="00314506" w:rsidP="00314506" w:rsidRDefault="00314506" w14:paraId="77255E8A" w14:textId="77777777">
      <w:pPr>
        <w:keepNext/>
        <w:autoSpaceDE w:val="0"/>
        <w:autoSpaceDN w:val="0"/>
        <w:adjustRightInd w:val="0"/>
        <w:spacing w:line="240" w:lineRule="auto"/>
        <w:ind w:firstLine="0"/>
        <w:rPr>
          <w:rFonts w:cs="Times New Roman"/>
          <w:szCs w:val="20"/>
        </w:rPr>
      </w:pPr>
    </w:p>
    <w:p w:rsidRPr="00B87E34" w:rsidR="00314506" w:rsidP="00314506" w:rsidRDefault="00314506" w14:paraId="6FA8CCFD" w14:textId="77777777">
      <w:pPr>
        <w:keepNext/>
        <w:tabs>
          <w:tab w:val="left" w:pos="3888"/>
        </w:tabs>
        <w:spacing w:line="240" w:lineRule="auto"/>
        <w:ind w:firstLine="0"/>
        <w:rPr>
          <w:szCs w:val="20"/>
          <w:u w:val="single"/>
        </w:rPr>
      </w:pPr>
      <w:r w:rsidRPr="00630EBF">
        <w:rPr>
          <w:szCs w:val="20"/>
          <w:u w:val="single"/>
        </w:rPr>
        <w:t>/s/  DARCIE L. HOUCK</w:t>
      </w:r>
      <w:r w:rsidRPr="00B87E34">
        <w:rPr>
          <w:szCs w:val="20"/>
          <w:u w:val="single"/>
        </w:rPr>
        <w:tab/>
      </w:r>
    </w:p>
    <w:p w:rsidRPr="00B87E34" w:rsidR="00314506" w:rsidP="00314506" w:rsidRDefault="00314506" w14:paraId="39CD05AA" w14:textId="77777777">
      <w:pPr>
        <w:keepNext/>
        <w:spacing w:line="240" w:lineRule="auto"/>
        <w:ind w:firstLine="0"/>
        <w:rPr>
          <w:szCs w:val="20"/>
        </w:rPr>
      </w:pPr>
      <w:r w:rsidRPr="00265545">
        <w:rPr>
          <w:szCs w:val="20"/>
        </w:rPr>
        <w:t>Darcie L. Houck</w:t>
      </w:r>
    </w:p>
    <w:p w:rsidR="00314506" w:rsidP="00314506" w:rsidRDefault="00314506" w14:paraId="095F1910" w14:textId="77777777">
      <w:pPr>
        <w:spacing w:line="240" w:lineRule="auto"/>
        <w:ind w:firstLine="0"/>
      </w:pPr>
      <w:r>
        <w:rPr>
          <w:szCs w:val="20"/>
        </w:rPr>
        <w:t>Commissioner</w:t>
      </w:r>
    </w:p>
    <w:p w:rsidR="00EF471A" w:rsidP="0072022A" w:rsidRDefault="00EF471A" w14:paraId="4DD0B04B" w14:textId="41F7B2D5">
      <w:pPr>
        <w:spacing w:line="240" w:lineRule="auto"/>
        <w:ind w:firstLine="0"/>
      </w:pPr>
    </w:p>
    <w:p w:rsidR="00EF471A" w:rsidP="00816E05" w:rsidRDefault="00EF471A" w14:paraId="4E6E3BEE" w14:textId="77777777">
      <w:pPr>
        <w:sectPr w:rsidR="00EF471A" w:rsidSect="00C73908">
          <w:pgSz w:w="12240" w:h="15840"/>
          <w:pgMar w:top="1728" w:right="1440" w:bottom="1440" w:left="1440" w:header="720" w:footer="720" w:gutter="0"/>
          <w:pgNumType w:start="2"/>
          <w:cols w:space="720"/>
          <w:docGrid w:linePitch="360"/>
        </w:sectPr>
      </w:pPr>
    </w:p>
    <w:p w:rsidRPr="00F80350" w:rsidR="00C153F2" w:rsidP="00C153F2" w:rsidRDefault="00C153F2" w14:paraId="688FD5B6" w14:textId="77777777">
      <w:pPr>
        <w:keepNext/>
        <w:spacing w:after="240" w:line="240" w:lineRule="auto"/>
        <w:ind w:firstLine="0"/>
        <w:jc w:val="center"/>
        <w:rPr>
          <w:rFonts w:eastAsia="Arial" w:cs="Arial"/>
          <w:b/>
          <w:bCs/>
          <w:szCs w:val="26"/>
        </w:rPr>
      </w:pPr>
      <w:r>
        <w:rPr>
          <w:rFonts w:eastAsia="Arial" w:cs="Arial"/>
          <w:b/>
          <w:bCs/>
          <w:szCs w:val="26"/>
        </w:rPr>
        <w:lastRenderedPageBreak/>
        <w:t xml:space="preserve">Concurrence and Dissent </w:t>
      </w:r>
      <w:r w:rsidRPr="00F80350">
        <w:rPr>
          <w:rFonts w:eastAsia="Arial" w:cs="Arial"/>
          <w:b/>
          <w:bCs/>
          <w:szCs w:val="26"/>
        </w:rPr>
        <w:t>of Commissioner Darcie L. Houck</w:t>
      </w:r>
    </w:p>
    <w:p w:rsidRPr="007A3401" w:rsidR="00C153F2" w:rsidP="00C153F2" w:rsidRDefault="00C153F2" w14:paraId="268D2F21" w14:textId="77777777">
      <w:pPr>
        <w:keepNext/>
        <w:spacing w:after="240" w:line="240" w:lineRule="auto"/>
        <w:ind w:firstLine="0"/>
        <w:jc w:val="center"/>
        <w:rPr>
          <w:rFonts w:eastAsia="Arial" w:cs="Arial"/>
          <w:b/>
          <w:bCs/>
          <w:i/>
          <w:iCs/>
          <w:szCs w:val="26"/>
        </w:rPr>
      </w:pPr>
      <w:r w:rsidRPr="007A3401">
        <w:rPr>
          <w:rFonts w:eastAsia="Arial" w:cs="Arial"/>
          <w:b/>
          <w:bCs/>
          <w:i/>
          <w:iCs/>
          <w:szCs w:val="26"/>
        </w:rPr>
        <w:t>DECISION MODIFYING GREEN ACCESS PROGRAM TARIFFS AND ADOPTING A COMMUNITY RENEWABLE ENERGY PROGRAM</w:t>
      </w:r>
    </w:p>
    <w:p w:rsidR="00C153F2" w:rsidP="00982390" w:rsidRDefault="00C153F2" w14:paraId="21A6727D" w14:textId="0F42F68A">
      <w:pPr>
        <w:pStyle w:val="BodyDiss"/>
      </w:pPr>
      <w:r w:rsidRPr="007A3401">
        <w:t>The decision evaluates current customer renewable energy subscription programs, also known as Green Access Program tariffs, and rejects the proposed community solar program, identified as the Net Value Billing Tariff (</w:t>
      </w:r>
      <w:proofErr w:type="spellStart"/>
      <w:r w:rsidRPr="007A3401">
        <w:t>NVBT</w:t>
      </w:r>
      <w:proofErr w:type="spellEnd"/>
      <w:r w:rsidRPr="007A3401">
        <w:t>)</w:t>
      </w:r>
      <w:r>
        <w:t xml:space="preserve"> and adopts a new program identified as the Community Renewable Energy (CRE) program</w:t>
      </w:r>
      <w:r w:rsidRPr="007A3401">
        <w:t xml:space="preserve">.  For the reasons explained below, I respectfully </w:t>
      </w:r>
      <w:r>
        <w:t xml:space="preserve">concur in part and </w:t>
      </w:r>
      <w:r w:rsidRPr="007A3401">
        <w:t>dissent</w:t>
      </w:r>
      <w:r>
        <w:t xml:space="preserve"> as to the Community Renewable Energy (CRE) Program</w:t>
      </w:r>
      <w:r w:rsidRPr="007A3401">
        <w:t>.</w:t>
      </w:r>
      <w:r>
        <w:rPr>
          <w:rStyle w:val="FootnoteReference"/>
          <w:rFonts w:eastAsia="Book Antiqua" w:cs="Book Antiqua"/>
          <w:szCs w:val="26"/>
        </w:rPr>
        <w:footnoteReference w:id="386"/>
      </w:r>
    </w:p>
    <w:p w:rsidR="00C153F2" w:rsidP="00982390" w:rsidRDefault="00C153F2" w14:paraId="7FA9E163" w14:textId="2A1174B5">
      <w:pPr>
        <w:pStyle w:val="BodyDiss"/>
        <w:rPr>
          <w:szCs w:val="26"/>
        </w:rPr>
      </w:pPr>
      <w:r w:rsidRPr="0049642F">
        <w:rPr>
          <w:szCs w:val="26"/>
        </w:rPr>
        <w:t xml:space="preserve">I believe Community Solar has the potential to be a critical tool in ensuring an equitable clean energy transition. I </w:t>
      </w:r>
      <w:r w:rsidRPr="00982390">
        <w:t>understand</w:t>
      </w:r>
      <w:r w:rsidRPr="0049642F">
        <w:rPr>
          <w:szCs w:val="26"/>
        </w:rPr>
        <w:t xml:space="preserve"> that many considerations </w:t>
      </w:r>
      <w:r>
        <w:rPr>
          <w:szCs w:val="26"/>
        </w:rPr>
        <w:t xml:space="preserve">were balanced and as a </w:t>
      </w:r>
      <w:r w:rsidRPr="0049642F">
        <w:rPr>
          <w:szCs w:val="26"/>
        </w:rPr>
        <w:t>result</w:t>
      </w:r>
      <w:r>
        <w:rPr>
          <w:szCs w:val="26"/>
        </w:rPr>
        <w:t xml:space="preserve"> we now have the CRE program</w:t>
      </w:r>
      <w:r w:rsidRPr="0049642F">
        <w:rPr>
          <w:szCs w:val="26"/>
        </w:rPr>
        <w:t>.  I also believe that the assigned office and Commission staff worked very hard to balance many competing interests.  However, in my opinion, the program needs more work to ensure benefits from Community Solar are realized for all California ratepayers.  California is a global leader in the clean energy transition, and we have an opportunity here to develop a cost</w:t>
      </w:r>
      <w:r>
        <w:rPr>
          <w:szCs w:val="26"/>
        </w:rPr>
        <w:t>-</w:t>
      </w:r>
      <w:r w:rsidRPr="0049642F">
        <w:rPr>
          <w:szCs w:val="26"/>
        </w:rPr>
        <w:t>effective, equitable, program that could provide reliability, resiliency, and affordability benefits for California</w:t>
      </w:r>
      <w:r w:rsidR="001D1C5C">
        <w:rPr>
          <w:szCs w:val="26"/>
        </w:rPr>
        <w:t> </w:t>
      </w:r>
      <w:r>
        <w:rPr>
          <w:szCs w:val="26"/>
        </w:rPr>
        <w:t>—</w:t>
      </w:r>
      <w:r w:rsidR="001D1C5C">
        <w:rPr>
          <w:szCs w:val="26"/>
        </w:rPr>
        <w:t xml:space="preserve"> </w:t>
      </w:r>
      <w:r>
        <w:rPr>
          <w:szCs w:val="26"/>
        </w:rPr>
        <w:t xml:space="preserve">specifically </w:t>
      </w:r>
      <w:r w:rsidRPr="0049642F">
        <w:rPr>
          <w:szCs w:val="26"/>
        </w:rPr>
        <w:t>to some of California’s most vulnerable populations.</w:t>
      </w:r>
      <w:r>
        <w:rPr>
          <w:rStyle w:val="FootnoteReference"/>
          <w:szCs w:val="26"/>
        </w:rPr>
        <w:footnoteReference w:id="387"/>
      </w:r>
    </w:p>
    <w:p w:rsidRPr="007A3401" w:rsidR="00C153F2" w:rsidP="006130AA" w:rsidRDefault="00C153F2" w14:paraId="33388C46" w14:textId="77777777">
      <w:pPr>
        <w:pStyle w:val="Section"/>
        <w:rPr>
          <w:rFonts w:eastAsia="Arial" w:cs="Arial"/>
          <w:b w:val="0"/>
        </w:rPr>
      </w:pPr>
      <w:r>
        <w:rPr>
          <w:rFonts w:eastAsia="Arial" w:cs="Arial"/>
        </w:rPr>
        <w:t>Environmental and Social Justice Concerns</w:t>
      </w:r>
    </w:p>
    <w:p w:rsidRPr="007A3401" w:rsidR="00C153F2" w:rsidP="00982390" w:rsidRDefault="00C153F2" w14:paraId="54B0AA90" w14:textId="77777777">
      <w:pPr>
        <w:pStyle w:val="BodyDiss"/>
        <w:rPr>
          <w:szCs w:val="26"/>
        </w:rPr>
      </w:pPr>
      <w:r>
        <w:rPr>
          <w:szCs w:val="26"/>
        </w:rPr>
        <w:t xml:space="preserve">Community solar presents an opportunity </w:t>
      </w:r>
      <w:r w:rsidRPr="00C35B7C">
        <w:rPr>
          <w:szCs w:val="26"/>
        </w:rPr>
        <w:t>that has great potential for furthering a just and equitable energy transition</w:t>
      </w:r>
      <w:r>
        <w:rPr>
          <w:szCs w:val="26"/>
        </w:rPr>
        <w:t xml:space="preserve">.  It </w:t>
      </w:r>
      <w:r w:rsidRPr="00C35B7C">
        <w:rPr>
          <w:szCs w:val="26"/>
        </w:rPr>
        <w:t xml:space="preserve">could further </w:t>
      </w:r>
      <w:r>
        <w:rPr>
          <w:szCs w:val="26"/>
        </w:rPr>
        <w:t xml:space="preserve">reliable, </w:t>
      </w:r>
      <w:r w:rsidRPr="00C35B7C">
        <w:rPr>
          <w:szCs w:val="26"/>
        </w:rPr>
        <w:t xml:space="preserve">resilient energy systems for all Californians. Community solar programs, </w:t>
      </w:r>
      <w:r>
        <w:rPr>
          <w:szCs w:val="26"/>
        </w:rPr>
        <w:t xml:space="preserve">have the potential to </w:t>
      </w:r>
      <w:r w:rsidRPr="00C35B7C">
        <w:rPr>
          <w:szCs w:val="26"/>
        </w:rPr>
        <w:t xml:space="preserve">provide benefits for all ratepayers, and particularly for environmental and social justice </w:t>
      </w:r>
      <w:r>
        <w:rPr>
          <w:szCs w:val="26"/>
        </w:rPr>
        <w:t>(</w:t>
      </w:r>
      <w:proofErr w:type="spellStart"/>
      <w:r>
        <w:rPr>
          <w:szCs w:val="26"/>
        </w:rPr>
        <w:t>ESJ</w:t>
      </w:r>
      <w:proofErr w:type="spellEnd"/>
      <w:r>
        <w:rPr>
          <w:szCs w:val="26"/>
        </w:rPr>
        <w:t>)</w:t>
      </w:r>
      <w:r w:rsidRPr="00C35B7C">
        <w:rPr>
          <w:szCs w:val="26"/>
        </w:rPr>
        <w:t xml:space="preserve"> </w:t>
      </w:r>
      <w:r>
        <w:rPr>
          <w:szCs w:val="26"/>
        </w:rPr>
        <w:t xml:space="preserve">and Tribal </w:t>
      </w:r>
      <w:r w:rsidRPr="00C35B7C">
        <w:rPr>
          <w:szCs w:val="26"/>
        </w:rPr>
        <w:t xml:space="preserve">communities, which </w:t>
      </w:r>
      <w:r>
        <w:rPr>
          <w:szCs w:val="26"/>
        </w:rPr>
        <w:t>advance</w:t>
      </w:r>
      <w:r w:rsidRPr="00C35B7C">
        <w:rPr>
          <w:szCs w:val="26"/>
        </w:rPr>
        <w:t xml:space="preserve"> our </w:t>
      </w:r>
      <w:proofErr w:type="spellStart"/>
      <w:r w:rsidRPr="00C35B7C">
        <w:rPr>
          <w:szCs w:val="26"/>
        </w:rPr>
        <w:t>ESJ</w:t>
      </w:r>
      <w:proofErr w:type="spellEnd"/>
      <w:r w:rsidRPr="00C35B7C">
        <w:rPr>
          <w:szCs w:val="26"/>
        </w:rPr>
        <w:t xml:space="preserve"> Action Plan 2.0 policy goals</w:t>
      </w:r>
      <w:r>
        <w:rPr>
          <w:szCs w:val="26"/>
        </w:rPr>
        <w:t xml:space="preserve">.  I have concerns that the adopted CRE program does not achieve the benefits that a community solar program should be designed to achieve.  As explained below, a community solar program that includes both locational and system benefit requirements can be a significant tool for providing safe, reliable and affordable energy to </w:t>
      </w:r>
      <w:proofErr w:type="spellStart"/>
      <w:r>
        <w:rPr>
          <w:szCs w:val="26"/>
        </w:rPr>
        <w:t>ESJ</w:t>
      </w:r>
      <w:proofErr w:type="spellEnd"/>
      <w:r>
        <w:rPr>
          <w:szCs w:val="26"/>
        </w:rPr>
        <w:t xml:space="preserve"> and Tribal communities.</w:t>
      </w:r>
    </w:p>
    <w:p w:rsidR="00C153F2" w:rsidP="006130AA" w:rsidRDefault="00C153F2" w14:paraId="6A348C24" w14:textId="77777777">
      <w:pPr>
        <w:pStyle w:val="Section"/>
      </w:pPr>
      <w:r>
        <w:lastRenderedPageBreak/>
        <w:t>Community Solar Programs do not Conflict with Federal Law</w:t>
      </w:r>
    </w:p>
    <w:p w:rsidRPr="005B1876" w:rsidR="00C153F2" w:rsidP="00982390" w:rsidRDefault="00C153F2" w14:paraId="496BB1FD" w14:textId="77777777">
      <w:pPr>
        <w:pStyle w:val="BodyDiss"/>
        <w:rPr>
          <w:rFonts w:eastAsia="Book Antiqua" w:cs="Book Antiqua"/>
          <w:szCs w:val="26"/>
        </w:rPr>
      </w:pPr>
      <w:r w:rsidRPr="0096796E">
        <w:rPr>
          <w:szCs w:val="26"/>
        </w:rPr>
        <w:t xml:space="preserve">Several parties, </w:t>
      </w:r>
      <w:r w:rsidRPr="005B1876">
        <w:rPr>
          <w:szCs w:val="26"/>
        </w:rPr>
        <w:t xml:space="preserve">including Pacific Gas &amp; Electric Company (PG&amp;E), and Southern California Edison (SCE), asserted that the </w:t>
      </w:r>
      <w:proofErr w:type="spellStart"/>
      <w:r w:rsidRPr="005B1876">
        <w:rPr>
          <w:szCs w:val="26"/>
        </w:rPr>
        <w:t>NVBT</w:t>
      </w:r>
      <w:proofErr w:type="spellEnd"/>
      <w:r w:rsidRPr="005B1876">
        <w:rPr>
          <w:szCs w:val="26"/>
        </w:rPr>
        <w:t xml:space="preserve"> was preempted under federal law by the Federal Power Act (</w:t>
      </w:r>
      <w:proofErr w:type="spellStart"/>
      <w:r w:rsidRPr="005B1876">
        <w:rPr>
          <w:szCs w:val="26"/>
        </w:rPr>
        <w:t>FPA</w:t>
      </w:r>
      <w:proofErr w:type="spellEnd"/>
      <w:r w:rsidRPr="005B1876">
        <w:rPr>
          <w:szCs w:val="26"/>
        </w:rPr>
        <w:t>) and the Public Utility Regulatory Policies Act (</w:t>
      </w:r>
      <w:proofErr w:type="spellStart"/>
      <w:r w:rsidRPr="005B1876">
        <w:rPr>
          <w:szCs w:val="26"/>
        </w:rPr>
        <w:t>PURPA</w:t>
      </w:r>
      <w:proofErr w:type="spellEnd"/>
      <w:r w:rsidRPr="005B1876">
        <w:rPr>
          <w:szCs w:val="26"/>
        </w:rPr>
        <w:t>).</w:t>
      </w:r>
      <w:r w:rsidRPr="005B1876">
        <w:rPr>
          <w:rStyle w:val="FootnoteReference"/>
          <w:szCs w:val="26"/>
        </w:rPr>
        <w:footnoteReference w:id="388"/>
      </w:r>
      <w:r w:rsidRPr="005B1876">
        <w:rPr>
          <w:szCs w:val="26"/>
        </w:rPr>
        <w:t xml:space="preserve">  In my opinion, the legal authorities cited by the parties do not support that assertion.  Interestingly, the reply comments filed by PG&amp;E and SDG&amp;E do not counter the numerous opening comments that were critical of the federal law compliance analysis, offering only summary statements as to </w:t>
      </w:r>
      <w:proofErr w:type="spellStart"/>
      <w:r w:rsidRPr="005B1876">
        <w:rPr>
          <w:szCs w:val="26"/>
        </w:rPr>
        <w:t>PURPA</w:t>
      </w:r>
      <w:proofErr w:type="spellEnd"/>
      <w:r w:rsidRPr="005B1876">
        <w:rPr>
          <w:szCs w:val="26"/>
        </w:rPr>
        <w:t xml:space="preserve"> compliance.</w:t>
      </w:r>
      <w:r w:rsidRPr="005B1876">
        <w:rPr>
          <w:rStyle w:val="FootnoteReference"/>
          <w:szCs w:val="26"/>
        </w:rPr>
        <w:footnoteReference w:id="389"/>
      </w:r>
      <w:r w:rsidRPr="005B1876">
        <w:rPr>
          <w:szCs w:val="26"/>
        </w:rPr>
        <w:t xml:space="preserve">  Coalition for Community Solar Access (CCSA),</w:t>
      </w:r>
      <w:r w:rsidRPr="005B1876">
        <w:rPr>
          <w:bCs/>
          <w:szCs w:val="26"/>
        </w:rPr>
        <w:t xml:space="preserve"> </w:t>
      </w:r>
      <w:r w:rsidRPr="005B1876">
        <w:rPr>
          <w:szCs w:val="26"/>
        </w:rPr>
        <w:t>The Utility Reform Network (TURN), and Arcadia Power note that FERC has not ruled on this issue, while the IOUs do not provide any federal or state authority directly on point to support their</w:t>
      </w:r>
      <w:r w:rsidRPr="0080349A">
        <w:rPr>
          <w:rStyle w:val="normaltextrun"/>
          <w:color w:val="000000" w:themeColor="text1"/>
          <w:szCs w:val="26"/>
        </w:rPr>
        <w:t xml:space="preserve"> assertion</w:t>
      </w:r>
      <w:r w:rsidRPr="005B1876">
        <w:rPr>
          <w:szCs w:val="26"/>
        </w:rPr>
        <w:t xml:space="preserve"> of preemption</w:t>
      </w:r>
      <w:r w:rsidRPr="0080349A">
        <w:rPr>
          <w:rStyle w:val="normaltextrun"/>
          <w:color w:val="000000" w:themeColor="text1"/>
          <w:szCs w:val="26"/>
        </w:rPr>
        <w:t>.</w:t>
      </w:r>
      <w:r w:rsidRPr="0080349A">
        <w:rPr>
          <w:rStyle w:val="FootnoteReference"/>
          <w:rFonts w:cs="Calibri"/>
          <w:szCs w:val="26"/>
        </w:rPr>
        <w:footnoteReference w:id="390"/>
      </w:r>
      <w:r w:rsidRPr="0080349A">
        <w:rPr>
          <w:rStyle w:val="FootnoteReference"/>
          <w:rFonts w:cs="Calibri"/>
          <w:szCs w:val="26"/>
        </w:rPr>
        <w:t xml:space="preserve"> </w:t>
      </w:r>
      <w:r w:rsidRPr="0080349A">
        <w:rPr>
          <w:rStyle w:val="normaltextrun"/>
          <w:color w:val="000000" w:themeColor="text1"/>
          <w:szCs w:val="26"/>
        </w:rPr>
        <w:t xml:space="preserve"> </w:t>
      </w:r>
    </w:p>
    <w:p w:rsidRPr="005B1876" w:rsidR="00C153F2" w:rsidP="00982390" w:rsidRDefault="00C153F2" w14:paraId="3E794862" w14:textId="77777777">
      <w:pPr>
        <w:pStyle w:val="BodyDiss"/>
        <w:rPr>
          <w:rFonts w:eastAsia="Book Antiqua" w:cs="Book Antiqua"/>
          <w:szCs w:val="26"/>
        </w:rPr>
      </w:pPr>
      <w:r w:rsidRPr="005B1876">
        <w:rPr>
          <w:rFonts w:eastAsia="Book Antiqua" w:cs="Book Antiqua"/>
          <w:szCs w:val="26"/>
        </w:rPr>
        <w:t>TURN also points out that “over 22 states currently operate community solar programs that, by definition, allow customers to subscribe to the output of renewable generation not located onsite.”</w:t>
      </w:r>
      <w:r>
        <w:rPr>
          <w:rStyle w:val="FootnoteReference"/>
          <w:rFonts w:eastAsia="Book Antiqua" w:cs="Book Antiqua"/>
          <w:szCs w:val="26"/>
        </w:rPr>
        <w:footnoteReference w:id="391"/>
      </w:r>
      <w:r w:rsidRPr="005B1876">
        <w:rPr>
          <w:rFonts w:eastAsia="Book Antiqua" w:cs="Book Antiqua"/>
          <w:szCs w:val="26"/>
        </w:rPr>
        <w:t xml:space="preserve">  Moreover, TURN argues that “[s]</w:t>
      </w:r>
      <w:proofErr w:type="spellStart"/>
      <w:r w:rsidRPr="005B1876">
        <w:rPr>
          <w:rFonts w:eastAsia="Book Antiqua" w:cs="Book Antiqua"/>
          <w:szCs w:val="26"/>
        </w:rPr>
        <w:t>ince</w:t>
      </w:r>
      <w:proofErr w:type="spellEnd"/>
      <w:r w:rsidRPr="005B1876">
        <w:rPr>
          <w:rFonts w:eastAsia="Book Antiqua" w:cs="Book Antiqua"/>
          <w:szCs w:val="26"/>
        </w:rPr>
        <w:t xml:space="preserve"> 2016, FERC has declined to grant several petitions seeking a finding that community solar programs violate </w:t>
      </w:r>
      <w:proofErr w:type="spellStart"/>
      <w:r w:rsidRPr="005B1876">
        <w:rPr>
          <w:rFonts w:eastAsia="Book Antiqua" w:cs="Book Antiqua"/>
          <w:szCs w:val="26"/>
        </w:rPr>
        <w:t>PURPA</w:t>
      </w:r>
      <w:proofErr w:type="spellEnd"/>
      <w:r w:rsidRPr="005B1876">
        <w:rPr>
          <w:rFonts w:eastAsia="Book Antiqua" w:cs="Book Antiqua"/>
          <w:szCs w:val="26"/>
        </w:rPr>
        <w:t>.”</w:t>
      </w:r>
      <w:r w:rsidRPr="005B1876">
        <w:rPr>
          <w:rFonts w:eastAsia="Book Antiqua" w:cs="Book Antiqua"/>
          <w:szCs w:val="26"/>
          <w:vertAlign w:val="superscript"/>
        </w:rPr>
        <w:footnoteReference w:id="392"/>
      </w:r>
      <w:r w:rsidRPr="005B1876">
        <w:rPr>
          <w:rFonts w:eastAsia="Book Antiqua" w:cs="Book Antiqua"/>
          <w:szCs w:val="26"/>
        </w:rPr>
        <w:t xml:space="preserve">  Likewise, SCE concedes that FERC has not ruled on whether a community solar program involves a wholesale sale.</w:t>
      </w:r>
      <w:r w:rsidRPr="005B1876">
        <w:rPr>
          <w:rFonts w:eastAsia="Book Antiqua" w:cs="Book Antiqua"/>
          <w:szCs w:val="26"/>
          <w:vertAlign w:val="superscript"/>
        </w:rPr>
        <w:footnoteReference w:id="393"/>
      </w:r>
      <w:r>
        <w:rPr>
          <w:rFonts w:eastAsia="Book Antiqua" w:cs="Book Antiqua"/>
          <w:szCs w:val="26"/>
        </w:rPr>
        <w:t xml:space="preserve"> </w:t>
      </w:r>
      <w:r w:rsidRPr="005B1876">
        <w:rPr>
          <w:szCs w:val="26"/>
        </w:rPr>
        <w:t xml:space="preserve"> </w:t>
      </w:r>
      <w:r w:rsidRPr="005B1876">
        <w:rPr>
          <w:rFonts w:eastAsia="Book Antiqua" w:cs="Book Antiqua"/>
          <w:szCs w:val="26"/>
        </w:rPr>
        <w:t xml:space="preserve">In fact, federal law promoting community solar, through billions of dollars in grants and tax credits, FERC’s refusal to take up this matter, and the 22 other states that have exercised their authority in adopting community solar programs, all weigh in the opposite direction, supporting state authority over community solar projects.  The Commission should not take positions that could legally undermine California’s sovereignty.  </w:t>
      </w:r>
      <w:r w:rsidRPr="005B1876">
        <w:rPr>
          <w:szCs w:val="26"/>
        </w:rPr>
        <w:t xml:space="preserve">There is simply no federal case law or administrative precedent which establishes that a community solar program that </w:t>
      </w:r>
      <w:r w:rsidRPr="005B1876">
        <w:rPr>
          <w:szCs w:val="26"/>
        </w:rPr>
        <w:lastRenderedPageBreak/>
        <w:t xml:space="preserve">does not use the </w:t>
      </w:r>
      <w:proofErr w:type="spellStart"/>
      <w:r w:rsidRPr="005B1876">
        <w:rPr>
          <w:szCs w:val="26"/>
        </w:rPr>
        <w:t>PURPA</w:t>
      </w:r>
      <w:proofErr w:type="spellEnd"/>
      <w:r w:rsidRPr="005B1876">
        <w:rPr>
          <w:szCs w:val="26"/>
        </w:rPr>
        <w:t xml:space="preserve"> avoided cost measure would be federally preempted or invalidated by FERC.  </w:t>
      </w:r>
    </w:p>
    <w:p w:rsidRPr="005B1876" w:rsidR="00C153F2" w:rsidP="00982390" w:rsidRDefault="00C153F2" w14:paraId="5B06C003" w14:textId="77777777">
      <w:pPr>
        <w:pStyle w:val="BodyDiss"/>
        <w:rPr>
          <w:rFonts w:cs="Calibri"/>
          <w:szCs w:val="26"/>
        </w:rPr>
      </w:pPr>
      <w:r w:rsidRPr="005B1876">
        <w:rPr>
          <w:rFonts w:eastAsia="Book Antiqua" w:cs="Book Antiqua"/>
          <w:szCs w:val="26"/>
        </w:rPr>
        <w:t xml:space="preserve">I </w:t>
      </w:r>
      <w:r>
        <w:rPr>
          <w:rFonts w:eastAsia="Book Antiqua" w:cs="Book Antiqua"/>
          <w:szCs w:val="26"/>
        </w:rPr>
        <w:t>agree with</w:t>
      </w:r>
      <w:r w:rsidRPr="005B1876">
        <w:rPr>
          <w:rFonts w:eastAsia="Book Antiqua" w:cs="Book Antiqua"/>
          <w:szCs w:val="26"/>
        </w:rPr>
        <w:t xml:space="preserve"> the final decision </w:t>
      </w:r>
      <w:r>
        <w:rPr>
          <w:rFonts w:eastAsia="Book Antiqua" w:cs="Book Antiqua"/>
          <w:szCs w:val="26"/>
        </w:rPr>
        <w:t>that</w:t>
      </w:r>
      <w:r w:rsidRPr="005B1876">
        <w:rPr>
          <w:rFonts w:eastAsia="Book Antiqua" w:cs="Book Antiqua"/>
          <w:szCs w:val="26"/>
        </w:rPr>
        <w:t xml:space="preserve"> it </w:t>
      </w:r>
      <w:r>
        <w:rPr>
          <w:rFonts w:eastAsia="Book Antiqua" w:cs="Book Antiqua"/>
          <w:szCs w:val="26"/>
        </w:rPr>
        <w:t xml:space="preserve">is </w:t>
      </w:r>
      <w:r w:rsidRPr="005B1876">
        <w:rPr>
          <w:rFonts w:eastAsia="Book Antiqua" w:cs="Book Antiqua"/>
          <w:szCs w:val="26"/>
        </w:rPr>
        <w:t xml:space="preserve">unnecessary to reach questions of preemption under the </w:t>
      </w:r>
      <w:proofErr w:type="spellStart"/>
      <w:r w:rsidRPr="005B1876">
        <w:rPr>
          <w:rFonts w:eastAsia="Book Antiqua" w:cs="Book Antiqua"/>
          <w:szCs w:val="26"/>
        </w:rPr>
        <w:t>FPA</w:t>
      </w:r>
      <w:proofErr w:type="spellEnd"/>
      <w:r w:rsidRPr="005B1876">
        <w:rPr>
          <w:rFonts w:eastAsia="Book Antiqua" w:cs="Book Antiqua"/>
          <w:szCs w:val="26"/>
        </w:rPr>
        <w:t xml:space="preserve"> and </w:t>
      </w:r>
      <w:proofErr w:type="spellStart"/>
      <w:r w:rsidRPr="005B1876">
        <w:rPr>
          <w:rFonts w:eastAsia="Book Antiqua" w:cs="Book Antiqua"/>
          <w:szCs w:val="26"/>
        </w:rPr>
        <w:t>PURPA</w:t>
      </w:r>
      <w:proofErr w:type="spellEnd"/>
      <w:r w:rsidRPr="005B1876">
        <w:rPr>
          <w:rFonts w:eastAsia="Book Antiqua" w:cs="Book Antiqua"/>
          <w:szCs w:val="26"/>
        </w:rPr>
        <w:t xml:space="preserve"> as they pertain to the proposed </w:t>
      </w:r>
      <w:proofErr w:type="spellStart"/>
      <w:r w:rsidRPr="005B1876">
        <w:rPr>
          <w:rFonts w:eastAsia="Book Antiqua" w:cs="Book Antiqua"/>
          <w:szCs w:val="26"/>
        </w:rPr>
        <w:t>NVBT</w:t>
      </w:r>
      <w:proofErr w:type="spellEnd"/>
      <w:r w:rsidRPr="005B1876">
        <w:rPr>
          <w:rFonts w:eastAsia="Book Antiqua" w:cs="Book Antiqua"/>
          <w:szCs w:val="26"/>
        </w:rPr>
        <w:t xml:space="preserve">. </w:t>
      </w:r>
      <w:r w:rsidRPr="005B1876">
        <w:rPr>
          <w:szCs w:val="26"/>
        </w:rPr>
        <w:t xml:space="preserve"> </w:t>
      </w:r>
    </w:p>
    <w:p w:rsidR="00C153F2" w:rsidP="006130AA" w:rsidRDefault="00C153F2" w14:paraId="1FCF304D" w14:textId="77777777">
      <w:pPr>
        <w:pStyle w:val="Section"/>
      </w:pPr>
      <w:r>
        <w:t>Community Solar Programs and State Law</w:t>
      </w:r>
    </w:p>
    <w:p w:rsidR="00C153F2" w:rsidP="00982390" w:rsidRDefault="00C153F2" w14:paraId="5146EAB3" w14:textId="2BEEF53E">
      <w:pPr>
        <w:pStyle w:val="BodyDiss"/>
        <w:rPr>
          <w:rFonts w:cs="Calibri"/>
          <w:szCs w:val="26"/>
        </w:rPr>
      </w:pPr>
      <w:r w:rsidRPr="09EE0313">
        <w:rPr>
          <w:rFonts w:cs="Calibri"/>
          <w:szCs w:val="26"/>
        </w:rPr>
        <w:t xml:space="preserve">The decision relies on </w:t>
      </w:r>
      <w:r w:rsidR="00CF370F">
        <w:rPr>
          <w:rFonts w:cs="Calibri"/>
          <w:szCs w:val="26"/>
        </w:rPr>
        <w:t>SB </w:t>
      </w:r>
      <w:r w:rsidRPr="09EE0313">
        <w:rPr>
          <w:rFonts w:cs="Calibri"/>
          <w:szCs w:val="26"/>
        </w:rPr>
        <w:t xml:space="preserve">43 in finding that the Commission’s </w:t>
      </w:r>
      <w:r>
        <w:rPr>
          <w:rFonts w:cs="Calibri"/>
          <w:szCs w:val="26"/>
        </w:rPr>
        <w:t>A</w:t>
      </w:r>
      <w:r w:rsidRPr="09EE0313">
        <w:rPr>
          <w:rFonts w:cs="Calibri"/>
          <w:szCs w:val="26"/>
        </w:rPr>
        <w:t xml:space="preserve">voided </w:t>
      </w:r>
      <w:r>
        <w:rPr>
          <w:rFonts w:cs="Calibri"/>
          <w:szCs w:val="26"/>
        </w:rPr>
        <w:t>C</w:t>
      </w:r>
      <w:r w:rsidRPr="09EE0313">
        <w:rPr>
          <w:rFonts w:cs="Calibri"/>
          <w:szCs w:val="26"/>
        </w:rPr>
        <w:t xml:space="preserve">ost </w:t>
      </w:r>
      <w:r>
        <w:rPr>
          <w:rFonts w:cs="Calibri"/>
          <w:szCs w:val="26"/>
        </w:rPr>
        <w:t>C</w:t>
      </w:r>
      <w:r w:rsidRPr="09EE0313">
        <w:rPr>
          <w:rFonts w:cs="Calibri"/>
          <w:szCs w:val="26"/>
        </w:rPr>
        <w:t xml:space="preserve">alculator </w:t>
      </w:r>
      <w:r>
        <w:rPr>
          <w:rFonts w:cs="Calibri"/>
          <w:szCs w:val="26"/>
        </w:rPr>
        <w:t>(</w:t>
      </w:r>
      <w:r w:rsidRPr="09EE0313">
        <w:rPr>
          <w:rFonts w:cs="Calibri"/>
          <w:szCs w:val="26"/>
        </w:rPr>
        <w:t>ACC</w:t>
      </w:r>
      <w:r>
        <w:rPr>
          <w:rFonts w:cs="Calibri"/>
          <w:szCs w:val="26"/>
        </w:rPr>
        <w:t>)</w:t>
      </w:r>
      <w:r w:rsidRPr="09EE0313">
        <w:rPr>
          <w:rFonts w:cs="Calibri"/>
          <w:szCs w:val="26"/>
        </w:rPr>
        <w:t xml:space="preserve"> is not an allowed measure for compensation of a community solar program. </w:t>
      </w:r>
      <w:r>
        <w:rPr>
          <w:rFonts w:cs="Calibri"/>
          <w:szCs w:val="26"/>
        </w:rPr>
        <w:t xml:space="preserve"> </w:t>
      </w:r>
      <w:r w:rsidR="00CF370F">
        <w:rPr>
          <w:rFonts w:cs="Calibri"/>
          <w:szCs w:val="26"/>
        </w:rPr>
        <w:t>SB </w:t>
      </w:r>
      <w:r w:rsidRPr="09EE0313">
        <w:rPr>
          <w:rFonts w:cs="Calibri"/>
          <w:szCs w:val="26"/>
        </w:rPr>
        <w:t>43 requires “no costs are shifted from participating customers to nonparticipating ratepayers” in the Green Tariff Shared Renewables (</w:t>
      </w:r>
      <w:proofErr w:type="spellStart"/>
      <w:r w:rsidRPr="09EE0313">
        <w:rPr>
          <w:rFonts w:cs="Calibri"/>
          <w:szCs w:val="26"/>
        </w:rPr>
        <w:t>GTSR</w:t>
      </w:r>
      <w:proofErr w:type="spellEnd"/>
      <w:r w:rsidRPr="09EE0313">
        <w:rPr>
          <w:rFonts w:cs="Calibri"/>
          <w:szCs w:val="26"/>
        </w:rPr>
        <w:t>) program.</w:t>
      </w:r>
      <w:r w:rsidRPr="09EE0313">
        <w:rPr>
          <w:rStyle w:val="FootnoteReference"/>
          <w:rFonts w:cs="Calibri"/>
          <w:szCs w:val="26"/>
        </w:rPr>
        <w:footnoteReference w:id="394"/>
      </w:r>
      <w:r w:rsidRPr="09EE0313">
        <w:rPr>
          <w:rFonts w:cs="Calibri"/>
          <w:szCs w:val="26"/>
        </w:rPr>
        <w:t xml:space="preserve"> </w:t>
      </w:r>
      <w:r>
        <w:rPr>
          <w:rFonts w:cs="Calibri"/>
          <w:szCs w:val="26"/>
        </w:rPr>
        <w:t xml:space="preserve"> </w:t>
      </w:r>
      <w:r w:rsidRPr="09EE0313">
        <w:rPr>
          <w:rFonts w:cs="Calibri"/>
          <w:szCs w:val="26"/>
        </w:rPr>
        <w:t>Here, A</w:t>
      </w:r>
      <w:r w:rsidRPr="64ED7F74">
        <w:rPr>
          <w:rFonts w:cs="Calibri"/>
          <w:szCs w:val="26"/>
        </w:rPr>
        <w:t xml:space="preserve">ssembly </w:t>
      </w:r>
      <w:r w:rsidRPr="09EE0313">
        <w:rPr>
          <w:rFonts w:cs="Calibri"/>
          <w:szCs w:val="26"/>
        </w:rPr>
        <w:t>B</w:t>
      </w:r>
      <w:r w:rsidRPr="64ED7F74">
        <w:rPr>
          <w:rFonts w:cs="Calibri"/>
          <w:szCs w:val="26"/>
        </w:rPr>
        <w:t>ill</w:t>
      </w:r>
      <w:r w:rsidRPr="09EE0313">
        <w:rPr>
          <w:rFonts w:cs="Calibri"/>
          <w:szCs w:val="26"/>
        </w:rPr>
        <w:t xml:space="preserve"> </w:t>
      </w:r>
      <w:r w:rsidRPr="6169494B">
        <w:rPr>
          <w:rFonts w:cs="Calibri"/>
          <w:szCs w:val="26"/>
        </w:rPr>
        <w:t>(AB)</w:t>
      </w:r>
      <w:r w:rsidR="00816076">
        <w:rPr>
          <w:rFonts w:cs="Calibri"/>
          <w:szCs w:val="26"/>
        </w:rPr>
        <w:t> </w:t>
      </w:r>
      <w:r w:rsidRPr="09EE0313">
        <w:rPr>
          <w:rFonts w:cs="Calibri"/>
          <w:szCs w:val="26"/>
        </w:rPr>
        <w:t xml:space="preserve">2316 is the controlling </w:t>
      </w:r>
      <w:r w:rsidRPr="64ED7F74">
        <w:rPr>
          <w:rFonts w:cs="Calibri"/>
          <w:szCs w:val="26"/>
        </w:rPr>
        <w:t>law</w:t>
      </w:r>
      <w:r w:rsidRPr="09EE0313">
        <w:rPr>
          <w:rFonts w:cs="Calibri"/>
          <w:szCs w:val="26"/>
        </w:rPr>
        <w:t xml:space="preserve">, not </w:t>
      </w:r>
      <w:r w:rsidR="00CF370F">
        <w:rPr>
          <w:rFonts w:cs="Calibri"/>
          <w:szCs w:val="26"/>
        </w:rPr>
        <w:t>SB </w:t>
      </w:r>
      <w:r w:rsidRPr="09EE0313">
        <w:rPr>
          <w:rFonts w:cs="Calibri"/>
          <w:szCs w:val="26"/>
        </w:rPr>
        <w:t xml:space="preserve">43. </w:t>
      </w:r>
      <w:r>
        <w:rPr>
          <w:rFonts w:cs="Calibri"/>
          <w:szCs w:val="26"/>
        </w:rPr>
        <w:t xml:space="preserve">Under </w:t>
      </w:r>
      <w:r w:rsidR="00CF370F">
        <w:rPr>
          <w:rFonts w:cs="Calibri"/>
          <w:szCs w:val="26"/>
        </w:rPr>
        <w:t>AB </w:t>
      </w:r>
      <w:r>
        <w:rPr>
          <w:rFonts w:cs="Calibri"/>
          <w:szCs w:val="26"/>
        </w:rPr>
        <w:t>2316,</w:t>
      </w:r>
      <w:r w:rsidRPr="00CF47AC">
        <w:rPr>
          <w:rFonts w:cs="Calibri"/>
          <w:szCs w:val="26"/>
        </w:rPr>
        <w:t xml:space="preserve"> </w:t>
      </w:r>
      <w:r>
        <w:rPr>
          <w:rFonts w:cs="Calibri"/>
          <w:szCs w:val="26"/>
        </w:rPr>
        <w:t>i</w:t>
      </w:r>
      <w:r w:rsidRPr="00CF47AC">
        <w:rPr>
          <w:rFonts w:cs="Calibri"/>
          <w:szCs w:val="26"/>
        </w:rPr>
        <w:t xml:space="preserve">f the Commission determines that a new program or tariff should be created, </w:t>
      </w:r>
      <w:r>
        <w:rPr>
          <w:rFonts w:cs="Calibri"/>
          <w:szCs w:val="26"/>
        </w:rPr>
        <w:t xml:space="preserve">the Commission </w:t>
      </w:r>
      <w:r w:rsidRPr="09EE0313">
        <w:rPr>
          <w:rFonts w:cs="Calibri"/>
          <w:szCs w:val="26"/>
        </w:rPr>
        <w:t>is</w:t>
      </w:r>
      <w:r>
        <w:rPr>
          <w:rFonts w:cs="Calibri"/>
          <w:szCs w:val="26"/>
        </w:rPr>
        <w:t xml:space="preserve"> then</w:t>
      </w:r>
      <w:r w:rsidRPr="09EE0313">
        <w:rPr>
          <w:rFonts w:cs="Calibri"/>
          <w:szCs w:val="26"/>
        </w:rPr>
        <w:t xml:space="preserve"> required </w:t>
      </w:r>
      <w:r>
        <w:rPr>
          <w:rFonts w:cs="Calibri"/>
          <w:szCs w:val="26"/>
        </w:rPr>
        <w:t xml:space="preserve">to </w:t>
      </w:r>
      <w:r w:rsidRPr="09EE0313">
        <w:rPr>
          <w:rFonts w:cs="Calibri"/>
          <w:szCs w:val="26"/>
        </w:rPr>
        <w:t>“</w:t>
      </w:r>
      <w:r>
        <w:rPr>
          <w:rFonts w:cs="Calibri"/>
          <w:szCs w:val="26"/>
        </w:rPr>
        <w:t>[m]</w:t>
      </w:r>
      <w:proofErr w:type="spellStart"/>
      <w:r w:rsidRPr="00CF47AC">
        <w:rPr>
          <w:rFonts w:cs="Calibri"/>
          <w:szCs w:val="26"/>
        </w:rPr>
        <w:t>inimize</w:t>
      </w:r>
      <w:proofErr w:type="spellEnd"/>
      <w:r w:rsidRPr="00CF47AC">
        <w:rPr>
          <w:rFonts w:cs="Calibri"/>
          <w:szCs w:val="26"/>
        </w:rPr>
        <w:t xml:space="preserve"> impacts to nonparticipating customers by prohibiting the program's costs from being paid by nonparticipating customers in excess of the avoided costs.</w:t>
      </w:r>
      <w:r w:rsidRPr="09EE0313">
        <w:rPr>
          <w:rFonts w:cs="Calibri"/>
          <w:szCs w:val="26"/>
        </w:rPr>
        <w:t>”</w:t>
      </w:r>
      <w:r w:rsidRPr="09EE0313">
        <w:rPr>
          <w:rStyle w:val="FootnoteReference"/>
          <w:rFonts w:cs="Calibri"/>
          <w:szCs w:val="26"/>
        </w:rPr>
        <w:footnoteReference w:id="395"/>
      </w:r>
      <w:r w:rsidRPr="09EE0313">
        <w:rPr>
          <w:rFonts w:cs="Calibri"/>
          <w:szCs w:val="26"/>
        </w:rPr>
        <w:t xml:space="preserve"> </w:t>
      </w:r>
      <w:r>
        <w:rPr>
          <w:rFonts w:cs="Calibri"/>
          <w:szCs w:val="26"/>
        </w:rPr>
        <w:t xml:space="preserve"> This proceeding implementing </w:t>
      </w:r>
      <w:r w:rsidR="00CF370F">
        <w:rPr>
          <w:rFonts w:cs="Calibri"/>
          <w:szCs w:val="26"/>
        </w:rPr>
        <w:t>AB </w:t>
      </w:r>
      <w:r>
        <w:rPr>
          <w:rFonts w:cs="Calibri"/>
          <w:szCs w:val="26"/>
        </w:rPr>
        <w:t xml:space="preserve">2316 seeks to modify an existing </w:t>
      </w:r>
      <w:proofErr w:type="spellStart"/>
      <w:r>
        <w:rPr>
          <w:rFonts w:cs="Calibri"/>
          <w:szCs w:val="26"/>
        </w:rPr>
        <w:t>GTSR</w:t>
      </w:r>
      <w:proofErr w:type="spellEnd"/>
      <w:r>
        <w:rPr>
          <w:rFonts w:cs="Calibri"/>
          <w:szCs w:val="26"/>
        </w:rPr>
        <w:t xml:space="preserve"> tariff.  </w:t>
      </w:r>
      <w:r w:rsidRPr="09EE0313">
        <w:rPr>
          <w:rFonts w:cs="Calibri"/>
          <w:szCs w:val="26"/>
        </w:rPr>
        <w:t xml:space="preserve">Accordingly, the applicable cost-shift limitation before the Commission in considering a new community solar program is </w:t>
      </w:r>
      <w:r w:rsidRPr="09EE0313">
        <w:rPr>
          <w:rFonts w:cs="Calibri"/>
          <w:i/>
          <w:szCs w:val="26"/>
        </w:rPr>
        <w:t>the avoided costs</w:t>
      </w:r>
      <w:r w:rsidRPr="09EE0313">
        <w:rPr>
          <w:rFonts w:cs="Calibri"/>
          <w:szCs w:val="26"/>
        </w:rPr>
        <w:t>” (emphasis added).</w:t>
      </w:r>
      <w:r>
        <w:rPr>
          <w:rStyle w:val="FootnoteReference"/>
          <w:rFonts w:cs="Calibri"/>
          <w:szCs w:val="26"/>
        </w:rPr>
        <w:footnoteReference w:id="396"/>
      </w:r>
      <w:r w:rsidRPr="09EE0313">
        <w:rPr>
          <w:rFonts w:cs="Calibri"/>
          <w:szCs w:val="26"/>
        </w:rPr>
        <w:t xml:space="preserve"> </w:t>
      </w:r>
      <w:r>
        <w:rPr>
          <w:rFonts w:cs="Calibri"/>
          <w:szCs w:val="26"/>
        </w:rPr>
        <w:t xml:space="preserve"> </w:t>
      </w:r>
      <w:r w:rsidRPr="09EE0313">
        <w:rPr>
          <w:rFonts w:cs="Calibri"/>
          <w:szCs w:val="26"/>
        </w:rPr>
        <w:t xml:space="preserve">A community solar program can comply </w:t>
      </w:r>
      <w:r>
        <w:rPr>
          <w:rFonts w:cs="Calibri"/>
          <w:szCs w:val="26"/>
        </w:rPr>
        <w:t xml:space="preserve">with state law using an </w:t>
      </w:r>
      <w:r w:rsidRPr="09EE0313">
        <w:rPr>
          <w:rFonts w:cs="Calibri"/>
          <w:szCs w:val="26"/>
        </w:rPr>
        <w:t>avoided cost</w:t>
      </w:r>
      <w:r>
        <w:rPr>
          <w:rFonts w:cs="Calibri"/>
          <w:szCs w:val="26"/>
        </w:rPr>
        <w:t xml:space="preserve"> measure to determine compensation</w:t>
      </w:r>
      <w:r w:rsidRPr="09EE0313">
        <w:rPr>
          <w:rFonts w:cs="Calibri"/>
          <w:szCs w:val="26"/>
        </w:rPr>
        <w:t>.</w:t>
      </w:r>
    </w:p>
    <w:p w:rsidR="00C153F2" w:rsidP="00982390" w:rsidRDefault="00C153F2" w14:paraId="1FA03487" w14:textId="11AA6AD1">
      <w:pPr>
        <w:pStyle w:val="BodyDiss"/>
        <w:rPr>
          <w:rFonts w:cs="Calibri"/>
        </w:rPr>
      </w:pPr>
      <w:r>
        <w:rPr>
          <w:rFonts w:cs="Calibri"/>
        </w:rPr>
        <w:t>U</w:t>
      </w:r>
      <w:r w:rsidRPr="00460BC8">
        <w:rPr>
          <w:rFonts w:cs="Calibri"/>
        </w:rPr>
        <w:t xml:space="preserve">nder </w:t>
      </w:r>
      <w:r w:rsidR="00CF370F">
        <w:rPr>
          <w:rFonts w:cs="Calibri"/>
        </w:rPr>
        <w:t>AB </w:t>
      </w:r>
      <w:r w:rsidRPr="00460BC8">
        <w:rPr>
          <w:rFonts w:cs="Calibri"/>
        </w:rPr>
        <w:t xml:space="preserve">2316, the Commission has flexibility to </w:t>
      </w:r>
      <w:r>
        <w:rPr>
          <w:rFonts w:cs="Calibri"/>
        </w:rPr>
        <w:t>define</w:t>
      </w:r>
      <w:r w:rsidRPr="00460BC8">
        <w:rPr>
          <w:rFonts w:cs="Calibri"/>
        </w:rPr>
        <w:t xml:space="preserve"> avoided cost.  The Commission, in looking at the cost</w:t>
      </w:r>
      <w:r>
        <w:rPr>
          <w:rFonts w:cs="Calibri"/>
        </w:rPr>
        <w:t>-</w:t>
      </w:r>
      <w:r w:rsidRPr="00460BC8">
        <w:rPr>
          <w:rFonts w:cs="Calibri"/>
        </w:rPr>
        <w:t xml:space="preserve">effectiveness of </w:t>
      </w:r>
      <w:r>
        <w:rPr>
          <w:rFonts w:cs="Calibri"/>
        </w:rPr>
        <w:t>Distributed Energy Resources (</w:t>
      </w:r>
      <w:proofErr w:type="spellStart"/>
      <w:r w:rsidRPr="00460BC8">
        <w:rPr>
          <w:rFonts w:cs="Calibri"/>
        </w:rPr>
        <w:t>DERs</w:t>
      </w:r>
      <w:proofErr w:type="spellEnd"/>
      <w:r>
        <w:rPr>
          <w:rFonts w:cs="Calibri"/>
        </w:rPr>
        <w:t>)</w:t>
      </w:r>
      <w:r w:rsidRPr="00460BC8">
        <w:rPr>
          <w:rFonts w:cs="Calibri"/>
        </w:rPr>
        <w:t xml:space="preserve"> would typically use the ACC for this purpose. </w:t>
      </w:r>
      <w:r>
        <w:rPr>
          <w:rFonts w:cs="Calibri"/>
        </w:rPr>
        <w:t xml:space="preserve"> </w:t>
      </w:r>
      <w:r w:rsidRPr="00460BC8">
        <w:rPr>
          <w:rFonts w:cs="Calibri"/>
        </w:rPr>
        <w:t xml:space="preserve">The Commission also could develop another measure or adjust inputs to the ACC, considering factors such as location on the system, size, reliability benefits, and potential to offset more expensive energy such as </w:t>
      </w:r>
      <w:r>
        <w:rPr>
          <w:szCs w:val="26"/>
        </w:rPr>
        <w:t>Net Billing Tariff (</w:t>
      </w:r>
      <w:proofErr w:type="spellStart"/>
      <w:r>
        <w:rPr>
          <w:szCs w:val="26"/>
        </w:rPr>
        <w:t>NBT</w:t>
      </w:r>
      <w:proofErr w:type="spellEnd"/>
      <w:r>
        <w:rPr>
          <w:szCs w:val="26"/>
        </w:rPr>
        <w:t xml:space="preserve">) </w:t>
      </w:r>
      <w:r w:rsidRPr="00460BC8">
        <w:rPr>
          <w:rFonts w:cs="Calibri"/>
        </w:rPr>
        <w:t>systems.</w:t>
      </w:r>
      <w:r>
        <w:rPr>
          <w:rFonts w:cs="Calibri"/>
        </w:rPr>
        <w:t xml:space="preserve">  </w:t>
      </w:r>
      <w:r w:rsidR="00CF370F">
        <w:rPr>
          <w:rFonts w:cs="Calibri"/>
        </w:rPr>
        <w:t>AB </w:t>
      </w:r>
      <w:r>
        <w:rPr>
          <w:rFonts w:cs="Calibri"/>
        </w:rPr>
        <w:t>2316 states that the program developed by the Commission shall:</w:t>
      </w:r>
    </w:p>
    <w:p w:rsidR="00C153F2" w:rsidP="00982390" w:rsidRDefault="00C153F2" w14:paraId="41DFBB3F" w14:textId="77777777">
      <w:pPr>
        <w:pStyle w:val="BodyDiss"/>
        <w:rPr>
          <w:rFonts w:cs="Calibri"/>
        </w:rPr>
      </w:pPr>
      <w:r w:rsidRPr="00CF47AC">
        <w:rPr>
          <w:rFonts w:cs="Calibri"/>
        </w:rPr>
        <w:t xml:space="preserve">Provide bill credits to subscribers based on the avoided costs of the program's facilities, as determined by the commission's methods for calculating the full set of benefits of distributed energy resources. The commission may use actual </w:t>
      </w:r>
      <w:r w:rsidRPr="00CF47AC">
        <w:rPr>
          <w:rFonts w:cs="Calibri"/>
        </w:rPr>
        <w:lastRenderedPageBreak/>
        <w:t>wholesale market prices for the energy supply portion of an avoided cost calculation or credit value.</w:t>
      </w:r>
      <w:r>
        <w:rPr>
          <w:rStyle w:val="FootnoteReference"/>
          <w:rFonts w:cs="Calibri"/>
        </w:rPr>
        <w:footnoteReference w:id="397"/>
      </w:r>
    </w:p>
    <w:p w:rsidRPr="007A3401" w:rsidR="00C153F2" w:rsidP="00982390" w:rsidRDefault="00C153F2" w14:paraId="3F1F2FD6" w14:textId="77777777">
      <w:pPr>
        <w:pStyle w:val="BodyDiss"/>
        <w:rPr>
          <w:szCs w:val="26"/>
        </w:rPr>
      </w:pPr>
      <w:r w:rsidRPr="00B25B28">
        <w:rPr>
          <w:szCs w:val="26"/>
        </w:rPr>
        <w:t xml:space="preserve">While avoided transmission and distribution is different for Behind-the-Meter rooftop solar versus in-front of the meter solar, the Commission has the ability to determine the appropriate mechanism to measure avoided cost and may adjust components or inputs used to determine cost-effectiveness. Using the </w:t>
      </w:r>
      <w:proofErr w:type="spellStart"/>
      <w:r w:rsidRPr="00B25B28">
        <w:rPr>
          <w:szCs w:val="26"/>
        </w:rPr>
        <w:t>PURPA</w:t>
      </w:r>
      <w:proofErr w:type="spellEnd"/>
      <w:r w:rsidRPr="00B25B28">
        <w:rPr>
          <w:szCs w:val="26"/>
        </w:rPr>
        <w:t xml:space="preserve"> avoided cost contract without specific information as to what benefits a project may have could be premature.</w:t>
      </w:r>
    </w:p>
    <w:p w:rsidRPr="007A3401" w:rsidR="00C153F2" w:rsidP="006130AA" w:rsidRDefault="00C153F2" w14:paraId="2A7AF751" w14:textId="77777777">
      <w:pPr>
        <w:pStyle w:val="Section"/>
      </w:pPr>
      <w:r>
        <w:t>A Viable</w:t>
      </w:r>
      <w:r w:rsidRPr="007A3401">
        <w:t xml:space="preserve"> Community Solar Alternative</w:t>
      </w:r>
    </w:p>
    <w:p w:rsidR="00C153F2" w:rsidP="00982390" w:rsidRDefault="00C153F2" w14:paraId="0FD75179" w14:textId="77777777">
      <w:pPr>
        <w:pStyle w:val="BodyDiss"/>
        <w:rPr>
          <w:rFonts w:cs="Calibri"/>
          <w:szCs w:val="26"/>
        </w:rPr>
      </w:pPr>
      <w:r w:rsidRPr="007A3401">
        <w:rPr>
          <w:rFonts w:cs="Segoe UI"/>
          <w:szCs w:val="26"/>
        </w:rPr>
        <w:t>California is lead</w:t>
      </w:r>
      <w:r>
        <w:rPr>
          <w:rFonts w:cs="Segoe UI"/>
          <w:szCs w:val="26"/>
        </w:rPr>
        <w:t>ing the way in the clean energy transition</w:t>
      </w:r>
      <w:r w:rsidRPr="007A3401">
        <w:rPr>
          <w:rFonts w:cs="Segoe UI"/>
          <w:szCs w:val="26"/>
        </w:rPr>
        <w:t xml:space="preserve">. </w:t>
      </w:r>
      <w:r>
        <w:rPr>
          <w:rFonts w:cs="Segoe UI"/>
          <w:szCs w:val="26"/>
        </w:rPr>
        <w:t xml:space="preserve"> Not everyone can install </w:t>
      </w:r>
      <w:r w:rsidRPr="007A3401">
        <w:rPr>
          <w:szCs w:val="26"/>
        </w:rPr>
        <w:t>distributed energy resources</w:t>
      </w:r>
      <w:r>
        <w:rPr>
          <w:szCs w:val="26"/>
        </w:rPr>
        <w:t xml:space="preserve"> </w:t>
      </w:r>
      <w:r w:rsidRPr="007A3401">
        <w:rPr>
          <w:szCs w:val="26"/>
        </w:rPr>
        <w:t>on their property</w:t>
      </w:r>
      <w:r>
        <w:rPr>
          <w:szCs w:val="26"/>
        </w:rPr>
        <w:t xml:space="preserve">. Community solar provides one avenue to expand access to renewable energy for disadvantaged communities.  The adopted CRE program uses </w:t>
      </w:r>
      <w:r w:rsidRPr="3D920758">
        <w:rPr>
          <w:rFonts w:cs="Calibri"/>
          <w:szCs w:val="26"/>
        </w:rPr>
        <w:t xml:space="preserve">a federally determined </w:t>
      </w:r>
      <w:proofErr w:type="spellStart"/>
      <w:r w:rsidRPr="3D920758">
        <w:rPr>
          <w:rFonts w:cs="Calibri"/>
          <w:szCs w:val="26"/>
        </w:rPr>
        <w:t>PURPA</w:t>
      </w:r>
      <w:proofErr w:type="spellEnd"/>
      <w:r w:rsidRPr="3D920758">
        <w:rPr>
          <w:rFonts w:cs="Calibri"/>
          <w:szCs w:val="26"/>
        </w:rPr>
        <w:t xml:space="preserve"> avoided cost measure modeled after </w:t>
      </w:r>
      <w:r w:rsidRPr="00A265A4">
        <w:rPr>
          <w:rFonts w:cs="Calibri"/>
          <w:szCs w:val="26"/>
        </w:rPr>
        <w:t>Renewable Market Adjusting Tariff (</w:t>
      </w:r>
      <w:proofErr w:type="spellStart"/>
      <w:r w:rsidRPr="00A265A4">
        <w:rPr>
          <w:rFonts w:cs="Calibri"/>
          <w:szCs w:val="26"/>
        </w:rPr>
        <w:t>ReMAT</w:t>
      </w:r>
      <w:proofErr w:type="spellEnd"/>
      <w:r w:rsidRPr="00A265A4">
        <w:rPr>
          <w:rFonts w:cs="Calibri"/>
          <w:szCs w:val="26"/>
        </w:rPr>
        <w:t>)</w:t>
      </w:r>
      <w:r w:rsidRPr="3D920758">
        <w:rPr>
          <w:rFonts w:cs="Calibri"/>
          <w:szCs w:val="26"/>
        </w:rPr>
        <w:t>. TURN states that:</w:t>
      </w:r>
    </w:p>
    <w:p w:rsidR="00C153F2" w:rsidP="006130AA" w:rsidRDefault="00C153F2" w14:paraId="5D5A7E8C" w14:textId="4BEA37DB">
      <w:pPr>
        <w:pStyle w:val="BlockQuote0"/>
      </w:pPr>
      <w:r w:rsidRPr="17ADF2EF">
        <w:t xml:space="preserve">[t]he </w:t>
      </w:r>
      <w:proofErr w:type="spellStart"/>
      <w:r w:rsidRPr="17ADF2EF">
        <w:t>ReMAT</w:t>
      </w:r>
      <w:proofErr w:type="spellEnd"/>
      <w:r w:rsidRPr="17ADF2EF">
        <w:t xml:space="preserve"> program has only resulted in contracts with eight projects (totaling 12.4</w:t>
      </w:r>
      <w:r w:rsidR="00811FB0">
        <w:t> </w:t>
      </w:r>
      <w:r w:rsidRPr="17ADF2EF">
        <w:t xml:space="preserve">MW) since 2017 and none since the program reopened in 2020 and the </w:t>
      </w:r>
      <w:proofErr w:type="spellStart"/>
      <w:r w:rsidRPr="17ADF2EF">
        <w:t>PURPA</w:t>
      </w:r>
      <w:proofErr w:type="spellEnd"/>
      <w:r w:rsidRPr="17ADF2EF">
        <w:t xml:space="preserve"> Standard Offer Contract program has only yielded a single new project (20</w:t>
      </w:r>
      <w:r w:rsidR="00846878">
        <w:t> </w:t>
      </w:r>
      <w:r w:rsidRPr="17ADF2EF">
        <w:t>MW solar) in the last five years.</w:t>
      </w:r>
      <w:r w:rsidRPr="17ADF2EF">
        <w:rPr>
          <w:rStyle w:val="FootnoteReference"/>
          <w:rFonts w:cs="Calibri"/>
          <w:szCs w:val="26"/>
        </w:rPr>
        <w:footnoteReference w:id="398"/>
      </w:r>
      <w:r w:rsidRPr="17ADF2EF">
        <w:t xml:space="preserve"> </w:t>
      </w:r>
    </w:p>
    <w:p w:rsidR="00C153F2" w:rsidP="00982390" w:rsidRDefault="00C153F2" w14:paraId="1D3B25D1" w14:textId="77777777">
      <w:pPr>
        <w:pStyle w:val="BodyDiss"/>
        <w:rPr>
          <w:rFonts w:cs="Calibri"/>
        </w:rPr>
      </w:pPr>
      <w:r w:rsidRPr="00087C1F">
        <w:rPr>
          <w:rFonts w:cs="Calibri"/>
        </w:rPr>
        <w:t>Given</w:t>
      </w:r>
      <w:r>
        <w:rPr>
          <w:rFonts w:cs="Calibri"/>
        </w:rPr>
        <w:t xml:space="preserve"> the small number of projects produced through the </w:t>
      </w:r>
      <w:proofErr w:type="spellStart"/>
      <w:r>
        <w:rPr>
          <w:rFonts w:cs="Calibri"/>
        </w:rPr>
        <w:t>ReMAT</w:t>
      </w:r>
      <w:proofErr w:type="spellEnd"/>
      <w:r>
        <w:rPr>
          <w:rFonts w:cs="Calibri"/>
        </w:rPr>
        <w:t xml:space="preserve"> and </w:t>
      </w:r>
      <w:proofErr w:type="spellStart"/>
      <w:r>
        <w:rPr>
          <w:rFonts w:cs="Calibri"/>
        </w:rPr>
        <w:t>PURPA</w:t>
      </w:r>
      <w:proofErr w:type="spellEnd"/>
      <w:r>
        <w:rPr>
          <w:rFonts w:cs="Calibri"/>
        </w:rPr>
        <w:t xml:space="preserve"> Standard Offer Contract Program, there is concern that the CRE may not be successful. C</w:t>
      </w:r>
      <w:r w:rsidRPr="00087C1F">
        <w:rPr>
          <w:rFonts w:cs="Calibri"/>
        </w:rPr>
        <w:t>ommunity solar</w:t>
      </w:r>
      <w:r>
        <w:rPr>
          <w:rFonts w:cs="Calibri"/>
        </w:rPr>
        <w:t xml:space="preserve"> projects have the potential</w:t>
      </w:r>
      <w:r w:rsidRPr="00087C1F">
        <w:rPr>
          <w:rFonts w:cs="Calibri"/>
        </w:rPr>
        <w:t xml:space="preserve"> to provide added benefits for customers served by these systems, </w:t>
      </w:r>
      <w:r>
        <w:rPr>
          <w:rFonts w:cs="Calibri"/>
        </w:rPr>
        <w:t>such as lowering bills for renters, low income and vulnerable customers, and providing resiliency benefits for the grid. These projects could offset new net billing tariff (</w:t>
      </w:r>
      <w:proofErr w:type="spellStart"/>
      <w:r>
        <w:rPr>
          <w:rFonts w:cs="Calibri"/>
        </w:rPr>
        <w:t>NBT</w:t>
      </w:r>
      <w:proofErr w:type="spellEnd"/>
      <w:r>
        <w:rPr>
          <w:rFonts w:cs="Calibri"/>
        </w:rPr>
        <w:t xml:space="preserve">) systems at a lower cost to all customers, and with an appropriately considered compensation level could also incentive solar plus storage projects. The </w:t>
      </w:r>
      <w:proofErr w:type="spellStart"/>
      <w:r>
        <w:rPr>
          <w:rFonts w:cs="Calibri"/>
        </w:rPr>
        <w:t>PURPA</w:t>
      </w:r>
      <w:proofErr w:type="spellEnd"/>
      <w:r>
        <w:rPr>
          <w:rFonts w:cs="Calibri"/>
        </w:rPr>
        <w:t xml:space="preserve"> avoided cost may </w:t>
      </w:r>
      <w:r w:rsidRPr="00087C1F">
        <w:rPr>
          <w:rFonts w:cs="Calibri"/>
        </w:rPr>
        <w:t xml:space="preserve">not </w:t>
      </w:r>
      <w:r>
        <w:rPr>
          <w:rFonts w:cs="Calibri"/>
        </w:rPr>
        <w:t xml:space="preserve">be </w:t>
      </w:r>
      <w:r w:rsidRPr="00087C1F">
        <w:rPr>
          <w:rFonts w:cs="Calibri"/>
        </w:rPr>
        <w:t>the best measure for determining avoided cost</w:t>
      </w:r>
      <w:r>
        <w:rPr>
          <w:rFonts w:cs="Calibri"/>
        </w:rPr>
        <w:t xml:space="preserve"> and could </w:t>
      </w:r>
      <w:r w:rsidRPr="00087C1F">
        <w:rPr>
          <w:rFonts w:cs="Calibri"/>
        </w:rPr>
        <w:t>result in disincentives for community solar</w:t>
      </w:r>
      <w:r w:rsidRPr="00D76C5A">
        <w:rPr>
          <w:rFonts w:cs="Calibri"/>
        </w:rPr>
        <w:t xml:space="preserve"> </w:t>
      </w:r>
      <w:r>
        <w:rPr>
          <w:rFonts w:cs="Calibri"/>
        </w:rPr>
        <w:t xml:space="preserve">plus storage </w:t>
      </w:r>
      <w:r w:rsidRPr="00D76C5A">
        <w:rPr>
          <w:rFonts w:cs="Calibri"/>
        </w:rPr>
        <w:t xml:space="preserve">that </w:t>
      </w:r>
      <w:r>
        <w:rPr>
          <w:rFonts w:cs="Calibri"/>
        </w:rPr>
        <w:t>would</w:t>
      </w:r>
      <w:r w:rsidRPr="00D76C5A">
        <w:rPr>
          <w:rFonts w:cs="Calibri"/>
        </w:rPr>
        <w:t xml:space="preserve"> better service low income and disadvantaged communities.</w:t>
      </w:r>
      <w:r>
        <w:rPr>
          <w:rFonts w:cs="Calibri"/>
        </w:rPr>
        <w:t xml:space="preserve">  As explained above, an alternative means may be the better tool to measure adequate compensation because it can </w:t>
      </w:r>
      <w:r>
        <w:rPr>
          <w:rFonts w:cs="Calibri"/>
        </w:rPr>
        <w:lastRenderedPageBreak/>
        <w:t>be adjusted to fit the needs of the project and provides incentives to pair solar with storage.</w:t>
      </w:r>
    </w:p>
    <w:p w:rsidR="00C153F2" w:rsidP="00982390" w:rsidRDefault="00C153F2" w14:paraId="3DCC85BE" w14:textId="77777777">
      <w:pPr>
        <w:pStyle w:val="BodyDiss"/>
        <w:rPr>
          <w:rFonts w:cs="Calibri"/>
          <w:szCs w:val="26"/>
        </w:rPr>
      </w:pPr>
      <w:r w:rsidRPr="17ADF2EF">
        <w:rPr>
          <w:rFonts w:cs="Calibri"/>
          <w:szCs w:val="26"/>
        </w:rPr>
        <w:t xml:space="preserve">Further, the CRE program declines to adopt a locational requirement that might otherwise provide grid benefits and transmission and distribution avoided costs.  Vote Solar, Natural Resources Defense Council, and California Environmental Justice Alliance (collectively, CEJA, </w:t>
      </w:r>
      <w:r w:rsidRPr="00CA16FD">
        <w:rPr>
          <w:rFonts w:cs="Calibri"/>
          <w:i/>
          <w:szCs w:val="26"/>
        </w:rPr>
        <w:t>et al</w:t>
      </w:r>
      <w:r w:rsidRPr="17ADF2EF">
        <w:rPr>
          <w:rFonts w:cs="Calibri"/>
          <w:szCs w:val="26"/>
        </w:rPr>
        <w:t>.) recommend a locational requirement “to provide certainty of delivering full avoided cost benefits.”</w:t>
      </w:r>
      <w:r>
        <w:rPr>
          <w:rStyle w:val="FootnoteReference"/>
          <w:rFonts w:cs="Calibri"/>
        </w:rPr>
        <w:footnoteReference w:id="399"/>
      </w:r>
      <w:r w:rsidRPr="17ADF2EF">
        <w:rPr>
          <w:rFonts w:cs="Calibri"/>
          <w:szCs w:val="26"/>
        </w:rPr>
        <w:t xml:space="preserve">   </w:t>
      </w:r>
      <w:r>
        <w:rPr>
          <w:rFonts w:cs="Calibri"/>
          <w:szCs w:val="26"/>
        </w:rPr>
        <w:t>T</w:t>
      </w:r>
      <w:r w:rsidRPr="17ADF2EF">
        <w:rPr>
          <w:rFonts w:cs="Calibri"/>
          <w:szCs w:val="26"/>
        </w:rPr>
        <w:t>he next phase of the proceeding</w:t>
      </w:r>
      <w:r w:rsidRPr="0B2C577A">
        <w:rPr>
          <w:rFonts w:cs="Calibri"/>
          <w:szCs w:val="26"/>
        </w:rPr>
        <w:t>,</w:t>
      </w:r>
      <w:r w:rsidRPr="17ADF2EF">
        <w:rPr>
          <w:rFonts w:cs="Calibri"/>
          <w:szCs w:val="26"/>
        </w:rPr>
        <w:t xml:space="preserve"> as CEJA, </w:t>
      </w:r>
      <w:r w:rsidRPr="00CA16FD">
        <w:rPr>
          <w:rFonts w:cs="Calibri"/>
          <w:i/>
          <w:szCs w:val="26"/>
        </w:rPr>
        <w:t>et al</w:t>
      </w:r>
      <w:r w:rsidRPr="17ADF2EF">
        <w:rPr>
          <w:rFonts w:cs="Calibri"/>
          <w:szCs w:val="26"/>
        </w:rPr>
        <w:t xml:space="preserve">. requested, </w:t>
      </w:r>
      <w:r>
        <w:rPr>
          <w:rFonts w:cs="Calibri"/>
          <w:szCs w:val="26"/>
        </w:rPr>
        <w:t xml:space="preserve">should require </w:t>
      </w:r>
      <w:r w:rsidRPr="17ADF2EF">
        <w:rPr>
          <w:rFonts w:cs="Calibri"/>
          <w:szCs w:val="26"/>
        </w:rPr>
        <w:t>the</w:t>
      </w:r>
      <w:r>
        <w:rPr>
          <w:rFonts w:cs="Calibri"/>
          <w:szCs w:val="26"/>
        </w:rPr>
        <w:t xml:space="preserve"> </w:t>
      </w:r>
      <w:r w:rsidRPr="17ADF2EF">
        <w:rPr>
          <w:rFonts w:cs="Calibri"/>
          <w:szCs w:val="26"/>
        </w:rPr>
        <w:t>IOUs be required to provide information regarding which circuits would be locations that could benefit from community solar projects and create ratepayer cost savings.</w:t>
      </w:r>
      <w:r>
        <w:rPr>
          <w:rStyle w:val="FootnoteReference"/>
          <w:rFonts w:cs="Calibri"/>
          <w:szCs w:val="26"/>
        </w:rPr>
        <w:footnoteReference w:id="400"/>
      </w:r>
    </w:p>
    <w:p w:rsidRPr="007A3401" w:rsidR="00C153F2" w:rsidP="006130AA" w:rsidRDefault="00C153F2" w14:paraId="59C076D1" w14:textId="77777777">
      <w:pPr>
        <w:pStyle w:val="Section"/>
      </w:pPr>
      <w:r>
        <w:t>Title 24 Section 10-115 Consistency</w:t>
      </w:r>
    </w:p>
    <w:p w:rsidRPr="00F77EE5" w:rsidR="00C153F2" w:rsidP="00982390" w:rsidRDefault="00C153F2" w14:paraId="244DB94C" w14:textId="77777777">
      <w:pPr>
        <w:pStyle w:val="BodyDiss"/>
        <w:rPr>
          <w:szCs w:val="26"/>
        </w:rPr>
      </w:pPr>
      <w:r>
        <w:rPr>
          <w:szCs w:val="26"/>
        </w:rPr>
        <w:t>T</w:t>
      </w:r>
      <w:r w:rsidRPr="003308B1">
        <w:rPr>
          <w:szCs w:val="26"/>
        </w:rPr>
        <w:t>he CRE program as proposed may need to be adjusted to ensure consistency with the requirements of Section 10-115 of the California Building Standards Code (Title 24 of the California Code of Regulations).</w:t>
      </w:r>
      <w:r>
        <w:rPr>
          <w:rStyle w:val="FootnoteReference"/>
          <w:szCs w:val="26"/>
        </w:rPr>
        <w:footnoteReference w:id="401"/>
      </w:r>
      <w:r w:rsidRPr="003308B1">
        <w:rPr>
          <w:szCs w:val="26"/>
        </w:rPr>
        <w:t xml:space="preserve">  The decision requires additional workshops to vet several outstanding </w:t>
      </w:r>
      <w:r>
        <w:rPr>
          <w:szCs w:val="26"/>
        </w:rPr>
        <w:t>issues</w:t>
      </w:r>
      <w:r w:rsidRPr="003308B1">
        <w:rPr>
          <w:szCs w:val="26"/>
        </w:rPr>
        <w:t xml:space="preserve"> that will need to be resolved before the program can be implemented.  </w:t>
      </w:r>
      <w:bookmarkStart w:name="_Hlk168424502" w:id="279"/>
      <w:r w:rsidRPr="003308B1">
        <w:rPr>
          <w:szCs w:val="26"/>
        </w:rPr>
        <w:t xml:space="preserve">Community solar programs that are consistent with the provisions of Section 10-115 of Title 24 have the potential to create significant savings for bundled ratepayers where community solar, particularly community solar plus storage is utilized to offset new rooftop solar that would otherwise be compensated at the </w:t>
      </w:r>
      <w:proofErr w:type="spellStart"/>
      <w:r w:rsidRPr="003308B1">
        <w:rPr>
          <w:szCs w:val="26"/>
        </w:rPr>
        <w:t>NBT</w:t>
      </w:r>
      <w:proofErr w:type="spellEnd"/>
      <w:r w:rsidRPr="003308B1">
        <w:rPr>
          <w:szCs w:val="26"/>
        </w:rPr>
        <w:t xml:space="preserve"> rate.  </w:t>
      </w:r>
      <w:bookmarkEnd w:id="279"/>
      <w:r>
        <w:rPr>
          <w:szCs w:val="26"/>
        </w:rPr>
        <w:t xml:space="preserve">Some parties  </w:t>
      </w:r>
      <w:r w:rsidRPr="00F77EE5">
        <w:rPr>
          <w:szCs w:val="26"/>
        </w:rPr>
        <w:t xml:space="preserve">estimated </w:t>
      </w:r>
      <w:r>
        <w:rPr>
          <w:szCs w:val="26"/>
        </w:rPr>
        <w:t xml:space="preserve">roughly </w:t>
      </w:r>
      <w:r w:rsidRPr="00F77EE5">
        <w:rPr>
          <w:szCs w:val="26"/>
        </w:rPr>
        <w:t xml:space="preserve">400 MW of annual new solar install required to comply with the new buildings code. </w:t>
      </w:r>
      <w:r>
        <w:rPr>
          <w:szCs w:val="26"/>
        </w:rPr>
        <w:t xml:space="preserve"> </w:t>
      </w:r>
      <w:r w:rsidRPr="00F77EE5">
        <w:rPr>
          <w:szCs w:val="26"/>
        </w:rPr>
        <w:t>A Title 24 consistency finding by the C</w:t>
      </w:r>
      <w:r>
        <w:rPr>
          <w:szCs w:val="26"/>
        </w:rPr>
        <w:t xml:space="preserve">alifornia </w:t>
      </w:r>
      <w:r w:rsidRPr="00F77EE5">
        <w:rPr>
          <w:szCs w:val="26"/>
        </w:rPr>
        <w:t>E</w:t>
      </w:r>
      <w:r>
        <w:rPr>
          <w:szCs w:val="26"/>
        </w:rPr>
        <w:t xml:space="preserve">nergy </w:t>
      </w:r>
      <w:r w:rsidRPr="00F77EE5">
        <w:rPr>
          <w:szCs w:val="26"/>
        </w:rPr>
        <w:t>C</w:t>
      </w:r>
      <w:r>
        <w:rPr>
          <w:szCs w:val="26"/>
        </w:rPr>
        <w:t>ommission (CEC)</w:t>
      </w:r>
      <w:r w:rsidRPr="00F77EE5">
        <w:rPr>
          <w:szCs w:val="26"/>
        </w:rPr>
        <w:t xml:space="preserve"> could provide significant savings to all ratepayers as community solar projects funded at an adjusted ACC rate could reduce the number of new systems that fall under the </w:t>
      </w:r>
      <w:proofErr w:type="spellStart"/>
      <w:r w:rsidRPr="00F77EE5">
        <w:rPr>
          <w:szCs w:val="26"/>
        </w:rPr>
        <w:t>NBT</w:t>
      </w:r>
      <w:proofErr w:type="spellEnd"/>
      <w:r w:rsidRPr="00F77EE5">
        <w:rPr>
          <w:szCs w:val="26"/>
        </w:rPr>
        <w:t>.</w:t>
      </w:r>
      <w:r w:rsidRPr="00F77EE5">
        <w:rPr>
          <w:szCs w:val="26"/>
          <w:vertAlign w:val="superscript"/>
        </w:rPr>
        <w:footnoteReference w:id="402"/>
      </w:r>
      <w:r w:rsidRPr="00F77EE5">
        <w:rPr>
          <w:szCs w:val="26"/>
        </w:rPr>
        <w:t xml:space="preserve"> </w:t>
      </w:r>
      <w:r>
        <w:rPr>
          <w:szCs w:val="26"/>
        </w:rPr>
        <w:t xml:space="preserve"> </w:t>
      </w:r>
    </w:p>
    <w:p w:rsidRPr="003308B1" w:rsidR="00C153F2" w:rsidP="00982390" w:rsidRDefault="00C153F2" w14:paraId="7142C93D" w14:textId="0524314C">
      <w:pPr>
        <w:pStyle w:val="BodyDiss"/>
        <w:rPr>
          <w:szCs w:val="26"/>
        </w:rPr>
      </w:pPr>
      <w:r>
        <w:rPr>
          <w:szCs w:val="26"/>
        </w:rPr>
        <w:lastRenderedPageBreak/>
        <w:t>T</w:t>
      </w:r>
      <w:r w:rsidRPr="003308B1">
        <w:rPr>
          <w:szCs w:val="26"/>
        </w:rPr>
        <w:t xml:space="preserve">he decision defers to the </w:t>
      </w:r>
      <w:r>
        <w:rPr>
          <w:szCs w:val="26"/>
        </w:rPr>
        <w:t xml:space="preserve">CEC </w:t>
      </w:r>
      <w:r w:rsidRPr="003308B1">
        <w:rPr>
          <w:szCs w:val="26"/>
        </w:rPr>
        <w:t>for a determination of consistency with Section 10-115</w:t>
      </w:r>
      <w:r>
        <w:rPr>
          <w:szCs w:val="26"/>
        </w:rPr>
        <w:t xml:space="preserve"> as directed by </w:t>
      </w:r>
      <w:r w:rsidR="00CF370F">
        <w:rPr>
          <w:szCs w:val="26"/>
        </w:rPr>
        <w:t>AB </w:t>
      </w:r>
      <w:r>
        <w:rPr>
          <w:szCs w:val="26"/>
        </w:rPr>
        <w:t>2316</w:t>
      </w:r>
      <w:r w:rsidRPr="003308B1">
        <w:rPr>
          <w:szCs w:val="26"/>
        </w:rPr>
        <w:t xml:space="preserve">. </w:t>
      </w:r>
      <w:r>
        <w:rPr>
          <w:szCs w:val="26"/>
        </w:rPr>
        <w:t xml:space="preserve"> </w:t>
      </w:r>
      <w:r w:rsidRPr="003308B1">
        <w:rPr>
          <w:szCs w:val="26"/>
        </w:rPr>
        <w:t>For the CEC to make a finding</w:t>
      </w:r>
      <w:r>
        <w:rPr>
          <w:szCs w:val="26"/>
        </w:rPr>
        <w:t xml:space="preserve"> that a community solar project can </w:t>
      </w:r>
      <w:r w:rsidRPr="00982390">
        <w:t>replace</w:t>
      </w:r>
      <w:r>
        <w:rPr>
          <w:szCs w:val="26"/>
        </w:rPr>
        <w:t xml:space="preserve"> new roof top solar</w:t>
      </w:r>
      <w:r w:rsidRPr="003308B1">
        <w:rPr>
          <w:szCs w:val="26"/>
        </w:rPr>
        <w:t>, two critical issues</w:t>
      </w:r>
      <w:r>
        <w:rPr>
          <w:szCs w:val="26"/>
        </w:rPr>
        <w:t xml:space="preserve"> </w:t>
      </w:r>
      <w:r w:rsidRPr="003308B1">
        <w:rPr>
          <w:szCs w:val="26"/>
        </w:rPr>
        <w:t>must be addressed, 1)</w:t>
      </w:r>
      <w:r w:rsidR="009D25E5">
        <w:rPr>
          <w:szCs w:val="26"/>
        </w:rPr>
        <w:t> </w:t>
      </w:r>
      <w:r w:rsidRPr="003308B1">
        <w:rPr>
          <w:szCs w:val="26"/>
        </w:rPr>
        <w:t>the CRE criteria that requires registration of specific individual customers,</w:t>
      </w:r>
      <w:r>
        <w:rPr>
          <w:szCs w:val="26"/>
        </w:rPr>
        <w:t xml:space="preserve"> appears to be inconsistent with the provisions of</w:t>
      </w:r>
      <w:r w:rsidRPr="003308B1">
        <w:rPr>
          <w:szCs w:val="26"/>
        </w:rPr>
        <w:t xml:space="preserve"> Section 10-115 </w:t>
      </w:r>
      <w:r>
        <w:rPr>
          <w:szCs w:val="26"/>
        </w:rPr>
        <w:t xml:space="preserve">that </w:t>
      </w:r>
      <w:r w:rsidRPr="003308B1">
        <w:rPr>
          <w:szCs w:val="26"/>
        </w:rPr>
        <w:t xml:space="preserve">require the project to be tied to a physical </w:t>
      </w:r>
      <w:r>
        <w:rPr>
          <w:szCs w:val="26"/>
        </w:rPr>
        <w:t>building located at a specific property</w:t>
      </w:r>
      <w:r w:rsidRPr="003308B1">
        <w:rPr>
          <w:szCs w:val="26"/>
        </w:rPr>
        <w:t>;</w:t>
      </w:r>
      <w:r>
        <w:rPr>
          <w:rStyle w:val="FootnoteReference"/>
          <w:szCs w:val="26"/>
        </w:rPr>
        <w:footnoteReference w:id="403"/>
      </w:r>
      <w:r w:rsidRPr="003308B1">
        <w:rPr>
          <w:szCs w:val="26"/>
        </w:rPr>
        <w:t xml:space="preserve"> and 2)</w:t>
      </w:r>
      <w:r w:rsidR="009D25E5">
        <w:rPr>
          <w:szCs w:val="26"/>
        </w:rPr>
        <w:t> </w:t>
      </w:r>
      <w:r w:rsidRPr="003308B1">
        <w:rPr>
          <w:szCs w:val="26"/>
        </w:rPr>
        <w:t xml:space="preserve">the reliance on third-party funding that may or may not be </w:t>
      </w:r>
      <w:r w:rsidRPr="003308B1">
        <w:rPr>
          <w:szCs w:val="26"/>
        </w:rPr>
        <w:lastRenderedPageBreak/>
        <w:t>available for the 20-</w:t>
      </w:r>
      <w:r>
        <w:rPr>
          <w:szCs w:val="26"/>
        </w:rPr>
        <w:t xml:space="preserve">year </w:t>
      </w:r>
      <w:r w:rsidRPr="003308B1">
        <w:rPr>
          <w:szCs w:val="26"/>
        </w:rPr>
        <w:t>period required</w:t>
      </w:r>
      <w:r>
        <w:rPr>
          <w:szCs w:val="26"/>
        </w:rPr>
        <w:t xml:space="preserve"> by 10-115</w:t>
      </w:r>
      <w:r w:rsidRPr="003308B1">
        <w:rPr>
          <w:szCs w:val="26"/>
        </w:rPr>
        <w:t>.</w:t>
      </w:r>
      <w:r>
        <w:rPr>
          <w:rStyle w:val="FootnoteReference"/>
          <w:szCs w:val="26"/>
        </w:rPr>
        <w:footnoteReference w:id="404"/>
      </w:r>
      <w:r w:rsidRPr="003308B1">
        <w:rPr>
          <w:szCs w:val="26"/>
        </w:rPr>
        <w:t xml:space="preserve">  </w:t>
      </w:r>
      <w:r>
        <w:rPr>
          <w:szCs w:val="26"/>
        </w:rPr>
        <w:t>The Commission should</w:t>
      </w:r>
      <w:r w:rsidRPr="003308B1">
        <w:rPr>
          <w:szCs w:val="26"/>
        </w:rPr>
        <w:t xml:space="preserve"> coordinate closely with the CEC in the next phase of the proceeding to ensure consistency with Section 10-115 of Title 24.  </w:t>
      </w:r>
    </w:p>
    <w:p w:rsidR="00C153F2" w:rsidP="009D25E5" w:rsidRDefault="00C153F2" w14:paraId="6A8FB1C7" w14:textId="77777777">
      <w:pPr>
        <w:pStyle w:val="BodyDiss"/>
      </w:pPr>
      <w:bookmarkStart w:name="_Hlk168424381" w:id="280"/>
      <w:r w:rsidRPr="003308B1">
        <w:t xml:space="preserve">A Title 24 consistency finding by the CEC could provide significant savings to </w:t>
      </w:r>
      <w:r>
        <w:t xml:space="preserve">all </w:t>
      </w:r>
      <w:r w:rsidRPr="003308B1">
        <w:t xml:space="preserve">ratepayers as </w:t>
      </w:r>
      <w:r>
        <w:t xml:space="preserve">community solar projects </w:t>
      </w:r>
      <w:r w:rsidRPr="003308B1">
        <w:t xml:space="preserve">could reduce the </w:t>
      </w:r>
      <w:r>
        <w:t xml:space="preserve">estimated 400 MW of </w:t>
      </w:r>
      <w:r w:rsidRPr="003308B1">
        <w:t xml:space="preserve">new systems that fall under the </w:t>
      </w:r>
      <w:proofErr w:type="spellStart"/>
      <w:r w:rsidRPr="003308B1">
        <w:t>NBT</w:t>
      </w:r>
      <w:proofErr w:type="spellEnd"/>
      <w:r w:rsidRPr="003308B1">
        <w:t>.</w:t>
      </w:r>
      <w:r>
        <w:rPr>
          <w:rStyle w:val="FootnoteReference"/>
          <w:szCs w:val="26"/>
        </w:rPr>
        <w:footnoteReference w:id="405"/>
      </w:r>
      <w:r w:rsidRPr="003308B1">
        <w:t xml:space="preserve"> </w:t>
      </w:r>
    </w:p>
    <w:bookmarkEnd w:id="280"/>
    <w:p w:rsidRPr="00D02FD2" w:rsidR="00C153F2" w:rsidP="006130AA" w:rsidRDefault="00C153F2" w14:paraId="25A41E86" w14:textId="77777777">
      <w:pPr>
        <w:pStyle w:val="Section"/>
      </w:pPr>
      <w:r>
        <w:t>Third-party Funding</w:t>
      </w:r>
    </w:p>
    <w:p w:rsidR="00C153F2" w:rsidP="009D25E5" w:rsidRDefault="00C153F2" w14:paraId="701FAA02" w14:textId="77777777">
      <w:pPr>
        <w:pStyle w:val="BodyDiss"/>
        <w:rPr>
          <w:rFonts w:cs="Segoe UI"/>
          <w:szCs w:val="26"/>
        </w:rPr>
      </w:pPr>
      <w:r w:rsidRPr="009A7DE0">
        <w:rPr>
          <w:rFonts w:cs="Segoe UI"/>
          <w:szCs w:val="26"/>
        </w:rPr>
        <w:t>The community solar program proposed here is dependent on third</w:t>
      </w:r>
      <w:r>
        <w:rPr>
          <w:rFonts w:cs="Segoe UI"/>
          <w:szCs w:val="26"/>
        </w:rPr>
        <w:t>-</w:t>
      </w:r>
      <w:r w:rsidRPr="009A7DE0">
        <w:rPr>
          <w:rFonts w:cs="Segoe UI"/>
          <w:szCs w:val="26"/>
        </w:rPr>
        <w:t xml:space="preserve">party funding to cover the cost of bill credits for low-income subscribers.  It is unclear how much third-party funding would be needed to ensure a meaningful value to low-income subscribers, or where funding would come from to cover credits to non-low-income subscribers, or how long such funding would last.  The reliance on </w:t>
      </w:r>
      <w:r>
        <w:rPr>
          <w:rFonts w:cs="Segoe UI"/>
          <w:szCs w:val="26"/>
        </w:rPr>
        <w:t xml:space="preserve">non-dedicated third-party </w:t>
      </w:r>
      <w:r w:rsidRPr="009A7DE0">
        <w:rPr>
          <w:rFonts w:cs="Segoe UI"/>
          <w:szCs w:val="26"/>
        </w:rPr>
        <w:t xml:space="preserve">funding puts the program at risk of failing, or potentially having to have ratepayers cover the full cost of the program going forward.  </w:t>
      </w:r>
    </w:p>
    <w:p w:rsidR="00C153F2" w:rsidP="009D25E5" w:rsidRDefault="00C153F2" w14:paraId="25332EA9" w14:textId="77777777">
      <w:pPr>
        <w:pStyle w:val="BodyDiss"/>
        <w:rPr>
          <w:szCs w:val="26"/>
        </w:rPr>
      </w:pPr>
      <w:r w:rsidRPr="00CA16FD">
        <w:rPr>
          <w:rFonts w:cs="Segoe UI"/>
          <w:szCs w:val="26"/>
        </w:rPr>
        <w:t xml:space="preserve">Potential </w:t>
      </w:r>
      <w:r w:rsidRPr="00144D56">
        <w:rPr>
          <w:rFonts w:cs="Segoe UI"/>
          <w:szCs w:val="26"/>
        </w:rPr>
        <w:t>third-party</w:t>
      </w:r>
      <w:r w:rsidRPr="00CA16FD">
        <w:rPr>
          <w:rFonts w:cs="Segoe UI"/>
          <w:szCs w:val="26"/>
        </w:rPr>
        <w:t xml:space="preserve"> funding could include funding </w:t>
      </w:r>
      <w:r>
        <w:rPr>
          <w:rFonts w:cs="Segoe UI"/>
          <w:szCs w:val="26"/>
        </w:rPr>
        <w:t>such as federal grant dollars and Cap-and-Trade Greenhouse Gas (GHG) allowances</w:t>
      </w:r>
      <w:r w:rsidRPr="00716DEE">
        <w:rPr>
          <w:rFonts w:cs="Segoe UI"/>
          <w:szCs w:val="26"/>
        </w:rPr>
        <w:t>.</w:t>
      </w:r>
      <w:r>
        <w:rPr>
          <w:rFonts w:cs="Segoe UI"/>
          <w:szCs w:val="26"/>
        </w:rPr>
        <w:t xml:space="preserve">  However, as TURN points out  “[t]he [decision] does not address the fact that the diversion of GHG allowances for this purpose would represent a cost shift from the general body of ratepayers who would otherwise benefit from these revenues through the Climate Dividend.”</w:t>
      </w:r>
      <w:r>
        <w:rPr>
          <w:rStyle w:val="FootnoteReference"/>
          <w:rFonts w:cs="Segoe UI"/>
          <w:szCs w:val="26"/>
        </w:rPr>
        <w:footnoteReference w:id="406"/>
      </w:r>
      <w:r w:rsidRPr="00716DEE">
        <w:rPr>
          <w:rFonts w:cs="Segoe UI"/>
          <w:szCs w:val="26"/>
        </w:rPr>
        <w:t xml:space="preserve">  </w:t>
      </w:r>
      <w:r>
        <w:rPr>
          <w:rFonts w:cs="Segoe UI"/>
          <w:szCs w:val="26"/>
        </w:rPr>
        <w:t xml:space="preserve">Without a secure funding sources we are risking taking away current benefits from ratepayers or shifting the full cost of the program to all ratepayers in the future. </w:t>
      </w:r>
      <w:r w:rsidRPr="00716DEE">
        <w:rPr>
          <w:rFonts w:cs="Segoe UI"/>
          <w:szCs w:val="26"/>
        </w:rPr>
        <w:t xml:space="preserve">Federal funding should be </w:t>
      </w:r>
      <w:r>
        <w:rPr>
          <w:rFonts w:cs="Segoe UI"/>
          <w:szCs w:val="26"/>
        </w:rPr>
        <w:t>used</w:t>
      </w:r>
      <w:r w:rsidRPr="00716DEE">
        <w:rPr>
          <w:rFonts w:cs="Segoe UI"/>
          <w:szCs w:val="26"/>
        </w:rPr>
        <w:t xml:space="preserve"> to provide as many long-term benefits as possible for low-income customers. </w:t>
      </w:r>
    </w:p>
    <w:p w:rsidRPr="00716DEE" w:rsidR="00C153F2" w:rsidP="006130AA" w:rsidRDefault="00C153F2" w14:paraId="71A4F387" w14:textId="77777777">
      <w:pPr>
        <w:pStyle w:val="Section"/>
      </w:pPr>
      <w:r w:rsidRPr="000F5F99">
        <w:lastRenderedPageBreak/>
        <w:t>Projects in the Central Valley</w:t>
      </w:r>
    </w:p>
    <w:p w:rsidR="00C153F2" w:rsidP="008B34D0" w:rsidRDefault="00C153F2" w14:paraId="32E5E74B" w14:textId="3990DF23">
      <w:pPr>
        <w:pStyle w:val="BodyDiss"/>
        <w:rPr>
          <w:rFonts w:cs="Segoe UI"/>
          <w:szCs w:val="26"/>
        </w:rPr>
      </w:pPr>
      <w:r>
        <w:rPr>
          <w:rFonts w:cs="Segoe UI"/>
          <w:szCs w:val="26"/>
        </w:rPr>
        <w:t xml:space="preserve">Under </w:t>
      </w:r>
      <w:r w:rsidR="00CF370F">
        <w:rPr>
          <w:rFonts w:cs="Segoe UI"/>
          <w:szCs w:val="26"/>
        </w:rPr>
        <w:t>AB </w:t>
      </w:r>
      <w:r>
        <w:rPr>
          <w:rFonts w:cs="Segoe UI"/>
          <w:szCs w:val="26"/>
        </w:rPr>
        <w:t>2672 (Perea, 2014), t</w:t>
      </w:r>
      <w:r w:rsidRPr="00716DEE">
        <w:rPr>
          <w:rFonts w:cs="Segoe UI"/>
          <w:szCs w:val="26"/>
        </w:rPr>
        <w:t xml:space="preserve">he </w:t>
      </w:r>
      <w:r>
        <w:rPr>
          <w:rFonts w:cs="Segoe UI"/>
          <w:szCs w:val="26"/>
        </w:rPr>
        <w:t xml:space="preserve">legislature tasked the </w:t>
      </w:r>
      <w:r w:rsidRPr="00716DEE">
        <w:rPr>
          <w:rFonts w:cs="Segoe UI"/>
          <w:szCs w:val="26"/>
        </w:rPr>
        <w:t xml:space="preserve">Commission </w:t>
      </w:r>
      <w:r>
        <w:rPr>
          <w:rFonts w:cs="Segoe UI"/>
          <w:szCs w:val="26"/>
        </w:rPr>
        <w:t xml:space="preserve">to identify disadvantaged communities for replacing propane and wood burning appliances with electric appliances. In the resulting proceeding, we </w:t>
      </w:r>
      <w:r w:rsidRPr="00716DEE">
        <w:rPr>
          <w:rFonts w:cs="Segoe UI"/>
          <w:szCs w:val="26"/>
        </w:rPr>
        <w:t>identified 17</w:t>
      </w:r>
      <w:r>
        <w:rPr>
          <w:rFonts w:cs="Segoe UI"/>
          <w:szCs w:val="26"/>
        </w:rPr>
        <w:t>9</w:t>
      </w:r>
      <w:r w:rsidRPr="00716DEE">
        <w:rPr>
          <w:rFonts w:cs="Segoe UI"/>
          <w:szCs w:val="26"/>
        </w:rPr>
        <w:t xml:space="preserve"> disadvantaged </w:t>
      </w:r>
      <w:r w:rsidRPr="008B34D0">
        <w:t>communities</w:t>
      </w:r>
      <w:r w:rsidRPr="00716DEE">
        <w:rPr>
          <w:rFonts w:cs="Segoe UI"/>
          <w:szCs w:val="26"/>
        </w:rPr>
        <w:t xml:space="preserve"> in the Central Valley.</w:t>
      </w:r>
      <w:r>
        <w:rPr>
          <w:rStyle w:val="FootnoteReference"/>
          <w:rFonts w:cs="Segoe UI"/>
          <w:szCs w:val="26"/>
        </w:rPr>
        <w:footnoteReference w:id="407"/>
      </w:r>
      <w:r>
        <w:rPr>
          <w:rFonts w:cs="Segoe UI"/>
          <w:szCs w:val="26"/>
        </w:rPr>
        <w:t xml:space="preserve">  F</w:t>
      </w:r>
      <w:r w:rsidRPr="00716DEE">
        <w:rPr>
          <w:rFonts w:cs="Segoe UI"/>
          <w:szCs w:val="26"/>
        </w:rPr>
        <w:t xml:space="preserve">urther workshops on outstanding implementation issues should </w:t>
      </w:r>
      <w:r>
        <w:rPr>
          <w:rFonts w:cs="Segoe UI"/>
          <w:szCs w:val="26"/>
        </w:rPr>
        <w:t>consider</w:t>
      </w:r>
      <w:r w:rsidRPr="00716DEE">
        <w:rPr>
          <w:rFonts w:cs="Segoe UI"/>
          <w:szCs w:val="26"/>
        </w:rPr>
        <w:t xml:space="preserve"> whether </w:t>
      </w:r>
      <w:r>
        <w:rPr>
          <w:rFonts w:cs="Segoe UI"/>
          <w:szCs w:val="26"/>
        </w:rPr>
        <w:t xml:space="preserve">CRE </w:t>
      </w:r>
      <w:r w:rsidRPr="00716DEE">
        <w:rPr>
          <w:rFonts w:cs="Segoe UI"/>
          <w:szCs w:val="26"/>
        </w:rPr>
        <w:t xml:space="preserve">projects </w:t>
      </w:r>
      <w:r>
        <w:rPr>
          <w:rFonts w:cs="Segoe UI"/>
          <w:szCs w:val="26"/>
        </w:rPr>
        <w:t xml:space="preserve">can serve these 179 communities </w:t>
      </w:r>
      <w:r w:rsidRPr="00716DEE">
        <w:rPr>
          <w:rFonts w:cs="Segoe UI"/>
          <w:szCs w:val="26"/>
        </w:rPr>
        <w:t>in the Central Valley to meet the 51</w:t>
      </w:r>
      <w:r>
        <w:rPr>
          <w:rFonts w:cs="Segoe UI"/>
          <w:szCs w:val="26"/>
        </w:rPr>
        <w:t xml:space="preserve"> percent</w:t>
      </w:r>
      <w:r w:rsidRPr="00716DEE">
        <w:rPr>
          <w:rFonts w:cs="Segoe UI"/>
          <w:szCs w:val="26"/>
        </w:rPr>
        <w:t xml:space="preserve"> low-income disadvantaged community subscriber requirement</w:t>
      </w:r>
      <w:r>
        <w:rPr>
          <w:rFonts w:cs="Segoe UI"/>
          <w:szCs w:val="26"/>
        </w:rPr>
        <w:t>.  This</w:t>
      </w:r>
      <w:r w:rsidRPr="00716DEE">
        <w:rPr>
          <w:rFonts w:cs="Segoe UI"/>
          <w:szCs w:val="26"/>
        </w:rPr>
        <w:t xml:space="preserve"> could provide bill relief and support building decarbonization efforts for these hard-to-reach communities</w:t>
      </w:r>
      <w:r>
        <w:rPr>
          <w:rFonts w:cs="Segoe UI"/>
          <w:szCs w:val="26"/>
        </w:rPr>
        <w:t>. This also has the added benefit of building</w:t>
      </w:r>
      <w:r w:rsidRPr="00716DEE">
        <w:rPr>
          <w:rFonts w:cs="Segoe UI"/>
          <w:szCs w:val="26"/>
        </w:rPr>
        <w:t xml:space="preserve"> </w:t>
      </w:r>
      <w:r>
        <w:rPr>
          <w:rFonts w:cs="Segoe UI"/>
          <w:szCs w:val="26"/>
        </w:rPr>
        <w:t xml:space="preserve">larger scale </w:t>
      </w:r>
      <w:r w:rsidRPr="00716DEE">
        <w:rPr>
          <w:rFonts w:cs="Segoe UI"/>
          <w:szCs w:val="26"/>
        </w:rPr>
        <w:t>generation closer to load</w:t>
      </w:r>
      <w:r>
        <w:rPr>
          <w:rFonts w:cs="Segoe UI"/>
          <w:szCs w:val="26"/>
        </w:rPr>
        <w:t xml:space="preserve"> which would contribute to much needed reliability and increased capacity for these communities</w:t>
      </w:r>
      <w:r w:rsidRPr="00716DEE">
        <w:rPr>
          <w:rFonts w:cs="Segoe UI"/>
          <w:szCs w:val="26"/>
        </w:rPr>
        <w:t xml:space="preserve">.  </w:t>
      </w:r>
    </w:p>
    <w:p w:rsidRPr="000F5F99" w:rsidR="00C153F2" w:rsidP="006130AA" w:rsidRDefault="00C153F2" w14:paraId="10BAFE01" w14:textId="77777777">
      <w:pPr>
        <w:pStyle w:val="Section"/>
      </w:pPr>
      <w:r w:rsidRPr="000F5F99">
        <w:t>Implementation Phase Considerations</w:t>
      </w:r>
    </w:p>
    <w:p w:rsidRPr="005630D0" w:rsidR="00C153F2" w:rsidP="008B34D0" w:rsidRDefault="00C153F2" w14:paraId="0AD81C19" w14:textId="77777777">
      <w:pPr>
        <w:pStyle w:val="BodyDiss"/>
        <w:rPr>
          <w:rFonts w:cs="Segoe UI"/>
          <w:szCs w:val="26"/>
        </w:rPr>
      </w:pPr>
      <w:r w:rsidRPr="005630D0">
        <w:rPr>
          <w:rFonts w:cs="Segoe UI"/>
          <w:szCs w:val="26"/>
        </w:rPr>
        <w:t xml:space="preserve">I recognize and appreciate that additional work will be needed before implementation of the CRE program can occur. </w:t>
      </w:r>
      <w:r>
        <w:rPr>
          <w:rFonts w:cs="Segoe UI"/>
          <w:szCs w:val="26"/>
        </w:rPr>
        <w:t xml:space="preserve"> </w:t>
      </w:r>
      <w:r w:rsidRPr="005630D0">
        <w:rPr>
          <w:rFonts w:cs="Segoe UI"/>
          <w:szCs w:val="26"/>
        </w:rPr>
        <w:t xml:space="preserve">During the implementation phase, I would encourage careful consideration of refinements or potential amendments to the program. </w:t>
      </w:r>
      <w:r>
        <w:rPr>
          <w:rFonts w:cs="Segoe UI"/>
          <w:szCs w:val="26"/>
        </w:rPr>
        <w:t xml:space="preserve"> </w:t>
      </w:r>
      <w:r w:rsidRPr="008B34D0">
        <w:t>Some</w:t>
      </w:r>
      <w:r w:rsidRPr="0058745C">
        <w:rPr>
          <w:rFonts w:cs="Segoe UI"/>
          <w:szCs w:val="26"/>
        </w:rPr>
        <w:t xml:space="preserve"> considerations may include other funding mechanisms, compensation at a rate that could offset bill credits within the parameters of the ACC or a modified ACC, requiring the pairing of solar and storage, locational requirements, and a minimum percentage of community solar projects that can offset new Title 24 rooftop solar.</w:t>
      </w:r>
    </w:p>
    <w:p w:rsidR="00C153F2" w:rsidP="00C44173" w:rsidRDefault="00C153F2" w14:paraId="56251CD3" w14:textId="77777777">
      <w:pPr>
        <w:pStyle w:val="Section"/>
      </w:pPr>
      <w:r>
        <w:t>Conclusion</w:t>
      </w:r>
    </w:p>
    <w:p w:rsidR="00C153F2" w:rsidP="00C44173" w:rsidRDefault="00C153F2" w14:paraId="04D45A2F" w14:textId="77777777">
      <w:pPr>
        <w:pStyle w:val="BodyDiss"/>
        <w:keepNext/>
        <w:rPr>
          <w:szCs w:val="26"/>
        </w:rPr>
      </w:pPr>
      <w:r w:rsidRPr="0049642F">
        <w:rPr>
          <w:szCs w:val="26"/>
        </w:rPr>
        <w:t xml:space="preserve">I cannot </w:t>
      </w:r>
      <w:r>
        <w:rPr>
          <w:szCs w:val="26"/>
        </w:rPr>
        <w:t>support</w:t>
      </w:r>
      <w:r w:rsidRPr="0049642F">
        <w:rPr>
          <w:szCs w:val="26"/>
        </w:rPr>
        <w:t xml:space="preserve"> the proposed decision</w:t>
      </w:r>
      <w:r>
        <w:rPr>
          <w:szCs w:val="26"/>
        </w:rPr>
        <w:t>.</w:t>
      </w:r>
      <w:r w:rsidRPr="0049642F">
        <w:rPr>
          <w:szCs w:val="26"/>
        </w:rPr>
        <w:t xml:space="preserve"> </w:t>
      </w:r>
      <w:r>
        <w:rPr>
          <w:szCs w:val="26"/>
        </w:rPr>
        <w:t xml:space="preserve"> Yet I do believe there is </w:t>
      </w:r>
      <w:r w:rsidRPr="0049642F">
        <w:rPr>
          <w:szCs w:val="26"/>
        </w:rPr>
        <w:t>an opportunity to adjust the program through the next phase of the proceeding</w:t>
      </w:r>
      <w:r>
        <w:rPr>
          <w:szCs w:val="26"/>
        </w:rPr>
        <w:t xml:space="preserve">. </w:t>
      </w:r>
      <w:r w:rsidRPr="0049642F">
        <w:rPr>
          <w:szCs w:val="26"/>
        </w:rPr>
        <w:t xml:space="preserve"> I encourage everyone to think outside the box and (particularly the solar industry and the </w:t>
      </w:r>
      <w:r>
        <w:rPr>
          <w:szCs w:val="26"/>
        </w:rPr>
        <w:lastRenderedPageBreak/>
        <w:t>investor-owned utilities</w:t>
      </w:r>
      <w:r w:rsidRPr="0049642F">
        <w:rPr>
          <w:szCs w:val="26"/>
        </w:rPr>
        <w:t xml:space="preserve">) to come to the table with </w:t>
      </w:r>
      <w:r>
        <w:rPr>
          <w:szCs w:val="26"/>
        </w:rPr>
        <w:t xml:space="preserve">meaningful </w:t>
      </w:r>
      <w:r w:rsidRPr="0049642F">
        <w:rPr>
          <w:szCs w:val="26"/>
        </w:rPr>
        <w:t xml:space="preserve">proposals </w:t>
      </w:r>
      <w:r>
        <w:rPr>
          <w:szCs w:val="26"/>
        </w:rPr>
        <w:t xml:space="preserve">for implementation </w:t>
      </w:r>
      <w:r w:rsidRPr="0049642F">
        <w:rPr>
          <w:szCs w:val="26"/>
        </w:rPr>
        <w:t xml:space="preserve">that result in cost-effective programs that benefit all interests.  </w:t>
      </w:r>
    </w:p>
    <w:p w:rsidR="00C153F2" w:rsidP="00C4484E" w:rsidRDefault="00C153F2" w14:paraId="18ED8908" w14:textId="77777777">
      <w:pPr>
        <w:pStyle w:val="BodyDiss"/>
        <w:keepNext/>
        <w:spacing w:after="0"/>
      </w:pPr>
      <w:r w:rsidRPr="007A3401">
        <w:t xml:space="preserve">For the </w:t>
      </w:r>
      <w:r w:rsidRPr="004B09B1">
        <w:rPr>
          <w:szCs w:val="26"/>
        </w:rPr>
        <w:t>reasons</w:t>
      </w:r>
      <w:r w:rsidRPr="007A3401">
        <w:t xml:space="preserve"> articulated above, I respectfully dissent.</w:t>
      </w:r>
    </w:p>
    <w:p w:rsidR="00634405" w:rsidP="00C44173" w:rsidRDefault="00634405" w14:paraId="4348CB37" w14:textId="77777777">
      <w:pPr>
        <w:keepNext/>
        <w:tabs>
          <w:tab w:val="left" w:pos="3888"/>
        </w:tabs>
        <w:spacing w:line="240" w:lineRule="auto"/>
        <w:ind w:firstLine="0"/>
        <w:rPr>
          <w:szCs w:val="20"/>
          <w:u w:val="single"/>
        </w:rPr>
      </w:pPr>
    </w:p>
    <w:p w:rsidR="00C4484E" w:rsidP="00C44173" w:rsidRDefault="00C4484E" w14:paraId="572ACF37" w14:textId="77777777">
      <w:pPr>
        <w:keepNext/>
        <w:tabs>
          <w:tab w:val="left" w:pos="3888"/>
        </w:tabs>
        <w:spacing w:line="240" w:lineRule="auto"/>
        <w:ind w:firstLine="0"/>
        <w:rPr>
          <w:szCs w:val="20"/>
          <w:u w:val="single"/>
        </w:rPr>
      </w:pPr>
    </w:p>
    <w:p w:rsidRPr="00B87E34" w:rsidR="00982390" w:rsidP="00C44173" w:rsidRDefault="00982390" w14:paraId="6AAAA88C" w14:textId="427FFE3A">
      <w:pPr>
        <w:keepNext/>
        <w:tabs>
          <w:tab w:val="left" w:pos="3888"/>
        </w:tabs>
        <w:spacing w:line="240" w:lineRule="auto"/>
        <w:ind w:firstLine="0"/>
        <w:rPr>
          <w:szCs w:val="20"/>
          <w:u w:val="single"/>
        </w:rPr>
      </w:pPr>
      <w:r w:rsidRPr="00630EBF">
        <w:rPr>
          <w:szCs w:val="20"/>
          <w:u w:val="single"/>
        </w:rPr>
        <w:t>/s/  DARCIE L. HOUCK</w:t>
      </w:r>
      <w:r w:rsidRPr="00B87E34">
        <w:rPr>
          <w:szCs w:val="20"/>
          <w:u w:val="single"/>
        </w:rPr>
        <w:tab/>
      </w:r>
    </w:p>
    <w:p w:rsidR="00982390" w:rsidP="005B7BE4" w:rsidRDefault="00982390" w14:paraId="15EC02CB" w14:textId="77777777">
      <w:pPr>
        <w:keepNext/>
        <w:spacing w:line="240" w:lineRule="auto"/>
        <w:ind w:firstLine="0"/>
        <w:rPr>
          <w:szCs w:val="20"/>
        </w:rPr>
      </w:pPr>
      <w:r>
        <w:rPr>
          <w:szCs w:val="20"/>
        </w:rPr>
        <w:t>Commissioner</w:t>
      </w:r>
    </w:p>
    <w:p w:rsidR="005B7BE4" w:rsidP="00982390" w:rsidRDefault="005B7BE4" w14:paraId="219C90CD" w14:textId="4C08D3A9">
      <w:pPr>
        <w:spacing w:line="240" w:lineRule="auto"/>
        <w:ind w:firstLine="0"/>
        <w:rPr>
          <w:szCs w:val="20"/>
        </w:rPr>
      </w:pPr>
      <w:r>
        <w:rPr>
          <w:szCs w:val="20"/>
        </w:rPr>
        <w:t>California Public Utilities Commission</w:t>
      </w:r>
    </w:p>
    <w:p w:rsidR="00663B31" w:rsidP="00982390" w:rsidRDefault="00663B31" w14:paraId="1540318B" w14:textId="77777777">
      <w:pPr>
        <w:spacing w:line="240" w:lineRule="auto"/>
        <w:ind w:firstLine="0"/>
        <w:sectPr w:rsidR="00663B31" w:rsidSect="00C73908">
          <w:footerReference w:type="default" r:id="rId16"/>
          <w:footnotePr>
            <w:numRestart w:val="eachSect"/>
          </w:footnotePr>
          <w:pgSz w:w="12240" w:h="15840"/>
          <w:pgMar w:top="1728" w:right="1440" w:bottom="1440" w:left="1440" w:header="720" w:footer="720" w:gutter="0"/>
          <w:pgNumType w:start="1"/>
          <w:cols w:space="720"/>
          <w:docGrid w:linePitch="360"/>
        </w:sectPr>
      </w:pPr>
    </w:p>
    <w:p w:rsidR="00663B31" w:rsidP="00663B31" w:rsidRDefault="00663B31" w14:paraId="1278B546" w14:textId="77777777">
      <w:pPr>
        <w:ind w:firstLine="0"/>
      </w:pPr>
    </w:p>
    <w:p w:rsidR="00663B31" w:rsidP="00663B31" w:rsidRDefault="00663B31" w14:paraId="3BCEEAB7" w14:textId="77777777">
      <w:pPr>
        <w:ind w:firstLine="0"/>
      </w:pPr>
    </w:p>
    <w:p w:rsidR="00663B31" w:rsidP="00663B31" w:rsidRDefault="00663B31" w14:paraId="0C0F2F5F" w14:textId="77777777">
      <w:pPr>
        <w:ind w:firstLine="0"/>
      </w:pPr>
    </w:p>
    <w:p w:rsidR="00663B31" w:rsidP="00663B31" w:rsidRDefault="00663B31" w14:paraId="3D990E87" w14:textId="77777777">
      <w:pPr>
        <w:ind w:firstLine="0"/>
      </w:pPr>
    </w:p>
    <w:p w:rsidR="00663B31" w:rsidP="00663B31" w:rsidRDefault="00663B31" w14:paraId="33CF21AB" w14:textId="77777777">
      <w:pPr>
        <w:ind w:firstLine="0"/>
      </w:pPr>
    </w:p>
    <w:p w:rsidR="00663B31" w:rsidP="00663B31" w:rsidRDefault="00663B31" w14:paraId="2C4B61AF" w14:textId="77777777">
      <w:pPr>
        <w:ind w:firstLine="0"/>
      </w:pPr>
    </w:p>
    <w:p w:rsidR="00663B31" w:rsidP="00663B31" w:rsidRDefault="00663B31" w14:paraId="62EF31C4" w14:textId="77777777">
      <w:pPr>
        <w:ind w:firstLine="0"/>
      </w:pPr>
    </w:p>
    <w:p w:rsidR="00663B31" w:rsidP="00663B31" w:rsidRDefault="00663B31" w14:paraId="0D551914" w14:textId="77777777">
      <w:pPr>
        <w:ind w:firstLine="0"/>
      </w:pPr>
    </w:p>
    <w:p w:rsidR="00663B31" w:rsidP="00663B31" w:rsidRDefault="00663B31" w14:paraId="14AFC4D2" w14:textId="77777777">
      <w:pPr>
        <w:ind w:firstLine="0"/>
      </w:pPr>
    </w:p>
    <w:p w:rsidR="00663B31" w:rsidP="00663B31" w:rsidRDefault="00663B31" w14:paraId="361E7ABD" w14:textId="77777777">
      <w:pPr>
        <w:ind w:firstLine="0"/>
      </w:pPr>
    </w:p>
    <w:p w:rsidR="00663B31" w:rsidP="00663B31" w:rsidRDefault="00663B31" w14:paraId="4A578551" w14:textId="77777777">
      <w:pPr>
        <w:ind w:firstLine="0"/>
      </w:pPr>
    </w:p>
    <w:p w:rsidR="00663B31" w:rsidP="00663B31" w:rsidRDefault="00663B31" w14:paraId="1AA25A68" w14:textId="77777777">
      <w:pPr>
        <w:ind w:firstLine="0"/>
        <w:jc w:val="center"/>
        <w:rPr>
          <w:b/>
          <w:bCs/>
          <w:sz w:val="50"/>
        </w:rPr>
      </w:pPr>
      <w:r>
        <w:rPr>
          <w:b/>
          <w:bCs/>
          <w:sz w:val="50"/>
        </w:rPr>
        <w:t>APPENDIX A</w:t>
      </w:r>
    </w:p>
    <w:p w:rsidR="00663B31" w:rsidP="00982390" w:rsidRDefault="00663B31" w14:paraId="2337E0D2" w14:textId="77777777">
      <w:pPr>
        <w:spacing w:line="240" w:lineRule="auto"/>
        <w:ind w:firstLine="0"/>
      </w:pPr>
    </w:p>
    <w:sectPr w:rsidR="00663B31" w:rsidSect="00C73908">
      <w:footerReference w:type="default" r:id="rId17"/>
      <w:footnotePr>
        <w:numRestart w:val="eachSect"/>
      </w:footnotePr>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26DA" w14:textId="77777777" w:rsidR="00AD4FCF" w:rsidRDefault="00AD4FCF" w:rsidP="0098138E">
      <w:pPr>
        <w:spacing w:line="240" w:lineRule="auto"/>
      </w:pPr>
      <w:r>
        <w:separator/>
      </w:r>
    </w:p>
  </w:endnote>
  <w:endnote w:type="continuationSeparator" w:id="0">
    <w:p w14:paraId="5CFFEE90" w14:textId="77777777" w:rsidR="00AD4FCF" w:rsidRDefault="00AD4FCF" w:rsidP="0098138E">
      <w:pPr>
        <w:spacing w:line="240" w:lineRule="auto"/>
      </w:pPr>
      <w:r>
        <w:continuationSeparator/>
      </w:r>
    </w:p>
  </w:endnote>
  <w:endnote w:type="continuationNotice" w:id="1">
    <w:p w14:paraId="1CB01C6B" w14:textId="77777777" w:rsidR="00AD4FCF" w:rsidRDefault="00AD4F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306F" w14:textId="5E5717CE" w:rsidR="00F92385" w:rsidRDefault="003D6EF8" w:rsidP="00EF471A">
    <w:pPr>
      <w:spacing w:line="240" w:lineRule="auto"/>
      <w:ind w:firstLine="0"/>
      <w:jc w:val="center"/>
    </w:pPr>
    <w:r>
      <w:noBreakHyphen/>
    </w:r>
    <w:r w:rsidR="00EF471A">
      <w:t xml:space="preserve"> </w:t>
    </w:r>
    <w:sdt>
      <w:sdtPr>
        <w:id w:val="-1472208903"/>
        <w:docPartObj>
          <w:docPartGallery w:val="Page Numbers (Bottom of Page)"/>
          <w:docPartUnique/>
        </w:docPartObj>
      </w:sdtPr>
      <w:sdtEndPr>
        <w:rPr>
          <w:noProof/>
        </w:rPr>
      </w:sdtEndPr>
      <w:sdtContent>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sidR="00EF471A">
          <w:rPr>
            <w:noProof/>
          </w:rPr>
          <w:t xml:space="preserve"> </w:t>
        </w:r>
        <w:r>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70EA" w14:textId="45031422" w:rsidR="00632207" w:rsidRDefault="00DB6A3D" w:rsidP="00BA0262">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00744EA5" w:rsidRPr="00744EA5">
          <w:rPr>
            <w:sz w:val="16"/>
            <w:szCs w:val="16"/>
          </w:rPr>
          <w:t>533188781</w:t>
        </w:r>
        <w:r w:rsidR="00632207">
          <w:rPr>
            <w:rFonts w:ascii="Arial" w:hAnsi="Arial" w:cs="Arial"/>
            <w:sz w:val="16"/>
            <w:szCs w:val="16"/>
          </w:rPr>
          <w:tab/>
        </w:r>
        <w:r w:rsidR="003D6EF8">
          <w:noBreakHyphen/>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3D6EF8">
      <w:rPr>
        <w:noProof/>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739865"/>
      <w:docPartObj>
        <w:docPartGallery w:val="Page Numbers (Bottom of Page)"/>
        <w:docPartUnique/>
      </w:docPartObj>
    </w:sdtPr>
    <w:sdtEndPr>
      <w:rPr>
        <w:noProof/>
      </w:rPr>
    </w:sdtEndPr>
    <w:sdtContent>
      <w:p w14:paraId="5B419E93" w14:textId="4445BEE9" w:rsidR="00634405" w:rsidRPr="0007780D" w:rsidRDefault="006130AA" w:rsidP="006130AA">
        <w:pPr>
          <w:pStyle w:val="Footer"/>
          <w:ind w:firstLine="0"/>
          <w:jc w:val="center"/>
        </w:pPr>
        <w:r>
          <w:t xml:space="preserve">- </w:t>
        </w:r>
        <w:r w:rsidR="00634405" w:rsidRPr="0007780D">
          <w:fldChar w:fldCharType="begin"/>
        </w:r>
        <w:r w:rsidR="00634405" w:rsidRPr="0007780D">
          <w:instrText xml:space="preserve"> PAGE   \* MERGEFORMAT </w:instrText>
        </w:r>
        <w:r w:rsidR="00634405" w:rsidRPr="0007780D">
          <w:fldChar w:fldCharType="separate"/>
        </w:r>
        <w:r w:rsidR="00634405" w:rsidRPr="0007780D">
          <w:rPr>
            <w:noProof/>
          </w:rPr>
          <w:t>2</w:t>
        </w:r>
        <w:r w:rsidR="00634405" w:rsidRPr="0007780D">
          <w:rPr>
            <w:noProof/>
          </w:rPr>
          <w:fldChar w:fldCharType="end"/>
        </w:r>
        <w:r>
          <w:rPr>
            <w:noProof/>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35F7" w14:textId="206E28FC" w:rsidR="00663B31" w:rsidRPr="0007780D" w:rsidRDefault="00663B31" w:rsidP="006130AA">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BA2E" w14:textId="77777777" w:rsidR="00AD4FCF" w:rsidRDefault="00AD4FCF" w:rsidP="00DF58E7">
      <w:pPr>
        <w:spacing w:line="240" w:lineRule="auto"/>
        <w:ind w:firstLine="0"/>
      </w:pPr>
      <w:r>
        <w:separator/>
      </w:r>
    </w:p>
  </w:footnote>
  <w:footnote w:type="continuationSeparator" w:id="0">
    <w:p w14:paraId="6D3C678D" w14:textId="77777777" w:rsidR="00AD4FCF" w:rsidRDefault="00AD4FCF" w:rsidP="00DF58E7">
      <w:pPr>
        <w:spacing w:line="240" w:lineRule="auto"/>
        <w:ind w:firstLine="0"/>
      </w:pPr>
      <w:r>
        <w:continuationSeparator/>
      </w:r>
    </w:p>
  </w:footnote>
  <w:footnote w:type="continuationNotice" w:id="1">
    <w:p w14:paraId="3968CB62" w14:textId="77777777" w:rsidR="00AD4FCF" w:rsidRPr="00DF58E7" w:rsidRDefault="00AD4FCF" w:rsidP="00DF58E7">
      <w:pPr>
        <w:spacing w:line="240" w:lineRule="auto"/>
        <w:ind w:firstLine="0"/>
        <w:jc w:val="right"/>
        <w:rPr>
          <w:i/>
          <w:sz w:val="22"/>
        </w:rPr>
      </w:pPr>
    </w:p>
  </w:footnote>
  <w:footnote w:id="2">
    <w:p w14:paraId="2C736AB1" w14:textId="73A084AD" w:rsidR="00ED773B" w:rsidRDefault="00ED773B">
      <w:pPr>
        <w:pStyle w:val="FootnoteText"/>
      </w:pPr>
      <w:r>
        <w:rPr>
          <w:rStyle w:val="FootnoteReference"/>
        </w:rPr>
        <w:footnoteRef/>
      </w:r>
      <w:r>
        <w:t xml:space="preserve"> The Commission</w:t>
      </w:r>
      <w:r w:rsidR="00440785">
        <w:t>’</w:t>
      </w:r>
      <w:r>
        <w:t>s Energy Division has coined the ter</w:t>
      </w:r>
      <w:r w:rsidRPr="00D446F3">
        <w:t>m Green Access Program t</w:t>
      </w:r>
      <w:r>
        <w:t>ariffs (</w:t>
      </w:r>
      <w:r w:rsidR="00283515">
        <w:t xml:space="preserve">sometimes </w:t>
      </w:r>
      <w:r>
        <w:t xml:space="preserve">referred to as </w:t>
      </w:r>
      <w:r w:rsidRPr="00D446F3">
        <w:t>GAP</w:t>
      </w:r>
      <w:r>
        <w:t xml:space="preserve"> tariffs) to include the following </w:t>
      </w:r>
      <w:r w:rsidR="00B04199">
        <w:t>tariffs</w:t>
      </w:r>
      <w:r w:rsidR="005D30D7">
        <w:t xml:space="preserve">: </w:t>
      </w:r>
      <w:r>
        <w:t>Green Tariff Shared Renewables, Disadvantaged Communities</w:t>
      </w:r>
      <w:r w:rsidR="00E32626">
        <w:t xml:space="preserve"> — </w:t>
      </w:r>
      <w:r>
        <w:t xml:space="preserve">Green Tariff, and Community Solar Green Tariff. These </w:t>
      </w:r>
      <w:r w:rsidR="00B04199">
        <w:t xml:space="preserve">tariffs </w:t>
      </w:r>
      <w:r>
        <w:t xml:space="preserve">are described in </w:t>
      </w:r>
      <w:r w:rsidR="00D558A3">
        <w:t>Sections </w:t>
      </w:r>
      <w:r>
        <w:t>1.</w:t>
      </w:r>
      <w:r w:rsidR="00B04199">
        <w:t>2</w:t>
      </w:r>
      <w:r>
        <w:t>.1</w:t>
      </w:r>
      <w:r w:rsidR="003D6EF8">
        <w:noBreakHyphen/>
      </w:r>
      <w:r>
        <w:t>1.2.2.</w:t>
      </w:r>
    </w:p>
  </w:footnote>
  <w:footnote w:id="3">
    <w:p w14:paraId="69945134" w14:textId="5E65FF69" w:rsidR="00940513" w:rsidRDefault="00940513">
      <w:pPr>
        <w:pStyle w:val="FootnoteText"/>
      </w:pPr>
      <w:r>
        <w:rPr>
          <w:rStyle w:val="FootnoteReference"/>
        </w:rPr>
        <w:footnoteRef/>
      </w:r>
      <w:r>
        <w:t xml:space="preserve"> </w:t>
      </w:r>
      <w:r w:rsidR="00440785">
        <w:t>Pub. Util.</w:t>
      </w:r>
      <w:r>
        <w:t xml:space="preserve"> Code </w:t>
      </w:r>
      <w:r w:rsidR="003627A8">
        <w:t>§ </w:t>
      </w:r>
      <w:r>
        <w:t>2831</w:t>
      </w:r>
      <w:r w:rsidR="00297F24">
        <w:t>(g)</w:t>
      </w:r>
      <w:r>
        <w:t>.</w:t>
      </w:r>
    </w:p>
  </w:footnote>
  <w:footnote w:id="4">
    <w:p w14:paraId="79FC3193" w14:textId="5F8F2745" w:rsidR="00297F24" w:rsidRDefault="00297F24">
      <w:pPr>
        <w:pStyle w:val="FootnoteText"/>
      </w:pPr>
      <w:r>
        <w:rPr>
          <w:rStyle w:val="FootnoteReference"/>
        </w:rPr>
        <w:footnoteRef/>
      </w:r>
      <w:r>
        <w:t xml:space="preserve"> </w:t>
      </w:r>
      <w:r w:rsidR="00440785">
        <w:t>Pub. Util.</w:t>
      </w:r>
      <w:r>
        <w:t xml:space="preserve"> Code </w:t>
      </w:r>
      <w:r w:rsidR="003627A8">
        <w:t>§ </w:t>
      </w:r>
      <w:r>
        <w:t>2831(h).</w:t>
      </w:r>
    </w:p>
  </w:footnote>
  <w:footnote w:id="5">
    <w:p w14:paraId="5B06C4A5" w14:textId="3431A1DA" w:rsidR="00523243" w:rsidRDefault="00523243">
      <w:pPr>
        <w:pStyle w:val="FootnoteText"/>
      </w:pPr>
      <w:r>
        <w:rPr>
          <w:rStyle w:val="FootnoteReference"/>
        </w:rPr>
        <w:footnoteRef/>
      </w:r>
      <w:r>
        <w:t xml:space="preserve"> A participating utility is an electrical corporation with 100,000 or more customer accounts in California. </w:t>
      </w:r>
      <w:r w:rsidR="0047230F">
        <w:t>(</w:t>
      </w:r>
      <w:r w:rsidR="00440785">
        <w:t>Pub. Util.</w:t>
      </w:r>
      <w:r>
        <w:t xml:space="preserve"> Code </w:t>
      </w:r>
      <w:r w:rsidR="003627A8">
        <w:t>§ </w:t>
      </w:r>
      <w:r>
        <w:t>2831.5(b)(2).</w:t>
      </w:r>
      <w:r w:rsidR="0047230F">
        <w:t>)</w:t>
      </w:r>
    </w:p>
  </w:footnote>
  <w:footnote w:id="6">
    <w:p w14:paraId="2DB2CBAE" w14:textId="05D101FE" w:rsidR="00F90089" w:rsidRDefault="00F90089">
      <w:pPr>
        <w:pStyle w:val="FootnoteText"/>
      </w:pPr>
      <w:r>
        <w:rPr>
          <w:rStyle w:val="FootnoteReference"/>
        </w:rPr>
        <w:footnoteRef/>
      </w:r>
      <w:r>
        <w:t xml:space="preserve"> Commission</w:t>
      </w:r>
      <w:r w:rsidR="003D6EF8">
        <w:noBreakHyphen/>
      </w:r>
      <w:r>
        <w:t xml:space="preserve">approved tools and mechanisms are defined as those procurement methods approved by the Commission for an electrical corporation to procure eligible renewable energy resources for purposes of meeting the procurement requirements of the California </w:t>
      </w:r>
      <w:r w:rsidR="00C02916">
        <w:t xml:space="preserve">RPS </w:t>
      </w:r>
      <w:r>
        <w:t>Program. (</w:t>
      </w:r>
      <w:r w:rsidR="00440785">
        <w:t>Pub. Util.</w:t>
      </w:r>
      <w:r>
        <w:t xml:space="preserve"> Code </w:t>
      </w:r>
      <w:r w:rsidR="003627A8">
        <w:t>§ </w:t>
      </w:r>
      <w:r>
        <w:t>2833(c).)</w:t>
      </w:r>
    </w:p>
  </w:footnote>
  <w:footnote w:id="7">
    <w:p w14:paraId="3F3C8E9B" w14:textId="50AFB09D" w:rsidR="00522467" w:rsidRDefault="00522467">
      <w:pPr>
        <w:pStyle w:val="FootnoteText"/>
      </w:pPr>
      <w:r>
        <w:rPr>
          <w:rStyle w:val="FootnoteReference"/>
        </w:rPr>
        <w:footnoteRef/>
      </w:r>
      <w:r>
        <w:t xml:space="preserve"> </w:t>
      </w:r>
      <w:r w:rsidR="00E81DD5" w:rsidRPr="00132A6A">
        <w:rPr>
          <w:i/>
          <w:iCs/>
        </w:rPr>
        <w:t>See</w:t>
      </w:r>
      <w:r w:rsidR="00E81DD5">
        <w:t xml:space="preserve"> </w:t>
      </w:r>
      <w:r w:rsidR="00440785">
        <w:t>Pub. Util.</w:t>
      </w:r>
      <w:r w:rsidR="00E81DD5">
        <w:t xml:space="preserve"> Code </w:t>
      </w:r>
      <w:r w:rsidR="003627A8">
        <w:t>§ </w:t>
      </w:r>
      <w:r w:rsidR="00E81DD5">
        <w:t>2827.1(b)(1)</w:t>
      </w:r>
      <w:r w:rsidR="00E81DD5" w:rsidRPr="00D12428">
        <w:t>.</w:t>
      </w:r>
    </w:p>
  </w:footnote>
  <w:footnote w:id="8">
    <w:p w14:paraId="37C9D60E" w14:textId="2118D1CE" w:rsidR="00E81DD5" w:rsidRDefault="00E81DD5">
      <w:pPr>
        <w:pStyle w:val="FootnoteText"/>
      </w:pPr>
      <w:r>
        <w:rPr>
          <w:rStyle w:val="FootnoteReference"/>
        </w:rPr>
        <w:footnoteRef/>
      </w:r>
      <w:r>
        <w:t xml:space="preserve"> </w:t>
      </w:r>
      <w:r w:rsidR="00440785">
        <w:t>Pub. Util.</w:t>
      </w:r>
      <w:r>
        <w:t xml:space="preserve"> Code </w:t>
      </w:r>
      <w:r w:rsidR="003627A8">
        <w:t>§</w:t>
      </w:r>
      <w:r w:rsidR="00BC0E62">
        <w:t>§</w:t>
      </w:r>
      <w:r w:rsidR="003627A8">
        <w:t> </w:t>
      </w:r>
      <w:r>
        <w:t>769(b)(1)(</w:t>
      </w:r>
      <w:r w:rsidR="00245E02">
        <w:t>A</w:t>
      </w:r>
      <w:r>
        <w:t>)</w:t>
      </w:r>
      <w:r w:rsidR="003D6EF8">
        <w:noBreakHyphen/>
      </w:r>
      <w:r w:rsidR="007D081E">
        <w:t>(b)</w:t>
      </w:r>
      <w:r w:rsidR="00245E02">
        <w:t>(2)(A).</w:t>
      </w:r>
    </w:p>
  </w:footnote>
  <w:footnote w:id="9">
    <w:p w14:paraId="6F2A8456" w14:textId="5557F5D7" w:rsidR="002F78B0" w:rsidRDefault="002F78B0">
      <w:pPr>
        <w:pStyle w:val="FootnoteText"/>
      </w:pPr>
      <w:r>
        <w:rPr>
          <w:rStyle w:val="FootnoteReference"/>
        </w:rPr>
        <w:footnoteRef/>
      </w:r>
      <w:r>
        <w:t xml:space="preserve"> D.15</w:t>
      </w:r>
      <w:r w:rsidR="003D6EF8">
        <w:noBreakHyphen/>
      </w:r>
      <w:r>
        <w:t>01</w:t>
      </w:r>
      <w:r w:rsidR="003D6EF8">
        <w:noBreakHyphen/>
      </w:r>
      <w:r>
        <w:t>051</w:t>
      </w:r>
      <w:r w:rsidR="00BA58BF">
        <w:t xml:space="preserve"> at </w:t>
      </w:r>
      <w:r>
        <w:t>4</w:t>
      </w:r>
      <w:r w:rsidR="007B7CC5">
        <w:t>;</w:t>
      </w:r>
      <w:r>
        <w:t xml:space="preserve"> </w:t>
      </w:r>
      <w:r w:rsidR="007B7CC5">
        <w:rPr>
          <w:i/>
          <w:iCs/>
        </w:rPr>
        <w:t>s</w:t>
      </w:r>
      <w:r w:rsidRPr="002F78B0">
        <w:rPr>
          <w:i/>
          <w:iCs/>
        </w:rPr>
        <w:t>ee also</w:t>
      </w:r>
      <w:r>
        <w:t xml:space="preserve"> </w:t>
      </w:r>
      <w:r w:rsidR="00440785">
        <w:t>Pub. Util.</w:t>
      </w:r>
      <w:r>
        <w:t xml:space="preserve"> Code </w:t>
      </w:r>
      <w:r w:rsidR="003627A8">
        <w:t>§ </w:t>
      </w:r>
      <w:r>
        <w:t>2833(d).</w:t>
      </w:r>
    </w:p>
  </w:footnote>
  <w:footnote w:id="10">
    <w:p w14:paraId="4946E62F" w14:textId="5EE76171" w:rsidR="0013243A" w:rsidRDefault="0013243A">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w:t>
      </w:r>
    </w:p>
  </w:footnote>
  <w:footnote w:id="11">
    <w:p w14:paraId="6F34E305" w14:textId="3BCECAA3" w:rsidR="00984DEC" w:rsidRDefault="00984DEC">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2833(d)(1).</w:t>
      </w:r>
    </w:p>
  </w:footnote>
  <w:footnote w:id="12">
    <w:p w14:paraId="272D12E8" w14:textId="41849C90" w:rsidR="00984DEC" w:rsidRDefault="00984DEC">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2833(d)(2).</w:t>
      </w:r>
    </w:p>
  </w:footnote>
  <w:footnote w:id="13">
    <w:p w14:paraId="2AC539CB" w14:textId="46304005" w:rsidR="00984DEC" w:rsidRDefault="00984DEC">
      <w:pPr>
        <w:pStyle w:val="FootnoteText"/>
      </w:pPr>
      <w:r>
        <w:rPr>
          <w:rStyle w:val="FootnoteReference"/>
        </w:rPr>
        <w:footnoteRef/>
      </w:r>
      <w:r>
        <w:t xml:space="preserve"> D.15</w:t>
      </w:r>
      <w:r w:rsidR="003D6EF8">
        <w:noBreakHyphen/>
      </w:r>
      <w:r>
        <w:t>01</w:t>
      </w:r>
      <w:r w:rsidR="003D6EF8">
        <w:noBreakHyphen/>
      </w:r>
      <w:r>
        <w:t>051</w:t>
      </w:r>
      <w:r w:rsidR="00BA58BF">
        <w:t xml:space="preserve"> at </w:t>
      </w:r>
      <w:r>
        <w:t xml:space="preserve">4 citing </w:t>
      </w:r>
      <w:r w:rsidR="00440785">
        <w:t>Pub. Util.</w:t>
      </w:r>
      <w:r>
        <w:t xml:space="preserve"> Code </w:t>
      </w:r>
      <w:r w:rsidR="003627A8">
        <w:t>§ </w:t>
      </w:r>
      <w:r>
        <w:t>2833(d)(3).</w:t>
      </w:r>
    </w:p>
  </w:footnote>
  <w:footnote w:id="14">
    <w:p w14:paraId="48374236" w14:textId="2AE69C33" w:rsidR="006B0FF1" w:rsidRDefault="006B0FF1">
      <w:pPr>
        <w:pStyle w:val="FootnoteText"/>
      </w:pPr>
      <w:r>
        <w:rPr>
          <w:rStyle w:val="FootnoteReference"/>
        </w:rPr>
        <w:footnoteRef/>
      </w:r>
      <w:r>
        <w:t xml:space="preserve"> </w:t>
      </w:r>
      <w:r w:rsidR="00840B37">
        <w:t xml:space="preserve">Pursuant to </w:t>
      </w:r>
      <w:r w:rsidR="003627A8">
        <w:t>AB </w:t>
      </w:r>
      <w:r w:rsidR="00840B37">
        <w:t>693 (</w:t>
      </w:r>
      <w:r w:rsidR="00840B37" w:rsidRPr="00D9513E">
        <w:t>Eggman</w:t>
      </w:r>
      <w:r w:rsidR="00840B37">
        <w:t xml:space="preserve">), </w:t>
      </w:r>
      <w:r w:rsidR="009775AB">
        <w:t>Stats. </w:t>
      </w:r>
      <w:r w:rsidR="00840B37">
        <w:t xml:space="preserve">2015, </w:t>
      </w:r>
      <w:r w:rsidR="00EE35B1">
        <w:t>ch. </w:t>
      </w:r>
      <w:r w:rsidR="00840B37">
        <w:t>582</w:t>
      </w:r>
      <w:r w:rsidR="005565B1">
        <w:t xml:space="preserve"> (</w:t>
      </w:r>
      <w:r w:rsidR="00840B37">
        <w:t>the</w:t>
      </w:r>
      <w:r w:rsidR="006B3E6F">
        <w:t xml:space="preserve"> </w:t>
      </w:r>
      <w:r w:rsidR="00E16363">
        <w:t xml:space="preserve">Multifamily Affordable Solar Housing (MASH) </w:t>
      </w:r>
      <w:r w:rsidR="00840B37">
        <w:t>Roo</w:t>
      </w:r>
      <w:r w:rsidR="00CD6542">
        <w:t>f</w:t>
      </w:r>
      <w:r w:rsidR="00840B37">
        <w:t>s Program</w:t>
      </w:r>
      <w:r w:rsidR="00CA0A0C">
        <w:t xml:space="preserve">), </w:t>
      </w:r>
      <w:r w:rsidR="00840B37">
        <w:t xml:space="preserve">the Commission adopted </w:t>
      </w:r>
      <w:r w:rsidR="00CA0A0C">
        <w:t>D.17</w:t>
      </w:r>
      <w:r w:rsidR="003D6EF8">
        <w:noBreakHyphen/>
      </w:r>
      <w:r w:rsidR="00CA0A0C">
        <w:t>12</w:t>
      </w:r>
      <w:r w:rsidR="003D6EF8">
        <w:noBreakHyphen/>
      </w:r>
      <w:r w:rsidR="00CA0A0C">
        <w:t xml:space="preserve">022 that approved </w:t>
      </w:r>
      <w:r w:rsidR="00840B37">
        <w:t xml:space="preserve">the </w:t>
      </w:r>
      <w:r>
        <w:t>SOMAH</w:t>
      </w:r>
      <w:r w:rsidR="002F4614">
        <w:t xml:space="preserve"> program</w:t>
      </w:r>
      <w:r w:rsidR="00840B37">
        <w:t>.</w:t>
      </w:r>
      <w:r w:rsidR="002F4614">
        <w:t xml:space="preserve"> The SOMAH</w:t>
      </w:r>
      <w:r w:rsidR="002F4614" w:rsidRPr="002F4614">
        <w:t xml:space="preserve"> </w:t>
      </w:r>
      <w:r w:rsidR="002F4614">
        <w:t xml:space="preserve">program </w:t>
      </w:r>
      <w:r w:rsidR="002F4614" w:rsidRPr="002F4614">
        <w:t>provides low</w:t>
      </w:r>
      <w:r w:rsidR="003D6EF8">
        <w:noBreakHyphen/>
      </w:r>
      <w:r w:rsidR="002F4614" w:rsidRPr="002F4614">
        <w:t>income customers access to clean solar electric generation, with a provision to increase solar installations in disadvantaged communities.</w:t>
      </w:r>
    </w:p>
  </w:footnote>
  <w:footnote w:id="15">
    <w:p w14:paraId="691D82CE" w14:textId="6CEAB1F3" w:rsidR="0044198E" w:rsidRDefault="0044198E">
      <w:pPr>
        <w:pStyle w:val="FootnoteText"/>
      </w:pPr>
      <w:r>
        <w:rPr>
          <w:rStyle w:val="FootnoteReference"/>
        </w:rPr>
        <w:footnoteRef/>
      </w:r>
      <w:r>
        <w:t xml:space="preserve"> The Commission approved D.07</w:t>
      </w:r>
      <w:r w:rsidR="003D6EF8">
        <w:noBreakHyphen/>
      </w:r>
      <w:r>
        <w:t>11</w:t>
      </w:r>
      <w:r w:rsidR="003D6EF8">
        <w:noBreakHyphen/>
      </w:r>
      <w:r>
        <w:t xml:space="preserve">045, adopting the SASH program, pursuant to </w:t>
      </w:r>
      <w:r w:rsidR="003627A8">
        <w:t>AB </w:t>
      </w:r>
      <w:r>
        <w:t>2723 (</w:t>
      </w:r>
      <w:r w:rsidRPr="00D9513E">
        <w:t>Pavley</w:t>
      </w:r>
      <w:r>
        <w:t xml:space="preserve">) </w:t>
      </w:r>
      <w:r w:rsidR="00EE35B1">
        <w:t>Stats. </w:t>
      </w:r>
      <w:r>
        <w:t xml:space="preserve">2006, </w:t>
      </w:r>
      <w:r w:rsidR="00EE35B1">
        <w:t>ch. </w:t>
      </w:r>
      <w:r>
        <w:t xml:space="preserve">864. </w:t>
      </w:r>
      <w:r w:rsidR="003627A8">
        <w:t>AB </w:t>
      </w:r>
      <w:r>
        <w:t>2763 required the Commission to ensure that no less than ten percent of the overall funding for the California Solar Initiative be used for installation of solar energy systems on low</w:t>
      </w:r>
      <w:r w:rsidR="003D6EF8">
        <w:noBreakHyphen/>
      </w:r>
      <w:r>
        <w:t>income residential housing. Subsequently, in D.08</w:t>
      </w:r>
      <w:r w:rsidR="003D6EF8">
        <w:noBreakHyphen/>
      </w:r>
      <w:r>
        <w:t>10</w:t>
      </w:r>
      <w:r w:rsidR="003D6EF8">
        <w:noBreakHyphen/>
      </w:r>
      <w:r>
        <w:t xml:space="preserve">036, the Commission adopted the </w:t>
      </w:r>
      <w:r w:rsidR="00D348DA">
        <w:t xml:space="preserve">MASH </w:t>
      </w:r>
      <w:r>
        <w:t>program to provide incentives for solar installations on multifamily affordable housing.</w:t>
      </w:r>
    </w:p>
  </w:footnote>
  <w:footnote w:id="16">
    <w:p w14:paraId="726BF01D" w14:textId="02079121" w:rsidR="007E72E2" w:rsidRDefault="007E72E2">
      <w:pPr>
        <w:pStyle w:val="FootnoteText"/>
      </w:pPr>
      <w:r>
        <w:rPr>
          <w:rStyle w:val="FootnoteReference"/>
        </w:rPr>
        <w:footnoteRef/>
      </w:r>
      <w:r>
        <w:t xml:space="preserve"> D.18</w:t>
      </w:r>
      <w:r w:rsidR="003D6EF8">
        <w:noBreakHyphen/>
      </w:r>
      <w:r>
        <w:t>06</w:t>
      </w:r>
      <w:r w:rsidR="003D6EF8">
        <w:noBreakHyphen/>
      </w:r>
      <w:r>
        <w:t>027 authorized Energy Division to oversee an evaluation of the DAC</w:t>
      </w:r>
      <w:r w:rsidR="003D6EF8">
        <w:noBreakHyphen/>
      </w:r>
      <w:r>
        <w:t>GT and the CSGT programs.</w:t>
      </w:r>
      <w:r w:rsidR="00893474">
        <w:t xml:space="preserve"> The </w:t>
      </w:r>
      <w:r w:rsidR="00372BA4">
        <w:t>March </w:t>
      </w:r>
      <w:r w:rsidR="00893474">
        <w:t xml:space="preserve">31, 2022 </w:t>
      </w:r>
      <w:r w:rsidR="00893474" w:rsidRPr="005D065D">
        <w:rPr>
          <w:i/>
          <w:iCs/>
        </w:rPr>
        <w:t>Process Evaluation of the Disadvantaged Communities Green Tariff and Community Solar Green Tariff Programs, Final Report</w:t>
      </w:r>
      <w:r w:rsidR="00893474">
        <w:t xml:space="preserve"> can be accessed at</w:t>
      </w:r>
      <w:r w:rsidR="005D30D7">
        <w:t xml:space="preserve">: </w:t>
      </w:r>
      <w:hyperlink r:id="rId1" w:history="1">
        <w:r w:rsidR="00893474" w:rsidRPr="007C73DE">
          <w:rPr>
            <w:rStyle w:val="Hyperlink"/>
          </w:rPr>
          <w:t>https://www.cpuc.ca.gov/</w:t>
        </w:r>
        <w:r w:rsidR="003D6EF8">
          <w:rPr>
            <w:rStyle w:val="Hyperlink"/>
          </w:rPr>
          <w:noBreakHyphen/>
        </w:r>
        <w:r w:rsidR="00893474" w:rsidRPr="007C73DE">
          <w:rPr>
            <w:rStyle w:val="Hyperlink"/>
          </w:rPr>
          <w:t>/media/cpuc</w:t>
        </w:r>
        <w:r w:rsidR="003D6EF8">
          <w:rPr>
            <w:rStyle w:val="Hyperlink"/>
          </w:rPr>
          <w:noBreakHyphen/>
        </w:r>
        <w:r w:rsidR="00893474" w:rsidRPr="007C73DE">
          <w:rPr>
            <w:rStyle w:val="Hyperlink"/>
          </w:rPr>
          <w:t>website/divisions/energy</w:t>
        </w:r>
        <w:r w:rsidR="003D6EF8">
          <w:rPr>
            <w:rStyle w:val="Hyperlink"/>
          </w:rPr>
          <w:noBreakHyphen/>
        </w:r>
        <w:r w:rsidR="00893474" w:rsidRPr="007C73DE">
          <w:rPr>
            <w:rStyle w:val="Hyperlink"/>
          </w:rPr>
          <w:t>division/documents/solar</w:t>
        </w:r>
        <w:r w:rsidR="003D6EF8">
          <w:rPr>
            <w:rStyle w:val="Hyperlink"/>
          </w:rPr>
          <w:noBreakHyphen/>
        </w:r>
        <w:r w:rsidR="00893474" w:rsidRPr="007C73DE">
          <w:rPr>
            <w:rStyle w:val="Hyperlink"/>
          </w:rPr>
          <w:t>in</w:t>
        </w:r>
        <w:r w:rsidR="003D6EF8">
          <w:rPr>
            <w:rStyle w:val="Hyperlink"/>
          </w:rPr>
          <w:noBreakHyphen/>
        </w:r>
        <w:r w:rsidR="00893474" w:rsidRPr="007C73DE">
          <w:rPr>
            <w:rStyle w:val="Hyperlink"/>
          </w:rPr>
          <w:t>disadvantaged</w:t>
        </w:r>
        <w:r w:rsidR="003D6EF8">
          <w:rPr>
            <w:rStyle w:val="Hyperlink"/>
          </w:rPr>
          <w:noBreakHyphen/>
        </w:r>
        <w:r w:rsidR="00893474" w:rsidRPr="007C73DE">
          <w:rPr>
            <w:rStyle w:val="Hyperlink"/>
          </w:rPr>
          <w:t>communities/dac</w:t>
        </w:r>
        <w:r w:rsidR="003D6EF8">
          <w:rPr>
            <w:rStyle w:val="Hyperlink"/>
          </w:rPr>
          <w:noBreakHyphen/>
        </w:r>
        <w:r w:rsidR="00893474" w:rsidRPr="007C73DE">
          <w:rPr>
            <w:rStyle w:val="Hyperlink"/>
          </w:rPr>
          <w:t>gt</w:t>
        </w:r>
        <w:r w:rsidR="003D6EF8">
          <w:rPr>
            <w:rStyle w:val="Hyperlink"/>
          </w:rPr>
          <w:noBreakHyphen/>
        </w:r>
        <w:r w:rsidR="00893474" w:rsidRPr="007C73DE">
          <w:rPr>
            <w:rStyle w:val="Hyperlink"/>
          </w:rPr>
          <w:t>and</w:t>
        </w:r>
        <w:r w:rsidR="003D6EF8">
          <w:rPr>
            <w:rStyle w:val="Hyperlink"/>
          </w:rPr>
          <w:noBreakHyphen/>
        </w:r>
        <w:r w:rsidR="00893474" w:rsidRPr="007C73DE">
          <w:rPr>
            <w:rStyle w:val="Hyperlink"/>
          </w:rPr>
          <w:t>csgt</w:t>
        </w:r>
        <w:r w:rsidR="003D6EF8">
          <w:rPr>
            <w:rStyle w:val="Hyperlink"/>
          </w:rPr>
          <w:noBreakHyphen/>
        </w:r>
        <w:r w:rsidR="00893474" w:rsidRPr="007C73DE">
          <w:rPr>
            <w:rStyle w:val="Hyperlink"/>
          </w:rPr>
          <w:t>evaluation</w:t>
        </w:r>
        <w:r w:rsidR="003D6EF8">
          <w:rPr>
            <w:rStyle w:val="Hyperlink"/>
          </w:rPr>
          <w:noBreakHyphen/>
        </w:r>
        <w:r w:rsidR="00893474" w:rsidRPr="007C73DE">
          <w:rPr>
            <w:rStyle w:val="Hyperlink"/>
          </w:rPr>
          <w:t>final</w:t>
        </w:r>
        <w:r w:rsidR="003D6EF8">
          <w:rPr>
            <w:rStyle w:val="Hyperlink"/>
          </w:rPr>
          <w:noBreakHyphen/>
        </w:r>
        <w:r w:rsidR="00893474" w:rsidRPr="007C73DE">
          <w:rPr>
            <w:rStyle w:val="Hyperlink"/>
          </w:rPr>
          <w:t>report_033122v2.pdf</w:t>
        </w:r>
      </w:hyperlink>
      <w:r w:rsidR="005D065D">
        <w:t>.</w:t>
      </w:r>
    </w:p>
  </w:footnote>
  <w:footnote w:id="17">
    <w:p w14:paraId="357BBA17" w14:textId="4B2E2A45" w:rsidR="005E5EF2" w:rsidRDefault="005E5EF2">
      <w:pPr>
        <w:pStyle w:val="FootnoteText"/>
      </w:pPr>
      <w:r>
        <w:rPr>
          <w:rStyle w:val="FootnoteReference"/>
        </w:rPr>
        <w:footnoteRef/>
      </w:r>
      <w:r>
        <w:t xml:space="preserve"> D.21</w:t>
      </w:r>
      <w:r w:rsidR="003D6EF8">
        <w:noBreakHyphen/>
      </w:r>
      <w:r>
        <w:t>12</w:t>
      </w:r>
      <w:r w:rsidR="003D6EF8">
        <w:noBreakHyphen/>
      </w:r>
      <w:r>
        <w:t xml:space="preserve">036 at Ordering </w:t>
      </w:r>
      <w:r w:rsidR="006B06A9">
        <w:t>Paragraph </w:t>
      </w:r>
      <w:r>
        <w:t xml:space="preserve">14 directed that the Joint Petitioning CCAs may raise the remaining issues in a timely and relevant proceeding that reexamines, reviews, or revises the GTSR program, including the forthcoming 2022 </w:t>
      </w:r>
      <w:r w:rsidR="005F373F">
        <w:t>DAC</w:t>
      </w:r>
      <w:r w:rsidR="003D6EF8">
        <w:noBreakHyphen/>
      </w:r>
      <w:r w:rsidR="005F373F">
        <w:t>GT</w:t>
      </w:r>
      <w:r>
        <w:t xml:space="preserve"> and CSGT applications for review.</w:t>
      </w:r>
    </w:p>
  </w:footnote>
  <w:footnote w:id="18">
    <w:p w14:paraId="18C58F23" w14:textId="0EB9D23D" w:rsidR="005E5EF2" w:rsidRDefault="005E5EF2">
      <w:pPr>
        <w:pStyle w:val="FootnoteText"/>
      </w:pPr>
      <w:r>
        <w:rPr>
          <w:rStyle w:val="FootnoteReference"/>
        </w:rPr>
        <w:footnoteRef/>
      </w:r>
      <w:r>
        <w:t xml:space="preserve"> D.21</w:t>
      </w:r>
      <w:r w:rsidR="003D6EF8">
        <w:noBreakHyphen/>
      </w:r>
      <w:r>
        <w:t>12</w:t>
      </w:r>
      <w:r w:rsidR="003D6EF8">
        <w:noBreakHyphen/>
      </w:r>
      <w:r>
        <w:t xml:space="preserve">036 at Ordering </w:t>
      </w:r>
      <w:r w:rsidR="006B06A9">
        <w:t>Paragraph </w:t>
      </w:r>
      <w:r>
        <w:t xml:space="preserve">15 permits CCSA to raise the issues presented in their petition for modification in a timely and relevant proceeding that reexamines, reviews, or revises the GTSR program, including the forthcoming 2022 </w:t>
      </w:r>
      <w:r w:rsidR="005F373F">
        <w:t>DAC</w:t>
      </w:r>
      <w:r w:rsidR="003D6EF8">
        <w:noBreakHyphen/>
      </w:r>
      <w:r w:rsidR="005F373F">
        <w:t>GT</w:t>
      </w:r>
      <w:r>
        <w:t xml:space="preserve"> and CSGT applications for review. </w:t>
      </w:r>
      <w:r w:rsidR="007634D0">
        <w:t>(</w:t>
      </w:r>
      <w:r w:rsidRPr="005D065D">
        <w:rPr>
          <w:i/>
          <w:iCs/>
        </w:rPr>
        <w:t>See</w:t>
      </w:r>
      <w:r>
        <w:t xml:space="preserve"> </w:t>
      </w:r>
      <w:r w:rsidRPr="00BA58BF">
        <w:rPr>
          <w:i/>
          <w:iCs/>
        </w:rPr>
        <w:t>also</w:t>
      </w:r>
      <w:r>
        <w:t xml:space="preserve"> D.21</w:t>
      </w:r>
      <w:r w:rsidR="003D6EF8">
        <w:noBreakHyphen/>
      </w:r>
      <w:r>
        <w:t>12</w:t>
      </w:r>
      <w:r w:rsidR="003D6EF8">
        <w:noBreakHyphen/>
      </w:r>
      <w:r>
        <w:t xml:space="preserve">036 at Ordering </w:t>
      </w:r>
      <w:r w:rsidR="006B06A9">
        <w:t>Paragraph </w:t>
      </w:r>
      <w:r>
        <w:t>16.</w:t>
      </w:r>
      <w:r w:rsidR="007634D0">
        <w:t>)</w:t>
      </w:r>
    </w:p>
  </w:footnote>
  <w:footnote w:id="19">
    <w:p w14:paraId="367A33CB" w14:textId="66FF3239" w:rsidR="005E66A1" w:rsidRDefault="005E66A1">
      <w:pPr>
        <w:pStyle w:val="FootnoteText"/>
      </w:pPr>
      <w:r>
        <w:rPr>
          <w:rStyle w:val="FootnoteReference"/>
        </w:rPr>
        <w:footnoteRef/>
      </w:r>
      <w:r>
        <w:t xml:space="preserve"> D.22</w:t>
      </w:r>
      <w:r w:rsidR="003D6EF8">
        <w:noBreakHyphen/>
      </w:r>
      <w:r>
        <w:t>12</w:t>
      </w:r>
      <w:r w:rsidR="003D6EF8">
        <w:noBreakHyphen/>
      </w:r>
      <w:r>
        <w:t>056</w:t>
      </w:r>
      <w:r w:rsidR="00BA58BF">
        <w:t xml:space="preserve"> at </w:t>
      </w:r>
      <w:r>
        <w:t>187</w:t>
      </w:r>
      <w:r w:rsidR="003D6EF8">
        <w:noBreakHyphen/>
      </w:r>
      <w:r>
        <w:t xml:space="preserve">189, </w:t>
      </w:r>
      <w:r w:rsidR="00150E4C" w:rsidRPr="00150E4C">
        <w:rPr>
          <w:i/>
          <w:iCs/>
        </w:rPr>
        <w:t>i.e.</w:t>
      </w:r>
      <w:r>
        <w:t xml:space="preserve">, </w:t>
      </w:r>
      <w:r w:rsidR="00D558A3">
        <w:t>Section </w:t>
      </w:r>
      <w:r>
        <w:t>8.6.3 Community Project Tariffs.</w:t>
      </w:r>
    </w:p>
  </w:footnote>
  <w:footnote w:id="20">
    <w:p w14:paraId="059F4F68" w14:textId="3EE57F1E" w:rsidR="002A1335" w:rsidRDefault="002A1335" w:rsidP="002A1335">
      <w:pPr>
        <w:pStyle w:val="FootnoteText"/>
      </w:pPr>
      <w:r>
        <w:rPr>
          <w:rStyle w:val="FootnoteReference"/>
        </w:rPr>
        <w:footnoteRef/>
      </w:r>
      <w:r>
        <w:t xml:space="preserve"> D.05</w:t>
      </w:r>
      <w:r w:rsidR="003D6EF8">
        <w:noBreakHyphen/>
      </w:r>
      <w:r>
        <w:t>04</w:t>
      </w:r>
      <w:r w:rsidR="003D6EF8">
        <w:noBreakHyphen/>
      </w:r>
      <w:r>
        <w:t>024</w:t>
      </w:r>
      <w:r w:rsidR="00BA58BF">
        <w:t xml:space="preserve"> at </w:t>
      </w:r>
      <w:r>
        <w:t>9.</w:t>
      </w:r>
    </w:p>
  </w:footnote>
  <w:footnote w:id="21">
    <w:p w14:paraId="7E05E551" w14:textId="375299AA" w:rsidR="00A04A23" w:rsidRDefault="00A04A23">
      <w:pPr>
        <w:pStyle w:val="FootnoteText"/>
      </w:pPr>
      <w:r>
        <w:rPr>
          <w:rStyle w:val="FootnoteReference"/>
        </w:rPr>
        <w:footnoteRef/>
      </w:r>
      <w:r>
        <w:t xml:space="preserve"> D.22</w:t>
      </w:r>
      <w:r w:rsidR="003D6EF8">
        <w:noBreakHyphen/>
      </w:r>
      <w:r>
        <w:t>12</w:t>
      </w:r>
      <w:r w:rsidR="003D6EF8">
        <w:noBreakHyphen/>
      </w:r>
      <w:r>
        <w:t>056 at Conclusion of Law 18.</w:t>
      </w:r>
    </w:p>
  </w:footnote>
  <w:footnote w:id="22">
    <w:p w14:paraId="0CEF283F" w14:textId="7E02B765" w:rsidR="00A372AE" w:rsidRDefault="00A372AE">
      <w:pPr>
        <w:pStyle w:val="FootnoteText"/>
      </w:pPr>
      <w:r>
        <w:rPr>
          <w:rStyle w:val="FootnoteReference"/>
        </w:rPr>
        <w:footnoteRef/>
      </w:r>
      <w:r>
        <w:t xml:space="preserve"> D.22</w:t>
      </w:r>
      <w:r w:rsidR="003D6EF8">
        <w:noBreakHyphen/>
      </w:r>
      <w:r>
        <w:t>12</w:t>
      </w:r>
      <w:r w:rsidR="003D6EF8">
        <w:noBreakHyphen/>
      </w:r>
      <w:r>
        <w:t>056</w:t>
      </w:r>
      <w:r w:rsidR="00BA58BF">
        <w:t xml:space="preserve"> at </w:t>
      </w:r>
      <w:r>
        <w:t>104.</w:t>
      </w:r>
    </w:p>
  </w:footnote>
  <w:footnote w:id="23">
    <w:p w14:paraId="71143333" w14:textId="00C07488" w:rsidR="00F74B6A" w:rsidRDefault="00F74B6A">
      <w:pPr>
        <w:pStyle w:val="FootnoteText"/>
      </w:pPr>
      <w:r>
        <w:rPr>
          <w:rStyle w:val="FootnoteReference"/>
        </w:rPr>
        <w:footnoteRef/>
      </w:r>
      <w:r>
        <w:t xml:space="preserve"> </w:t>
      </w:r>
      <w:r w:rsidR="000341A3">
        <w:t>Joint CCA</w:t>
      </w:r>
      <w:r w:rsidR="00A35011">
        <w:t>s</w:t>
      </w:r>
      <w:r>
        <w:t xml:space="preserve"> include </w:t>
      </w:r>
      <w:r w:rsidR="00E021D8">
        <w:t>EBCE</w:t>
      </w:r>
      <w:r w:rsidRPr="00D9513E">
        <w:t xml:space="preserve">, </w:t>
      </w:r>
      <w:r w:rsidR="00A55D0B">
        <w:t>MCE</w:t>
      </w:r>
      <w:r w:rsidRPr="00D9513E">
        <w:t xml:space="preserve">, </w:t>
      </w:r>
      <w:r w:rsidR="005149C3">
        <w:t>PCE</w:t>
      </w:r>
      <w:r w:rsidRPr="00D9513E">
        <w:t xml:space="preserve">, </w:t>
      </w:r>
      <w:r w:rsidR="00D463F5" w:rsidRPr="00D9513E">
        <w:t>San </w:t>
      </w:r>
      <w:r w:rsidRPr="00D9513E">
        <w:t>Jose Clean Energy</w:t>
      </w:r>
      <w:r w:rsidR="007563ED">
        <w:t xml:space="preserve"> (SJCE)</w:t>
      </w:r>
      <w:r w:rsidRPr="00D9513E">
        <w:t xml:space="preserve">, Clean Power Alliance of Southern California, Lancaster Choice </w:t>
      </w:r>
      <w:r w:rsidR="00C728D8" w:rsidRPr="00D9513E">
        <w:t>E</w:t>
      </w:r>
      <w:r w:rsidRPr="00D9513E">
        <w:t xml:space="preserve">nergy, Pico Rivera Innovative Municipal Energy, </w:t>
      </w:r>
      <w:r w:rsidR="00D463F5" w:rsidRPr="00D9513E">
        <w:t>San </w:t>
      </w:r>
      <w:r w:rsidRPr="00D9513E">
        <w:t xml:space="preserve">Jacinto Power, and </w:t>
      </w:r>
      <w:r w:rsidR="00F26DA5" w:rsidRPr="00D9513E">
        <w:t xml:space="preserve">San Diego Community Power </w:t>
      </w:r>
      <w:r w:rsidR="00F26DA5">
        <w:t>(</w:t>
      </w:r>
      <w:r w:rsidR="00F26DA5" w:rsidRPr="00D9513E">
        <w:t>SDCP</w:t>
      </w:r>
      <w:r w:rsidR="00F26DA5">
        <w:t>)</w:t>
      </w:r>
      <w:r>
        <w:t>.</w:t>
      </w:r>
    </w:p>
  </w:footnote>
  <w:footnote w:id="24">
    <w:p w14:paraId="34276DEC" w14:textId="79CACDD6" w:rsidR="000D22BE" w:rsidRDefault="000D22BE">
      <w:pPr>
        <w:pStyle w:val="FootnoteText"/>
      </w:pPr>
      <w:r>
        <w:rPr>
          <w:rStyle w:val="FootnoteReference"/>
        </w:rPr>
        <w:footnoteRef/>
      </w:r>
      <w:r>
        <w:t xml:space="preserve"> Pursuant to </w:t>
      </w:r>
      <w:r w:rsidR="00B93FAE">
        <w:t xml:space="preserve">Rule 11.6 of the </w:t>
      </w:r>
      <w:r w:rsidRPr="00D9513E">
        <w:t>Commission</w:t>
      </w:r>
      <w:r w:rsidR="00440785">
        <w:t>’</w:t>
      </w:r>
      <w:r w:rsidR="00B93FAE" w:rsidRPr="00D9513E">
        <w:t>s</w:t>
      </w:r>
      <w:r w:rsidRPr="00D9513E">
        <w:t xml:space="preserve"> Rules of Practice and Procedure</w:t>
      </w:r>
      <w:r w:rsidR="00B93FAE">
        <w:t xml:space="preserve"> (</w:t>
      </w:r>
      <w:r w:rsidR="00B93FAE" w:rsidRPr="00D9513E">
        <w:t>Rules</w:t>
      </w:r>
      <w:r w:rsidR="00B93FAE">
        <w:t>)</w:t>
      </w:r>
      <w:r>
        <w:t xml:space="preserve">, PG&amp;E requested and was granted a </w:t>
      </w:r>
      <w:r w:rsidR="00F92113">
        <w:t>one</w:t>
      </w:r>
      <w:r w:rsidR="003D6EF8">
        <w:noBreakHyphen/>
      </w:r>
      <w:r w:rsidR="00F92113">
        <w:t>week</w:t>
      </w:r>
      <w:r>
        <w:t xml:space="preserve"> extension of time for parties to serve sur</w:t>
      </w:r>
      <w:r w:rsidR="003D6EF8">
        <w:noBreakHyphen/>
      </w:r>
      <w:r>
        <w:t>rebuttal testimony.</w:t>
      </w:r>
    </w:p>
  </w:footnote>
  <w:footnote w:id="25">
    <w:p w14:paraId="2BDCDC02" w14:textId="4402C001" w:rsidR="00FF4097" w:rsidRDefault="00FF4097">
      <w:pPr>
        <w:pStyle w:val="FootnoteText"/>
      </w:pPr>
      <w:r>
        <w:rPr>
          <w:rStyle w:val="FootnoteReference"/>
        </w:rPr>
        <w:footnoteRef/>
      </w:r>
      <w:r>
        <w:t xml:space="preserve"> As described below, given this finding, the Commission declines to decide whether the NBVT proposal is compliant with federal law.</w:t>
      </w:r>
    </w:p>
  </w:footnote>
  <w:footnote w:id="26">
    <w:p w14:paraId="56C9A38D" w14:textId="7573F136" w:rsidR="002E3A04" w:rsidRPr="00652C67" w:rsidRDefault="002E3A04" w:rsidP="002E3A04">
      <w:pPr>
        <w:pStyle w:val="FootnoteText"/>
        <w:rPr>
          <w:lang w:val="en-ZW"/>
        </w:rPr>
      </w:pPr>
      <w:r>
        <w:rPr>
          <w:rStyle w:val="FootnoteReference"/>
        </w:rPr>
        <w:footnoteRef/>
      </w:r>
      <w:r>
        <w:t xml:space="preserve"> </w:t>
      </w:r>
      <w:r w:rsidR="00440785">
        <w:t>Pub. Util.</w:t>
      </w:r>
      <w:r w:rsidR="00BA58BF">
        <w:t xml:space="preserve"> Code </w:t>
      </w:r>
      <w:r w:rsidR="005478AB">
        <w:rPr>
          <w:lang w:val="en-ZW"/>
        </w:rPr>
        <w:t>§§</w:t>
      </w:r>
      <w:r w:rsidR="00D558A3">
        <w:rPr>
          <w:lang w:val="en-ZW"/>
        </w:rPr>
        <w:t> </w:t>
      </w:r>
      <w:r>
        <w:rPr>
          <w:lang w:val="en-ZW"/>
        </w:rPr>
        <w:t>769.3(b)(1)(A)</w:t>
      </w:r>
      <w:r w:rsidR="003D6EF8">
        <w:rPr>
          <w:lang w:val="en-ZW"/>
        </w:rPr>
        <w:noBreakHyphen/>
      </w:r>
      <w:r>
        <w:rPr>
          <w:lang w:val="en-ZW"/>
        </w:rPr>
        <w:t>(C).</w:t>
      </w:r>
    </w:p>
  </w:footnote>
  <w:footnote w:id="27">
    <w:p w14:paraId="109435BD" w14:textId="70431C43" w:rsidR="002E3A04" w:rsidRPr="003218B8" w:rsidRDefault="002E3A04" w:rsidP="002E3A04">
      <w:pPr>
        <w:pStyle w:val="FootnoteText"/>
        <w:rPr>
          <w:lang w:val="en-ZW"/>
        </w:rPr>
      </w:pPr>
      <w:r>
        <w:rPr>
          <w:rStyle w:val="FootnoteReference"/>
        </w:rPr>
        <w:footnoteRef/>
      </w:r>
      <w:r>
        <w:t xml:space="preserve"> </w:t>
      </w:r>
      <w:r w:rsidR="00440785">
        <w:t>Pub. Util.</w:t>
      </w:r>
      <w:r w:rsidR="00BA58BF">
        <w:t xml:space="preserve"> Code </w:t>
      </w:r>
      <w:r w:rsidR="001150E1">
        <w:rPr>
          <w:lang w:val="en-ZW"/>
        </w:rPr>
        <w:t>§</w:t>
      </w:r>
      <w:r w:rsidR="00D558A3">
        <w:rPr>
          <w:lang w:val="en-ZW"/>
        </w:rPr>
        <w:t> </w:t>
      </w:r>
      <w:r>
        <w:rPr>
          <w:lang w:val="en-ZW"/>
        </w:rPr>
        <w:t>769.3(b)(2).</w:t>
      </w:r>
    </w:p>
  </w:footnote>
  <w:footnote w:id="28">
    <w:p w14:paraId="20DE3B26" w14:textId="3014BFBE" w:rsidR="002E3A04" w:rsidRPr="00F47CF4" w:rsidRDefault="002E3A04" w:rsidP="002E3A04">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Reply Brief</w:t>
      </w:r>
      <w:r w:rsidR="00BA58BF">
        <w:rPr>
          <w:lang w:val="en-ZW"/>
        </w:rPr>
        <w:t xml:space="preserve"> at </w:t>
      </w:r>
      <w:r>
        <w:rPr>
          <w:lang w:val="en-ZW"/>
        </w:rPr>
        <w:t xml:space="preserve">2, CCSA </w:t>
      </w:r>
      <w:r>
        <w:t>O</w:t>
      </w:r>
      <w:r w:rsidRPr="00F730EB">
        <w:t xml:space="preserve">pening </w:t>
      </w:r>
      <w:r>
        <w:rPr>
          <w:lang w:val="en-ZW"/>
        </w:rPr>
        <w:t>Brief</w:t>
      </w:r>
      <w:r w:rsidR="00BA58BF">
        <w:rPr>
          <w:lang w:val="en-ZW"/>
        </w:rPr>
        <w:t xml:space="preserve"> at </w:t>
      </w:r>
      <w:r>
        <w:rPr>
          <w:lang w:val="en-ZW"/>
        </w:rPr>
        <w:t>3, Cypress Creek Opening Brief</w:t>
      </w:r>
      <w:r w:rsidR="00BA58BF">
        <w:rPr>
          <w:lang w:val="en-ZW"/>
        </w:rPr>
        <w:t xml:space="preserve"> at </w:t>
      </w:r>
      <w:r>
        <w:rPr>
          <w:lang w:val="en-ZW"/>
        </w:rPr>
        <w:t xml:space="preserve">2, SDG&amp;E </w:t>
      </w:r>
      <w:r>
        <w:t>O</w:t>
      </w:r>
      <w:r w:rsidRPr="00F730EB">
        <w:t xml:space="preserve">pening </w:t>
      </w:r>
      <w:r>
        <w:rPr>
          <w:lang w:val="en-ZW"/>
        </w:rPr>
        <w:t>Brief</w:t>
      </w:r>
      <w:r w:rsidR="00BA58BF">
        <w:rPr>
          <w:lang w:val="en-ZW"/>
        </w:rPr>
        <w:t xml:space="preserve"> at </w:t>
      </w:r>
      <w:r>
        <w:rPr>
          <w:lang w:val="en-ZW"/>
        </w:rPr>
        <w:t>10,</w:t>
      </w:r>
      <w:r w:rsidRPr="008C1687">
        <w:rPr>
          <w:lang w:val="en-ZW"/>
        </w:rPr>
        <w:t xml:space="preserve"> </w:t>
      </w:r>
      <w:r>
        <w:rPr>
          <w:lang w:val="en-ZW"/>
        </w:rPr>
        <w:t xml:space="preserve">CUE </w:t>
      </w:r>
      <w:r>
        <w:t>O</w:t>
      </w:r>
      <w:r w:rsidRPr="00F730EB">
        <w:t xml:space="preserve">pening </w:t>
      </w:r>
      <w:r>
        <w:rPr>
          <w:lang w:val="en-ZW"/>
        </w:rPr>
        <w:t>Brief</w:t>
      </w:r>
      <w:r w:rsidR="00BA58BF">
        <w:rPr>
          <w:lang w:val="en-ZW"/>
        </w:rPr>
        <w:t xml:space="preserve"> at </w:t>
      </w:r>
      <w:r>
        <w:rPr>
          <w:lang w:val="en-ZW"/>
        </w:rPr>
        <w:t>2.</w:t>
      </w:r>
    </w:p>
  </w:footnote>
  <w:footnote w:id="29">
    <w:p w14:paraId="088FF015" w14:textId="0C7F7C4C" w:rsidR="002E3A04" w:rsidRPr="00D9050E" w:rsidRDefault="002E3A04" w:rsidP="002E3A04">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3.</w:t>
      </w:r>
    </w:p>
  </w:footnote>
  <w:footnote w:id="30">
    <w:p w14:paraId="14FA0FDA" w14:textId="14F4E8DC" w:rsidR="002E3A04" w:rsidRPr="008675C0" w:rsidRDefault="002E3A04" w:rsidP="002E3A04">
      <w:pPr>
        <w:pStyle w:val="FootnoteText"/>
        <w:rPr>
          <w:lang w:val="en-ZW"/>
        </w:rPr>
      </w:pPr>
      <w:r>
        <w:rPr>
          <w:rStyle w:val="FootnoteReference"/>
        </w:rPr>
        <w:footnoteRef/>
      </w:r>
      <w:r>
        <w:t xml:space="preserve"> </w:t>
      </w:r>
      <w:r>
        <w:rPr>
          <w:lang w:val="en-ZW"/>
        </w:rPr>
        <w:t>PG&amp;E Reply Brief</w:t>
      </w:r>
      <w:r w:rsidR="00BA58BF">
        <w:rPr>
          <w:lang w:val="en-ZW"/>
        </w:rPr>
        <w:t xml:space="preserve"> at </w:t>
      </w:r>
      <w:r>
        <w:rPr>
          <w:lang w:val="en-ZW"/>
        </w:rPr>
        <w:t xml:space="preserve">5, </w:t>
      </w:r>
      <w:r w:rsidR="000341A3">
        <w:rPr>
          <w:lang w:val="en-ZW"/>
        </w:rPr>
        <w:t>Joint CCA</w:t>
      </w:r>
      <w:r w:rsidR="000553C6">
        <w:rPr>
          <w:lang w:val="en-ZW"/>
        </w:rPr>
        <w:t>s</w:t>
      </w:r>
      <w:r>
        <w:rPr>
          <w:lang w:val="en-ZW"/>
        </w:rPr>
        <w:t xml:space="preserve"> </w:t>
      </w:r>
      <w:r>
        <w:t>O</w:t>
      </w:r>
      <w:r w:rsidRPr="00F730EB">
        <w:t xml:space="preserve">pening </w:t>
      </w:r>
      <w:r>
        <w:rPr>
          <w:lang w:val="en-ZW"/>
        </w:rPr>
        <w:t>Brief</w:t>
      </w:r>
      <w:r w:rsidR="00BA58BF">
        <w:rPr>
          <w:lang w:val="en-ZW"/>
        </w:rPr>
        <w:t xml:space="preserve"> at </w:t>
      </w:r>
      <w:r>
        <w:rPr>
          <w:lang w:val="en-ZW"/>
        </w:rPr>
        <w:t>3.</w:t>
      </w:r>
    </w:p>
  </w:footnote>
  <w:footnote w:id="31">
    <w:p w14:paraId="583ED6D7" w14:textId="1E177CAF" w:rsidR="002E3A04" w:rsidRPr="0003418F" w:rsidRDefault="002E3A04" w:rsidP="002E3A04">
      <w:pPr>
        <w:pStyle w:val="FootnoteText"/>
        <w:rPr>
          <w:lang w:val="en-ZW"/>
        </w:rPr>
      </w:pPr>
      <w:r>
        <w:rPr>
          <w:rStyle w:val="FootnoteReference"/>
        </w:rPr>
        <w:footnoteRef/>
      </w:r>
      <w:r>
        <w:t xml:space="preserve"> </w:t>
      </w:r>
      <w:r w:rsidR="000341A3">
        <w:rPr>
          <w:lang w:val="en-ZW"/>
        </w:rPr>
        <w:t>Joint CCA</w:t>
      </w:r>
      <w:r w:rsidR="00A35011">
        <w:rPr>
          <w:lang w:val="en-ZW"/>
        </w:rPr>
        <w:t>s</w:t>
      </w:r>
      <w:r>
        <w:rPr>
          <w:lang w:val="en-ZW"/>
        </w:rPr>
        <w:t xml:space="preserve"> Reply Brief</w:t>
      </w:r>
      <w:r w:rsidR="00BA58BF">
        <w:rPr>
          <w:lang w:val="en-ZW"/>
        </w:rPr>
        <w:t xml:space="preserve"> at </w:t>
      </w:r>
      <w:r>
        <w:rPr>
          <w:lang w:val="en-ZW"/>
        </w:rPr>
        <w:t>5.</w:t>
      </w:r>
    </w:p>
  </w:footnote>
  <w:footnote w:id="32">
    <w:p w14:paraId="7DC4DC3B" w14:textId="1EBCF6C7" w:rsidR="002E3A04" w:rsidRPr="000C1644" w:rsidRDefault="002E3A04" w:rsidP="002E3A04">
      <w:pPr>
        <w:pStyle w:val="FootnoteText"/>
        <w:rPr>
          <w:lang w:val="en-ZW"/>
        </w:rPr>
      </w:pPr>
      <w:r>
        <w:rPr>
          <w:rStyle w:val="FootnoteReference"/>
        </w:rPr>
        <w:footnoteRef/>
      </w:r>
      <w:r>
        <w:t xml:space="preserve"> </w:t>
      </w:r>
      <w:r>
        <w:rPr>
          <w:lang w:val="en-ZW"/>
        </w:rPr>
        <w:t xml:space="preserve">Arcadia </w:t>
      </w:r>
      <w:r w:rsidR="00DD61AF">
        <w:rPr>
          <w:lang w:val="en-ZW"/>
        </w:rPr>
        <w:t xml:space="preserve">Power </w:t>
      </w:r>
      <w:r>
        <w:rPr>
          <w:lang w:val="en-ZW"/>
        </w:rPr>
        <w:t>Opening Brief</w:t>
      </w:r>
      <w:r w:rsidR="00BA58BF">
        <w:rPr>
          <w:lang w:val="en-ZW"/>
        </w:rPr>
        <w:t xml:space="preserve"> at </w:t>
      </w:r>
      <w:r>
        <w:rPr>
          <w:lang w:val="en-ZW"/>
        </w:rPr>
        <w:t xml:space="preserve">2, SCE </w:t>
      </w:r>
      <w:r>
        <w:t>O</w:t>
      </w:r>
      <w:r w:rsidRPr="00F730EB">
        <w:t xml:space="preserve">pening </w:t>
      </w:r>
      <w:r>
        <w:rPr>
          <w:lang w:val="en-ZW"/>
        </w:rPr>
        <w:t>Brief</w:t>
      </w:r>
      <w:r w:rsidR="00BA58BF">
        <w:rPr>
          <w:lang w:val="en-ZW"/>
        </w:rPr>
        <w:t xml:space="preserve"> at </w:t>
      </w:r>
      <w:r>
        <w:rPr>
          <w:lang w:val="en-ZW"/>
        </w:rPr>
        <w:t xml:space="preserve">1, TURN </w:t>
      </w:r>
      <w:r>
        <w:t>O</w:t>
      </w:r>
      <w:r w:rsidRPr="00F730EB">
        <w:t xml:space="preserve">pening </w:t>
      </w:r>
      <w:r>
        <w:rPr>
          <w:lang w:val="en-ZW"/>
        </w:rPr>
        <w:t>Brief</w:t>
      </w:r>
      <w:r w:rsidR="00BA58BF">
        <w:rPr>
          <w:lang w:val="en-ZW"/>
        </w:rPr>
        <w:t xml:space="preserve"> at </w:t>
      </w:r>
      <w:r>
        <w:rPr>
          <w:lang w:val="en-ZW"/>
        </w:rPr>
        <w:t>2.</w:t>
      </w:r>
    </w:p>
  </w:footnote>
  <w:footnote w:id="33">
    <w:p w14:paraId="0441B361" w14:textId="7838E405" w:rsidR="002E3A04" w:rsidRPr="00885040" w:rsidRDefault="002E3A04" w:rsidP="002E3A04">
      <w:pPr>
        <w:pStyle w:val="FootnoteText"/>
        <w:rPr>
          <w:lang w:val="en-ZW"/>
        </w:rPr>
      </w:pPr>
      <w:r>
        <w:rPr>
          <w:rStyle w:val="FootnoteReference"/>
        </w:rPr>
        <w:footnoteRef/>
      </w:r>
      <w:r>
        <w:t xml:space="preserve"> </w:t>
      </w:r>
      <w:r>
        <w:rPr>
          <w:lang w:val="en-ZW"/>
        </w:rPr>
        <w:t xml:space="preserve">CBIA </w:t>
      </w:r>
      <w:r>
        <w:t>O</w:t>
      </w:r>
      <w:r w:rsidRPr="00F730EB">
        <w:t xml:space="preserve">pening </w:t>
      </w:r>
      <w:r>
        <w:rPr>
          <w:lang w:val="en-ZW"/>
        </w:rPr>
        <w:t>Brief</w:t>
      </w:r>
      <w:r w:rsidR="00BA58BF">
        <w:rPr>
          <w:lang w:val="en-ZW"/>
        </w:rPr>
        <w:t xml:space="preserve"> at </w:t>
      </w:r>
      <w:r>
        <w:rPr>
          <w:lang w:val="en-ZW"/>
        </w:rPr>
        <w:t>1.</w:t>
      </w:r>
    </w:p>
  </w:footnote>
  <w:footnote w:id="34">
    <w:p w14:paraId="678B5219" w14:textId="5CBF2424" w:rsidR="002E3A04" w:rsidRPr="0030088C" w:rsidRDefault="002E3A04" w:rsidP="002E3A04">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 xml:space="preserve">10, Cypress Creek </w:t>
      </w:r>
      <w:r>
        <w:t>O</w:t>
      </w:r>
      <w:r w:rsidRPr="00F730EB">
        <w:t xml:space="preserve">pening </w:t>
      </w:r>
      <w:r>
        <w:rPr>
          <w:lang w:val="en-ZW"/>
        </w:rPr>
        <w:t>Brief</w:t>
      </w:r>
      <w:r w:rsidR="00BA58BF">
        <w:rPr>
          <w:lang w:val="en-ZW"/>
        </w:rPr>
        <w:t xml:space="preserve"> at </w:t>
      </w:r>
      <w:r>
        <w:rPr>
          <w:lang w:val="en-ZW"/>
        </w:rPr>
        <w:t>2.</w:t>
      </w:r>
    </w:p>
  </w:footnote>
  <w:footnote w:id="35">
    <w:p w14:paraId="66D97C52" w14:textId="56623755" w:rsidR="002E3A04" w:rsidRPr="00967B37" w:rsidRDefault="002E3A04" w:rsidP="002E3A04">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 xml:space="preserve">2, CCSA </w:t>
      </w:r>
      <w:r>
        <w:t>O</w:t>
      </w:r>
      <w:r w:rsidRPr="00F730EB">
        <w:t xml:space="preserve">pening </w:t>
      </w:r>
      <w:r>
        <w:rPr>
          <w:lang w:val="en-ZW"/>
        </w:rPr>
        <w:t>Brief</w:t>
      </w:r>
      <w:r w:rsidR="00BA58BF">
        <w:rPr>
          <w:lang w:val="en-ZW"/>
        </w:rPr>
        <w:t xml:space="preserve"> at </w:t>
      </w:r>
      <w:r>
        <w:rPr>
          <w:lang w:val="en-ZW"/>
        </w:rPr>
        <w:t>4,</w:t>
      </w:r>
      <w:r w:rsidRPr="008E6BA9">
        <w:rPr>
          <w:rStyle w:val="FootnoteReference"/>
        </w:rP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 xml:space="preserve">10, </w:t>
      </w:r>
      <w:r>
        <w:t>SEIA</w:t>
      </w:r>
      <w:r w:rsidRPr="00353545">
        <w:t xml:space="preserve"> </w:t>
      </w:r>
      <w:r>
        <w:t>O</w:t>
      </w:r>
      <w:r w:rsidRPr="00F730EB">
        <w:t xml:space="preserve">pening </w:t>
      </w:r>
      <w:r>
        <w:rPr>
          <w:lang w:val="en-ZW"/>
        </w:rPr>
        <w:t>Brief</w:t>
      </w:r>
      <w:r w:rsidR="00BA58BF">
        <w:t xml:space="preserve"> at </w:t>
      </w:r>
      <w:r>
        <w:t>3.</w:t>
      </w:r>
    </w:p>
  </w:footnote>
  <w:footnote w:id="36">
    <w:p w14:paraId="40833D91" w14:textId="42AB5682" w:rsidR="002E3A04" w:rsidRPr="00F41B4E" w:rsidRDefault="002E3A04" w:rsidP="002E3A04">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 xml:space="preserve">2, SEIA </w:t>
      </w:r>
      <w:r>
        <w:t>O</w:t>
      </w:r>
      <w:r w:rsidRPr="00F730EB">
        <w:t xml:space="preserve">pening </w:t>
      </w:r>
      <w:r>
        <w:rPr>
          <w:lang w:val="en-ZW"/>
        </w:rPr>
        <w:t>Brief</w:t>
      </w:r>
      <w:r w:rsidR="00BA58BF">
        <w:rPr>
          <w:lang w:val="en-ZW"/>
        </w:rPr>
        <w:t xml:space="preserve"> at </w:t>
      </w:r>
      <w:r>
        <w:rPr>
          <w:lang w:val="en-ZW"/>
        </w:rPr>
        <w:t>3,</w:t>
      </w:r>
      <w:r w:rsidRPr="00204287">
        <w:rPr>
          <w:lang w:val="en-ZW"/>
        </w:rP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2.</w:t>
      </w:r>
    </w:p>
  </w:footnote>
  <w:footnote w:id="37">
    <w:p w14:paraId="05DDAD1C" w14:textId="4145FDCF" w:rsidR="002E3A04" w:rsidRPr="00A3795D" w:rsidRDefault="002E3A04" w:rsidP="002E3A04">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3.</w:t>
      </w:r>
    </w:p>
  </w:footnote>
  <w:footnote w:id="38">
    <w:p w14:paraId="2446BEF3" w14:textId="2A39EBCD" w:rsidR="002E3A04" w:rsidRPr="00400A18" w:rsidRDefault="002E3A04" w:rsidP="002E3A04">
      <w:pPr>
        <w:pStyle w:val="FootnoteText"/>
        <w:rPr>
          <w:lang w:val="en-ZW"/>
        </w:rPr>
      </w:pPr>
      <w:r>
        <w:rPr>
          <w:rStyle w:val="FootnoteReference"/>
        </w:rPr>
        <w:footnoteRef/>
      </w:r>
      <w:r>
        <w:t xml:space="preserve"> </w:t>
      </w:r>
      <w:r w:rsidR="002917E2">
        <w:rPr>
          <w:lang w:val="en-ZW"/>
        </w:rPr>
        <w:t>Cal Advoc</w:t>
      </w:r>
      <w:r>
        <w:rPr>
          <w:lang w:val="en-ZW"/>
        </w:rPr>
        <w:t xml:space="preserve">ates </w:t>
      </w:r>
      <w:r>
        <w:t>O</w:t>
      </w:r>
      <w:r w:rsidRPr="00F730EB">
        <w:t xml:space="preserve">pening </w:t>
      </w:r>
      <w:r>
        <w:rPr>
          <w:lang w:val="en-ZW"/>
        </w:rPr>
        <w:t>Brief</w:t>
      </w:r>
      <w:r w:rsidR="00BA58BF">
        <w:rPr>
          <w:lang w:val="en-ZW"/>
        </w:rPr>
        <w:t xml:space="preserve"> at </w:t>
      </w:r>
      <w:r>
        <w:rPr>
          <w:lang w:val="en-ZW"/>
        </w:rPr>
        <w:t>6.</w:t>
      </w:r>
    </w:p>
  </w:footnote>
  <w:footnote w:id="39">
    <w:p w14:paraId="49183776" w14:textId="2DB6A060" w:rsidR="002E3A04" w:rsidRPr="00F54B68" w:rsidRDefault="002E3A04" w:rsidP="002E3A04">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w:t>
      </w:r>
      <w:r>
        <w:t>O</w:t>
      </w:r>
      <w:r w:rsidRPr="00F730EB">
        <w:t xml:space="preserve">pening </w:t>
      </w:r>
      <w:r>
        <w:rPr>
          <w:lang w:val="en-ZW"/>
        </w:rPr>
        <w:t>Brief</w:t>
      </w:r>
      <w:r w:rsidR="00BA58BF">
        <w:rPr>
          <w:lang w:val="en-ZW"/>
        </w:rPr>
        <w:t xml:space="preserve"> at </w:t>
      </w:r>
      <w:r>
        <w:rPr>
          <w:lang w:val="en-ZW"/>
        </w:rPr>
        <w:t>1.</w:t>
      </w:r>
    </w:p>
  </w:footnote>
  <w:footnote w:id="40">
    <w:p w14:paraId="411472C6" w14:textId="1CD71EA5" w:rsidR="002E3A04" w:rsidRPr="002B39A1" w:rsidRDefault="002E3A04" w:rsidP="002E3A04">
      <w:pPr>
        <w:pStyle w:val="FootnoteText"/>
        <w:rPr>
          <w:lang w:val="en-ZW"/>
        </w:rPr>
      </w:pPr>
      <w:r>
        <w:rPr>
          <w:rStyle w:val="FootnoteReference"/>
        </w:rPr>
        <w:footnoteRef/>
      </w:r>
      <w:r>
        <w:t xml:space="preserve"> </w:t>
      </w:r>
      <w:r>
        <w:rPr>
          <w:lang w:val="en-ZW"/>
        </w:rPr>
        <w:t xml:space="preserve">CUE </w:t>
      </w:r>
      <w:r>
        <w:t>O</w:t>
      </w:r>
      <w:r w:rsidRPr="00F730EB">
        <w:t xml:space="preserve">pening </w:t>
      </w:r>
      <w:r>
        <w:rPr>
          <w:lang w:val="en-ZW"/>
        </w:rPr>
        <w:t>Brief</w:t>
      </w:r>
      <w:r w:rsidR="00BA58BF">
        <w:rPr>
          <w:lang w:val="en-ZW"/>
        </w:rPr>
        <w:t xml:space="preserve"> at </w:t>
      </w:r>
      <w:r>
        <w:rPr>
          <w:lang w:val="en-ZW"/>
        </w:rPr>
        <w:t>2.</w:t>
      </w:r>
    </w:p>
  </w:footnote>
  <w:footnote w:id="41">
    <w:p w14:paraId="4883E5A7" w14:textId="5F181439" w:rsidR="002E3A04" w:rsidRPr="00F96562" w:rsidRDefault="002E3A04" w:rsidP="002E3A04">
      <w:pPr>
        <w:pStyle w:val="FootnoteText"/>
        <w:rPr>
          <w:lang w:val="en-ZW"/>
        </w:rPr>
      </w:pPr>
      <w:r>
        <w:rPr>
          <w:rStyle w:val="FootnoteReference"/>
        </w:rPr>
        <w:footnoteRef/>
      </w:r>
      <w:r>
        <w:t xml:space="preserve"> </w:t>
      </w:r>
      <w:r>
        <w:rPr>
          <w:lang w:val="en-ZW"/>
        </w:rPr>
        <w:t xml:space="preserve">SUBA </w:t>
      </w:r>
      <w:r>
        <w:t>O</w:t>
      </w:r>
      <w:r w:rsidRPr="00F730EB">
        <w:t xml:space="preserve">pening </w:t>
      </w:r>
      <w:r>
        <w:rPr>
          <w:lang w:val="en-ZW"/>
        </w:rPr>
        <w:t>Brief</w:t>
      </w:r>
      <w:r w:rsidR="00BA58BF">
        <w:rPr>
          <w:lang w:val="en-ZW"/>
        </w:rPr>
        <w:t xml:space="preserve"> at </w:t>
      </w:r>
      <w:r>
        <w:rPr>
          <w:lang w:val="en-ZW"/>
        </w:rPr>
        <w:t>3.</w:t>
      </w:r>
    </w:p>
  </w:footnote>
  <w:footnote w:id="42">
    <w:p w14:paraId="070E1BB3" w14:textId="7AFAB992" w:rsidR="002E3A04" w:rsidRPr="00885040" w:rsidRDefault="002E3A04" w:rsidP="002E3A04">
      <w:pPr>
        <w:pStyle w:val="FootnoteText"/>
        <w:tabs>
          <w:tab w:val="center" w:pos="4680"/>
        </w:tabs>
        <w:rPr>
          <w:lang w:val="en-ZW"/>
        </w:rPr>
      </w:pPr>
      <w:r>
        <w:rPr>
          <w:rStyle w:val="FootnoteReference"/>
        </w:rPr>
        <w:footnoteRef/>
      </w:r>
      <w:r>
        <w:t xml:space="preserve"> </w:t>
      </w:r>
      <w:r>
        <w:rPr>
          <w:lang w:val="en-ZW"/>
        </w:rPr>
        <w:t xml:space="preserve">CBIA </w:t>
      </w:r>
      <w:r>
        <w:t>O</w:t>
      </w:r>
      <w:r w:rsidRPr="00F730EB">
        <w:t xml:space="preserve">pening </w:t>
      </w:r>
      <w:r>
        <w:rPr>
          <w:lang w:val="en-ZW"/>
        </w:rPr>
        <w:t>Brief</w:t>
      </w:r>
      <w:r w:rsidR="00BA58BF">
        <w:rPr>
          <w:lang w:val="en-ZW"/>
        </w:rPr>
        <w:t xml:space="preserve"> at </w:t>
      </w:r>
      <w:r>
        <w:rPr>
          <w:lang w:val="en-ZW"/>
        </w:rPr>
        <w:t>1.</w:t>
      </w:r>
    </w:p>
  </w:footnote>
  <w:footnote w:id="43">
    <w:p w14:paraId="4349684F" w14:textId="559DAE93" w:rsidR="002E3A04" w:rsidRPr="006A7809" w:rsidRDefault="002E3A04" w:rsidP="002E3A04">
      <w:pPr>
        <w:pStyle w:val="FootnoteText"/>
        <w:rPr>
          <w:lang w:val="en-ZW"/>
        </w:rPr>
      </w:pPr>
      <w:r>
        <w:rPr>
          <w:rStyle w:val="FootnoteReference"/>
        </w:rPr>
        <w:footnoteRef/>
      </w:r>
      <w:r>
        <w:t xml:space="preserve"> </w:t>
      </w:r>
      <w:r>
        <w:rPr>
          <w:lang w:val="en-ZW"/>
        </w:rPr>
        <w:t xml:space="preserve">Arcadia </w:t>
      </w:r>
      <w:r w:rsidR="003B4AD1">
        <w:rPr>
          <w:lang w:val="en-ZW"/>
        </w:rPr>
        <w:t xml:space="preserve">Power </w:t>
      </w:r>
      <w:r>
        <w:rPr>
          <w:lang w:val="en-ZW"/>
        </w:rPr>
        <w:t>Reply Brief</w:t>
      </w:r>
      <w:r w:rsidR="00BA58BF">
        <w:rPr>
          <w:lang w:val="en-ZW"/>
        </w:rPr>
        <w:t xml:space="preserve"> at </w:t>
      </w:r>
      <w:r>
        <w:rPr>
          <w:lang w:val="en-ZW"/>
        </w:rPr>
        <w:t>3.</w:t>
      </w:r>
    </w:p>
  </w:footnote>
  <w:footnote w:id="44">
    <w:p w14:paraId="72338712" w14:textId="6E4E72CC" w:rsidR="002E3A04" w:rsidRPr="00FF2431" w:rsidRDefault="002E3A04" w:rsidP="002E3A04">
      <w:pPr>
        <w:pStyle w:val="FootnoteText"/>
        <w:rPr>
          <w:lang w:val="en-ZW"/>
        </w:rPr>
      </w:pPr>
      <w:r>
        <w:rPr>
          <w:rStyle w:val="FootnoteReference"/>
        </w:rPr>
        <w:footnoteRef/>
      </w:r>
      <w:r>
        <w:t xml:space="preserve"> </w:t>
      </w:r>
      <w:r w:rsidR="00440785">
        <w:t>Pub. Util.</w:t>
      </w:r>
      <w:r w:rsidR="006D2932">
        <w:t xml:space="preserve"> Code § </w:t>
      </w:r>
      <w:r w:rsidRPr="00D6563B">
        <w:t>769</w:t>
      </w:r>
      <w:r>
        <w:t>.3(b)(2) (</w:t>
      </w:r>
      <w:r w:rsidRPr="00804945">
        <w:t>emphasis added</w:t>
      </w:r>
      <w:r>
        <w:t>).</w:t>
      </w:r>
    </w:p>
  </w:footnote>
  <w:footnote w:id="45">
    <w:p w14:paraId="3DD1BEB7" w14:textId="53F84C50" w:rsidR="002E3A04" w:rsidRPr="00776E4E" w:rsidRDefault="002E3A04" w:rsidP="002E3A04">
      <w:pPr>
        <w:pStyle w:val="FootnoteText"/>
        <w:rPr>
          <w:lang w:val="en-ZW"/>
        </w:rPr>
      </w:pPr>
      <w:r>
        <w:rPr>
          <w:rStyle w:val="FootnoteReference"/>
        </w:rPr>
        <w:footnoteRef/>
      </w:r>
      <w:r>
        <w:t xml:space="preserve"> </w:t>
      </w:r>
      <w:r w:rsidR="003627A8">
        <w:t>AB </w:t>
      </w:r>
      <w:r>
        <w:t xml:space="preserve">2316, </w:t>
      </w:r>
      <w:r w:rsidR="0013526D">
        <w:t>August </w:t>
      </w:r>
      <w:r>
        <w:t>24, 2022,</w:t>
      </w:r>
      <w:r w:rsidRPr="009332C8">
        <w:t xml:space="preserve"> </w:t>
      </w:r>
      <w:r>
        <w:t>A</w:t>
      </w:r>
      <w:r w:rsidRPr="009332C8">
        <w:t xml:space="preserve">ssembly </w:t>
      </w:r>
      <w:r>
        <w:t>F</w:t>
      </w:r>
      <w:r w:rsidRPr="009332C8">
        <w:t xml:space="preserve">loor </w:t>
      </w:r>
      <w:r>
        <w:t>A</w:t>
      </w:r>
      <w:r w:rsidRPr="009332C8">
        <w:t>nalysis</w:t>
      </w:r>
      <w:r w:rsidR="00BA58BF">
        <w:t xml:space="preserve"> at </w:t>
      </w:r>
      <w:r w:rsidRPr="005E5367">
        <w:t>2.</w:t>
      </w:r>
    </w:p>
  </w:footnote>
  <w:footnote w:id="46">
    <w:p w14:paraId="328E5204" w14:textId="1533F7A7" w:rsidR="002E3A04" w:rsidRPr="00D07D2E" w:rsidRDefault="002E3A04" w:rsidP="002E3A04">
      <w:pPr>
        <w:pStyle w:val="FootnoteText"/>
        <w:rPr>
          <w:lang w:val="en-ZW"/>
        </w:rPr>
      </w:pPr>
      <w:r>
        <w:rPr>
          <w:rStyle w:val="FootnoteReference"/>
        </w:rPr>
        <w:footnoteRef/>
      </w:r>
      <w:r>
        <w:t xml:space="preserve"> </w:t>
      </w:r>
      <w:r w:rsidR="003627A8">
        <w:t>AB </w:t>
      </w:r>
      <w:r>
        <w:t xml:space="preserve">2316, </w:t>
      </w:r>
      <w:r w:rsidR="0013526D">
        <w:t>August </w:t>
      </w:r>
      <w:r w:rsidRPr="00D07D2E">
        <w:t>2</w:t>
      </w:r>
      <w:r>
        <w:t xml:space="preserve">6, 2022, </w:t>
      </w:r>
      <w:r w:rsidRPr="00C81610">
        <w:t xml:space="preserve">Senate </w:t>
      </w:r>
      <w:r>
        <w:t>F</w:t>
      </w:r>
      <w:r w:rsidRPr="00C81610">
        <w:t xml:space="preserve">loor </w:t>
      </w:r>
      <w:r>
        <w:t>A</w:t>
      </w:r>
      <w:r w:rsidRPr="00C81610">
        <w:t>nalysis</w:t>
      </w:r>
      <w:r w:rsidR="00BA58BF">
        <w:t xml:space="preserve"> at </w:t>
      </w:r>
      <w:r>
        <w:t>2.</w:t>
      </w:r>
    </w:p>
  </w:footnote>
  <w:footnote w:id="47">
    <w:p w14:paraId="43D2FC6D" w14:textId="06375DB7" w:rsidR="00345511" w:rsidRPr="000445FF" w:rsidRDefault="00345511" w:rsidP="00345511">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5.</w:t>
      </w:r>
    </w:p>
  </w:footnote>
  <w:footnote w:id="48">
    <w:p w14:paraId="102AC255" w14:textId="0F6928BC" w:rsidR="00345511" w:rsidRPr="00201E61" w:rsidRDefault="00345511" w:rsidP="00345511">
      <w:pPr>
        <w:pStyle w:val="FootnoteText"/>
        <w:rPr>
          <w:lang w:val="en-ZW"/>
        </w:rPr>
      </w:pPr>
      <w:r>
        <w:rPr>
          <w:rStyle w:val="FootnoteReference"/>
        </w:rPr>
        <w:footnoteRef/>
      </w:r>
      <w:r>
        <w:t xml:space="preserve"> </w:t>
      </w:r>
      <w:r>
        <w:rPr>
          <w:lang w:val="en-ZW"/>
        </w:rPr>
        <w:t xml:space="preserve">TURN </w:t>
      </w:r>
      <w:r>
        <w:t>O</w:t>
      </w:r>
      <w:r w:rsidRPr="00F730EB">
        <w:t xml:space="preserve">pening </w:t>
      </w:r>
      <w:r>
        <w:rPr>
          <w:lang w:val="en-ZW"/>
        </w:rPr>
        <w:t>Brief</w:t>
      </w:r>
      <w:r w:rsidR="00BA58BF">
        <w:rPr>
          <w:lang w:val="en-ZW"/>
        </w:rPr>
        <w:t xml:space="preserve"> at </w:t>
      </w:r>
      <w:r>
        <w:rPr>
          <w:lang w:val="en-ZW"/>
        </w:rPr>
        <w:t>3.</w:t>
      </w:r>
    </w:p>
  </w:footnote>
  <w:footnote w:id="49">
    <w:p w14:paraId="536DFD76" w14:textId="177FD9D5" w:rsidR="00345511" w:rsidRPr="007E43C8" w:rsidRDefault="00345511" w:rsidP="00345511">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w:t>
      </w:r>
      <w:r>
        <w:t>O</w:t>
      </w:r>
      <w:r w:rsidRPr="00F730EB">
        <w:t xml:space="preserve">pening </w:t>
      </w:r>
      <w:r>
        <w:rPr>
          <w:lang w:val="en-ZW"/>
        </w:rPr>
        <w:t>Brief</w:t>
      </w:r>
      <w:r w:rsidR="00BA58BF">
        <w:rPr>
          <w:lang w:val="en-ZW"/>
        </w:rPr>
        <w:t xml:space="preserve"> at </w:t>
      </w:r>
      <w:r>
        <w:rPr>
          <w:lang w:val="en-ZW"/>
        </w:rPr>
        <w:t>2.</w:t>
      </w:r>
    </w:p>
  </w:footnote>
  <w:footnote w:id="50">
    <w:p w14:paraId="3DA175C1" w14:textId="342AEF39" w:rsidR="00345511" w:rsidRPr="00FA70BD"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3.</w:t>
      </w:r>
    </w:p>
  </w:footnote>
  <w:footnote w:id="51">
    <w:p w14:paraId="762F3770" w14:textId="187D40CF" w:rsidR="00345511" w:rsidRPr="00A16F09"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8.</w:t>
      </w:r>
    </w:p>
  </w:footnote>
  <w:footnote w:id="52">
    <w:p w14:paraId="0C6ECB16" w14:textId="6C45BB9E" w:rsidR="00345511" w:rsidRPr="0027051C"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Pr>
          <w:lang w:val="en-ZW"/>
        </w:rPr>
        <w:t>4.</w:t>
      </w:r>
    </w:p>
  </w:footnote>
  <w:footnote w:id="53">
    <w:p w14:paraId="1171C72A" w14:textId="69E8693A" w:rsidR="00345511" w:rsidRPr="00287AD9" w:rsidRDefault="00345511" w:rsidP="00345511">
      <w:pPr>
        <w:pStyle w:val="FootnoteText"/>
        <w:rPr>
          <w:lang w:val="en-ZW"/>
        </w:rPr>
      </w:pPr>
      <w:r>
        <w:rPr>
          <w:rStyle w:val="FootnoteReference"/>
        </w:rPr>
        <w:footnoteRef/>
      </w:r>
      <w:r>
        <w:t xml:space="preserve"> </w:t>
      </w:r>
      <w:r>
        <w:rPr>
          <w:lang w:val="en-ZW"/>
        </w:rPr>
        <w:t xml:space="preserve">CBIA </w:t>
      </w:r>
      <w:r>
        <w:t>O</w:t>
      </w:r>
      <w:r w:rsidRPr="00F730EB">
        <w:t xml:space="preserve">pening </w:t>
      </w:r>
      <w:r>
        <w:rPr>
          <w:lang w:val="en-ZW"/>
        </w:rPr>
        <w:t>Brief</w:t>
      </w:r>
      <w:r w:rsidR="00BA58BF">
        <w:rPr>
          <w:lang w:val="en-ZW"/>
        </w:rPr>
        <w:t xml:space="preserve"> at </w:t>
      </w:r>
      <w:r>
        <w:rPr>
          <w:lang w:val="en-ZW"/>
        </w:rPr>
        <w:t>3.</w:t>
      </w:r>
    </w:p>
  </w:footnote>
  <w:footnote w:id="54">
    <w:p w14:paraId="54F24443" w14:textId="3CA2FF98" w:rsidR="00345511" w:rsidRPr="000445FF" w:rsidRDefault="00345511" w:rsidP="00345511">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5.</w:t>
      </w:r>
    </w:p>
  </w:footnote>
  <w:footnote w:id="55">
    <w:p w14:paraId="6D31AC68" w14:textId="76264DF8" w:rsidR="00345511" w:rsidRPr="0039693C" w:rsidRDefault="00345511" w:rsidP="00345511">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12.</w:t>
      </w:r>
    </w:p>
  </w:footnote>
  <w:footnote w:id="56">
    <w:p w14:paraId="25B00B77" w14:textId="6B175C30" w:rsidR="00345511" w:rsidRPr="00471098" w:rsidRDefault="00345511" w:rsidP="00345511">
      <w:pPr>
        <w:pStyle w:val="FootnoteText"/>
        <w:rPr>
          <w:lang w:val="en-ZW"/>
        </w:rPr>
      </w:pPr>
      <w:r>
        <w:rPr>
          <w:rStyle w:val="FootnoteReference"/>
        </w:rPr>
        <w:footnoteRef/>
      </w:r>
      <w:r>
        <w:t xml:space="preserve"> </w:t>
      </w:r>
      <w:r>
        <w:rPr>
          <w:lang w:val="en-ZW"/>
        </w:rPr>
        <w:t xml:space="preserve">TURN </w:t>
      </w:r>
      <w:r>
        <w:t>O</w:t>
      </w:r>
      <w:r w:rsidRPr="00F730EB">
        <w:t xml:space="preserve">pening </w:t>
      </w:r>
      <w:r>
        <w:rPr>
          <w:lang w:val="en-ZW"/>
        </w:rPr>
        <w:t>Brief</w:t>
      </w:r>
      <w:r w:rsidR="00BA58BF">
        <w:rPr>
          <w:lang w:val="en-ZW"/>
        </w:rPr>
        <w:t xml:space="preserve"> at </w:t>
      </w:r>
      <w:r>
        <w:rPr>
          <w:lang w:val="en-ZW"/>
        </w:rPr>
        <w:t>3.</w:t>
      </w:r>
    </w:p>
  </w:footnote>
  <w:footnote w:id="57">
    <w:p w14:paraId="6DB4AD78" w14:textId="646CC34B" w:rsidR="00345511" w:rsidRPr="00FA70BD"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3.</w:t>
      </w:r>
    </w:p>
  </w:footnote>
  <w:footnote w:id="58">
    <w:p w14:paraId="476FBB3F" w14:textId="2A400087" w:rsidR="00345511" w:rsidRPr="006A4690" w:rsidRDefault="00345511" w:rsidP="00345511">
      <w:pPr>
        <w:pStyle w:val="FootnoteText"/>
        <w:rPr>
          <w:lang w:val="en-ZW"/>
        </w:rPr>
      </w:pPr>
      <w:r>
        <w:rPr>
          <w:rStyle w:val="FootnoteReference"/>
        </w:rPr>
        <w:footnoteRef/>
      </w:r>
      <w:r>
        <w:t xml:space="preserve"> </w:t>
      </w:r>
      <w:r>
        <w:rPr>
          <w:lang w:val="en-ZW"/>
        </w:rPr>
        <w:t xml:space="preserve">SEIA </w:t>
      </w:r>
      <w:r>
        <w:t>O</w:t>
      </w:r>
      <w:r w:rsidRPr="00F730EB">
        <w:t xml:space="preserve">pening </w:t>
      </w:r>
      <w:r>
        <w:rPr>
          <w:lang w:val="en-ZW"/>
        </w:rPr>
        <w:t>Brief</w:t>
      </w:r>
      <w:r w:rsidR="00BA58BF">
        <w:rPr>
          <w:lang w:val="en-ZW"/>
        </w:rPr>
        <w:t xml:space="preserve"> at </w:t>
      </w:r>
      <w:r>
        <w:rPr>
          <w:lang w:val="en-ZW"/>
        </w:rPr>
        <w:t>6.</w:t>
      </w:r>
    </w:p>
  </w:footnote>
  <w:footnote w:id="59">
    <w:p w14:paraId="246F3408" w14:textId="462F700A" w:rsidR="00345511" w:rsidRPr="00DD509D" w:rsidRDefault="00345511" w:rsidP="00345511">
      <w:pPr>
        <w:pStyle w:val="FootnoteText"/>
        <w:rPr>
          <w:lang w:val="en-ZW"/>
        </w:rPr>
      </w:pPr>
      <w:r>
        <w:rPr>
          <w:rStyle w:val="FootnoteReference"/>
        </w:rPr>
        <w:footnoteRef/>
      </w:r>
      <w:r>
        <w:t xml:space="preserve"> </w:t>
      </w:r>
      <w:r>
        <w:rPr>
          <w:lang w:val="en-ZW"/>
        </w:rPr>
        <w:t>PG&amp;E Reply Brief</w:t>
      </w:r>
      <w:r w:rsidR="00BA58BF">
        <w:rPr>
          <w:lang w:val="en-ZW"/>
        </w:rPr>
        <w:t xml:space="preserve"> at </w:t>
      </w:r>
      <w:r>
        <w:rPr>
          <w:lang w:val="en-ZW"/>
        </w:rPr>
        <w:t>6.</w:t>
      </w:r>
    </w:p>
  </w:footnote>
  <w:footnote w:id="60">
    <w:p w14:paraId="592BF012" w14:textId="41BF3586" w:rsidR="00345511" w:rsidRPr="00A16F09"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8.</w:t>
      </w:r>
    </w:p>
  </w:footnote>
  <w:footnote w:id="61">
    <w:p w14:paraId="05A5C23A" w14:textId="300877D5" w:rsidR="00345511" w:rsidRPr="003C4CB4"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sidR="00BB6127">
        <w:rPr>
          <w:lang w:val="en-ZW"/>
        </w:rPr>
        <w:t>7</w:t>
      </w:r>
      <w:r>
        <w:rPr>
          <w:lang w:val="en-ZW"/>
        </w:rPr>
        <w:t>.</w:t>
      </w:r>
    </w:p>
  </w:footnote>
  <w:footnote w:id="62">
    <w:p w14:paraId="4318DCD3" w14:textId="5BCFDBC7" w:rsidR="00345511" w:rsidRPr="00544E1F" w:rsidRDefault="00345511" w:rsidP="00345511">
      <w:pPr>
        <w:pStyle w:val="FootnoteText"/>
        <w:rPr>
          <w:lang w:val="en-ZW"/>
        </w:rPr>
      </w:pPr>
      <w:r>
        <w:rPr>
          <w:rStyle w:val="FootnoteReference"/>
        </w:rPr>
        <w:footnoteRef/>
      </w:r>
      <w: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2.</w:t>
      </w:r>
    </w:p>
  </w:footnote>
  <w:footnote w:id="63">
    <w:p w14:paraId="2BDC5582" w14:textId="5E70EA5F" w:rsidR="00345511" w:rsidRPr="00816CD3"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Pr>
          <w:lang w:val="en-ZW"/>
        </w:rPr>
        <w:t xml:space="preserve">6, PG&amp;E </w:t>
      </w:r>
      <w:r>
        <w:t>O</w:t>
      </w:r>
      <w:r w:rsidRPr="00F730EB">
        <w:t xml:space="preserve">pening </w:t>
      </w:r>
      <w:r>
        <w:rPr>
          <w:lang w:val="en-ZW"/>
        </w:rPr>
        <w:t>Brief</w:t>
      </w:r>
      <w:r w:rsidR="00BA58BF">
        <w:rPr>
          <w:lang w:val="en-ZW"/>
        </w:rPr>
        <w:t xml:space="preserve"> at </w:t>
      </w:r>
      <w:r>
        <w:rPr>
          <w:lang w:val="en-ZW"/>
        </w:rPr>
        <w:t>5,</w:t>
      </w:r>
      <w:r w:rsidRPr="00571A5B">
        <w:rPr>
          <w:lang w:val="en-ZW"/>
        </w:rP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 xml:space="preserve">2, SEIA </w:t>
      </w:r>
      <w:r>
        <w:t>O</w:t>
      </w:r>
      <w:r w:rsidRPr="00F730EB">
        <w:t xml:space="preserve">pening </w:t>
      </w:r>
      <w:r>
        <w:rPr>
          <w:lang w:val="en-ZW"/>
        </w:rPr>
        <w:t>Brief</w:t>
      </w:r>
      <w:r w:rsidR="00BA58BF">
        <w:rPr>
          <w:lang w:val="en-ZW"/>
        </w:rPr>
        <w:t xml:space="preserve"> at </w:t>
      </w:r>
      <w:r>
        <w:rPr>
          <w:lang w:val="en-ZW"/>
        </w:rPr>
        <w:t>7, TURN Opening Brief</w:t>
      </w:r>
      <w:r w:rsidR="00BA58BF">
        <w:rPr>
          <w:lang w:val="en-ZW"/>
        </w:rPr>
        <w:t xml:space="preserve"> at </w:t>
      </w:r>
      <w:r>
        <w:rPr>
          <w:lang w:val="en-ZW"/>
        </w:rPr>
        <w:t>4.</w:t>
      </w:r>
    </w:p>
  </w:footnote>
  <w:footnote w:id="64">
    <w:p w14:paraId="3EC92150" w14:textId="16A41812" w:rsidR="00345511" w:rsidRPr="0047232A"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5.</w:t>
      </w:r>
    </w:p>
  </w:footnote>
  <w:footnote w:id="65">
    <w:p w14:paraId="450FBFAC" w14:textId="10662DF4" w:rsidR="00345511" w:rsidRPr="00E515AE"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10.</w:t>
      </w:r>
    </w:p>
  </w:footnote>
  <w:footnote w:id="66">
    <w:p w14:paraId="0838F983" w14:textId="2D2E28D5" w:rsidR="00345511" w:rsidRPr="005C3A5A" w:rsidRDefault="00345511" w:rsidP="00345511">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16.</w:t>
      </w:r>
    </w:p>
  </w:footnote>
  <w:footnote w:id="67">
    <w:p w14:paraId="0CC8C9C5" w14:textId="026DC544" w:rsidR="00345511" w:rsidRPr="006A143D" w:rsidRDefault="00345511" w:rsidP="00345511">
      <w:pPr>
        <w:pStyle w:val="FootnoteText"/>
        <w:rPr>
          <w:lang w:val="en-ZW"/>
        </w:rPr>
      </w:pPr>
      <w:r>
        <w:rPr>
          <w:rStyle w:val="FootnoteReference"/>
        </w:rPr>
        <w:footnoteRef/>
      </w:r>
      <w:r>
        <w:t xml:space="preserve"> </w:t>
      </w:r>
      <w:r>
        <w:rPr>
          <w:lang w:val="en-ZW"/>
        </w:rPr>
        <w:t xml:space="preserve">SCE </w:t>
      </w:r>
      <w:r>
        <w:t>O</w:t>
      </w:r>
      <w:r w:rsidRPr="00F730EB">
        <w:t xml:space="preserve">pening </w:t>
      </w:r>
      <w:r>
        <w:rPr>
          <w:lang w:val="en-ZW"/>
        </w:rPr>
        <w:t>Brief</w:t>
      </w:r>
      <w:r w:rsidR="00BA58BF">
        <w:rPr>
          <w:lang w:val="en-ZW"/>
        </w:rPr>
        <w:t xml:space="preserve"> at </w:t>
      </w:r>
      <w:r>
        <w:rPr>
          <w:lang w:val="en-ZW"/>
        </w:rPr>
        <w:t>2.</w:t>
      </w:r>
    </w:p>
  </w:footnote>
  <w:footnote w:id="68">
    <w:p w14:paraId="0DF1405E" w14:textId="42C99AD2" w:rsidR="00345511" w:rsidRPr="00462FBD" w:rsidRDefault="00345511" w:rsidP="00345511">
      <w:pPr>
        <w:pStyle w:val="FootnoteText"/>
        <w:rPr>
          <w:lang w:val="en-ZW"/>
        </w:rPr>
      </w:pPr>
      <w:r>
        <w:rPr>
          <w:rStyle w:val="FootnoteReference"/>
        </w:rPr>
        <w:footnoteRef/>
      </w:r>
      <w:r>
        <w:t xml:space="preserve"> </w:t>
      </w:r>
      <w:r>
        <w:rPr>
          <w:lang w:val="en-ZW"/>
        </w:rPr>
        <w:t xml:space="preserve">SDG&amp;E </w:t>
      </w:r>
      <w:r>
        <w:t>O</w:t>
      </w:r>
      <w:r w:rsidRPr="00F730EB">
        <w:t xml:space="preserve">pening </w:t>
      </w:r>
      <w:r>
        <w:rPr>
          <w:lang w:val="en-ZW"/>
        </w:rPr>
        <w:t>Brief</w:t>
      </w:r>
      <w:r w:rsidR="00BA58BF">
        <w:rPr>
          <w:lang w:val="en-ZW"/>
        </w:rPr>
        <w:t xml:space="preserve"> at </w:t>
      </w:r>
      <w:r>
        <w:rPr>
          <w:lang w:val="en-ZW"/>
        </w:rPr>
        <w:t>17.</w:t>
      </w:r>
    </w:p>
  </w:footnote>
  <w:footnote w:id="69">
    <w:p w14:paraId="7B3F19A8" w14:textId="3B73163D" w:rsidR="00345511" w:rsidRPr="00B659B7" w:rsidRDefault="00345511" w:rsidP="00345511">
      <w:pPr>
        <w:pStyle w:val="FootnoteText"/>
        <w:rPr>
          <w:lang w:val="en-ZW"/>
        </w:rPr>
      </w:pPr>
      <w:r>
        <w:rPr>
          <w:rStyle w:val="FootnoteReference"/>
        </w:rPr>
        <w:footnoteRef/>
      </w:r>
      <w:r>
        <w:t xml:space="preserve"> </w:t>
      </w:r>
      <w:r>
        <w:rPr>
          <w:lang w:val="en-ZW"/>
        </w:rPr>
        <w:t xml:space="preserve">TURN </w:t>
      </w:r>
      <w:r>
        <w:t>O</w:t>
      </w:r>
      <w:r w:rsidRPr="00F730EB">
        <w:t xml:space="preserve">pening </w:t>
      </w:r>
      <w:r>
        <w:rPr>
          <w:lang w:val="en-ZW"/>
        </w:rPr>
        <w:t>Brief</w:t>
      </w:r>
      <w:r w:rsidR="00BA58BF">
        <w:rPr>
          <w:lang w:val="en-ZW"/>
        </w:rPr>
        <w:t xml:space="preserve"> at </w:t>
      </w:r>
      <w:r>
        <w:rPr>
          <w:lang w:val="en-ZW"/>
        </w:rPr>
        <w:t>5.</w:t>
      </w:r>
    </w:p>
  </w:footnote>
  <w:footnote w:id="70">
    <w:p w14:paraId="3EC8351F" w14:textId="58B23B9E" w:rsidR="00345511" w:rsidRPr="007E43C8" w:rsidRDefault="00345511" w:rsidP="00345511">
      <w:pPr>
        <w:pStyle w:val="FootnoteText"/>
        <w:rPr>
          <w:lang w:val="en-ZW"/>
        </w:rPr>
      </w:pPr>
      <w:r>
        <w:rPr>
          <w:rStyle w:val="FootnoteReference"/>
        </w:rPr>
        <w:footnoteRef/>
      </w:r>
      <w:r>
        <w:t xml:space="preserve"> </w:t>
      </w:r>
      <w:r w:rsidR="00AD55A4">
        <w:rPr>
          <w:lang w:val="en-ZW"/>
        </w:rPr>
        <w:t xml:space="preserve">CEJA, </w:t>
      </w:r>
      <w:r w:rsidR="00237E56">
        <w:rPr>
          <w:i/>
          <w:iCs/>
          <w:lang w:val="en-ZW"/>
        </w:rPr>
        <w:t>et al</w:t>
      </w:r>
      <w:r w:rsidR="00AD55A4" w:rsidRPr="00AD55A4">
        <w:rPr>
          <w:i/>
          <w:iCs/>
          <w:lang w:val="en-ZW"/>
        </w:rPr>
        <w:t>.</w:t>
      </w:r>
      <w:r>
        <w:rPr>
          <w:lang w:val="en-ZW"/>
        </w:rPr>
        <w:t xml:space="preserve"> </w:t>
      </w:r>
      <w:r>
        <w:t>O</w:t>
      </w:r>
      <w:r w:rsidRPr="00F730EB">
        <w:t xml:space="preserve">pening </w:t>
      </w:r>
      <w:r>
        <w:rPr>
          <w:lang w:val="en-ZW"/>
        </w:rPr>
        <w:t>Brief</w:t>
      </w:r>
      <w:r w:rsidR="00BA58BF">
        <w:rPr>
          <w:lang w:val="en-ZW"/>
        </w:rPr>
        <w:t xml:space="preserve"> at </w:t>
      </w:r>
      <w:r>
        <w:rPr>
          <w:lang w:val="en-ZW"/>
        </w:rPr>
        <w:t xml:space="preserve">2, SEIA </w:t>
      </w:r>
      <w:r>
        <w:t>O</w:t>
      </w:r>
      <w:r w:rsidRPr="00F730EB">
        <w:t xml:space="preserve">pening </w:t>
      </w:r>
      <w:r>
        <w:rPr>
          <w:lang w:val="en-ZW"/>
        </w:rPr>
        <w:t>Brief</w:t>
      </w:r>
      <w:r w:rsidR="00BA58BF">
        <w:rPr>
          <w:lang w:val="en-ZW"/>
        </w:rPr>
        <w:t xml:space="preserve"> at </w:t>
      </w:r>
      <w:r>
        <w:rPr>
          <w:lang w:val="en-ZW"/>
        </w:rPr>
        <w:t>7.</w:t>
      </w:r>
    </w:p>
  </w:footnote>
  <w:footnote w:id="71">
    <w:p w14:paraId="21AAC01A" w14:textId="79D16144" w:rsidR="00345511" w:rsidRPr="00AE4284" w:rsidRDefault="00345511" w:rsidP="00345511">
      <w:pPr>
        <w:pStyle w:val="FootnoteText"/>
        <w:rPr>
          <w:lang w:val="en-ZW"/>
        </w:rPr>
      </w:pPr>
      <w:r>
        <w:rPr>
          <w:rStyle w:val="FootnoteReference"/>
        </w:rPr>
        <w:footnoteRef/>
      </w:r>
      <w:r>
        <w:t xml:space="preserve"> </w:t>
      </w:r>
      <w:r w:rsidR="000341A3">
        <w:rPr>
          <w:lang w:val="en-ZW"/>
        </w:rPr>
        <w:t>Joint CCA</w:t>
      </w:r>
      <w:r>
        <w:rPr>
          <w:lang w:val="en-ZW"/>
        </w:rPr>
        <w:t xml:space="preserve">s </w:t>
      </w:r>
      <w:r>
        <w:t>O</w:t>
      </w:r>
      <w:r w:rsidRPr="00F730EB">
        <w:t xml:space="preserve">pening </w:t>
      </w:r>
      <w:r>
        <w:rPr>
          <w:lang w:val="en-ZW"/>
        </w:rPr>
        <w:t>Brief</w:t>
      </w:r>
      <w:r w:rsidR="00BA58BF">
        <w:rPr>
          <w:lang w:val="en-ZW"/>
        </w:rPr>
        <w:t xml:space="preserve"> at </w:t>
      </w:r>
      <w:r>
        <w:rPr>
          <w:lang w:val="en-ZW"/>
        </w:rPr>
        <w:t>11.</w:t>
      </w:r>
    </w:p>
  </w:footnote>
  <w:footnote w:id="72">
    <w:p w14:paraId="2E98771E" w14:textId="7900FA2A" w:rsidR="00345511" w:rsidRPr="00BC1C93" w:rsidRDefault="00345511" w:rsidP="00345511">
      <w:pPr>
        <w:pStyle w:val="FootnoteText"/>
        <w:rPr>
          <w:lang w:val="en-ZW"/>
        </w:rPr>
      </w:pPr>
      <w:r>
        <w:rPr>
          <w:rStyle w:val="FootnoteReference"/>
        </w:rPr>
        <w:footnoteRef/>
      </w:r>
      <w:r>
        <w:t xml:space="preserve"> </w:t>
      </w:r>
      <w:r>
        <w:rPr>
          <w:lang w:val="en-ZW"/>
        </w:rPr>
        <w:t xml:space="preserve">Cypress Creek </w:t>
      </w:r>
      <w:r>
        <w:t>O</w:t>
      </w:r>
      <w:r w:rsidRPr="00F730EB">
        <w:t xml:space="preserve">pening </w:t>
      </w:r>
      <w:r>
        <w:rPr>
          <w:lang w:val="en-ZW"/>
        </w:rPr>
        <w:t>Brief</w:t>
      </w:r>
      <w:r w:rsidR="00BA58BF">
        <w:rPr>
          <w:lang w:val="en-ZW"/>
        </w:rPr>
        <w:t xml:space="preserve"> at </w:t>
      </w:r>
      <w:r>
        <w:rPr>
          <w:lang w:val="en-ZW"/>
        </w:rPr>
        <w:t>6.</w:t>
      </w:r>
    </w:p>
  </w:footnote>
  <w:footnote w:id="73">
    <w:p w14:paraId="2A1E934A" w14:textId="0F510157" w:rsidR="00345511" w:rsidRPr="00225A53" w:rsidRDefault="00345511" w:rsidP="00345511">
      <w:pPr>
        <w:pStyle w:val="FootnoteText"/>
        <w:rPr>
          <w:lang w:val="en-ZW"/>
        </w:rPr>
      </w:pPr>
      <w:r>
        <w:rPr>
          <w:rStyle w:val="FootnoteReference"/>
        </w:rPr>
        <w:footnoteRef/>
      </w:r>
      <w:r>
        <w:t xml:space="preserve"> </w:t>
      </w:r>
      <w:r>
        <w:rPr>
          <w:lang w:val="en-ZW"/>
        </w:rPr>
        <w:t xml:space="preserve">CCSA </w:t>
      </w:r>
      <w:r>
        <w:t>O</w:t>
      </w:r>
      <w:r w:rsidRPr="00F730EB">
        <w:t xml:space="preserve">pening </w:t>
      </w:r>
      <w:r>
        <w:rPr>
          <w:lang w:val="en-ZW"/>
        </w:rPr>
        <w:t>Brief</w:t>
      </w:r>
      <w:r w:rsidR="00BA58BF">
        <w:rPr>
          <w:lang w:val="en-ZW"/>
        </w:rPr>
        <w:t xml:space="preserve"> at </w:t>
      </w:r>
      <w:r>
        <w:rPr>
          <w:lang w:val="en-ZW"/>
        </w:rPr>
        <w:t>7.</w:t>
      </w:r>
    </w:p>
  </w:footnote>
  <w:footnote w:id="74">
    <w:p w14:paraId="72054C1B" w14:textId="5A8075C5" w:rsidR="00345511" w:rsidRPr="0012275B" w:rsidRDefault="00345511" w:rsidP="00345511">
      <w:pPr>
        <w:pStyle w:val="FootnoteText"/>
        <w:rPr>
          <w:lang w:val="en-ZW"/>
        </w:rPr>
      </w:pPr>
      <w:r>
        <w:rPr>
          <w:rStyle w:val="FootnoteReference"/>
        </w:rPr>
        <w:footnoteRef/>
      </w:r>
      <w:r>
        <w:t xml:space="preserve"> </w:t>
      </w:r>
      <w:r>
        <w:rPr>
          <w:lang w:val="en-ZW"/>
        </w:rPr>
        <w:t xml:space="preserve">PG&amp;E </w:t>
      </w:r>
      <w:r>
        <w:t>O</w:t>
      </w:r>
      <w:r w:rsidRPr="00F730EB">
        <w:t xml:space="preserve">pening </w:t>
      </w:r>
      <w:r>
        <w:rPr>
          <w:lang w:val="en-ZW"/>
        </w:rPr>
        <w:t>Brief</w:t>
      </w:r>
      <w:r w:rsidR="00BA58BF">
        <w:rPr>
          <w:lang w:val="en-ZW"/>
        </w:rPr>
        <w:t xml:space="preserve"> at </w:t>
      </w:r>
      <w:r>
        <w:rPr>
          <w:lang w:val="en-ZW"/>
        </w:rPr>
        <w:t>5.</w:t>
      </w:r>
    </w:p>
  </w:footnote>
  <w:footnote w:id="75">
    <w:p w14:paraId="504599EC" w14:textId="627BB64D" w:rsidR="00345511" w:rsidRPr="000E2D4D" w:rsidRDefault="00345511" w:rsidP="00345511">
      <w:pPr>
        <w:pStyle w:val="FootnoteText"/>
        <w:rPr>
          <w:lang w:val="en-ZW"/>
        </w:rPr>
      </w:pPr>
      <w:r>
        <w:rPr>
          <w:rStyle w:val="FootnoteReference"/>
        </w:rPr>
        <w:footnoteRef/>
      </w:r>
      <w:r>
        <w:t xml:space="preserve"> SEIA O</w:t>
      </w:r>
      <w:r w:rsidRPr="00F730EB">
        <w:t xml:space="preserve">pening </w:t>
      </w:r>
      <w:r>
        <w:rPr>
          <w:lang w:val="en-ZW"/>
        </w:rPr>
        <w:t>Brief</w:t>
      </w:r>
      <w:r w:rsidR="00BA58BF">
        <w:rPr>
          <w:lang w:val="en-ZW"/>
        </w:rPr>
        <w:t xml:space="preserve"> at </w:t>
      </w:r>
      <w:r>
        <w:t>7, Cypress Creek O</w:t>
      </w:r>
      <w:r w:rsidRPr="00F730EB">
        <w:t xml:space="preserve">pening </w:t>
      </w:r>
      <w:r>
        <w:rPr>
          <w:lang w:val="en-ZW"/>
        </w:rPr>
        <w:t>Brief</w:t>
      </w:r>
      <w:r w:rsidR="00BA58BF">
        <w:rPr>
          <w:lang w:val="en-ZW"/>
        </w:rPr>
        <w:t xml:space="preserve"> at </w:t>
      </w:r>
      <w:r>
        <w:t>2, CCSA O</w:t>
      </w:r>
      <w:r w:rsidRPr="00F730EB">
        <w:t xml:space="preserve">pening </w:t>
      </w:r>
      <w:r>
        <w:rPr>
          <w:lang w:val="en-ZW"/>
        </w:rPr>
        <w:t>Brief</w:t>
      </w:r>
      <w:r w:rsidR="00BA58BF">
        <w:rPr>
          <w:lang w:val="en-ZW"/>
        </w:rPr>
        <w:t xml:space="preserve"> at </w:t>
      </w:r>
      <w:r>
        <w:t>5.</w:t>
      </w:r>
    </w:p>
  </w:footnote>
  <w:footnote w:id="76">
    <w:p w14:paraId="6CA095E7" w14:textId="1BDB6A65" w:rsidR="00345511" w:rsidRPr="00481B32" w:rsidRDefault="00345511" w:rsidP="00345511">
      <w:pPr>
        <w:pStyle w:val="FootnoteText"/>
        <w:rPr>
          <w:lang w:val="en-ZW"/>
        </w:rPr>
      </w:pPr>
      <w:r>
        <w:rPr>
          <w:rStyle w:val="FootnoteReference"/>
        </w:rPr>
        <w:footnoteRef/>
      </w:r>
      <w:r>
        <w:t xml:space="preserve"> </w:t>
      </w:r>
      <w:r w:rsidR="002917E2">
        <w:rPr>
          <w:lang w:val="en-ZW"/>
        </w:rPr>
        <w:t>Cal Advoc</w:t>
      </w:r>
      <w:r>
        <w:rPr>
          <w:lang w:val="en-ZW"/>
        </w:rPr>
        <w:t>ates Opening Brief</w:t>
      </w:r>
      <w:r w:rsidR="00BA58BF">
        <w:rPr>
          <w:lang w:val="en-ZW"/>
        </w:rPr>
        <w:t xml:space="preserve"> at </w:t>
      </w:r>
      <w:r>
        <w:rPr>
          <w:lang w:val="en-ZW"/>
        </w:rPr>
        <w:t>11, CUE Reply Brief</w:t>
      </w:r>
      <w:r w:rsidR="00BA58BF">
        <w:rPr>
          <w:lang w:val="en-ZW"/>
        </w:rPr>
        <w:t xml:space="preserve"> at </w:t>
      </w:r>
      <w:r>
        <w:rPr>
          <w:lang w:val="en-ZW"/>
        </w:rPr>
        <w:t>3, Cypress Creek Opening Brief</w:t>
      </w:r>
      <w:r w:rsidR="00BA58BF">
        <w:rPr>
          <w:lang w:val="en-ZW"/>
        </w:rPr>
        <w:t xml:space="preserve"> at </w:t>
      </w:r>
      <w:r>
        <w:rPr>
          <w:lang w:val="en-ZW"/>
        </w:rPr>
        <w:t xml:space="preserve">6, CCSA </w:t>
      </w:r>
      <w:r>
        <w:t>O</w:t>
      </w:r>
      <w:r w:rsidRPr="00F730EB">
        <w:t xml:space="preserve">pening </w:t>
      </w:r>
      <w:r>
        <w:rPr>
          <w:lang w:val="en-ZW"/>
        </w:rPr>
        <w:t>Brief</w:t>
      </w:r>
      <w:r w:rsidR="00BA58BF">
        <w:rPr>
          <w:lang w:val="en-ZW"/>
        </w:rPr>
        <w:t xml:space="preserve"> at </w:t>
      </w:r>
      <w:r>
        <w:rPr>
          <w:lang w:val="en-ZW"/>
        </w:rPr>
        <w:t>8, PG&amp;E Opening Brief</w:t>
      </w:r>
      <w:r w:rsidR="00BA58BF">
        <w:rPr>
          <w:lang w:val="en-ZW"/>
        </w:rPr>
        <w:t xml:space="preserve"> at </w:t>
      </w:r>
      <w:r>
        <w:rPr>
          <w:lang w:val="en-ZW"/>
        </w:rPr>
        <w:t>6, SBUA Opening Brief</w:t>
      </w:r>
      <w:r w:rsidR="00BA58BF">
        <w:rPr>
          <w:lang w:val="en-ZW"/>
        </w:rPr>
        <w:t xml:space="preserve"> at </w:t>
      </w:r>
      <w:r>
        <w:rPr>
          <w:lang w:val="en-ZW"/>
        </w:rPr>
        <w:t>5, SCE Opening Brief</w:t>
      </w:r>
      <w:r w:rsidR="00BA58BF">
        <w:rPr>
          <w:lang w:val="en-ZW"/>
        </w:rPr>
        <w:t xml:space="preserve"> at </w:t>
      </w:r>
      <w:r>
        <w:rPr>
          <w:lang w:val="en-ZW"/>
        </w:rPr>
        <w:t>27, SDG&amp;E Opening Brief</w:t>
      </w:r>
      <w:r w:rsidR="00BA58BF">
        <w:rPr>
          <w:lang w:val="en-ZW"/>
        </w:rPr>
        <w:t xml:space="preserve"> at </w:t>
      </w:r>
      <w:r>
        <w:rPr>
          <w:lang w:val="en-ZW"/>
        </w:rPr>
        <w:t>19, SEIA Opening Brief</w:t>
      </w:r>
      <w:r w:rsidR="00BA58BF">
        <w:rPr>
          <w:lang w:val="en-ZW"/>
        </w:rPr>
        <w:t xml:space="preserve"> at </w:t>
      </w:r>
      <w:r>
        <w:rPr>
          <w:lang w:val="en-ZW"/>
        </w:rPr>
        <w:t>7, SoCal CCAs Opening Brief</w:t>
      </w:r>
      <w:r w:rsidR="00BA58BF">
        <w:rPr>
          <w:lang w:val="en-ZW"/>
        </w:rPr>
        <w:t xml:space="preserve"> at </w:t>
      </w:r>
      <w:r>
        <w:rPr>
          <w:lang w:val="en-ZW"/>
        </w:rPr>
        <w:t>9, TURN Opening Brief</w:t>
      </w:r>
      <w:r w:rsidR="00BA58BF">
        <w:rPr>
          <w:lang w:val="en-ZW"/>
        </w:rPr>
        <w:t xml:space="preserve"> at </w:t>
      </w:r>
      <w:r>
        <w:rPr>
          <w:lang w:val="en-ZW"/>
        </w:rPr>
        <w:t>6.</w:t>
      </w:r>
    </w:p>
  </w:footnote>
  <w:footnote w:id="77">
    <w:p w14:paraId="67A3A45E" w14:textId="1D5D65F1" w:rsidR="00345511" w:rsidRPr="00EF4654"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22, PG&amp;E Opening Brief</w:t>
      </w:r>
      <w:r w:rsidR="00BA58BF">
        <w:rPr>
          <w:lang w:val="en-ZW"/>
        </w:rPr>
        <w:t xml:space="preserve"> at </w:t>
      </w:r>
      <w:r>
        <w:rPr>
          <w:lang w:val="en-ZW"/>
        </w:rPr>
        <w:t>8, SCE Opening Brief</w:t>
      </w:r>
      <w:r w:rsidR="00BA58BF">
        <w:rPr>
          <w:lang w:val="en-ZW"/>
        </w:rPr>
        <w:t xml:space="preserve"> at </w:t>
      </w:r>
      <w:r>
        <w:rPr>
          <w:lang w:val="en-ZW"/>
        </w:rPr>
        <w:t>28.</w:t>
      </w:r>
    </w:p>
  </w:footnote>
  <w:footnote w:id="78">
    <w:p w14:paraId="1BB4863C" w14:textId="0D944CA7" w:rsidR="00153FFB" w:rsidRPr="005D065D" w:rsidRDefault="00153FFB">
      <w:pPr>
        <w:pStyle w:val="FootnoteText"/>
        <w:rPr>
          <w:lang w:val="en-ZW"/>
        </w:rPr>
      </w:pPr>
      <w:r>
        <w:rPr>
          <w:rStyle w:val="FootnoteReference"/>
        </w:rPr>
        <w:footnoteRef/>
      </w:r>
      <w:r>
        <w:t xml:space="preserve"> </w:t>
      </w:r>
      <w:r w:rsidRPr="00C945A1">
        <w:rPr>
          <w:szCs w:val="22"/>
          <w:lang w:val="en-ZW"/>
        </w:rPr>
        <w:t>SCE</w:t>
      </w:r>
      <w:r w:rsidR="00440785">
        <w:rPr>
          <w:szCs w:val="22"/>
          <w:lang w:val="en-ZW"/>
        </w:rPr>
        <w:t>’</w:t>
      </w:r>
      <w:r w:rsidRPr="00C945A1">
        <w:rPr>
          <w:szCs w:val="22"/>
          <w:lang w:val="en-ZW"/>
        </w:rPr>
        <w:t>s first Commission</w:t>
      </w:r>
      <w:r w:rsidR="003D6EF8">
        <w:rPr>
          <w:szCs w:val="22"/>
          <w:lang w:val="en-ZW"/>
        </w:rPr>
        <w:noBreakHyphen/>
      </w:r>
      <w:r w:rsidRPr="00C945A1">
        <w:rPr>
          <w:szCs w:val="22"/>
          <w:lang w:val="en-ZW"/>
        </w:rPr>
        <w:t>approved ECR project</w:t>
      </w:r>
      <w:r w:rsidR="00A56A97">
        <w:rPr>
          <w:szCs w:val="22"/>
          <w:lang w:val="en-ZW"/>
        </w:rPr>
        <w:t>, with active subscribers,</w:t>
      </w:r>
      <w:r w:rsidRPr="00C945A1">
        <w:rPr>
          <w:szCs w:val="22"/>
          <w:lang w:val="en-ZW"/>
        </w:rPr>
        <w:t xml:space="preserve"> came online in August 2023. </w:t>
      </w:r>
      <w:r w:rsidR="00FA7268">
        <w:rPr>
          <w:szCs w:val="22"/>
          <w:lang w:val="en-ZW"/>
        </w:rPr>
        <w:t>(</w:t>
      </w:r>
      <w:r w:rsidRPr="005D065D">
        <w:rPr>
          <w:i/>
          <w:iCs/>
          <w:szCs w:val="22"/>
          <w:lang w:val="en-ZW"/>
        </w:rPr>
        <w:t>See</w:t>
      </w:r>
      <w:r w:rsidR="003C2B4B">
        <w:rPr>
          <w:szCs w:val="22"/>
          <w:lang w:val="en-ZW"/>
        </w:rPr>
        <w:t> </w:t>
      </w:r>
      <w:r w:rsidRPr="00C945A1">
        <w:rPr>
          <w:szCs w:val="22"/>
          <w:lang w:val="en-ZW"/>
        </w:rPr>
        <w:t>SCE</w:t>
      </w:r>
      <w:r w:rsidR="00440785">
        <w:rPr>
          <w:szCs w:val="22"/>
          <w:lang w:val="en-ZW"/>
        </w:rPr>
        <w:t>’</w:t>
      </w:r>
      <w:r w:rsidRPr="00C945A1">
        <w:rPr>
          <w:szCs w:val="22"/>
          <w:lang w:val="en-ZW"/>
        </w:rPr>
        <w:t xml:space="preserve">s Quarterly </w:t>
      </w:r>
      <w:r>
        <w:rPr>
          <w:szCs w:val="22"/>
          <w:lang w:val="en-ZW"/>
        </w:rPr>
        <w:t xml:space="preserve">Green Tariff Shared Renewables Program Progress </w:t>
      </w:r>
      <w:r w:rsidRPr="00C945A1">
        <w:rPr>
          <w:szCs w:val="22"/>
          <w:lang w:val="en-ZW"/>
        </w:rPr>
        <w:t xml:space="preserve">Report, filed </w:t>
      </w:r>
      <w:r w:rsidR="0013526D">
        <w:rPr>
          <w:szCs w:val="22"/>
          <w:lang w:val="en-ZW"/>
        </w:rPr>
        <w:t>July </w:t>
      </w:r>
      <w:r w:rsidRPr="00C945A1">
        <w:rPr>
          <w:szCs w:val="22"/>
          <w:lang w:val="en-ZW"/>
        </w:rPr>
        <w:t>27, 2023, available at</w:t>
      </w:r>
      <w:r w:rsidR="005D30D7">
        <w:rPr>
          <w:szCs w:val="22"/>
          <w:lang w:val="en-ZW"/>
        </w:rPr>
        <w:t xml:space="preserve">: </w:t>
      </w:r>
      <w:hyperlink r:id="rId2" w:history="1">
        <w:r w:rsidRPr="008A39C7">
          <w:rPr>
            <w:rStyle w:val="cf01"/>
            <w:rFonts w:ascii="Book Antiqua" w:hAnsi="Book Antiqua"/>
            <w:color w:val="0000FF"/>
            <w:sz w:val="22"/>
            <w:szCs w:val="22"/>
            <w:u w:val="single"/>
          </w:rPr>
          <w:t>https://docs.cpuc.ca.gov/PublishedDocs/Efile/G000/M515/K329/515329524.PDF</w:t>
        </w:r>
      </w:hyperlink>
      <w:r w:rsidRPr="008A39C7">
        <w:rPr>
          <w:rFonts w:cs="Arial"/>
          <w:szCs w:val="22"/>
        </w:rPr>
        <w:t>.</w:t>
      </w:r>
      <w:r w:rsidR="00FA7268">
        <w:rPr>
          <w:rFonts w:cs="Arial"/>
          <w:szCs w:val="22"/>
        </w:rPr>
        <w:t>)</w:t>
      </w:r>
    </w:p>
  </w:footnote>
  <w:footnote w:id="79">
    <w:p w14:paraId="0BE5A842" w14:textId="1B6F6D48" w:rsidR="00345511" w:rsidRPr="00E32880"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19.</w:t>
      </w:r>
    </w:p>
  </w:footnote>
  <w:footnote w:id="80">
    <w:p w14:paraId="047493FE" w14:textId="120E410F" w:rsidR="00345511" w:rsidRPr="003C0914"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6.</w:t>
      </w:r>
    </w:p>
  </w:footnote>
  <w:footnote w:id="81">
    <w:p w14:paraId="075E2A9A" w14:textId="38431B2E" w:rsidR="00345511" w:rsidRPr="002A44AC" w:rsidRDefault="00345511" w:rsidP="00345511">
      <w:pPr>
        <w:pStyle w:val="FootnoteText"/>
        <w:rPr>
          <w:lang w:val="en-ZW"/>
        </w:rPr>
      </w:pPr>
      <w:r>
        <w:rPr>
          <w:rStyle w:val="FootnoteReference"/>
        </w:rPr>
        <w:footnoteRef/>
      </w:r>
      <w:r>
        <w:t xml:space="preserve"> TURN Opening Brief</w:t>
      </w:r>
      <w:r w:rsidR="00BA58BF">
        <w:t xml:space="preserve"> at </w:t>
      </w:r>
      <w:r>
        <w:t xml:space="preserve">7 (citing </w:t>
      </w:r>
      <w:r w:rsidR="00BA58BF" w:rsidRPr="00D9513E">
        <w:t>Exhibit</w:t>
      </w:r>
      <w:r w:rsidR="00BA58BF">
        <w:t xml:space="preserve"> (</w:t>
      </w:r>
      <w:r w:rsidRPr="00D9513E">
        <w:t>Ex.</w:t>
      </w:r>
      <w:r w:rsidR="00BA58BF">
        <w:t>)</w:t>
      </w:r>
      <w:r w:rsidR="000C3B88">
        <w:t> </w:t>
      </w:r>
      <w:r>
        <w:t>SCE</w:t>
      </w:r>
      <w:r w:rsidR="003D6EF8">
        <w:noBreakHyphen/>
      </w:r>
      <w:r>
        <w:t>2</w:t>
      </w:r>
      <w:r w:rsidR="00BA58BF">
        <w:t xml:space="preserve"> at </w:t>
      </w:r>
      <w:r>
        <w:t>6)</w:t>
      </w:r>
      <w:r>
        <w:rPr>
          <w:lang w:val="en-ZW"/>
        </w:rPr>
        <w:t>, SCE Opening Brief</w:t>
      </w:r>
      <w:r w:rsidR="00BA58BF">
        <w:rPr>
          <w:lang w:val="en-ZW"/>
        </w:rPr>
        <w:t xml:space="preserve"> at </w:t>
      </w:r>
      <w:r>
        <w:rPr>
          <w:lang w:val="en-ZW"/>
        </w:rPr>
        <w:t>27.</w:t>
      </w:r>
    </w:p>
  </w:footnote>
  <w:footnote w:id="82">
    <w:p w14:paraId="429519AE" w14:textId="52543757" w:rsidR="00345511" w:rsidRPr="001E20DE" w:rsidRDefault="00345511" w:rsidP="00345511">
      <w:pPr>
        <w:pStyle w:val="FootnoteText"/>
        <w:rPr>
          <w:lang w:val="en-ZW"/>
        </w:rPr>
      </w:pPr>
      <w:r>
        <w:rPr>
          <w:rStyle w:val="FootnoteReference"/>
        </w:rPr>
        <w:footnoteRef/>
      </w:r>
      <w:r>
        <w:t xml:space="preserve"> </w:t>
      </w:r>
      <w:r w:rsidR="002917E2">
        <w:rPr>
          <w:lang w:val="en-ZW"/>
        </w:rPr>
        <w:t>Cal Advoc</w:t>
      </w:r>
      <w:r>
        <w:rPr>
          <w:lang w:val="en-ZW"/>
        </w:rPr>
        <w:t>ates Opening Brief</w:t>
      </w:r>
      <w:r w:rsidR="00BA58BF">
        <w:rPr>
          <w:lang w:val="en-ZW"/>
        </w:rPr>
        <w:t xml:space="preserve"> at </w:t>
      </w:r>
      <w:r>
        <w:rPr>
          <w:lang w:val="en-ZW"/>
        </w:rPr>
        <w:t>13, CUE Reply Brief</w:t>
      </w:r>
      <w:r w:rsidR="00BA58BF">
        <w:rPr>
          <w:lang w:val="en-ZW"/>
        </w:rPr>
        <w:t xml:space="preserve"> at </w:t>
      </w:r>
      <w:r>
        <w:rPr>
          <w:lang w:val="en-ZW"/>
        </w:rPr>
        <w:t>3, Cypress Creek Opening Brief</w:t>
      </w:r>
      <w:r w:rsidR="00BA58BF">
        <w:rPr>
          <w:lang w:val="en-ZW"/>
        </w:rPr>
        <w:t xml:space="preserve"> at </w:t>
      </w:r>
      <w:r>
        <w:rPr>
          <w:lang w:val="en-ZW"/>
        </w:rPr>
        <w:t>7, CCSA Opening Brief</w:t>
      </w:r>
      <w:r w:rsidR="00BA58BF">
        <w:rPr>
          <w:lang w:val="en-ZW"/>
        </w:rPr>
        <w:t xml:space="preserve"> at </w:t>
      </w:r>
      <w:r>
        <w:rPr>
          <w:lang w:val="en-ZW"/>
        </w:rPr>
        <w:t>9, PG&amp;E Opening Brief</w:t>
      </w:r>
      <w:r w:rsidR="00BA58BF">
        <w:rPr>
          <w:lang w:val="en-ZW"/>
        </w:rPr>
        <w:t xml:space="preserve"> at </w:t>
      </w:r>
      <w:r>
        <w:rPr>
          <w:lang w:val="en-ZW"/>
        </w:rPr>
        <w:t>9, SBUA Opening Brief</w:t>
      </w:r>
      <w:r w:rsidR="00BA58BF">
        <w:rPr>
          <w:lang w:val="en-ZW"/>
        </w:rPr>
        <w:t xml:space="preserve"> at </w:t>
      </w:r>
      <w:r>
        <w:rPr>
          <w:lang w:val="en-ZW"/>
        </w:rPr>
        <w:t>5, SEIA Opening Brief</w:t>
      </w:r>
      <w:r w:rsidR="00BA58BF">
        <w:rPr>
          <w:lang w:val="en-ZW"/>
        </w:rPr>
        <w:t xml:space="preserve"> at </w:t>
      </w:r>
      <w:r>
        <w:rPr>
          <w:lang w:val="en-ZW"/>
        </w:rPr>
        <w:t>7, SoCal CCAs Opening Brief</w:t>
      </w:r>
      <w:r w:rsidR="00BA58BF">
        <w:rPr>
          <w:lang w:val="en-ZW"/>
        </w:rPr>
        <w:t xml:space="preserve"> at </w:t>
      </w:r>
      <w:r>
        <w:rPr>
          <w:lang w:val="en-ZW"/>
        </w:rPr>
        <w:t>9, TURN Opening Brief</w:t>
      </w:r>
      <w:r w:rsidR="00BA58BF">
        <w:rPr>
          <w:lang w:val="en-ZW"/>
        </w:rPr>
        <w:t xml:space="preserve"> at </w:t>
      </w:r>
      <w:r>
        <w:rPr>
          <w:lang w:val="en-ZW"/>
        </w:rPr>
        <w:t>7.</w:t>
      </w:r>
    </w:p>
  </w:footnote>
  <w:footnote w:id="83">
    <w:p w14:paraId="6D0709D7" w14:textId="29CD449C" w:rsidR="00345511" w:rsidRPr="00251329"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6, TURN Opening Brief</w:t>
      </w:r>
      <w:r w:rsidR="00BA58BF">
        <w:rPr>
          <w:lang w:val="en-ZW"/>
        </w:rPr>
        <w:t xml:space="preserve"> at </w:t>
      </w:r>
      <w:r>
        <w:rPr>
          <w:lang w:val="en-ZW"/>
        </w:rPr>
        <w:t>7, CCSA Opening Brief</w:t>
      </w:r>
      <w:r w:rsidR="00BA58BF">
        <w:rPr>
          <w:lang w:val="en-ZW"/>
        </w:rPr>
        <w:t xml:space="preserve"> at </w:t>
      </w:r>
      <w:r>
        <w:rPr>
          <w:lang w:val="en-ZW"/>
        </w:rPr>
        <w:t>9.</w:t>
      </w:r>
    </w:p>
  </w:footnote>
  <w:footnote w:id="84">
    <w:p w14:paraId="421170F2" w14:textId="5A448606" w:rsidR="00345511" w:rsidRPr="00A17A82"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7,</w:t>
      </w:r>
      <w:r w:rsidRPr="00A17A82">
        <w:rPr>
          <w:lang w:val="en-ZW"/>
        </w:rPr>
        <w:t xml:space="preserve"> </w:t>
      </w:r>
      <w:r w:rsidR="002917E2">
        <w:rPr>
          <w:lang w:val="en-ZW"/>
        </w:rPr>
        <w:t>Cal Advoc</w:t>
      </w:r>
      <w:r>
        <w:rPr>
          <w:lang w:val="en-ZW"/>
        </w:rPr>
        <w:t>ates Opening Brief</w:t>
      </w:r>
      <w:r w:rsidR="00BA58BF">
        <w:rPr>
          <w:lang w:val="en-ZW"/>
        </w:rPr>
        <w:t xml:space="preserve"> at </w:t>
      </w:r>
      <w:r>
        <w:rPr>
          <w:lang w:val="en-ZW"/>
        </w:rPr>
        <w:t>13.</w:t>
      </w:r>
    </w:p>
  </w:footnote>
  <w:footnote w:id="85">
    <w:p w14:paraId="3226C6DC" w14:textId="0EFF5FB2" w:rsidR="00345511" w:rsidRPr="00C16580"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11, CBD Reply Brief</w:t>
      </w:r>
      <w:r w:rsidR="00BA58BF">
        <w:rPr>
          <w:lang w:val="en-ZW"/>
        </w:rPr>
        <w:t xml:space="preserve"> at </w:t>
      </w:r>
      <w:r>
        <w:rPr>
          <w:lang w:val="en-ZW"/>
        </w:rPr>
        <w:t xml:space="preserve">5, </w:t>
      </w:r>
      <w:r w:rsidR="002917E2">
        <w:rPr>
          <w:lang w:val="en-ZW"/>
        </w:rPr>
        <w:t>Cal Advoc</w:t>
      </w:r>
      <w:r>
        <w:rPr>
          <w:lang w:val="en-ZW"/>
        </w:rPr>
        <w:t>ates Opening Brief</w:t>
      </w:r>
      <w:r w:rsidR="00BA58BF">
        <w:rPr>
          <w:lang w:val="en-ZW"/>
        </w:rPr>
        <w:t xml:space="preserve"> at </w:t>
      </w:r>
      <w:r>
        <w:rPr>
          <w:lang w:val="en-ZW"/>
        </w:rPr>
        <w:t>13, PG&amp;E Opening Brief</w:t>
      </w:r>
      <w:r w:rsidR="00BA58BF">
        <w:rPr>
          <w:lang w:val="en-ZW"/>
        </w:rPr>
        <w:t xml:space="preserve"> at </w:t>
      </w:r>
      <w:r>
        <w:rPr>
          <w:lang w:val="en-ZW"/>
        </w:rPr>
        <w:t>8, SEIA Opening Brief</w:t>
      </w:r>
      <w:r w:rsidR="00BA58BF">
        <w:rPr>
          <w:lang w:val="en-ZW"/>
        </w:rPr>
        <w:t xml:space="preserve"> at </w:t>
      </w:r>
      <w:r>
        <w:rPr>
          <w:lang w:val="en-ZW"/>
        </w:rPr>
        <w:t>11, TURN Opening Brief</w:t>
      </w:r>
      <w:r w:rsidR="00BA58BF">
        <w:rPr>
          <w:lang w:val="en-ZW"/>
        </w:rPr>
        <w:t xml:space="preserve"> at </w:t>
      </w:r>
      <w:r>
        <w:rPr>
          <w:lang w:val="en-ZW"/>
        </w:rPr>
        <w:t>10.</w:t>
      </w:r>
    </w:p>
  </w:footnote>
  <w:footnote w:id="86">
    <w:p w14:paraId="145435B8" w14:textId="169B1C57" w:rsidR="00345511" w:rsidRPr="00614191"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7, Cypress Creek Opening Brief</w:t>
      </w:r>
      <w:r w:rsidR="00BA58BF">
        <w:rPr>
          <w:lang w:val="en-ZW"/>
        </w:rPr>
        <w:t xml:space="preserve"> at </w:t>
      </w:r>
      <w:r>
        <w:rPr>
          <w:lang w:val="en-ZW"/>
        </w:rPr>
        <w:t>9, SEIA Opening Brief</w:t>
      </w:r>
      <w:r w:rsidR="00BA58BF">
        <w:rPr>
          <w:lang w:val="en-ZW"/>
        </w:rPr>
        <w:t xml:space="preserve"> at </w:t>
      </w:r>
      <w:r>
        <w:rPr>
          <w:lang w:val="en-ZW"/>
        </w:rPr>
        <w:t>9, SCE Opening Brief</w:t>
      </w:r>
      <w:r w:rsidR="00BA58BF">
        <w:rPr>
          <w:lang w:val="en-ZW"/>
        </w:rPr>
        <w:t xml:space="preserve"> at </w:t>
      </w:r>
      <w:r>
        <w:rPr>
          <w:lang w:val="en-ZW"/>
        </w:rPr>
        <w:t>29, TURN Opening Brief</w:t>
      </w:r>
      <w:r w:rsidR="00BA58BF">
        <w:rPr>
          <w:lang w:val="en-ZW"/>
        </w:rPr>
        <w:t xml:space="preserve"> at </w:t>
      </w:r>
      <w:r>
        <w:rPr>
          <w:lang w:val="en-ZW"/>
        </w:rPr>
        <w:t>8.</w:t>
      </w:r>
    </w:p>
  </w:footnote>
  <w:footnote w:id="87">
    <w:p w14:paraId="7D9D8A51" w14:textId="6C8520F4" w:rsidR="00345511" w:rsidRPr="00E23E91"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27.</w:t>
      </w:r>
    </w:p>
  </w:footnote>
  <w:footnote w:id="88">
    <w:p w14:paraId="1FD0384B" w14:textId="33DFE9C9" w:rsidR="00345511" w:rsidRPr="00CB4A96"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20.</w:t>
      </w:r>
    </w:p>
  </w:footnote>
  <w:footnote w:id="89">
    <w:p w14:paraId="120C5A42" w14:textId="2106FDCB" w:rsidR="00345511" w:rsidRPr="002F45A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11, CUE Reply Brief</w:t>
      </w:r>
      <w:r w:rsidR="00BA58BF">
        <w:rPr>
          <w:lang w:val="en-ZW"/>
        </w:rPr>
        <w:t xml:space="preserve"> at </w:t>
      </w:r>
      <w:r>
        <w:rPr>
          <w:lang w:val="en-ZW"/>
        </w:rPr>
        <w:t>3, Cypress Creek Opening Brief</w:t>
      </w:r>
      <w:r w:rsidR="00BA58BF">
        <w:rPr>
          <w:lang w:val="en-ZW"/>
        </w:rPr>
        <w:t xml:space="preserve"> at </w:t>
      </w:r>
      <w:r>
        <w:rPr>
          <w:lang w:val="en-ZW"/>
        </w:rPr>
        <w:t xml:space="preserve">10, </w:t>
      </w:r>
      <w:r w:rsidR="00AD55A4">
        <w:rPr>
          <w:lang w:val="en-ZW"/>
        </w:rPr>
        <w:t xml:space="preserve">CEJA, </w:t>
      </w:r>
      <w:r w:rsidR="00237E56">
        <w:rPr>
          <w:i/>
          <w:iCs/>
          <w:lang w:val="en-ZW"/>
        </w:rPr>
        <w:t>et al</w:t>
      </w:r>
      <w:r w:rsidR="00AD55A4" w:rsidRPr="00AD55A4">
        <w:rPr>
          <w:i/>
          <w:iCs/>
          <w:lang w:val="en-ZW"/>
        </w:rPr>
        <w:t>.</w:t>
      </w:r>
      <w:r w:rsidR="007C2FC9">
        <w:rPr>
          <w:lang w:val="en-ZW"/>
        </w:rPr>
        <w:t xml:space="preserve"> </w:t>
      </w:r>
      <w:r>
        <w:rPr>
          <w:lang w:val="en-ZW"/>
        </w:rPr>
        <w:t>Opening Brief</w:t>
      </w:r>
      <w:r w:rsidR="00BA58BF">
        <w:rPr>
          <w:lang w:val="en-ZW"/>
        </w:rPr>
        <w:t xml:space="preserve"> at </w:t>
      </w:r>
      <w:r>
        <w:rPr>
          <w:lang w:val="en-ZW"/>
        </w:rPr>
        <w:t>6, SCE Opening Brief</w:t>
      </w:r>
      <w:r w:rsidR="00BA58BF">
        <w:rPr>
          <w:lang w:val="en-ZW"/>
        </w:rPr>
        <w:t xml:space="preserve"> at </w:t>
      </w:r>
      <w:r>
        <w:rPr>
          <w:lang w:val="en-ZW"/>
        </w:rPr>
        <w:t>27, SDG&amp;E Opening Brief</w:t>
      </w:r>
      <w:r w:rsidR="00BA58BF">
        <w:rPr>
          <w:lang w:val="en-ZW"/>
        </w:rPr>
        <w:t xml:space="preserve"> at </w:t>
      </w:r>
      <w:r>
        <w:rPr>
          <w:lang w:val="en-ZW"/>
        </w:rPr>
        <w:t>20, SEIA Opening Brief</w:t>
      </w:r>
      <w:r w:rsidR="00BA58BF">
        <w:rPr>
          <w:lang w:val="en-ZW"/>
        </w:rPr>
        <w:t xml:space="preserve"> at </w:t>
      </w:r>
      <w:r>
        <w:rPr>
          <w:lang w:val="en-ZW"/>
        </w:rPr>
        <w:t xml:space="preserve">10, </w:t>
      </w:r>
      <w:r w:rsidR="005D065D">
        <w:rPr>
          <w:lang w:val="en-ZW"/>
        </w:rPr>
        <w:t xml:space="preserve">and </w:t>
      </w:r>
      <w:r>
        <w:rPr>
          <w:lang w:val="en-ZW"/>
        </w:rPr>
        <w:t>TURN Opening Brief</w:t>
      </w:r>
      <w:r w:rsidR="00BA58BF">
        <w:rPr>
          <w:lang w:val="en-ZW"/>
        </w:rPr>
        <w:t xml:space="preserve"> at </w:t>
      </w:r>
      <w:r>
        <w:rPr>
          <w:lang w:val="en-ZW"/>
        </w:rPr>
        <w:t>9</w:t>
      </w:r>
      <w:r w:rsidR="005D065D">
        <w:rPr>
          <w:lang w:val="en-ZW"/>
        </w:rPr>
        <w:t>.</w:t>
      </w:r>
    </w:p>
  </w:footnote>
  <w:footnote w:id="90">
    <w:p w14:paraId="7EEF549D" w14:textId="1A73FEB2" w:rsidR="00345511" w:rsidRPr="00EF4654"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22, PG&amp;E Opening Brief</w:t>
      </w:r>
      <w:r w:rsidR="00BA58BF">
        <w:rPr>
          <w:lang w:val="en-ZW"/>
        </w:rPr>
        <w:t xml:space="preserve"> at </w:t>
      </w:r>
      <w:r>
        <w:rPr>
          <w:lang w:val="en-ZW"/>
        </w:rPr>
        <w:t>8, SCE Opening Brief</w:t>
      </w:r>
      <w:r w:rsidR="00BA58BF">
        <w:rPr>
          <w:lang w:val="en-ZW"/>
        </w:rPr>
        <w:t xml:space="preserve"> at </w:t>
      </w:r>
      <w:r>
        <w:rPr>
          <w:lang w:val="en-ZW"/>
        </w:rPr>
        <w:t>28.</w:t>
      </w:r>
    </w:p>
  </w:footnote>
  <w:footnote w:id="91">
    <w:p w14:paraId="3E8E058B" w14:textId="2047BA3B" w:rsidR="00345511" w:rsidRPr="00F925E2"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27, TURN Opening Brief</w:t>
      </w:r>
      <w:r w:rsidR="00BA58BF">
        <w:rPr>
          <w:lang w:val="en-ZW"/>
        </w:rPr>
        <w:t xml:space="preserve"> at </w:t>
      </w:r>
      <w:r>
        <w:rPr>
          <w:lang w:val="en-ZW"/>
        </w:rPr>
        <w:t>9.</w:t>
      </w:r>
    </w:p>
  </w:footnote>
  <w:footnote w:id="92">
    <w:p w14:paraId="69777EBC" w14:textId="3B8E755D" w:rsidR="00345511" w:rsidRPr="00B80F8C"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20.</w:t>
      </w:r>
    </w:p>
  </w:footnote>
  <w:footnote w:id="93">
    <w:p w14:paraId="2845D8F3" w14:textId="26930A3B" w:rsidR="00345511" w:rsidRPr="00474C0B" w:rsidRDefault="00345511" w:rsidP="00345511">
      <w:pPr>
        <w:pStyle w:val="FootnoteText"/>
        <w:rPr>
          <w:lang w:val="en-ZW"/>
        </w:rPr>
      </w:pPr>
      <w:r>
        <w:rPr>
          <w:rStyle w:val="FootnoteReference"/>
        </w:rPr>
        <w:footnoteRef/>
      </w:r>
      <w:r>
        <w:t xml:space="preserve"> </w:t>
      </w:r>
      <w:r>
        <w:rPr>
          <w:lang w:val="en-ZW"/>
        </w:rPr>
        <w:t xml:space="preserve">PG&amp;E </w:t>
      </w:r>
      <w:r w:rsidR="003560AB">
        <w:rPr>
          <w:lang w:val="en-ZW"/>
        </w:rPr>
        <w:t>GTSR</w:t>
      </w:r>
      <w:r>
        <w:rPr>
          <w:lang w:val="en-ZW"/>
        </w:rPr>
        <w:t xml:space="preserve"> Program</w:t>
      </w:r>
      <w:r w:rsidR="005D30D7">
        <w:rPr>
          <w:lang w:val="en-ZW"/>
        </w:rPr>
        <w:t xml:space="preserve">: </w:t>
      </w:r>
      <w:r>
        <w:rPr>
          <w:lang w:val="en-ZW"/>
        </w:rPr>
        <w:t>2022 Annual Report A.12</w:t>
      </w:r>
      <w:r w:rsidR="003D6EF8">
        <w:rPr>
          <w:lang w:val="en-ZW"/>
        </w:rPr>
        <w:noBreakHyphen/>
      </w:r>
      <w:r>
        <w:rPr>
          <w:lang w:val="en-ZW"/>
        </w:rPr>
        <w:t>01</w:t>
      </w:r>
      <w:r w:rsidR="003D6EF8">
        <w:rPr>
          <w:lang w:val="en-ZW"/>
        </w:rPr>
        <w:noBreakHyphen/>
      </w:r>
      <w:r>
        <w:rPr>
          <w:lang w:val="en-ZW"/>
        </w:rPr>
        <w:t>008 (</w:t>
      </w:r>
      <w:r w:rsidR="00372BA4">
        <w:rPr>
          <w:lang w:val="en-ZW"/>
        </w:rPr>
        <w:t>March </w:t>
      </w:r>
      <w:r>
        <w:rPr>
          <w:lang w:val="en-ZW"/>
        </w:rPr>
        <w:t>15, 2023)</w:t>
      </w:r>
      <w:r w:rsidR="00BA58BF">
        <w:rPr>
          <w:lang w:val="en-ZW"/>
        </w:rPr>
        <w:t xml:space="preserve"> at </w:t>
      </w:r>
      <w:r>
        <w:rPr>
          <w:lang w:val="en-ZW"/>
        </w:rPr>
        <w:t>11, TURN Opening Brief</w:t>
      </w:r>
      <w:r w:rsidR="00BA58BF">
        <w:rPr>
          <w:lang w:val="en-ZW"/>
        </w:rPr>
        <w:t xml:space="preserve"> at </w:t>
      </w:r>
      <w:r>
        <w:rPr>
          <w:lang w:val="en-ZW"/>
        </w:rPr>
        <w:t>9.</w:t>
      </w:r>
    </w:p>
  </w:footnote>
  <w:footnote w:id="94">
    <w:p w14:paraId="1AA0B646" w14:textId="3C1D932E" w:rsidR="00345511" w:rsidRPr="00483D54"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11, CBD Reply Brief</w:t>
      </w:r>
      <w:r w:rsidR="00BA58BF">
        <w:rPr>
          <w:lang w:val="en-ZW"/>
        </w:rPr>
        <w:t xml:space="preserve"> at </w:t>
      </w:r>
      <w:r>
        <w:rPr>
          <w:lang w:val="en-ZW"/>
        </w:rPr>
        <w:t xml:space="preserve">5,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6, CUE Reply Brief</w:t>
      </w:r>
      <w:r w:rsidR="00BA58BF">
        <w:rPr>
          <w:lang w:val="en-ZW"/>
        </w:rPr>
        <w:t xml:space="preserve"> at </w:t>
      </w:r>
      <w:r>
        <w:rPr>
          <w:lang w:val="en-ZW"/>
        </w:rPr>
        <w:t>3, Cypress Creek Opening Brief</w:t>
      </w:r>
      <w:r w:rsidR="00BA58BF">
        <w:rPr>
          <w:lang w:val="en-ZW"/>
        </w:rPr>
        <w:t xml:space="preserve"> at </w:t>
      </w:r>
      <w:r>
        <w:rPr>
          <w:lang w:val="en-ZW"/>
        </w:rPr>
        <w:t>10, SDG&amp;E Opening Brief</w:t>
      </w:r>
      <w:r w:rsidR="00BA58BF">
        <w:rPr>
          <w:lang w:val="en-ZW"/>
        </w:rPr>
        <w:t xml:space="preserve"> at </w:t>
      </w:r>
      <w:r>
        <w:rPr>
          <w:lang w:val="en-ZW"/>
        </w:rPr>
        <w:t>20, SEIA Opening Brief</w:t>
      </w:r>
      <w:r w:rsidR="00BA58BF">
        <w:rPr>
          <w:lang w:val="en-ZW"/>
        </w:rPr>
        <w:t xml:space="preserve"> at </w:t>
      </w:r>
      <w:r>
        <w:rPr>
          <w:lang w:val="en-ZW"/>
        </w:rPr>
        <w:t>10, TURN Opening Brief</w:t>
      </w:r>
      <w:r w:rsidR="00BA58BF">
        <w:rPr>
          <w:lang w:val="en-ZW"/>
        </w:rPr>
        <w:t xml:space="preserve"> at </w:t>
      </w:r>
      <w:r>
        <w:rPr>
          <w:lang w:val="en-ZW"/>
        </w:rPr>
        <w:t>9.</w:t>
      </w:r>
    </w:p>
  </w:footnote>
  <w:footnote w:id="95">
    <w:p w14:paraId="227D66A9" w14:textId="75E35D0F" w:rsidR="00345511" w:rsidRPr="00483D54"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12, SCE Opening Brief</w:t>
      </w:r>
      <w:r w:rsidR="00BA58BF">
        <w:rPr>
          <w:lang w:val="en-ZW"/>
        </w:rPr>
        <w:t xml:space="preserve"> at </w:t>
      </w:r>
      <w:r>
        <w:rPr>
          <w:lang w:val="en-ZW"/>
        </w:rPr>
        <w:t>29, SEIA Opening Brief</w:t>
      </w:r>
      <w:r w:rsidR="00BA58BF">
        <w:rPr>
          <w:lang w:val="en-ZW"/>
        </w:rPr>
        <w:t xml:space="preserve"> at </w:t>
      </w:r>
      <w:r>
        <w:rPr>
          <w:lang w:val="en-ZW"/>
        </w:rPr>
        <w:t>14,</w:t>
      </w:r>
      <w:r w:rsidRPr="00DD4FEE">
        <w:rPr>
          <w:lang w:val="en-ZW"/>
        </w:rPr>
        <w:t xml:space="preserve"> </w:t>
      </w:r>
      <w:r>
        <w:rPr>
          <w:lang w:val="en-ZW"/>
        </w:rPr>
        <w:t>TURN Opening Brief</w:t>
      </w:r>
      <w:r w:rsidR="00BA58BF">
        <w:rPr>
          <w:lang w:val="en-ZW"/>
        </w:rPr>
        <w:t xml:space="preserve"> at </w:t>
      </w:r>
      <w:r>
        <w:rPr>
          <w:lang w:val="en-ZW"/>
        </w:rPr>
        <w:t>12.</w:t>
      </w:r>
    </w:p>
  </w:footnote>
  <w:footnote w:id="96">
    <w:p w14:paraId="3FD822F5" w14:textId="5F33E6AC" w:rsidR="00345511" w:rsidRPr="00900E5B" w:rsidRDefault="00345511" w:rsidP="00345511">
      <w:pPr>
        <w:pStyle w:val="FootnoteText"/>
        <w:rPr>
          <w:lang w:val="en-ZW"/>
        </w:rPr>
      </w:pPr>
      <w:r>
        <w:rPr>
          <w:rStyle w:val="FootnoteReference"/>
        </w:rPr>
        <w:footnoteRef/>
      </w:r>
      <w:r>
        <w:t xml:space="preserve"> </w:t>
      </w:r>
      <w:r w:rsidRPr="00F13409">
        <w:rPr>
          <w:i/>
          <w:iCs/>
        </w:rPr>
        <w:t>See</w:t>
      </w:r>
      <w:r>
        <w:t xml:space="preserve"> </w:t>
      </w:r>
      <w:r>
        <w:rPr>
          <w:lang w:val="en-ZW"/>
        </w:rPr>
        <w:t>Cypress Creek Opening Brief</w:t>
      </w:r>
      <w:r w:rsidR="00BA58BF">
        <w:rPr>
          <w:lang w:val="en-ZW"/>
        </w:rPr>
        <w:t xml:space="preserve"> at </w:t>
      </w:r>
      <w:r>
        <w:rPr>
          <w:lang w:val="en-ZW"/>
        </w:rPr>
        <w:t>10, CCSA Opening Brief</w:t>
      </w:r>
      <w:r w:rsidR="00BA58BF">
        <w:rPr>
          <w:lang w:val="en-ZW"/>
        </w:rPr>
        <w:t xml:space="preserve"> at </w:t>
      </w:r>
      <w:r>
        <w:rPr>
          <w:lang w:val="en-ZW"/>
        </w:rPr>
        <w:t>8, SCE Opening Brief</w:t>
      </w:r>
      <w:r w:rsidR="00BA58BF">
        <w:rPr>
          <w:lang w:val="en-ZW"/>
        </w:rPr>
        <w:t xml:space="preserve"> at </w:t>
      </w:r>
      <w:r>
        <w:rPr>
          <w:lang w:val="en-ZW"/>
        </w:rPr>
        <w:t>28, SEIA Opening Brief</w:t>
      </w:r>
      <w:r w:rsidR="00BA58BF">
        <w:rPr>
          <w:lang w:val="en-ZW"/>
        </w:rPr>
        <w:t xml:space="preserve"> at </w:t>
      </w:r>
      <w:r>
        <w:rPr>
          <w:lang w:val="en-ZW"/>
        </w:rPr>
        <w:t>10, TURN Opening Brief</w:t>
      </w:r>
      <w:r w:rsidR="00BA58BF">
        <w:rPr>
          <w:lang w:val="en-ZW"/>
        </w:rPr>
        <w:t xml:space="preserve"> at </w:t>
      </w:r>
      <w:r>
        <w:rPr>
          <w:lang w:val="en-ZW"/>
        </w:rPr>
        <w:t>10.</w:t>
      </w:r>
    </w:p>
  </w:footnote>
  <w:footnote w:id="97">
    <w:p w14:paraId="61C1E85E" w14:textId="194E2903" w:rsidR="00345511" w:rsidRPr="00CB206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8, PG&amp;E Opening Brief</w:t>
      </w:r>
      <w:r w:rsidR="00BA58BF">
        <w:rPr>
          <w:lang w:val="en-ZW"/>
        </w:rPr>
        <w:t xml:space="preserve"> at </w:t>
      </w:r>
      <w:r>
        <w:rPr>
          <w:lang w:val="en-ZW"/>
        </w:rPr>
        <w:t>9, SDG&amp;E Opening Brief</w:t>
      </w:r>
      <w:r w:rsidR="00BA58BF">
        <w:rPr>
          <w:lang w:val="en-ZW"/>
        </w:rPr>
        <w:t xml:space="preserve"> at </w:t>
      </w:r>
      <w:r>
        <w:rPr>
          <w:lang w:val="en-ZW"/>
        </w:rPr>
        <w:t>21, TURN Opening Brief</w:t>
      </w:r>
      <w:r w:rsidR="00BA58BF">
        <w:rPr>
          <w:lang w:val="en-ZW"/>
        </w:rPr>
        <w:t xml:space="preserve"> at </w:t>
      </w:r>
      <w:r>
        <w:rPr>
          <w:lang w:val="en-ZW"/>
        </w:rPr>
        <w:t>10.</w:t>
      </w:r>
    </w:p>
  </w:footnote>
  <w:footnote w:id="98">
    <w:p w14:paraId="66FC5668" w14:textId="039EDEA2" w:rsidR="00345511" w:rsidRPr="00957C50"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28, Cypress Creek Opening Brief</w:t>
      </w:r>
      <w:r w:rsidR="00BA58BF">
        <w:rPr>
          <w:lang w:val="en-ZW"/>
        </w:rPr>
        <w:t xml:space="preserve"> at </w:t>
      </w:r>
      <w:r>
        <w:rPr>
          <w:lang w:val="en-ZW"/>
        </w:rPr>
        <w:t>10.</w:t>
      </w:r>
    </w:p>
  </w:footnote>
  <w:footnote w:id="99">
    <w:p w14:paraId="1245175B" w14:textId="3A321213" w:rsidR="007C263D" w:rsidRDefault="007C263D">
      <w:pPr>
        <w:pStyle w:val="FootnoteText"/>
      </w:pPr>
      <w:r>
        <w:rPr>
          <w:rStyle w:val="FootnoteReference"/>
        </w:rPr>
        <w:footnoteRef/>
      </w:r>
      <w:r>
        <w:t xml:space="preserve"> </w:t>
      </w:r>
      <w:r w:rsidR="00274C9A">
        <w:t>SCE Opening Brief</w:t>
      </w:r>
      <w:r w:rsidR="00BA58BF">
        <w:t xml:space="preserve"> at </w:t>
      </w:r>
      <w:r w:rsidR="00274C9A">
        <w:t>28.</w:t>
      </w:r>
    </w:p>
  </w:footnote>
  <w:footnote w:id="100">
    <w:p w14:paraId="0D719903" w14:textId="73FA454D" w:rsidR="00BA7707" w:rsidRDefault="00BA7707">
      <w:pPr>
        <w:pStyle w:val="FootnoteText"/>
      </w:pPr>
      <w:r w:rsidRPr="00007AD7">
        <w:rPr>
          <w:rStyle w:val="FootnoteReference"/>
        </w:rPr>
        <w:footnoteRef/>
      </w:r>
      <w:r w:rsidRPr="00007AD7">
        <w:t xml:space="preserve"> </w:t>
      </w:r>
      <w:r w:rsidR="000C3B88">
        <w:t>Ex. SCE</w:t>
      </w:r>
      <w:r w:rsidR="003D6EF8">
        <w:noBreakHyphen/>
      </w:r>
      <w:r w:rsidR="00274C9A">
        <w:t>01</w:t>
      </w:r>
      <w:r w:rsidR="00BA58BF">
        <w:t xml:space="preserve"> at </w:t>
      </w:r>
      <w:r w:rsidR="00274C9A">
        <w:t>21</w:t>
      </w:r>
      <w:r w:rsidR="00007AD7">
        <w:t>.</w:t>
      </w:r>
    </w:p>
  </w:footnote>
  <w:footnote w:id="101">
    <w:p w14:paraId="798BC213" w14:textId="787EBC15" w:rsidR="00345511" w:rsidRPr="00BB132D"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13, CUE Reply Brief</w:t>
      </w:r>
      <w:r w:rsidR="00BA58BF">
        <w:rPr>
          <w:lang w:val="en-ZW"/>
        </w:rPr>
        <w:t xml:space="preserve"> at </w:t>
      </w:r>
      <w:r>
        <w:rPr>
          <w:lang w:val="en-ZW"/>
        </w:rPr>
        <w:t>5, Cypress Creek Opening Brief</w:t>
      </w:r>
      <w:r w:rsidR="00BA58BF">
        <w:rPr>
          <w:lang w:val="en-ZW"/>
        </w:rPr>
        <w:t xml:space="preserve"> at </w:t>
      </w:r>
      <w:r>
        <w:rPr>
          <w:lang w:val="en-ZW"/>
        </w:rPr>
        <w:t xml:space="preserve">13, </w:t>
      </w:r>
      <w:r w:rsidR="002917E2">
        <w:rPr>
          <w:lang w:val="en-ZW"/>
        </w:rPr>
        <w:t>Cal Advoc</w:t>
      </w:r>
      <w:r>
        <w:rPr>
          <w:lang w:val="en-ZW"/>
        </w:rPr>
        <w:t>ates Opening Brief</w:t>
      </w:r>
      <w:r w:rsidR="00BA58BF">
        <w:rPr>
          <w:lang w:val="en-ZW"/>
        </w:rPr>
        <w:t xml:space="preserve"> at </w:t>
      </w:r>
      <w:r>
        <w:rPr>
          <w:lang w:val="en-ZW"/>
        </w:rPr>
        <w:t>13, PG&amp;E Opening Brief</w:t>
      </w:r>
      <w:r w:rsidR="00BA58BF">
        <w:rPr>
          <w:lang w:val="en-ZW"/>
        </w:rPr>
        <w:t xml:space="preserve"> at </w:t>
      </w:r>
      <w:r>
        <w:rPr>
          <w:lang w:val="en-ZW"/>
        </w:rPr>
        <w:t>11, SDG&amp;E Opening Brief</w:t>
      </w:r>
      <w:r w:rsidR="00BA58BF">
        <w:rPr>
          <w:lang w:val="en-ZW"/>
        </w:rPr>
        <w:t xml:space="preserve"> at </w:t>
      </w:r>
      <w:r>
        <w:rPr>
          <w:lang w:val="en-ZW"/>
        </w:rPr>
        <w:t>25, SCE Opening Brief</w:t>
      </w:r>
      <w:r w:rsidR="00BA58BF">
        <w:rPr>
          <w:lang w:val="en-ZW"/>
        </w:rPr>
        <w:t xml:space="preserve"> at </w:t>
      </w:r>
      <w:r>
        <w:rPr>
          <w:lang w:val="en-ZW"/>
        </w:rPr>
        <w:t>30, TURN Opening Brief</w:t>
      </w:r>
      <w:r w:rsidR="00BA58BF">
        <w:rPr>
          <w:lang w:val="en-ZW"/>
        </w:rPr>
        <w:t xml:space="preserve"> at </w:t>
      </w:r>
      <w:r>
        <w:rPr>
          <w:lang w:val="en-ZW"/>
        </w:rPr>
        <w:t>14.</w:t>
      </w:r>
    </w:p>
  </w:footnote>
  <w:footnote w:id="102">
    <w:p w14:paraId="01A13B22" w14:textId="31DE538E" w:rsidR="00345511" w:rsidRPr="00DC1831"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24, SCE Opening Brief</w:t>
      </w:r>
      <w:r w:rsidR="00BA58BF">
        <w:rPr>
          <w:lang w:val="en-ZW"/>
        </w:rPr>
        <w:t xml:space="preserve"> at </w:t>
      </w:r>
      <w:r>
        <w:rPr>
          <w:lang w:val="en-ZW"/>
        </w:rPr>
        <w:t>30.</w:t>
      </w:r>
    </w:p>
  </w:footnote>
  <w:footnote w:id="103">
    <w:p w14:paraId="21662DF1" w14:textId="3DF4BE24" w:rsidR="00345511" w:rsidRPr="00940E3A"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10.</w:t>
      </w:r>
    </w:p>
  </w:footnote>
  <w:footnote w:id="104">
    <w:p w14:paraId="67FD3EEE" w14:textId="3E946190" w:rsidR="00345511" w:rsidRPr="00872F84"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11.</w:t>
      </w:r>
    </w:p>
  </w:footnote>
  <w:footnote w:id="105">
    <w:p w14:paraId="796427A2" w14:textId="0CCFDF8C" w:rsidR="00345511" w:rsidRPr="001B522A"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13.</w:t>
      </w:r>
    </w:p>
  </w:footnote>
  <w:footnote w:id="106">
    <w:p w14:paraId="12515B0E" w14:textId="4AC7F78B" w:rsidR="00345511" w:rsidRPr="009777C5"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14, TURN Opening Brief</w:t>
      </w:r>
      <w:r w:rsidR="00BA58BF">
        <w:rPr>
          <w:lang w:val="en-ZW"/>
        </w:rPr>
        <w:t xml:space="preserve"> at </w:t>
      </w:r>
      <w:r>
        <w:rPr>
          <w:lang w:val="en-ZW"/>
        </w:rPr>
        <w:t>14, CUE Reply Brief</w:t>
      </w:r>
      <w:r w:rsidR="00BA58BF">
        <w:rPr>
          <w:lang w:val="en-ZW"/>
        </w:rPr>
        <w:t xml:space="preserve"> at </w:t>
      </w:r>
      <w:r>
        <w:rPr>
          <w:lang w:val="en-ZW"/>
        </w:rPr>
        <w:t>5.</w:t>
      </w:r>
    </w:p>
  </w:footnote>
  <w:footnote w:id="107">
    <w:p w14:paraId="561EDC76" w14:textId="59D57BDD" w:rsidR="00345511" w:rsidRPr="00CE2D0A" w:rsidRDefault="00345511" w:rsidP="00345511">
      <w:pPr>
        <w:pStyle w:val="FootnoteText"/>
        <w:rPr>
          <w:lang w:val="en-ZW"/>
        </w:rPr>
      </w:pPr>
      <w:r>
        <w:rPr>
          <w:rStyle w:val="FootnoteReference"/>
        </w:rPr>
        <w:footnoteRef/>
      </w:r>
      <w:r>
        <w:t xml:space="preserve"> </w:t>
      </w:r>
      <w:r>
        <w:rPr>
          <w:lang w:val="en-ZW"/>
        </w:rPr>
        <w:t>TURN Opening Brief</w:t>
      </w:r>
      <w:r w:rsidR="00BA58BF">
        <w:rPr>
          <w:lang w:val="en-ZW"/>
        </w:rPr>
        <w:t xml:space="preserve"> at </w:t>
      </w:r>
      <w:r>
        <w:rPr>
          <w:lang w:val="en-ZW"/>
        </w:rPr>
        <w:t xml:space="preserve">13, </w:t>
      </w:r>
      <w:r w:rsidR="002917E2">
        <w:rPr>
          <w:lang w:val="en-ZW"/>
        </w:rPr>
        <w:t>Cal Advoc</w:t>
      </w:r>
      <w:r>
        <w:rPr>
          <w:lang w:val="en-ZW"/>
        </w:rPr>
        <w:t>ates Opening Brief</w:t>
      </w:r>
      <w:r w:rsidR="00BA58BF">
        <w:rPr>
          <w:lang w:val="en-ZW"/>
        </w:rPr>
        <w:t xml:space="preserve"> at </w:t>
      </w:r>
      <w:r>
        <w:rPr>
          <w:lang w:val="en-ZW"/>
        </w:rPr>
        <w:t>13.</w:t>
      </w:r>
    </w:p>
  </w:footnote>
  <w:footnote w:id="108">
    <w:p w14:paraId="78FC736E" w14:textId="0D7B0900" w:rsidR="00345511" w:rsidRPr="00561466"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 xml:space="preserve">16, </w:t>
      </w:r>
      <w:r w:rsidR="000341A3">
        <w:rPr>
          <w:lang w:val="en-ZW"/>
        </w:rPr>
        <w:t>Joint CCA</w:t>
      </w:r>
      <w:r>
        <w:rPr>
          <w:lang w:val="en-ZW"/>
        </w:rPr>
        <w:t>s Opening Brief</w:t>
      </w:r>
      <w:r w:rsidR="00BA58BF">
        <w:rPr>
          <w:lang w:val="en-ZW"/>
        </w:rPr>
        <w:t xml:space="preserve"> at </w:t>
      </w:r>
      <w:r>
        <w:rPr>
          <w:lang w:val="en-ZW"/>
        </w:rPr>
        <w:t>12.</w:t>
      </w:r>
    </w:p>
  </w:footnote>
  <w:footnote w:id="109">
    <w:p w14:paraId="07E537A1" w14:textId="71F5045B" w:rsidR="00345511" w:rsidRPr="00982EEC"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13.</w:t>
      </w:r>
    </w:p>
  </w:footnote>
  <w:footnote w:id="110">
    <w:p w14:paraId="7F93C7EB" w14:textId="6DB8E320" w:rsidR="00345511" w:rsidRPr="009167FB"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13, SEIA Opening Brief</w:t>
      </w:r>
      <w:r w:rsidR="00BA58BF">
        <w:rPr>
          <w:lang w:val="en-ZW"/>
        </w:rPr>
        <w:t xml:space="preserve"> at </w:t>
      </w:r>
      <w:r>
        <w:rPr>
          <w:lang w:val="en-ZW"/>
        </w:rPr>
        <w:t>16.</w:t>
      </w:r>
    </w:p>
  </w:footnote>
  <w:footnote w:id="111">
    <w:p w14:paraId="6369778F" w14:textId="39E8F2D0" w:rsidR="00345511" w:rsidRPr="00614191"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12, SCE Opening Brief</w:t>
      </w:r>
      <w:r w:rsidR="00BA58BF">
        <w:rPr>
          <w:lang w:val="en-ZW"/>
        </w:rPr>
        <w:t xml:space="preserve"> at </w:t>
      </w:r>
      <w:r>
        <w:rPr>
          <w:lang w:val="en-ZW"/>
        </w:rPr>
        <w:t>30, SEIA Opening Comments</w:t>
      </w:r>
      <w:r w:rsidR="00BA58BF">
        <w:rPr>
          <w:lang w:val="en-ZW"/>
        </w:rPr>
        <w:t xml:space="preserve"> at </w:t>
      </w:r>
      <w:r>
        <w:rPr>
          <w:lang w:val="en-ZW"/>
        </w:rPr>
        <w:t>17, TURN Opening Brief</w:t>
      </w:r>
      <w:r w:rsidR="00BA58BF">
        <w:rPr>
          <w:lang w:val="en-ZW"/>
        </w:rPr>
        <w:t xml:space="preserve"> at </w:t>
      </w:r>
      <w:r>
        <w:rPr>
          <w:lang w:val="en-ZW"/>
        </w:rPr>
        <w:t>15.</w:t>
      </w:r>
    </w:p>
  </w:footnote>
  <w:footnote w:id="112">
    <w:p w14:paraId="601C8615" w14:textId="444B3242" w:rsidR="00345511" w:rsidRPr="00DF1A94" w:rsidRDefault="00345511" w:rsidP="00345511">
      <w:pPr>
        <w:pStyle w:val="FootnoteText"/>
        <w:rPr>
          <w:lang w:val="en-ZW"/>
        </w:rPr>
      </w:pPr>
      <w:r>
        <w:rPr>
          <w:rStyle w:val="FootnoteReference"/>
        </w:rPr>
        <w:footnoteRef/>
      </w:r>
      <w:r>
        <w:t xml:space="preserve"> </w:t>
      </w:r>
      <w:r>
        <w:rPr>
          <w:lang w:val="en-ZW"/>
        </w:rPr>
        <w:t>SDG&amp;E Opening Brief</w:t>
      </w:r>
      <w:r w:rsidR="00BA58BF">
        <w:rPr>
          <w:lang w:val="en-ZW"/>
        </w:rPr>
        <w:t xml:space="preserve"> at </w:t>
      </w:r>
      <w:r>
        <w:rPr>
          <w:lang w:val="en-ZW"/>
        </w:rPr>
        <w:t>26, Cypress Creek Opening Brief</w:t>
      </w:r>
      <w:r w:rsidR="00BA58BF">
        <w:rPr>
          <w:lang w:val="en-ZW"/>
        </w:rPr>
        <w:t xml:space="preserve"> at </w:t>
      </w:r>
      <w:r>
        <w:rPr>
          <w:lang w:val="en-ZW"/>
        </w:rPr>
        <w:t xml:space="preserve">14, </w:t>
      </w:r>
      <w:r w:rsidR="000341A3">
        <w:rPr>
          <w:lang w:val="en-ZW"/>
        </w:rPr>
        <w:t>Joint CCA</w:t>
      </w:r>
      <w:r>
        <w:rPr>
          <w:lang w:val="en-ZW"/>
        </w:rPr>
        <w:t>s Opening Brief</w:t>
      </w:r>
      <w:r w:rsidR="00BA58BF">
        <w:rPr>
          <w:lang w:val="en-ZW"/>
        </w:rPr>
        <w:t xml:space="preserve"> at </w:t>
      </w:r>
      <w:r>
        <w:rPr>
          <w:lang w:val="en-ZW"/>
        </w:rPr>
        <w:t>21.</w:t>
      </w:r>
    </w:p>
  </w:footnote>
  <w:footnote w:id="113">
    <w:p w14:paraId="4150CB5D" w14:textId="438DCD4E" w:rsidR="00345511" w:rsidRPr="00372488"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19.</w:t>
      </w:r>
    </w:p>
  </w:footnote>
  <w:footnote w:id="114">
    <w:p w14:paraId="539692AA" w14:textId="138997AF" w:rsidR="00345511" w:rsidRPr="002F45A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 xml:space="preserve">13,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7, SCE Opening Brief</w:t>
      </w:r>
      <w:r w:rsidR="00BA58BF">
        <w:rPr>
          <w:lang w:val="en-ZW"/>
        </w:rPr>
        <w:t xml:space="preserve"> at </w:t>
      </w:r>
      <w:r>
        <w:rPr>
          <w:lang w:val="en-ZW"/>
        </w:rPr>
        <w:t>30, TURN Opening Brief</w:t>
      </w:r>
      <w:r w:rsidR="00BA58BF">
        <w:rPr>
          <w:lang w:val="en-ZW"/>
        </w:rPr>
        <w:t xml:space="preserve"> at </w:t>
      </w:r>
      <w:r>
        <w:rPr>
          <w:lang w:val="en-ZW"/>
        </w:rPr>
        <w:t>15.</w:t>
      </w:r>
    </w:p>
  </w:footnote>
  <w:footnote w:id="115">
    <w:p w14:paraId="52856277" w14:textId="74723FEF" w:rsidR="00345511" w:rsidRPr="00EC68D6"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30, SDG&amp;E Opening Brief</w:t>
      </w:r>
      <w:r w:rsidR="00BA58BF">
        <w:rPr>
          <w:lang w:val="en-ZW"/>
        </w:rPr>
        <w:t xml:space="preserve"> at </w:t>
      </w:r>
      <w:r>
        <w:rPr>
          <w:lang w:val="en-ZW"/>
        </w:rPr>
        <w:t>26.</w:t>
      </w:r>
    </w:p>
  </w:footnote>
  <w:footnote w:id="116">
    <w:p w14:paraId="621F5FD9" w14:textId="2A388112" w:rsidR="00345511" w:rsidRPr="0049620B" w:rsidRDefault="00345511" w:rsidP="00345511">
      <w:pPr>
        <w:pStyle w:val="FootnoteText"/>
        <w:rPr>
          <w:lang w:val="en-ZW"/>
        </w:rPr>
      </w:pPr>
      <w:r>
        <w:rPr>
          <w:rStyle w:val="FootnoteReference"/>
        </w:rPr>
        <w:footnoteRef/>
      </w:r>
      <w:r>
        <w:t xml:space="preserve"> </w:t>
      </w:r>
      <w:r>
        <w:rPr>
          <w:lang w:val="en-ZW"/>
        </w:rPr>
        <w:t>TURN Opening Brief</w:t>
      </w:r>
      <w:r w:rsidR="00BA58BF">
        <w:rPr>
          <w:lang w:val="en-ZW"/>
        </w:rPr>
        <w:t xml:space="preserve"> at </w:t>
      </w:r>
      <w:r>
        <w:rPr>
          <w:lang w:val="en-ZW"/>
        </w:rPr>
        <w:t>15, CCSA Opening Brief</w:t>
      </w:r>
      <w:r w:rsidR="00BA58BF">
        <w:rPr>
          <w:lang w:val="en-ZW"/>
        </w:rPr>
        <w:t xml:space="preserve"> at </w:t>
      </w:r>
      <w:r>
        <w:rPr>
          <w:lang w:val="en-ZW"/>
        </w:rPr>
        <w:t>13.</w:t>
      </w:r>
    </w:p>
  </w:footnote>
  <w:footnote w:id="117">
    <w:p w14:paraId="68ACE1E5" w14:textId="0907DA9C" w:rsidR="00345511" w:rsidRPr="002F046C"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15,</w:t>
      </w:r>
      <w:r w:rsidRPr="00904E44">
        <w:rPr>
          <w:lang w:val="en-ZW"/>
        </w:rPr>
        <w:t xml:space="preserve"> </w:t>
      </w:r>
      <w:r w:rsidR="000341A3">
        <w:rPr>
          <w:lang w:val="en-ZW"/>
        </w:rPr>
        <w:t>Joint CCA</w:t>
      </w:r>
      <w:r>
        <w:rPr>
          <w:lang w:val="en-ZW"/>
        </w:rPr>
        <w:t>s Opening Brief</w:t>
      </w:r>
      <w:r w:rsidR="00BA58BF">
        <w:rPr>
          <w:lang w:val="en-ZW"/>
        </w:rPr>
        <w:t xml:space="preserve"> at </w:t>
      </w:r>
      <w:r>
        <w:rPr>
          <w:lang w:val="en-ZW"/>
        </w:rPr>
        <w:t>22, SEIA Opening Brief</w:t>
      </w:r>
      <w:r w:rsidR="00BA58BF">
        <w:rPr>
          <w:lang w:val="en-ZW"/>
        </w:rPr>
        <w:t xml:space="preserve"> at </w:t>
      </w:r>
      <w:r>
        <w:rPr>
          <w:lang w:val="en-ZW"/>
        </w:rPr>
        <w:t>18.</w:t>
      </w:r>
    </w:p>
  </w:footnote>
  <w:footnote w:id="118">
    <w:p w14:paraId="4B62F4C5" w14:textId="6FEDC922" w:rsidR="00345511" w:rsidRPr="00891726"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15,</w:t>
      </w:r>
      <w:r w:rsidRPr="00612BF0">
        <w:rPr>
          <w:lang w:val="en-ZW"/>
        </w:rPr>
        <w:t xml:space="preserve"> </w:t>
      </w:r>
      <w:r w:rsidR="000341A3">
        <w:rPr>
          <w:lang w:val="en-ZW"/>
        </w:rPr>
        <w:t>Joint CCA</w:t>
      </w:r>
      <w:r>
        <w:rPr>
          <w:lang w:val="en-ZW"/>
        </w:rPr>
        <w:t>s Opening Brief</w:t>
      </w:r>
      <w:r w:rsidR="00BA58BF">
        <w:rPr>
          <w:lang w:val="en-ZW"/>
        </w:rPr>
        <w:t xml:space="preserve"> at </w:t>
      </w:r>
      <w:r>
        <w:rPr>
          <w:lang w:val="en-ZW"/>
        </w:rPr>
        <w:t>24,</w:t>
      </w:r>
      <w:r w:rsidRPr="00B1318D">
        <w:rPr>
          <w:lang w:val="en-ZW"/>
        </w:rPr>
        <w:t xml:space="preserve"> </w:t>
      </w:r>
      <w:r>
        <w:rPr>
          <w:lang w:val="en-ZW"/>
        </w:rPr>
        <w:t>PG&amp;E Opening Brief</w:t>
      </w:r>
      <w:r w:rsidR="00BA58BF">
        <w:rPr>
          <w:lang w:val="en-ZW"/>
        </w:rPr>
        <w:t xml:space="preserve"> at </w:t>
      </w:r>
      <w:r>
        <w:rPr>
          <w:lang w:val="en-ZW"/>
        </w:rPr>
        <w:t>13, SDG&amp;E Opening Brief</w:t>
      </w:r>
      <w:r w:rsidR="00BA58BF">
        <w:rPr>
          <w:lang w:val="en-ZW"/>
        </w:rPr>
        <w:t xml:space="preserve"> at </w:t>
      </w:r>
      <w:r>
        <w:rPr>
          <w:lang w:val="en-ZW"/>
        </w:rPr>
        <w:t>26.</w:t>
      </w:r>
    </w:p>
  </w:footnote>
  <w:footnote w:id="119">
    <w:p w14:paraId="2E54F698" w14:textId="04FDF21D" w:rsidR="00345511" w:rsidRPr="00612BF0"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18.</w:t>
      </w:r>
    </w:p>
  </w:footnote>
  <w:footnote w:id="120">
    <w:p w14:paraId="0C84F492" w14:textId="6EA8F086" w:rsidR="00345511" w:rsidRPr="002A35AA"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31.</w:t>
      </w:r>
    </w:p>
  </w:footnote>
  <w:footnote w:id="121">
    <w:p w14:paraId="63A7463A" w14:textId="4875CA0D" w:rsidR="00345511" w:rsidRPr="005A6BA1" w:rsidRDefault="00345511" w:rsidP="00345511">
      <w:pPr>
        <w:pStyle w:val="FootnoteText"/>
        <w:rPr>
          <w:lang w:val="en-ZW"/>
        </w:rPr>
      </w:pPr>
      <w:r>
        <w:rPr>
          <w:rStyle w:val="FootnoteReference"/>
        </w:rPr>
        <w:footnoteRef/>
      </w:r>
      <w:r>
        <w:t xml:space="preserve"> </w:t>
      </w:r>
      <w:r>
        <w:rPr>
          <w:i/>
          <w:iCs/>
          <w:lang w:val="en-ZW"/>
        </w:rPr>
        <w:t xml:space="preserve">See </w:t>
      </w:r>
      <w:r w:rsidR="000341A3">
        <w:rPr>
          <w:lang w:val="en-ZW"/>
        </w:rPr>
        <w:t>Joint CCA</w:t>
      </w:r>
      <w:r>
        <w:rPr>
          <w:lang w:val="en-ZW"/>
        </w:rPr>
        <w:t xml:space="preserve">s </w:t>
      </w:r>
      <w:r w:rsidR="00E02E16">
        <w:rPr>
          <w:lang w:val="en-ZW"/>
        </w:rPr>
        <w:t>Opening Comments to November</w:t>
      </w:r>
      <w:r w:rsidR="005A1269">
        <w:rPr>
          <w:lang w:val="en-ZW"/>
        </w:rPr>
        <w:t> </w:t>
      </w:r>
      <w:r w:rsidR="00E02E16">
        <w:rPr>
          <w:lang w:val="en-ZW"/>
        </w:rPr>
        <w:t>6 Ruling</w:t>
      </w:r>
      <w:r w:rsidR="00BA58BF">
        <w:rPr>
          <w:lang w:val="en-ZW"/>
        </w:rPr>
        <w:t xml:space="preserve"> at </w:t>
      </w:r>
      <w:r>
        <w:rPr>
          <w:lang w:val="en-ZW"/>
        </w:rPr>
        <w:t xml:space="preserve">14, 22 </w:t>
      </w:r>
      <w:r w:rsidR="00993540">
        <w:rPr>
          <w:lang w:val="en-ZW"/>
        </w:rPr>
        <w:t xml:space="preserve">and footnotes </w:t>
      </w:r>
      <w:r>
        <w:rPr>
          <w:lang w:val="en-ZW"/>
        </w:rPr>
        <w:t>citing various Program Administrators</w:t>
      </w:r>
      <w:r w:rsidR="00440785">
        <w:rPr>
          <w:lang w:val="en-ZW"/>
        </w:rPr>
        <w:t>’</w:t>
      </w:r>
      <w:r>
        <w:rPr>
          <w:lang w:val="en-ZW"/>
        </w:rPr>
        <w:t xml:space="preserve"> Quarterly Disadvantaged Communities Green Tariff and Community Solar Green Tariff Program Reports, filed in R.14</w:t>
      </w:r>
      <w:r w:rsidR="003D6EF8">
        <w:rPr>
          <w:lang w:val="en-ZW"/>
        </w:rPr>
        <w:noBreakHyphen/>
      </w:r>
      <w:r>
        <w:rPr>
          <w:lang w:val="en-ZW"/>
        </w:rPr>
        <w:t>07</w:t>
      </w:r>
      <w:r w:rsidR="003D6EF8">
        <w:rPr>
          <w:lang w:val="en-ZW"/>
        </w:rPr>
        <w:noBreakHyphen/>
      </w:r>
      <w:r>
        <w:rPr>
          <w:lang w:val="en-ZW"/>
        </w:rPr>
        <w:t>002.</w:t>
      </w:r>
    </w:p>
  </w:footnote>
  <w:footnote w:id="122">
    <w:p w14:paraId="1BAB1282" w14:textId="6C087168" w:rsidR="00345511" w:rsidRPr="005A6BA1" w:rsidRDefault="00345511" w:rsidP="00345511">
      <w:pPr>
        <w:pStyle w:val="FootnoteText"/>
        <w:rPr>
          <w:lang w:val="en-ZW"/>
        </w:rPr>
      </w:pPr>
      <w:r>
        <w:rPr>
          <w:rStyle w:val="FootnoteReference"/>
        </w:rPr>
        <w:footnoteRef/>
      </w:r>
      <w:r>
        <w:t xml:space="preserve"> </w:t>
      </w:r>
      <w:r>
        <w:rPr>
          <w:i/>
          <w:iCs/>
          <w:lang w:val="en-ZW"/>
        </w:rPr>
        <w:t xml:space="preserve">See </w:t>
      </w:r>
      <w:r w:rsidR="000341A3">
        <w:rPr>
          <w:lang w:val="en-ZW"/>
        </w:rPr>
        <w:t>Joint CCA</w:t>
      </w:r>
      <w:r>
        <w:rPr>
          <w:lang w:val="en-ZW"/>
        </w:rPr>
        <w:t>s Opening Brief</w:t>
      </w:r>
      <w:r w:rsidR="00BA58BF">
        <w:rPr>
          <w:lang w:val="en-ZW"/>
        </w:rPr>
        <w:t xml:space="preserve"> at </w:t>
      </w:r>
      <w:r>
        <w:rPr>
          <w:lang w:val="en-ZW"/>
        </w:rPr>
        <w:t>14, 22 (citing various Program Administrators</w:t>
      </w:r>
      <w:r w:rsidR="00440785">
        <w:rPr>
          <w:lang w:val="en-ZW"/>
        </w:rPr>
        <w:t>’</w:t>
      </w:r>
      <w:r>
        <w:rPr>
          <w:lang w:val="en-ZW"/>
        </w:rPr>
        <w:t xml:space="preserve"> Quarterly Disadvantaged Communities Green Tariff and Community Solar Green Tariff Program Reports, filed in R.14</w:t>
      </w:r>
      <w:r w:rsidR="003D6EF8">
        <w:rPr>
          <w:lang w:val="en-ZW"/>
        </w:rPr>
        <w:noBreakHyphen/>
      </w:r>
      <w:r>
        <w:rPr>
          <w:lang w:val="en-ZW"/>
        </w:rPr>
        <w:t>07</w:t>
      </w:r>
      <w:r w:rsidR="003D6EF8">
        <w:rPr>
          <w:lang w:val="en-ZW"/>
        </w:rPr>
        <w:noBreakHyphen/>
      </w:r>
      <w:r>
        <w:rPr>
          <w:lang w:val="en-ZW"/>
        </w:rPr>
        <w:t>002).</w:t>
      </w:r>
    </w:p>
  </w:footnote>
  <w:footnote w:id="123">
    <w:p w14:paraId="362D7345" w14:textId="188AFE2A" w:rsidR="00732D2D" w:rsidRDefault="00732D2D">
      <w:pPr>
        <w:pStyle w:val="FootnoteText"/>
      </w:pPr>
      <w:r>
        <w:rPr>
          <w:rStyle w:val="FootnoteReference"/>
        </w:rPr>
        <w:footnoteRef/>
      </w:r>
      <w:r w:rsidR="001917A8">
        <w:t xml:space="preserve"> </w:t>
      </w:r>
      <w:r w:rsidR="000341A3">
        <w:rPr>
          <w:rFonts w:cstheme="minorHAnsi"/>
          <w:color w:val="000000"/>
          <w:szCs w:val="22"/>
        </w:rPr>
        <w:t>Joint CCA</w:t>
      </w:r>
      <w:r w:rsidRPr="00683420">
        <w:rPr>
          <w:rFonts w:cstheme="minorHAnsi"/>
          <w:color w:val="000000"/>
          <w:szCs w:val="22"/>
        </w:rPr>
        <w:t xml:space="preserve"> and SF </w:t>
      </w:r>
      <w:r w:rsidR="00993540">
        <w:rPr>
          <w:rFonts w:cstheme="minorHAnsi"/>
          <w:color w:val="000000"/>
          <w:szCs w:val="22"/>
        </w:rPr>
        <w:t xml:space="preserve">Opening Comments to </w:t>
      </w:r>
      <w:r w:rsidRPr="00683420">
        <w:rPr>
          <w:rFonts w:cstheme="minorHAnsi"/>
          <w:color w:val="000000"/>
          <w:szCs w:val="22"/>
        </w:rPr>
        <w:t>November</w:t>
      </w:r>
      <w:r w:rsidR="005A1269">
        <w:rPr>
          <w:rFonts w:cstheme="minorHAnsi"/>
          <w:color w:val="000000"/>
          <w:szCs w:val="22"/>
        </w:rPr>
        <w:t> </w:t>
      </w:r>
      <w:r w:rsidR="00993540">
        <w:rPr>
          <w:rFonts w:cstheme="minorHAnsi"/>
          <w:color w:val="000000"/>
          <w:szCs w:val="22"/>
        </w:rPr>
        <w:t>6</w:t>
      </w:r>
      <w:r w:rsidR="00993540" w:rsidRPr="00683420">
        <w:rPr>
          <w:rFonts w:cstheme="minorHAnsi"/>
          <w:color w:val="000000"/>
          <w:szCs w:val="22"/>
        </w:rPr>
        <w:t xml:space="preserve"> </w:t>
      </w:r>
      <w:r w:rsidRPr="00683420">
        <w:rPr>
          <w:rFonts w:cstheme="minorHAnsi"/>
          <w:color w:val="000000"/>
          <w:szCs w:val="22"/>
        </w:rPr>
        <w:t xml:space="preserve">Ruling </w:t>
      </w:r>
      <w:r w:rsidR="00BA58BF">
        <w:rPr>
          <w:rFonts w:cstheme="minorHAnsi"/>
          <w:color w:val="000000"/>
          <w:szCs w:val="22"/>
        </w:rPr>
        <w:t>at </w:t>
      </w:r>
      <w:r w:rsidRPr="00683420">
        <w:rPr>
          <w:rFonts w:cstheme="minorHAnsi"/>
          <w:color w:val="000000"/>
          <w:szCs w:val="22"/>
        </w:rPr>
        <w:t xml:space="preserve">4, </w:t>
      </w:r>
      <w:r w:rsidR="005674F9">
        <w:rPr>
          <w:rFonts w:cstheme="minorHAnsi"/>
          <w:color w:val="000000"/>
          <w:szCs w:val="22"/>
        </w:rPr>
        <w:t>Table 1</w:t>
      </w:r>
      <w:r w:rsidRPr="00683420">
        <w:rPr>
          <w:rFonts w:cstheme="minorHAnsi"/>
          <w:color w:val="000000"/>
        </w:rPr>
        <w:t>.</w:t>
      </w:r>
    </w:p>
  </w:footnote>
  <w:footnote w:id="124">
    <w:p w14:paraId="191E5CB4" w14:textId="3928CF80" w:rsidR="009E301A" w:rsidRPr="001917A8" w:rsidRDefault="009E301A">
      <w:pPr>
        <w:pStyle w:val="FootnoteText"/>
      </w:pPr>
      <w:r>
        <w:rPr>
          <w:rStyle w:val="FootnoteReference"/>
        </w:rPr>
        <w:footnoteRef/>
      </w:r>
      <w:r>
        <w:t xml:space="preserve"> </w:t>
      </w:r>
      <w:r w:rsidRPr="005D065D">
        <w:rPr>
          <w:rFonts w:cstheme="minorHAnsi"/>
          <w:color w:val="000000"/>
          <w:szCs w:val="22"/>
        </w:rPr>
        <w:t>Defined as signed PPA for new resources.</w:t>
      </w:r>
    </w:p>
  </w:footnote>
  <w:footnote w:id="125">
    <w:p w14:paraId="7736B0B2" w14:textId="0DAA6262" w:rsidR="009E301A" w:rsidRPr="001917A8" w:rsidRDefault="009E301A">
      <w:pPr>
        <w:pStyle w:val="FootnoteText"/>
        <w:rPr>
          <w:szCs w:val="22"/>
        </w:rPr>
      </w:pPr>
      <w:r w:rsidRPr="009E301A">
        <w:rPr>
          <w:rStyle w:val="FootnoteReference"/>
          <w:szCs w:val="22"/>
        </w:rPr>
        <w:footnoteRef/>
      </w:r>
      <w:r w:rsidRPr="009E301A">
        <w:rPr>
          <w:szCs w:val="22"/>
        </w:rPr>
        <w:t xml:space="preserve"> </w:t>
      </w:r>
      <w:r w:rsidRPr="005D065D">
        <w:rPr>
          <w:rFonts w:cstheme="minorHAnsi"/>
          <w:color w:val="000000"/>
          <w:szCs w:val="22"/>
        </w:rPr>
        <w:t>From Q3 Quarterly Reports.</w:t>
      </w:r>
    </w:p>
  </w:footnote>
  <w:footnote w:id="126">
    <w:p w14:paraId="0CF1CB4A" w14:textId="56533054" w:rsidR="00345511" w:rsidRPr="001B522A"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14,</w:t>
      </w:r>
      <w:r w:rsidRPr="008965CF">
        <w:rPr>
          <w:lang w:val="en-ZW"/>
        </w:rPr>
        <w:t xml:space="preserve"> </w:t>
      </w:r>
      <w:r>
        <w:rPr>
          <w:lang w:val="en-ZW"/>
        </w:rPr>
        <w:t>Cypress Creek Opening Brief</w:t>
      </w:r>
      <w:r w:rsidR="00BA58BF">
        <w:rPr>
          <w:lang w:val="en-ZW"/>
        </w:rPr>
        <w:t xml:space="preserve"> at </w:t>
      </w:r>
      <w:r>
        <w:rPr>
          <w:lang w:val="en-ZW"/>
        </w:rPr>
        <w:t xml:space="preserve">16,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9, PG&amp;E Opening Brief</w:t>
      </w:r>
      <w:r w:rsidR="00BA58BF">
        <w:rPr>
          <w:lang w:val="en-ZW"/>
        </w:rPr>
        <w:t xml:space="preserve"> at </w:t>
      </w:r>
      <w:r>
        <w:rPr>
          <w:lang w:val="en-ZW"/>
        </w:rPr>
        <w:t xml:space="preserve">11, </w:t>
      </w:r>
      <w:r w:rsidR="002917E2">
        <w:rPr>
          <w:lang w:val="en-ZW"/>
        </w:rPr>
        <w:t>Cal Advoc</w:t>
      </w:r>
      <w:r>
        <w:rPr>
          <w:lang w:val="en-ZW"/>
        </w:rPr>
        <w:t>ates Opening Brief</w:t>
      </w:r>
      <w:r w:rsidR="00BA58BF">
        <w:rPr>
          <w:lang w:val="en-ZW"/>
        </w:rPr>
        <w:t xml:space="preserve"> at </w:t>
      </w:r>
      <w:r>
        <w:rPr>
          <w:lang w:val="en-ZW"/>
        </w:rPr>
        <w:t>16,</w:t>
      </w:r>
      <w:r w:rsidRPr="00C9702E">
        <w:rPr>
          <w:lang w:val="en-ZW"/>
        </w:rPr>
        <w:t xml:space="preserve"> </w:t>
      </w:r>
      <w:r>
        <w:rPr>
          <w:lang w:val="en-ZW"/>
        </w:rPr>
        <w:t>SCE Opening Brief</w:t>
      </w:r>
      <w:r w:rsidR="00BA58BF">
        <w:rPr>
          <w:lang w:val="en-ZW"/>
        </w:rPr>
        <w:t xml:space="preserve"> at </w:t>
      </w:r>
      <w:r>
        <w:rPr>
          <w:lang w:val="en-ZW"/>
        </w:rPr>
        <w:t>31, TURN Opening Brief</w:t>
      </w:r>
      <w:r w:rsidR="00BA58BF">
        <w:rPr>
          <w:lang w:val="en-ZW"/>
        </w:rPr>
        <w:t xml:space="preserve"> at </w:t>
      </w:r>
      <w:r>
        <w:rPr>
          <w:lang w:val="en-ZW"/>
        </w:rPr>
        <w:t>17.</w:t>
      </w:r>
    </w:p>
  </w:footnote>
  <w:footnote w:id="127">
    <w:p w14:paraId="331082FE" w14:textId="12791187" w:rsidR="00345511" w:rsidRPr="00621E00" w:rsidRDefault="00345511" w:rsidP="00345511">
      <w:pPr>
        <w:pStyle w:val="FootnoteText"/>
        <w:rPr>
          <w:lang w:val="en-ZW"/>
        </w:rPr>
      </w:pPr>
      <w:r>
        <w:rPr>
          <w:rStyle w:val="FootnoteReference"/>
        </w:rPr>
        <w:footnoteRef/>
      </w:r>
      <w:r>
        <w:t xml:space="preserve"> </w:t>
      </w:r>
      <w:r w:rsidRPr="0027244B">
        <w:rPr>
          <w:i/>
          <w:iCs/>
        </w:rPr>
        <w:t>See</w:t>
      </w:r>
      <w:r>
        <w:t xml:space="preserve"> SC</w:t>
      </w:r>
      <w:r>
        <w:rPr>
          <w:lang w:val="en-ZW"/>
        </w:rPr>
        <w:t>E Opening Brief</w:t>
      </w:r>
      <w:r w:rsidR="00BA58BF">
        <w:rPr>
          <w:lang w:val="en-ZW"/>
        </w:rPr>
        <w:t xml:space="preserve"> at </w:t>
      </w:r>
      <w:r>
        <w:rPr>
          <w:lang w:val="en-ZW"/>
        </w:rPr>
        <w:t>31, PG&amp;E Opening Brief</w:t>
      </w:r>
      <w:r w:rsidR="00BA58BF">
        <w:rPr>
          <w:lang w:val="en-ZW"/>
        </w:rPr>
        <w:t xml:space="preserve"> at </w:t>
      </w:r>
      <w:r>
        <w:rPr>
          <w:lang w:val="en-ZW"/>
        </w:rPr>
        <w:t>11,</w:t>
      </w:r>
      <w:r w:rsidRPr="00C9702E">
        <w:rPr>
          <w:lang w:val="en-ZW"/>
        </w:rPr>
        <w:t xml:space="preserve"> </w:t>
      </w:r>
      <w:r>
        <w:rPr>
          <w:lang w:val="en-ZW"/>
        </w:rPr>
        <w:t>SDG&amp;E Opening Brief</w:t>
      </w:r>
      <w:r w:rsidR="00BA58BF">
        <w:rPr>
          <w:lang w:val="en-ZW"/>
        </w:rPr>
        <w:t xml:space="preserve"> at </w:t>
      </w:r>
      <w:r>
        <w:rPr>
          <w:lang w:val="en-ZW"/>
        </w:rPr>
        <w:t xml:space="preserve">28, </w:t>
      </w:r>
      <w:r w:rsidR="000341A3">
        <w:rPr>
          <w:lang w:val="en-ZW"/>
        </w:rPr>
        <w:t>Joint CCA</w:t>
      </w:r>
      <w:r>
        <w:rPr>
          <w:lang w:val="en-ZW"/>
        </w:rPr>
        <w:t>s Opening Brief</w:t>
      </w:r>
      <w:r w:rsidR="00BA58BF">
        <w:rPr>
          <w:lang w:val="en-ZW"/>
        </w:rPr>
        <w:t xml:space="preserve"> at </w:t>
      </w:r>
      <w:r>
        <w:rPr>
          <w:lang w:val="en-ZW"/>
        </w:rPr>
        <w:t>23.</w:t>
      </w:r>
    </w:p>
  </w:footnote>
  <w:footnote w:id="128">
    <w:p w14:paraId="1B7E0B17" w14:textId="6ACD1193" w:rsidR="00345511" w:rsidRPr="00982EEC" w:rsidRDefault="00345511" w:rsidP="00345511">
      <w:pPr>
        <w:pStyle w:val="FootnoteText"/>
        <w:rPr>
          <w:lang w:val="en-ZW"/>
        </w:rPr>
      </w:pPr>
      <w:r>
        <w:rPr>
          <w:rStyle w:val="FootnoteReference"/>
        </w:rPr>
        <w:footnoteRef/>
      </w:r>
      <w:r>
        <w:t xml:space="preserve"> </w:t>
      </w:r>
      <w:r w:rsidR="000341A3">
        <w:rPr>
          <w:lang w:val="en-ZW"/>
        </w:rPr>
        <w:t>Joint CCA</w:t>
      </w:r>
      <w:r w:rsidR="00A35011">
        <w:rPr>
          <w:lang w:val="en-ZW"/>
        </w:rPr>
        <w:t>s</w:t>
      </w:r>
      <w:r>
        <w:rPr>
          <w:lang w:val="en-ZW"/>
        </w:rPr>
        <w:t xml:space="preserve"> Opening Brief</w:t>
      </w:r>
      <w:r w:rsidR="00BA58BF">
        <w:rPr>
          <w:lang w:val="en-ZW"/>
        </w:rPr>
        <w:t xml:space="preserve"> at </w:t>
      </w:r>
      <w:r>
        <w:rPr>
          <w:lang w:val="en-ZW"/>
        </w:rPr>
        <w:t>13.</w:t>
      </w:r>
    </w:p>
  </w:footnote>
  <w:footnote w:id="129">
    <w:p w14:paraId="4D7C2967" w14:textId="14806938" w:rsidR="00345511" w:rsidRPr="00E46E06"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16.</w:t>
      </w:r>
    </w:p>
  </w:footnote>
  <w:footnote w:id="130">
    <w:p w14:paraId="0734594C" w14:textId="25AE27B8" w:rsidR="00404903" w:rsidRDefault="00404903">
      <w:pPr>
        <w:pStyle w:val="FootnoteText"/>
      </w:pPr>
      <w:r>
        <w:rPr>
          <w:rStyle w:val="FootnoteReference"/>
        </w:rPr>
        <w:footnoteRef/>
      </w:r>
      <w:r>
        <w:t xml:space="preserve"> Joint CCAs Opening Comments to November</w:t>
      </w:r>
      <w:r w:rsidR="000B71B8">
        <w:t> </w:t>
      </w:r>
      <w:r>
        <w:t>5 Ruling at</w:t>
      </w:r>
      <w:r w:rsidR="000B71B8">
        <w:t> </w:t>
      </w:r>
      <w:r>
        <w:t>5, Table</w:t>
      </w:r>
      <w:r w:rsidR="000B71B8">
        <w:t> </w:t>
      </w:r>
      <w:r>
        <w:t>2 and footnotes citing Program Administrator</w:t>
      </w:r>
      <w:r w:rsidR="00440785">
        <w:t>’</w:t>
      </w:r>
      <w:r>
        <w:t>s Quarterly Disadvantaged Communities Green Tariff and Community Solar Green Tariff Program Reports, filed in R.14</w:t>
      </w:r>
      <w:r w:rsidR="003D6EF8">
        <w:noBreakHyphen/>
      </w:r>
      <w:r>
        <w:t>07</w:t>
      </w:r>
      <w:r w:rsidR="003D6EF8">
        <w:noBreakHyphen/>
      </w:r>
      <w:r>
        <w:t xml:space="preserve">002. </w:t>
      </w:r>
      <w:bookmarkStart w:id="117" w:name="_Hlk159577885"/>
      <w:r>
        <w:t>Unlike DAC</w:t>
      </w:r>
      <w:r w:rsidR="003D6EF8">
        <w:noBreakHyphen/>
      </w:r>
      <w:r>
        <w:t xml:space="preserve">GT, </w:t>
      </w:r>
      <w:r w:rsidR="00285979">
        <w:rPr>
          <w:szCs w:val="22"/>
        </w:rPr>
        <w:t>CSGT Program Administrators cannot serve customers using interim Green Tariff or RPS resources.</w:t>
      </w:r>
      <w:r>
        <w:t xml:space="preserve"> </w:t>
      </w:r>
      <w:r w:rsidR="00285979">
        <w:t>(</w:t>
      </w:r>
      <w:r w:rsidR="00285979" w:rsidRPr="006C36A5">
        <w:rPr>
          <w:i/>
          <w:iCs/>
        </w:rPr>
        <w:t>See</w:t>
      </w:r>
      <w:r w:rsidR="00285979">
        <w:t xml:space="preserve"> </w:t>
      </w:r>
      <w:r w:rsidR="00440785">
        <w:t>Resolution </w:t>
      </w:r>
      <w:r w:rsidR="00285979">
        <w:t>E</w:t>
      </w:r>
      <w:r w:rsidR="003D6EF8">
        <w:noBreakHyphen/>
      </w:r>
      <w:r w:rsidR="00285979">
        <w:t>4999 at</w:t>
      </w:r>
      <w:r w:rsidR="001B0DB8">
        <w:t> </w:t>
      </w:r>
      <w:r w:rsidR="00285979">
        <w:t xml:space="preserve">24.) </w:t>
      </w:r>
      <w:r w:rsidR="00285979">
        <w:rPr>
          <w:szCs w:val="22"/>
        </w:rPr>
        <w:t>Before a CSGT project can operate, it must receive what is known as Permission to Operate from the utility consistent with the GTSR program. (</w:t>
      </w:r>
      <w:r w:rsidR="00285979" w:rsidRPr="006C36A5">
        <w:rPr>
          <w:i/>
          <w:iCs/>
          <w:szCs w:val="22"/>
        </w:rPr>
        <w:t>See</w:t>
      </w:r>
      <w:r w:rsidR="00285979">
        <w:rPr>
          <w:szCs w:val="22"/>
        </w:rPr>
        <w:t xml:space="preserve"> </w:t>
      </w:r>
      <w:r w:rsidR="00440785">
        <w:rPr>
          <w:szCs w:val="22"/>
        </w:rPr>
        <w:t>Resolution </w:t>
      </w:r>
      <w:r w:rsidR="00285979">
        <w:rPr>
          <w:szCs w:val="22"/>
        </w:rPr>
        <w:t>E</w:t>
      </w:r>
      <w:r w:rsidR="003D6EF8">
        <w:rPr>
          <w:szCs w:val="22"/>
        </w:rPr>
        <w:noBreakHyphen/>
      </w:r>
      <w:r w:rsidR="00285979">
        <w:rPr>
          <w:szCs w:val="22"/>
        </w:rPr>
        <w:t>4999 at</w:t>
      </w:r>
      <w:r w:rsidR="001B0DB8">
        <w:rPr>
          <w:szCs w:val="22"/>
        </w:rPr>
        <w:t> </w:t>
      </w:r>
      <w:r w:rsidR="00285979">
        <w:rPr>
          <w:szCs w:val="22"/>
        </w:rPr>
        <w:t>80.)</w:t>
      </w:r>
      <w:r w:rsidR="007C005B">
        <w:t xml:space="preserve"> As of October</w:t>
      </w:r>
      <w:r w:rsidR="001B0DB8">
        <w:t> </w:t>
      </w:r>
      <w:r w:rsidR="007C005B">
        <w:t>31, 2023, no CSGT project had begun operation.</w:t>
      </w:r>
    </w:p>
    <w:bookmarkEnd w:id="117"/>
  </w:footnote>
  <w:footnote w:id="131">
    <w:p w14:paraId="2F4D292A" w14:textId="01C2E82E" w:rsidR="00345511" w:rsidRPr="00614191" w:rsidRDefault="00345511" w:rsidP="00345511">
      <w:pPr>
        <w:pStyle w:val="FootnoteText"/>
        <w:rPr>
          <w:lang w:val="en-ZW"/>
        </w:rPr>
      </w:pPr>
      <w:r>
        <w:rPr>
          <w:rStyle w:val="FootnoteReference"/>
        </w:rPr>
        <w:footnoteRef/>
      </w:r>
      <w:r>
        <w:t xml:space="preserve"> </w:t>
      </w:r>
      <w:r>
        <w:rPr>
          <w:lang w:val="en-ZW"/>
        </w:rPr>
        <w:t>PG&amp;E Opening Brief</w:t>
      </w:r>
      <w:r w:rsidR="00BA58BF">
        <w:rPr>
          <w:lang w:val="en-ZW"/>
        </w:rPr>
        <w:t xml:space="preserve"> at </w:t>
      </w:r>
      <w:r>
        <w:rPr>
          <w:lang w:val="en-ZW"/>
        </w:rPr>
        <w:t>12, SCE Opening Brief</w:t>
      </w:r>
      <w:r w:rsidR="00BA58BF">
        <w:rPr>
          <w:lang w:val="en-ZW"/>
        </w:rPr>
        <w:t xml:space="preserve"> at </w:t>
      </w:r>
      <w:r>
        <w:rPr>
          <w:lang w:val="en-ZW"/>
        </w:rPr>
        <w:t>30, SEIA Opening Brief</w:t>
      </w:r>
      <w:r w:rsidR="00BA58BF">
        <w:rPr>
          <w:lang w:val="en-ZW"/>
        </w:rPr>
        <w:t xml:space="preserve"> at </w:t>
      </w:r>
      <w:r>
        <w:rPr>
          <w:lang w:val="en-ZW"/>
        </w:rPr>
        <w:t>17, TURN Opening Brief</w:t>
      </w:r>
      <w:r w:rsidR="00BA58BF">
        <w:rPr>
          <w:lang w:val="en-ZW"/>
        </w:rPr>
        <w:t xml:space="preserve"> at </w:t>
      </w:r>
      <w:r>
        <w:rPr>
          <w:lang w:val="en-ZW"/>
        </w:rPr>
        <w:t>15.</w:t>
      </w:r>
    </w:p>
  </w:footnote>
  <w:footnote w:id="132">
    <w:p w14:paraId="3E30F471" w14:textId="38E18550" w:rsidR="00345511" w:rsidRPr="008B4D8A"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21.</w:t>
      </w:r>
    </w:p>
  </w:footnote>
  <w:footnote w:id="133">
    <w:p w14:paraId="771E7820" w14:textId="02DD4164" w:rsidR="00345511" w:rsidRPr="007F2D24"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17.</w:t>
      </w:r>
    </w:p>
  </w:footnote>
  <w:footnote w:id="134">
    <w:p w14:paraId="66F36519" w14:textId="3F9E47DB" w:rsidR="00345511" w:rsidRPr="002F45AE" w:rsidRDefault="00345511" w:rsidP="00345511">
      <w:pPr>
        <w:pStyle w:val="FootnoteText"/>
        <w:rPr>
          <w:lang w:val="en-ZW"/>
        </w:rPr>
      </w:pPr>
      <w:r>
        <w:rPr>
          <w:rStyle w:val="FootnoteReference"/>
        </w:rPr>
        <w:footnoteRef/>
      </w:r>
      <w:r>
        <w:t xml:space="preserve"> </w:t>
      </w:r>
      <w:r>
        <w:rPr>
          <w:lang w:val="en-ZW"/>
        </w:rPr>
        <w:t>CCSA Opening Brief</w:t>
      </w:r>
      <w:r w:rsidR="00BA58BF">
        <w:rPr>
          <w:lang w:val="en-ZW"/>
        </w:rPr>
        <w:t xml:space="preserve"> at </w:t>
      </w:r>
      <w:r>
        <w:rPr>
          <w:lang w:val="en-ZW"/>
        </w:rPr>
        <w:t>14,</w:t>
      </w:r>
      <w:r w:rsidRPr="000A182A">
        <w:rPr>
          <w:lang w:val="en-ZW"/>
        </w:rPr>
        <w:t xml:space="preserve"> </w:t>
      </w:r>
      <w:r>
        <w:rPr>
          <w:lang w:val="en-ZW"/>
        </w:rPr>
        <w:t>Cypress Creek Opening Brief</w:t>
      </w:r>
      <w:r w:rsidR="00BA58BF">
        <w:rPr>
          <w:lang w:val="en-ZW"/>
        </w:rPr>
        <w:t xml:space="preserve"> at </w:t>
      </w:r>
      <w:r>
        <w:rPr>
          <w:lang w:val="en-ZW"/>
        </w:rPr>
        <w:t xml:space="preserve">18, </w:t>
      </w:r>
      <w:r w:rsidR="00AD55A4">
        <w:rPr>
          <w:lang w:val="en-ZW"/>
        </w:rPr>
        <w:t xml:space="preserve">CEJA, </w:t>
      </w:r>
      <w:r w:rsidR="00237E56">
        <w:rPr>
          <w:i/>
          <w:iCs/>
          <w:lang w:val="en-ZW"/>
        </w:rPr>
        <w:t>et al</w:t>
      </w:r>
      <w:r w:rsidR="00AD55A4" w:rsidRPr="00AD55A4">
        <w:rPr>
          <w:i/>
          <w:iCs/>
          <w:lang w:val="en-ZW"/>
        </w:rPr>
        <w:t>.</w:t>
      </w:r>
      <w:r>
        <w:rPr>
          <w:lang w:val="en-ZW"/>
        </w:rPr>
        <w:t xml:space="preserve"> Opening Brief</w:t>
      </w:r>
      <w:r w:rsidR="00BA58BF">
        <w:rPr>
          <w:lang w:val="en-ZW"/>
        </w:rPr>
        <w:t xml:space="preserve"> at </w:t>
      </w:r>
      <w:r>
        <w:rPr>
          <w:lang w:val="en-ZW"/>
        </w:rPr>
        <w:t xml:space="preserve">8, </w:t>
      </w:r>
      <w:r w:rsidR="000341A3">
        <w:rPr>
          <w:lang w:val="en-ZW"/>
        </w:rPr>
        <w:t>Joint CCA</w:t>
      </w:r>
      <w:r>
        <w:rPr>
          <w:lang w:val="en-ZW"/>
        </w:rPr>
        <w:t>s Opening Brief</w:t>
      </w:r>
      <w:r w:rsidR="00BA58BF">
        <w:rPr>
          <w:lang w:val="en-ZW"/>
        </w:rPr>
        <w:t xml:space="preserve"> at </w:t>
      </w:r>
      <w:r>
        <w:rPr>
          <w:lang w:val="en-ZW"/>
        </w:rPr>
        <w:t>24, PG&amp;E Opening Brief</w:t>
      </w:r>
      <w:r w:rsidR="00BA58BF">
        <w:rPr>
          <w:lang w:val="en-ZW"/>
        </w:rPr>
        <w:t xml:space="preserve"> at </w:t>
      </w:r>
      <w:r>
        <w:rPr>
          <w:lang w:val="en-ZW"/>
        </w:rPr>
        <w:t>13, SCE Opening Brief</w:t>
      </w:r>
      <w:r w:rsidR="00BA58BF">
        <w:rPr>
          <w:lang w:val="en-ZW"/>
        </w:rPr>
        <w:t xml:space="preserve"> at </w:t>
      </w:r>
      <w:r>
        <w:rPr>
          <w:lang w:val="en-ZW"/>
        </w:rPr>
        <w:t>32, SDG&amp;E Opening Brief</w:t>
      </w:r>
      <w:r w:rsidR="00BA58BF">
        <w:rPr>
          <w:lang w:val="en-ZW"/>
        </w:rPr>
        <w:t xml:space="preserve"> at </w:t>
      </w:r>
      <w:r>
        <w:rPr>
          <w:lang w:val="en-ZW"/>
        </w:rPr>
        <w:t xml:space="preserve">28, </w:t>
      </w:r>
      <w:r w:rsidR="005D065D">
        <w:rPr>
          <w:lang w:val="en-ZW"/>
        </w:rPr>
        <w:t xml:space="preserve">and </w:t>
      </w:r>
      <w:r>
        <w:rPr>
          <w:lang w:val="en-ZW"/>
        </w:rPr>
        <w:t>TURN Opening Brief</w:t>
      </w:r>
      <w:r w:rsidR="00BA58BF">
        <w:rPr>
          <w:lang w:val="en-ZW"/>
        </w:rPr>
        <w:t xml:space="preserve"> at </w:t>
      </w:r>
      <w:r>
        <w:rPr>
          <w:lang w:val="en-ZW"/>
        </w:rPr>
        <w:t>19.</w:t>
      </w:r>
    </w:p>
  </w:footnote>
  <w:footnote w:id="135">
    <w:p w14:paraId="227A6B7E" w14:textId="62C410FB" w:rsidR="00345511" w:rsidRPr="005C7632" w:rsidRDefault="00345511" w:rsidP="00345511">
      <w:pPr>
        <w:pStyle w:val="FootnoteText"/>
        <w:rPr>
          <w:lang w:val="en-ZW"/>
        </w:rPr>
      </w:pPr>
      <w:r>
        <w:rPr>
          <w:rStyle w:val="FootnoteReference"/>
        </w:rPr>
        <w:footnoteRef/>
      </w:r>
      <w:r>
        <w:t xml:space="preserve"> </w:t>
      </w:r>
      <w:r w:rsidR="000341A3">
        <w:rPr>
          <w:lang w:val="en-ZW"/>
        </w:rPr>
        <w:t>Joint CCA</w:t>
      </w:r>
      <w:r>
        <w:rPr>
          <w:lang w:val="en-ZW"/>
        </w:rPr>
        <w:t>s Opening Brief</w:t>
      </w:r>
      <w:r w:rsidR="00BA58BF">
        <w:rPr>
          <w:lang w:val="en-ZW"/>
        </w:rPr>
        <w:t xml:space="preserve"> at </w:t>
      </w:r>
      <w:r>
        <w:rPr>
          <w:lang w:val="en-ZW"/>
        </w:rPr>
        <w:t>23.</w:t>
      </w:r>
    </w:p>
  </w:footnote>
  <w:footnote w:id="136">
    <w:p w14:paraId="4D7A7A78" w14:textId="3AEF27C0" w:rsidR="00345511" w:rsidRPr="00A73BEF"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18.</w:t>
      </w:r>
    </w:p>
  </w:footnote>
  <w:footnote w:id="137">
    <w:p w14:paraId="6EB9222F" w14:textId="452A97DE" w:rsidR="00345511" w:rsidRPr="00891726" w:rsidRDefault="00345511" w:rsidP="00345511">
      <w:pPr>
        <w:pStyle w:val="FootnoteText"/>
        <w:rPr>
          <w:lang w:val="en-ZW"/>
        </w:rPr>
      </w:pPr>
      <w:r>
        <w:rPr>
          <w:rStyle w:val="FootnoteReference"/>
        </w:rPr>
        <w:footnoteRef/>
      </w:r>
      <w:r>
        <w:t xml:space="preserve"> </w:t>
      </w:r>
      <w:r>
        <w:rPr>
          <w:lang w:val="en-ZW"/>
        </w:rPr>
        <w:t>Cypress Creek Opening Brief</w:t>
      </w:r>
      <w:r w:rsidR="00BA58BF">
        <w:rPr>
          <w:lang w:val="en-ZW"/>
        </w:rPr>
        <w:t xml:space="preserve"> at </w:t>
      </w:r>
      <w:r>
        <w:rPr>
          <w:lang w:val="en-ZW"/>
        </w:rPr>
        <w:t xml:space="preserve">15, </w:t>
      </w:r>
      <w:r w:rsidR="000341A3">
        <w:rPr>
          <w:lang w:val="en-ZW"/>
        </w:rPr>
        <w:t>Joint CCA</w:t>
      </w:r>
      <w:r>
        <w:rPr>
          <w:lang w:val="en-ZW"/>
        </w:rPr>
        <w:t>s Opening Brief</w:t>
      </w:r>
      <w:r w:rsidR="00BA58BF">
        <w:rPr>
          <w:lang w:val="en-ZW"/>
        </w:rPr>
        <w:t xml:space="preserve"> at </w:t>
      </w:r>
      <w:r>
        <w:rPr>
          <w:lang w:val="en-ZW"/>
        </w:rPr>
        <w:t>24, PG&amp;E Opening Brief</w:t>
      </w:r>
      <w:r w:rsidR="00BA58BF">
        <w:rPr>
          <w:lang w:val="en-ZW"/>
        </w:rPr>
        <w:t xml:space="preserve"> at </w:t>
      </w:r>
      <w:r>
        <w:rPr>
          <w:lang w:val="en-ZW"/>
        </w:rPr>
        <w:t xml:space="preserve">13, </w:t>
      </w:r>
      <w:r w:rsidR="005D065D">
        <w:rPr>
          <w:lang w:val="en-ZW"/>
        </w:rPr>
        <w:t xml:space="preserve">and </w:t>
      </w:r>
      <w:r>
        <w:rPr>
          <w:lang w:val="en-ZW"/>
        </w:rPr>
        <w:t>SDG&amp;E Opening Brief</w:t>
      </w:r>
      <w:r w:rsidR="00BA58BF">
        <w:rPr>
          <w:lang w:val="en-ZW"/>
        </w:rPr>
        <w:t xml:space="preserve"> at </w:t>
      </w:r>
      <w:r>
        <w:rPr>
          <w:lang w:val="en-ZW"/>
        </w:rPr>
        <w:t>28.</w:t>
      </w:r>
    </w:p>
  </w:footnote>
  <w:footnote w:id="138">
    <w:p w14:paraId="4F61680C" w14:textId="3D8A9336" w:rsidR="00345511" w:rsidRPr="00612BF0" w:rsidRDefault="00345511" w:rsidP="00345511">
      <w:pPr>
        <w:pStyle w:val="FootnoteText"/>
        <w:rPr>
          <w:lang w:val="en-ZW"/>
        </w:rPr>
      </w:pPr>
      <w:r>
        <w:rPr>
          <w:rStyle w:val="FootnoteReference"/>
        </w:rPr>
        <w:footnoteRef/>
      </w:r>
      <w:r>
        <w:t xml:space="preserve"> </w:t>
      </w:r>
      <w:r>
        <w:rPr>
          <w:lang w:val="en-ZW"/>
        </w:rPr>
        <w:t>SEIA Opening Brief</w:t>
      </w:r>
      <w:r w:rsidR="00BA58BF">
        <w:rPr>
          <w:lang w:val="en-ZW"/>
        </w:rPr>
        <w:t xml:space="preserve"> at </w:t>
      </w:r>
      <w:r>
        <w:rPr>
          <w:lang w:val="en-ZW"/>
        </w:rPr>
        <w:t>18.</w:t>
      </w:r>
    </w:p>
  </w:footnote>
  <w:footnote w:id="139">
    <w:p w14:paraId="66E181AD" w14:textId="58BACA5C" w:rsidR="00345511" w:rsidRPr="002A35AA" w:rsidRDefault="00345511" w:rsidP="00345511">
      <w:pPr>
        <w:pStyle w:val="FootnoteText"/>
        <w:rPr>
          <w:lang w:val="en-ZW"/>
        </w:rPr>
      </w:pPr>
      <w:r>
        <w:rPr>
          <w:rStyle w:val="FootnoteReference"/>
        </w:rPr>
        <w:footnoteRef/>
      </w:r>
      <w:r>
        <w:t xml:space="preserve"> </w:t>
      </w:r>
      <w:r>
        <w:rPr>
          <w:lang w:val="en-ZW"/>
        </w:rPr>
        <w:t>SCE Opening Brief</w:t>
      </w:r>
      <w:r w:rsidR="00BA58BF">
        <w:rPr>
          <w:lang w:val="en-ZW"/>
        </w:rPr>
        <w:t xml:space="preserve"> at </w:t>
      </w:r>
      <w:r>
        <w:rPr>
          <w:lang w:val="en-ZW"/>
        </w:rPr>
        <w:t>33.</w:t>
      </w:r>
    </w:p>
  </w:footnote>
  <w:footnote w:id="140">
    <w:p w14:paraId="421CE9F0" w14:textId="008C0961" w:rsidR="00351A54" w:rsidRDefault="00351A54">
      <w:pPr>
        <w:pStyle w:val="FootnoteText"/>
      </w:pPr>
      <w:r>
        <w:rPr>
          <w:rStyle w:val="FootnoteReference"/>
        </w:rPr>
        <w:footnoteRef/>
      </w:r>
      <w:r>
        <w:t xml:space="preserve"> Several parties also objected that the NBVT proposals were not compliant with federal law. Because the Commission concludes that the NBVT proposals are not compliant with state law, it is unnecessary to reach federal law compliance, and the Commission declines to do so.</w:t>
      </w:r>
    </w:p>
  </w:footnote>
  <w:footnote w:id="141">
    <w:p w14:paraId="201F2D1D" w14:textId="4CF36ED7" w:rsidR="000603C3" w:rsidRDefault="000603C3">
      <w:pPr>
        <w:pStyle w:val="FootnoteText"/>
      </w:pPr>
      <w:r>
        <w:rPr>
          <w:rStyle w:val="FootnoteReference"/>
        </w:rPr>
        <w:footnoteRef/>
      </w:r>
      <w:r>
        <w:t xml:space="preserve"> SBUA Opening Brief at 1</w:t>
      </w:r>
      <w:r w:rsidR="0075434B">
        <w:t xml:space="preserve"> and SBUA Opening Comments to November 6 Ruling at 2 -3</w:t>
      </w:r>
      <w:r>
        <w:t>.</w:t>
      </w:r>
    </w:p>
  </w:footnote>
  <w:footnote w:id="142">
    <w:p w14:paraId="5EDA73BA" w14:textId="37ED82B3" w:rsidR="001D024F" w:rsidRDefault="001D024F">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25</w:t>
      </w:r>
      <w:r w:rsidR="003D6EF8">
        <w:noBreakHyphen/>
      </w:r>
      <w:r w:rsidR="000E5621">
        <w:t>27</w:t>
      </w:r>
      <w:r>
        <w:t>.</w:t>
      </w:r>
    </w:p>
  </w:footnote>
  <w:footnote w:id="143">
    <w:p w14:paraId="5E45D3F7" w14:textId="1A66FD6A" w:rsidR="000E5621" w:rsidRDefault="000E5621">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27</w:t>
      </w:r>
      <w:r w:rsidR="003D6EF8">
        <w:noBreakHyphen/>
      </w:r>
      <w:r>
        <w:t>29.</w:t>
      </w:r>
    </w:p>
  </w:footnote>
  <w:footnote w:id="144">
    <w:p w14:paraId="1F59038E" w14:textId="57F2C4CD" w:rsidR="000E5621" w:rsidRDefault="000E5621">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29</w:t>
      </w:r>
      <w:r w:rsidR="003D6EF8">
        <w:noBreakHyphen/>
      </w:r>
      <w:r w:rsidR="00720D4E">
        <w:t>31</w:t>
      </w:r>
      <w:r w:rsidR="00B717D3">
        <w:t>.</w:t>
      </w:r>
    </w:p>
  </w:footnote>
  <w:footnote w:id="145">
    <w:p w14:paraId="01FDF108" w14:textId="1D46C46C" w:rsidR="000E5621" w:rsidRDefault="000E5621">
      <w:pPr>
        <w:pStyle w:val="FootnoteText"/>
      </w:pPr>
      <w:r>
        <w:rPr>
          <w:rStyle w:val="FootnoteReference"/>
        </w:rPr>
        <w:footnoteRef/>
      </w:r>
      <w:r w:rsidR="00720D4E">
        <w:t xml:space="preserve"> </w:t>
      </w:r>
      <w:r w:rsidR="000341A3">
        <w:t>Joint CCA</w:t>
      </w:r>
      <w:r w:rsidR="00A35011">
        <w:t>s</w:t>
      </w:r>
      <w:r w:rsidR="00720D4E">
        <w:t xml:space="preserve"> Opening Brief</w:t>
      </w:r>
      <w:r w:rsidR="00BA58BF">
        <w:t xml:space="preserve"> at </w:t>
      </w:r>
      <w:r w:rsidR="00720D4E">
        <w:t>31</w:t>
      </w:r>
      <w:r w:rsidR="003D6EF8">
        <w:noBreakHyphen/>
      </w:r>
      <w:r w:rsidR="00720D4E">
        <w:t>32.</w:t>
      </w:r>
    </w:p>
  </w:footnote>
  <w:footnote w:id="146">
    <w:p w14:paraId="59E7EBDB" w14:textId="385034F1" w:rsidR="00720D4E" w:rsidRDefault="00720D4E">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32</w:t>
      </w:r>
      <w:r w:rsidR="003D6EF8">
        <w:noBreakHyphen/>
      </w:r>
      <w:r>
        <w:t>33</w:t>
      </w:r>
      <w:r w:rsidR="00B049C4">
        <w:t>.</w:t>
      </w:r>
    </w:p>
  </w:footnote>
  <w:footnote w:id="147">
    <w:p w14:paraId="7B25F4D3" w14:textId="783770A8" w:rsidR="00720D4E" w:rsidRDefault="00720D4E">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33</w:t>
      </w:r>
      <w:r w:rsidR="003D6EF8">
        <w:noBreakHyphen/>
      </w:r>
      <w:r>
        <w:t>34</w:t>
      </w:r>
      <w:r w:rsidR="00B049C4">
        <w:t>.</w:t>
      </w:r>
    </w:p>
  </w:footnote>
  <w:footnote w:id="148">
    <w:p w14:paraId="456040B4" w14:textId="65B82C4F" w:rsidR="00B049C4" w:rsidRDefault="00B049C4">
      <w:pPr>
        <w:pStyle w:val="FootnoteText"/>
      </w:pPr>
      <w:r>
        <w:rPr>
          <w:rStyle w:val="FootnoteReference"/>
        </w:rPr>
        <w:footnoteRef/>
      </w:r>
      <w:r>
        <w:t xml:space="preserve"> </w:t>
      </w:r>
      <w:r w:rsidR="000341A3">
        <w:t>Joint CCA</w:t>
      </w:r>
      <w:r w:rsidR="001E382C">
        <w:t xml:space="preserve">s </w:t>
      </w:r>
      <w:r w:rsidR="007F6386">
        <w:t>state that it is their understanding that D.18</w:t>
      </w:r>
      <w:r w:rsidR="003D6EF8">
        <w:noBreakHyphen/>
      </w:r>
      <w:r w:rsidR="007F6386">
        <w:t>06</w:t>
      </w:r>
      <w:r w:rsidR="003D6EF8">
        <w:noBreakHyphen/>
      </w:r>
      <w:r w:rsidR="007F6386">
        <w:t>027 directs parties to D.17</w:t>
      </w:r>
      <w:r w:rsidR="003D6EF8">
        <w:noBreakHyphen/>
      </w:r>
      <w:r w:rsidR="007F6386">
        <w:t>12</w:t>
      </w:r>
      <w:r w:rsidR="003D6EF8">
        <w:noBreakHyphen/>
      </w:r>
      <w:r w:rsidR="007F6386">
        <w:t xml:space="preserve">005 for guidance for eligible paired generation and storage projects. </w:t>
      </w:r>
      <w:r w:rsidR="007B2282">
        <w:t>(</w:t>
      </w:r>
      <w:r w:rsidR="007F6386" w:rsidRPr="007B2282">
        <w:rPr>
          <w:i/>
          <w:iCs/>
        </w:rPr>
        <w:t>See</w:t>
      </w:r>
      <w:r w:rsidR="007F6386">
        <w:t xml:space="preserve"> </w:t>
      </w:r>
      <w:r w:rsidR="000341A3">
        <w:t>Joint CCA</w:t>
      </w:r>
      <w:r w:rsidR="007F6386">
        <w:t>s Opening Brief</w:t>
      </w:r>
      <w:r w:rsidR="00BA58BF">
        <w:t xml:space="preserve"> at </w:t>
      </w:r>
      <w:r w:rsidR="007F6386">
        <w:t>35 citing D.18</w:t>
      </w:r>
      <w:r w:rsidR="003D6EF8">
        <w:noBreakHyphen/>
      </w:r>
      <w:r w:rsidR="007F6386">
        <w:t>06</w:t>
      </w:r>
      <w:r w:rsidR="003D6EF8">
        <w:noBreakHyphen/>
      </w:r>
      <w:r w:rsidR="007F6386">
        <w:t>027</w:t>
      </w:r>
      <w:r w:rsidR="00BA58BF">
        <w:t xml:space="preserve"> at </w:t>
      </w:r>
      <w:r w:rsidR="007F6386">
        <w:t>88</w:t>
      </w:r>
      <w:r w:rsidR="003D6EF8">
        <w:noBreakHyphen/>
      </w:r>
      <w:r w:rsidR="007F6386">
        <w:t>89 and D.17</w:t>
      </w:r>
      <w:r w:rsidR="003D6EF8">
        <w:noBreakHyphen/>
      </w:r>
      <w:r w:rsidR="007F6386">
        <w:t>12</w:t>
      </w:r>
      <w:r w:rsidR="003D6EF8">
        <w:noBreakHyphen/>
      </w:r>
      <w:r w:rsidR="007F6386">
        <w:t>005</w:t>
      </w:r>
      <w:r w:rsidR="00BA58BF">
        <w:t xml:space="preserve"> at </w:t>
      </w:r>
      <w:r w:rsidR="007F6386">
        <w:t>4.</w:t>
      </w:r>
      <w:r w:rsidR="007B2282">
        <w:t>)</w:t>
      </w:r>
      <w:r w:rsidR="007F6386">
        <w:t xml:space="preserve"> The </w:t>
      </w:r>
      <w:r w:rsidR="000341A3">
        <w:t>Joint CCA</w:t>
      </w:r>
      <w:r w:rsidR="007F6386">
        <w:t xml:space="preserve">s state that they </w:t>
      </w:r>
      <w:r w:rsidR="001E382C">
        <w:t>interpret D.17</w:t>
      </w:r>
      <w:r w:rsidR="003D6EF8">
        <w:noBreakHyphen/>
      </w:r>
      <w:r w:rsidR="001E382C">
        <w:t>12</w:t>
      </w:r>
      <w:r w:rsidR="003D6EF8">
        <w:noBreakHyphen/>
      </w:r>
      <w:r w:rsidR="001E382C">
        <w:t xml:space="preserve">005 </w:t>
      </w:r>
      <w:r w:rsidR="007F6386">
        <w:t>as allowing co</w:t>
      </w:r>
      <w:r w:rsidR="003D6EF8">
        <w:noBreakHyphen/>
      </w:r>
      <w:r w:rsidR="007F6386">
        <w:t>located solar and storage resources to participate in the DAC</w:t>
      </w:r>
      <w:r w:rsidR="003D6EF8">
        <w:noBreakHyphen/>
      </w:r>
      <w:r w:rsidR="007F6386">
        <w:t xml:space="preserve">GT and CSGT programs. </w:t>
      </w:r>
      <w:r w:rsidR="00073D43">
        <w:t>(</w:t>
      </w:r>
      <w:r w:rsidR="000341A3">
        <w:t>Joint CCA</w:t>
      </w:r>
      <w:r w:rsidR="00A35011">
        <w:t>s</w:t>
      </w:r>
      <w:r>
        <w:t xml:space="preserve"> Opening Brief</w:t>
      </w:r>
      <w:r w:rsidR="00BA58BF">
        <w:t xml:space="preserve"> at </w:t>
      </w:r>
      <w:r>
        <w:t>34</w:t>
      </w:r>
      <w:r w:rsidR="003D6EF8">
        <w:noBreakHyphen/>
      </w:r>
      <w:r>
        <w:t>36.</w:t>
      </w:r>
      <w:r w:rsidR="00073D43">
        <w:t>)</w:t>
      </w:r>
    </w:p>
  </w:footnote>
  <w:footnote w:id="149">
    <w:p w14:paraId="32629D62" w14:textId="467DE156" w:rsidR="00B049C4" w:rsidRDefault="00B049C4">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37.</w:t>
      </w:r>
    </w:p>
  </w:footnote>
  <w:footnote w:id="150">
    <w:p w14:paraId="40AA3855" w14:textId="4C43A2C6" w:rsidR="00814137" w:rsidRDefault="00814137">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38</w:t>
      </w:r>
      <w:r w:rsidR="003D6EF8">
        <w:noBreakHyphen/>
      </w:r>
      <w:r>
        <w:t>41.</w:t>
      </w:r>
    </w:p>
  </w:footnote>
  <w:footnote w:id="151">
    <w:p w14:paraId="5B25A85F" w14:textId="02C8F19C" w:rsidR="00814137" w:rsidRDefault="00814137">
      <w:pPr>
        <w:pStyle w:val="FootnoteText"/>
      </w:pPr>
      <w:r>
        <w:rPr>
          <w:rStyle w:val="FootnoteReference"/>
        </w:rPr>
        <w:footnoteRef/>
      </w:r>
      <w:r>
        <w:t xml:space="preserve"> </w:t>
      </w:r>
      <w:r w:rsidR="000341A3">
        <w:t>Joint CCA</w:t>
      </w:r>
      <w:r w:rsidR="00A35011">
        <w:t>s</w:t>
      </w:r>
      <w:r>
        <w:t xml:space="preserve"> Opening Brief</w:t>
      </w:r>
      <w:r w:rsidR="00BA58BF">
        <w:t xml:space="preserve"> at </w:t>
      </w:r>
      <w:r>
        <w:t>42.</w:t>
      </w:r>
    </w:p>
  </w:footnote>
  <w:footnote w:id="152">
    <w:p w14:paraId="49FD1D29" w14:textId="438E4A81" w:rsidR="00D00385" w:rsidRDefault="00D00385">
      <w:pPr>
        <w:pStyle w:val="FootnoteText"/>
      </w:pPr>
      <w:r>
        <w:rPr>
          <w:rStyle w:val="FootnoteReference"/>
        </w:rPr>
        <w:footnoteRef/>
      </w:r>
      <w:r>
        <w:t xml:space="preserve"> PG&amp;E Opening Brief</w:t>
      </w:r>
      <w:r w:rsidR="00BA58BF">
        <w:t xml:space="preserve"> at </w:t>
      </w:r>
      <w:r>
        <w:t xml:space="preserve">19 citing </w:t>
      </w:r>
      <w:r w:rsidR="0019580D">
        <w:t>Ex. PGE</w:t>
      </w:r>
      <w:r w:rsidR="003D6EF8">
        <w:noBreakHyphen/>
      </w:r>
      <w:r>
        <w:t>02</w:t>
      </w:r>
      <w:r w:rsidR="00BA58BF">
        <w:t xml:space="preserve"> at </w:t>
      </w:r>
      <w:r>
        <w:t>24</w:t>
      </w:r>
      <w:r w:rsidR="003D6EF8">
        <w:noBreakHyphen/>
      </w:r>
      <w:r>
        <w:t>25.</w:t>
      </w:r>
    </w:p>
  </w:footnote>
  <w:footnote w:id="153">
    <w:p w14:paraId="7632EAD3" w14:textId="395DC1B7" w:rsidR="00D00385" w:rsidRDefault="00D00385">
      <w:pPr>
        <w:pStyle w:val="FootnoteText"/>
      </w:pPr>
      <w:r>
        <w:rPr>
          <w:rStyle w:val="FootnoteReference"/>
        </w:rPr>
        <w:footnoteRef/>
      </w:r>
      <w:r>
        <w:t xml:space="preserve"> PG&amp;E Opening Brief</w:t>
      </w:r>
      <w:r w:rsidR="00BA58BF">
        <w:t xml:space="preserve"> at </w:t>
      </w:r>
      <w:r>
        <w:t xml:space="preserve">19 citing </w:t>
      </w:r>
      <w:r w:rsidR="0019580D">
        <w:t>Ex. PGE</w:t>
      </w:r>
      <w:r w:rsidR="003D6EF8">
        <w:noBreakHyphen/>
      </w:r>
      <w:r>
        <w:t>01</w:t>
      </w:r>
      <w:r w:rsidR="00BA58BF">
        <w:t xml:space="preserve"> at </w:t>
      </w:r>
      <w:r>
        <w:t>1</w:t>
      </w:r>
      <w:r w:rsidR="003D6EF8">
        <w:noBreakHyphen/>
      </w:r>
      <w:r>
        <w:t>12.</w:t>
      </w:r>
    </w:p>
  </w:footnote>
  <w:footnote w:id="154">
    <w:p w14:paraId="49ADFF09" w14:textId="33E4B636" w:rsidR="00775D5D" w:rsidRDefault="00775D5D">
      <w:pPr>
        <w:pStyle w:val="FootnoteText"/>
      </w:pPr>
      <w:r>
        <w:rPr>
          <w:rStyle w:val="FootnoteReference"/>
        </w:rPr>
        <w:footnoteRef/>
      </w:r>
      <w:r>
        <w:t xml:space="preserve"> PG&amp;E Opening Brief</w:t>
      </w:r>
      <w:r w:rsidR="00BA58BF">
        <w:t xml:space="preserve"> at </w:t>
      </w:r>
      <w:r>
        <w:t xml:space="preserve">20 citing </w:t>
      </w:r>
      <w:r w:rsidR="0019580D">
        <w:t>Ex. PGE</w:t>
      </w:r>
      <w:r w:rsidR="003D6EF8">
        <w:noBreakHyphen/>
      </w:r>
      <w:r>
        <w:t>02</w:t>
      </w:r>
      <w:r w:rsidR="00BA58BF">
        <w:t xml:space="preserve"> at </w:t>
      </w:r>
      <w:r>
        <w:t>28.</w:t>
      </w:r>
    </w:p>
  </w:footnote>
  <w:footnote w:id="155">
    <w:p w14:paraId="6344943E" w14:textId="71092652" w:rsidR="00775D5D" w:rsidRDefault="00775D5D">
      <w:pPr>
        <w:pStyle w:val="FootnoteText"/>
      </w:pPr>
      <w:r>
        <w:rPr>
          <w:rStyle w:val="FootnoteReference"/>
        </w:rPr>
        <w:footnoteRef/>
      </w:r>
      <w:r>
        <w:t xml:space="preserve"> PG&amp;E Opening Brief</w:t>
      </w:r>
      <w:r w:rsidR="00BA58BF">
        <w:t xml:space="preserve"> at </w:t>
      </w:r>
      <w:r>
        <w:t xml:space="preserve">20 citing </w:t>
      </w:r>
      <w:r w:rsidR="0019580D">
        <w:t>Ex. PGE</w:t>
      </w:r>
      <w:r w:rsidR="003D6EF8">
        <w:noBreakHyphen/>
      </w:r>
      <w:r>
        <w:t>02</w:t>
      </w:r>
      <w:r w:rsidR="00BA58BF">
        <w:t xml:space="preserve"> at </w:t>
      </w:r>
      <w:r>
        <w:t>29.</w:t>
      </w:r>
    </w:p>
  </w:footnote>
  <w:footnote w:id="156">
    <w:p w14:paraId="13C733AE" w14:textId="0B678BC9" w:rsidR="001D54A0" w:rsidRDefault="001D54A0">
      <w:pPr>
        <w:pStyle w:val="FootnoteText"/>
      </w:pPr>
      <w:r>
        <w:rPr>
          <w:rStyle w:val="FootnoteReference"/>
        </w:rPr>
        <w:footnoteRef/>
      </w:r>
      <w:r>
        <w:t xml:space="preserve"> PG&amp;E Opening Brief</w:t>
      </w:r>
      <w:r w:rsidR="00BA58BF">
        <w:t xml:space="preserve"> at </w:t>
      </w:r>
      <w:r>
        <w:t xml:space="preserve">16 citing </w:t>
      </w:r>
      <w:r w:rsidR="0019580D">
        <w:t>Ex. PGE</w:t>
      </w:r>
      <w:r w:rsidR="003D6EF8">
        <w:noBreakHyphen/>
      </w:r>
      <w:r>
        <w:t>02</w:t>
      </w:r>
      <w:r w:rsidR="00BA58BF">
        <w:t xml:space="preserve"> at </w:t>
      </w:r>
      <w:r>
        <w:t>22.</w:t>
      </w:r>
    </w:p>
  </w:footnote>
  <w:footnote w:id="157">
    <w:p w14:paraId="63B40250" w14:textId="7085DE24" w:rsidR="003D5222" w:rsidRDefault="003D5222">
      <w:pPr>
        <w:pStyle w:val="FootnoteText"/>
      </w:pPr>
      <w:r>
        <w:rPr>
          <w:rStyle w:val="FootnoteReference"/>
        </w:rPr>
        <w:footnoteRef/>
      </w:r>
      <w:r>
        <w:t xml:space="preserve"> </w:t>
      </w:r>
      <w:r w:rsidR="00426D9F" w:rsidRPr="00426D9F">
        <w:rPr>
          <w:i/>
          <w:iCs/>
        </w:rPr>
        <w:t>See</w:t>
      </w:r>
      <w:r>
        <w:t xml:space="preserve"> SCE Opening Brief</w:t>
      </w:r>
      <w:r w:rsidR="00BA58BF">
        <w:t xml:space="preserve"> at </w:t>
      </w:r>
      <w:r>
        <w:t>3</w:t>
      </w:r>
      <w:r w:rsidR="00974B7C">
        <w:t>6</w:t>
      </w:r>
      <w:r w:rsidR="003D6EF8">
        <w:noBreakHyphen/>
      </w:r>
      <w:r>
        <w:t>4</w:t>
      </w:r>
      <w:r w:rsidR="00974B7C">
        <w:t>1</w:t>
      </w:r>
      <w:r>
        <w:t xml:space="preserve"> for an overview of its proposed recommendations.</w:t>
      </w:r>
    </w:p>
  </w:footnote>
  <w:footnote w:id="158">
    <w:p w14:paraId="5CFA1B73" w14:textId="7BC3F66E" w:rsidR="003D5222" w:rsidRDefault="003D5222">
      <w:pPr>
        <w:pStyle w:val="FootnoteText"/>
      </w:pPr>
      <w:r>
        <w:rPr>
          <w:rStyle w:val="FootnoteReference"/>
        </w:rPr>
        <w:footnoteRef/>
      </w:r>
      <w:r>
        <w:t xml:space="preserve"> SCE Opening Brief</w:t>
      </w:r>
      <w:r w:rsidR="00BA58BF">
        <w:t xml:space="preserve"> at </w:t>
      </w:r>
      <w:r>
        <w:t>38.</w:t>
      </w:r>
    </w:p>
  </w:footnote>
  <w:footnote w:id="159">
    <w:p w14:paraId="315C169E" w14:textId="7A9208AA" w:rsidR="008E4260" w:rsidRDefault="008E4260" w:rsidP="008E4260">
      <w:pPr>
        <w:pStyle w:val="FootnoteText"/>
      </w:pPr>
      <w:r>
        <w:rPr>
          <w:rStyle w:val="FootnoteReference"/>
        </w:rPr>
        <w:footnoteRef/>
      </w:r>
      <w:r>
        <w:t xml:space="preserve"> </w:t>
      </w:r>
      <w:r w:rsidR="00426D9F" w:rsidRPr="00426D9F">
        <w:rPr>
          <w:i/>
          <w:iCs/>
        </w:rPr>
        <w:t>See</w:t>
      </w:r>
      <w:r>
        <w:t xml:space="preserve"> SCE Opening Brief</w:t>
      </w:r>
      <w:r w:rsidR="00BA58BF">
        <w:t xml:space="preserve"> at </w:t>
      </w:r>
      <w:r>
        <w:t>44</w:t>
      </w:r>
      <w:r w:rsidR="003D6EF8">
        <w:noBreakHyphen/>
      </w:r>
      <w:r>
        <w:t>59.</w:t>
      </w:r>
    </w:p>
  </w:footnote>
  <w:footnote w:id="160">
    <w:p w14:paraId="3160176C" w14:textId="5441150A" w:rsidR="00507449" w:rsidRDefault="00507449">
      <w:pPr>
        <w:pStyle w:val="FootnoteText"/>
      </w:pPr>
      <w:r>
        <w:rPr>
          <w:rStyle w:val="FootnoteReference"/>
        </w:rPr>
        <w:footnoteRef/>
      </w:r>
      <w:r>
        <w:t xml:space="preserve"> SCE-02 at 18-19. See also D.15-01-051 at 96.</w:t>
      </w:r>
    </w:p>
  </w:footnote>
  <w:footnote w:id="161">
    <w:p w14:paraId="34DC6B03" w14:textId="045A4E86" w:rsidR="008E4260" w:rsidRDefault="008E4260" w:rsidP="008E4260">
      <w:pPr>
        <w:pStyle w:val="FootnoteText"/>
      </w:pPr>
      <w:r>
        <w:rPr>
          <w:rStyle w:val="FootnoteReference"/>
        </w:rPr>
        <w:footnoteRef/>
      </w:r>
      <w:r>
        <w:t xml:space="preserve"> SCE Opening Brief</w:t>
      </w:r>
      <w:r w:rsidR="00BA58BF">
        <w:t xml:space="preserve"> at </w:t>
      </w:r>
      <w:r>
        <w:t>49.</w:t>
      </w:r>
    </w:p>
  </w:footnote>
  <w:footnote w:id="162">
    <w:p w14:paraId="0702341A" w14:textId="64B63D16" w:rsidR="008E4260" w:rsidRDefault="008E4260" w:rsidP="008E4260">
      <w:pPr>
        <w:pStyle w:val="FootnoteText"/>
      </w:pPr>
      <w:r>
        <w:rPr>
          <w:rStyle w:val="FootnoteReference"/>
        </w:rPr>
        <w:footnoteRef/>
      </w:r>
      <w:r>
        <w:t xml:space="preserve"> SCE Opening Brief</w:t>
      </w:r>
      <w:r w:rsidR="00BA58BF">
        <w:t xml:space="preserve"> at </w:t>
      </w:r>
      <w:r>
        <w:t>49.</w:t>
      </w:r>
    </w:p>
  </w:footnote>
  <w:footnote w:id="163">
    <w:p w14:paraId="7A956D08" w14:textId="7767AA62" w:rsidR="008E4260" w:rsidRDefault="008E4260" w:rsidP="008E4260">
      <w:pPr>
        <w:pStyle w:val="FootnoteText"/>
      </w:pPr>
      <w:r>
        <w:rPr>
          <w:rStyle w:val="FootnoteReference"/>
        </w:rPr>
        <w:footnoteRef/>
      </w:r>
      <w:r>
        <w:t xml:space="preserve"> SCE Opening Brief</w:t>
      </w:r>
      <w:r w:rsidR="00BA58BF">
        <w:t xml:space="preserve"> at </w:t>
      </w:r>
      <w:r>
        <w:t>50.</w:t>
      </w:r>
    </w:p>
  </w:footnote>
  <w:footnote w:id="164">
    <w:p w14:paraId="5184D6D3" w14:textId="2DE72B59" w:rsidR="008E4260" w:rsidRDefault="008E4260" w:rsidP="008E4260">
      <w:pPr>
        <w:pStyle w:val="FootnoteText"/>
      </w:pPr>
      <w:r>
        <w:rPr>
          <w:rStyle w:val="FootnoteReference"/>
        </w:rPr>
        <w:footnoteRef/>
      </w:r>
      <w:r>
        <w:t xml:space="preserve"> SCE Opening Brief</w:t>
      </w:r>
      <w:r w:rsidR="00BA58BF">
        <w:t xml:space="preserve"> at </w:t>
      </w:r>
      <w:r>
        <w:t>51.</w:t>
      </w:r>
    </w:p>
  </w:footnote>
  <w:footnote w:id="165">
    <w:p w14:paraId="70322D7F" w14:textId="2FB82E76" w:rsidR="008E4260" w:rsidRDefault="008E4260" w:rsidP="008E4260">
      <w:pPr>
        <w:pStyle w:val="FootnoteText"/>
      </w:pPr>
      <w:r>
        <w:rPr>
          <w:rStyle w:val="FootnoteReference"/>
        </w:rPr>
        <w:footnoteRef/>
      </w:r>
      <w:r>
        <w:t xml:space="preserve"> SCE Opening Brief</w:t>
      </w:r>
      <w:r w:rsidR="00BA58BF">
        <w:t xml:space="preserve"> at </w:t>
      </w:r>
      <w:r>
        <w:t>50</w:t>
      </w:r>
      <w:r w:rsidR="003D6EF8">
        <w:noBreakHyphen/>
      </w:r>
      <w:r>
        <w:t>51.</w:t>
      </w:r>
    </w:p>
  </w:footnote>
  <w:footnote w:id="166">
    <w:p w14:paraId="3B542381" w14:textId="099EA1BB" w:rsidR="00D9116F" w:rsidRDefault="00D9116F">
      <w:pPr>
        <w:pStyle w:val="FootnoteText"/>
      </w:pPr>
      <w:r>
        <w:rPr>
          <w:rStyle w:val="FootnoteReference"/>
        </w:rPr>
        <w:footnoteRef/>
      </w:r>
      <w:r>
        <w:t xml:space="preserve"> SCE Opening Brief</w:t>
      </w:r>
      <w:r w:rsidR="00BA58BF">
        <w:t xml:space="preserve"> at </w:t>
      </w:r>
      <w:r>
        <w:t>43.</w:t>
      </w:r>
    </w:p>
  </w:footnote>
  <w:footnote w:id="167">
    <w:p w14:paraId="1277B063" w14:textId="3FF62374" w:rsidR="008E4260" w:rsidRDefault="008E4260" w:rsidP="008E4260">
      <w:pPr>
        <w:pStyle w:val="FootnoteText"/>
      </w:pPr>
      <w:r>
        <w:rPr>
          <w:rStyle w:val="FootnoteReference"/>
        </w:rPr>
        <w:footnoteRef/>
      </w:r>
      <w:r>
        <w:t xml:space="preserve"> </w:t>
      </w:r>
      <w:r w:rsidR="00426D9F" w:rsidRPr="00426D9F">
        <w:rPr>
          <w:i/>
          <w:iCs/>
        </w:rPr>
        <w:t>See</w:t>
      </w:r>
      <w:r>
        <w:t xml:space="preserve"> PG&amp;E Opening Brief</w:t>
      </w:r>
      <w:r w:rsidR="00BA58BF">
        <w:t xml:space="preserve"> at </w:t>
      </w:r>
      <w:r>
        <w:t>15</w:t>
      </w:r>
      <w:r w:rsidR="003D6EF8">
        <w:noBreakHyphen/>
      </w:r>
      <w:r>
        <w:t>17.</w:t>
      </w:r>
    </w:p>
  </w:footnote>
  <w:footnote w:id="168">
    <w:p w14:paraId="14B67F4A" w14:textId="4D8ACE88" w:rsidR="008E4260" w:rsidRDefault="008E4260" w:rsidP="008E4260">
      <w:pPr>
        <w:pStyle w:val="FootnoteText"/>
      </w:pPr>
      <w:r>
        <w:rPr>
          <w:rStyle w:val="FootnoteReference"/>
        </w:rPr>
        <w:footnoteRef/>
      </w:r>
      <w:r>
        <w:t xml:space="preserve"> PG&amp;E Opening Brief</w:t>
      </w:r>
      <w:r w:rsidR="00BA58BF">
        <w:t xml:space="preserve"> at </w:t>
      </w:r>
      <w:r>
        <w:t>16.</w:t>
      </w:r>
    </w:p>
  </w:footnote>
  <w:footnote w:id="169">
    <w:p w14:paraId="6E5B836A" w14:textId="7EE8BA46" w:rsidR="00F32B68" w:rsidRDefault="00F32B68">
      <w:pPr>
        <w:pStyle w:val="FootnoteText"/>
      </w:pPr>
      <w:r>
        <w:rPr>
          <w:rStyle w:val="FootnoteReference"/>
        </w:rPr>
        <w:footnoteRef/>
      </w:r>
      <w:r>
        <w:t xml:space="preserve"> </w:t>
      </w:r>
      <w:r w:rsidR="008747CC">
        <w:t>Ex.</w:t>
      </w:r>
      <w:r w:rsidR="00C85D32">
        <w:t> </w:t>
      </w:r>
      <w:r>
        <w:t>CCSA</w:t>
      </w:r>
      <w:r w:rsidR="003D6EF8">
        <w:noBreakHyphen/>
      </w:r>
      <w:r>
        <w:t>01</w:t>
      </w:r>
      <w:r w:rsidR="00210620">
        <w:t xml:space="preserve"> at </w:t>
      </w:r>
      <w:r>
        <w:t>4.</w:t>
      </w:r>
    </w:p>
  </w:footnote>
  <w:footnote w:id="170">
    <w:p w14:paraId="531ED60B" w14:textId="2BC31FEC" w:rsidR="00647520" w:rsidRDefault="00647520">
      <w:pPr>
        <w:pStyle w:val="FootnoteText"/>
      </w:pPr>
      <w:r>
        <w:rPr>
          <w:rStyle w:val="FootnoteReference"/>
        </w:rPr>
        <w:footnoteRef/>
      </w:r>
      <w:r>
        <w:t xml:space="preserve"> CCSA also refers to the Subscriber as the Benefiting Account holder.</w:t>
      </w:r>
    </w:p>
  </w:footnote>
  <w:footnote w:id="171">
    <w:p w14:paraId="1CC1F4AF" w14:textId="2C41A06C" w:rsidR="00B464AE" w:rsidRDefault="00B464AE">
      <w:pPr>
        <w:pStyle w:val="FootnoteText"/>
      </w:pPr>
      <w:r>
        <w:rPr>
          <w:rStyle w:val="FootnoteReference"/>
        </w:rPr>
        <w:footnoteRef/>
      </w:r>
      <w:r>
        <w:t xml:space="preserve"> </w:t>
      </w:r>
      <w:r w:rsidR="008747CC">
        <w:t>Ex. CCSA</w:t>
      </w:r>
      <w:r w:rsidR="003D6EF8">
        <w:noBreakHyphen/>
      </w:r>
      <w:r w:rsidR="0023619A">
        <w:t>02</w:t>
      </w:r>
      <w:r w:rsidR="00210620">
        <w:t xml:space="preserve"> at </w:t>
      </w:r>
      <w:r w:rsidR="0023619A">
        <w:t>4.</w:t>
      </w:r>
    </w:p>
  </w:footnote>
  <w:footnote w:id="172">
    <w:p w14:paraId="242317E7" w14:textId="7E59B172" w:rsidR="0032294F" w:rsidRDefault="0032294F">
      <w:pPr>
        <w:pStyle w:val="FootnoteText"/>
      </w:pPr>
      <w:r>
        <w:rPr>
          <w:rStyle w:val="FootnoteReference"/>
        </w:rPr>
        <w:footnoteRef/>
      </w:r>
      <w:r>
        <w:t xml:space="preserve"> CCSA defines the Facility Owner as the entity with the legal control of the physical asset (the facility) and legal responsibility for managing the asset</w:t>
      </w:r>
      <w:r w:rsidR="00FE241F">
        <w:t xml:space="preserve">, including responsibility for any contractors that assist in project management and/or customer subscription. The Facility Owner, and by extension any Subscription Coordinator used to subscribe customers, is the entity responsible for consumer protections. </w:t>
      </w:r>
      <w:r w:rsidR="00426D9F">
        <w:t>(</w:t>
      </w:r>
      <w:r w:rsidR="00FE241F" w:rsidRPr="00FE241F">
        <w:rPr>
          <w:i/>
          <w:iCs/>
        </w:rPr>
        <w:t>See</w:t>
      </w:r>
      <w:r w:rsidR="00FE241F">
        <w:t xml:space="preserve"> </w:t>
      </w:r>
      <w:r w:rsidR="008747CC">
        <w:t>Ex. CCSA</w:t>
      </w:r>
      <w:r w:rsidR="003D6EF8">
        <w:noBreakHyphen/>
      </w:r>
      <w:r w:rsidR="00FE241F">
        <w:t>01</w:t>
      </w:r>
      <w:r w:rsidR="00210620">
        <w:t xml:space="preserve"> at </w:t>
      </w:r>
      <w:r w:rsidR="00FE241F">
        <w:t>41</w:t>
      </w:r>
      <w:r w:rsidR="003D6EF8">
        <w:noBreakHyphen/>
      </w:r>
      <w:r w:rsidR="00FE241F">
        <w:t>42.</w:t>
      </w:r>
      <w:r w:rsidR="00426D9F">
        <w:t>)</w:t>
      </w:r>
    </w:p>
  </w:footnote>
  <w:footnote w:id="173">
    <w:p w14:paraId="659366B1" w14:textId="601BCFB1" w:rsidR="00B13DA6" w:rsidRDefault="00B13DA6">
      <w:pPr>
        <w:pStyle w:val="FootnoteText"/>
      </w:pPr>
      <w:r>
        <w:rPr>
          <w:rStyle w:val="FootnoteReference"/>
        </w:rPr>
        <w:footnoteRef/>
      </w:r>
      <w:r>
        <w:t xml:space="preserve"> The description for these elements is provided by CCSA in </w:t>
      </w:r>
      <w:r w:rsidR="008747CC">
        <w:t>Ex. </w:t>
      </w:r>
      <w:r>
        <w:t>CCSA</w:t>
      </w:r>
      <w:r w:rsidR="003D6EF8">
        <w:noBreakHyphen/>
      </w:r>
      <w:r>
        <w:t>01</w:t>
      </w:r>
      <w:r w:rsidR="00210620">
        <w:t xml:space="preserve"> at </w:t>
      </w:r>
      <w:r>
        <w:t>44</w:t>
      </w:r>
      <w:r w:rsidR="003D6EF8">
        <w:noBreakHyphen/>
      </w:r>
      <w:r>
        <w:t>51.</w:t>
      </w:r>
    </w:p>
  </w:footnote>
  <w:footnote w:id="174">
    <w:p w14:paraId="68FD3A56" w14:textId="4190237F" w:rsidR="0023766C" w:rsidRDefault="0023766C">
      <w:pPr>
        <w:pStyle w:val="FootnoteText"/>
      </w:pPr>
      <w:r>
        <w:rPr>
          <w:rStyle w:val="FootnoteReference"/>
        </w:rPr>
        <w:footnoteRef/>
      </w:r>
      <w:r>
        <w:t xml:space="preserve"> </w:t>
      </w:r>
      <w:r w:rsidR="008747CC">
        <w:t>Ex. </w:t>
      </w:r>
      <w:r w:rsidR="009F52E6">
        <w:t>CCSA</w:t>
      </w:r>
      <w:r w:rsidR="003D6EF8">
        <w:noBreakHyphen/>
      </w:r>
      <w:r w:rsidR="009F52E6">
        <w:t>02</w:t>
      </w:r>
      <w:r w:rsidR="00210620">
        <w:t xml:space="preserve"> at </w:t>
      </w:r>
      <w:r w:rsidR="009F52E6">
        <w:t>4.</w:t>
      </w:r>
    </w:p>
  </w:footnote>
  <w:footnote w:id="175">
    <w:p w14:paraId="7B3ABCBE" w14:textId="482DC095" w:rsidR="00B925B0" w:rsidRDefault="00B925B0">
      <w:pPr>
        <w:pStyle w:val="FootnoteText"/>
      </w:pPr>
      <w:r>
        <w:rPr>
          <w:rStyle w:val="FootnoteReference"/>
        </w:rPr>
        <w:footnoteRef/>
      </w:r>
      <w:r>
        <w:t xml:space="preserve"> </w:t>
      </w:r>
      <w:r w:rsidR="0013526D">
        <w:t>November 6 Ruling</w:t>
      </w:r>
      <w:r w:rsidR="00210620">
        <w:t xml:space="preserve"> at </w:t>
      </w:r>
      <w:r w:rsidR="00050E1D">
        <w:t xml:space="preserve">3. </w:t>
      </w:r>
      <w:r w:rsidR="0002775D">
        <w:t>(</w:t>
      </w:r>
      <w:r w:rsidR="00050E1D" w:rsidRPr="0002775D">
        <w:rPr>
          <w:i/>
          <w:iCs/>
        </w:rPr>
        <w:t>See also</w:t>
      </w:r>
      <w:r w:rsidR="00050E1D">
        <w:t xml:space="preserve"> </w:t>
      </w:r>
      <w:r w:rsidR="0013526D">
        <w:t>November 6 Ruling</w:t>
      </w:r>
      <w:r w:rsidR="00050E1D">
        <w:t xml:space="preserve"> at </w:t>
      </w:r>
      <w:r w:rsidR="00540069">
        <w:t>Attachment </w:t>
      </w:r>
      <w:r w:rsidR="00F87184">
        <w:t>3.</w:t>
      </w:r>
      <w:r w:rsidR="0002775D">
        <w:t>)</w:t>
      </w:r>
    </w:p>
  </w:footnote>
  <w:footnote w:id="176">
    <w:p w14:paraId="30B5786E" w14:textId="333AD477" w:rsidR="00B908D7" w:rsidRDefault="00B908D7">
      <w:pPr>
        <w:pStyle w:val="FootnoteText"/>
      </w:pPr>
      <w:r>
        <w:rPr>
          <w:rStyle w:val="FootnoteReference"/>
        </w:rPr>
        <w:footnoteRef/>
      </w:r>
      <w:r>
        <w:t xml:space="preserve"> </w:t>
      </w:r>
      <w:r w:rsidR="008747CC">
        <w:t>Ex. CCSA</w:t>
      </w:r>
      <w:r w:rsidR="003D6EF8">
        <w:noBreakHyphen/>
      </w:r>
      <w:r w:rsidR="00815BE3">
        <w:t>02</w:t>
      </w:r>
      <w:r w:rsidR="00210620">
        <w:t xml:space="preserve"> at </w:t>
      </w:r>
      <w:r w:rsidR="00815BE3">
        <w:t>7.</w:t>
      </w:r>
    </w:p>
  </w:footnote>
  <w:footnote w:id="177">
    <w:p w14:paraId="58EB5682" w14:textId="56E0AB57" w:rsidR="000945FC" w:rsidRDefault="000945FC">
      <w:pPr>
        <w:pStyle w:val="FootnoteText"/>
      </w:pPr>
      <w:r>
        <w:rPr>
          <w:rStyle w:val="FootnoteReference"/>
        </w:rPr>
        <w:footnoteRef/>
      </w:r>
      <w:r>
        <w:t xml:space="preserve"> </w:t>
      </w:r>
      <w:r w:rsidR="008747CC">
        <w:t>Ex. CCSA</w:t>
      </w:r>
      <w:r w:rsidR="003D6EF8">
        <w:noBreakHyphen/>
      </w:r>
      <w:r>
        <w:t>02</w:t>
      </w:r>
      <w:r w:rsidR="00210620">
        <w:t xml:space="preserve"> at </w:t>
      </w:r>
      <w:r>
        <w:t>8.</w:t>
      </w:r>
    </w:p>
  </w:footnote>
  <w:footnote w:id="178">
    <w:p w14:paraId="785FF35D" w14:textId="756C5A9E" w:rsidR="00D333A0" w:rsidRDefault="00D333A0">
      <w:pPr>
        <w:pStyle w:val="FootnoteText"/>
      </w:pPr>
      <w:r>
        <w:rPr>
          <w:rStyle w:val="FootnoteReference"/>
        </w:rPr>
        <w:footnoteRef/>
      </w:r>
      <w:r>
        <w:t xml:space="preserve"> </w:t>
      </w:r>
      <w:r w:rsidR="008747CC">
        <w:t>Ex. CCSA</w:t>
      </w:r>
      <w:r w:rsidR="003D6EF8">
        <w:noBreakHyphen/>
      </w:r>
      <w:r>
        <w:t>02</w:t>
      </w:r>
      <w:r w:rsidR="00210620">
        <w:t xml:space="preserve"> at </w:t>
      </w:r>
      <w:r>
        <w:t>11.</w:t>
      </w:r>
    </w:p>
  </w:footnote>
  <w:footnote w:id="179">
    <w:p w14:paraId="329C1991" w14:textId="70F76BC1" w:rsidR="00AA7B1E" w:rsidRDefault="00AA7B1E">
      <w:pPr>
        <w:pStyle w:val="FootnoteText"/>
      </w:pPr>
      <w:r>
        <w:rPr>
          <w:rStyle w:val="FootnoteReference"/>
        </w:rPr>
        <w:footnoteRef/>
      </w:r>
      <w:r>
        <w:t xml:space="preserve"> </w:t>
      </w:r>
      <w:r w:rsidR="008747CC">
        <w:t>Ex. CCSA</w:t>
      </w:r>
      <w:r w:rsidR="003D6EF8">
        <w:noBreakHyphen/>
      </w:r>
      <w:r w:rsidR="00815BE3">
        <w:t>0</w:t>
      </w:r>
      <w:r>
        <w:t>1</w:t>
      </w:r>
      <w:r w:rsidR="00210620">
        <w:t xml:space="preserve"> at </w:t>
      </w:r>
      <w:r>
        <w:t>49</w:t>
      </w:r>
      <w:r w:rsidR="003D6EF8">
        <w:noBreakHyphen/>
      </w:r>
      <w:r w:rsidR="00FE642E">
        <w:t>5</w:t>
      </w:r>
      <w:r w:rsidR="00B13DA6">
        <w:t>1</w:t>
      </w:r>
      <w:r w:rsidR="00FE642E">
        <w:t>.</w:t>
      </w:r>
    </w:p>
  </w:footnote>
  <w:footnote w:id="180">
    <w:p w14:paraId="0541D047" w14:textId="6040A05B" w:rsidR="00647520" w:rsidRDefault="00647520">
      <w:pPr>
        <w:pStyle w:val="FootnoteText"/>
      </w:pPr>
      <w:r>
        <w:rPr>
          <w:rStyle w:val="FootnoteReference"/>
        </w:rPr>
        <w:footnoteRef/>
      </w:r>
      <w:r>
        <w:t xml:space="preserve"> CCSA defines a Generator Account as the customer account associated with the solar or wind generation facility interconnected to an investor</w:t>
      </w:r>
      <w:r w:rsidR="003D6EF8">
        <w:noBreakHyphen/>
      </w:r>
      <w:r>
        <w:t>owned utility</w:t>
      </w:r>
      <w:r w:rsidR="00440785">
        <w:t>’</w:t>
      </w:r>
      <w:r>
        <w:t xml:space="preserve">s distribution system through a </w:t>
      </w:r>
      <w:r w:rsidRPr="00AA7B1E">
        <w:t xml:space="preserve">single meter. </w:t>
      </w:r>
      <w:r w:rsidR="005C2D27">
        <w:t>(</w:t>
      </w:r>
      <w:r w:rsidR="008747CC">
        <w:t>Ex. CCSA</w:t>
      </w:r>
      <w:r w:rsidR="003D6EF8">
        <w:noBreakHyphen/>
      </w:r>
      <w:r>
        <w:t>01</w:t>
      </w:r>
      <w:r w:rsidR="00210620">
        <w:t xml:space="preserve"> at </w:t>
      </w:r>
      <w:r>
        <w:t>41.</w:t>
      </w:r>
      <w:r w:rsidR="005C2D27">
        <w:t>)</w:t>
      </w:r>
    </w:p>
  </w:footnote>
  <w:footnote w:id="181">
    <w:p w14:paraId="7BD5BAB9" w14:textId="1860F683" w:rsidR="00B4682F" w:rsidRDefault="00B4682F">
      <w:pPr>
        <w:pStyle w:val="FootnoteText"/>
      </w:pPr>
      <w:r>
        <w:rPr>
          <w:rStyle w:val="FootnoteReference"/>
        </w:rPr>
        <w:footnoteRef/>
      </w:r>
      <w:r>
        <w:t xml:space="preserve"> </w:t>
      </w:r>
      <w:r w:rsidR="008747CC">
        <w:t>Ex. CCSA</w:t>
      </w:r>
      <w:r w:rsidR="003D6EF8">
        <w:noBreakHyphen/>
      </w:r>
      <w:r>
        <w:t>01</w:t>
      </w:r>
      <w:r w:rsidR="00210620">
        <w:t xml:space="preserve"> at </w:t>
      </w:r>
      <w:r>
        <w:t>52</w:t>
      </w:r>
      <w:r w:rsidR="003D6EF8">
        <w:noBreakHyphen/>
      </w:r>
      <w:r>
        <w:t>63.</w:t>
      </w:r>
    </w:p>
  </w:footnote>
  <w:footnote w:id="182">
    <w:p w14:paraId="39279236" w14:textId="05D8089A" w:rsidR="00B4682F" w:rsidRDefault="00B4682F">
      <w:pPr>
        <w:pStyle w:val="FootnoteText"/>
      </w:pPr>
      <w:r>
        <w:rPr>
          <w:rStyle w:val="FootnoteReference"/>
        </w:rPr>
        <w:footnoteRef/>
      </w:r>
      <w:r>
        <w:t xml:space="preserve"> </w:t>
      </w:r>
      <w:r w:rsidR="008747CC">
        <w:t>Ex. CCSA</w:t>
      </w:r>
      <w:r w:rsidR="003D6EF8">
        <w:noBreakHyphen/>
      </w:r>
      <w:r>
        <w:t>01</w:t>
      </w:r>
      <w:r w:rsidR="00210620">
        <w:t xml:space="preserve"> at </w:t>
      </w:r>
      <w:r>
        <w:t>63.</w:t>
      </w:r>
    </w:p>
  </w:footnote>
  <w:footnote w:id="183">
    <w:p w14:paraId="77B809F3" w14:textId="241B5409" w:rsidR="00A33541" w:rsidRDefault="00A33541">
      <w:pPr>
        <w:pStyle w:val="FootnoteText"/>
      </w:pPr>
      <w:r>
        <w:rPr>
          <w:rStyle w:val="FootnoteReference"/>
        </w:rPr>
        <w:footnoteRef/>
      </w:r>
      <w:r>
        <w:t xml:space="preserve"> An Automated Clearing House payment is a form of an electric fund transfer.</w:t>
      </w:r>
    </w:p>
  </w:footnote>
  <w:footnote w:id="184">
    <w:p w14:paraId="4E917ABB" w14:textId="53C4ED0D" w:rsidR="00A33541" w:rsidRDefault="00A33541">
      <w:pPr>
        <w:pStyle w:val="FootnoteText"/>
      </w:pPr>
      <w:r>
        <w:rPr>
          <w:rStyle w:val="FootnoteReference"/>
        </w:rPr>
        <w:footnoteRef/>
      </w:r>
      <w:r>
        <w:t xml:space="preserve"> Ex.</w:t>
      </w:r>
      <w:r w:rsidR="005A1269">
        <w:t> </w:t>
      </w:r>
      <w:r>
        <w:t>CCSA</w:t>
      </w:r>
      <w:r w:rsidR="003D6EF8">
        <w:noBreakHyphen/>
      </w:r>
      <w:r>
        <w:t>01 at</w:t>
      </w:r>
      <w:r w:rsidR="005A1269">
        <w:t> </w:t>
      </w:r>
      <w:r>
        <w:t>7</w:t>
      </w:r>
      <w:r w:rsidR="00C511EA">
        <w:t>7</w:t>
      </w:r>
      <w:r>
        <w:t>.</w:t>
      </w:r>
    </w:p>
  </w:footnote>
  <w:footnote w:id="185">
    <w:p w14:paraId="2010F392" w14:textId="1F13A375" w:rsidR="000B4C63" w:rsidRDefault="000B4C63">
      <w:pPr>
        <w:pStyle w:val="FootnoteText"/>
      </w:pPr>
      <w:r>
        <w:rPr>
          <w:rStyle w:val="FootnoteReference"/>
        </w:rPr>
        <w:footnoteRef/>
      </w:r>
      <w:r>
        <w:t xml:space="preserve"> CCSA Reply Comments to </w:t>
      </w:r>
      <w:r w:rsidR="00F57598">
        <w:t>November 6 Ruling</w:t>
      </w:r>
      <w:r w:rsidR="00210620">
        <w:t xml:space="preserve"> at </w:t>
      </w:r>
      <w:r w:rsidR="00B4287A">
        <w:t>21</w:t>
      </w:r>
      <w:r w:rsidR="003D6EF8">
        <w:noBreakHyphen/>
      </w:r>
      <w:r w:rsidR="00B4287A">
        <w:t>22.</w:t>
      </w:r>
    </w:p>
  </w:footnote>
  <w:footnote w:id="186">
    <w:p w14:paraId="2EF5F576" w14:textId="791B8607" w:rsidR="006039C5" w:rsidRDefault="006039C5">
      <w:pPr>
        <w:pStyle w:val="FootnoteText"/>
      </w:pPr>
      <w:r>
        <w:rPr>
          <w:rStyle w:val="FootnoteReference"/>
        </w:rPr>
        <w:footnoteRef/>
      </w:r>
      <w:r>
        <w:t xml:space="preserve"> CCSA Reply Comments to </w:t>
      </w:r>
      <w:r w:rsidR="00F57598">
        <w:t>November 6 Ruling</w:t>
      </w:r>
      <w:r w:rsidR="00210620">
        <w:t xml:space="preserve"> at </w:t>
      </w:r>
      <w:r w:rsidR="00770097">
        <w:t>10</w:t>
      </w:r>
      <w:r w:rsidR="003D6EF8">
        <w:noBreakHyphen/>
      </w:r>
      <w:r w:rsidR="00770097">
        <w:t>11.</w:t>
      </w:r>
    </w:p>
  </w:footnote>
  <w:footnote w:id="187">
    <w:p w14:paraId="70071AD6" w14:textId="6645B256" w:rsidR="00C47004" w:rsidRDefault="00C47004" w:rsidP="00C47004">
      <w:pPr>
        <w:pStyle w:val="FootnoteText"/>
      </w:pPr>
      <w:r>
        <w:rPr>
          <w:rStyle w:val="FootnoteReference"/>
        </w:rPr>
        <w:footnoteRef/>
      </w:r>
      <w:r>
        <w:t xml:space="preserve"> CCSA Reply Comments to </w:t>
      </w:r>
      <w:r w:rsidR="0013526D">
        <w:t>November 6 Ruling</w:t>
      </w:r>
      <w:r w:rsidR="00210620">
        <w:t xml:space="preserve"> at </w:t>
      </w:r>
      <w:r>
        <w:t>9</w:t>
      </w:r>
      <w:r w:rsidR="003D6EF8">
        <w:noBreakHyphen/>
      </w:r>
      <w:r>
        <w:t>10.</w:t>
      </w:r>
    </w:p>
  </w:footnote>
  <w:footnote w:id="188">
    <w:p w14:paraId="5AA7DBEA" w14:textId="59E44563" w:rsidR="00496757" w:rsidRDefault="00496757">
      <w:pPr>
        <w:pStyle w:val="FootnoteText"/>
      </w:pPr>
      <w:r>
        <w:rPr>
          <w:rStyle w:val="FootnoteReference"/>
        </w:rPr>
        <w:footnoteRef/>
      </w:r>
      <w:r>
        <w:t xml:space="preserve"> </w:t>
      </w:r>
      <w:r w:rsidR="00C437CB">
        <w:t xml:space="preserve">CCSA Reply Comments to </w:t>
      </w:r>
      <w:r w:rsidR="0013526D">
        <w:t>November 6 Ruling</w:t>
      </w:r>
      <w:r w:rsidR="00210620">
        <w:t xml:space="preserve"> at </w:t>
      </w:r>
      <w:r w:rsidR="00C437CB">
        <w:t>12</w:t>
      </w:r>
      <w:r w:rsidR="003D6EF8">
        <w:noBreakHyphen/>
      </w:r>
      <w:r w:rsidR="00C437CB">
        <w:t>13.</w:t>
      </w:r>
    </w:p>
  </w:footnote>
  <w:footnote w:id="189">
    <w:p w14:paraId="68C557A8" w14:textId="28A13684" w:rsidR="00CE2376" w:rsidRDefault="00CE2376" w:rsidP="00CE2376">
      <w:pPr>
        <w:pStyle w:val="FootnoteText"/>
      </w:pPr>
      <w:r>
        <w:rPr>
          <w:rStyle w:val="FootnoteReference"/>
        </w:rPr>
        <w:footnoteRef/>
      </w:r>
      <w:r>
        <w:t xml:space="preserve"> TURN Opening Brief</w:t>
      </w:r>
      <w:r w:rsidR="00210620">
        <w:t xml:space="preserve"> at </w:t>
      </w:r>
      <w:r>
        <w:t>22</w:t>
      </w:r>
      <w:r w:rsidR="003D6EF8">
        <w:noBreakHyphen/>
      </w:r>
      <w:r>
        <w:t>28.</w:t>
      </w:r>
    </w:p>
  </w:footnote>
  <w:footnote w:id="190">
    <w:p w14:paraId="65089FA2" w14:textId="5CD8C169" w:rsidR="00503E8B" w:rsidRDefault="00503E8B">
      <w:pPr>
        <w:pStyle w:val="FootnoteText"/>
      </w:pPr>
      <w:r>
        <w:rPr>
          <w:rStyle w:val="FootnoteReference"/>
        </w:rPr>
        <w:footnoteRef/>
      </w:r>
      <w:r>
        <w:t xml:space="preserve"> </w:t>
      </w:r>
      <w:r w:rsidR="002917E2">
        <w:t>Cal Advoc</w:t>
      </w:r>
      <w:r>
        <w:t>ates Opening Brief</w:t>
      </w:r>
      <w:r w:rsidR="00210620">
        <w:t xml:space="preserve"> at </w:t>
      </w:r>
      <w:r>
        <w:t>19 and 21.</w:t>
      </w:r>
    </w:p>
  </w:footnote>
  <w:footnote w:id="191">
    <w:p w14:paraId="4F602312" w14:textId="7FE4E860" w:rsidR="00B10BBF" w:rsidRDefault="00B10BBF">
      <w:pPr>
        <w:pStyle w:val="FootnoteText"/>
      </w:pPr>
      <w:r>
        <w:rPr>
          <w:rStyle w:val="FootnoteReference"/>
        </w:rPr>
        <w:footnoteRef/>
      </w:r>
      <w:r>
        <w:t xml:space="preserve"> </w:t>
      </w:r>
      <w:r w:rsidR="002917E2">
        <w:t>Cal Advoc</w:t>
      </w:r>
      <w:r>
        <w:t>ates Opening Brief</w:t>
      </w:r>
      <w:r w:rsidR="00210620">
        <w:t xml:space="preserve"> at </w:t>
      </w:r>
      <w:r>
        <w:t>18</w:t>
      </w:r>
      <w:r w:rsidR="003D6EF8">
        <w:noBreakHyphen/>
      </w:r>
      <w:r>
        <w:t>19.</w:t>
      </w:r>
    </w:p>
  </w:footnote>
  <w:footnote w:id="192">
    <w:p w14:paraId="36EB4932" w14:textId="03D47FA4" w:rsidR="005C5D7A" w:rsidRDefault="005C5D7A" w:rsidP="005C5D7A">
      <w:pPr>
        <w:pStyle w:val="FootnoteText"/>
      </w:pPr>
      <w:r>
        <w:rPr>
          <w:rStyle w:val="FootnoteReference"/>
        </w:rPr>
        <w:footnoteRef/>
      </w:r>
      <w:r>
        <w:t xml:space="preserve"> </w:t>
      </w:r>
      <w:r w:rsidR="002917E2">
        <w:t>Cal Advoc</w:t>
      </w:r>
      <w:r>
        <w:t>ates Opening Brief</w:t>
      </w:r>
      <w:r w:rsidR="00210620">
        <w:t xml:space="preserve"> at </w:t>
      </w:r>
      <w:r>
        <w:t>30.</w:t>
      </w:r>
    </w:p>
  </w:footnote>
  <w:footnote w:id="193">
    <w:p w14:paraId="677B93A8" w14:textId="4D315743" w:rsidR="00A36C82" w:rsidRDefault="00A36C82">
      <w:pPr>
        <w:pStyle w:val="FootnoteText"/>
      </w:pPr>
      <w:r>
        <w:rPr>
          <w:rStyle w:val="FootnoteReference"/>
        </w:rPr>
        <w:footnoteRef/>
      </w:r>
      <w:r>
        <w:t xml:space="preserve"> </w:t>
      </w:r>
      <w:r w:rsidR="002917E2">
        <w:t>Cal Advoc</w:t>
      </w:r>
      <w:r w:rsidR="00830869">
        <w:t xml:space="preserve">ates </w:t>
      </w:r>
      <w:r w:rsidR="00F43C82">
        <w:t>Opening</w:t>
      </w:r>
      <w:r w:rsidR="00830869">
        <w:t xml:space="preserve"> Comments to </w:t>
      </w:r>
      <w:r w:rsidR="00F57598">
        <w:t>November 6 Ruling</w:t>
      </w:r>
      <w:r w:rsidR="00210620">
        <w:t xml:space="preserve"> at </w:t>
      </w:r>
      <w:r w:rsidR="00F43C82">
        <w:t>6.</w:t>
      </w:r>
    </w:p>
  </w:footnote>
  <w:footnote w:id="194">
    <w:p w14:paraId="05814365" w14:textId="033F7EC4" w:rsidR="009F2A0D" w:rsidRDefault="009F2A0D">
      <w:pPr>
        <w:pStyle w:val="FootnoteText"/>
      </w:pPr>
      <w:r>
        <w:rPr>
          <w:rStyle w:val="FootnoteReference"/>
        </w:rPr>
        <w:footnoteRef/>
      </w:r>
      <w:r>
        <w:t xml:space="preserve"> </w:t>
      </w:r>
      <w:r w:rsidR="002917E2">
        <w:t>Cal Advoc</w:t>
      </w:r>
      <w:r>
        <w:t xml:space="preserve">ates </w:t>
      </w:r>
      <w:r w:rsidR="00830869">
        <w:t>Reply Comments to</w:t>
      </w:r>
      <w:r w:rsidR="00F43C82">
        <w:t xml:space="preserve"> </w:t>
      </w:r>
      <w:r w:rsidR="00F57598">
        <w:t>November 6 Ruling</w:t>
      </w:r>
      <w:r w:rsidR="00210620">
        <w:t xml:space="preserve"> at </w:t>
      </w:r>
      <w:r>
        <w:t>5</w:t>
      </w:r>
      <w:r w:rsidR="00246CEE">
        <w:t>.</w:t>
      </w:r>
    </w:p>
  </w:footnote>
  <w:footnote w:id="195">
    <w:p w14:paraId="3715AB5A" w14:textId="07C243EA" w:rsidR="005C5D7A" w:rsidRDefault="005C5D7A" w:rsidP="005C5D7A">
      <w:pPr>
        <w:pStyle w:val="FootnoteText"/>
      </w:pPr>
      <w:r>
        <w:rPr>
          <w:rStyle w:val="FootnoteReference"/>
        </w:rPr>
        <w:footnoteRef/>
      </w:r>
      <w:r>
        <w:t xml:space="preserve"> </w:t>
      </w:r>
      <w:r w:rsidR="002917E2">
        <w:t>Cal Advoc</w:t>
      </w:r>
      <w:r>
        <w:t>ates Opening Brief</w:t>
      </w:r>
      <w:r w:rsidR="00210620">
        <w:t xml:space="preserve"> at </w:t>
      </w:r>
      <w:r>
        <w:t>20</w:t>
      </w:r>
      <w:r w:rsidR="003D6EF8">
        <w:noBreakHyphen/>
      </w:r>
      <w:r>
        <w:t>2</w:t>
      </w:r>
      <w:r w:rsidR="006F3FBA">
        <w:t>3</w:t>
      </w:r>
      <w:r>
        <w:t>.</w:t>
      </w:r>
    </w:p>
  </w:footnote>
  <w:footnote w:id="196">
    <w:p w14:paraId="6087BF6D" w14:textId="55A7723A" w:rsidR="00503E8B" w:rsidRDefault="00503E8B">
      <w:pPr>
        <w:pStyle w:val="FootnoteText"/>
      </w:pPr>
      <w:r>
        <w:rPr>
          <w:rStyle w:val="FootnoteReference"/>
        </w:rPr>
        <w:footnoteRef/>
      </w:r>
      <w:r>
        <w:t xml:space="preserve"> </w:t>
      </w:r>
      <w:r w:rsidR="002917E2">
        <w:t>Cal Advoc</w:t>
      </w:r>
      <w:r>
        <w:t>ates Opening Brief</w:t>
      </w:r>
      <w:r w:rsidR="00210620">
        <w:t xml:space="preserve"> at </w:t>
      </w:r>
      <w:r>
        <w:t>2</w:t>
      </w:r>
      <w:r w:rsidR="00436591">
        <w:t>3</w:t>
      </w:r>
      <w:r>
        <w:t>.</w:t>
      </w:r>
    </w:p>
  </w:footnote>
  <w:footnote w:id="197">
    <w:p w14:paraId="564C77E6" w14:textId="128C55DA" w:rsidR="006F3FBA" w:rsidRDefault="006F3FBA">
      <w:pPr>
        <w:pStyle w:val="FootnoteText"/>
      </w:pPr>
      <w:r>
        <w:rPr>
          <w:rStyle w:val="FootnoteReference"/>
        </w:rPr>
        <w:footnoteRef/>
      </w:r>
      <w:r>
        <w:t xml:space="preserve"> </w:t>
      </w:r>
      <w:r w:rsidR="002917E2">
        <w:t>Cal Advoc</w:t>
      </w:r>
      <w:r>
        <w:t>ates Opening Brief</w:t>
      </w:r>
      <w:r w:rsidR="00210620">
        <w:t xml:space="preserve"> at </w:t>
      </w:r>
      <w:r>
        <w:t>23</w:t>
      </w:r>
      <w:r w:rsidR="003D6EF8">
        <w:noBreakHyphen/>
      </w:r>
      <w:r w:rsidR="009564E2">
        <w:t>24.</w:t>
      </w:r>
    </w:p>
  </w:footnote>
  <w:footnote w:id="198">
    <w:p w14:paraId="7F5C35FE" w14:textId="4D1254D2" w:rsidR="009564E2" w:rsidRDefault="009564E2">
      <w:pPr>
        <w:pStyle w:val="FootnoteText"/>
      </w:pPr>
      <w:r>
        <w:rPr>
          <w:rStyle w:val="FootnoteReference"/>
        </w:rPr>
        <w:footnoteRef/>
      </w:r>
      <w:r>
        <w:t xml:space="preserve"> </w:t>
      </w:r>
      <w:r w:rsidR="002917E2">
        <w:t>Cal Advoc</w:t>
      </w:r>
      <w:r>
        <w:t>ates Opening Brief</w:t>
      </w:r>
      <w:r w:rsidR="00946D49">
        <w:t xml:space="preserve"> at </w:t>
      </w:r>
      <w:r>
        <w:t>25</w:t>
      </w:r>
      <w:r w:rsidR="003D6EF8">
        <w:noBreakHyphen/>
      </w:r>
      <w:r>
        <w:t>27.</w:t>
      </w:r>
    </w:p>
  </w:footnote>
  <w:footnote w:id="199">
    <w:p w14:paraId="48D56D6C" w14:textId="77B522F4" w:rsidR="003E64DB" w:rsidRDefault="003E64DB">
      <w:pPr>
        <w:pStyle w:val="FootnoteText"/>
      </w:pPr>
      <w:r>
        <w:rPr>
          <w:rStyle w:val="FootnoteReference"/>
        </w:rPr>
        <w:footnoteRef/>
      </w:r>
      <w:r>
        <w:t xml:space="preserve"> </w:t>
      </w:r>
      <w:r w:rsidR="002917E2">
        <w:t>Cal Advoc</w:t>
      </w:r>
      <w:r>
        <w:t xml:space="preserve">ates </w:t>
      </w:r>
      <w:r w:rsidR="003F5B32">
        <w:t xml:space="preserve">Reply Comments to </w:t>
      </w:r>
      <w:r w:rsidR="00F57598">
        <w:t>November 6 Ruling</w:t>
      </w:r>
      <w:r w:rsidR="00946D49">
        <w:t xml:space="preserve"> at </w:t>
      </w:r>
      <w:r w:rsidR="003F5B32">
        <w:t>4.</w:t>
      </w:r>
    </w:p>
  </w:footnote>
  <w:footnote w:id="200">
    <w:p w14:paraId="6E02A272" w14:textId="442A33E5" w:rsidR="00581EAB" w:rsidRDefault="00581EAB">
      <w:pPr>
        <w:pStyle w:val="FootnoteText"/>
      </w:pPr>
      <w:r>
        <w:rPr>
          <w:rStyle w:val="FootnoteReference"/>
        </w:rPr>
        <w:footnoteRef/>
      </w:r>
      <w:r>
        <w:t xml:space="preserve"> TURN Opening Brief</w:t>
      </w:r>
      <w:r w:rsidR="00946D49">
        <w:t xml:space="preserve"> at </w:t>
      </w:r>
      <w:r>
        <w:t>22</w:t>
      </w:r>
      <w:r w:rsidR="003D6EF8">
        <w:noBreakHyphen/>
      </w:r>
      <w:r>
        <w:t>28.</w:t>
      </w:r>
    </w:p>
  </w:footnote>
  <w:footnote w:id="201">
    <w:p w14:paraId="03A7DCE6" w14:textId="224D3DD5" w:rsidR="00FF6BFB" w:rsidRDefault="00FF6BFB">
      <w:pPr>
        <w:pStyle w:val="FootnoteText"/>
      </w:pPr>
      <w:r>
        <w:rPr>
          <w:rStyle w:val="FootnoteReference"/>
        </w:rPr>
        <w:footnoteRef/>
      </w:r>
      <w:r>
        <w:t xml:space="preserve"> TURN Opening Brief</w:t>
      </w:r>
      <w:r w:rsidR="00946D49">
        <w:t xml:space="preserve"> at </w:t>
      </w:r>
      <w:r>
        <w:t>35.</w:t>
      </w:r>
    </w:p>
  </w:footnote>
  <w:footnote w:id="202">
    <w:p w14:paraId="76782D0F" w14:textId="40BE641F" w:rsidR="00A003D2" w:rsidRDefault="00A003D2">
      <w:pPr>
        <w:pStyle w:val="FootnoteText"/>
      </w:pPr>
      <w:r>
        <w:rPr>
          <w:rStyle w:val="FootnoteReference"/>
        </w:rPr>
        <w:footnoteRef/>
      </w:r>
      <w:r>
        <w:t xml:space="preserve"> </w:t>
      </w:r>
      <w:r w:rsidR="0037772B">
        <w:t xml:space="preserve">TURN Reply Comments to </w:t>
      </w:r>
      <w:r w:rsidR="00F57598">
        <w:t>November 6 Ruling</w:t>
      </w:r>
      <w:r w:rsidR="00946D49">
        <w:t xml:space="preserve"> at </w:t>
      </w:r>
      <w:r w:rsidR="0037772B">
        <w:t>6.</w:t>
      </w:r>
    </w:p>
  </w:footnote>
  <w:footnote w:id="203">
    <w:p w14:paraId="113CE20F" w14:textId="678BB52A" w:rsidR="001518C8" w:rsidRDefault="001518C8" w:rsidP="001518C8">
      <w:pPr>
        <w:pStyle w:val="FootnoteText"/>
      </w:pPr>
      <w:r>
        <w:rPr>
          <w:rStyle w:val="FootnoteReference"/>
        </w:rPr>
        <w:footnoteRef/>
      </w:r>
      <w:r>
        <w:t xml:space="preserve"> TURN Opening Comments to </w:t>
      </w:r>
      <w:r w:rsidR="00F57598">
        <w:t>November 6 Ruling</w:t>
      </w:r>
      <w:r w:rsidR="00946D49">
        <w:t xml:space="preserve"> at </w:t>
      </w:r>
      <w:r>
        <w:t>8.</w:t>
      </w:r>
    </w:p>
  </w:footnote>
  <w:footnote w:id="204">
    <w:p w14:paraId="19F9A2B2" w14:textId="73D993BF" w:rsidR="00581EAB" w:rsidRDefault="00581EAB">
      <w:pPr>
        <w:pStyle w:val="FootnoteText"/>
      </w:pPr>
      <w:r>
        <w:rPr>
          <w:rStyle w:val="FootnoteReference"/>
        </w:rPr>
        <w:footnoteRef/>
      </w:r>
      <w:r>
        <w:t xml:space="preserve"> TURN recommends the Commission should </w:t>
      </w:r>
      <w:r w:rsidR="002065F4">
        <w:t>review and update</w:t>
      </w:r>
      <w:r w:rsidR="005D30D7">
        <w:t xml:space="preserve">: </w:t>
      </w:r>
      <w:r w:rsidR="002065F4">
        <w:t xml:space="preserve">the number of peak hours, the allocation of value amongst hours, and the specific hours and months during which compensation is paid relative to Avoided Cost Calculator values and grid needs. </w:t>
      </w:r>
      <w:r w:rsidR="00352184">
        <w:t>(</w:t>
      </w:r>
      <w:r w:rsidR="002065F4">
        <w:t>TURN Opening Brief</w:t>
      </w:r>
      <w:r w:rsidR="00946D49">
        <w:t xml:space="preserve"> at </w:t>
      </w:r>
      <w:r w:rsidR="002065F4">
        <w:t xml:space="preserve">23 citing </w:t>
      </w:r>
      <w:r w:rsidR="00352184">
        <w:t>Ex. TURN</w:t>
      </w:r>
      <w:r w:rsidR="003D6EF8">
        <w:noBreakHyphen/>
      </w:r>
      <w:r w:rsidR="002065F4">
        <w:t>02</w:t>
      </w:r>
      <w:r w:rsidR="00946D49">
        <w:t xml:space="preserve"> at </w:t>
      </w:r>
      <w:r w:rsidR="002065F4">
        <w:t>17</w:t>
      </w:r>
      <w:r w:rsidR="003D6EF8">
        <w:noBreakHyphen/>
      </w:r>
      <w:r w:rsidR="002065F4">
        <w:t>18.</w:t>
      </w:r>
      <w:r w:rsidR="00352184">
        <w:t>)</w:t>
      </w:r>
    </w:p>
  </w:footnote>
  <w:footnote w:id="205">
    <w:p w14:paraId="79BF6210" w14:textId="301DF48A" w:rsidR="00170219" w:rsidRDefault="00170219">
      <w:pPr>
        <w:pStyle w:val="FootnoteText"/>
      </w:pPr>
      <w:r>
        <w:rPr>
          <w:rStyle w:val="FootnoteReference"/>
        </w:rPr>
        <w:footnoteRef/>
      </w:r>
      <w:r>
        <w:t xml:space="preserve"> TURN Opening Comments to </w:t>
      </w:r>
      <w:r w:rsidR="00F57598">
        <w:t>November 6 Ruling</w:t>
      </w:r>
      <w:r w:rsidR="00946D49">
        <w:t xml:space="preserve"> at </w:t>
      </w:r>
      <w:r w:rsidR="00102998">
        <w:t>2.</w:t>
      </w:r>
    </w:p>
  </w:footnote>
  <w:footnote w:id="206">
    <w:p w14:paraId="537134C6" w14:textId="0AEBD509" w:rsidR="0052740D" w:rsidRDefault="0052740D">
      <w:pPr>
        <w:pStyle w:val="FootnoteText"/>
      </w:pPr>
      <w:r>
        <w:rPr>
          <w:rStyle w:val="FootnoteReference"/>
        </w:rPr>
        <w:footnoteRef/>
      </w:r>
      <w:r>
        <w:t xml:space="preserve"> TURN Opening Comments to Proposed Decision at 10.</w:t>
      </w:r>
    </w:p>
  </w:footnote>
  <w:footnote w:id="207">
    <w:p w14:paraId="09BECDEF" w14:textId="672FAEF4" w:rsidR="00F9195B" w:rsidRDefault="00F9195B">
      <w:pPr>
        <w:pStyle w:val="FootnoteText"/>
      </w:pPr>
      <w:r>
        <w:rPr>
          <w:rStyle w:val="FootnoteReference"/>
        </w:rPr>
        <w:footnoteRef/>
      </w:r>
      <w:r>
        <w:t xml:space="preserve"> TURN Opening Brief</w:t>
      </w:r>
      <w:r w:rsidR="00946D49">
        <w:t xml:space="preserve"> at </w:t>
      </w:r>
      <w:r>
        <w:t xml:space="preserve">25 citing </w:t>
      </w:r>
      <w:r w:rsidR="00352184">
        <w:t>Ex. TURN</w:t>
      </w:r>
      <w:r w:rsidR="003D6EF8">
        <w:noBreakHyphen/>
      </w:r>
      <w:r>
        <w:t>02</w:t>
      </w:r>
      <w:r w:rsidR="00946D49">
        <w:t xml:space="preserve"> at </w:t>
      </w:r>
      <w:r>
        <w:t>18.</w:t>
      </w:r>
    </w:p>
  </w:footnote>
  <w:footnote w:id="208">
    <w:p w14:paraId="6874EB2A" w14:textId="5EE4BBA0" w:rsidR="00754A63" w:rsidRDefault="00754A63">
      <w:pPr>
        <w:pStyle w:val="FootnoteText"/>
      </w:pPr>
      <w:r>
        <w:rPr>
          <w:rStyle w:val="FootnoteReference"/>
        </w:rPr>
        <w:footnoteRef/>
      </w:r>
      <w:r>
        <w:t xml:space="preserve"> TURN Opening Brief</w:t>
      </w:r>
      <w:r w:rsidR="00946D49">
        <w:t xml:space="preserve"> at </w:t>
      </w:r>
      <w:r>
        <w:t xml:space="preserve">25 citing </w:t>
      </w:r>
      <w:r w:rsidR="00352184">
        <w:t>Ex. TURN</w:t>
      </w:r>
      <w:r w:rsidR="003D6EF8">
        <w:noBreakHyphen/>
      </w:r>
      <w:r>
        <w:t>01</w:t>
      </w:r>
      <w:r w:rsidR="00946D49">
        <w:t xml:space="preserve"> at </w:t>
      </w:r>
      <w:r>
        <w:t>29.</w:t>
      </w:r>
    </w:p>
  </w:footnote>
  <w:footnote w:id="209">
    <w:p w14:paraId="7A2919A0" w14:textId="7762144D" w:rsidR="002065F4" w:rsidRDefault="002065F4">
      <w:pPr>
        <w:pStyle w:val="FootnoteText"/>
      </w:pPr>
      <w:r>
        <w:rPr>
          <w:rStyle w:val="FootnoteReference"/>
        </w:rPr>
        <w:footnoteRef/>
      </w:r>
      <w:r>
        <w:t xml:space="preserve"> TURN Opening Brief</w:t>
      </w:r>
      <w:r w:rsidR="00946D49">
        <w:t xml:space="preserve"> at </w:t>
      </w:r>
      <w:r>
        <w:t xml:space="preserve">23 citing </w:t>
      </w:r>
      <w:r w:rsidR="00352184">
        <w:t>Ex. TURN</w:t>
      </w:r>
      <w:r w:rsidR="003D6EF8">
        <w:noBreakHyphen/>
      </w:r>
      <w:r>
        <w:t>01</w:t>
      </w:r>
      <w:r w:rsidR="00946D49">
        <w:t xml:space="preserve"> at </w:t>
      </w:r>
      <w:r>
        <w:t>27</w:t>
      </w:r>
      <w:r w:rsidR="003D6EF8">
        <w:noBreakHyphen/>
      </w:r>
      <w:r>
        <w:t>29.</w:t>
      </w:r>
    </w:p>
  </w:footnote>
  <w:footnote w:id="210">
    <w:p w14:paraId="26FFAD78" w14:textId="406F9A0C" w:rsidR="001F34A9" w:rsidRDefault="001F34A9">
      <w:pPr>
        <w:pStyle w:val="FootnoteText"/>
      </w:pPr>
      <w:r>
        <w:rPr>
          <w:rStyle w:val="FootnoteReference"/>
        </w:rPr>
        <w:footnoteRef/>
      </w:r>
      <w:r>
        <w:t xml:space="preserve"> TURN Opening Brief</w:t>
      </w:r>
      <w:r w:rsidR="00946D49">
        <w:t xml:space="preserve"> at </w:t>
      </w:r>
      <w:r>
        <w:t xml:space="preserve">24 citing </w:t>
      </w:r>
      <w:r w:rsidR="00352184">
        <w:t>Ex. TURN</w:t>
      </w:r>
      <w:r w:rsidR="003D6EF8">
        <w:noBreakHyphen/>
      </w:r>
      <w:r>
        <w:t>02</w:t>
      </w:r>
      <w:r w:rsidR="00946D49">
        <w:t xml:space="preserve"> at </w:t>
      </w:r>
      <w:r>
        <w:t xml:space="preserve">18 and </w:t>
      </w:r>
      <w:r w:rsidR="00352184">
        <w:t>Ex. TURN</w:t>
      </w:r>
      <w:r w:rsidR="003D6EF8">
        <w:noBreakHyphen/>
      </w:r>
      <w:r>
        <w:t>03</w:t>
      </w:r>
      <w:r w:rsidR="00946D49">
        <w:t xml:space="preserve"> at </w:t>
      </w:r>
      <w:r>
        <w:t>5.</w:t>
      </w:r>
    </w:p>
  </w:footnote>
  <w:footnote w:id="211">
    <w:p w14:paraId="017420AB" w14:textId="7EC70969" w:rsidR="001F34A9" w:rsidRDefault="001F34A9">
      <w:pPr>
        <w:pStyle w:val="FootnoteText"/>
      </w:pPr>
      <w:r>
        <w:rPr>
          <w:rStyle w:val="FootnoteReference"/>
        </w:rPr>
        <w:footnoteRef/>
      </w:r>
      <w:r>
        <w:t xml:space="preserve"> TURN Opening Brief</w:t>
      </w:r>
      <w:r w:rsidR="00946D49">
        <w:t xml:space="preserve"> at </w:t>
      </w:r>
      <w:r>
        <w:t xml:space="preserve">24 citing </w:t>
      </w:r>
      <w:r w:rsidR="00352184">
        <w:t>Ex. TURN</w:t>
      </w:r>
      <w:r w:rsidR="003D6EF8">
        <w:noBreakHyphen/>
      </w:r>
      <w:r>
        <w:t>01</w:t>
      </w:r>
      <w:r w:rsidR="00946D49">
        <w:t xml:space="preserve"> at </w:t>
      </w:r>
      <w:r>
        <w:t>26.</w:t>
      </w:r>
    </w:p>
  </w:footnote>
  <w:footnote w:id="212">
    <w:p w14:paraId="45F68CD4" w14:textId="62FDCFB0" w:rsidR="00F9195B" w:rsidRDefault="00F9195B">
      <w:pPr>
        <w:pStyle w:val="FootnoteText"/>
      </w:pPr>
      <w:r>
        <w:rPr>
          <w:rStyle w:val="FootnoteReference"/>
        </w:rPr>
        <w:footnoteRef/>
      </w:r>
      <w:r>
        <w:t xml:space="preserve"> TURN Opening Brief</w:t>
      </w:r>
      <w:r w:rsidR="00946D49">
        <w:t xml:space="preserve"> at </w:t>
      </w:r>
      <w:r>
        <w:t xml:space="preserve">24 citing </w:t>
      </w:r>
      <w:r w:rsidR="00352184">
        <w:t>Ex. TURN</w:t>
      </w:r>
      <w:r w:rsidR="003D6EF8">
        <w:noBreakHyphen/>
      </w:r>
      <w:r>
        <w:t>02</w:t>
      </w:r>
      <w:r w:rsidR="00946D49">
        <w:t xml:space="preserve"> at </w:t>
      </w:r>
      <w:r>
        <w:t>11</w:t>
      </w:r>
      <w:r w:rsidR="003D6EF8">
        <w:noBreakHyphen/>
      </w:r>
      <w:r>
        <w:t>12.</w:t>
      </w:r>
    </w:p>
  </w:footnote>
  <w:footnote w:id="213">
    <w:p w14:paraId="1CB584CE" w14:textId="64F6BAC6" w:rsidR="008960F4" w:rsidRDefault="008960F4">
      <w:pPr>
        <w:pStyle w:val="FootnoteText"/>
      </w:pPr>
      <w:r>
        <w:rPr>
          <w:rStyle w:val="FootnoteReference"/>
        </w:rPr>
        <w:footnoteRef/>
      </w:r>
      <w:r>
        <w:t xml:space="preserve"> TURN </w:t>
      </w:r>
      <w:r w:rsidR="00A837A4">
        <w:t>Reply</w:t>
      </w:r>
      <w:r>
        <w:t xml:space="preserve"> Comments to </w:t>
      </w:r>
      <w:r w:rsidR="00F57598">
        <w:t>November 6 Ruling</w:t>
      </w:r>
      <w:r w:rsidR="00946D49">
        <w:t xml:space="preserve"> at </w:t>
      </w:r>
      <w:r w:rsidR="00A837A4">
        <w:t>6.</w:t>
      </w:r>
    </w:p>
  </w:footnote>
  <w:footnote w:id="214">
    <w:p w14:paraId="0DFA3FED" w14:textId="591FFE44" w:rsidR="00F9195B" w:rsidRDefault="00F9195B">
      <w:pPr>
        <w:pStyle w:val="FootnoteText"/>
      </w:pPr>
      <w:r>
        <w:rPr>
          <w:rStyle w:val="FootnoteReference"/>
        </w:rPr>
        <w:footnoteRef/>
      </w:r>
      <w:r>
        <w:t xml:space="preserve"> TURN Opening Brief</w:t>
      </w:r>
      <w:r w:rsidR="00946D49">
        <w:t xml:space="preserve"> at </w:t>
      </w:r>
      <w:r>
        <w:t xml:space="preserve">25 citing </w:t>
      </w:r>
      <w:r w:rsidR="00352184">
        <w:t>Ex. TURN</w:t>
      </w:r>
      <w:r w:rsidR="003D6EF8">
        <w:noBreakHyphen/>
      </w:r>
      <w:r>
        <w:t>02</w:t>
      </w:r>
      <w:r w:rsidR="00946D49">
        <w:t xml:space="preserve"> at </w:t>
      </w:r>
      <w:r>
        <w:t>13.</w:t>
      </w:r>
    </w:p>
  </w:footnote>
  <w:footnote w:id="215">
    <w:p w14:paraId="277B9A05" w14:textId="79F9A6A5" w:rsidR="0050729A" w:rsidRDefault="0050729A">
      <w:pPr>
        <w:pStyle w:val="FootnoteText"/>
      </w:pPr>
      <w:r>
        <w:rPr>
          <w:rStyle w:val="FootnoteReference"/>
        </w:rPr>
        <w:footnoteRef/>
      </w:r>
      <w:r>
        <w:t xml:space="preserve"> TURN Opening Brief</w:t>
      </w:r>
      <w:r w:rsidR="00946D49">
        <w:t xml:space="preserve"> at </w:t>
      </w:r>
      <w:r>
        <w:t xml:space="preserve">27 citing </w:t>
      </w:r>
      <w:r w:rsidR="00352184">
        <w:t>Ex. TURN</w:t>
      </w:r>
      <w:r w:rsidR="003D6EF8">
        <w:noBreakHyphen/>
      </w:r>
      <w:r>
        <w:t>01</w:t>
      </w:r>
      <w:r w:rsidR="00946D49">
        <w:t xml:space="preserve"> at </w:t>
      </w:r>
      <w:r>
        <w:t>34.</w:t>
      </w:r>
    </w:p>
  </w:footnote>
  <w:footnote w:id="216">
    <w:p w14:paraId="60DA1802" w14:textId="4C01B05D" w:rsidR="008B1784" w:rsidRDefault="008B1784">
      <w:pPr>
        <w:pStyle w:val="FootnoteText"/>
      </w:pPr>
      <w:r>
        <w:rPr>
          <w:rStyle w:val="FootnoteReference"/>
        </w:rPr>
        <w:footnoteRef/>
      </w:r>
      <w:r>
        <w:t xml:space="preserve"> TURN Opening Brief</w:t>
      </w:r>
      <w:r w:rsidR="00946D49">
        <w:t xml:space="preserve"> at </w:t>
      </w:r>
      <w:r>
        <w:t xml:space="preserve">27 citing </w:t>
      </w:r>
      <w:r w:rsidR="00352184">
        <w:t>Ex. TURN</w:t>
      </w:r>
      <w:r w:rsidR="003D6EF8">
        <w:noBreakHyphen/>
      </w:r>
      <w:r>
        <w:t>02</w:t>
      </w:r>
      <w:r w:rsidR="00946D49">
        <w:t xml:space="preserve"> at </w:t>
      </w:r>
      <w:r>
        <w:t>22</w:t>
      </w:r>
      <w:r w:rsidR="003D6EF8">
        <w:noBreakHyphen/>
      </w:r>
      <w:r>
        <w:t xml:space="preserve">25 and </w:t>
      </w:r>
      <w:r w:rsidR="00352184">
        <w:t>Ex. TURN</w:t>
      </w:r>
      <w:r w:rsidR="003D6EF8">
        <w:noBreakHyphen/>
      </w:r>
      <w:r>
        <w:t>01</w:t>
      </w:r>
      <w:r w:rsidR="00946D49">
        <w:t xml:space="preserve"> at </w:t>
      </w:r>
      <w:r>
        <w:t>31.</w:t>
      </w:r>
    </w:p>
  </w:footnote>
  <w:footnote w:id="217">
    <w:p w14:paraId="0B5A4942" w14:textId="3515A07B" w:rsidR="00C55236" w:rsidRDefault="00C55236">
      <w:pPr>
        <w:pStyle w:val="FootnoteText"/>
      </w:pPr>
      <w:r>
        <w:rPr>
          <w:rStyle w:val="FootnoteReference"/>
        </w:rPr>
        <w:footnoteRef/>
      </w:r>
      <w:r>
        <w:t xml:space="preserve"> TURN Opening Brief</w:t>
      </w:r>
      <w:r w:rsidR="00946D49">
        <w:t xml:space="preserve"> at </w:t>
      </w:r>
      <w:r>
        <w:t xml:space="preserve">26 citing </w:t>
      </w:r>
      <w:r w:rsidR="00352184">
        <w:t>Ex. TURN</w:t>
      </w:r>
      <w:r w:rsidR="003D6EF8">
        <w:noBreakHyphen/>
      </w:r>
      <w:r>
        <w:t>01</w:t>
      </w:r>
      <w:r w:rsidR="00946D49">
        <w:t xml:space="preserve"> at </w:t>
      </w:r>
      <w:r>
        <w:t>36</w:t>
      </w:r>
      <w:r w:rsidR="003D6EF8">
        <w:noBreakHyphen/>
      </w:r>
      <w:r>
        <w:t xml:space="preserve">48 and </w:t>
      </w:r>
      <w:r w:rsidR="00352184">
        <w:t>Ex. TURN</w:t>
      </w:r>
      <w:r w:rsidR="003D6EF8">
        <w:noBreakHyphen/>
      </w:r>
      <w:r>
        <w:t>02</w:t>
      </w:r>
      <w:r w:rsidR="000C4F74">
        <w:t xml:space="preserve"> at </w:t>
      </w:r>
      <w:r>
        <w:t>14.</w:t>
      </w:r>
    </w:p>
  </w:footnote>
  <w:footnote w:id="218">
    <w:p w14:paraId="16E8AA39" w14:textId="1FE3E75F" w:rsidR="00C87DE9" w:rsidRDefault="00C87DE9">
      <w:pPr>
        <w:pStyle w:val="FootnoteText"/>
      </w:pPr>
      <w:r>
        <w:rPr>
          <w:rStyle w:val="FootnoteReference"/>
        </w:rPr>
        <w:footnoteRef/>
      </w:r>
      <w:r>
        <w:t xml:space="preserve"> SCE</w:t>
      </w:r>
      <w:r w:rsidR="00440785">
        <w:t>’</w:t>
      </w:r>
      <w:r>
        <w:t xml:space="preserve">s proposal is provided in </w:t>
      </w:r>
      <w:r w:rsidR="004941EB">
        <w:t xml:space="preserve">SCE Opening Comments to </w:t>
      </w:r>
      <w:r w:rsidR="00F57598">
        <w:t>November 6 Ruling</w:t>
      </w:r>
      <w:r w:rsidR="000C4F74">
        <w:t xml:space="preserve"> at </w:t>
      </w:r>
      <w:r w:rsidR="002140B0">
        <w:t>2</w:t>
      </w:r>
      <w:r w:rsidR="003D6EF8">
        <w:noBreakHyphen/>
      </w:r>
      <w:r w:rsidR="002140B0">
        <w:t>3.</w:t>
      </w:r>
    </w:p>
  </w:footnote>
  <w:footnote w:id="219">
    <w:p w14:paraId="6FA3E014" w14:textId="1904E12B" w:rsidR="006770B1" w:rsidRDefault="006770B1">
      <w:pPr>
        <w:pStyle w:val="FootnoteText"/>
      </w:pPr>
      <w:r>
        <w:rPr>
          <w:rStyle w:val="FootnoteReference"/>
        </w:rPr>
        <w:footnoteRef/>
      </w:r>
      <w:r>
        <w:t xml:space="preserve"> SCE</w:t>
      </w:r>
      <w:r w:rsidR="00440785">
        <w:t>’</w:t>
      </w:r>
      <w:r>
        <w:t xml:space="preserve">s Simplified </w:t>
      </w:r>
      <w:r w:rsidR="001E5DE2">
        <w:t xml:space="preserve">Shared Savings Model is described in SCE </w:t>
      </w:r>
      <w:r w:rsidR="002F7CF1">
        <w:t>Opening</w:t>
      </w:r>
      <w:r w:rsidR="001E5DE2">
        <w:t xml:space="preserve"> Comments to </w:t>
      </w:r>
      <w:r w:rsidR="00F57598">
        <w:t>November 6 Ruling</w:t>
      </w:r>
      <w:r w:rsidR="000C4F74">
        <w:t xml:space="preserve"> at </w:t>
      </w:r>
      <w:r w:rsidR="001650B6">
        <w:t>23</w:t>
      </w:r>
      <w:r w:rsidR="003D6EF8">
        <w:noBreakHyphen/>
      </w:r>
      <w:r w:rsidR="002F7CF1">
        <w:t>24.</w:t>
      </w:r>
    </w:p>
  </w:footnote>
  <w:footnote w:id="220">
    <w:p w14:paraId="5430CD1D" w14:textId="031C3DCA" w:rsidR="0032634F" w:rsidRDefault="0032634F">
      <w:pPr>
        <w:pStyle w:val="FootnoteText"/>
      </w:pPr>
      <w:r>
        <w:rPr>
          <w:rStyle w:val="FootnoteReference"/>
        </w:rPr>
        <w:footnoteRef/>
      </w:r>
      <w:r>
        <w:t xml:space="preserve"> CAISO Opening Comments to </w:t>
      </w:r>
      <w:r w:rsidR="00F57598">
        <w:t>November 6 Ruling</w:t>
      </w:r>
      <w:r w:rsidR="000C4F74">
        <w:t xml:space="preserve"> at </w:t>
      </w:r>
      <w:r>
        <w:t>3.</w:t>
      </w:r>
    </w:p>
  </w:footnote>
  <w:footnote w:id="221">
    <w:p w14:paraId="23C69CE0" w14:textId="5C80D63D" w:rsidR="00D20ED0" w:rsidRDefault="00D20ED0">
      <w:pPr>
        <w:pStyle w:val="FootnoteText"/>
      </w:pPr>
      <w:r>
        <w:rPr>
          <w:rStyle w:val="FootnoteReference"/>
        </w:rPr>
        <w:footnoteRef/>
      </w:r>
      <w:r>
        <w:t xml:space="preserve"> CAISO Opening Comments to </w:t>
      </w:r>
      <w:r w:rsidR="00F57598">
        <w:t>November 6 Ruling</w:t>
      </w:r>
      <w:r w:rsidR="000C4F74">
        <w:t xml:space="preserve"> at </w:t>
      </w:r>
      <w:r>
        <w:t>5.</w:t>
      </w:r>
    </w:p>
  </w:footnote>
  <w:footnote w:id="222">
    <w:p w14:paraId="13517470" w14:textId="101BB6B1" w:rsidR="009100BE" w:rsidRDefault="009100BE">
      <w:pPr>
        <w:pStyle w:val="FootnoteText"/>
      </w:pPr>
      <w:r>
        <w:rPr>
          <w:rStyle w:val="FootnoteReference"/>
        </w:rPr>
        <w:footnoteRef/>
      </w:r>
      <w:r>
        <w:t xml:space="preserve"> CAISO Opening Comments to </w:t>
      </w:r>
      <w:r w:rsidR="00F57598">
        <w:t>November 6 Ruling</w:t>
      </w:r>
      <w:r w:rsidR="000C4F74">
        <w:t xml:space="preserve"> at </w:t>
      </w:r>
      <w:r>
        <w:t>5.</w:t>
      </w:r>
    </w:p>
  </w:footnote>
  <w:footnote w:id="223">
    <w:p w14:paraId="507576F2" w14:textId="2E7E98AA" w:rsidR="00EB18B6" w:rsidRDefault="00EB18B6">
      <w:pPr>
        <w:pStyle w:val="FootnoteText"/>
      </w:pPr>
      <w:r>
        <w:rPr>
          <w:rStyle w:val="FootnoteReference"/>
        </w:rPr>
        <w:footnoteRef/>
      </w:r>
      <w:r>
        <w:t xml:space="preserve"> CAISO Opening Comments to </w:t>
      </w:r>
      <w:r w:rsidR="00F57598">
        <w:t>November 6 Ruling</w:t>
      </w:r>
      <w:r w:rsidR="000C4F74">
        <w:t xml:space="preserve"> at </w:t>
      </w:r>
      <w:r w:rsidR="00A05C58">
        <w:t>2.</w:t>
      </w:r>
    </w:p>
  </w:footnote>
  <w:footnote w:id="224">
    <w:p w14:paraId="02D0A4DC" w14:textId="1AB70861" w:rsidR="00094DF9" w:rsidRDefault="00094DF9">
      <w:pPr>
        <w:pStyle w:val="FootnoteText"/>
      </w:pPr>
      <w:r>
        <w:rPr>
          <w:rStyle w:val="FootnoteReference"/>
        </w:rPr>
        <w:footnoteRef/>
      </w:r>
      <w:r>
        <w:t xml:space="preserve"> CAISO Opening Comments to </w:t>
      </w:r>
      <w:r w:rsidR="00F57598">
        <w:t>November 6 Ruling</w:t>
      </w:r>
      <w:r w:rsidR="000C4F74">
        <w:t xml:space="preserve"> at </w:t>
      </w:r>
      <w:r>
        <w:t>2.</w:t>
      </w:r>
    </w:p>
  </w:footnote>
  <w:footnote w:id="225">
    <w:p w14:paraId="65631A58" w14:textId="6A573E01" w:rsidR="00BB568C" w:rsidRDefault="00BB568C">
      <w:pPr>
        <w:pStyle w:val="FootnoteText"/>
      </w:pPr>
      <w:r>
        <w:rPr>
          <w:rStyle w:val="FootnoteReference"/>
        </w:rPr>
        <w:footnoteRef/>
      </w:r>
      <w:r>
        <w:t xml:space="preserve"> CAISO Opening Comments to </w:t>
      </w:r>
      <w:r w:rsidR="00F57598">
        <w:t>November 6 Ruling</w:t>
      </w:r>
      <w:r w:rsidR="000C4F74">
        <w:t xml:space="preserve"> at </w:t>
      </w:r>
      <w:r w:rsidR="008849F4">
        <w:t xml:space="preserve">2 and </w:t>
      </w:r>
      <w:r>
        <w:t>5</w:t>
      </w:r>
      <w:r w:rsidR="003D6EF8">
        <w:noBreakHyphen/>
      </w:r>
      <w:r w:rsidR="008849F4">
        <w:t>6</w:t>
      </w:r>
      <w:r>
        <w:t>.</w:t>
      </w:r>
    </w:p>
  </w:footnote>
  <w:footnote w:id="226">
    <w:p w14:paraId="59356F1A" w14:textId="05A69541" w:rsidR="004844B6" w:rsidRDefault="004844B6">
      <w:pPr>
        <w:pStyle w:val="FootnoteText"/>
      </w:pPr>
      <w:r>
        <w:rPr>
          <w:rStyle w:val="FootnoteReference"/>
        </w:rPr>
        <w:footnoteRef/>
      </w:r>
      <w:r>
        <w:t xml:space="preserve"> CAISO Opening Comments to </w:t>
      </w:r>
      <w:r w:rsidR="00F57598">
        <w:t>November 6 Ruling</w:t>
      </w:r>
      <w:r w:rsidR="00AF2765">
        <w:t xml:space="preserve"> at </w:t>
      </w:r>
      <w:r>
        <w:t>2</w:t>
      </w:r>
      <w:r w:rsidR="00747A6A">
        <w:t xml:space="preserve">, </w:t>
      </w:r>
      <w:r w:rsidR="00B93FB3">
        <w:t>5</w:t>
      </w:r>
      <w:r w:rsidR="003D6EF8">
        <w:noBreakHyphen/>
      </w:r>
      <w:r w:rsidR="00747A6A">
        <w:t>7</w:t>
      </w:r>
      <w:r w:rsidR="0063079A">
        <w:t xml:space="preserve">. </w:t>
      </w:r>
      <w:r w:rsidR="00FC3EAF">
        <w:t>(</w:t>
      </w:r>
      <w:r w:rsidR="0063079A" w:rsidRPr="005D065D">
        <w:rPr>
          <w:i/>
          <w:iCs/>
        </w:rPr>
        <w:t>S</w:t>
      </w:r>
      <w:r w:rsidR="0063079A" w:rsidRPr="00426D9F">
        <w:rPr>
          <w:i/>
          <w:iCs/>
        </w:rPr>
        <w:t>ee also</w:t>
      </w:r>
      <w:r w:rsidR="0063079A">
        <w:t xml:space="preserve"> </w:t>
      </w:r>
      <w:r w:rsidR="00284B7D">
        <w:t>D.22</w:t>
      </w:r>
      <w:r w:rsidR="003D6EF8">
        <w:noBreakHyphen/>
      </w:r>
      <w:r w:rsidR="00284B7D">
        <w:t>07</w:t>
      </w:r>
      <w:r w:rsidR="003D6EF8">
        <w:noBreakHyphen/>
      </w:r>
      <w:r w:rsidR="00284B7D">
        <w:t>00</w:t>
      </w:r>
      <w:r w:rsidR="00070AFD">
        <w:t xml:space="preserve">1, </w:t>
      </w:r>
      <w:r w:rsidR="00FF2755">
        <w:t>which</w:t>
      </w:r>
      <w:r w:rsidR="00070AFD">
        <w:t xml:space="preserve"> reinstituted the one</w:t>
      </w:r>
      <w:r w:rsidR="003D6EF8">
        <w:noBreakHyphen/>
      </w:r>
      <w:r w:rsidR="00070AFD">
        <w:t>megawatt cap on net energy metering resources interconnecting to the transmission grid</w:t>
      </w:r>
      <w:r w:rsidR="00FF2755">
        <w:t xml:space="preserve"> </w:t>
      </w:r>
      <w:r w:rsidR="00D937E0">
        <w:t>and require</w:t>
      </w:r>
      <w:r w:rsidR="0063079A">
        <w:t>s</w:t>
      </w:r>
      <w:r w:rsidR="00D937E0">
        <w:t xml:space="preserve"> these resources to provide telemetry data to CAISO</w:t>
      </w:r>
      <w:r w:rsidR="00070AFD">
        <w:t xml:space="preserve">, </w:t>
      </w:r>
      <w:r w:rsidR="00284B7D">
        <w:t>and D.23</w:t>
      </w:r>
      <w:r w:rsidR="003D6EF8">
        <w:noBreakHyphen/>
      </w:r>
      <w:r w:rsidR="00284B7D">
        <w:t>06</w:t>
      </w:r>
      <w:r w:rsidR="003D6EF8">
        <w:noBreakHyphen/>
      </w:r>
      <w:r w:rsidR="00284B7D">
        <w:t>005</w:t>
      </w:r>
      <w:r w:rsidR="00070AFD">
        <w:t>, which require</w:t>
      </w:r>
      <w:r w:rsidR="0063079A">
        <w:t>s</w:t>
      </w:r>
      <w:r w:rsidR="00070AFD">
        <w:t xml:space="preserve"> </w:t>
      </w:r>
      <w:r w:rsidR="00FF2755">
        <w:t>nonexporting resources greater than one</w:t>
      </w:r>
      <w:r w:rsidR="003D6EF8">
        <w:noBreakHyphen/>
      </w:r>
      <w:r w:rsidR="00FF2755">
        <w:t>megawatt to provide telemetry data to CAISO</w:t>
      </w:r>
      <w:r w:rsidR="00B93FB3">
        <w:t>.</w:t>
      </w:r>
      <w:r w:rsidR="00FC3EAF">
        <w:t>)</w:t>
      </w:r>
    </w:p>
  </w:footnote>
  <w:footnote w:id="227">
    <w:p w14:paraId="4BE9AE11" w14:textId="21D87797" w:rsidR="0083297C" w:rsidRDefault="0083297C">
      <w:pPr>
        <w:pStyle w:val="FootnoteText"/>
      </w:pPr>
      <w:r>
        <w:rPr>
          <w:rStyle w:val="FootnoteReference"/>
        </w:rPr>
        <w:footnoteRef/>
      </w:r>
      <w:r>
        <w:t xml:space="preserve"> CCSA-07 at 35.</w:t>
      </w:r>
    </w:p>
  </w:footnote>
  <w:footnote w:id="228">
    <w:p w14:paraId="75011CB0" w14:textId="6D023C9A" w:rsidR="0083297C" w:rsidRDefault="0083297C">
      <w:pPr>
        <w:pStyle w:val="FootnoteText"/>
      </w:pPr>
      <w:r>
        <w:rPr>
          <w:rStyle w:val="FootnoteReference"/>
        </w:rPr>
        <w:footnoteRef/>
      </w:r>
      <w:r>
        <w:t xml:space="preserve"> </w:t>
      </w:r>
      <w:r w:rsidR="00C35E3F">
        <w:t xml:space="preserve">NYSERDA NY VDER website at: </w:t>
      </w:r>
      <w:r>
        <w:t>nyserda.ny.gov/vder</w:t>
      </w:r>
      <w:r w:rsidR="00C35E3F">
        <w:t>.</w:t>
      </w:r>
    </w:p>
  </w:footnote>
  <w:footnote w:id="229">
    <w:p w14:paraId="0D3742E6" w14:textId="3C5233F3" w:rsidR="002B1264" w:rsidRDefault="002B1264">
      <w:pPr>
        <w:pStyle w:val="FootnoteText"/>
      </w:pPr>
      <w:r>
        <w:rPr>
          <w:rStyle w:val="FootnoteReference"/>
        </w:rPr>
        <w:footnoteRef/>
      </w:r>
      <w:r>
        <w:t xml:space="preserve"> </w:t>
      </w:r>
      <w:r w:rsidRPr="002B1264">
        <w:t>https://www.nyserda.ny.gov/All-Programs/Energy-Storage-Program/Developers-and-Contractors/Technical-Assistance</w:t>
      </w:r>
    </w:p>
  </w:footnote>
  <w:footnote w:id="230">
    <w:p w14:paraId="653CD4AB" w14:textId="0D31AF5B" w:rsidR="002B1264" w:rsidRDefault="002B1264">
      <w:pPr>
        <w:pStyle w:val="FootnoteText"/>
      </w:pPr>
      <w:r>
        <w:rPr>
          <w:rStyle w:val="FootnoteReference"/>
        </w:rPr>
        <w:footnoteRef/>
      </w:r>
      <w:r>
        <w:t xml:space="preserve"> </w:t>
      </w:r>
      <w:r w:rsidRPr="002B1264">
        <w:t>https://www.nyserda.ny.gov/All-Programs/NY-Sun/Contractors/Dashboards-and-incentives/Community-Adder</w:t>
      </w:r>
    </w:p>
  </w:footnote>
  <w:footnote w:id="231">
    <w:p w14:paraId="7A011D5B" w14:textId="2FA27B9D" w:rsidR="004E51FD" w:rsidRDefault="004E51FD" w:rsidP="004E51FD">
      <w:pPr>
        <w:pStyle w:val="FootnoteText"/>
      </w:pPr>
      <w:r>
        <w:rPr>
          <w:rStyle w:val="FootnoteReference"/>
        </w:rPr>
        <w:footnoteRef/>
      </w:r>
      <w:r>
        <w:t xml:space="preserve"> SCE Opening Brief</w:t>
      </w:r>
      <w:r w:rsidR="00907866">
        <w:t xml:space="preserve"> at </w:t>
      </w:r>
      <w:r>
        <w:t>45.</w:t>
      </w:r>
    </w:p>
  </w:footnote>
  <w:footnote w:id="232">
    <w:p w14:paraId="17D0145D" w14:textId="52F43F2E" w:rsidR="004E51FD" w:rsidRDefault="004E51FD" w:rsidP="004E51FD">
      <w:pPr>
        <w:pStyle w:val="FootnoteText"/>
      </w:pPr>
      <w:r>
        <w:rPr>
          <w:rStyle w:val="FootnoteReference"/>
        </w:rPr>
        <w:footnoteRef/>
      </w:r>
      <w:r>
        <w:t xml:space="preserve"> SCE Opening Brief</w:t>
      </w:r>
      <w:r w:rsidR="00907866">
        <w:t xml:space="preserve"> at </w:t>
      </w:r>
      <w:r>
        <w:t xml:space="preserve">45 and </w:t>
      </w:r>
      <w:r w:rsidR="009773CA">
        <w:t>fn.</w:t>
      </w:r>
      <w:r w:rsidR="00155F2B">
        <w:t> </w:t>
      </w:r>
      <w:r>
        <w:t xml:space="preserve">126 citing </w:t>
      </w:r>
      <w:r w:rsidR="00440785">
        <w:t>Pub. Util.</w:t>
      </w:r>
      <w:r w:rsidR="005763B6">
        <w:t xml:space="preserve"> Code </w:t>
      </w:r>
      <w:r w:rsidR="008F2FF0">
        <w:t>§</w:t>
      </w:r>
      <w:r>
        <w:t>769.3(b)(2)(B)</w:t>
      </w:r>
      <w:r w:rsidR="00E72908">
        <w:t>.</w:t>
      </w:r>
    </w:p>
  </w:footnote>
  <w:footnote w:id="233">
    <w:p w14:paraId="79BF7BE9" w14:textId="09B474A3" w:rsidR="00AF3A60" w:rsidRDefault="00AF3A60" w:rsidP="00AF3A60">
      <w:pPr>
        <w:pStyle w:val="FootnoteText"/>
      </w:pPr>
      <w:r>
        <w:rPr>
          <w:rStyle w:val="FootnoteReference"/>
        </w:rPr>
        <w:footnoteRef/>
      </w:r>
      <w:r>
        <w:t xml:space="preserve"> SEIA Opening Brief</w:t>
      </w:r>
      <w:r w:rsidR="00907866">
        <w:t xml:space="preserve"> at </w:t>
      </w:r>
      <w:r>
        <w:t xml:space="preserve">39 citing </w:t>
      </w:r>
      <w:r w:rsidR="00907866">
        <w:t>Ex. SEIA</w:t>
      </w:r>
      <w:r w:rsidR="003D6EF8">
        <w:noBreakHyphen/>
      </w:r>
      <w:r>
        <w:t>02</w:t>
      </w:r>
      <w:r w:rsidR="00907866">
        <w:t xml:space="preserve"> at </w:t>
      </w:r>
      <w:r>
        <w:t>5.</w:t>
      </w:r>
    </w:p>
  </w:footnote>
  <w:footnote w:id="234">
    <w:p w14:paraId="420188C3" w14:textId="5FF8FD7D" w:rsidR="00AF3A60" w:rsidRDefault="00AF3A60" w:rsidP="00AF3A60">
      <w:pPr>
        <w:pStyle w:val="FootnoteText"/>
      </w:pPr>
      <w:r>
        <w:rPr>
          <w:rStyle w:val="FootnoteReference"/>
        </w:rPr>
        <w:footnoteRef/>
      </w:r>
      <w:r>
        <w:t xml:space="preserve"> </w:t>
      </w:r>
      <w:r w:rsidR="008747CC">
        <w:t>Ex. CCSA</w:t>
      </w:r>
      <w:r w:rsidR="003D6EF8">
        <w:noBreakHyphen/>
      </w:r>
      <w:r>
        <w:t>08</w:t>
      </w:r>
      <w:r w:rsidR="00907866">
        <w:t xml:space="preserve"> at </w:t>
      </w:r>
      <w:r>
        <w:t xml:space="preserve">3, </w:t>
      </w:r>
      <w:r w:rsidR="005674F9">
        <w:t>Table 2</w:t>
      </w:r>
      <w:r w:rsidR="005D30D7">
        <w:t xml:space="preserve">: </w:t>
      </w:r>
      <w:r w:rsidRPr="005311F4">
        <w:rPr>
          <w:i/>
          <w:iCs/>
        </w:rPr>
        <w:t>Value Stack Elements in the Revised Export Credit Rate Proposal</w:t>
      </w:r>
      <w:r>
        <w:t>.</w:t>
      </w:r>
    </w:p>
  </w:footnote>
  <w:footnote w:id="235">
    <w:p w14:paraId="4FE88910" w14:textId="15BBB183" w:rsidR="00AF3A60" w:rsidRDefault="00AF3A60" w:rsidP="00AF3A60">
      <w:pPr>
        <w:pStyle w:val="FootnoteText"/>
      </w:pPr>
      <w:r>
        <w:rPr>
          <w:rStyle w:val="FootnoteReference"/>
        </w:rPr>
        <w:footnoteRef/>
      </w:r>
      <w:r>
        <w:t xml:space="preserve"> Environmental values are the Avoided Cost Calculator greenhouse gas rebalancing, Greenhouse Gas Adder, and methane leakage adder. </w:t>
      </w:r>
      <w:r w:rsidR="002869EF">
        <w:t>(</w:t>
      </w:r>
      <w:r w:rsidRPr="002869EF">
        <w:rPr>
          <w:i/>
          <w:iCs/>
        </w:rPr>
        <w:t>See</w:t>
      </w:r>
      <w:r>
        <w:t xml:space="preserve"> </w:t>
      </w:r>
      <w:r w:rsidR="008747CC">
        <w:t>Ex. CCSA</w:t>
      </w:r>
      <w:r w:rsidR="003D6EF8">
        <w:noBreakHyphen/>
      </w:r>
      <w:r>
        <w:t>008</w:t>
      </w:r>
      <w:r w:rsidR="00907866">
        <w:t xml:space="preserve"> at </w:t>
      </w:r>
      <w:r>
        <w:t xml:space="preserve">3, </w:t>
      </w:r>
      <w:r w:rsidR="005674F9">
        <w:t>Table 2</w:t>
      </w:r>
      <w:r>
        <w:t>.</w:t>
      </w:r>
      <w:r w:rsidR="002869EF">
        <w:t>)</w:t>
      </w:r>
    </w:p>
  </w:footnote>
  <w:footnote w:id="236">
    <w:p w14:paraId="26DF1E0E" w14:textId="74462E89" w:rsidR="00AF3A60" w:rsidRDefault="00AF3A60" w:rsidP="00AF3A60">
      <w:pPr>
        <w:pStyle w:val="FootnoteText"/>
      </w:pPr>
      <w:r>
        <w:rPr>
          <w:rStyle w:val="FootnoteReference"/>
        </w:rPr>
        <w:footnoteRef/>
      </w:r>
      <w:r>
        <w:t xml:space="preserve"> </w:t>
      </w:r>
      <w:r w:rsidR="008747CC">
        <w:t>Ex. CCSA</w:t>
      </w:r>
      <w:r w:rsidR="003D6EF8">
        <w:noBreakHyphen/>
      </w:r>
      <w:r>
        <w:t>008</w:t>
      </w:r>
      <w:r w:rsidR="00907866">
        <w:t xml:space="preserve"> at </w:t>
      </w:r>
      <w:r>
        <w:t xml:space="preserve">3, </w:t>
      </w:r>
      <w:r w:rsidR="005674F9">
        <w:t>Table 2</w:t>
      </w:r>
      <w:r>
        <w:t>.</w:t>
      </w:r>
    </w:p>
  </w:footnote>
  <w:footnote w:id="237">
    <w:p w14:paraId="47220EA5" w14:textId="202963AF" w:rsidR="009D2A0B" w:rsidRDefault="009D2A0B">
      <w:pPr>
        <w:pStyle w:val="FootnoteText"/>
      </w:pPr>
      <w:r>
        <w:rPr>
          <w:rStyle w:val="FootnoteReference"/>
        </w:rPr>
        <w:footnoteRef/>
      </w:r>
      <w:r>
        <w:t xml:space="preserve"> TURN Opening Comments to </w:t>
      </w:r>
      <w:r w:rsidR="00F57598">
        <w:t>November 6 Ruling</w:t>
      </w:r>
      <w:r w:rsidR="00907866">
        <w:t xml:space="preserve"> at </w:t>
      </w:r>
      <w:r>
        <w:t>5.</w:t>
      </w:r>
    </w:p>
  </w:footnote>
  <w:footnote w:id="238">
    <w:p w14:paraId="402E681F" w14:textId="6C74E731" w:rsidR="009D5442" w:rsidRDefault="009D5442">
      <w:pPr>
        <w:pStyle w:val="FootnoteText"/>
      </w:pPr>
      <w:r>
        <w:rPr>
          <w:rStyle w:val="FootnoteReference"/>
        </w:rPr>
        <w:footnoteRef/>
      </w:r>
      <w:r>
        <w:t xml:space="preserve"> TURN Opening Comments to </w:t>
      </w:r>
      <w:r w:rsidR="00F57598">
        <w:t>November 6 Ruling</w:t>
      </w:r>
      <w:r w:rsidR="00907866">
        <w:t xml:space="preserve"> at </w:t>
      </w:r>
      <w:r>
        <w:t>5.</w:t>
      </w:r>
    </w:p>
  </w:footnote>
  <w:footnote w:id="239">
    <w:p w14:paraId="48450E3E" w14:textId="442062C5" w:rsidR="00FE1C79" w:rsidRDefault="00FE1C79" w:rsidP="00FE1C79">
      <w:pPr>
        <w:pStyle w:val="FootnoteText"/>
      </w:pPr>
      <w:r>
        <w:rPr>
          <w:rStyle w:val="FootnoteReference"/>
        </w:rPr>
        <w:footnoteRef/>
      </w:r>
      <w:r>
        <w:t xml:space="preserve"> SCE Opening Comments to </w:t>
      </w:r>
      <w:r w:rsidR="00F57598">
        <w:t>November 6 Ruling</w:t>
      </w:r>
      <w:r w:rsidR="00907866">
        <w:t xml:space="preserve"> at </w:t>
      </w:r>
      <w:r>
        <w:t>21.</w:t>
      </w:r>
    </w:p>
  </w:footnote>
  <w:footnote w:id="240">
    <w:p w14:paraId="5890C07F" w14:textId="447F1DB1" w:rsidR="00AF3A60" w:rsidRDefault="00AF3A60" w:rsidP="00AF3A60">
      <w:pPr>
        <w:pStyle w:val="FootnoteText"/>
      </w:pPr>
      <w:r>
        <w:rPr>
          <w:rStyle w:val="FootnoteReference"/>
        </w:rPr>
        <w:footnoteRef/>
      </w:r>
      <w:r>
        <w:t xml:space="preserve"> CCSA Reply Brief</w:t>
      </w:r>
      <w:r w:rsidR="00907866">
        <w:t xml:space="preserve"> at </w:t>
      </w:r>
      <w:r>
        <w:t>14.</w:t>
      </w:r>
    </w:p>
  </w:footnote>
  <w:footnote w:id="241">
    <w:p w14:paraId="4435B7EE" w14:textId="59303C9B" w:rsidR="00AF3A60" w:rsidRDefault="00AF3A60" w:rsidP="00AF3A60">
      <w:pPr>
        <w:pStyle w:val="FootnoteText"/>
      </w:pPr>
      <w:r>
        <w:rPr>
          <w:rStyle w:val="FootnoteReference"/>
        </w:rPr>
        <w:footnoteRef/>
      </w:r>
      <w:r>
        <w:t xml:space="preserve"> CCSA Reply Brief</w:t>
      </w:r>
      <w:r w:rsidR="00907866">
        <w:t xml:space="preserve"> at </w:t>
      </w:r>
      <w:r>
        <w:t xml:space="preserve">14 citing </w:t>
      </w:r>
      <w:r w:rsidR="008747CC">
        <w:t>Ex. CCSA</w:t>
      </w:r>
      <w:r w:rsidR="003D6EF8">
        <w:noBreakHyphen/>
      </w:r>
      <w:r>
        <w:t>007</w:t>
      </w:r>
      <w:r w:rsidR="00907866">
        <w:t xml:space="preserve"> at </w:t>
      </w:r>
      <w:r>
        <w:t>19.</w:t>
      </w:r>
    </w:p>
  </w:footnote>
  <w:footnote w:id="242">
    <w:p w14:paraId="5BDDFF99" w14:textId="3A7EB5E6" w:rsidR="00AF3A60" w:rsidRDefault="00AF3A60" w:rsidP="00AF3A60">
      <w:pPr>
        <w:pStyle w:val="FootnoteText"/>
      </w:pPr>
      <w:r>
        <w:rPr>
          <w:rStyle w:val="FootnoteReference"/>
        </w:rPr>
        <w:footnoteRef/>
      </w:r>
      <w:r>
        <w:t xml:space="preserve"> </w:t>
      </w:r>
      <w:r w:rsidR="008747CC">
        <w:t>Ex. CCSA</w:t>
      </w:r>
      <w:r w:rsidR="003D6EF8">
        <w:noBreakHyphen/>
      </w:r>
      <w:r>
        <w:t>007</w:t>
      </w:r>
      <w:r w:rsidR="00907866">
        <w:t xml:space="preserve"> at </w:t>
      </w:r>
      <w:r>
        <w:t>19.</w:t>
      </w:r>
    </w:p>
  </w:footnote>
  <w:footnote w:id="243">
    <w:p w14:paraId="6EA37E20" w14:textId="48929647" w:rsidR="00AF3A60" w:rsidRDefault="00AF3A60" w:rsidP="00AF3A60">
      <w:pPr>
        <w:pStyle w:val="FootnoteText"/>
      </w:pPr>
      <w:r>
        <w:rPr>
          <w:rStyle w:val="FootnoteReference"/>
        </w:rPr>
        <w:footnoteRef/>
      </w:r>
      <w:r>
        <w:t xml:space="preserve"> SCE Reply Brief</w:t>
      </w:r>
      <w:r w:rsidR="00907866">
        <w:t xml:space="preserve"> at </w:t>
      </w:r>
      <w:r>
        <w:t>18.</w:t>
      </w:r>
    </w:p>
  </w:footnote>
  <w:footnote w:id="244">
    <w:p w14:paraId="112A80E6" w14:textId="0104855B" w:rsidR="00AF3A60" w:rsidRDefault="00AF3A60" w:rsidP="00AF3A60">
      <w:pPr>
        <w:pStyle w:val="FootnoteText"/>
      </w:pPr>
      <w:r>
        <w:rPr>
          <w:rStyle w:val="FootnoteReference"/>
        </w:rPr>
        <w:footnoteRef/>
      </w:r>
      <w:r>
        <w:t xml:space="preserve"> SCE Reply Brief</w:t>
      </w:r>
      <w:r w:rsidR="00907866">
        <w:t xml:space="preserve"> at </w:t>
      </w:r>
      <w:r>
        <w:t>16</w:t>
      </w:r>
      <w:r w:rsidR="003D6EF8">
        <w:noBreakHyphen/>
      </w:r>
      <w:r>
        <w:t xml:space="preserve">17. </w:t>
      </w:r>
      <w:r w:rsidR="00426D9F">
        <w:t>(</w:t>
      </w:r>
      <w:r w:rsidRPr="00E72908">
        <w:rPr>
          <w:i/>
          <w:iCs/>
        </w:rPr>
        <w:t>See</w:t>
      </w:r>
      <w:r w:rsidRPr="00426D9F">
        <w:rPr>
          <w:i/>
          <w:iCs/>
        </w:rPr>
        <w:t xml:space="preserve"> also</w:t>
      </w:r>
      <w:r>
        <w:t xml:space="preserve"> SCE Reply Brief</w:t>
      </w:r>
      <w:r w:rsidR="00907866">
        <w:t xml:space="preserve"> at </w:t>
      </w:r>
      <w:r>
        <w:t>16</w:t>
      </w:r>
      <w:r w:rsidR="003D6EF8">
        <w:noBreakHyphen/>
      </w:r>
      <w:r>
        <w:t xml:space="preserve">17 citing </w:t>
      </w:r>
      <w:r w:rsidR="00424C2F">
        <w:t>Ex. SDG&amp;E</w:t>
      </w:r>
      <w:r w:rsidR="003D6EF8">
        <w:noBreakHyphen/>
      </w:r>
      <w:r>
        <w:t xml:space="preserve">04, </w:t>
      </w:r>
      <w:r w:rsidR="00B94F97">
        <w:t>Appendix </w:t>
      </w:r>
      <w:r>
        <w:t>C</w:t>
      </w:r>
      <w:r w:rsidR="00907866">
        <w:t xml:space="preserve"> at </w:t>
      </w:r>
      <w:r>
        <w:t xml:space="preserve">12 and </w:t>
      </w:r>
      <w:r w:rsidR="00424C2F">
        <w:t>Ex. SDG&amp;E</w:t>
      </w:r>
      <w:r w:rsidR="003D6EF8">
        <w:noBreakHyphen/>
      </w:r>
      <w:r>
        <w:t xml:space="preserve">04, </w:t>
      </w:r>
      <w:r w:rsidR="00B94F97">
        <w:t>Appendix </w:t>
      </w:r>
      <w:r>
        <w:t>3</w:t>
      </w:r>
      <w:r w:rsidR="00907866">
        <w:t xml:space="preserve"> at </w:t>
      </w:r>
      <w:r>
        <w:t>2.</w:t>
      </w:r>
      <w:r w:rsidR="00426D9F">
        <w:t>)</w:t>
      </w:r>
    </w:p>
  </w:footnote>
  <w:footnote w:id="245">
    <w:p w14:paraId="269FA0FE" w14:textId="21C4ED4A" w:rsidR="00AF3A60" w:rsidRDefault="00AF3A60" w:rsidP="00AF3A60">
      <w:pPr>
        <w:pStyle w:val="FootnoteText"/>
      </w:pPr>
      <w:r>
        <w:rPr>
          <w:rStyle w:val="FootnoteReference"/>
        </w:rPr>
        <w:footnoteRef/>
      </w:r>
      <w:r>
        <w:t xml:space="preserve"> SCE Reply Brief</w:t>
      </w:r>
      <w:r w:rsidR="00907866">
        <w:t xml:space="preserve"> at </w:t>
      </w:r>
      <w:r>
        <w:t>17.</w:t>
      </w:r>
    </w:p>
  </w:footnote>
  <w:footnote w:id="246">
    <w:p w14:paraId="54EFF4E8" w14:textId="071F6BBE" w:rsidR="00AF3A60" w:rsidRDefault="00AF3A60" w:rsidP="00AF3A60">
      <w:pPr>
        <w:pStyle w:val="FootnoteText"/>
      </w:pPr>
      <w:r>
        <w:rPr>
          <w:rStyle w:val="FootnoteReference"/>
        </w:rPr>
        <w:footnoteRef/>
      </w:r>
      <w:r>
        <w:t xml:space="preserve"> </w:t>
      </w:r>
      <w:r w:rsidR="00AD55A4">
        <w:t xml:space="preserve">CEJA, </w:t>
      </w:r>
      <w:r w:rsidR="00237E56">
        <w:rPr>
          <w:i/>
          <w:iCs/>
        </w:rPr>
        <w:t>et al</w:t>
      </w:r>
      <w:r w:rsidR="00AD55A4" w:rsidRPr="00AD55A4">
        <w:rPr>
          <w:i/>
          <w:iCs/>
        </w:rPr>
        <w:t>.</w:t>
      </w:r>
      <w:r>
        <w:t xml:space="preserve"> Opening Comments to </w:t>
      </w:r>
      <w:r w:rsidR="0013526D">
        <w:t>June </w:t>
      </w:r>
      <w:r>
        <w:t>23 Ruling</w:t>
      </w:r>
      <w:r w:rsidR="00907866">
        <w:t xml:space="preserve"> at </w:t>
      </w:r>
      <w:r>
        <w:t>8.</w:t>
      </w:r>
    </w:p>
  </w:footnote>
  <w:footnote w:id="247">
    <w:p w14:paraId="149350CF" w14:textId="13BACDFD" w:rsidR="00AF3A60" w:rsidRDefault="00AF3A60" w:rsidP="00AF3A60">
      <w:pPr>
        <w:pStyle w:val="FootnoteText"/>
      </w:pPr>
      <w:r>
        <w:rPr>
          <w:rStyle w:val="FootnoteReference"/>
        </w:rPr>
        <w:footnoteRef/>
      </w:r>
      <w:r>
        <w:t xml:space="preserve"> </w:t>
      </w:r>
      <w:r w:rsidR="00AD55A4">
        <w:t xml:space="preserve">CEJA, </w:t>
      </w:r>
      <w:r w:rsidR="00237E56">
        <w:rPr>
          <w:i/>
          <w:iCs/>
        </w:rPr>
        <w:t>et al</w:t>
      </w:r>
      <w:r w:rsidR="00AD55A4" w:rsidRPr="00AD55A4">
        <w:rPr>
          <w:i/>
          <w:iCs/>
        </w:rPr>
        <w:t>.</w:t>
      </w:r>
      <w:r>
        <w:t xml:space="preserve"> Opening Comments to </w:t>
      </w:r>
      <w:r w:rsidR="0013526D">
        <w:t>June </w:t>
      </w:r>
      <w:r>
        <w:t>23 Ruling</w:t>
      </w:r>
      <w:r w:rsidR="00907866">
        <w:t xml:space="preserve"> at </w:t>
      </w:r>
      <w:r>
        <w:t>8.</w:t>
      </w:r>
    </w:p>
  </w:footnote>
  <w:footnote w:id="248">
    <w:p w14:paraId="728FD795" w14:textId="4025E520" w:rsidR="00AF3A60" w:rsidRDefault="00AF3A60" w:rsidP="00AF3A60">
      <w:pPr>
        <w:pStyle w:val="FootnoteText"/>
      </w:pPr>
      <w:r>
        <w:rPr>
          <w:rStyle w:val="FootnoteReference"/>
        </w:rPr>
        <w:footnoteRef/>
      </w:r>
      <w:r>
        <w:t xml:space="preserve"> SEIA Opening Brief</w:t>
      </w:r>
      <w:r w:rsidR="00907866">
        <w:t xml:space="preserve"> at </w:t>
      </w:r>
      <w:r>
        <w:t>43.</w:t>
      </w:r>
    </w:p>
  </w:footnote>
  <w:footnote w:id="249">
    <w:p w14:paraId="134E6CC9" w14:textId="2987F1CC" w:rsidR="00AF3A60" w:rsidRDefault="00AF3A60" w:rsidP="00AF3A60">
      <w:pPr>
        <w:pStyle w:val="FootnoteText"/>
      </w:pPr>
      <w:r>
        <w:rPr>
          <w:rStyle w:val="FootnoteReference"/>
        </w:rPr>
        <w:footnoteRef/>
      </w:r>
      <w:r>
        <w:t xml:space="preserve"> </w:t>
      </w:r>
      <w:r w:rsidR="000341A3">
        <w:t>Joint CCA</w:t>
      </w:r>
      <w:r>
        <w:t xml:space="preserve">s Opening Comments to </w:t>
      </w:r>
      <w:r w:rsidR="0013526D">
        <w:t>June </w:t>
      </w:r>
      <w:r>
        <w:t>23 Ruling</w:t>
      </w:r>
      <w:r w:rsidR="00907866">
        <w:t xml:space="preserve"> at </w:t>
      </w:r>
      <w:r>
        <w:t>10.</w:t>
      </w:r>
    </w:p>
  </w:footnote>
  <w:footnote w:id="250">
    <w:p w14:paraId="42B02606" w14:textId="3287419E" w:rsidR="00AF3A60" w:rsidRDefault="00AF3A60" w:rsidP="00AF3A60">
      <w:pPr>
        <w:pStyle w:val="FootnoteText"/>
      </w:pPr>
      <w:r>
        <w:rPr>
          <w:rStyle w:val="FootnoteReference"/>
        </w:rPr>
        <w:footnoteRef/>
      </w:r>
      <w:r>
        <w:t xml:space="preserve"> </w:t>
      </w:r>
      <w:r w:rsidR="000341A3">
        <w:t>Joint CCA</w:t>
      </w:r>
      <w:r>
        <w:t xml:space="preserve">s Opening Comments to </w:t>
      </w:r>
      <w:r w:rsidR="0013526D">
        <w:t>June </w:t>
      </w:r>
      <w:r>
        <w:t>23 Ruling</w:t>
      </w:r>
      <w:r w:rsidR="00907866">
        <w:t xml:space="preserve"> at </w:t>
      </w:r>
      <w:r>
        <w:t>11.</w:t>
      </w:r>
    </w:p>
  </w:footnote>
  <w:footnote w:id="251">
    <w:p w14:paraId="7AAF8732" w14:textId="45124FBD" w:rsidR="00AF3A60" w:rsidRDefault="00AF3A60" w:rsidP="00AF3A60">
      <w:pPr>
        <w:pStyle w:val="FootnoteText"/>
      </w:pPr>
      <w:r>
        <w:rPr>
          <w:rStyle w:val="FootnoteReference"/>
        </w:rPr>
        <w:footnoteRef/>
      </w:r>
      <w:r>
        <w:t xml:space="preserve"> </w:t>
      </w:r>
      <w:r w:rsidR="000341A3">
        <w:t>Joint CCA</w:t>
      </w:r>
      <w:r>
        <w:t xml:space="preserve">s Opening Comments to </w:t>
      </w:r>
      <w:r w:rsidR="0013526D">
        <w:t>June </w:t>
      </w:r>
      <w:r>
        <w:t>23 Ruling</w:t>
      </w:r>
      <w:r w:rsidR="00907866">
        <w:t xml:space="preserve"> at </w:t>
      </w:r>
      <w:r>
        <w:t>11.</w:t>
      </w:r>
    </w:p>
  </w:footnote>
  <w:footnote w:id="252">
    <w:p w14:paraId="3AE29342" w14:textId="2981B09F"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3.</w:t>
      </w:r>
    </w:p>
  </w:footnote>
  <w:footnote w:id="253">
    <w:p w14:paraId="21381BD4" w14:textId="39E38810" w:rsidR="00AF3A60" w:rsidRDefault="00AF3A60" w:rsidP="00AF3A60">
      <w:pPr>
        <w:pStyle w:val="FootnoteText"/>
      </w:pPr>
      <w:r>
        <w:rPr>
          <w:rStyle w:val="FootnoteReference"/>
        </w:rPr>
        <w:footnoteRef/>
      </w:r>
      <w:r>
        <w:t xml:space="preserve"> </w:t>
      </w:r>
      <w:r w:rsidR="0019580D">
        <w:t>Ex. PGE</w:t>
      </w:r>
      <w:r w:rsidR="003D6EF8">
        <w:noBreakHyphen/>
      </w:r>
      <w:r>
        <w:t>04</w:t>
      </w:r>
      <w:r w:rsidR="00907866">
        <w:t xml:space="preserve"> at </w:t>
      </w:r>
      <w:r>
        <w:t>5.</w:t>
      </w:r>
    </w:p>
  </w:footnote>
  <w:footnote w:id="254">
    <w:p w14:paraId="0090471F" w14:textId="4B1FA587"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4</w:t>
      </w:r>
      <w:r w:rsidR="003D6EF8">
        <w:noBreakHyphen/>
      </w:r>
      <w:r>
        <w:t xml:space="preserve">5. </w:t>
      </w:r>
      <w:r w:rsidR="00334CD7">
        <w:t>(</w:t>
      </w:r>
      <w:r w:rsidRPr="00334CD7">
        <w:rPr>
          <w:i/>
          <w:iCs/>
        </w:rPr>
        <w:t>See also</w:t>
      </w:r>
      <w:r>
        <w:t xml:space="preserve"> </w:t>
      </w:r>
      <w:r w:rsidR="00424C2F">
        <w:t>Ex. PG&amp;E</w:t>
      </w:r>
      <w:r w:rsidR="003D6EF8">
        <w:noBreakHyphen/>
      </w:r>
      <w:r>
        <w:t>04</w:t>
      </w:r>
      <w:r w:rsidR="00907866">
        <w:t xml:space="preserve"> at </w:t>
      </w:r>
      <w:r>
        <w:t>5.</w:t>
      </w:r>
      <w:r w:rsidR="00334CD7">
        <w:t>)</w:t>
      </w:r>
    </w:p>
  </w:footnote>
  <w:footnote w:id="255">
    <w:p w14:paraId="3A051F18" w14:textId="41DEC924"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5.</w:t>
      </w:r>
    </w:p>
  </w:footnote>
  <w:footnote w:id="256">
    <w:p w14:paraId="7186A359" w14:textId="5147D29F" w:rsidR="00AF3A60" w:rsidRDefault="00AF3A60" w:rsidP="00AF3A60">
      <w:pPr>
        <w:pStyle w:val="FootnoteText"/>
      </w:pPr>
      <w:r>
        <w:rPr>
          <w:rStyle w:val="FootnoteReference"/>
        </w:rPr>
        <w:footnoteRef/>
      </w:r>
      <w:r>
        <w:t xml:space="preserve"> TURN Opening Comments to </w:t>
      </w:r>
      <w:r w:rsidR="0013526D">
        <w:t>June </w:t>
      </w:r>
      <w:r>
        <w:t>23 Ruling</w:t>
      </w:r>
      <w:r w:rsidR="00907866">
        <w:t xml:space="preserve"> at </w:t>
      </w:r>
      <w:r>
        <w:t>2</w:t>
      </w:r>
      <w:r w:rsidR="003D6EF8">
        <w:noBreakHyphen/>
      </w:r>
      <w:r>
        <w:t>3</w:t>
      </w:r>
      <w:r w:rsidR="00E72908">
        <w:t>.</w:t>
      </w:r>
    </w:p>
  </w:footnote>
  <w:footnote w:id="257">
    <w:p w14:paraId="55358B83" w14:textId="2A62A352" w:rsidR="00AF3A60" w:rsidRDefault="00AF3A60" w:rsidP="00AF3A60">
      <w:pPr>
        <w:pStyle w:val="FootnoteText"/>
      </w:pPr>
      <w:r>
        <w:rPr>
          <w:rStyle w:val="FootnoteReference"/>
        </w:rPr>
        <w:footnoteRef/>
      </w:r>
      <w:r>
        <w:t xml:space="preserve"> PG&amp;E Opening Comments to </w:t>
      </w:r>
      <w:r w:rsidR="0013526D">
        <w:t>June </w:t>
      </w:r>
      <w:r>
        <w:t>23 Ruling</w:t>
      </w:r>
      <w:r w:rsidR="00907866">
        <w:t xml:space="preserve"> at </w:t>
      </w:r>
      <w:r>
        <w:t>6.</w:t>
      </w:r>
    </w:p>
  </w:footnote>
  <w:footnote w:id="258">
    <w:p w14:paraId="0235F5F0" w14:textId="33EBB33E" w:rsidR="00AF3A60" w:rsidRDefault="00AF3A60" w:rsidP="00AF3A60">
      <w:pPr>
        <w:pStyle w:val="FootnoteText"/>
      </w:pPr>
      <w:r>
        <w:rPr>
          <w:rStyle w:val="FootnoteReference"/>
        </w:rPr>
        <w:footnoteRef/>
      </w:r>
      <w:r>
        <w:t xml:space="preserve"> SCE Reply Brief</w:t>
      </w:r>
      <w:r w:rsidR="00907866">
        <w:t xml:space="preserve"> at </w:t>
      </w:r>
      <w:r>
        <w:t>34.</w:t>
      </w:r>
    </w:p>
  </w:footnote>
  <w:footnote w:id="259">
    <w:p w14:paraId="6B28A764" w14:textId="0FD9BEC7" w:rsidR="00AF3A60" w:rsidRDefault="00AF3A60" w:rsidP="00AF3A60">
      <w:pPr>
        <w:pStyle w:val="FootnoteText"/>
      </w:pPr>
      <w:r>
        <w:rPr>
          <w:rStyle w:val="FootnoteReference"/>
        </w:rPr>
        <w:footnoteRef/>
      </w:r>
      <w:r>
        <w:t xml:space="preserve"> SCE Reply Brief</w:t>
      </w:r>
      <w:r w:rsidR="00907866">
        <w:t xml:space="preserve"> at </w:t>
      </w:r>
      <w:r>
        <w:t>34.</w:t>
      </w:r>
    </w:p>
  </w:footnote>
  <w:footnote w:id="260">
    <w:p w14:paraId="11AA91CF" w14:textId="6D7EAD08" w:rsidR="00AF3A60" w:rsidRDefault="00AF3A60" w:rsidP="00AF3A60">
      <w:pPr>
        <w:pStyle w:val="FootnoteText"/>
      </w:pPr>
      <w:r>
        <w:rPr>
          <w:rStyle w:val="FootnoteReference"/>
        </w:rPr>
        <w:footnoteRef/>
      </w:r>
      <w:r>
        <w:t xml:space="preserve"> SCE Reply Brief</w:t>
      </w:r>
      <w:r w:rsidR="00907866">
        <w:t xml:space="preserve"> at </w:t>
      </w:r>
      <w:r>
        <w:t>30</w:t>
      </w:r>
      <w:r w:rsidR="003D6EF8">
        <w:noBreakHyphen/>
      </w:r>
      <w:r>
        <w:t>31.</w:t>
      </w:r>
    </w:p>
  </w:footnote>
  <w:footnote w:id="261">
    <w:p w14:paraId="57A85A96" w14:textId="64B7AA5E" w:rsidR="00AF3A60" w:rsidRDefault="00AF3A60" w:rsidP="00AF3A60">
      <w:pPr>
        <w:pStyle w:val="FootnoteText"/>
      </w:pPr>
      <w:r>
        <w:rPr>
          <w:rStyle w:val="FootnoteReference"/>
        </w:rPr>
        <w:footnoteRef/>
      </w:r>
      <w:r>
        <w:t xml:space="preserve"> SCE Reply Comments to </w:t>
      </w:r>
      <w:r w:rsidR="0013526D">
        <w:t>June </w:t>
      </w:r>
      <w:r>
        <w:t>23 Ruling</w:t>
      </w:r>
      <w:r w:rsidR="00907866">
        <w:t xml:space="preserve"> at </w:t>
      </w:r>
      <w:r>
        <w:t>31.</w:t>
      </w:r>
    </w:p>
  </w:footnote>
  <w:footnote w:id="262">
    <w:p w14:paraId="70A802A8" w14:textId="7700BF02" w:rsidR="00AF3A60" w:rsidRDefault="00AF3A60" w:rsidP="00AF3A60">
      <w:pPr>
        <w:pStyle w:val="FootnoteText"/>
      </w:pPr>
      <w:r>
        <w:rPr>
          <w:rStyle w:val="FootnoteReference"/>
        </w:rPr>
        <w:footnoteRef/>
      </w:r>
      <w:r>
        <w:t xml:space="preserve"> </w:t>
      </w:r>
      <w:r w:rsidR="002917E2">
        <w:t>Cal Advoc</w:t>
      </w:r>
      <w:r>
        <w:t xml:space="preserve">ates Opening Comments to </w:t>
      </w:r>
      <w:r w:rsidR="0013526D">
        <w:t>June </w:t>
      </w:r>
      <w:r>
        <w:t>23 Ruling</w:t>
      </w:r>
      <w:r w:rsidR="00907866">
        <w:t xml:space="preserve"> at </w:t>
      </w:r>
      <w:r>
        <w:t>19.</w:t>
      </w:r>
    </w:p>
  </w:footnote>
  <w:footnote w:id="263">
    <w:p w14:paraId="024AE134" w14:textId="17F54E38" w:rsidR="000E0D78" w:rsidRDefault="000E0D78">
      <w:pPr>
        <w:pStyle w:val="FootnoteText"/>
      </w:pPr>
      <w:r>
        <w:rPr>
          <w:rStyle w:val="FootnoteReference"/>
        </w:rPr>
        <w:footnoteRef/>
      </w:r>
      <w:r>
        <w:t xml:space="preserve"> </w:t>
      </w:r>
      <w:r w:rsidR="008747CC">
        <w:t>Ex. CCSA</w:t>
      </w:r>
      <w:r w:rsidR="003D6EF8">
        <w:noBreakHyphen/>
      </w:r>
      <w:r>
        <w:t>04</w:t>
      </w:r>
      <w:r w:rsidR="00907866">
        <w:t xml:space="preserve"> at </w:t>
      </w:r>
      <w:r>
        <w:t>24 and CCSA Reply Brief</w:t>
      </w:r>
      <w:r w:rsidR="00907866">
        <w:t xml:space="preserve"> at </w:t>
      </w:r>
      <w:r>
        <w:t>26.</w:t>
      </w:r>
    </w:p>
  </w:footnote>
  <w:footnote w:id="264">
    <w:p w14:paraId="6978F170" w14:textId="51F7E64F" w:rsidR="001C71FE" w:rsidRDefault="001C71FE" w:rsidP="001C71FE">
      <w:pPr>
        <w:pStyle w:val="FootnoteText"/>
      </w:pPr>
      <w:r>
        <w:rPr>
          <w:rStyle w:val="FootnoteReference"/>
        </w:rPr>
        <w:footnoteRef/>
      </w:r>
      <w:r>
        <w:t xml:space="preserve"> </w:t>
      </w:r>
      <w:r w:rsidR="00DE5E44">
        <w:t xml:space="preserve">CCSA Opening Comments to Proposed Decision at 10 and </w:t>
      </w:r>
      <w:r>
        <w:t>TURN Opening Comments to Proposed Decision at 9.</w:t>
      </w:r>
    </w:p>
  </w:footnote>
  <w:footnote w:id="265">
    <w:p w14:paraId="68A67AD4" w14:textId="2ECF28D1" w:rsidR="00DE5E44" w:rsidRDefault="00DE5E44">
      <w:pPr>
        <w:pStyle w:val="FootnoteText"/>
      </w:pPr>
      <w:r>
        <w:rPr>
          <w:rStyle w:val="FootnoteReference"/>
        </w:rPr>
        <w:footnoteRef/>
      </w:r>
      <w:r>
        <w:t xml:space="preserve"> CCSA Opening Comments to Proposed Decision at 10.</w:t>
      </w:r>
    </w:p>
  </w:footnote>
  <w:footnote w:id="266">
    <w:p w14:paraId="5FD336F1" w14:textId="77777777" w:rsidR="001C71FE" w:rsidRDefault="001C71FE" w:rsidP="001C71FE">
      <w:pPr>
        <w:pStyle w:val="FootnoteText"/>
      </w:pPr>
      <w:r>
        <w:rPr>
          <w:rStyle w:val="FootnoteReference"/>
        </w:rPr>
        <w:footnoteRef/>
      </w:r>
      <w:r>
        <w:t xml:space="preserve"> PG&amp;E Opening Comments to June 23 Ruling at 5, fn 5 citing to 2022 ACC Documentation version 1b.</w:t>
      </w:r>
    </w:p>
  </w:footnote>
  <w:footnote w:id="267">
    <w:p w14:paraId="787AE2E2" w14:textId="330A9973" w:rsidR="00AF3A60" w:rsidRDefault="00AF3A60" w:rsidP="00AF3A60">
      <w:pPr>
        <w:pStyle w:val="FootnoteText"/>
      </w:pPr>
      <w:r>
        <w:rPr>
          <w:rStyle w:val="FootnoteReference"/>
        </w:rPr>
        <w:footnoteRef/>
      </w:r>
      <w:r>
        <w:t xml:space="preserve"> </w:t>
      </w:r>
      <w:r w:rsidR="008747CC">
        <w:t>Ex. CCSA</w:t>
      </w:r>
      <w:r w:rsidR="003D6EF8">
        <w:noBreakHyphen/>
      </w:r>
      <w:r>
        <w:t>07</w:t>
      </w:r>
      <w:r w:rsidR="00907866">
        <w:t xml:space="preserve"> at </w:t>
      </w:r>
      <w:r>
        <w:t>11.</w:t>
      </w:r>
    </w:p>
  </w:footnote>
  <w:footnote w:id="268">
    <w:p w14:paraId="1D5F020C" w14:textId="09A45907" w:rsidR="00AF3A60" w:rsidRDefault="00AF3A60" w:rsidP="00AF3A60">
      <w:pPr>
        <w:pStyle w:val="FootnoteText"/>
      </w:pPr>
      <w:r>
        <w:rPr>
          <w:rStyle w:val="FootnoteReference"/>
        </w:rPr>
        <w:footnoteRef/>
      </w:r>
      <w:r>
        <w:t xml:space="preserve"> The Electric </w:t>
      </w:r>
      <w:r w:rsidR="00566DFA">
        <w:t>Rule </w:t>
      </w:r>
      <w:r>
        <w:t xml:space="preserve">21 tariff describes the interconnection, operating, and metering requirements for certain generating and storage facilities seeking to connect to the electric distribution system. </w:t>
      </w:r>
      <w:r w:rsidR="00B93FAE">
        <w:t xml:space="preserve">Electric </w:t>
      </w:r>
      <w:r w:rsidR="00566DFA">
        <w:t>Rule </w:t>
      </w:r>
      <w:r>
        <w:t>21 provides customers access to the electric grid to install generating or storage facilities while protecting the safety and reliability of the distribution and transmission systems</w:t>
      </w:r>
      <w:r w:rsidR="00907866">
        <w:t xml:space="preserve"> at </w:t>
      </w:r>
      <w:r>
        <w:t xml:space="preserve">the local and system levels. </w:t>
      </w:r>
      <w:r w:rsidR="00512A61">
        <w:t>(</w:t>
      </w:r>
      <w:r>
        <w:t>D.19</w:t>
      </w:r>
      <w:r w:rsidR="003D6EF8">
        <w:noBreakHyphen/>
      </w:r>
      <w:r>
        <w:t>03</w:t>
      </w:r>
      <w:r w:rsidR="003D6EF8">
        <w:noBreakHyphen/>
      </w:r>
      <w:r>
        <w:t>013</w:t>
      </w:r>
      <w:r w:rsidR="00907866">
        <w:t xml:space="preserve"> at </w:t>
      </w:r>
      <w:r>
        <w:t xml:space="preserve">4 citing the </w:t>
      </w:r>
      <w:r w:rsidRPr="00611720">
        <w:rPr>
          <w:i/>
          <w:iCs/>
        </w:rPr>
        <w:t>Order Instituting Rulemaking</w:t>
      </w:r>
      <w:r w:rsidR="00B93FAE">
        <w:rPr>
          <w:i/>
          <w:iCs/>
        </w:rPr>
        <w:t> </w:t>
      </w:r>
      <w:r w:rsidRPr="00611720">
        <w:rPr>
          <w:i/>
          <w:iCs/>
        </w:rPr>
        <w:t>17</w:t>
      </w:r>
      <w:r w:rsidR="003D6EF8">
        <w:rPr>
          <w:i/>
          <w:iCs/>
        </w:rPr>
        <w:noBreakHyphen/>
      </w:r>
      <w:r w:rsidRPr="00611720">
        <w:rPr>
          <w:i/>
          <w:iCs/>
        </w:rPr>
        <w:t>07</w:t>
      </w:r>
      <w:r w:rsidR="003D6EF8">
        <w:rPr>
          <w:i/>
          <w:iCs/>
        </w:rPr>
        <w:noBreakHyphen/>
      </w:r>
      <w:r w:rsidRPr="00611720">
        <w:rPr>
          <w:i/>
          <w:iCs/>
        </w:rPr>
        <w:t>007</w:t>
      </w:r>
      <w:r w:rsidR="00907866">
        <w:t xml:space="preserve"> at </w:t>
      </w:r>
      <w:r>
        <w:t>2.</w:t>
      </w:r>
      <w:r w:rsidR="00512A61">
        <w:t>)</w:t>
      </w:r>
    </w:p>
  </w:footnote>
  <w:footnote w:id="269">
    <w:p w14:paraId="60DE4945" w14:textId="7FE68D93" w:rsidR="00AF3A60" w:rsidRDefault="00AF3A60" w:rsidP="00AF3A60">
      <w:pPr>
        <w:pStyle w:val="FootnoteText"/>
      </w:pPr>
      <w:r>
        <w:rPr>
          <w:rStyle w:val="FootnoteReference"/>
        </w:rPr>
        <w:footnoteRef/>
      </w:r>
      <w:r>
        <w:t xml:space="preserve"> SEIA Opening Brief</w:t>
      </w:r>
      <w:r w:rsidR="00907866">
        <w:t xml:space="preserve"> at </w:t>
      </w:r>
      <w:r>
        <w:t>44.</w:t>
      </w:r>
    </w:p>
  </w:footnote>
  <w:footnote w:id="270">
    <w:p w14:paraId="4AADBDC6" w14:textId="008C3A79" w:rsidR="00AF3A60" w:rsidRDefault="00AF3A60" w:rsidP="00AF3A60">
      <w:pPr>
        <w:pStyle w:val="FootnoteText"/>
      </w:pPr>
      <w:r>
        <w:rPr>
          <w:rStyle w:val="FootnoteReference"/>
        </w:rPr>
        <w:footnoteRef/>
      </w:r>
      <w:r>
        <w:t xml:space="preserve"> </w:t>
      </w:r>
      <w:r w:rsidR="000341A3">
        <w:t>Joint CCA</w:t>
      </w:r>
      <w:r>
        <w:t>s Reply Brief</w:t>
      </w:r>
      <w:r w:rsidR="00907866">
        <w:t xml:space="preserve"> at </w:t>
      </w:r>
      <w:r>
        <w:t>25.</w:t>
      </w:r>
    </w:p>
  </w:footnote>
  <w:footnote w:id="271">
    <w:p w14:paraId="06562961" w14:textId="49AFA274" w:rsidR="00AF3A60" w:rsidRDefault="00AF3A60" w:rsidP="00AF3A60">
      <w:pPr>
        <w:pStyle w:val="FootnoteText"/>
      </w:pPr>
      <w:r>
        <w:rPr>
          <w:rStyle w:val="FootnoteReference"/>
        </w:rPr>
        <w:footnoteRef/>
      </w:r>
      <w:r>
        <w:t xml:space="preserve"> </w:t>
      </w:r>
      <w:r w:rsidR="000341A3">
        <w:t>Joint CCA</w:t>
      </w:r>
      <w:r>
        <w:t>s Reply Brief</w:t>
      </w:r>
      <w:r w:rsidR="00907866">
        <w:t xml:space="preserve"> at </w:t>
      </w:r>
      <w:r>
        <w:t>25</w:t>
      </w:r>
      <w:r w:rsidR="003D6EF8">
        <w:noBreakHyphen/>
      </w:r>
      <w:r>
        <w:t>26.</w:t>
      </w:r>
    </w:p>
  </w:footnote>
  <w:footnote w:id="272">
    <w:p w14:paraId="327E168D" w14:textId="5387714E"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35</w:t>
      </w:r>
      <w:r w:rsidR="003D6EF8">
        <w:noBreakHyphen/>
      </w:r>
      <w:r>
        <w:t>36.</w:t>
      </w:r>
    </w:p>
  </w:footnote>
  <w:footnote w:id="273">
    <w:p w14:paraId="2A33EE6C" w14:textId="7A7DA82C"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36</w:t>
      </w:r>
      <w:r w:rsidR="003D6EF8">
        <w:noBreakHyphen/>
      </w:r>
      <w:r>
        <w:t xml:space="preserve">37 citing to </w:t>
      </w:r>
      <w:r w:rsidRPr="00032F0C">
        <w:rPr>
          <w:i/>
          <w:iCs/>
        </w:rPr>
        <w:t>California Public Utilities Commission Distributed Energy Resources Action Plan Aligning Vision and Action</w:t>
      </w:r>
      <w:r>
        <w:t xml:space="preserve"> (April 2021)</w:t>
      </w:r>
      <w:r w:rsidR="00907866">
        <w:t xml:space="preserve"> at </w:t>
      </w:r>
      <w:r>
        <w:t>23.</w:t>
      </w:r>
    </w:p>
  </w:footnote>
  <w:footnote w:id="274">
    <w:p w14:paraId="254E7EDA" w14:textId="214B3C04" w:rsidR="00AF3A60" w:rsidRDefault="00AF3A60" w:rsidP="00AF3A60">
      <w:pPr>
        <w:pStyle w:val="FootnoteText"/>
      </w:pPr>
      <w:r>
        <w:rPr>
          <w:rStyle w:val="FootnoteReference"/>
        </w:rPr>
        <w:footnoteRef/>
      </w:r>
      <w:r>
        <w:t xml:space="preserve"> SEIA Opening Comments to </w:t>
      </w:r>
      <w:r w:rsidR="0013526D">
        <w:t>June </w:t>
      </w:r>
      <w:r>
        <w:t>23 Ruling</w:t>
      </w:r>
      <w:r w:rsidR="00907866">
        <w:t xml:space="preserve"> at </w:t>
      </w:r>
      <w:r>
        <w:t>17</w:t>
      </w:r>
      <w:r w:rsidR="003D6EF8">
        <w:noBreakHyphen/>
      </w:r>
      <w:r>
        <w:t>21.</w:t>
      </w:r>
    </w:p>
  </w:footnote>
  <w:footnote w:id="275">
    <w:p w14:paraId="4F652DF6" w14:textId="03972AC7" w:rsidR="00AF3A60" w:rsidRDefault="00AF3A60" w:rsidP="00AF3A60">
      <w:pPr>
        <w:pStyle w:val="FootnoteText"/>
      </w:pPr>
      <w:r>
        <w:rPr>
          <w:rStyle w:val="FootnoteReference"/>
        </w:rPr>
        <w:footnoteRef/>
      </w:r>
      <w:r>
        <w:t xml:space="preserve"> </w:t>
      </w:r>
      <w:r w:rsidR="00440785">
        <w:t>Pub. Util.</w:t>
      </w:r>
      <w:r>
        <w:t xml:space="preserve"> Code </w:t>
      </w:r>
      <w:r w:rsidR="00D558A3">
        <w:t>Section </w:t>
      </w:r>
      <w:r>
        <w:t>2830 created the RES</w:t>
      </w:r>
      <w:r w:rsidR="003D6EF8">
        <w:noBreakHyphen/>
      </w:r>
      <w:r>
        <w:t xml:space="preserve">BCT tariff; </w:t>
      </w:r>
      <w:r w:rsidR="00440785">
        <w:t>Resolution </w:t>
      </w:r>
      <w:r>
        <w:t>E</w:t>
      </w:r>
      <w:r w:rsidR="003D6EF8">
        <w:noBreakHyphen/>
      </w:r>
      <w:r>
        <w:t>4243 implemented the tariff.</w:t>
      </w:r>
    </w:p>
  </w:footnote>
  <w:footnote w:id="276">
    <w:p w14:paraId="77A11C1E" w14:textId="66663960" w:rsidR="00AF3A60" w:rsidRDefault="00AF3A60" w:rsidP="00AF3A60">
      <w:pPr>
        <w:pStyle w:val="FootnoteText"/>
      </w:pPr>
      <w:r>
        <w:rPr>
          <w:rStyle w:val="FootnoteReference"/>
        </w:rPr>
        <w:footnoteRef/>
      </w:r>
      <w:r>
        <w:t xml:space="preserve"> As defined in </w:t>
      </w:r>
      <w:r w:rsidR="00440785">
        <w:t>Pub. Util.</w:t>
      </w:r>
      <w:r>
        <w:t xml:space="preserve"> Code </w:t>
      </w:r>
      <w:r w:rsidR="00D558A3">
        <w:t>Section </w:t>
      </w:r>
      <w:r>
        <w:t>2830</w:t>
      </w:r>
      <w:r w:rsidR="00084164">
        <w:t>(</w:t>
      </w:r>
      <w:r>
        <w:t xml:space="preserve">a)(6), local governments means a </w:t>
      </w:r>
      <w:r w:rsidRPr="00137055">
        <w:t>cit</w:t>
      </w:r>
      <w:r>
        <w:t>y</w:t>
      </w:r>
      <w:r w:rsidRPr="00137055">
        <w:t>, count</w:t>
      </w:r>
      <w:r>
        <w:t>y</w:t>
      </w:r>
      <w:r w:rsidRPr="00137055">
        <w:t xml:space="preserve">, </w:t>
      </w:r>
      <w:r>
        <w:t xml:space="preserve">whether general </w:t>
      </w:r>
      <w:r w:rsidRPr="00467BF2">
        <w:t>law or chartered, city and county, special district, school district, political subdivision, other local public agency, or a joint powers authority formed pursuant to the Joint Exercise of Powers Act (</w:t>
      </w:r>
      <w:r w:rsidR="00EE35B1">
        <w:t>Chapter </w:t>
      </w:r>
      <w:r w:rsidRPr="00467BF2">
        <w:t xml:space="preserve">5 (commencing with </w:t>
      </w:r>
      <w:r w:rsidR="00D558A3">
        <w:t>Section </w:t>
      </w:r>
      <w:r w:rsidRPr="00467BF2">
        <w:t xml:space="preserve">6500) of </w:t>
      </w:r>
      <w:r w:rsidR="00F62BB9">
        <w:t>Division </w:t>
      </w:r>
      <w:r w:rsidRPr="00467BF2">
        <w:t xml:space="preserve">7 of </w:t>
      </w:r>
      <w:r w:rsidR="00E67CA9">
        <w:t>Title </w:t>
      </w:r>
      <w:r w:rsidRPr="00467BF2">
        <w:t>1 of the Government Code) that has as members public agencies located within the same county and same electrical corporation service territory, but shall not mean the state, any agency or department of the state, other than an individual campus of the University of California or the California State University, or any joint powers authority that has as members public agencies located in different counties or different electrical corporation service territories, or that has as a member the federal government, any federal department or agency, this or another state, or any department or agency of this state or another state</w:t>
      </w:r>
      <w:r>
        <w:t>.</w:t>
      </w:r>
    </w:p>
  </w:footnote>
  <w:footnote w:id="277">
    <w:p w14:paraId="7AC09E5C" w14:textId="0C9C3044" w:rsidR="00AF3A60" w:rsidRDefault="00AF3A60" w:rsidP="00AF3A60">
      <w:pPr>
        <w:pStyle w:val="FootnoteText"/>
      </w:pPr>
      <w:r>
        <w:rPr>
          <w:rStyle w:val="FootnoteReference"/>
        </w:rPr>
        <w:footnoteRef/>
      </w:r>
      <w:r>
        <w:t xml:space="preserve"> </w:t>
      </w:r>
      <w:r w:rsidR="008747CC">
        <w:t>Ex. CCSA</w:t>
      </w:r>
      <w:r w:rsidR="003D6EF8">
        <w:noBreakHyphen/>
      </w:r>
      <w:r>
        <w:t>01</w:t>
      </w:r>
      <w:r w:rsidR="00907866">
        <w:t xml:space="preserve"> at </w:t>
      </w:r>
      <w:r>
        <w:t>38.</w:t>
      </w:r>
    </w:p>
  </w:footnote>
  <w:footnote w:id="278">
    <w:p w14:paraId="4A882C2D" w14:textId="5EA196A1" w:rsidR="00AF3A60" w:rsidRDefault="00AF3A60" w:rsidP="00AF3A60">
      <w:pPr>
        <w:pStyle w:val="FootnoteText"/>
      </w:pPr>
      <w:r>
        <w:rPr>
          <w:rStyle w:val="FootnoteReference"/>
        </w:rPr>
        <w:footnoteRef/>
      </w:r>
      <w:r>
        <w:t xml:space="preserve"> Additionally, for REC</w:t>
      </w:r>
      <w:r w:rsidR="003D6EF8">
        <w:noBreakHyphen/>
      </w:r>
      <w:r>
        <w:t>BCT, as well as NEMA, the host customer and the benefiting account holder is the same entity.</w:t>
      </w:r>
    </w:p>
  </w:footnote>
  <w:footnote w:id="279">
    <w:p w14:paraId="6513A4D2" w14:textId="35570B6A" w:rsidR="00AF3A60" w:rsidRDefault="00AF3A60" w:rsidP="00AF3A60">
      <w:pPr>
        <w:pStyle w:val="FootnoteText"/>
      </w:pPr>
      <w:r>
        <w:rPr>
          <w:rStyle w:val="FootnoteReference"/>
        </w:rPr>
        <w:footnoteRef/>
      </w:r>
      <w:r>
        <w:t xml:space="preserve"> The California Standard Practice Manual</w:t>
      </w:r>
      <w:r w:rsidR="005D30D7">
        <w:t xml:space="preserve">: </w:t>
      </w:r>
      <w:r>
        <w:t>Economic Analysis of Demand</w:t>
      </w:r>
      <w:r w:rsidR="003D6EF8">
        <w:noBreakHyphen/>
      </w:r>
      <w:r>
        <w:t>Side Programs and Projects, California Public Utilities Commission (October 2001)</w:t>
      </w:r>
      <w:r w:rsidR="00656024">
        <w:t xml:space="preserve"> </w:t>
      </w:r>
      <w:r w:rsidR="00656024" w:rsidRPr="00176DD9">
        <w:t>(Standard Practice Manual)</w:t>
      </w:r>
      <w:r>
        <w:t>, available at</w:t>
      </w:r>
      <w:r w:rsidR="005D30D7">
        <w:t xml:space="preserve">: </w:t>
      </w:r>
      <w:hyperlink r:id="rId3" w:history="1">
        <w:r w:rsidRPr="00EB4999">
          <w:rPr>
            <w:rStyle w:val="Hyperlink"/>
          </w:rPr>
          <w:t>cpuc</w:t>
        </w:r>
        <w:r w:rsidR="003D6EF8">
          <w:rPr>
            <w:rStyle w:val="Hyperlink"/>
          </w:rPr>
          <w:noBreakHyphen/>
        </w:r>
        <w:r w:rsidRPr="00EB4999">
          <w:rPr>
            <w:rStyle w:val="Hyperlink"/>
          </w:rPr>
          <w:t>standard</w:t>
        </w:r>
        <w:r w:rsidR="003D6EF8">
          <w:rPr>
            <w:rStyle w:val="Hyperlink"/>
          </w:rPr>
          <w:noBreakHyphen/>
        </w:r>
        <w:r w:rsidRPr="00EB4999">
          <w:rPr>
            <w:rStyle w:val="Hyperlink"/>
          </w:rPr>
          <w:t>practice</w:t>
        </w:r>
        <w:r w:rsidR="003D6EF8">
          <w:rPr>
            <w:rStyle w:val="Hyperlink"/>
          </w:rPr>
          <w:noBreakHyphen/>
        </w:r>
        <w:r w:rsidRPr="00EB4999">
          <w:rPr>
            <w:rStyle w:val="Hyperlink"/>
          </w:rPr>
          <w:t>manual.pdf</w:t>
        </w:r>
      </w:hyperlink>
      <w:r w:rsidR="00EB4999">
        <w:t xml:space="preserve">. The </w:t>
      </w:r>
      <w:r>
        <w:t>Standard Practice Manual provides guidelines for measuring the cost</w:t>
      </w:r>
      <w:r w:rsidR="003D6EF8">
        <w:noBreakHyphen/>
      </w:r>
      <w:r>
        <w:t>effectiveness of utility</w:t>
      </w:r>
      <w:r w:rsidR="003D6EF8">
        <w:noBreakHyphen/>
      </w:r>
      <w:r>
        <w:t>sponsored programs and consists of the application of a series of tests representing a variety of perspectives</w:t>
      </w:r>
      <w:r w:rsidR="005D30D7">
        <w:t xml:space="preserve">: </w:t>
      </w:r>
      <w:r>
        <w:t>participants, nonparticipants, all ratepayers, society, and the utility.</w:t>
      </w:r>
    </w:p>
  </w:footnote>
  <w:footnote w:id="280">
    <w:p w14:paraId="3DA6EA66" w14:textId="1330C844" w:rsidR="00AF3A60" w:rsidRDefault="00AF3A60" w:rsidP="00AF3A60">
      <w:pPr>
        <w:pStyle w:val="FootnoteText"/>
      </w:pPr>
      <w:r>
        <w:rPr>
          <w:rStyle w:val="FootnoteReference"/>
        </w:rPr>
        <w:footnoteRef/>
      </w:r>
      <w:r>
        <w:t xml:space="preserve"> The TRC measures the net costs of a demand</w:t>
      </w:r>
      <w:r w:rsidR="003D6EF8">
        <w:noBreakHyphen/>
      </w:r>
      <w:r>
        <w:t>side management program as a resource option based on the total costs of the program, including both the participants</w:t>
      </w:r>
      <w:r w:rsidR="00440785">
        <w:t>’</w:t>
      </w:r>
      <w:r>
        <w:t xml:space="preserve"> and the utility</w:t>
      </w:r>
      <w:r w:rsidR="00440785">
        <w:t>’</w:t>
      </w:r>
      <w:r>
        <w:t>s costs. (Standard Practice Manual</w:t>
      </w:r>
      <w:r w:rsidR="00907866">
        <w:t xml:space="preserve"> at </w:t>
      </w:r>
      <w:r>
        <w:t>18.)</w:t>
      </w:r>
    </w:p>
  </w:footnote>
  <w:footnote w:id="281">
    <w:p w14:paraId="477B2A4A" w14:textId="154EAE57" w:rsidR="00AF3A60" w:rsidRDefault="00AF3A60" w:rsidP="00AF3A60">
      <w:pPr>
        <w:pStyle w:val="FootnoteText"/>
      </w:pPr>
      <w:r>
        <w:rPr>
          <w:rStyle w:val="FootnoteReference"/>
        </w:rPr>
        <w:footnoteRef/>
      </w:r>
      <w:r>
        <w:t xml:space="preserve"> The PCT is the measure of the quantifiable benefits and costs to the customer due to participation in a program. (Standard Practice Manual</w:t>
      </w:r>
      <w:r w:rsidR="00907866">
        <w:t xml:space="preserve"> at </w:t>
      </w:r>
      <w:r>
        <w:t>8.)</w:t>
      </w:r>
    </w:p>
  </w:footnote>
  <w:footnote w:id="282">
    <w:p w14:paraId="5B122D8D" w14:textId="23B62375" w:rsidR="00AF3A60" w:rsidRDefault="00AF3A60" w:rsidP="006778E5">
      <w:pPr>
        <w:pStyle w:val="FootnoteText"/>
      </w:pPr>
      <w:r>
        <w:rPr>
          <w:rStyle w:val="FootnoteReference"/>
        </w:rPr>
        <w:footnoteRef/>
      </w:r>
      <w:r>
        <w:t xml:space="preserve"> The RIM test measures what happens to customer bills or rates due to changes in utility revenues and operating costs caused by a program. The Rim test has been described as the Non</w:t>
      </w:r>
      <w:r w:rsidR="003D6EF8">
        <w:noBreakHyphen/>
      </w:r>
      <w:r>
        <w:t>Participant Test. (Standard Practice Manual</w:t>
      </w:r>
      <w:r w:rsidR="00907866">
        <w:t xml:space="preserve"> at </w:t>
      </w:r>
      <w:r>
        <w:t>13.)</w:t>
      </w:r>
    </w:p>
  </w:footnote>
  <w:footnote w:id="283">
    <w:p w14:paraId="029D6AAD" w14:textId="26997513"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 xml:space="preserve">7. </w:t>
      </w:r>
      <w:r w:rsidR="00426D9F">
        <w:t>(</w:t>
      </w:r>
      <w:r w:rsidRPr="00426D9F">
        <w:rPr>
          <w:i/>
          <w:iCs/>
        </w:rPr>
        <w:t>See also</w:t>
      </w:r>
      <w:r>
        <w:t xml:space="preserve"> </w:t>
      </w:r>
      <w:r w:rsidR="008747CC">
        <w:t>Ex. CCSA</w:t>
      </w:r>
      <w:r w:rsidR="003D6EF8">
        <w:noBreakHyphen/>
      </w:r>
      <w:r>
        <w:t>008</w:t>
      </w:r>
      <w:r w:rsidR="00907866">
        <w:t xml:space="preserve"> at </w:t>
      </w:r>
      <w:r>
        <w:t>6.</w:t>
      </w:r>
      <w:r w:rsidR="00426D9F">
        <w:t>)</w:t>
      </w:r>
    </w:p>
  </w:footnote>
  <w:footnote w:id="284">
    <w:p w14:paraId="6C122338" w14:textId="34F691A1" w:rsidR="00AF3A60" w:rsidRDefault="00AF3A60" w:rsidP="00AF3A60">
      <w:pPr>
        <w:pStyle w:val="FootnoteText"/>
      </w:pPr>
      <w:r>
        <w:rPr>
          <w:rStyle w:val="FootnoteReference"/>
        </w:rPr>
        <w:footnoteRef/>
      </w:r>
      <w:r>
        <w:t xml:space="preserve"> CCSA Opening Comments to </w:t>
      </w:r>
      <w:r w:rsidR="0013526D">
        <w:t>June </w:t>
      </w:r>
      <w:r>
        <w:t>23 Ruling</w:t>
      </w:r>
      <w:r w:rsidR="00907866">
        <w:t xml:space="preserve"> at </w:t>
      </w:r>
      <w:r>
        <w:t xml:space="preserve">9, </w:t>
      </w:r>
      <w:r w:rsidR="005674F9">
        <w:t>Table 1</w:t>
      </w:r>
      <w:r w:rsidR="00E72908">
        <w:t>.</w:t>
      </w:r>
    </w:p>
  </w:footnote>
  <w:footnote w:id="285">
    <w:p w14:paraId="0EDE1A47" w14:textId="401837EF" w:rsidR="00AF3A60" w:rsidRDefault="00AF3A60" w:rsidP="00AF3A60">
      <w:pPr>
        <w:pStyle w:val="FootnoteText"/>
      </w:pPr>
      <w:r>
        <w:rPr>
          <w:rStyle w:val="FootnoteReference"/>
        </w:rPr>
        <w:footnoteRef/>
      </w:r>
      <w:r>
        <w:t xml:space="preserve"> </w:t>
      </w:r>
      <w:r w:rsidRPr="001D7F4C">
        <w:rPr>
          <w:i/>
          <w:iCs/>
        </w:rPr>
        <w:t>See</w:t>
      </w:r>
      <w:r>
        <w:t xml:space="preserve"> </w:t>
      </w:r>
      <w:r w:rsidR="000341A3">
        <w:t>Joint CCA</w:t>
      </w:r>
      <w:r>
        <w:t xml:space="preserve">s Reply Comments to </w:t>
      </w:r>
      <w:r w:rsidR="0013526D">
        <w:t>June </w:t>
      </w:r>
      <w:r>
        <w:t>23 Ruling</w:t>
      </w:r>
      <w:r w:rsidR="00907866">
        <w:t xml:space="preserve"> at </w:t>
      </w:r>
      <w:r>
        <w:t>12</w:t>
      </w:r>
      <w:r w:rsidR="003D6EF8">
        <w:noBreakHyphen/>
      </w:r>
      <w:r>
        <w:t xml:space="preserve">13, PG&amp;E Reply Comments to </w:t>
      </w:r>
      <w:r w:rsidR="0013526D">
        <w:t>June </w:t>
      </w:r>
      <w:r>
        <w:t>23 Ruling</w:t>
      </w:r>
      <w:r w:rsidR="00907866">
        <w:t xml:space="preserve"> at </w:t>
      </w:r>
      <w:r>
        <w:t>2</w:t>
      </w:r>
      <w:r w:rsidR="003D6EF8">
        <w:noBreakHyphen/>
      </w:r>
      <w:r>
        <w:t>4.</w:t>
      </w:r>
    </w:p>
  </w:footnote>
  <w:footnote w:id="286">
    <w:p w14:paraId="79A2D4CE" w14:textId="3D874CD3" w:rsidR="00AF3A60" w:rsidRDefault="00AF3A60" w:rsidP="00AF3A60">
      <w:pPr>
        <w:pStyle w:val="FootnoteText"/>
      </w:pPr>
      <w:r>
        <w:rPr>
          <w:rStyle w:val="FootnoteReference"/>
        </w:rPr>
        <w:footnoteRef/>
      </w:r>
      <w:r>
        <w:t xml:space="preserve"> </w:t>
      </w:r>
      <w:r w:rsidR="00424C2F">
        <w:t>Ex. PG&amp;E</w:t>
      </w:r>
      <w:r w:rsidR="003D6EF8">
        <w:noBreakHyphen/>
      </w:r>
      <w:r>
        <w:t>04</w:t>
      </w:r>
      <w:r w:rsidR="00907866">
        <w:t xml:space="preserve"> at </w:t>
      </w:r>
      <w:r>
        <w:t>5</w:t>
      </w:r>
      <w:r w:rsidR="003D6EF8">
        <w:noBreakHyphen/>
      </w:r>
      <w:r>
        <w:t>6.</w:t>
      </w:r>
    </w:p>
  </w:footnote>
  <w:footnote w:id="287">
    <w:p w14:paraId="76CAD9D2" w14:textId="41A78E06" w:rsidR="00AF3A60" w:rsidRDefault="00AF3A60" w:rsidP="00AF3A60">
      <w:pPr>
        <w:pStyle w:val="FootnoteText"/>
      </w:pPr>
      <w:r>
        <w:rPr>
          <w:rStyle w:val="FootnoteReference"/>
        </w:rPr>
        <w:footnoteRef/>
      </w:r>
      <w:r>
        <w:t xml:space="preserve"> </w:t>
      </w:r>
      <w:r w:rsidR="0019580D">
        <w:t>Ex. PGE</w:t>
      </w:r>
      <w:r w:rsidR="003D6EF8">
        <w:noBreakHyphen/>
      </w:r>
      <w:r>
        <w:t>04</w:t>
      </w:r>
      <w:r w:rsidR="00907866">
        <w:t xml:space="preserve"> at </w:t>
      </w:r>
      <w:r>
        <w:t xml:space="preserve">6. </w:t>
      </w:r>
      <w:r w:rsidR="00426D9F">
        <w:t>(</w:t>
      </w:r>
      <w:r w:rsidRPr="00426D9F">
        <w:rPr>
          <w:i/>
          <w:iCs/>
        </w:rPr>
        <w:t>See also</w:t>
      </w:r>
      <w:r>
        <w:t xml:space="preserve"> </w:t>
      </w:r>
      <w:r w:rsidR="00424C2F">
        <w:t>Ex. PG&amp;E</w:t>
      </w:r>
      <w:r w:rsidR="003D6EF8">
        <w:noBreakHyphen/>
      </w:r>
      <w:r>
        <w:t>04</w:t>
      </w:r>
      <w:r w:rsidR="00907866">
        <w:t xml:space="preserve"> at </w:t>
      </w:r>
      <w:r>
        <w:t>Figure 1.</w:t>
      </w:r>
      <w:r w:rsidR="00426D9F">
        <w:t>)</w:t>
      </w:r>
    </w:p>
  </w:footnote>
  <w:footnote w:id="288">
    <w:p w14:paraId="5F133836" w14:textId="40514C12" w:rsidR="00AF3A60" w:rsidRDefault="00AF3A60" w:rsidP="00AF3A60">
      <w:pPr>
        <w:pStyle w:val="FootnoteText"/>
      </w:pPr>
      <w:r>
        <w:rPr>
          <w:rStyle w:val="FootnoteReference"/>
        </w:rPr>
        <w:footnoteRef/>
      </w:r>
      <w:r>
        <w:t xml:space="preserve"> CCSA Reply Comments to </w:t>
      </w:r>
      <w:r w:rsidR="0013526D">
        <w:t>June </w:t>
      </w:r>
      <w:r>
        <w:t>23 Ruling</w:t>
      </w:r>
      <w:r w:rsidR="00907866">
        <w:t xml:space="preserve"> at </w:t>
      </w:r>
      <w:r>
        <w:t>14.</w:t>
      </w:r>
    </w:p>
  </w:footnote>
  <w:footnote w:id="289">
    <w:p w14:paraId="7F60513F" w14:textId="23B50620" w:rsidR="00AF3A60" w:rsidRDefault="00AF3A60" w:rsidP="00AF3A60">
      <w:pPr>
        <w:pStyle w:val="FootnoteText"/>
      </w:pPr>
      <w:r>
        <w:rPr>
          <w:rStyle w:val="FootnoteReference"/>
        </w:rPr>
        <w:footnoteRef/>
      </w:r>
      <w:r>
        <w:t xml:space="preserve"> CCSA Reply Comments to </w:t>
      </w:r>
      <w:r w:rsidR="0013526D">
        <w:t>June </w:t>
      </w:r>
      <w:r>
        <w:t>23 Ruling</w:t>
      </w:r>
      <w:r w:rsidR="00907866">
        <w:t xml:space="preserve"> at </w:t>
      </w:r>
      <w:r>
        <w:t>14.</w:t>
      </w:r>
    </w:p>
  </w:footnote>
  <w:footnote w:id="290">
    <w:p w14:paraId="2CA5233D" w14:textId="7CB492D4" w:rsidR="005F7020" w:rsidRDefault="005F7020">
      <w:pPr>
        <w:pStyle w:val="FootnoteText"/>
      </w:pPr>
      <w:r>
        <w:rPr>
          <w:rStyle w:val="FootnoteReference"/>
        </w:rPr>
        <w:footnoteRef/>
      </w:r>
      <w:r>
        <w:t xml:space="preserve"> TURN Reply Comments to </w:t>
      </w:r>
      <w:r w:rsidR="00F57598">
        <w:t>November 6 Ruling</w:t>
      </w:r>
      <w:r w:rsidR="00907866">
        <w:t xml:space="preserve"> at </w:t>
      </w:r>
      <w:r w:rsidR="002C3E67">
        <w:t xml:space="preserve">1 citing Senate Floor Analysis of </w:t>
      </w:r>
      <w:r w:rsidR="003627A8">
        <w:t>AB </w:t>
      </w:r>
      <w:r w:rsidR="002C3E67">
        <w:t xml:space="preserve">2316, </w:t>
      </w:r>
      <w:r w:rsidR="0013526D">
        <w:t>August </w:t>
      </w:r>
      <w:r w:rsidR="002C3E67">
        <w:t>26, 2022.</w:t>
      </w:r>
    </w:p>
  </w:footnote>
  <w:footnote w:id="291">
    <w:p w14:paraId="2C75FA94" w14:textId="46DCAC74" w:rsidR="00077F47" w:rsidRDefault="00077F47">
      <w:pPr>
        <w:pStyle w:val="FootnoteText"/>
      </w:pPr>
      <w:r>
        <w:rPr>
          <w:rStyle w:val="FootnoteReference"/>
        </w:rPr>
        <w:footnoteRef/>
      </w:r>
      <w:r>
        <w:t xml:space="preserve"> Senate Floor Analysis of </w:t>
      </w:r>
      <w:r w:rsidR="003627A8">
        <w:t>AB </w:t>
      </w:r>
      <w:r>
        <w:t>2316</w:t>
      </w:r>
      <w:r w:rsidR="00B07DC6">
        <w:t xml:space="preserve">, </w:t>
      </w:r>
      <w:r w:rsidR="0013526D">
        <w:t>August </w:t>
      </w:r>
      <w:r>
        <w:t>26, 2022</w:t>
      </w:r>
      <w:r w:rsidR="00907866">
        <w:t xml:space="preserve"> at </w:t>
      </w:r>
      <w:r w:rsidR="004B506F">
        <w:t>3.</w:t>
      </w:r>
    </w:p>
  </w:footnote>
  <w:footnote w:id="292">
    <w:p w14:paraId="1FE7B9CC" w14:textId="2447309C" w:rsidR="00D610FF" w:rsidRDefault="00D610FF">
      <w:pPr>
        <w:pStyle w:val="FootnoteText"/>
      </w:pPr>
      <w:r>
        <w:rPr>
          <w:rStyle w:val="FootnoteReference"/>
        </w:rPr>
        <w:footnoteRef/>
      </w:r>
      <w:r>
        <w:t xml:space="preserve"> </w:t>
      </w:r>
      <w:r w:rsidR="000341A3">
        <w:t>Joint CCA</w:t>
      </w:r>
      <w:r>
        <w:t xml:space="preserve">s </w:t>
      </w:r>
      <w:r w:rsidR="00F47F1C">
        <w:t xml:space="preserve">Reply Comments to </w:t>
      </w:r>
      <w:r w:rsidR="00F57598">
        <w:t>November 6 Ruling</w:t>
      </w:r>
      <w:r w:rsidR="00907866">
        <w:t xml:space="preserve"> at </w:t>
      </w:r>
      <w:r w:rsidR="00F47F1C">
        <w:t>5.</w:t>
      </w:r>
    </w:p>
  </w:footnote>
  <w:footnote w:id="293">
    <w:p w14:paraId="088D5BCA" w14:textId="278F44F2" w:rsidR="006A21EC" w:rsidRDefault="006A21EC">
      <w:pPr>
        <w:pStyle w:val="FootnoteText"/>
      </w:pPr>
      <w:r>
        <w:rPr>
          <w:rStyle w:val="FootnoteReference"/>
        </w:rPr>
        <w:footnoteRef/>
      </w:r>
      <w:r>
        <w:t xml:space="preserve"> </w:t>
      </w:r>
      <w:r w:rsidR="000341A3">
        <w:t>Joint CCA</w:t>
      </w:r>
      <w:r w:rsidR="00632CE8">
        <w:t xml:space="preserve">s Reply Comments to </w:t>
      </w:r>
      <w:r w:rsidR="00F57598">
        <w:t>November 6 Ruling</w:t>
      </w:r>
      <w:r w:rsidR="00907866">
        <w:t xml:space="preserve"> at </w:t>
      </w:r>
      <w:r w:rsidR="00632CE8">
        <w:t>5.</w:t>
      </w:r>
    </w:p>
  </w:footnote>
  <w:footnote w:id="294">
    <w:p w14:paraId="269F64EF" w14:textId="3D3C1F18" w:rsidR="00183E96" w:rsidRDefault="00183E96">
      <w:pPr>
        <w:pStyle w:val="FootnoteText"/>
      </w:pPr>
      <w:r>
        <w:rPr>
          <w:rStyle w:val="FootnoteReference"/>
        </w:rPr>
        <w:footnoteRef/>
      </w:r>
      <w:r>
        <w:t xml:space="preserve"> </w:t>
      </w:r>
      <w:r w:rsidR="000341A3">
        <w:t>Joint CCA</w:t>
      </w:r>
      <w:r>
        <w:t xml:space="preserve">s Reply Comments to </w:t>
      </w:r>
      <w:r w:rsidR="00F57598">
        <w:t>November 6 Ruling</w:t>
      </w:r>
      <w:r w:rsidR="00907866">
        <w:t xml:space="preserve"> at </w:t>
      </w:r>
      <w:r>
        <w:t>5.</w:t>
      </w:r>
    </w:p>
  </w:footnote>
  <w:footnote w:id="295">
    <w:p w14:paraId="30495930" w14:textId="0230C4ED" w:rsidR="00D95862" w:rsidRDefault="00D95862">
      <w:pPr>
        <w:pStyle w:val="FootnoteText"/>
      </w:pPr>
      <w:r>
        <w:rPr>
          <w:rStyle w:val="FootnoteReference"/>
        </w:rPr>
        <w:footnoteRef/>
      </w:r>
      <w:r>
        <w:t xml:space="preserve"> SEIA Reply Comments to </w:t>
      </w:r>
      <w:r w:rsidR="00F57598">
        <w:t>November 6 Ruling</w:t>
      </w:r>
      <w:r w:rsidR="00907866">
        <w:t xml:space="preserve"> at </w:t>
      </w:r>
      <w:r w:rsidR="007258C7">
        <w:t>5.</w:t>
      </w:r>
    </w:p>
  </w:footnote>
  <w:footnote w:id="296">
    <w:p w14:paraId="74983117" w14:textId="77777777" w:rsidR="00D415AF" w:rsidRPr="00AC0D31" w:rsidRDefault="00D415AF" w:rsidP="00D415AF">
      <w:pPr>
        <w:pStyle w:val="FootnoteText"/>
      </w:pPr>
      <w:r>
        <w:rPr>
          <w:rStyle w:val="FootnoteReference"/>
        </w:rPr>
        <w:footnoteRef/>
      </w:r>
      <w:r>
        <w:t xml:space="preserve"> </w:t>
      </w:r>
      <w:r>
        <w:rPr>
          <w:i/>
          <w:iCs/>
        </w:rPr>
        <w:t>F.E.R.C. v. Electric Power Supply Ass’n</w:t>
      </w:r>
      <w:r>
        <w:t>, 577 U.S. 260, 266 (2016).</w:t>
      </w:r>
    </w:p>
  </w:footnote>
  <w:footnote w:id="297">
    <w:p w14:paraId="0DA04063" w14:textId="77777777" w:rsidR="00D415AF" w:rsidRPr="00F53F94" w:rsidRDefault="00D415AF" w:rsidP="00D415AF">
      <w:pPr>
        <w:pStyle w:val="FootnoteText"/>
      </w:pPr>
      <w:r>
        <w:rPr>
          <w:rStyle w:val="FootnoteReference"/>
        </w:rPr>
        <w:footnoteRef/>
      </w:r>
      <w:r>
        <w:t xml:space="preserve"> </w:t>
      </w:r>
      <w:r>
        <w:rPr>
          <w:i/>
          <w:iCs/>
        </w:rPr>
        <w:t>Id</w:t>
      </w:r>
      <w:r>
        <w:t>. at 267.</w:t>
      </w:r>
    </w:p>
  </w:footnote>
  <w:footnote w:id="298">
    <w:p w14:paraId="57D2C159" w14:textId="77777777" w:rsidR="00D415AF" w:rsidRDefault="00D415AF" w:rsidP="00D415AF">
      <w:pPr>
        <w:pStyle w:val="FootnoteText"/>
      </w:pPr>
      <w:r>
        <w:rPr>
          <w:rStyle w:val="FootnoteReference"/>
        </w:rPr>
        <w:footnoteRef/>
      </w:r>
      <w:r>
        <w:t xml:space="preserve"> A qualifying facility meets the criteria under subpart B starting with Section 292.201 of 18 C.F.R. Section 292.101.</w:t>
      </w:r>
    </w:p>
  </w:footnote>
  <w:footnote w:id="299">
    <w:p w14:paraId="4B5053B0" w14:textId="77777777" w:rsidR="00D415AF" w:rsidRDefault="00D415AF" w:rsidP="00D415AF">
      <w:pPr>
        <w:pStyle w:val="FootnoteText"/>
      </w:pPr>
      <w:r>
        <w:rPr>
          <w:rStyle w:val="FootnoteReference"/>
        </w:rPr>
        <w:footnoteRef/>
      </w:r>
      <w:r>
        <w:t xml:space="preserve"> PURPA requires a qualifying facility to be paid “the cost to the electric utility of the electric energy which, but for the purchase from such cogenerator or small power producer, such utility would generate or purchase from another source.” (16 U.S.C. § 824a</w:t>
      </w:r>
      <w:r>
        <w:noBreakHyphen/>
        <w:t>3(b), (d); 18 C.F.R. § 292.101(b)(6) (such prices are known as the utility’s avoided cost).)</w:t>
      </w:r>
    </w:p>
  </w:footnote>
  <w:footnote w:id="300">
    <w:p w14:paraId="63A77767" w14:textId="77777777" w:rsidR="00D415AF" w:rsidRDefault="00D415AF" w:rsidP="00D415AF">
      <w:pPr>
        <w:pStyle w:val="FootnoteText"/>
      </w:pPr>
      <w:r>
        <w:rPr>
          <w:rStyle w:val="FootnoteReference"/>
        </w:rPr>
        <w:footnoteRef/>
      </w:r>
      <w:r>
        <w:t xml:space="preserve"> 16 U.S.C. § 2621(d)(11).</w:t>
      </w:r>
    </w:p>
  </w:footnote>
  <w:footnote w:id="301">
    <w:p w14:paraId="2A9C9CE9" w14:textId="2769475A" w:rsidR="00D415AF" w:rsidRDefault="00D415AF" w:rsidP="00D415AF">
      <w:pPr>
        <w:pStyle w:val="FootnoteText"/>
      </w:pPr>
      <w:r>
        <w:rPr>
          <w:rStyle w:val="FootnoteReference"/>
        </w:rPr>
        <w:footnoteRef/>
      </w:r>
      <w:r>
        <w:t xml:space="preserve"> </w:t>
      </w:r>
      <w:r w:rsidRPr="000A6509">
        <w:rPr>
          <w:i/>
          <w:iCs/>
        </w:rPr>
        <w:t>See</w:t>
      </w:r>
      <w:r>
        <w:rPr>
          <w:i/>
          <w:iCs/>
        </w:rPr>
        <w:t xml:space="preserve"> </w:t>
      </w:r>
      <w:r w:rsidRPr="00C6789C">
        <w:rPr>
          <w:i/>
          <w:iCs/>
        </w:rPr>
        <w:t>MidAmerican Energy Co.</w:t>
      </w:r>
      <w:r>
        <w:t xml:space="preserve">, 94 F.E.R.C. ¶ 61,340, 62,263 (2001); </w:t>
      </w:r>
      <w:r>
        <w:rPr>
          <w:i/>
          <w:iCs/>
        </w:rPr>
        <w:t>S. Cal. Edison Co. v. FERC</w:t>
      </w:r>
      <w:r w:rsidRPr="00396E11">
        <w:t>,</w:t>
      </w:r>
      <w:r>
        <w:t xml:space="preserve"> 604 F.3d 996, 1002 (D.C. Cir. 2010) (“In implementing PURPA, the [FERC] similarly recognized that net billing arrangements like those at issue here would be appropriate, in some situations, and left the decision of when to do so.”); and </w:t>
      </w:r>
      <w:r w:rsidRPr="006C36A5">
        <w:rPr>
          <w:i/>
          <w:iCs/>
        </w:rPr>
        <w:t>Sun Edison LLC</w:t>
      </w:r>
      <w:r>
        <w:t xml:space="preserve">, 129 F.E.R.C. </w:t>
      </w:r>
      <w:r>
        <w:rPr>
          <w:rFonts w:cs="Times New Roman"/>
          <w:szCs w:val="24"/>
        </w:rPr>
        <w:t xml:space="preserve">¶ 61,146, P 17 </w:t>
      </w:r>
      <w:r w:rsidRPr="006C36A5">
        <w:rPr>
          <w:rFonts w:cs="Times New Roman"/>
          <w:i/>
          <w:iCs/>
          <w:szCs w:val="24"/>
        </w:rPr>
        <w:t>quoting</w:t>
      </w:r>
      <w:r>
        <w:rPr>
          <w:rFonts w:cs="Times New Roman"/>
          <w:szCs w:val="24"/>
        </w:rPr>
        <w:t xml:space="preserve"> FERC Order </w:t>
      </w:r>
      <w:r w:rsidR="00016AE0">
        <w:rPr>
          <w:rFonts w:cs="Times New Roman"/>
          <w:szCs w:val="24"/>
        </w:rPr>
        <w:t>No. </w:t>
      </w:r>
      <w:r>
        <w:rPr>
          <w:rFonts w:cs="Times New Roman"/>
          <w:szCs w:val="24"/>
        </w:rPr>
        <w:t>2003</w:t>
      </w:r>
      <w:r>
        <w:rPr>
          <w:rFonts w:cs="Times New Roman"/>
          <w:szCs w:val="24"/>
        </w:rPr>
        <w:noBreakHyphen/>
        <w:t>A</w:t>
      </w:r>
      <w:r>
        <w:t>.</w:t>
      </w:r>
    </w:p>
  </w:footnote>
  <w:footnote w:id="302">
    <w:p w14:paraId="553C5F19" w14:textId="4D362817" w:rsidR="00D415AF" w:rsidRDefault="00D415AF" w:rsidP="00D415AF">
      <w:pPr>
        <w:pStyle w:val="FootnoteText"/>
      </w:pPr>
      <w:r>
        <w:rPr>
          <w:rStyle w:val="FootnoteReference"/>
        </w:rPr>
        <w:footnoteRef/>
      </w:r>
      <w:r>
        <w:t xml:space="preserve"> </w:t>
      </w:r>
      <w:r w:rsidRPr="008C515C">
        <w:rPr>
          <w:i/>
          <w:iCs/>
        </w:rPr>
        <w:t>Electric Storage Participation in Markets Operated by Regional Transmission Organizations and Independent System Operators</w:t>
      </w:r>
      <w:r w:rsidRPr="008C515C">
        <w:t xml:space="preserve">, Opinion </w:t>
      </w:r>
      <w:r w:rsidR="00016AE0">
        <w:t>No. </w:t>
      </w:r>
      <w:r w:rsidRPr="008C515C">
        <w:t xml:space="preserve">841, </w:t>
      </w:r>
      <w:r w:rsidRPr="008C515C">
        <w:rPr>
          <w:rFonts w:cs="Times New Roman"/>
          <w:szCs w:val="24"/>
        </w:rPr>
        <w:t>162 </w:t>
      </w:r>
      <w:r>
        <w:rPr>
          <w:rFonts w:cs="Times New Roman"/>
          <w:szCs w:val="24"/>
        </w:rPr>
        <w:t>F.E.R.C.</w:t>
      </w:r>
      <w:r w:rsidRPr="008C515C">
        <w:rPr>
          <w:rFonts w:cs="Times New Roman"/>
          <w:szCs w:val="24"/>
        </w:rPr>
        <w:t xml:space="preserve"> </w:t>
      </w:r>
      <w:r>
        <w:rPr>
          <w:rFonts w:cs="Times New Roman"/>
          <w:szCs w:val="24"/>
        </w:rPr>
        <w:t>¶ </w:t>
      </w:r>
      <w:r w:rsidRPr="008C515C">
        <w:rPr>
          <w:rFonts w:cs="Times New Roman"/>
          <w:szCs w:val="24"/>
        </w:rPr>
        <w:t xml:space="preserve">61,127 at n.49 (2018) citing </w:t>
      </w:r>
      <w:r w:rsidRPr="008C515C">
        <w:rPr>
          <w:i/>
          <w:iCs/>
        </w:rPr>
        <w:t>MidAmerican Energy Co.</w:t>
      </w:r>
      <w:r w:rsidRPr="008C515C">
        <w:t>, 94 </w:t>
      </w:r>
      <w:r>
        <w:t>F.E.R.C.</w:t>
      </w:r>
      <w:r w:rsidRPr="008C515C">
        <w:t xml:space="preserve"> </w:t>
      </w:r>
      <w:r>
        <w:rPr>
          <w:rFonts w:cs="Times New Roman"/>
          <w:szCs w:val="24"/>
        </w:rPr>
        <w:t>¶ </w:t>
      </w:r>
      <w:r w:rsidRPr="008C515C">
        <w:rPr>
          <w:rFonts w:cs="Times New Roman"/>
          <w:szCs w:val="24"/>
        </w:rPr>
        <w:t>61,340, 62,263 (2001).</w:t>
      </w:r>
      <w:r>
        <w:rPr>
          <w:rFonts w:cs="Times New Roman"/>
          <w:szCs w:val="24"/>
        </w:rPr>
        <w:t xml:space="preserve"> </w:t>
      </w:r>
      <w:r w:rsidRPr="008C515C">
        <w:rPr>
          <w:rFonts w:cs="Times New Roman"/>
          <w:szCs w:val="24"/>
        </w:rPr>
        <w:t>(</w:t>
      </w:r>
      <w:r w:rsidRPr="008C515C">
        <w:rPr>
          <w:rFonts w:cs="Times New Roman"/>
          <w:i/>
          <w:iCs/>
          <w:szCs w:val="24"/>
        </w:rPr>
        <w:t>See also</w:t>
      </w:r>
      <w:r w:rsidRPr="008C515C">
        <w:rPr>
          <w:rFonts w:cs="Times New Roman"/>
          <w:szCs w:val="24"/>
        </w:rPr>
        <w:t xml:space="preserve"> </w:t>
      </w:r>
      <w:r w:rsidRPr="008C515C">
        <w:rPr>
          <w:rFonts w:cs="Times New Roman"/>
          <w:i/>
          <w:iCs/>
          <w:szCs w:val="24"/>
        </w:rPr>
        <w:t>Sun Edison LLC</w:t>
      </w:r>
      <w:r w:rsidRPr="008C515C">
        <w:rPr>
          <w:rFonts w:cs="Times New Roman"/>
          <w:szCs w:val="24"/>
        </w:rPr>
        <w:t>, 129 </w:t>
      </w:r>
      <w:r>
        <w:rPr>
          <w:rFonts w:cs="Times New Roman"/>
          <w:szCs w:val="24"/>
        </w:rPr>
        <w:t>F.E.R.C.</w:t>
      </w:r>
      <w:r w:rsidRPr="008C515C">
        <w:rPr>
          <w:rFonts w:cs="Times New Roman"/>
          <w:szCs w:val="24"/>
        </w:rPr>
        <w:t xml:space="preserve"> </w:t>
      </w:r>
      <w:r>
        <w:rPr>
          <w:rFonts w:cs="Times New Roman"/>
          <w:szCs w:val="24"/>
        </w:rPr>
        <w:t>¶ </w:t>
      </w:r>
      <w:r w:rsidRPr="008C515C">
        <w:rPr>
          <w:rFonts w:cs="Times New Roman"/>
          <w:szCs w:val="24"/>
        </w:rPr>
        <w:t>61,146, 61</w:t>
      </w:r>
      <w:r>
        <w:rPr>
          <w:rFonts w:cs="Times New Roman"/>
          <w:szCs w:val="24"/>
        </w:rPr>
        <w:t>,</w:t>
      </w:r>
      <w:r w:rsidRPr="008C515C">
        <w:rPr>
          <w:rFonts w:cs="Times New Roman"/>
          <w:szCs w:val="24"/>
        </w:rPr>
        <w:t xml:space="preserve">620 (2009) (explaining that a net sale only occurred where the </w:t>
      </w:r>
      <w:r>
        <w:rPr>
          <w:rFonts w:cs="Times New Roman"/>
          <w:szCs w:val="24"/>
        </w:rPr>
        <w:t>“</w:t>
      </w:r>
      <w:r w:rsidRPr="008C515C">
        <w:rPr>
          <w:rFonts w:cs="Times New Roman"/>
          <w:szCs w:val="24"/>
        </w:rPr>
        <w:t>end</w:t>
      </w:r>
      <w:r>
        <w:rPr>
          <w:rFonts w:cs="Times New Roman"/>
          <w:szCs w:val="24"/>
        </w:rPr>
        <w:noBreakHyphen/>
      </w:r>
      <w:r w:rsidRPr="008C515C">
        <w:rPr>
          <w:rFonts w:cs="Times New Roman"/>
          <w:szCs w:val="24"/>
        </w:rPr>
        <w:t>use customer participating in the net metering program produces more energy than it needs over the applicable billing period.</w:t>
      </w:r>
      <w:r>
        <w:rPr>
          <w:rFonts w:cs="Times New Roman"/>
          <w:szCs w:val="24"/>
        </w:rPr>
        <w:t>”</w:t>
      </w:r>
      <w:r w:rsidRPr="008C515C">
        <w:rPr>
          <w:rFonts w:cs="Times New Roman"/>
          <w:szCs w:val="24"/>
        </w:rPr>
        <w:t xml:space="preserve">) citing </w:t>
      </w:r>
      <w:r w:rsidRPr="008C515C">
        <w:rPr>
          <w:rFonts w:cs="Times New Roman"/>
          <w:i/>
          <w:iCs/>
          <w:szCs w:val="24"/>
        </w:rPr>
        <w:t>Standardization of Generator Interconnection Agreements and Procedures</w:t>
      </w:r>
      <w:r w:rsidRPr="008C515C">
        <w:rPr>
          <w:rFonts w:cs="Times New Roman"/>
          <w:szCs w:val="24"/>
        </w:rPr>
        <w:t xml:space="preserve">, Order </w:t>
      </w:r>
      <w:r w:rsidR="00016AE0">
        <w:rPr>
          <w:rFonts w:cs="Times New Roman"/>
          <w:szCs w:val="24"/>
        </w:rPr>
        <w:t>No. </w:t>
      </w:r>
      <w:r w:rsidRPr="008C515C">
        <w:rPr>
          <w:rFonts w:cs="Times New Roman"/>
          <w:szCs w:val="24"/>
        </w:rPr>
        <w:t>2003</w:t>
      </w:r>
      <w:r>
        <w:rPr>
          <w:rFonts w:cs="Times New Roman"/>
          <w:szCs w:val="24"/>
        </w:rPr>
        <w:noBreakHyphen/>
      </w:r>
      <w:r w:rsidRPr="008C515C">
        <w:rPr>
          <w:rFonts w:cs="Times New Roman"/>
          <w:szCs w:val="24"/>
        </w:rPr>
        <w:t>A, 106 </w:t>
      </w:r>
      <w:r>
        <w:rPr>
          <w:rFonts w:cs="Times New Roman"/>
          <w:szCs w:val="24"/>
        </w:rPr>
        <w:t>F.E.R.C.</w:t>
      </w:r>
      <w:r w:rsidRPr="008C515C">
        <w:rPr>
          <w:rFonts w:cs="Times New Roman"/>
          <w:szCs w:val="24"/>
        </w:rPr>
        <w:t xml:space="preserve"> </w:t>
      </w:r>
      <w:r>
        <w:rPr>
          <w:rFonts w:cs="Times New Roman"/>
          <w:szCs w:val="24"/>
        </w:rPr>
        <w:t>¶ </w:t>
      </w:r>
      <w:r w:rsidRPr="008C515C">
        <w:rPr>
          <w:rFonts w:cs="Times New Roman"/>
          <w:szCs w:val="24"/>
        </w:rPr>
        <w:t>61,220</w:t>
      </w:r>
      <w:r>
        <w:rPr>
          <w:rFonts w:cs="Times New Roman"/>
          <w:szCs w:val="24"/>
        </w:rPr>
        <w:t xml:space="preserve"> at </w:t>
      </w:r>
      <w:r w:rsidRPr="008C515C">
        <w:rPr>
          <w:rFonts w:cs="Times New Roman"/>
          <w:szCs w:val="24"/>
        </w:rPr>
        <w:t>744 (2004).)</w:t>
      </w:r>
    </w:p>
  </w:footnote>
  <w:footnote w:id="303">
    <w:p w14:paraId="081934BA" w14:textId="77777777" w:rsidR="00D415AF" w:rsidRDefault="00D415AF" w:rsidP="00D415AF">
      <w:pPr>
        <w:pStyle w:val="FootnoteText"/>
      </w:pPr>
      <w:r>
        <w:rPr>
          <w:rStyle w:val="FootnoteReference"/>
        </w:rPr>
        <w:footnoteRef/>
      </w:r>
      <w:r>
        <w:t xml:space="preserve"> SCE Opening Brief at 8.</w:t>
      </w:r>
    </w:p>
  </w:footnote>
  <w:footnote w:id="304">
    <w:p w14:paraId="4A087399" w14:textId="77777777" w:rsidR="00D415AF" w:rsidRDefault="00D415AF" w:rsidP="00D415AF">
      <w:pPr>
        <w:pStyle w:val="FootnoteText"/>
      </w:pPr>
      <w:r>
        <w:rPr>
          <w:rStyle w:val="FootnoteReference"/>
        </w:rPr>
        <w:footnoteRef/>
      </w:r>
      <w:r>
        <w:t xml:space="preserve"> PG&amp;E Reply Brief at 13</w:t>
      </w:r>
      <w:r>
        <w:noBreakHyphen/>
        <w:t>14, citing Ex. CCSA</w:t>
      </w:r>
      <w:r>
        <w:noBreakHyphen/>
        <w:t>01 at 45, lines 20</w:t>
      </w:r>
      <w:r>
        <w:noBreakHyphen/>
        <w:t>46, line 8.</w:t>
      </w:r>
    </w:p>
  </w:footnote>
  <w:footnote w:id="305">
    <w:p w14:paraId="41479EFB" w14:textId="77777777" w:rsidR="00D415AF" w:rsidRDefault="00D415AF" w:rsidP="00D415AF">
      <w:pPr>
        <w:pStyle w:val="FootnoteText"/>
      </w:pPr>
      <w:r>
        <w:rPr>
          <w:rStyle w:val="FootnoteReference"/>
        </w:rPr>
        <w:footnoteRef/>
      </w:r>
      <w:r>
        <w:t xml:space="preserve"> “The avoided costs determined in the Avoided Cost Calculator should not be confused with the term ‘avoided cost’ used in federal law, where avoided cost is the cost of energy or capacity to a purchasing utility of the next increment of that wholesale energy or capacity.” (SCE Reply Brief at </w:t>
      </w:r>
      <w:r w:rsidRPr="00D9513E">
        <w:t>footnote</w:t>
      </w:r>
      <w:r>
        <w:t xml:space="preserve"> (</w:t>
      </w:r>
      <w:r w:rsidRPr="00D9513E">
        <w:t>fn.</w:t>
      </w:r>
      <w:r>
        <w:t>) 20, citing D.22</w:t>
      </w:r>
      <w:r>
        <w:noBreakHyphen/>
        <w:t>12</w:t>
      </w:r>
      <w:r>
        <w:noBreakHyphen/>
        <w:t>056 at 59</w:t>
      </w:r>
      <w:r>
        <w:noBreakHyphen/>
        <w:t xml:space="preserve">60; </w:t>
      </w:r>
      <w:r>
        <w:rPr>
          <w:i/>
          <w:iCs/>
        </w:rPr>
        <w:t>s</w:t>
      </w:r>
      <w:r w:rsidRPr="009024CC">
        <w:rPr>
          <w:i/>
          <w:iCs/>
        </w:rPr>
        <w:t>ee also</w:t>
      </w:r>
      <w:r>
        <w:t xml:space="preserve"> PG&amp;E Reply Comments to November 6 Ruling at 14 (“</w:t>
      </w:r>
      <w:r w:rsidRPr="00897A5C">
        <w:t>Use of the Commission</w:t>
      </w:r>
      <w:r>
        <w:t>’</w:t>
      </w:r>
      <w:r w:rsidRPr="00897A5C">
        <w:t>s approved Avoided Cost Calculator to value exports from NVBT participating projects is not comparable to rooftop solar net billing projects; rather, exports from NVBT projects implicate federal law</w:t>
      </w:r>
      <w:r>
        <w:t>.”).)</w:t>
      </w:r>
    </w:p>
  </w:footnote>
  <w:footnote w:id="306">
    <w:p w14:paraId="73AADA53" w14:textId="77777777" w:rsidR="00D415AF" w:rsidRDefault="00D415AF" w:rsidP="00D415AF">
      <w:pPr>
        <w:pStyle w:val="FootnoteText"/>
      </w:pPr>
      <w:r>
        <w:rPr>
          <w:rStyle w:val="FootnoteReference"/>
        </w:rPr>
        <w:footnoteRef/>
      </w:r>
      <w:r>
        <w:t xml:space="preserve"> PG&amp;E Reply Brief at 16.</w:t>
      </w:r>
    </w:p>
  </w:footnote>
  <w:footnote w:id="307">
    <w:p w14:paraId="7C868581" w14:textId="77777777" w:rsidR="00D415AF" w:rsidRDefault="00D415AF" w:rsidP="00D415AF">
      <w:pPr>
        <w:pStyle w:val="FootnoteText"/>
      </w:pPr>
      <w:r>
        <w:rPr>
          <w:rStyle w:val="FootnoteReference"/>
        </w:rPr>
        <w:footnoteRef/>
      </w:r>
      <w:r>
        <w:t xml:space="preserve"> PG&amp;E Reply Brief at 15 citing </w:t>
      </w:r>
      <w:r w:rsidRPr="0032726E">
        <w:rPr>
          <w:i/>
          <w:iCs/>
        </w:rPr>
        <w:t>PJM Interconnection, L.L.C. New York State Elec. &amp; Gas Corp. Dunkirk Power, LLC, Huntley Power, LLC, &amp; Oswego Harbor, LLC</w:t>
      </w:r>
      <w:r>
        <w:t xml:space="preserve"> (2001) 94 F.E.R.C. ¶ 61,251, 61,891; </w:t>
      </w:r>
      <w:r w:rsidRPr="00C6789C">
        <w:rPr>
          <w:i/>
          <w:iCs/>
        </w:rPr>
        <w:t>MidAmerican Energy Co.</w:t>
      </w:r>
      <w:r>
        <w:t>, 94 F.E.R.C. ¶ 61,340, 62,263 (2001).</w:t>
      </w:r>
    </w:p>
  </w:footnote>
  <w:footnote w:id="308">
    <w:p w14:paraId="126CB53D" w14:textId="77777777" w:rsidR="00D415AF" w:rsidRDefault="00D415AF" w:rsidP="00D415AF">
      <w:pPr>
        <w:pStyle w:val="FootnoteText"/>
      </w:pPr>
      <w:r>
        <w:rPr>
          <w:rStyle w:val="FootnoteReference"/>
        </w:rPr>
        <w:footnoteRef/>
      </w:r>
      <w:r>
        <w:t xml:space="preserve"> TURN Reply Brief at 18</w:t>
      </w:r>
      <w:r>
        <w:noBreakHyphen/>
        <w:t xml:space="preserve">19 citing </w:t>
      </w:r>
      <w:r w:rsidRPr="001E7101">
        <w:rPr>
          <w:i/>
          <w:iCs/>
        </w:rPr>
        <w:t xml:space="preserve">Cal. Indep. Sys. Operator Corp., </w:t>
      </w:r>
      <w:r w:rsidRPr="001E7101">
        <w:t>94</w:t>
      </w:r>
      <w:r>
        <w:t> F.E.R.C.</w:t>
      </w:r>
      <w:r w:rsidRPr="001E7101">
        <w:t xml:space="preserve"> </w:t>
      </w:r>
      <w:r>
        <w:t>¶ </w:t>
      </w:r>
      <w:r w:rsidRPr="001E7101">
        <w:t>61,266 (2001)</w:t>
      </w:r>
      <w:r>
        <w:t xml:space="preserve"> at </w:t>
      </w:r>
      <w:r w:rsidRPr="001E7101">
        <w:t>6</w:t>
      </w:r>
      <w:r>
        <w:t xml:space="preserve">; </w:t>
      </w:r>
      <w:r w:rsidRPr="001E7101">
        <w:rPr>
          <w:i/>
          <w:iCs/>
        </w:rPr>
        <w:t>MidAmerican Energy Co.,</w:t>
      </w:r>
      <w:r w:rsidRPr="001E7101">
        <w:t xml:space="preserve"> 94</w:t>
      </w:r>
      <w:r>
        <w:t> F.E.R.C.</w:t>
      </w:r>
      <w:r w:rsidRPr="001E7101">
        <w:t xml:space="preserve"> </w:t>
      </w:r>
      <w:r>
        <w:t>¶ </w:t>
      </w:r>
      <w:r w:rsidRPr="001E7101">
        <w:t>61,340 (2001)</w:t>
      </w:r>
      <w:r>
        <w:t xml:space="preserve"> at </w:t>
      </w:r>
      <w:r w:rsidRPr="001E7101">
        <w:t>5</w:t>
      </w:r>
      <w:r>
        <w:noBreakHyphen/>
      </w:r>
      <w:r w:rsidRPr="001E7101">
        <w:t>6</w:t>
      </w:r>
      <w:r>
        <w:t xml:space="preserve">; and </w:t>
      </w:r>
      <w:r w:rsidRPr="001E7101">
        <w:rPr>
          <w:i/>
          <w:iCs/>
        </w:rPr>
        <w:t>SunEdison,</w:t>
      </w:r>
      <w:r w:rsidRPr="001E7101">
        <w:t xml:space="preserve"> 129</w:t>
      </w:r>
      <w:r>
        <w:t> F.E.R.C.</w:t>
      </w:r>
      <w:r w:rsidRPr="001E7101">
        <w:t xml:space="preserve"> </w:t>
      </w:r>
      <w:r>
        <w:t>¶ </w:t>
      </w:r>
      <w:r w:rsidRPr="001E7101">
        <w:t xml:space="preserve">61,146, </w:t>
      </w:r>
      <w:r>
        <w:t>¶ </w:t>
      </w:r>
      <w:r w:rsidRPr="001E7101">
        <w:t>18.</w:t>
      </w:r>
    </w:p>
  </w:footnote>
  <w:footnote w:id="309">
    <w:p w14:paraId="6F7194F6" w14:textId="77777777" w:rsidR="00D415AF" w:rsidRDefault="00D415AF" w:rsidP="00D415AF">
      <w:pPr>
        <w:pStyle w:val="FootnoteText"/>
      </w:pPr>
      <w:r>
        <w:rPr>
          <w:rStyle w:val="FootnoteReference"/>
        </w:rPr>
        <w:footnoteRef/>
      </w:r>
      <w:r>
        <w:t xml:space="preserve"> TURN Reply Brief at 19.</w:t>
      </w:r>
    </w:p>
  </w:footnote>
  <w:footnote w:id="310">
    <w:p w14:paraId="736C9D39" w14:textId="77777777" w:rsidR="00D415AF" w:rsidRDefault="00D415AF" w:rsidP="00D415AF">
      <w:pPr>
        <w:pStyle w:val="FootnoteText"/>
      </w:pPr>
      <w:r>
        <w:rPr>
          <w:rStyle w:val="FootnoteReference"/>
        </w:rPr>
        <w:footnoteRef/>
      </w:r>
      <w:r>
        <w:t xml:space="preserve"> CCSA Opening Brief at 32 and TURN Reply Brief at 19.</w:t>
      </w:r>
    </w:p>
  </w:footnote>
  <w:footnote w:id="311">
    <w:p w14:paraId="28D8774A" w14:textId="77777777" w:rsidR="00D415AF" w:rsidRDefault="00D415AF" w:rsidP="00D415AF">
      <w:pPr>
        <w:pStyle w:val="FootnoteText"/>
      </w:pPr>
      <w:r>
        <w:rPr>
          <w:rStyle w:val="FootnoteReference"/>
        </w:rPr>
        <w:footnoteRef/>
      </w:r>
      <w:r>
        <w:t xml:space="preserve"> SEIA Reply Brief at 5-7.</w:t>
      </w:r>
    </w:p>
  </w:footnote>
  <w:footnote w:id="312">
    <w:p w14:paraId="05F77771" w14:textId="5459D0C1" w:rsidR="0017266B" w:rsidRDefault="0017266B">
      <w:pPr>
        <w:pStyle w:val="FootnoteText"/>
      </w:pPr>
      <w:r>
        <w:rPr>
          <w:rStyle w:val="FootnoteReference"/>
        </w:rPr>
        <w:footnoteRef/>
      </w:r>
      <w:r>
        <w:t xml:space="preserve"> PG&amp;E Reply Comments to </w:t>
      </w:r>
      <w:r w:rsidR="00F57598">
        <w:t>November 6 Ruling</w:t>
      </w:r>
      <w:r w:rsidR="00907866">
        <w:t xml:space="preserve"> at </w:t>
      </w:r>
      <w:r>
        <w:t>12.</w:t>
      </w:r>
    </w:p>
  </w:footnote>
  <w:footnote w:id="313">
    <w:p w14:paraId="2427EDD9" w14:textId="2D2FE122" w:rsidR="00F62BD1" w:rsidRDefault="00F62BD1">
      <w:pPr>
        <w:pStyle w:val="FootnoteText"/>
      </w:pPr>
      <w:r>
        <w:rPr>
          <w:rStyle w:val="FootnoteReference"/>
        </w:rPr>
        <w:footnoteRef/>
      </w:r>
      <w:r>
        <w:t xml:space="preserve"> </w:t>
      </w:r>
      <w:r w:rsidR="006F5AFC">
        <w:t xml:space="preserve">CCSA Reply Comments to </w:t>
      </w:r>
      <w:r w:rsidR="00F57598">
        <w:t>November 6 Ruling</w:t>
      </w:r>
      <w:r w:rsidR="00907866">
        <w:t xml:space="preserve"> at </w:t>
      </w:r>
      <w:r w:rsidR="006F5AFC">
        <w:t>27</w:t>
      </w:r>
      <w:r w:rsidR="003D6EF8">
        <w:noBreakHyphen/>
      </w:r>
      <w:r w:rsidR="006F5AFC">
        <w:t>28.</w:t>
      </w:r>
    </w:p>
  </w:footnote>
  <w:footnote w:id="314">
    <w:p w14:paraId="255261C5" w14:textId="28B6E482" w:rsidR="007B4FEA" w:rsidRDefault="007B4FEA">
      <w:pPr>
        <w:pStyle w:val="FootnoteText"/>
      </w:pPr>
      <w:r>
        <w:rPr>
          <w:rStyle w:val="FootnoteReference"/>
        </w:rPr>
        <w:footnoteRef/>
      </w:r>
      <w:r>
        <w:t xml:space="preserve"> CCSA Reply Comments to </w:t>
      </w:r>
      <w:r w:rsidR="00F57598">
        <w:t>November 6 Ruling</w:t>
      </w:r>
      <w:r w:rsidR="00907866">
        <w:t xml:space="preserve"> at </w:t>
      </w:r>
      <w:r w:rsidR="00D953D4">
        <w:t>28.</w:t>
      </w:r>
    </w:p>
  </w:footnote>
  <w:footnote w:id="315">
    <w:p w14:paraId="6CCD6C9D" w14:textId="0BC91E43" w:rsidR="000113A2" w:rsidRDefault="000113A2">
      <w:pPr>
        <w:pStyle w:val="FootnoteText"/>
      </w:pPr>
      <w:r>
        <w:rPr>
          <w:rStyle w:val="FootnoteReference"/>
        </w:rPr>
        <w:footnoteRef/>
      </w:r>
      <w:r>
        <w:t xml:space="preserve"> CCSA Opening Brief at 28 describing how the NVBT meets this requirement.</w:t>
      </w:r>
    </w:p>
  </w:footnote>
  <w:footnote w:id="316">
    <w:p w14:paraId="78ED7D53" w14:textId="4D989834" w:rsidR="00E10004" w:rsidRDefault="00E10004">
      <w:pPr>
        <w:pStyle w:val="FootnoteText"/>
      </w:pPr>
      <w:r>
        <w:rPr>
          <w:rStyle w:val="FootnoteReference"/>
        </w:rPr>
        <w:footnoteRef/>
      </w:r>
      <w:r>
        <w:t xml:space="preserve"> </w:t>
      </w:r>
      <w:r w:rsidR="00955D29">
        <w:t xml:space="preserve">SCE Opening Comments to </w:t>
      </w:r>
      <w:r w:rsidR="00F57598">
        <w:t>November 6 Ruling</w:t>
      </w:r>
      <w:r w:rsidR="00907866">
        <w:t xml:space="preserve"> at </w:t>
      </w:r>
      <w:r w:rsidR="00955D29">
        <w:t>20</w:t>
      </w:r>
      <w:r w:rsidR="003D6EF8">
        <w:noBreakHyphen/>
      </w:r>
      <w:r w:rsidR="00955D29">
        <w:t>21.</w:t>
      </w:r>
    </w:p>
  </w:footnote>
  <w:footnote w:id="317">
    <w:p w14:paraId="122EB87F" w14:textId="3AF78292" w:rsidR="005A23A1" w:rsidRDefault="005A23A1">
      <w:pPr>
        <w:pStyle w:val="FootnoteText"/>
      </w:pPr>
      <w:r>
        <w:rPr>
          <w:rStyle w:val="FootnoteReference"/>
        </w:rPr>
        <w:footnoteRef/>
      </w:r>
      <w:r>
        <w:t xml:space="preserve"> SCE Opening Comments to </w:t>
      </w:r>
      <w:r w:rsidR="00F57598">
        <w:t>November 6 Ruling</w:t>
      </w:r>
      <w:r w:rsidR="00907866">
        <w:t xml:space="preserve"> at </w:t>
      </w:r>
      <w:r>
        <w:t>21.</w:t>
      </w:r>
    </w:p>
  </w:footnote>
  <w:footnote w:id="318">
    <w:p w14:paraId="500BE485" w14:textId="6D40721E" w:rsidR="00650D6E" w:rsidRDefault="00650D6E">
      <w:pPr>
        <w:pStyle w:val="FootnoteText"/>
      </w:pPr>
      <w:r>
        <w:rPr>
          <w:rStyle w:val="FootnoteReference"/>
        </w:rPr>
        <w:footnoteRef/>
      </w:r>
      <w:r>
        <w:t xml:space="preserve"> SCE </w:t>
      </w:r>
      <w:r w:rsidR="00407E3A">
        <w:t xml:space="preserve">Opening Comments to </w:t>
      </w:r>
      <w:r w:rsidR="00F57598">
        <w:t>November 6 Ruling</w:t>
      </w:r>
      <w:r w:rsidR="00907866">
        <w:t xml:space="preserve"> at </w:t>
      </w:r>
      <w:r w:rsidR="00407E3A">
        <w:t>23.</w:t>
      </w:r>
    </w:p>
  </w:footnote>
  <w:footnote w:id="319">
    <w:p w14:paraId="4A3896F4" w14:textId="3343C612" w:rsidR="001616CD" w:rsidRDefault="001616CD" w:rsidP="001616CD">
      <w:pPr>
        <w:pStyle w:val="FootnoteText"/>
      </w:pPr>
      <w:r>
        <w:rPr>
          <w:rStyle w:val="FootnoteReference"/>
        </w:rPr>
        <w:footnoteRef/>
      </w:r>
      <w:r>
        <w:t xml:space="preserve"> SEIA Reply Comments to </w:t>
      </w:r>
      <w:r w:rsidR="00F57598">
        <w:t>November 6 Ruling</w:t>
      </w:r>
      <w:r w:rsidR="00907866">
        <w:t xml:space="preserve"> at </w:t>
      </w:r>
      <w:r>
        <w:t>5.</w:t>
      </w:r>
    </w:p>
  </w:footnote>
  <w:footnote w:id="320">
    <w:p w14:paraId="7803DEBC" w14:textId="01944641" w:rsidR="001616CD" w:rsidRDefault="001616CD" w:rsidP="001616CD">
      <w:pPr>
        <w:pStyle w:val="FootnoteText"/>
      </w:pPr>
      <w:r>
        <w:rPr>
          <w:rStyle w:val="FootnoteReference"/>
        </w:rPr>
        <w:footnoteRef/>
      </w:r>
      <w:r>
        <w:t xml:space="preserve"> SEIA Reply Comments to </w:t>
      </w:r>
      <w:r w:rsidR="00F57598">
        <w:t>November 6 Ruling</w:t>
      </w:r>
      <w:r w:rsidR="00907866">
        <w:t xml:space="preserve"> at </w:t>
      </w:r>
      <w:r>
        <w:t>5</w:t>
      </w:r>
      <w:r w:rsidR="003D6EF8">
        <w:noBreakHyphen/>
      </w:r>
      <w:r>
        <w:t>6.</w:t>
      </w:r>
    </w:p>
  </w:footnote>
  <w:footnote w:id="321">
    <w:p w14:paraId="443B8D43" w14:textId="7F67D667" w:rsidR="00BB1335" w:rsidRDefault="00BB1335">
      <w:pPr>
        <w:pStyle w:val="FootnoteText"/>
      </w:pPr>
      <w:r>
        <w:rPr>
          <w:rStyle w:val="FootnoteReference"/>
        </w:rPr>
        <w:footnoteRef/>
      </w:r>
      <w:r>
        <w:t xml:space="preserve"> Clean Coalition Reply Comments to </w:t>
      </w:r>
      <w:r w:rsidR="00F57598">
        <w:t>November 6 Ruling</w:t>
      </w:r>
      <w:r w:rsidR="00907866">
        <w:t xml:space="preserve"> at </w:t>
      </w:r>
      <w:r w:rsidR="00062DF4">
        <w:t>6.</w:t>
      </w:r>
    </w:p>
  </w:footnote>
  <w:footnote w:id="322">
    <w:p w14:paraId="09913A01" w14:textId="090A97FE" w:rsidR="009E0CFB" w:rsidRDefault="009E0CFB">
      <w:pPr>
        <w:pStyle w:val="FootnoteText"/>
      </w:pPr>
      <w:r>
        <w:rPr>
          <w:rStyle w:val="FootnoteReference"/>
        </w:rPr>
        <w:footnoteRef/>
      </w:r>
      <w:r>
        <w:t xml:space="preserve"> SCE Opening Comments to </w:t>
      </w:r>
      <w:r w:rsidR="00F57598">
        <w:t>November 6 Ruling</w:t>
      </w:r>
      <w:r w:rsidR="00907866">
        <w:t xml:space="preserve"> at </w:t>
      </w:r>
      <w:r>
        <w:t>4.</w:t>
      </w:r>
    </w:p>
  </w:footnote>
  <w:footnote w:id="323">
    <w:p w14:paraId="678EB141" w14:textId="33D1A127" w:rsidR="00B96D68" w:rsidRDefault="00B96D68" w:rsidP="00B96D68">
      <w:pPr>
        <w:pStyle w:val="FootnoteText"/>
      </w:pPr>
      <w:r>
        <w:rPr>
          <w:rStyle w:val="FootnoteReference"/>
        </w:rPr>
        <w:footnoteRef/>
      </w:r>
      <w:r>
        <w:t xml:space="preserve"> </w:t>
      </w:r>
      <w:r w:rsidR="00CE3CBF" w:rsidRPr="005D065D">
        <w:rPr>
          <w:i/>
          <w:iCs/>
        </w:rPr>
        <w:t>See</w:t>
      </w:r>
      <w:r w:rsidR="00CE3CBF">
        <w:t xml:space="preserve"> </w:t>
      </w:r>
      <w:r w:rsidRPr="00C73B70">
        <w:t xml:space="preserve">SCE </w:t>
      </w:r>
      <w:r w:rsidR="00CE3CBF">
        <w:t xml:space="preserve">Reply Comments to </w:t>
      </w:r>
      <w:r w:rsidR="00F57598">
        <w:t>November 6 Ruling</w:t>
      </w:r>
      <w:r w:rsidR="00907866">
        <w:t xml:space="preserve"> at </w:t>
      </w:r>
      <w:r w:rsidRPr="00C73B70">
        <w:t>10</w:t>
      </w:r>
      <w:r w:rsidR="003D6EF8">
        <w:noBreakHyphen/>
      </w:r>
      <w:r w:rsidRPr="00C73B70">
        <w:t>12</w:t>
      </w:r>
      <w:r w:rsidR="00CE3CBF">
        <w:t>.</w:t>
      </w:r>
    </w:p>
  </w:footnote>
  <w:footnote w:id="324">
    <w:p w14:paraId="6123D98F" w14:textId="634A84FC" w:rsidR="00643306" w:rsidRDefault="00643306">
      <w:pPr>
        <w:pStyle w:val="FootnoteText"/>
      </w:pPr>
      <w:r>
        <w:rPr>
          <w:rStyle w:val="FootnoteReference"/>
        </w:rPr>
        <w:footnoteRef/>
      </w:r>
      <w:r>
        <w:t xml:space="preserve"> In comments to the proposed decision, Dimension Renewable states that the proposed decision wrongly states that ReMAT requires CAISO market participation. Dimension Renewable also states that ReMAT projects can interconnect under Rule 21. (Dimension Renewable Opening Comments to Proposed Decision at 6.) Dimension Renewable is correct that ReMAT projects may interconnect through Rule 21. However, </w:t>
      </w:r>
      <w:r w:rsidR="000359AB">
        <w:t>ReMAT requires CAISO market participation unless the project is less that 0.5 MW. (See Section 6.1 of the ReMAT Power Purchase Agreement that states that the Seller is required to enter into a Participating Generator Agreement with the CAISO is the facility’s net capacity is 500 kilowatts or greater or if the CAISO Tariff requires or provides Seller the option to enter into such an agreement.)</w:t>
      </w:r>
    </w:p>
  </w:footnote>
  <w:footnote w:id="325">
    <w:p w14:paraId="1BE1E1D0" w14:textId="5F6D89A5" w:rsidR="008B351E" w:rsidRDefault="008B351E">
      <w:pPr>
        <w:pStyle w:val="FootnoteText"/>
      </w:pPr>
      <w:r>
        <w:rPr>
          <w:rStyle w:val="FootnoteReference"/>
        </w:rPr>
        <w:footnoteRef/>
      </w:r>
      <w:r>
        <w:t xml:space="preserve"> </w:t>
      </w:r>
      <w:r>
        <w:rPr>
          <w:sz w:val="24"/>
          <w:szCs w:val="24"/>
        </w:rPr>
        <w:t>D</w:t>
      </w:r>
      <w:r w:rsidRPr="005D065D">
        <w:rPr>
          <w:sz w:val="24"/>
          <w:szCs w:val="24"/>
        </w:rPr>
        <w:t xml:space="preserve">istribution </w:t>
      </w:r>
      <w:r>
        <w:rPr>
          <w:sz w:val="24"/>
          <w:szCs w:val="24"/>
        </w:rPr>
        <w:t>D</w:t>
      </w:r>
      <w:r w:rsidRPr="005D065D">
        <w:rPr>
          <w:sz w:val="24"/>
          <w:szCs w:val="24"/>
        </w:rPr>
        <w:t xml:space="preserve">eferral </w:t>
      </w:r>
      <w:r w:rsidR="00CF5203">
        <w:rPr>
          <w:sz w:val="24"/>
          <w:szCs w:val="24"/>
        </w:rPr>
        <w:t xml:space="preserve">Investment </w:t>
      </w:r>
      <w:r w:rsidRPr="005D065D">
        <w:rPr>
          <w:sz w:val="24"/>
          <w:szCs w:val="24"/>
        </w:rPr>
        <w:t>Framework</w:t>
      </w:r>
      <w:r>
        <w:rPr>
          <w:sz w:val="24"/>
          <w:szCs w:val="24"/>
        </w:rPr>
        <w:t>.</w:t>
      </w:r>
    </w:p>
  </w:footnote>
  <w:footnote w:id="326">
    <w:p w14:paraId="1EEB7BAE" w14:textId="10C04AF8" w:rsidR="00DC575C" w:rsidRDefault="00DC575C">
      <w:pPr>
        <w:pStyle w:val="FootnoteText"/>
      </w:pPr>
      <w:r>
        <w:rPr>
          <w:rStyle w:val="FootnoteReference"/>
        </w:rPr>
        <w:footnoteRef/>
      </w:r>
      <w:r>
        <w:t xml:space="preserve"> </w:t>
      </w:r>
      <w:r w:rsidRPr="005D065D">
        <w:rPr>
          <w:sz w:val="24"/>
          <w:szCs w:val="24"/>
        </w:rPr>
        <w:t xml:space="preserve">Renewable </w:t>
      </w:r>
      <w:r w:rsidR="00CF5203">
        <w:rPr>
          <w:sz w:val="24"/>
          <w:szCs w:val="24"/>
        </w:rPr>
        <w:t>E</w:t>
      </w:r>
      <w:r w:rsidRPr="005D065D">
        <w:rPr>
          <w:sz w:val="24"/>
          <w:szCs w:val="24"/>
        </w:rPr>
        <w:t xml:space="preserve">nergy </w:t>
      </w:r>
      <w:r w:rsidR="00CF5203">
        <w:rPr>
          <w:sz w:val="24"/>
          <w:szCs w:val="24"/>
        </w:rPr>
        <w:t>C</w:t>
      </w:r>
      <w:r w:rsidRPr="005D065D">
        <w:rPr>
          <w:sz w:val="24"/>
          <w:szCs w:val="24"/>
        </w:rPr>
        <w:t>redit</w:t>
      </w:r>
      <w:r w:rsidR="00FA1188">
        <w:rPr>
          <w:sz w:val="24"/>
          <w:szCs w:val="24"/>
        </w:rPr>
        <w:t>s</w:t>
      </w:r>
      <w:r>
        <w:rPr>
          <w:sz w:val="24"/>
          <w:szCs w:val="24"/>
        </w:rPr>
        <w:t>.</w:t>
      </w:r>
    </w:p>
  </w:footnote>
  <w:footnote w:id="327">
    <w:p w14:paraId="549007EC" w14:textId="41F9809C" w:rsidR="008A1F26" w:rsidRDefault="008A1F26" w:rsidP="008A1F26">
      <w:pPr>
        <w:pStyle w:val="FootnoteText"/>
      </w:pPr>
      <w:r>
        <w:rPr>
          <w:rStyle w:val="FootnoteReference"/>
        </w:rPr>
        <w:footnoteRef/>
      </w:r>
      <w:r>
        <w:t xml:space="preserve"> </w:t>
      </w:r>
      <w:r w:rsidR="003627A8">
        <w:t>AB </w:t>
      </w:r>
      <w:r>
        <w:t xml:space="preserve">102, Budget Act of 2023, </w:t>
      </w:r>
      <w:r w:rsidR="00D558A3">
        <w:t>Section </w:t>
      </w:r>
      <w:r>
        <w:t>244 appropriated $33</w:t>
      </w:r>
      <w:r w:rsidR="001E44CA">
        <w:t> million</w:t>
      </w:r>
      <w:r>
        <w:t xml:space="preserve"> to the Commission with additional requirements.</w:t>
      </w:r>
    </w:p>
  </w:footnote>
  <w:footnote w:id="328">
    <w:p w14:paraId="348CC51F" w14:textId="01FE1044" w:rsidR="008A1F26" w:rsidRDefault="008A1F26" w:rsidP="008A1F26">
      <w:pPr>
        <w:pStyle w:val="FootnoteText"/>
      </w:pPr>
      <w:r>
        <w:rPr>
          <w:rStyle w:val="FootnoteReference"/>
        </w:rPr>
        <w:footnoteRef/>
      </w:r>
      <w:r>
        <w:t xml:space="preserve"> </w:t>
      </w:r>
      <w:r w:rsidR="00D54815">
        <w:t xml:space="preserve">On April 22, 2024, </w:t>
      </w:r>
      <w:r>
        <w:t xml:space="preserve">the Environmental Protection Agency </w:t>
      </w:r>
      <w:r w:rsidR="00D54815">
        <w:t xml:space="preserve">(EPA) </w:t>
      </w:r>
      <w:r>
        <w:t>announce</w:t>
      </w:r>
      <w:r w:rsidR="00D54815">
        <w:t>d that California was</w:t>
      </w:r>
      <w:r>
        <w:t xml:space="preserve"> select</w:t>
      </w:r>
      <w:r w:rsidR="00D54815">
        <w:t xml:space="preserve">ed to receive $249,800.00 </w:t>
      </w:r>
      <w:r>
        <w:t xml:space="preserve"> in </w:t>
      </w:r>
      <w:r w:rsidR="00D54815">
        <w:t>grant funding.</w:t>
      </w:r>
      <w:r w:rsidR="00524C6D">
        <w:t xml:space="preserve"> </w:t>
      </w:r>
      <w:r w:rsidR="00D54815">
        <w:t xml:space="preserve">The EPA anticipates that awards to the selected applicants will be finalized in the summer of 2024. </w:t>
      </w:r>
      <w:r w:rsidR="001F1ED9">
        <w:t xml:space="preserve">The Commission anticipates using </w:t>
      </w:r>
      <w:r w:rsidR="000501A5">
        <w:t xml:space="preserve">some portion of </w:t>
      </w:r>
      <w:r w:rsidR="001F1ED9">
        <w:t xml:space="preserve">these funds to support the community renewable energy program. </w:t>
      </w:r>
      <w:r w:rsidR="000C72BE">
        <w:t>(</w:t>
      </w:r>
      <w:r w:rsidR="00524C6D" w:rsidRPr="005D1068">
        <w:rPr>
          <w:i/>
          <w:iCs/>
        </w:rPr>
        <w:t>See</w:t>
      </w:r>
      <w:r w:rsidR="00524C6D">
        <w:t xml:space="preserve"> </w:t>
      </w:r>
      <w:r w:rsidR="00D54815">
        <w:t>https://www.epa.gov/greenhouse-gas-reduction-fund/solar-all</w:t>
      </w:r>
      <w:r w:rsidR="00C93481">
        <w:t>.</w:t>
      </w:r>
      <w:r w:rsidR="000C72BE">
        <w:t>)</w:t>
      </w:r>
    </w:p>
  </w:footnote>
  <w:footnote w:id="329">
    <w:p w14:paraId="7C764DFA" w14:textId="4DB9BCA3" w:rsidR="003C66EC" w:rsidRDefault="003C66EC">
      <w:pPr>
        <w:pStyle w:val="FootnoteText"/>
      </w:pPr>
      <w:r>
        <w:rPr>
          <w:rStyle w:val="FootnoteReference"/>
        </w:rPr>
        <w:footnoteRef/>
      </w:r>
      <w:r>
        <w:t xml:space="preserve"> PG&amp;E Reply Comments to </w:t>
      </w:r>
      <w:r w:rsidR="00F57598">
        <w:t>November 6 Ruling</w:t>
      </w:r>
      <w:r w:rsidR="00907866">
        <w:t xml:space="preserve"> at </w:t>
      </w:r>
      <w:r>
        <w:t>13.</w:t>
      </w:r>
    </w:p>
  </w:footnote>
  <w:footnote w:id="330">
    <w:p w14:paraId="3975124F" w14:textId="02CA27B8" w:rsidR="000D7E2D" w:rsidRDefault="000D7E2D" w:rsidP="000D7E2D">
      <w:pPr>
        <w:pStyle w:val="FootnoteText"/>
      </w:pPr>
      <w:r>
        <w:rPr>
          <w:rStyle w:val="FootnoteReference"/>
        </w:rPr>
        <w:footnoteRef/>
      </w:r>
      <w:r>
        <w:t xml:space="preserve"> </w:t>
      </w:r>
      <w:r w:rsidRPr="00426D9F">
        <w:rPr>
          <w:i/>
          <w:iCs/>
        </w:rPr>
        <w:t>See</w:t>
      </w:r>
      <w:r>
        <w:t xml:space="preserve"> SCE Opening Comments to </w:t>
      </w:r>
      <w:r w:rsidR="00F57598">
        <w:t>November 6 Ruling</w:t>
      </w:r>
      <w:r w:rsidR="00907866">
        <w:t xml:space="preserve"> at </w:t>
      </w:r>
      <w:r>
        <w:t>23</w:t>
      </w:r>
      <w:r w:rsidR="003D6EF8">
        <w:noBreakHyphen/>
      </w:r>
      <w:r>
        <w:t xml:space="preserve">24 and PG&amp;E Reply Comments to </w:t>
      </w:r>
      <w:r w:rsidR="00F57598">
        <w:t>November 6 Ruling</w:t>
      </w:r>
      <w:r w:rsidR="00907866">
        <w:t xml:space="preserve"> at </w:t>
      </w:r>
      <w:r>
        <w:t>33.</w:t>
      </w:r>
    </w:p>
  </w:footnote>
  <w:footnote w:id="331">
    <w:p w14:paraId="4A8158C8" w14:textId="77777777" w:rsidR="00A05879" w:rsidRDefault="00A05879" w:rsidP="00A05879">
      <w:pPr>
        <w:pStyle w:val="FootnoteText"/>
      </w:pPr>
      <w:r>
        <w:rPr>
          <w:rStyle w:val="FootnoteReference"/>
        </w:rPr>
        <w:footnoteRef/>
      </w:r>
      <w:r>
        <w:t xml:space="preserve"> Cal Advocates Opening Brief at 18</w:t>
      </w:r>
      <w:r>
        <w:noBreakHyphen/>
        <w:t>19.</w:t>
      </w:r>
    </w:p>
  </w:footnote>
  <w:footnote w:id="332">
    <w:p w14:paraId="41BCACD6" w14:textId="14D9C014" w:rsidR="00F31028" w:rsidRDefault="00F31028">
      <w:pPr>
        <w:pStyle w:val="FootnoteText"/>
      </w:pPr>
      <w:r>
        <w:rPr>
          <w:rStyle w:val="FootnoteReference"/>
        </w:rPr>
        <w:footnoteRef/>
      </w:r>
      <w:r>
        <w:t xml:space="preserve"> CCSA Opening Brief</w:t>
      </w:r>
      <w:r w:rsidR="00907866">
        <w:t xml:space="preserve"> at </w:t>
      </w:r>
      <w:r>
        <w:t>28.</w:t>
      </w:r>
    </w:p>
  </w:footnote>
  <w:footnote w:id="333">
    <w:p w14:paraId="3BE0F775" w14:textId="7AE750DE" w:rsidR="00642945" w:rsidRDefault="00642945">
      <w:pPr>
        <w:pStyle w:val="FootnoteText"/>
      </w:pPr>
      <w:r>
        <w:rPr>
          <w:rStyle w:val="FootnoteReference"/>
        </w:rPr>
        <w:footnoteRef/>
      </w:r>
      <w:r>
        <w:t xml:space="preserve"> PG&amp;E Reply Brief</w:t>
      </w:r>
      <w:r w:rsidR="00907866">
        <w:t xml:space="preserve"> at </w:t>
      </w:r>
      <w:r>
        <w:t>29</w:t>
      </w:r>
      <w:r w:rsidR="003D6EF8">
        <w:noBreakHyphen/>
      </w:r>
      <w:r>
        <w:t>30.</w:t>
      </w:r>
    </w:p>
  </w:footnote>
  <w:footnote w:id="334">
    <w:p w14:paraId="19718D9F" w14:textId="4AA66259" w:rsidR="00F75EDB" w:rsidRDefault="00F75EDB">
      <w:pPr>
        <w:pStyle w:val="FootnoteText"/>
      </w:pPr>
      <w:r>
        <w:rPr>
          <w:rStyle w:val="FootnoteReference"/>
        </w:rPr>
        <w:footnoteRef/>
      </w:r>
      <w:r>
        <w:t xml:space="preserve"> SBUA Opening Comments to Proposed Decision at 2. </w:t>
      </w:r>
    </w:p>
  </w:footnote>
  <w:footnote w:id="335">
    <w:p w14:paraId="478935B3" w14:textId="77777777" w:rsidR="00F75EDB" w:rsidRDefault="00F75EDB" w:rsidP="00F75EDB">
      <w:pPr>
        <w:pStyle w:val="FootnoteText"/>
      </w:pPr>
      <w:r>
        <w:rPr>
          <w:rStyle w:val="FootnoteReference"/>
        </w:rPr>
        <w:footnoteRef/>
      </w:r>
      <w:r>
        <w:t xml:space="preserve"> TURN Opening Comments to Proposed Decision at 4.</w:t>
      </w:r>
    </w:p>
  </w:footnote>
  <w:footnote w:id="336">
    <w:p w14:paraId="1D7F75B2" w14:textId="340179D0" w:rsidR="00F75EDB" w:rsidRDefault="00F75EDB">
      <w:pPr>
        <w:pStyle w:val="FootnoteText"/>
      </w:pPr>
      <w:r>
        <w:rPr>
          <w:rStyle w:val="FootnoteReference"/>
        </w:rPr>
        <w:footnoteRef/>
      </w:r>
      <w:r>
        <w:t xml:space="preserve"> Solar Landscape Opening Comments to Proposed Decision at 2.</w:t>
      </w:r>
    </w:p>
  </w:footnote>
  <w:footnote w:id="337">
    <w:p w14:paraId="04F1C705" w14:textId="446A7762" w:rsidR="00F75EDB" w:rsidRDefault="00F75EDB">
      <w:pPr>
        <w:pStyle w:val="FootnoteText"/>
      </w:pPr>
      <w:r>
        <w:rPr>
          <w:rStyle w:val="FootnoteReference"/>
        </w:rPr>
        <w:footnoteRef/>
      </w:r>
      <w:r>
        <w:t xml:space="preserve"> Acadia Opening Comments to Proposed Decision at 12-13.</w:t>
      </w:r>
    </w:p>
  </w:footnote>
  <w:footnote w:id="338">
    <w:p w14:paraId="44B76A39" w14:textId="100207CD" w:rsidR="008F3007" w:rsidRDefault="008F3007">
      <w:pPr>
        <w:pStyle w:val="FootnoteText"/>
      </w:pPr>
      <w:r>
        <w:rPr>
          <w:rStyle w:val="FootnoteReference"/>
        </w:rPr>
        <w:footnoteRef/>
      </w:r>
      <w:r>
        <w:t xml:space="preserve"> Arcadia Opening Comments to Proposed Decision at 10.</w:t>
      </w:r>
    </w:p>
  </w:footnote>
  <w:footnote w:id="339">
    <w:p w14:paraId="0E35BD86" w14:textId="5B871F68" w:rsidR="008F3007" w:rsidRDefault="008F3007">
      <w:pPr>
        <w:pStyle w:val="FootnoteText"/>
      </w:pPr>
      <w:r>
        <w:rPr>
          <w:rStyle w:val="FootnoteReference"/>
        </w:rPr>
        <w:footnoteRef/>
      </w:r>
      <w:r>
        <w:t xml:space="preserve"> Arcadia Opening Comments to Proposed Decision at 10.</w:t>
      </w:r>
    </w:p>
  </w:footnote>
  <w:footnote w:id="340">
    <w:p w14:paraId="36200B07" w14:textId="64C91BAB" w:rsidR="00C87292" w:rsidRDefault="00C87292">
      <w:pPr>
        <w:pStyle w:val="FootnoteText"/>
      </w:pPr>
      <w:r>
        <w:rPr>
          <w:rStyle w:val="FootnoteReference"/>
        </w:rPr>
        <w:footnoteRef/>
      </w:r>
      <w:r>
        <w:t xml:space="preserve"> CCSA Opening Brief</w:t>
      </w:r>
      <w:r w:rsidR="00907866">
        <w:t xml:space="preserve"> at </w:t>
      </w:r>
      <w:r>
        <w:t>33.</w:t>
      </w:r>
    </w:p>
  </w:footnote>
  <w:footnote w:id="341">
    <w:p w14:paraId="0988B0A5" w14:textId="7C46B123" w:rsidR="00850C8F" w:rsidRDefault="00850C8F">
      <w:pPr>
        <w:pStyle w:val="FootnoteText"/>
      </w:pPr>
      <w:r>
        <w:rPr>
          <w:rStyle w:val="FootnoteReference"/>
        </w:rPr>
        <w:footnoteRef/>
      </w:r>
      <w:r>
        <w:t xml:space="preserve"> </w:t>
      </w:r>
      <w:r w:rsidRPr="00E72908">
        <w:rPr>
          <w:i/>
          <w:iCs/>
        </w:rPr>
        <w:t>See</w:t>
      </w:r>
      <w:r w:rsidR="00E72908">
        <w:t>,</w:t>
      </w:r>
      <w:r>
        <w:t xml:space="preserve"> for example, TURN Opening Brief</w:t>
      </w:r>
      <w:r w:rsidR="00907866">
        <w:t xml:space="preserve"> at </w:t>
      </w:r>
      <w:r>
        <w:t xml:space="preserve">39 citing </w:t>
      </w:r>
      <w:r w:rsidR="00352184">
        <w:t>Ex. TURN</w:t>
      </w:r>
      <w:r w:rsidR="003D6EF8">
        <w:noBreakHyphen/>
      </w:r>
      <w:r>
        <w:t>01</w:t>
      </w:r>
      <w:r w:rsidR="00907866">
        <w:t xml:space="preserve"> at </w:t>
      </w:r>
      <w:r>
        <w:t>36</w:t>
      </w:r>
      <w:r w:rsidR="003D6EF8">
        <w:noBreakHyphen/>
      </w:r>
      <w:r>
        <w:t>38.</w:t>
      </w:r>
    </w:p>
  </w:footnote>
  <w:footnote w:id="342">
    <w:p w14:paraId="5493C931" w14:textId="438BD7F6" w:rsidR="00850C8F" w:rsidRDefault="00850C8F">
      <w:pPr>
        <w:pStyle w:val="FootnoteText"/>
      </w:pPr>
      <w:r>
        <w:rPr>
          <w:rStyle w:val="FootnoteReference"/>
        </w:rPr>
        <w:footnoteRef/>
      </w:r>
      <w:r>
        <w:t xml:space="preserve"> </w:t>
      </w:r>
      <w:r w:rsidRPr="00E72908">
        <w:rPr>
          <w:i/>
          <w:iCs/>
        </w:rPr>
        <w:t>See</w:t>
      </w:r>
      <w:r>
        <w:t>, for example, TURN Opening Brief</w:t>
      </w:r>
      <w:r w:rsidR="00907866">
        <w:t xml:space="preserve"> at </w:t>
      </w:r>
      <w:r>
        <w:t xml:space="preserve">39 citing </w:t>
      </w:r>
      <w:r w:rsidR="003627A8">
        <w:t>SB </w:t>
      </w:r>
      <w:r>
        <w:t>846 (Dodd, 2022)</w:t>
      </w:r>
      <w:r w:rsidR="00FC4AD1">
        <w:t>.</w:t>
      </w:r>
    </w:p>
  </w:footnote>
  <w:footnote w:id="343">
    <w:p w14:paraId="387DD2EB" w14:textId="1BC4B114" w:rsidR="00E04C73" w:rsidRDefault="00E04C73">
      <w:pPr>
        <w:pStyle w:val="FootnoteText"/>
      </w:pPr>
      <w:r>
        <w:rPr>
          <w:rStyle w:val="FootnoteReference"/>
        </w:rPr>
        <w:footnoteRef/>
      </w:r>
      <w:r>
        <w:t xml:space="preserve"> Dimension Energy Opening Comments to Proposed Decision at </w:t>
      </w:r>
      <w:r w:rsidR="0041419A">
        <w:t>4.</w:t>
      </w:r>
    </w:p>
  </w:footnote>
  <w:footnote w:id="344">
    <w:p w14:paraId="7A34109C" w14:textId="5E38B31E" w:rsidR="00913F87" w:rsidRDefault="00913F87">
      <w:pPr>
        <w:pStyle w:val="FootnoteText"/>
      </w:pPr>
      <w:r>
        <w:rPr>
          <w:rStyle w:val="FootnoteReference"/>
        </w:rPr>
        <w:footnoteRef/>
      </w:r>
      <w:r>
        <w:t xml:space="preserve"> </w:t>
      </w:r>
      <w:r w:rsidRPr="00097A0B">
        <w:rPr>
          <w:i/>
          <w:iCs/>
        </w:rPr>
        <w:t>See</w:t>
      </w:r>
      <w:r>
        <w:t xml:space="preserve"> </w:t>
      </w:r>
      <w:r w:rsidR="00D558A3">
        <w:t>Section </w:t>
      </w:r>
      <w:r>
        <w:t>3.3 of this decision.</w:t>
      </w:r>
    </w:p>
  </w:footnote>
  <w:footnote w:id="345">
    <w:p w14:paraId="65A1E759" w14:textId="73908E82" w:rsidR="00176530" w:rsidRDefault="00176530" w:rsidP="00176530">
      <w:pPr>
        <w:pStyle w:val="FootnoteText"/>
      </w:pPr>
      <w:r>
        <w:rPr>
          <w:rStyle w:val="FootnoteReference"/>
        </w:rPr>
        <w:footnoteRef/>
      </w:r>
      <w:r>
        <w:t xml:space="preserve"> D.22</w:t>
      </w:r>
      <w:r w:rsidR="003D6EF8">
        <w:noBreakHyphen/>
      </w:r>
      <w:r>
        <w:t>12</w:t>
      </w:r>
      <w:r w:rsidR="003D6EF8">
        <w:noBreakHyphen/>
      </w:r>
      <w:r>
        <w:t>056</w:t>
      </w:r>
      <w:r w:rsidR="00907866">
        <w:t xml:space="preserve"> at </w:t>
      </w:r>
      <w:r>
        <w:t>Finding of Fact 87.</w:t>
      </w:r>
    </w:p>
  </w:footnote>
  <w:footnote w:id="346">
    <w:p w14:paraId="189362F0" w14:textId="5878842C" w:rsidR="00F2117F" w:rsidRDefault="00F2117F">
      <w:pPr>
        <w:pStyle w:val="FootnoteText"/>
      </w:pPr>
      <w:r>
        <w:rPr>
          <w:rStyle w:val="FootnoteReference"/>
        </w:rPr>
        <w:footnoteRef/>
      </w:r>
      <w:r>
        <w:t xml:space="preserve"> See PG&amp;E Opening Comments to Proposed Decision at 5 and footnote 10</w:t>
      </w:r>
      <w:r w:rsidR="00F7557A">
        <w:t xml:space="preserve"> and TURN Opening Comments to Proposed Decision at 13.</w:t>
      </w:r>
    </w:p>
  </w:footnote>
  <w:footnote w:id="347">
    <w:p w14:paraId="098E9B22" w14:textId="2583FBE4" w:rsidR="001C0C4F" w:rsidRDefault="001C0C4F">
      <w:pPr>
        <w:pStyle w:val="FootnoteText"/>
      </w:pPr>
      <w:r>
        <w:rPr>
          <w:rStyle w:val="FootnoteReference"/>
        </w:rPr>
        <w:footnoteRef/>
      </w:r>
      <w:r>
        <w:t xml:space="preserve"> </w:t>
      </w:r>
      <w:r w:rsidR="0019580D">
        <w:t>Ex. PGE</w:t>
      </w:r>
      <w:r w:rsidR="003D6EF8">
        <w:noBreakHyphen/>
      </w:r>
      <w:r>
        <w:t>02</w:t>
      </w:r>
      <w:r w:rsidR="00907866">
        <w:t xml:space="preserve"> at </w:t>
      </w:r>
      <w:r>
        <w:t>29</w:t>
      </w:r>
      <w:r w:rsidR="003D6EF8">
        <w:noBreakHyphen/>
      </w:r>
      <w:r>
        <w:t xml:space="preserve">31 and </w:t>
      </w:r>
      <w:r w:rsidR="00E56FAA">
        <w:t>Ex. JCCA</w:t>
      </w:r>
      <w:r w:rsidR="003D6EF8">
        <w:noBreakHyphen/>
      </w:r>
      <w:r>
        <w:t>02</w:t>
      </w:r>
      <w:r w:rsidR="00907866">
        <w:t xml:space="preserve"> at </w:t>
      </w:r>
      <w:r>
        <w:t>14</w:t>
      </w:r>
      <w:r w:rsidR="003D6EF8">
        <w:noBreakHyphen/>
      </w:r>
      <w:r>
        <w:t>15.</w:t>
      </w:r>
    </w:p>
  </w:footnote>
  <w:footnote w:id="348">
    <w:p w14:paraId="508A9D4B" w14:textId="4326E65B" w:rsidR="00FA1188" w:rsidRDefault="00FA1188">
      <w:pPr>
        <w:pStyle w:val="FootnoteText"/>
      </w:pPr>
      <w:r>
        <w:rPr>
          <w:rStyle w:val="FootnoteReference"/>
        </w:rPr>
        <w:footnoteRef/>
      </w:r>
      <w:r>
        <w:t xml:space="preserve"> See Resolution E-4734, approving the Joint Procurement Implementation Advice Letter.</w:t>
      </w:r>
    </w:p>
  </w:footnote>
  <w:footnote w:id="349">
    <w:p w14:paraId="1DEA6901" w14:textId="70876FE6" w:rsidR="000043B1" w:rsidRDefault="000043B1">
      <w:pPr>
        <w:pStyle w:val="FootnoteText"/>
      </w:pPr>
      <w:r>
        <w:rPr>
          <w:rStyle w:val="FootnoteReference"/>
        </w:rPr>
        <w:footnoteRef/>
      </w:r>
      <w:r>
        <w:t xml:space="preserve"> See Joint CCAs Opening Comments to Proposed Decision at 7-8.</w:t>
      </w:r>
    </w:p>
  </w:footnote>
  <w:footnote w:id="350">
    <w:p w14:paraId="1635F3D1" w14:textId="1BE52549" w:rsidR="00AC68E2" w:rsidRDefault="00AC68E2">
      <w:pPr>
        <w:pStyle w:val="FootnoteText"/>
      </w:pPr>
      <w:r>
        <w:rPr>
          <w:rStyle w:val="FootnoteReference"/>
        </w:rPr>
        <w:footnoteRef/>
      </w:r>
      <w:r>
        <w:t xml:space="preserve"> </w:t>
      </w:r>
      <w:r w:rsidR="0019580D">
        <w:t>Ex. PGE</w:t>
      </w:r>
      <w:r w:rsidR="003D6EF8">
        <w:noBreakHyphen/>
      </w:r>
      <w:r>
        <w:t>02</w:t>
      </w:r>
      <w:r w:rsidR="00907866">
        <w:t xml:space="preserve"> at </w:t>
      </w:r>
      <w:r>
        <w:t>26.</w:t>
      </w:r>
    </w:p>
  </w:footnote>
  <w:footnote w:id="351">
    <w:p w14:paraId="40BB8BE8" w14:textId="22E01031" w:rsidR="00974D1F" w:rsidRDefault="00974D1F">
      <w:pPr>
        <w:pStyle w:val="FootnoteText"/>
      </w:pPr>
      <w:r>
        <w:rPr>
          <w:rStyle w:val="FootnoteReference"/>
        </w:rPr>
        <w:footnoteRef/>
      </w:r>
      <w:r>
        <w:t xml:space="preserve"> </w:t>
      </w:r>
      <w:r w:rsidR="0019580D">
        <w:t>Ex. PGE</w:t>
      </w:r>
      <w:r w:rsidR="003D6EF8">
        <w:noBreakHyphen/>
      </w:r>
      <w:r>
        <w:t>02</w:t>
      </w:r>
      <w:r w:rsidR="00907866">
        <w:t xml:space="preserve"> at </w:t>
      </w:r>
      <w:r>
        <w:t>29.</w:t>
      </w:r>
    </w:p>
  </w:footnote>
  <w:footnote w:id="352">
    <w:p w14:paraId="20E42DDD" w14:textId="7B97126C" w:rsidR="00DB19F5" w:rsidRDefault="00DB19F5">
      <w:pPr>
        <w:pStyle w:val="FootnoteText"/>
      </w:pPr>
      <w:r>
        <w:rPr>
          <w:rStyle w:val="FootnoteReference"/>
        </w:rPr>
        <w:footnoteRef/>
      </w:r>
      <w:r>
        <w:t xml:space="preserve"> D.20</w:t>
      </w:r>
      <w:r w:rsidR="003D6EF8">
        <w:noBreakHyphen/>
      </w:r>
      <w:r>
        <w:t>07</w:t>
      </w:r>
      <w:r w:rsidR="003D6EF8">
        <w:noBreakHyphen/>
      </w:r>
      <w:r>
        <w:t xml:space="preserve">008 Ordering </w:t>
      </w:r>
      <w:r w:rsidR="006B06A9">
        <w:t>Paragraph </w:t>
      </w:r>
      <w:r>
        <w:t xml:space="preserve">1 and Ordering </w:t>
      </w:r>
      <w:r w:rsidR="006B06A9">
        <w:t>Paragraph </w:t>
      </w:r>
      <w:r>
        <w:t>2 authorizing auto</w:t>
      </w:r>
      <w:r w:rsidR="003D6EF8">
        <w:noBreakHyphen/>
      </w:r>
      <w:r>
        <w:t>enrollment for PG&amp;E DAC</w:t>
      </w:r>
      <w:r w:rsidR="003D6EF8">
        <w:noBreakHyphen/>
      </w:r>
      <w:r>
        <w:t>GT and CSGT customers.</w:t>
      </w:r>
    </w:p>
  </w:footnote>
  <w:footnote w:id="353">
    <w:p w14:paraId="7627DD6C" w14:textId="4AF1BFEA" w:rsidR="00E04E2A" w:rsidRPr="00DB19F5" w:rsidRDefault="00E04E2A">
      <w:pPr>
        <w:pStyle w:val="FootnoteText"/>
      </w:pPr>
      <w:r w:rsidRPr="005D065D">
        <w:rPr>
          <w:rStyle w:val="FootnoteReference"/>
        </w:rPr>
        <w:footnoteRef/>
      </w:r>
      <w:r w:rsidRPr="005D065D">
        <w:t xml:space="preserve"> </w:t>
      </w:r>
      <w:r w:rsidR="000C3B88">
        <w:t>Ex. SCE</w:t>
      </w:r>
      <w:r w:rsidR="003D6EF8">
        <w:noBreakHyphen/>
      </w:r>
      <w:r w:rsidR="00DB19F5" w:rsidRPr="00DB19F5">
        <w:t>01</w:t>
      </w:r>
      <w:r w:rsidR="00907866">
        <w:t xml:space="preserve"> at </w:t>
      </w:r>
      <w:r w:rsidR="00DB19F5" w:rsidRPr="00DB19F5">
        <w:t>7.</w:t>
      </w:r>
    </w:p>
  </w:footnote>
  <w:footnote w:id="354">
    <w:p w14:paraId="3F42DFAD" w14:textId="6CC13CE1" w:rsidR="001C62AE" w:rsidRPr="00DB19F5" w:rsidRDefault="001C62AE">
      <w:pPr>
        <w:pStyle w:val="FootnoteText"/>
      </w:pPr>
      <w:r w:rsidRPr="005D065D">
        <w:rPr>
          <w:rStyle w:val="FootnoteReference"/>
        </w:rPr>
        <w:footnoteRef/>
      </w:r>
      <w:r w:rsidRPr="005D065D">
        <w:t xml:space="preserve"> </w:t>
      </w:r>
      <w:r w:rsidR="000C3B88">
        <w:t>Ex. SCE</w:t>
      </w:r>
      <w:r w:rsidR="003D6EF8">
        <w:noBreakHyphen/>
      </w:r>
      <w:r w:rsidR="00DB19F5" w:rsidRPr="005D065D">
        <w:t>01</w:t>
      </w:r>
      <w:r w:rsidR="00907866">
        <w:t xml:space="preserve"> at </w:t>
      </w:r>
      <w:r w:rsidR="00DB19F5" w:rsidRPr="005D065D">
        <w:t>7</w:t>
      </w:r>
      <w:r w:rsidRPr="005D065D">
        <w:t>.</w:t>
      </w:r>
    </w:p>
  </w:footnote>
  <w:footnote w:id="355">
    <w:p w14:paraId="084AC442" w14:textId="4D7AA381" w:rsidR="001C62AE" w:rsidRDefault="001C62AE" w:rsidP="001C62AE">
      <w:pPr>
        <w:pStyle w:val="FootnoteText"/>
      </w:pPr>
      <w:r w:rsidRPr="005D065D">
        <w:rPr>
          <w:rStyle w:val="FootnoteReference"/>
        </w:rPr>
        <w:footnoteRef/>
      </w:r>
      <w:r w:rsidRPr="005D065D">
        <w:t xml:space="preserve"> </w:t>
      </w:r>
      <w:r w:rsidR="0019580D">
        <w:t>Ex. PGE</w:t>
      </w:r>
      <w:r w:rsidR="003D6EF8">
        <w:noBreakHyphen/>
      </w:r>
      <w:r w:rsidR="00DB19F5">
        <w:t>01</w:t>
      </w:r>
      <w:r w:rsidR="00907866">
        <w:t xml:space="preserve"> at </w:t>
      </w:r>
      <w:r w:rsidR="00DB19F5">
        <w:t>1</w:t>
      </w:r>
      <w:r w:rsidR="003D6EF8">
        <w:noBreakHyphen/>
      </w:r>
      <w:r w:rsidR="00DB19F5">
        <w:t xml:space="preserve">41; </w:t>
      </w:r>
      <w:r w:rsidR="00E56FAA">
        <w:t>Ex. JCCA</w:t>
      </w:r>
      <w:r w:rsidR="003D6EF8">
        <w:noBreakHyphen/>
      </w:r>
      <w:r w:rsidR="00DB19F5">
        <w:t>01</w:t>
      </w:r>
      <w:r w:rsidR="00907866">
        <w:t xml:space="preserve"> at </w:t>
      </w:r>
      <w:r w:rsidR="00DB19F5">
        <w:t>42</w:t>
      </w:r>
      <w:r w:rsidR="009708D2">
        <w:t>;</w:t>
      </w:r>
      <w:r w:rsidR="00DB19F5">
        <w:t xml:space="preserve"> and JCCA Opening Brief</w:t>
      </w:r>
      <w:r w:rsidR="00907866">
        <w:t xml:space="preserve"> at </w:t>
      </w:r>
      <w:r w:rsidR="00DB19F5">
        <w:t>37</w:t>
      </w:r>
      <w:r>
        <w:t>.</w:t>
      </w:r>
    </w:p>
  </w:footnote>
  <w:footnote w:id="356">
    <w:p w14:paraId="6D11FB55" w14:textId="3733F43F" w:rsidR="009708D2" w:rsidRDefault="009708D2">
      <w:pPr>
        <w:pStyle w:val="FootnoteText"/>
      </w:pPr>
      <w:r>
        <w:rPr>
          <w:rStyle w:val="FootnoteReference"/>
        </w:rPr>
        <w:footnoteRef/>
      </w:r>
      <w:r>
        <w:t xml:space="preserve"> </w:t>
      </w:r>
      <w:r w:rsidR="000341A3">
        <w:t>Joint CCA</w:t>
      </w:r>
      <w:r>
        <w:t>s Opening Brief</w:t>
      </w:r>
      <w:r w:rsidR="00907866">
        <w:t xml:space="preserve"> at </w:t>
      </w:r>
      <w:r>
        <w:t>38</w:t>
      </w:r>
      <w:r w:rsidR="003D6EF8">
        <w:noBreakHyphen/>
      </w:r>
      <w:r>
        <w:t>41.</w:t>
      </w:r>
    </w:p>
  </w:footnote>
  <w:footnote w:id="357">
    <w:p w14:paraId="49853DCF" w14:textId="198F1336" w:rsidR="007A5B5A" w:rsidRDefault="007A5B5A">
      <w:pPr>
        <w:pStyle w:val="FootnoteText"/>
      </w:pPr>
      <w:r>
        <w:rPr>
          <w:rStyle w:val="FootnoteReference"/>
        </w:rPr>
        <w:footnoteRef/>
      </w:r>
      <w:r>
        <w:t xml:space="preserve"> </w:t>
      </w:r>
      <w:r w:rsidR="00F71C3A" w:rsidRPr="000617A4">
        <w:t>Resolution E</w:t>
      </w:r>
      <w:r w:rsidR="00F71C3A" w:rsidRPr="000617A4">
        <w:noBreakHyphen/>
        <w:t>4999</w:t>
      </w:r>
      <w:r w:rsidRPr="00D27DA7">
        <w:rPr>
          <w:szCs w:val="22"/>
        </w:rPr>
        <w:t>,</w:t>
      </w:r>
      <w:r>
        <w:rPr>
          <w:sz w:val="24"/>
          <w:szCs w:val="24"/>
        </w:rPr>
        <w:t xml:space="preserve"> issued June</w:t>
      </w:r>
      <w:r w:rsidR="00440785">
        <w:rPr>
          <w:sz w:val="24"/>
          <w:szCs w:val="24"/>
        </w:rPr>
        <w:t> </w:t>
      </w:r>
      <w:r>
        <w:rPr>
          <w:sz w:val="24"/>
          <w:szCs w:val="24"/>
        </w:rPr>
        <w:t>3, 2019, requires Utilities to annually submit their separate budget estimates for each program (DAC</w:t>
      </w:r>
      <w:r w:rsidR="003D6EF8">
        <w:rPr>
          <w:sz w:val="24"/>
          <w:szCs w:val="24"/>
        </w:rPr>
        <w:noBreakHyphen/>
      </w:r>
      <w:r>
        <w:rPr>
          <w:sz w:val="24"/>
          <w:szCs w:val="24"/>
        </w:rPr>
        <w:t xml:space="preserve">GT and/or CSGT) that includes line items for any above market generation costs, bill discounts, marketing, education and outreach, and administrative costs by </w:t>
      </w:r>
      <w:r w:rsidR="00440785">
        <w:rPr>
          <w:sz w:val="24"/>
          <w:szCs w:val="24"/>
        </w:rPr>
        <w:t>Tier 1</w:t>
      </w:r>
      <w:r>
        <w:rPr>
          <w:sz w:val="24"/>
          <w:szCs w:val="24"/>
        </w:rPr>
        <w:t xml:space="preserve"> Advice Letter by February</w:t>
      </w:r>
      <w:r w:rsidR="00440785">
        <w:rPr>
          <w:sz w:val="24"/>
          <w:szCs w:val="24"/>
        </w:rPr>
        <w:t> </w:t>
      </w:r>
      <w:r>
        <w:rPr>
          <w:sz w:val="24"/>
          <w:szCs w:val="24"/>
        </w:rPr>
        <w:t xml:space="preserve">1. </w:t>
      </w:r>
      <w:r w:rsidR="00F71C3A" w:rsidRPr="000617A4">
        <w:t>Resolution E</w:t>
      </w:r>
      <w:r w:rsidR="00F71C3A" w:rsidRPr="000617A4">
        <w:noBreakHyphen/>
        <w:t>5125</w:t>
      </w:r>
      <w:r>
        <w:t xml:space="preserve"> updated the original </w:t>
      </w:r>
      <w:r w:rsidR="00440785">
        <w:t>Tier 1</w:t>
      </w:r>
      <w:r>
        <w:t xml:space="preserve"> requirement to a </w:t>
      </w:r>
      <w:r w:rsidR="00440785">
        <w:t>Tier 2</w:t>
      </w:r>
      <w:r>
        <w:t xml:space="preserve"> Advice Letter to allow for additional review and oversight.</w:t>
      </w:r>
    </w:p>
  </w:footnote>
  <w:footnote w:id="358">
    <w:p w14:paraId="4CC00B13" w14:textId="645DC45A" w:rsidR="00072C03" w:rsidRDefault="00072C03">
      <w:pPr>
        <w:pStyle w:val="FootnoteText"/>
      </w:pPr>
      <w:r>
        <w:rPr>
          <w:rStyle w:val="FootnoteReference"/>
        </w:rPr>
        <w:footnoteRef/>
      </w:r>
      <w:r>
        <w:t xml:space="preserve"> </w:t>
      </w:r>
      <w:r w:rsidR="000341A3">
        <w:t>Joint CCA</w:t>
      </w:r>
      <w:r>
        <w:t>s Opening Brief</w:t>
      </w:r>
      <w:r w:rsidR="00907866">
        <w:t xml:space="preserve"> at </w:t>
      </w:r>
      <w:r>
        <w:t>2</w:t>
      </w:r>
      <w:r w:rsidR="008D0F1F">
        <w:t>7</w:t>
      </w:r>
      <w:r w:rsidR="007E1E94">
        <w:t>.</w:t>
      </w:r>
    </w:p>
  </w:footnote>
  <w:footnote w:id="359">
    <w:p w14:paraId="2B3DC6D3" w14:textId="5F064328" w:rsidR="00072C03" w:rsidRDefault="00072C03">
      <w:pPr>
        <w:pStyle w:val="FootnoteText"/>
      </w:pPr>
      <w:r>
        <w:rPr>
          <w:rStyle w:val="FootnoteReference"/>
        </w:rPr>
        <w:footnoteRef/>
      </w:r>
      <w:r>
        <w:t xml:space="preserve"> </w:t>
      </w:r>
      <w:r w:rsidR="000341A3">
        <w:t>Joint CCA</w:t>
      </w:r>
      <w:r>
        <w:t>s Opening Brief</w:t>
      </w:r>
      <w:r w:rsidR="00907866">
        <w:t xml:space="preserve"> at </w:t>
      </w:r>
      <w:r>
        <w:t>24</w:t>
      </w:r>
      <w:r w:rsidR="003D6EF8">
        <w:noBreakHyphen/>
      </w:r>
      <w:r>
        <w:t>27.</w:t>
      </w:r>
    </w:p>
  </w:footnote>
  <w:footnote w:id="360">
    <w:p w14:paraId="490A7AF2" w14:textId="5FA77747" w:rsidR="00D42978" w:rsidRDefault="00D42978">
      <w:pPr>
        <w:pStyle w:val="FootnoteText"/>
      </w:pPr>
      <w:r>
        <w:rPr>
          <w:rStyle w:val="FootnoteReference"/>
        </w:rPr>
        <w:footnoteRef/>
      </w:r>
      <w:r>
        <w:t xml:space="preserve"> SDG&amp;E Opening Brief</w:t>
      </w:r>
      <w:r w:rsidR="00907866">
        <w:t xml:space="preserve"> at </w:t>
      </w:r>
      <w:r>
        <w:t>2.</w:t>
      </w:r>
    </w:p>
  </w:footnote>
  <w:footnote w:id="361">
    <w:p w14:paraId="531428A4" w14:textId="713A1A11" w:rsidR="0068555C" w:rsidRDefault="0068555C">
      <w:pPr>
        <w:pStyle w:val="FootnoteText"/>
      </w:pPr>
      <w:r>
        <w:rPr>
          <w:rStyle w:val="FootnoteReference"/>
        </w:rPr>
        <w:footnoteRef/>
      </w:r>
      <w:r>
        <w:t xml:space="preserve"> SDG&amp;E Opening Brief</w:t>
      </w:r>
      <w:r w:rsidR="00907866">
        <w:t xml:space="preserve"> at </w:t>
      </w:r>
      <w:r>
        <w:t>2.</w:t>
      </w:r>
    </w:p>
  </w:footnote>
  <w:footnote w:id="362">
    <w:p w14:paraId="33A8B63F" w14:textId="77732984" w:rsidR="0068555C" w:rsidRDefault="0068555C">
      <w:pPr>
        <w:pStyle w:val="FootnoteText"/>
      </w:pPr>
      <w:r>
        <w:rPr>
          <w:rStyle w:val="FootnoteReference"/>
        </w:rPr>
        <w:footnoteRef/>
      </w:r>
      <w:r>
        <w:t xml:space="preserve"> SDG&amp;E Opening Brief</w:t>
      </w:r>
      <w:r w:rsidR="00907866">
        <w:t xml:space="preserve"> at </w:t>
      </w:r>
      <w:r>
        <w:t>2</w:t>
      </w:r>
      <w:r w:rsidR="003D6EF8">
        <w:noBreakHyphen/>
      </w:r>
      <w:r>
        <w:t>4.</w:t>
      </w:r>
    </w:p>
  </w:footnote>
  <w:footnote w:id="363">
    <w:p w14:paraId="36A8F7F9" w14:textId="0FDBC5D7" w:rsidR="00523A50" w:rsidRDefault="00523A50">
      <w:pPr>
        <w:pStyle w:val="FootnoteText"/>
      </w:pPr>
      <w:r>
        <w:rPr>
          <w:rStyle w:val="FootnoteReference"/>
        </w:rPr>
        <w:footnoteRef/>
      </w:r>
      <w:r>
        <w:t xml:space="preserve"> </w:t>
      </w:r>
      <w:r w:rsidRPr="00E72908">
        <w:rPr>
          <w:i/>
          <w:iCs/>
        </w:rPr>
        <w:t>See</w:t>
      </w:r>
      <w:r>
        <w:t xml:space="preserve"> SDG&amp;E Opening Brief</w:t>
      </w:r>
      <w:r w:rsidR="00907866">
        <w:t xml:space="preserve"> at </w:t>
      </w:r>
      <w:r>
        <w:t>33.</w:t>
      </w:r>
    </w:p>
  </w:footnote>
  <w:footnote w:id="364">
    <w:p w14:paraId="030C9708" w14:textId="3581B590" w:rsidR="007E1E94" w:rsidRDefault="007E1E94">
      <w:pPr>
        <w:pStyle w:val="FootnoteText"/>
      </w:pPr>
      <w:r>
        <w:rPr>
          <w:rStyle w:val="FootnoteReference"/>
        </w:rPr>
        <w:footnoteRef/>
      </w:r>
      <w:r>
        <w:t xml:space="preserve"> </w:t>
      </w:r>
      <w:r w:rsidR="000C3B88">
        <w:t>Ex. SCE</w:t>
      </w:r>
      <w:r w:rsidR="003D6EF8">
        <w:noBreakHyphen/>
      </w:r>
      <w:r>
        <w:t>01</w:t>
      </w:r>
      <w:r w:rsidR="00907866">
        <w:t xml:space="preserve"> at </w:t>
      </w:r>
      <w:r>
        <w:t>7.</w:t>
      </w:r>
    </w:p>
  </w:footnote>
  <w:footnote w:id="365">
    <w:p w14:paraId="4E28039F" w14:textId="486DFE20" w:rsidR="00BC5F72" w:rsidRDefault="00BC5F72">
      <w:pPr>
        <w:pStyle w:val="FootnoteText"/>
      </w:pPr>
      <w:r>
        <w:rPr>
          <w:rStyle w:val="FootnoteReference"/>
        </w:rPr>
        <w:footnoteRef/>
      </w:r>
      <w:r>
        <w:t xml:space="preserve"> </w:t>
      </w:r>
      <w:r w:rsidR="000C3B88">
        <w:t>Ex. SCE</w:t>
      </w:r>
      <w:r w:rsidR="003D6EF8">
        <w:noBreakHyphen/>
      </w:r>
      <w:r>
        <w:t>01</w:t>
      </w:r>
      <w:r w:rsidR="00907866">
        <w:t xml:space="preserve"> at </w:t>
      </w:r>
      <w:r>
        <w:t>7</w:t>
      </w:r>
      <w:r w:rsidR="003D6EF8">
        <w:noBreakHyphen/>
      </w:r>
      <w:r>
        <w:t>8.</w:t>
      </w:r>
    </w:p>
  </w:footnote>
  <w:footnote w:id="366">
    <w:p w14:paraId="09189CAE" w14:textId="266BE8EF" w:rsidR="00E507D7" w:rsidRDefault="00E507D7" w:rsidP="00E507D7">
      <w:pPr>
        <w:pStyle w:val="FootnoteText"/>
      </w:pPr>
      <w:r>
        <w:rPr>
          <w:rStyle w:val="FootnoteReference"/>
        </w:rPr>
        <w:footnoteRef/>
      </w:r>
      <w:r>
        <w:t xml:space="preserve"> </w:t>
      </w:r>
      <w:r w:rsidR="002917E2">
        <w:t>Cal Advoc</w:t>
      </w:r>
      <w:r>
        <w:t>ates Opening Brief</w:t>
      </w:r>
      <w:r w:rsidR="00907866">
        <w:t xml:space="preserve"> at </w:t>
      </w:r>
      <w:r>
        <w:t>13</w:t>
      </w:r>
      <w:r w:rsidR="003D6EF8">
        <w:noBreakHyphen/>
      </w:r>
      <w:r>
        <w:t>17.</w:t>
      </w:r>
    </w:p>
  </w:footnote>
  <w:footnote w:id="367">
    <w:p w14:paraId="50AA3CE9" w14:textId="21A3FA59" w:rsidR="00AB6113" w:rsidRDefault="00AB6113" w:rsidP="00AB6113">
      <w:pPr>
        <w:pStyle w:val="FootnoteText"/>
      </w:pPr>
      <w:r>
        <w:rPr>
          <w:rStyle w:val="FootnoteReference"/>
        </w:rPr>
        <w:footnoteRef/>
      </w:r>
      <w:r>
        <w:t xml:space="preserve"> </w:t>
      </w:r>
      <w:r w:rsidR="000C3B88">
        <w:t>Ex. SCE</w:t>
      </w:r>
      <w:r w:rsidR="003D6EF8">
        <w:noBreakHyphen/>
      </w:r>
      <w:r>
        <w:t>01</w:t>
      </w:r>
      <w:r w:rsidR="00907866">
        <w:t xml:space="preserve"> at </w:t>
      </w:r>
      <w:r>
        <w:t>7.</w:t>
      </w:r>
    </w:p>
  </w:footnote>
  <w:footnote w:id="368">
    <w:p w14:paraId="36ACF373" w14:textId="262685F2" w:rsidR="00AB6113" w:rsidRDefault="00AB6113">
      <w:pPr>
        <w:pStyle w:val="FootnoteText"/>
      </w:pPr>
      <w:r>
        <w:rPr>
          <w:rStyle w:val="FootnoteReference"/>
        </w:rPr>
        <w:footnoteRef/>
      </w:r>
      <w:r>
        <w:t xml:space="preserve"> </w:t>
      </w:r>
      <w:r w:rsidR="0019580D">
        <w:t>Ex. PGE</w:t>
      </w:r>
      <w:r w:rsidR="003D6EF8">
        <w:noBreakHyphen/>
      </w:r>
      <w:r>
        <w:t>01</w:t>
      </w:r>
      <w:r w:rsidR="00907866">
        <w:t xml:space="preserve"> at </w:t>
      </w:r>
      <w:r>
        <w:t>18</w:t>
      </w:r>
      <w:r w:rsidR="003D6EF8">
        <w:noBreakHyphen/>
      </w:r>
      <w:r>
        <w:t>19.</w:t>
      </w:r>
    </w:p>
  </w:footnote>
  <w:footnote w:id="369">
    <w:p w14:paraId="7FF477A9" w14:textId="61E1E045" w:rsidR="00E507D7" w:rsidRDefault="00E507D7">
      <w:pPr>
        <w:pStyle w:val="FootnoteText"/>
      </w:pPr>
      <w:r>
        <w:rPr>
          <w:rStyle w:val="FootnoteReference"/>
        </w:rPr>
        <w:footnoteRef/>
      </w:r>
      <w:r>
        <w:t xml:space="preserve"> PG&amp;E Opening Brief</w:t>
      </w:r>
      <w:r w:rsidR="00907866">
        <w:t xml:space="preserve"> at </w:t>
      </w:r>
      <w:r>
        <w:t>16</w:t>
      </w:r>
      <w:r w:rsidR="003D6EF8">
        <w:noBreakHyphen/>
      </w:r>
      <w:r>
        <w:t>17.</w:t>
      </w:r>
    </w:p>
  </w:footnote>
  <w:footnote w:id="370">
    <w:p w14:paraId="1BAED018" w14:textId="0443AC86" w:rsidR="00C75BDF" w:rsidRDefault="00C75BDF">
      <w:pPr>
        <w:pStyle w:val="FootnoteText"/>
      </w:pPr>
      <w:r>
        <w:rPr>
          <w:rStyle w:val="FootnoteReference"/>
        </w:rPr>
        <w:footnoteRef/>
      </w:r>
      <w:r>
        <w:t xml:space="preserve"> See D.15-01-051 at </w:t>
      </w:r>
      <w:r w:rsidR="00507449">
        <w:t>43 stating that “[u]se of existing RPS resources for GTSR customers is a temporary measure applicable until newly dedicated GTSR resources are brought online.”</w:t>
      </w:r>
    </w:p>
  </w:footnote>
  <w:footnote w:id="371">
    <w:p w14:paraId="32B171E1" w14:textId="294E0345" w:rsidR="003917EA" w:rsidRDefault="003917EA">
      <w:pPr>
        <w:pStyle w:val="FootnoteText"/>
      </w:pPr>
      <w:r>
        <w:rPr>
          <w:rStyle w:val="FootnoteReference"/>
        </w:rPr>
        <w:footnoteRef/>
      </w:r>
      <w:r>
        <w:t xml:space="preserve"> SDG&amp;E Opening Brief</w:t>
      </w:r>
      <w:r w:rsidR="00907866">
        <w:t xml:space="preserve"> at </w:t>
      </w:r>
      <w:r>
        <w:t>19.</w:t>
      </w:r>
    </w:p>
  </w:footnote>
  <w:footnote w:id="372">
    <w:p w14:paraId="6DA01B17" w14:textId="342523F2" w:rsidR="001E47B5" w:rsidRDefault="001E47B5">
      <w:pPr>
        <w:pStyle w:val="FootnoteText"/>
      </w:pPr>
      <w:r>
        <w:rPr>
          <w:rStyle w:val="FootnoteReference"/>
        </w:rPr>
        <w:footnoteRef/>
      </w:r>
      <w:r>
        <w:t xml:space="preserve"> PG&amp;E Opening Brief</w:t>
      </w:r>
      <w:r w:rsidR="00907866">
        <w:t xml:space="preserve"> at </w:t>
      </w:r>
      <w:r>
        <w:t>6 and SCE Opening Brief</w:t>
      </w:r>
      <w:r w:rsidR="00907866">
        <w:t xml:space="preserve"> at </w:t>
      </w:r>
      <w:r>
        <w:t>27.</w:t>
      </w:r>
    </w:p>
  </w:footnote>
  <w:footnote w:id="373">
    <w:p w14:paraId="4D53EAE4" w14:textId="72BA62DB" w:rsidR="006E01EB" w:rsidRDefault="006E01EB">
      <w:pPr>
        <w:pStyle w:val="FootnoteText"/>
      </w:pPr>
      <w:r>
        <w:rPr>
          <w:rStyle w:val="FootnoteReference"/>
        </w:rPr>
        <w:footnoteRef/>
      </w:r>
      <w:r>
        <w:t xml:space="preserve"> PG&amp;E Opening Brief</w:t>
      </w:r>
      <w:r w:rsidR="00907866">
        <w:t xml:space="preserve"> at </w:t>
      </w:r>
      <w:r>
        <w:t>6, TURN Opening Brief</w:t>
      </w:r>
      <w:r w:rsidR="00907866">
        <w:t xml:space="preserve"> at </w:t>
      </w:r>
      <w:r>
        <w:t>7, and CCSA Opening Brief</w:t>
      </w:r>
      <w:r w:rsidR="00907866">
        <w:t xml:space="preserve"> at </w:t>
      </w:r>
      <w:r>
        <w:t>9.</w:t>
      </w:r>
    </w:p>
  </w:footnote>
  <w:footnote w:id="374">
    <w:p w14:paraId="64BEFA3C" w14:textId="25DE679F" w:rsidR="00CB2ED6" w:rsidRDefault="00CB2ED6" w:rsidP="00CB2ED6">
      <w:pPr>
        <w:pStyle w:val="FootnoteText"/>
      </w:pPr>
      <w:r>
        <w:rPr>
          <w:rStyle w:val="FootnoteReference"/>
        </w:rPr>
        <w:footnoteRef/>
      </w:r>
      <w:r>
        <w:t xml:space="preserve"> </w:t>
      </w:r>
      <w:r w:rsidRPr="00E72908">
        <w:rPr>
          <w:i/>
          <w:iCs/>
        </w:rPr>
        <w:t>See</w:t>
      </w:r>
      <w:r>
        <w:t xml:space="preserve"> PG&amp;E Opening Brief</w:t>
      </w:r>
      <w:r w:rsidR="00907866">
        <w:t xml:space="preserve"> at </w:t>
      </w:r>
      <w:r>
        <w:t>15</w:t>
      </w:r>
      <w:r w:rsidR="003D6EF8">
        <w:noBreakHyphen/>
      </w:r>
      <w:r>
        <w:t>17.</w:t>
      </w:r>
    </w:p>
  </w:footnote>
  <w:footnote w:id="375">
    <w:p w14:paraId="6E0D15A2" w14:textId="4EB2FD17" w:rsidR="004633B1" w:rsidRDefault="004633B1">
      <w:pPr>
        <w:pStyle w:val="FootnoteText"/>
      </w:pPr>
      <w:r>
        <w:rPr>
          <w:rStyle w:val="FootnoteReference"/>
        </w:rPr>
        <w:footnoteRef/>
      </w:r>
      <w:r>
        <w:t xml:space="preserve"> See SCE Reply Comments to Proposed Decision at 5.</w:t>
      </w:r>
    </w:p>
  </w:footnote>
  <w:footnote w:id="376">
    <w:p w14:paraId="30249AC4" w14:textId="73D7AA7F" w:rsidR="00FB3B1D" w:rsidRDefault="00FB3B1D">
      <w:pPr>
        <w:pStyle w:val="FootnoteText"/>
      </w:pPr>
      <w:r>
        <w:rPr>
          <w:rStyle w:val="FootnoteReference"/>
        </w:rPr>
        <w:footnoteRef/>
      </w:r>
      <w:r>
        <w:t xml:space="preserve"> See TURN Opening Comments to Proposed Decision at 15 and SoCal CCAs Opening Comments to November 10, 2022 Proposed Decision at 3.</w:t>
      </w:r>
    </w:p>
  </w:footnote>
  <w:footnote w:id="377">
    <w:p w14:paraId="5FF56809" w14:textId="2BA567DB" w:rsidR="00FB3B1D" w:rsidRDefault="00FB3B1D">
      <w:pPr>
        <w:pStyle w:val="FootnoteText"/>
      </w:pPr>
      <w:r>
        <w:rPr>
          <w:rStyle w:val="FootnoteReference"/>
        </w:rPr>
        <w:footnoteRef/>
      </w:r>
      <w:r>
        <w:t xml:space="preserve"> See TURN Opening Comments to Proposed Decision at 15 quoting D.15-01-051 at 20.</w:t>
      </w:r>
    </w:p>
  </w:footnote>
  <w:footnote w:id="378">
    <w:p w14:paraId="7B6A9951" w14:textId="71D1D126" w:rsidR="009A7629" w:rsidRDefault="009A7629">
      <w:pPr>
        <w:pStyle w:val="FootnoteText"/>
      </w:pPr>
      <w:r>
        <w:rPr>
          <w:rStyle w:val="FootnoteReference"/>
        </w:rPr>
        <w:footnoteRef/>
      </w:r>
      <w:r>
        <w:t xml:space="preserve"> PGE-02 at Appendix A-7.</w:t>
      </w:r>
    </w:p>
  </w:footnote>
  <w:footnote w:id="379">
    <w:p w14:paraId="71948847" w14:textId="16B465D3" w:rsidR="00CB5E2A" w:rsidRDefault="00CB5E2A">
      <w:pPr>
        <w:pStyle w:val="FootnoteText"/>
      </w:pPr>
      <w:r>
        <w:rPr>
          <w:rStyle w:val="FootnoteReference"/>
        </w:rPr>
        <w:footnoteRef/>
      </w:r>
      <w:r>
        <w:t xml:space="preserve"> In comments to the proposed decision, PG&amp;E states that the proposed decision seemingly adopts a 40 MW customer subscription cap in the dicta but a 40 MW project cap in the ordering paragraph. The decision has been corrected to adopt a 40 MW per customer subscription cap in the dicta and the associated ordering paragraph. PG&amp;E Opening Comments to Proposed Decision at 3.</w:t>
      </w:r>
    </w:p>
  </w:footnote>
  <w:footnote w:id="380">
    <w:p w14:paraId="625AD3A4" w14:textId="77777777" w:rsidR="000043B1" w:rsidRDefault="000043B1" w:rsidP="000043B1">
      <w:pPr>
        <w:pStyle w:val="FootnoteText"/>
      </w:pPr>
      <w:r>
        <w:rPr>
          <w:rStyle w:val="FootnoteReference"/>
        </w:rPr>
        <w:footnoteRef/>
      </w:r>
      <w:r>
        <w:t xml:space="preserve"> Cal Advocates Opening Comments to Proposed Decision at 5-7.</w:t>
      </w:r>
    </w:p>
  </w:footnote>
  <w:footnote w:id="381">
    <w:p w14:paraId="517622A7" w14:textId="77777777" w:rsidR="000043B1" w:rsidRDefault="000043B1" w:rsidP="000043B1">
      <w:pPr>
        <w:pStyle w:val="FootnoteText"/>
      </w:pPr>
      <w:r>
        <w:rPr>
          <w:rStyle w:val="FootnoteReference"/>
        </w:rPr>
        <w:footnoteRef/>
      </w:r>
      <w:r>
        <w:t xml:space="preserve"> Cal Advocates Opening Comments to Proposed Decision at 7.</w:t>
      </w:r>
    </w:p>
  </w:footnote>
  <w:footnote w:id="382">
    <w:p w14:paraId="3F08949F" w14:textId="77777777" w:rsidR="000043B1" w:rsidRDefault="000043B1" w:rsidP="000043B1">
      <w:pPr>
        <w:pStyle w:val="FootnoteText"/>
      </w:pPr>
      <w:r>
        <w:rPr>
          <w:rStyle w:val="FootnoteReference"/>
        </w:rPr>
        <w:footnoteRef/>
      </w:r>
      <w:r>
        <w:t xml:space="preserve"> Cal Advocates Opening Comments to Proposed Decision at 7.</w:t>
      </w:r>
    </w:p>
  </w:footnote>
  <w:footnote w:id="383">
    <w:p w14:paraId="473A6D2E" w14:textId="77777777" w:rsidR="000043B1" w:rsidRDefault="000043B1" w:rsidP="000043B1">
      <w:pPr>
        <w:pStyle w:val="FootnoteText"/>
      </w:pPr>
      <w:r>
        <w:rPr>
          <w:rStyle w:val="FootnoteReference"/>
        </w:rPr>
        <w:footnoteRef/>
      </w:r>
      <w:r>
        <w:t xml:space="preserve"> </w:t>
      </w:r>
      <w:r w:rsidRPr="001B4BE0">
        <w:rPr>
          <w:szCs w:val="22"/>
        </w:rPr>
        <w:t>Formerly East Bay Community Energy.</w:t>
      </w:r>
    </w:p>
  </w:footnote>
  <w:footnote w:id="384">
    <w:p w14:paraId="61B5BE7F" w14:textId="324C4FE9" w:rsidR="004C3FD1" w:rsidRDefault="004C3FD1">
      <w:pPr>
        <w:pStyle w:val="FootnoteText"/>
      </w:pPr>
      <w:r>
        <w:rPr>
          <w:rStyle w:val="FootnoteReference"/>
        </w:rPr>
        <w:footnoteRef/>
      </w:r>
      <w:r>
        <w:t xml:space="preserve"> Cal Advocates Opening Comments to Proposed Decision at 3.</w:t>
      </w:r>
    </w:p>
  </w:footnote>
  <w:footnote w:id="385">
    <w:p w14:paraId="242591E3" w14:textId="3725550D" w:rsidR="00B55793" w:rsidRDefault="00B55793">
      <w:pPr>
        <w:pStyle w:val="FootnoteText"/>
      </w:pPr>
      <w:r>
        <w:rPr>
          <w:rStyle w:val="FootnoteReference"/>
        </w:rPr>
        <w:footnoteRef/>
      </w:r>
      <w:r>
        <w:t xml:space="preserve"> SDG&amp;E Opening Comments Proposed Decision at 1-2 citing Finding of Fact 115.</w:t>
      </w:r>
    </w:p>
  </w:footnote>
  <w:footnote w:id="386">
    <w:p w14:paraId="47F50CAA" w14:textId="77777777" w:rsidR="00C153F2" w:rsidRDefault="00C153F2" w:rsidP="00C153F2">
      <w:pPr>
        <w:pStyle w:val="FootnoteText"/>
      </w:pPr>
      <w:r>
        <w:rPr>
          <w:rStyle w:val="FootnoteReference"/>
        </w:rPr>
        <w:footnoteRef/>
      </w:r>
      <w:r>
        <w:t xml:space="preserve"> My dissent is focused on the CRE Program portion of the decision, not other portions of the final decision.</w:t>
      </w:r>
    </w:p>
  </w:footnote>
  <w:footnote w:id="387">
    <w:p w14:paraId="1EF3C09C" w14:textId="77777777" w:rsidR="00C153F2" w:rsidRDefault="00C153F2" w:rsidP="00C153F2">
      <w:pPr>
        <w:pStyle w:val="FootnoteText"/>
      </w:pPr>
      <w:r>
        <w:rPr>
          <w:rStyle w:val="FootnoteReference"/>
        </w:rPr>
        <w:footnoteRef/>
      </w:r>
      <w:r>
        <w:t xml:space="preserve"> Taking this position is not an endorsement of the Net Value Billing Tariff (</w:t>
      </w:r>
      <w:r>
        <w:t>NVBT) Program that was considered in this proceeding.</w:t>
      </w:r>
    </w:p>
  </w:footnote>
  <w:footnote w:id="388">
    <w:p w14:paraId="0830D4E7" w14:textId="77777777" w:rsidR="00C153F2" w:rsidRDefault="00C153F2" w:rsidP="00512C0C">
      <w:pPr>
        <w:pStyle w:val="FootnoteText"/>
      </w:pPr>
      <w:r>
        <w:rPr>
          <w:rStyle w:val="FootnoteReference"/>
        </w:rPr>
        <w:footnoteRef/>
      </w:r>
      <w:r>
        <w:t xml:space="preserve"> </w:t>
      </w:r>
      <w:r w:rsidRPr="00CA16FD">
        <w:rPr>
          <w:i/>
          <w:iCs/>
        </w:rPr>
        <w:t>See</w:t>
      </w:r>
      <w:r w:rsidRPr="00CA16FD">
        <w:t xml:space="preserve"> PG&amp;E </w:t>
      </w:r>
      <w:r>
        <w:t>Opening</w:t>
      </w:r>
      <w:r w:rsidRPr="00CA16FD">
        <w:t xml:space="preserve"> Comments a</w:t>
      </w:r>
      <w:r w:rsidRPr="6EE10AC9">
        <w:t>t</w:t>
      </w:r>
      <w:r w:rsidRPr="00CA16FD">
        <w:t xml:space="preserve"> </w:t>
      </w:r>
      <w:r>
        <w:t>5</w:t>
      </w:r>
      <w:r w:rsidRPr="00CA16FD">
        <w:t xml:space="preserve">; </w:t>
      </w:r>
      <w:r>
        <w:t>SCE Opening Comments at 2.</w:t>
      </w:r>
    </w:p>
  </w:footnote>
  <w:footnote w:id="389">
    <w:p w14:paraId="5464462F" w14:textId="77777777" w:rsidR="00C153F2" w:rsidRPr="00CA16FD" w:rsidRDefault="00C153F2" w:rsidP="00C153F2">
      <w:pPr>
        <w:pStyle w:val="FootnoteText"/>
        <w:rPr>
          <w:szCs w:val="22"/>
        </w:rPr>
      </w:pPr>
      <w:r>
        <w:rPr>
          <w:rStyle w:val="FootnoteReference"/>
        </w:rPr>
        <w:footnoteRef/>
      </w:r>
      <w:r>
        <w:t xml:space="preserve"> </w:t>
      </w:r>
      <w:r w:rsidRPr="00CA16FD">
        <w:rPr>
          <w:i/>
          <w:iCs/>
          <w:szCs w:val="22"/>
        </w:rPr>
        <w:t>See</w:t>
      </w:r>
      <w:r w:rsidRPr="00CA16FD">
        <w:rPr>
          <w:szCs w:val="22"/>
        </w:rPr>
        <w:t xml:space="preserve"> PG&amp;E Reply Comments a</w:t>
      </w:r>
      <w:r w:rsidRPr="6EE10AC9">
        <w:rPr>
          <w:szCs w:val="22"/>
        </w:rPr>
        <w:t>t</w:t>
      </w:r>
      <w:r w:rsidRPr="00CA16FD">
        <w:rPr>
          <w:szCs w:val="22"/>
        </w:rPr>
        <w:t xml:space="preserve"> 3-4; SDG&amp;E Reply Comments at 4.</w:t>
      </w:r>
    </w:p>
  </w:footnote>
  <w:footnote w:id="390">
    <w:p w14:paraId="25E54F9E" w14:textId="19955931" w:rsidR="00C153F2" w:rsidRDefault="00C153F2" w:rsidP="00C153F2">
      <w:pPr>
        <w:pStyle w:val="FootnoteText"/>
      </w:pPr>
      <w:r>
        <w:rPr>
          <w:rStyle w:val="FootnoteReference"/>
        </w:rPr>
        <w:footnoteRef/>
      </w:r>
      <w:r>
        <w:t xml:space="preserve"> </w:t>
      </w:r>
      <w:r w:rsidRPr="00CA16FD">
        <w:rPr>
          <w:i/>
          <w:iCs/>
          <w:szCs w:val="22"/>
        </w:rPr>
        <w:t>See</w:t>
      </w:r>
      <w:r w:rsidRPr="00CA16FD">
        <w:rPr>
          <w:szCs w:val="22"/>
        </w:rPr>
        <w:t xml:space="preserve"> SCE </w:t>
      </w:r>
      <w:r>
        <w:rPr>
          <w:szCs w:val="22"/>
        </w:rPr>
        <w:t>Reply C</w:t>
      </w:r>
      <w:r w:rsidRPr="00CA16FD">
        <w:rPr>
          <w:szCs w:val="22"/>
        </w:rPr>
        <w:t>omments at</w:t>
      </w:r>
      <w:r>
        <w:rPr>
          <w:szCs w:val="22"/>
        </w:rPr>
        <w:t xml:space="preserve"> 7</w:t>
      </w:r>
      <w:r w:rsidRPr="00CA16FD">
        <w:rPr>
          <w:szCs w:val="22"/>
        </w:rPr>
        <w:t xml:space="preserve">; CCSA </w:t>
      </w:r>
      <w:r w:rsidRPr="504EB691">
        <w:rPr>
          <w:szCs w:val="22"/>
        </w:rPr>
        <w:t>C</w:t>
      </w:r>
      <w:r w:rsidRPr="00CA16FD">
        <w:rPr>
          <w:szCs w:val="22"/>
        </w:rPr>
        <w:t xml:space="preserve">omments at 4-5; see </w:t>
      </w:r>
      <w:r>
        <w:rPr>
          <w:szCs w:val="22"/>
        </w:rPr>
        <w:t xml:space="preserve"> </w:t>
      </w:r>
      <w:r w:rsidRPr="00CA16FD">
        <w:rPr>
          <w:szCs w:val="22"/>
        </w:rPr>
        <w:t xml:space="preserve">TURN </w:t>
      </w:r>
      <w:r w:rsidRPr="504EB691">
        <w:rPr>
          <w:szCs w:val="22"/>
        </w:rPr>
        <w:t>C</w:t>
      </w:r>
      <w:r w:rsidRPr="00CA16FD">
        <w:rPr>
          <w:szCs w:val="22"/>
        </w:rPr>
        <w:t xml:space="preserve">omments at 7, and Arcadia Opening Comments at 7, citing </w:t>
      </w:r>
      <w:r w:rsidRPr="00CA16FD">
        <w:rPr>
          <w:i/>
          <w:iCs/>
          <w:szCs w:val="22"/>
        </w:rPr>
        <w:t>EnergyMark, LLC</w:t>
      </w:r>
      <w:r w:rsidRPr="00CA16FD">
        <w:rPr>
          <w:szCs w:val="22"/>
        </w:rPr>
        <w:t>, 181</w:t>
      </w:r>
      <w:r w:rsidR="005835B6">
        <w:rPr>
          <w:szCs w:val="22"/>
        </w:rPr>
        <w:t> FERC</w:t>
      </w:r>
      <w:r w:rsidRPr="00CA16FD">
        <w:rPr>
          <w:szCs w:val="22"/>
        </w:rPr>
        <w:t xml:space="preserve"> </w:t>
      </w:r>
      <w:r w:rsidR="00983735">
        <w:rPr>
          <w:szCs w:val="22"/>
        </w:rPr>
        <w:t>¶ </w:t>
      </w:r>
      <w:r w:rsidRPr="00CA16FD">
        <w:rPr>
          <w:szCs w:val="22"/>
        </w:rPr>
        <w:t xml:space="preserve">61,062, at P 5 (2022), </w:t>
      </w:r>
      <w:r w:rsidRPr="00CA16FD">
        <w:rPr>
          <w:i/>
          <w:iCs/>
          <w:szCs w:val="22"/>
        </w:rPr>
        <w:t>S. Md. Elec. Coop., Inc.</w:t>
      </w:r>
      <w:r w:rsidRPr="00CA16FD">
        <w:rPr>
          <w:szCs w:val="22"/>
        </w:rPr>
        <w:t>, 162</w:t>
      </w:r>
      <w:r w:rsidR="005835B6">
        <w:rPr>
          <w:szCs w:val="22"/>
        </w:rPr>
        <w:t> FERC</w:t>
      </w:r>
      <w:r w:rsidRPr="00CA16FD">
        <w:rPr>
          <w:szCs w:val="22"/>
        </w:rPr>
        <w:t xml:space="preserve"> </w:t>
      </w:r>
      <w:r w:rsidR="00983735">
        <w:rPr>
          <w:szCs w:val="22"/>
        </w:rPr>
        <w:t>¶ </w:t>
      </w:r>
      <w:r w:rsidRPr="00CA16FD">
        <w:rPr>
          <w:szCs w:val="22"/>
        </w:rPr>
        <w:t xml:space="preserve">61,048, at P 16 (2018), </w:t>
      </w:r>
      <w:r w:rsidRPr="00CA16FD">
        <w:rPr>
          <w:i/>
          <w:iCs/>
          <w:szCs w:val="22"/>
        </w:rPr>
        <w:t>MidAmerican</w:t>
      </w:r>
      <w:r w:rsidRPr="00CA16FD">
        <w:rPr>
          <w:szCs w:val="22"/>
        </w:rPr>
        <w:t>, 94</w:t>
      </w:r>
      <w:r w:rsidR="005835B6">
        <w:rPr>
          <w:szCs w:val="22"/>
        </w:rPr>
        <w:t> FERC</w:t>
      </w:r>
      <w:r w:rsidRPr="00CA16FD">
        <w:rPr>
          <w:szCs w:val="22"/>
        </w:rPr>
        <w:t xml:space="preserve"> </w:t>
      </w:r>
      <w:r w:rsidR="00983735">
        <w:rPr>
          <w:szCs w:val="22"/>
        </w:rPr>
        <w:t>¶ </w:t>
      </w:r>
      <w:r w:rsidRPr="00CA16FD">
        <w:rPr>
          <w:szCs w:val="22"/>
        </w:rPr>
        <w:t xml:space="preserve">61,340 at 11, 12; </w:t>
      </w:r>
      <w:r w:rsidRPr="00CA16FD">
        <w:rPr>
          <w:i/>
          <w:iCs/>
          <w:szCs w:val="22"/>
        </w:rPr>
        <w:t>SunEdison</w:t>
      </w:r>
      <w:r w:rsidRPr="00CA16FD">
        <w:rPr>
          <w:szCs w:val="22"/>
        </w:rPr>
        <w:t>, 129</w:t>
      </w:r>
      <w:r w:rsidR="005835B6">
        <w:rPr>
          <w:szCs w:val="22"/>
        </w:rPr>
        <w:t> FERC</w:t>
      </w:r>
      <w:r w:rsidRPr="00CA16FD">
        <w:rPr>
          <w:szCs w:val="22"/>
        </w:rPr>
        <w:t xml:space="preserve"> </w:t>
      </w:r>
      <w:r w:rsidR="00983735">
        <w:rPr>
          <w:szCs w:val="22"/>
        </w:rPr>
        <w:t>¶ </w:t>
      </w:r>
      <w:r w:rsidRPr="00CA16FD">
        <w:rPr>
          <w:szCs w:val="22"/>
        </w:rPr>
        <w:t xml:space="preserve">61,146, </w:t>
      </w:r>
      <w:r w:rsidRPr="00CA16FD">
        <w:rPr>
          <w:i/>
          <w:iCs/>
          <w:szCs w:val="22"/>
        </w:rPr>
        <w:t>New England Ratepayers Association</w:t>
      </w:r>
      <w:r w:rsidRPr="00CA16FD">
        <w:rPr>
          <w:szCs w:val="22"/>
        </w:rPr>
        <w:t>, 172</w:t>
      </w:r>
      <w:r w:rsidR="005835B6">
        <w:rPr>
          <w:szCs w:val="22"/>
        </w:rPr>
        <w:t> FERC</w:t>
      </w:r>
      <w:r w:rsidRPr="00CA16FD">
        <w:rPr>
          <w:szCs w:val="22"/>
        </w:rPr>
        <w:t xml:space="preserve"> </w:t>
      </w:r>
      <w:r w:rsidR="00983735">
        <w:rPr>
          <w:szCs w:val="22"/>
        </w:rPr>
        <w:t>¶ </w:t>
      </w:r>
      <w:r w:rsidRPr="00CA16FD">
        <w:rPr>
          <w:szCs w:val="22"/>
        </w:rPr>
        <w:t>61,042.</w:t>
      </w:r>
    </w:p>
  </w:footnote>
  <w:footnote w:id="391">
    <w:p w14:paraId="692C325E" w14:textId="77777777" w:rsidR="00C153F2" w:rsidRDefault="00C153F2" w:rsidP="00512C0C">
      <w:pPr>
        <w:pStyle w:val="FootnoteText"/>
      </w:pPr>
      <w:r>
        <w:rPr>
          <w:rStyle w:val="FootnoteReference"/>
        </w:rPr>
        <w:footnoteRef/>
      </w:r>
      <w:r>
        <w:t xml:space="preserve"> </w:t>
      </w:r>
      <w:r w:rsidRPr="00D160ED">
        <w:t>TURN Opening Comments at 7.</w:t>
      </w:r>
    </w:p>
  </w:footnote>
  <w:footnote w:id="392">
    <w:p w14:paraId="5F953569" w14:textId="08D6DA2F" w:rsidR="00C153F2" w:rsidRDefault="00C153F2" w:rsidP="00512C0C">
      <w:pPr>
        <w:pStyle w:val="FootnoteText"/>
      </w:pPr>
      <w:r>
        <w:rPr>
          <w:rStyle w:val="FootnoteReference"/>
        </w:rPr>
        <w:footnoteRef/>
      </w:r>
      <w:r w:rsidRPr="00BA586B">
        <w:t xml:space="preserve"> TURN Opening Comments at 7, citing Southern Maryland Elec. Coop. and Choptank Elec. Coop, 157</w:t>
      </w:r>
      <w:r w:rsidR="005835B6">
        <w:t> FERC</w:t>
      </w:r>
      <w:r w:rsidRPr="00BA586B">
        <w:t xml:space="preserve"> </w:t>
      </w:r>
      <w:r w:rsidR="00983735">
        <w:t>¶ </w:t>
      </w:r>
      <w:r w:rsidRPr="00BA586B">
        <w:t>61,118 (2016); Southern Maryland Elec. Coop. and Choptank Elec. Coop, 162</w:t>
      </w:r>
      <w:r w:rsidR="005835B6">
        <w:t> FERC</w:t>
      </w:r>
      <w:r w:rsidRPr="00BA586B">
        <w:t xml:space="preserve"> </w:t>
      </w:r>
      <w:r w:rsidR="00983735">
        <w:t>¶ </w:t>
      </w:r>
      <w:r w:rsidRPr="00BA586B">
        <w:t>61,048 (2018); New England Ratepayers Association, 172</w:t>
      </w:r>
      <w:r w:rsidR="005835B6">
        <w:t> FERC</w:t>
      </w:r>
      <w:r w:rsidRPr="00BA586B">
        <w:t xml:space="preserve"> </w:t>
      </w:r>
      <w:r w:rsidR="00983735">
        <w:t>¶ </w:t>
      </w:r>
      <w:r w:rsidRPr="00BA586B">
        <w:t>61,042 (2020).</w:t>
      </w:r>
    </w:p>
  </w:footnote>
  <w:footnote w:id="393">
    <w:p w14:paraId="7A2EE13F" w14:textId="77777777" w:rsidR="00C153F2" w:rsidRPr="000D434E" w:rsidRDefault="00C153F2" w:rsidP="00C153F2">
      <w:pPr>
        <w:pStyle w:val="FootnoteText"/>
        <w:rPr>
          <w:szCs w:val="22"/>
        </w:rPr>
      </w:pPr>
      <w:r w:rsidRPr="000D434E">
        <w:rPr>
          <w:rStyle w:val="FootnoteReference"/>
          <w:szCs w:val="22"/>
        </w:rPr>
        <w:footnoteRef/>
      </w:r>
      <w:r w:rsidRPr="000D434E">
        <w:rPr>
          <w:szCs w:val="22"/>
        </w:rPr>
        <w:t xml:space="preserve"> SCE Reply Comments at 4; </w:t>
      </w:r>
      <w:r w:rsidRPr="009C0F77">
        <w:rPr>
          <w:i/>
          <w:szCs w:val="22"/>
        </w:rPr>
        <w:t>see also</w:t>
      </w:r>
      <w:r w:rsidRPr="000D434E">
        <w:rPr>
          <w:szCs w:val="22"/>
        </w:rPr>
        <w:t xml:space="preserve"> CCSA Opening Comments at 3.</w:t>
      </w:r>
    </w:p>
  </w:footnote>
  <w:footnote w:id="394">
    <w:p w14:paraId="73842180" w14:textId="6D2D63FE" w:rsidR="00C153F2" w:rsidRPr="001540C9" w:rsidRDefault="00C153F2" w:rsidP="00C153F2">
      <w:pPr>
        <w:pStyle w:val="FootnoteText"/>
        <w:rPr>
          <w:szCs w:val="22"/>
        </w:rPr>
      </w:pPr>
      <w:r>
        <w:rPr>
          <w:rStyle w:val="FootnoteReference"/>
        </w:rPr>
        <w:footnoteRef/>
      </w:r>
      <w:r>
        <w:t xml:space="preserve"> </w:t>
      </w:r>
      <w:r w:rsidR="001C68FE">
        <w:rPr>
          <w:szCs w:val="22"/>
        </w:rPr>
        <w:t>Pub. Util.</w:t>
      </w:r>
      <w:r w:rsidRPr="001540C9">
        <w:rPr>
          <w:szCs w:val="22"/>
        </w:rPr>
        <w:t xml:space="preserve"> Code </w:t>
      </w:r>
      <w:r w:rsidR="00512C0C">
        <w:rPr>
          <w:szCs w:val="22"/>
        </w:rPr>
        <w:t>§ </w:t>
      </w:r>
      <w:r w:rsidRPr="001540C9">
        <w:rPr>
          <w:szCs w:val="22"/>
        </w:rPr>
        <w:t xml:space="preserve">2833(p). </w:t>
      </w:r>
    </w:p>
  </w:footnote>
  <w:footnote w:id="395">
    <w:p w14:paraId="2F060FD5" w14:textId="26F11A13" w:rsidR="00C153F2" w:rsidRDefault="00C153F2" w:rsidP="00C153F2">
      <w:pPr>
        <w:pStyle w:val="FootnoteText"/>
      </w:pPr>
      <w:r>
        <w:rPr>
          <w:rStyle w:val="FootnoteReference"/>
        </w:rPr>
        <w:footnoteRef/>
      </w:r>
      <w:r>
        <w:t xml:space="preserve"> </w:t>
      </w:r>
      <w:r w:rsidR="001C68FE">
        <w:rPr>
          <w:szCs w:val="22"/>
        </w:rPr>
        <w:t>Pub. Util.</w:t>
      </w:r>
      <w:r w:rsidRPr="001540C9">
        <w:rPr>
          <w:szCs w:val="22"/>
        </w:rPr>
        <w:t xml:space="preserve"> Code </w:t>
      </w:r>
      <w:r w:rsidR="00512C0C">
        <w:rPr>
          <w:szCs w:val="22"/>
        </w:rPr>
        <w:t>§ </w:t>
      </w:r>
      <w:r w:rsidRPr="001540C9">
        <w:rPr>
          <w:szCs w:val="22"/>
        </w:rPr>
        <w:t>769.3(c)(3).</w:t>
      </w:r>
    </w:p>
  </w:footnote>
  <w:footnote w:id="396">
    <w:p w14:paraId="169A1A40" w14:textId="77777777" w:rsidR="00C153F2" w:rsidRPr="009A1BB3" w:rsidRDefault="00C153F2" w:rsidP="00C153F2">
      <w:pPr>
        <w:pStyle w:val="FootnoteText"/>
        <w:rPr>
          <w:szCs w:val="22"/>
        </w:rPr>
      </w:pPr>
      <w:r>
        <w:rPr>
          <w:rStyle w:val="FootnoteReference"/>
        </w:rPr>
        <w:footnoteRef/>
      </w:r>
      <w:r>
        <w:t xml:space="preserve"> </w:t>
      </w:r>
      <w:r>
        <w:rPr>
          <w:i/>
          <w:iCs/>
          <w:szCs w:val="22"/>
        </w:rPr>
        <w:t>Id</w:t>
      </w:r>
      <w:r>
        <w:rPr>
          <w:szCs w:val="22"/>
        </w:rPr>
        <w:t>.</w:t>
      </w:r>
    </w:p>
  </w:footnote>
  <w:footnote w:id="397">
    <w:p w14:paraId="30EDC1BF" w14:textId="3AE5AB6F" w:rsidR="00C153F2" w:rsidRDefault="00C153F2" w:rsidP="00C153F2">
      <w:pPr>
        <w:pStyle w:val="FootnoteText"/>
      </w:pPr>
      <w:r>
        <w:rPr>
          <w:rStyle w:val="FootnoteReference"/>
        </w:rPr>
        <w:footnoteRef/>
      </w:r>
      <w:r>
        <w:t xml:space="preserve"> </w:t>
      </w:r>
      <w:r w:rsidR="001C68FE">
        <w:t>Pub. Util.</w:t>
      </w:r>
      <w:r>
        <w:t xml:space="preserve"> Code </w:t>
      </w:r>
      <w:r w:rsidR="00512C0C">
        <w:t>§ </w:t>
      </w:r>
      <w:r>
        <w:t>769.3(c)(5).</w:t>
      </w:r>
    </w:p>
  </w:footnote>
  <w:footnote w:id="398">
    <w:p w14:paraId="2C2E9494" w14:textId="77777777" w:rsidR="00C153F2" w:rsidRPr="00925EA2" w:rsidRDefault="00C153F2" w:rsidP="00C153F2">
      <w:pPr>
        <w:pStyle w:val="FootnoteText"/>
        <w:rPr>
          <w:rStyle w:val="FooterChar"/>
          <w:sz w:val="22"/>
          <w:szCs w:val="22"/>
        </w:rPr>
      </w:pPr>
      <w:r>
        <w:rPr>
          <w:rStyle w:val="FootnoteReference"/>
        </w:rPr>
        <w:footnoteRef/>
      </w:r>
      <w:r>
        <w:t xml:space="preserve"> </w:t>
      </w:r>
      <w:r w:rsidRPr="00925EA2">
        <w:rPr>
          <w:rStyle w:val="FooterChar"/>
          <w:sz w:val="22"/>
          <w:szCs w:val="22"/>
        </w:rPr>
        <w:t>TURN Opening Comments at 3-4.</w:t>
      </w:r>
    </w:p>
  </w:footnote>
  <w:footnote w:id="399">
    <w:p w14:paraId="1206C397" w14:textId="77777777" w:rsidR="00C153F2" w:rsidRPr="00C06D80" w:rsidRDefault="00C153F2" w:rsidP="00C153F2">
      <w:pPr>
        <w:pStyle w:val="FootnoteText"/>
      </w:pPr>
      <w:r>
        <w:rPr>
          <w:rStyle w:val="FootnoteReference"/>
        </w:rPr>
        <w:footnoteRef/>
      </w:r>
      <w:r>
        <w:t xml:space="preserve"> </w:t>
      </w:r>
      <w:r w:rsidRPr="00CA16FD">
        <w:rPr>
          <w:szCs w:val="22"/>
        </w:rPr>
        <w:t xml:space="preserve">CEJA, </w:t>
      </w:r>
      <w:r w:rsidRPr="00CA16FD">
        <w:rPr>
          <w:i/>
          <w:iCs/>
          <w:szCs w:val="22"/>
        </w:rPr>
        <w:t>et al</w:t>
      </w:r>
      <w:r w:rsidRPr="00CA16FD">
        <w:rPr>
          <w:szCs w:val="22"/>
        </w:rPr>
        <w:t>. Opening Comments at 4-5.</w:t>
      </w:r>
    </w:p>
  </w:footnote>
  <w:footnote w:id="400">
    <w:p w14:paraId="288A38D2" w14:textId="77777777" w:rsidR="00C153F2" w:rsidRPr="00314E26" w:rsidRDefault="00C153F2" w:rsidP="00C153F2">
      <w:pPr>
        <w:pStyle w:val="FootnoteText"/>
      </w:pPr>
      <w:r>
        <w:rPr>
          <w:rStyle w:val="FootnoteReference"/>
        </w:rPr>
        <w:footnoteRef/>
      </w:r>
      <w:r>
        <w:t xml:space="preserve"> </w:t>
      </w:r>
      <w:r w:rsidRPr="009A1BB3">
        <w:rPr>
          <w:i/>
          <w:iCs/>
          <w:szCs w:val="22"/>
        </w:rPr>
        <w:t>Id</w:t>
      </w:r>
      <w:r w:rsidRPr="009A1BB3">
        <w:rPr>
          <w:szCs w:val="22"/>
        </w:rPr>
        <w:t>.</w:t>
      </w:r>
    </w:p>
  </w:footnote>
  <w:footnote w:id="401">
    <w:p w14:paraId="59B29645" w14:textId="37A25D61" w:rsidR="00C153F2" w:rsidRDefault="00C153F2" w:rsidP="009D25E5">
      <w:pPr>
        <w:pStyle w:val="FootnoteText"/>
      </w:pPr>
      <w:r>
        <w:rPr>
          <w:rStyle w:val="FootnoteReference"/>
        </w:rPr>
        <w:footnoteRef/>
      </w:r>
      <w:r>
        <w:t xml:space="preserve"> </w:t>
      </w:r>
      <w:r w:rsidR="001C68FE">
        <w:t>Pub. Util.</w:t>
      </w:r>
      <w:r w:rsidRPr="001540C9">
        <w:t xml:space="preserve"> Code </w:t>
      </w:r>
      <w:r w:rsidR="00512C0C">
        <w:t>§ </w:t>
      </w:r>
      <w:r w:rsidRPr="001540C9">
        <w:t>769.3(c)</w:t>
      </w:r>
      <w:r>
        <w:t>(1).</w:t>
      </w:r>
    </w:p>
  </w:footnote>
  <w:footnote w:id="402">
    <w:p w14:paraId="333BC7EF" w14:textId="77777777" w:rsidR="00C153F2" w:rsidRPr="009A1BB3" w:rsidRDefault="00C153F2" w:rsidP="00C153F2">
      <w:pPr>
        <w:pStyle w:val="FootnoteText"/>
        <w:rPr>
          <w:szCs w:val="22"/>
        </w:rPr>
      </w:pPr>
      <w:r>
        <w:rPr>
          <w:rStyle w:val="FootnoteReference"/>
        </w:rPr>
        <w:footnoteRef/>
      </w:r>
      <w:r>
        <w:t xml:space="preserve"> </w:t>
      </w:r>
      <w:r w:rsidRPr="009A1BB3">
        <w:rPr>
          <w:szCs w:val="22"/>
        </w:rPr>
        <w:t>According to an estimate from CCSA and cited by TURN, the cost shift of 400 MW NBT in lieu of NVBT will be approximately $4.5 billion over 25 years. TURN also states, “[t]hese values would increase with greater utilization of the NVBT for new home construction over time” and asserts that “the [decision’s] failure to evaluate these savings represents another fatal flaw. Compared to the NVBT, the [decision’s] alternative program would create a massive cost shift due to thousands of MWs of new rooftop solar being installed under Title 24 and locking in decades of compensation at rates that dwarf both PURPA avoided costs and ACC values.”</w:t>
      </w:r>
      <w:r>
        <w:rPr>
          <w:szCs w:val="22"/>
        </w:rPr>
        <w:t xml:space="preserve"> </w:t>
      </w:r>
      <w:r>
        <w:rPr>
          <w:i/>
          <w:iCs/>
          <w:szCs w:val="22"/>
        </w:rPr>
        <w:t>See</w:t>
      </w:r>
      <w:r>
        <w:rPr>
          <w:szCs w:val="22"/>
        </w:rPr>
        <w:t xml:space="preserve"> </w:t>
      </w:r>
      <w:r w:rsidRPr="00201042">
        <w:rPr>
          <w:szCs w:val="22"/>
        </w:rPr>
        <w:t xml:space="preserve">TURN </w:t>
      </w:r>
      <w:r>
        <w:rPr>
          <w:szCs w:val="22"/>
        </w:rPr>
        <w:t>O</w:t>
      </w:r>
      <w:r w:rsidRPr="00201042">
        <w:rPr>
          <w:szCs w:val="22"/>
        </w:rPr>
        <w:t xml:space="preserve">pening </w:t>
      </w:r>
      <w:r>
        <w:rPr>
          <w:szCs w:val="22"/>
        </w:rPr>
        <w:t>C</w:t>
      </w:r>
      <w:r w:rsidRPr="00201042">
        <w:rPr>
          <w:szCs w:val="22"/>
        </w:rPr>
        <w:t xml:space="preserve">omments </w:t>
      </w:r>
      <w:r>
        <w:rPr>
          <w:szCs w:val="22"/>
        </w:rPr>
        <w:t xml:space="preserve">at </w:t>
      </w:r>
      <w:r w:rsidRPr="00201042">
        <w:rPr>
          <w:szCs w:val="22"/>
        </w:rPr>
        <w:t xml:space="preserve">page 13 </w:t>
      </w:r>
      <w:r>
        <w:rPr>
          <w:szCs w:val="22"/>
        </w:rPr>
        <w:t>citing</w:t>
      </w:r>
      <w:r w:rsidRPr="00201042">
        <w:rPr>
          <w:szCs w:val="22"/>
        </w:rPr>
        <w:t xml:space="preserve"> CCSA “31 January [sic – July] 2023” </w:t>
      </w:r>
      <w:r>
        <w:rPr>
          <w:szCs w:val="22"/>
        </w:rPr>
        <w:t>O</w:t>
      </w:r>
      <w:r w:rsidRPr="00201042">
        <w:rPr>
          <w:szCs w:val="22"/>
        </w:rPr>
        <w:t xml:space="preserve">pening </w:t>
      </w:r>
      <w:r>
        <w:rPr>
          <w:szCs w:val="22"/>
        </w:rPr>
        <w:t>C</w:t>
      </w:r>
      <w:r w:rsidRPr="00201042">
        <w:rPr>
          <w:szCs w:val="22"/>
        </w:rPr>
        <w:t xml:space="preserve">omments </w:t>
      </w:r>
      <w:r>
        <w:rPr>
          <w:szCs w:val="22"/>
        </w:rPr>
        <w:t>at</w:t>
      </w:r>
      <w:r w:rsidRPr="00201042">
        <w:rPr>
          <w:szCs w:val="22"/>
        </w:rPr>
        <w:t xml:space="preserve"> 34-35.</w:t>
      </w:r>
    </w:p>
  </w:footnote>
  <w:footnote w:id="403">
    <w:p w14:paraId="1771E0C3" w14:textId="4C3DD665" w:rsidR="00C153F2" w:rsidRPr="00982390" w:rsidRDefault="00C153F2" w:rsidP="009D25E5">
      <w:pPr>
        <w:pStyle w:val="FootnoteText"/>
        <w:keepNext/>
        <w:rPr>
          <w:rStyle w:val="FooterChar"/>
          <w:sz w:val="22"/>
        </w:rPr>
      </w:pPr>
      <w:r>
        <w:rPr>
          <w:rStyle w:val="FootnoteReference"/>
        </w:rPr>
        <w:footnoteRef/>
      </w:r>
      <w:r>
        <w:t xml:space="preserve"> </w:t>
      </w:r>
      <w:r w:rsidRPr="009A1BB3">
        <w:rPr>
          <w:i/>
          <w:iCs/>
        </w:rPr>
        <w:t>See</w:t>
      </w:r>
      <w:r w:rsidRPr="009A1BB3">
        <w:t xml:space="preserve"> </w:t>
      </w:r>
      <w:r w:rsidRPr="001F53DC">
        <w:rPr>
          <w:rStyle w:val="FooterChar"/>
          <w:sz w:val="22"/>
          <w:szCs w:val="22"/>
        </w:rPr>
        <w:t xml:space="preserve">Title 24 </w:t>
      </w:r>
      <w:r w:rsidR="00512C0C">
        <w:rPr>
          <w:rStyle w:val="FooterChar"/>
          <w:sz w:val="22"/>
          <w:szCs w:val="22"/>
        </w:rPr>
        <w:t>§ </w:t>
      </w:r>
      <w:r w:rsidRPr="001F53DC">
        <w:rPr>
          <w:rStyle w:val="FooterChar"/>
          <w:sz w:val="22"/>
          <w:szCs w:val="22"/>
        </w:rPr>
        <w:t xml:space="preserve">10-115(a)(4)(B): </w:t>
      </w:r>
    </w:p>
    <w:p w14:paraId="4DC589DB" w14:textId="77777777" w:rsidR="00C153F2" w:rsidRDefault="00C153F2" w:rsidP="00982390">
      <w:pPr>
        <w:pStyle w:val="FootnoteText"/>
        <w:ind w:left="720" w:right="720"/>
      </w:pPr>
      <w:r w:rsidRPr="00330FE7">
        <w:t xml:space="preserve">Participation. The Administrator(s) approved by the Energy Commission pursuant to Section 10- 115(b)1 shall ensure that all participating buildings, which use the community shared solar and/or community shared battery storage system to comply with Section 140.0(c), 150.1(a)3, or 170.0(a)3, </w:t>
      </w:r>
      <w:r w:rsidRPr="00CA16FD">
        <w:rPr>
          <w:i/>
          <w:iCs/>
        </w:rPr>
        <w:t>remain participating buildings for no less than a 20-year period (“Participation Period”), regardless of who owns or occupies the participating building</w:t>
      </w:r>
      <w:r w:rsidRPr="00330FE7">
        <w:t>, unless the building owner discontinues participation after causing the on-site solar electric generation system to be installed and interconnected pursuant</w:t>
      </w:r>
      <w:r w:rsidRPr="00DD63E9">
        <w:rPr>
          <w:szCs w:val="22"/>
        </w:rPr>
        <w:t xml:space="preserve"> </w:t>
      </w:r>
      <w:r w:rsidRPr="00DD63E9">
        <w:t xml:space="preserve">to the Opt-Out Requirements. For purposes of this Section, "Opt-Out Requirements" shall mean installation and interconnection of an on-site solar electric generation system that meets or exceeds. the requirements of Section 140.0(c), 150.1(a)3, or 170.0(a)3 in effect at the time the builder applied for the original building permit for the participating building. </w:t>
      </w:r>
      <w:r>
        <w:t>(emphasis added)</w:t>
      </w:r>
    </w:p>
    <w:p w14:paraId="5F2A8C89" w14:textId="4AD412D8" w:rsidR="00C153F2" w:rsidRPr="009A1BB3" w:rsidRDefault="00C153F2" w:rsidP="009D25E5">
      <w:pPr>
        <w:pStyle w:val="FootnoteText"/>
        <w:keepNext/>
        <w:rPr>
          <w:sz w:val="24"/>
          <w:szCs w:val="24"/>
        </w:rPr>
      </w:pPr>
      <w:r w:rsidRPr="009A1BB3">
        <w:rPr>
          <w:i/>
          <w:iCs/>
          <w:szCs w:val="22"/>
        </w:rPr>
        <w:t>See also</w:t>
      </w:r>
      <w:r w:rsidRPr="009A1BB3">
        <w:rPr>
          <w:szCs w:val="22"/>
        </w:rPr>
        <w:t xml:space="preserve"> Title 24 </w:t>
      </w:r>
      <w:r w:rsidR="00512C0C">
        <w:rPr>
          <w:rStyle w:val="FooterChar"/>
          <w:sz w:val="22"/>
          <w:szCs w:val="22"/>
        </w:rPr>
        <w:t>§ </w:t>
      </w:r>
      <w:r w:rsidRPr="009A1BB3">
        <w:rPr>
          <w:szCs w:val="22"/>
        </w:rPr>
        <w:t>10-115 (a)(B)(i)</w:t>
      </w:r>
      <w:r>
        <w:rPr>
          <w:szCs w:val="22"/>
        </w:rPr>
        <w:t>:</w:t>
      </w:r>
      <w:r w:rsidRPr="009A1BB3">
        <w:rPr>
          <w:sz w:val="24"/>
          <w:szCs w:val="24"/>
        </w:rPr>
        <w:t xml:space="preserve"> </w:t>
      </w:r>
    </w:p>
    <w:p w14:paraId="0342BAC2" w14:textId="77777777" w:rsidR="00C153F2" w:rsidRDefault="00C153F2" w:rsidP="009D25E5">
      <w:pPr>
        <w:pStyle w:val="FootnoteText"/>
        <w:ind w:left="720" w:right="720"/>
      </w:pPr>
      <w:r w:rsidRPr="004261D5">
        <w:t>Equitable Servitude. As a condition for a building to participate, participating builders shall impose an equitable servitude through a properly recorded declaration of covenants, conditions and restrictions (“CC&amp;Rs”) or other properly recorded covenant, deed restriction or other legally binding method referenced in each deed transferring title for each participating building. This equitable servitude shall run with the land and obligate the original owner(s)/tenant(s) and all subsequent owner(s)/tenant(s) of the participating building to maintain the building’s participation in the community shared solar and/or community shared battery storage system for the Participation Period, or ensure installation and interconnection of an on-site solar electric generation system that satisfies the Opt-Out Requirements. The equitable servitude shall specify that in order to discontinue participation in the community shared solar and/or battery system, the building owner must satisfy the Opt-Out Requirements. The builder shall ensure that the equitable servitude provides the Administrator approved by the Commission the right to enforce the above provisions. The equitable servitude shall remain in force for a period of 20 years from the date of first participation of the building in the community shared solar and/or battery system. The equitable servitude shall not be revocable. The equitable servitude shall be delivered to all responsible parties through transfer disclosure statements</w:t>
      </w:r>
      <w:r>
        <w:t>.</w:t>
      </w:r>
    </w:p>
  </w:footnote>
  <w:footnote w:id="404">
    <w:p w14:paraId="320354F5" w14:textId="6FBC2CB7" w:rsidR="00C153F2" w:rsidRPr="00925EA2" w:rsidRDefault="00C153F2" w:rsidP="00C153F2">
      <w:pPr>
        <w:pStyle w:val="FootnoteText"/>
        <w:rPr>
          <w:rStyle w:val="FooterChar"/>
          <w:sz w:val="22"/>
          <w:szCs w:val="22"/>
        </w:rPr>
      </w:pPr>
      <w:r>
        <w:rPr>
          <w:rStyle w:val="FootnoteReference"/>
        </w:rPr>
        <w:footnoteRef/>
      </w:r>
      <w:r>
        <w:t xml:space="preserve"> </w:t>
      </w:r>
      <w:r w:rsidRPr="1324ECFC">
        <w:rPr>
          <w:rStyle w:val="FooterChar"/>
          <w:sz w:val="22"/>
          <w:szCs w:val="22"/>
        </w:rPr>
        <w:t xml:space="preserve">Title 24 </w:t>
      </w:r>
      <w:r w:rsidR="00512C0C">
        <w:rPr>
          <w:rStyle w:val="FooterChar"/>
          <w:sz w:val="22"/>
          <w:szCs w:val="22"/>
        </w:rPr>
        <w:t>§ </w:t>
      </w:r>
      <w:r w:rsidRPr="1324ECFC">
        <w:rPr>
          <w:rStyle w:val="FooterChar"/>
          <w:sz w:val="22"/>
          <w:szCs w:val="22"/>
        </w:rPr>
        <w:t>10-115(a)(4</w:t>
      </w:r>
      <w:r w:rsidRPr="18CE23FD">
        <w:rPr>
          <w:rStyle w:val="FooterChar"/>
          <w:sz w:val="22"/>
          <w:szCs w:val="22"/>
        </w:rPr>
        <w:t xml:space="preserve">): </w:t>
      </w:r>
      <w:r w:rsidRPr="00925EA2">
        <w:rPr>
          <w:rStyle w:val="FooterChar"/>
          <w:sz w:val="22"/>
          <w:szCs w:val="22"/>
        </w:rPr>
        <w:t xml:space="preserve">“The community shared solar electric generation system and/or community shared battery storage system shall be designed and installed to provide the energy savings benefits to the dedicated building specified in Section 10-115(a)3 for a period of no less than twenty (20) years.”  </w:t>
      </w:r>
    </w:p>
  </w:footnote>
  <w:footnote w:id="405">
    <w:p w14:paraId="44DF027D" w14:textId="77777777" w:rsidR="00C153F2" w:rsidRPr="005C4DA7" w:rsidRDefault="00C153F2" w:rsidP="00C153F2">
      <w:pPr>
        <w:pStyle w:val="FootnoteText"/>
        <w:rPr>
          <w:szCs w:val="22"/>
        </w:rPr>
      </w:pPr>
      <w:r>
        <w:rPr>
          <w:rStyle w:val="FootnoteReference"/>
        </w:rPr>
        <w:footnoteRef/>
      </w:r>
      <w:r>
        <w:t xml:space="preserve"> </w:t>
      </w:r>
      <w:r w:rsidRPr="005C4DA7">
        <w:rPr>
          <w:szCs w:val="22"/>
        </w:rPr>
        <w:t xml:space="preserve">TURN, </w:t>
      </w:r>
      <w:r w:rsidRPr="0087533A">
        <w:rPr>
          <w:i/>
          <w:iCs/>
          <w:szCs w:val="22"/>
        </w:rPr>
        <w:t>s</w:t>
      </w:r>
      <w:r w:rsidRPr="005C4DA7">
        <w:rPr>
          <w:i/>
          <w:iCs/>
          <w:szCs w:val="22"/>
        </w:rPr>
        <w:t>upra</w:t>
      </w:r>
      <w:r w:rsidRPr="0087533A">
        <w:rPr>
          <w:szCs w:val="22"/>
        </w:rPr>
        <w:t xml:space="preserve"> note 14.</w:t>
      </w:r>
    </w:p>
  </w:footnote>
  <w:footnote w:id="406">
    <w:p w14:paraId="3A6F4AD4" w14:textId="77777777" w:rsidR="00C153F2" w:rsidRPr="00861B16" w:rsidRDefault="00C153F2" w:rsidP="00C153F2">
      <w:pPr>
        <w:pStyle w:val="FootnoteText"/>
        <w:rPr>
          <w:rStyle w:val="FooterChar"/>
          <w:sz w:val="22"/>
          <w:szCs w:val="22"/>
        </w:rPr>
      </w:pPr>
      <w:r>
        <w:rPr>
          <w:rStyle w:val="FootnoteReference"/>
        </w:rPr>
        <w:footnoteRef/>
      </w:r>
      <w:r>
        <w:t xml:space="preserve"> </w:t>
      </w:r>
      <w:r w:rsidRPr="00861B16">
        <w:rPr>
          <w:rStyle w:val="FooterChar"/>
          <w:sz w:val="22"/>
          <w:szCs w:val="22"/>
        </w:rPr>
        <w:t xml:space="preserve">TURN Opening Comments, </w:t>
      </w:r>
      <w:r>
        <w:rPr>
          <w:rStyle w:val="FooterChar"/>
          <w:sz w:val="22"/>
          <w:szCs w:val="22"/>
        </w:rPr>
        <w:t xml:space="preserve">footnote 2 </w:t>
      </w:r>
      <w:r w:rsidRPr="00861B16">
        <w:rPr>
          <w:rStyle w:val="FooterChar"/>
          <w:sz w:val="22"/>
          <w:szCs w:val="22"/>
        </w:rPr>
        <w:t>at 1.</w:t>
      </w:r>
    </w:p>
  </w:footnote>
  <w:footnote w:id="407">
    <w:p w14:paraId="5A96838D" w14:textId="7AB71C9E" w:rsidR="00C153F2" w:rsidRPr="005C4DA7" w:rsidRDefault="00C153F2" w:rsidP="00C153F2">
      <w:pPr>
        <w:pStyle w:val="FootnoteText"/>
        <w:rPr>
          <w:szCs w:val="22"/>
        </w:rPr>
      </w:pPr>
      <w:r>
        <w:rPr>
          <w:rStyle w:val="FootnoteReference"/>
        </w:rPr>
        <w:footnoteRef/>
      </w:r>
      <w:r>
        <w:t xml:space="preserve"> </w:t>
      </w:r>
      <w:r w:rsidRPr="005C4DA7">
        <w:rPr>
          <w:i/>
          <w:iCs/>
          <w:szCs w:val="22"/>
        </w:rPr>
        <w:t>See</w:t>
      </w:r>
      <w:r w:rsidRPr="005C4DA7">
        <w:rPr>
          <w:szCs w:val="22"/>
        </w:rPr>
        <w:t xml:space="preserve"> </w:t>
      </w:r>
      <w:r w:rsidRPr="00FB610A">
        <w:rPr>
          <w:szCs w:val="22"/>
        </w:rPr>
        <w:t>Decision (D.)</w:t>
      </w:r>
      <w:r w:rsidR="00E23897">
        <w:rPr>
          <w:szCs w:val="22"/>
        </w:rPr>
        <w:t> </w:t>
      </w:r>
      <w:r w:rsidRPr="00FB610A">
        <w:rPr>
          <w:szCs w:val="22"/>
        </w:rPr>
        <w:t>18-12-015 and D.18-08-019 in Rulemaking</w:t>
      </w:r>
      <w:r w:rsidR="00E23897">
        <w:rPr>
          <w:szCs w:val="22"/>
        </w:rPr>
        <w:t> </w:t>
      </w:r>
      <w:r w:rsidRPr="00FB610A">
        <w:rPr>
          <w:szCs w:val="22"/>
        </w:rPr>
        <w:t>15</w:t>
      </w:r>
      <w:r w:rsidRPr="00524A5A">
        <w:rPr>
          <w:szCs w:val="22"/>
        </w:rPr>
        <w:t xml:space="preserve">-03-010.  </w:t>
      </w:r>
      <w:r w:rsidRPr="00524A5A">
        <w:rPr>
          <w:i/>
          <w:iCs/>
          <w:szCs w:val="22"/>
        </w:rPr>
        <w:t>See also</w:t>
      </w:r>
      <w:r w:rsidRPr="00524A5A">
        <w:rPr>
          <w:szCs w:val="22"/>
        </w:rPr>
        <w:t xml:space="preserve"> </w:t>
      </w:r>
      <w:r w:rsidR="001C68FE">
        <w:rPr>
          <w:szCs w:val="22"/>
        </w:rPr>
        <w:t>Pub. Util.</w:t>
      </w:r>
      <w:r w:rsidRPr="005C4DA7">
        <w:rPr>
          <w:szCs w:val="22"/>
        </w:rPr>
        <w:t xml:space="preserve"> Code </w:t>
      </w:r>
      <w:r w:rsidR="00512C0C">
        <w:rPr>
          <w:szCs w:val="22"/>
        </w:rPr>
        <w:t>§ </w:t>
      </w:r>
      <w:r w:rsidRPr="00704EA0">
        <w:rPr>
          <w:szCs w:val="22"/>
        </w:rPr>
        <w:t>783.5</w:t>
      </w:r>
      <w:r w:rsidRPr="005C4DA7">
        <w:rPr>
          <w:szCs w:val="22"/>
        </w:rPr>
        <w:t>(</w:t>
      </w:r>
      <w:r>
        <w:rPr>
          <w:szCs w:val="22"/>
        </w:rPr>
        <w:t>b</w:t>
      </w:r>
      <w:r w:rsidRPr="005C4DA7">
        <w:rPr>
          <w:szCs w:val="22"/>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112A8" w14:textId="5004667D" w:rsidR="00F92385" w:rsidRPr="00C858A8" w:rsidRDefault="009026CF" w:rsidP="00C858A8">
    <w:pPr>
      <w:pStyle w:val="Header"/>
      <w:tabs>
        <w:tab w:val="clear" w:pos="4680"/>
      </w:tabs>
      <w:ind w:firstLine="0"/>
      <w:rPr>
        <w:b/>
      </w:rPr>
    </w:pPr>
    <w:r>
      <w:t>A.22</w:t>
    </w:r>
    <w:r w:rsidR="003D6EF8">
      <w:noBreakHyphen/>
    </w:r>
    <w:r>
      <w:t>05</w:t>
    </w:r>
    <w:r w:rsidR="003D6EF8">
      <w:noBreakHyphen/>
    </w:r>
    <w:r>
      <w:t xml:space="preserve">022, </w:t>
    </w:r>
    <w:r w:rsidR="00237E56">
      <w:rPr>
        <w:i/>
        <w:iCs/>
      </w:rPr>
      <w:t>et al</w:t>
    </w:r>
    <w:r w:rsidR="00AD55A4" w:rsidRPr="00AD55A4">
      <w:rPr>
        <w:i/>
        <w:iCs/>
      </w:rPr>
      <w:t>.</w:t>
    </w:r>
    <w:r w:rsidR="009F5702">
      <w:t xml:space="preserve"> </w:t>
    </w:r>
    <w:r w:rsidR="00487A9E">
      <w:t xml:space="preserve"> </w:t>
    </w:r>
    <w:r>
      <w:t>ALJ/KHY/DBB/nd3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897F" w14:textId="77777777" w:rsidR="009026CF" w:rsidRPr="00C858A8" w:rsidRDefault="009026CF" w:rsidP="00C858A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14951"/>
    <w:multiLevelType w:val="hybridMultilevel"/>
    <w:tmpl w:val="AD16C5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D7771"/>
    <w:multiLevelType w:val="hybridMultilevel"/>
    <w:tmpl w:val="4A16A714"/>
    <w:lvl w:ilvl="0" w:tplc="1BB8EBDA">
      <w:start w:val="1"/>
      <w:numFmt w:val="upperLetter"/>
      <w:lvlText w:val="(%1)"/>
      <w:lvlJc w:val="left"/>
      <w:pPr>
        <w:ind w:left="1092" w:hanging="372"/>
      </w:pPr>
      <w:rPr>
        <w:rFonts w:ascii="Book Antiqua" w:eastAsia="Times New Roman" w:hAnsi="Book Antiqua"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AE4AA4"/>
    <w:multiLevelType w:val="hybridMultilevel"/>
    <w:tmpl w:val="30604FE8"/>
    <w:lvl w:ilvl="0" w:tplc="BFCEDC90">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6C1C14"/>
    <w:multiLevelType w:val="multilevel"/>
    <w:tmpl w:val="A04625EE"/>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A04625EE"/>
    <w:numStyleLink w:val="FoFCoLOP"/>
  </w:abstractNum>
  <w:abstractNum w:abstractNumId="6" w15:restartNumberingAfterBreak="0">
    <w:nsid w:val="222A57B9"/>
    <w:multiLevelType w:val="hybridMultilevel"/>
    <w:tmpl w:val="51DA9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8" w15:restartNumberingAfterBreak="0">
    <w:nsid w:val="33BB4453"/>
    <w:multiLevelType w:val="multilevel"/>
    <w:tmpl w:val="B7A4B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4944DC"/>
    <w:multiLevelType w:val="hybridMultilevel"/>
    <w:tmpl w:val="41305000"/>
    <w:lvl w:ilvl="0" w:tplc="EC7299B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044F"/>
    <w:multiLevelType w:val="hybridMultilevel"/>
    <w:tmpl w:val="30604FE8"/>
    <w:lvl w:ilvl="0" w:tplc="FFFFFFFF">
      <w:start w:val="1"/>
      <w:numFmt w:val="upperLetter"/>
      <w:lvlText w:val="(%1)"/>
      <w:lvlJc w:val="left"/>
      <w:pPr>
        <w:ind w:left="1092" w:hanging="37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B78737C"/>
    <w:multiLevelType w:val="hybridMultilevel"/>
    <w:tmpl w:val="AFDE6F7C"/>
    <w:lvl w:ilvl="0" w:tplc="3E6C17EA">
      <w:start w:val="1"/>
      <w:numFmt w:val="upperLetter"/>
      <w:lvlText w:val="(%1)"/>
      <w:lvlJc w:val="left"/>
      <w:pPr>
        <w:ind w:left="732" w:hanging="3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042D7"/>
    <w:multiLevelType w:val="multilevel"/>
    <w:tmpl w:val="A04625EE"/>
    <w:numStyleLink w:val="FoFCoLOP"/>
  </w:abstractNum>
  <w:abstractNum w:abstractNumId="13" w15:restartNumberingAfterBreak="0">
    <w:nsid w:val="5A9E2171"/>
    <w:multiLevelType w:val="multilevel"/>
    <w:tmpl w:val="6B96D468"/>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584" w:hanging="864"/>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ind w:left="2592" w:hanging="1008"/>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ind w:left="3888" w:hanging="1296"/>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ind w:left="5400" w:hanging="1512"/>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72DA70C4"/>
    <w:multiLevelType w:val="hybridMultilevel"/>
    <w:tmpl w:val="AD16C534"/>
    <w:lvl w:ilvl="0" w:tplc="E6527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E2379"/>
    <w:multiLevelType w:val="hybridMultilevel"/>
    <w:tmpl w:val="536E220A"/>
    <w:lvl w:ilvl="0" w:tplc="5C2A3C98">
      <w:start w:val="1"/>
      <w:numFmt w:val="lowerRoman"/>
      <w:lvlText w:val="(%1)"/>
      <w:lvlJc w:val="left"/>
      <w:pPr>
        <w:ind w:left="1080" w:hanging="360"/>
      </w:pPr>
      <w:rPr>
        <w:rFonts w:ascii="Book Antiqua" w:eastAsiaTheme="minorHAnsi" w:hAnsi="Book Antiqua" w:cs="Book Antiqu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9A0AFE"/>
    <w:multiLevelType w:val="multilevel"/>
    <w:tmpl w:val="A04625EE"/>
    <w:numStyleLink w:val="FoFCoLOP"/>
  </w:abstractNum>
  <w:num w:numId="1" w16cid:durableId="1354526949">
    <w:abstractNumId w:val="13"/>
  </w:num>
  <w:num w:numId="2" w16cid:durableId="140774137">
    <w:abstractNumId w:val="4"/>
  </w:num>
  <w:num w:numId="3" w16cid:durableId="1898543446">
    <w:abstractNumId w:val="12"/>
  </w:num>
  <w:num w:numId="4" w16cid:durableId="701521005">
    <w:abstractNumId w:val="5"/>
  </w:num>
  <w:num w:numId="5" w16cid:durableId="973756952">
    <w:abstractNumId w:val="7"/>
  </w:num>
  <w:num w:numId="6" w16cid:durableId="816924040">
    <w:abstractNumId w:val="0"/>
  </w:num>
  <w:num w:numId="7" w16cid:durableId="1364479874">
    <w:abstractNumId w:val="11"/>
  </w:num>
  <w:num w:numId="8" w16cid:durableId="2051028416">
    <w:abstractNumId w:val="9"/>
  </w:num>
  <w:num w:numId="9" w16cid:durableId="943418179">
    <w:abstractNumId w:val="14"/>
  </w:num>
  <w:num w:numId="10" w16cid:durableId="699823468">
    <w:abstractNumId w:val="1"/>
  </w:num>
  <w:num w:numId="11" w16cid:durableId="532890884">
    <w:abstractNumId w:val="15"/>
  </w:num>
  <w:num w:numId="12" w16cid:durableId="1873565581">
    <w:abstractNumId w:val="3"/>
  </w:num>
  <w:num w:numId="13" w16cid:durableId="148795481">
    <w:abstractNumId w:val="2"/>
  </w:num>
  <w:num w:numId="14" w16cid:durableId="2134131608">
    <w:abstractNumId w:val="16"/>
    <w:lvlOverride w:ilvl="0">
      <w:lvl w:ilvl="0">
        <w:start w:val="1"/>
        <w:numFmt w:val="decimal"/>
        <w:pStyle w:val="OP"/>
        <w:lvlText w:val="%1."/>
        <w:lvlJc w:val="right"/>
        <w:pPr>
          <w:ind w:left="1800" w:firstLine="540"/>
        </w:pPr>
        <w:rPr>
          <w:rFonts w:hint="default"/>
        </w:rPr>
      </w:lvl>
    </w:lvlOverride>
    <w:lvlOverride w:ilvl="1">
      <w:lvl w:ilvl="1">
        <w:start w:val="1"/>
        <w:numFmt w:val="lowerLetter"/>
        <w:lvlText w:val="(%2)"/>
        <w:lvlJc w:val="right"/>
        <w:pPr>
          <w:ind w:left="1152" w:hanging="72"/>
        </w:pPr>
        <w:rPr>
          <w:rFonts w:hint="default"/>
        </w:rPr>
      </w:lvl>
    </w:lvlOverride>
  </w:num>
  <w:num w:numId="15" w16cid:durableId="1888376459">
    <w:abstractNumId w:val="10"/>
  </w:num>
  <w:num w:numId="16" w16cid:durableId="1811240437">
    <w:abstractNumId w:val="5"/>
  </w:num>
  <w:num w:numId="17" w16cid:durableId="347945896">
    <w:abstractNumId w:val="12"/>
  </w:num>
  <w:num w:numId="18" w16cid:durableId="821312496">
    <w:abstractNumId w:val="16"/>
  </w:num>
  <w:num w:numId="19" w16cid:durableId="893587540">
    <w:abstractNumId w:val="6"/>
  </w:num>
  <w:num w:numId="20" w16cid:durableId="437144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1407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316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798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39209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35"/>
    <w:rsid w:val="000002DF"/>
    <w:rsid w:val="00000428"/>
    <w:rsid w:val="000005BD"/>
    <w:rsid w:val="00000807"/>
    <w:rsid w:val="000008AE"/>
    <w:rsid w:val="00000F6A"/>
    <w:rsid w:val="00001017"/>
    <w:rsid w:val="000011A6"/>
    <w:rsid w:val="000015DB"/>
    <w:rsid w:val="00001686"/>
    <w:rsid w:val="0000182C"/>
    <w:rsid w:val="000019A9"/>
    <w:rsid w:val="00002FEA"/>
    <w:rsid w:val="00003F42"/>
    <w:rsid w:val="000043B1"/>
    <w:rsid w:val="00004493"/>
    <w:rsid w:val="000044DC"/>
    <w:rsid w:val="0000535F"/>
    <w:rsid w:val="00005851"/>
    <w:rsid w:val="00005C3A"/>
    <w:rsid w:val="00007619"/>
    <w:rsid w:val="000077A7"/>
    <w:rsid w:val="00007AD7"/>
    <w:rsid w:val="00007DDE"/>
    <w:rsid w:val="0001058F"/>
    <w:rsid w:val="000108BC"/>
    <w:rsid w:val="0001097B"/>
    <w:rsid w:val="00011259"/>
    <w:rsid w:val="000113A2"/>
    <w:rsid w:val="00011F57"/>
    <w:rsid w:val="00012E5B"/>
    <w:rsid w:val="0001350F"/>
    <w:rsid w:val="00013DE1"/>
    <w:rsid w:val="00014047"/>
    <w:rsid w:val="000148BE"/>
    <w:rsid w:val="00014C28"/>
    <w:rsid w:val="00014D71"/>
    <w:rsid w:val="0001552D"/>
    <w:rsid w:val="0001572B"/>
    <w:rsid w:val="00016AE0"/>
    <w:rsid w:val="00016C42"/>
    <w:rsid w:val="000204A6"/>
    <w:rsid w:val="00021878"/>
    <w:rsid w:val="00022ACA"/>
    <w:rsid w:val="000233D2"/>
    <w:rsid w:val="00023D53"/>
    <w:rsid w:val="00024420"/>
    <w:rsid w:val="00024AE1"/>
    <w:rsid w:val="0002573D"/>
    <w:rsid w:val="00025847"/>
    <w:rsid w:val="00025DA6"/>
    <w:rsid w:val="000267A7"/>
    <w:rsid w:val="0002769C"/>
    <w:rsid w:val="0002775D"/>
    <w:rsid w:val="0002776F"/>
    <w:rsid w:val="00027F93"/>
    <w:rsid w:val="00031916"/>
    <w:rsid w:val="000322E7"/>
    <w:rsid w:val="00032414"/>
    <w:rsid w:val="00032DB2"/>
    <w:rsid w:val="00032F0C"/>
    <w:rsid w:val="000336CC"/>
    <w:rsid w:val="00033DC0"/>
    <w:rsid w:val="000341A3"/>
    <w:rsid w:val="000347C1"/>
    <w:rsid w:val="00034C1A"/>
    <w:rsid w:val="00035154"/>
    <w:rsid w:val="00035298"/>
    <w:rsid w:val="0003573F"/>
    <w:rsid w:val="000357B2"/>
    <w:rsid w:val="0003580E"/>
    <w:rsid w:val="000359AB"/>
    <w:rsid w:val="00035DB6"/>
    <w:rsid w:val="00036CE3"/>
    <w:rsid w:val="000400DF"/>
    <w:rsid w:val="00040683"/>
    <w:rsid w:val="00041009"/>
    <w:rsid w:val="0004209D"/>
    <w:rsid w:val="000422DC"/>
    <w:rsid w:val="00043553"/>
    <w:rsid w:val="00044EEC"/>
    <w:rsid w:val="00046365"/>
    <w:rsid w:val="00047321"/>
    <w:rsid w:val="00047A9B"/>
    <w:rsid w:val="00047F92"/>
    <w:rsid w:val="000501A5"/>
    <w:rsid w:val="00050E1D"/>
    <w:rsid w:val="000514C9"/>
    <w:rsid w:val="0005184E"/>
    <w:rsid w:val="00052151"/>
    <w:rsid w:val="00052487"/>
    <w:rsid w:val="00052F28"/>
    <w:rsid w:val="00053062"/>
    <w:rsid w:val="00053749"/>
    <w:rsid w:val="0005426A"/>
    <w:rsid w:val="0005474A"/>
    <w:rsid w:val="000553C6"/>
    <w:rsid w:val="00055D60"/>
    <w:rsid w:val="00055F19"/>
    <w:rsid w:val="000562E1"/>
    <w:rsid w:val="00056A5B"/>
    <w:rsid w:val="0005770D"/>
    <w:rsid w:val="000603C3"/>
    <w:rsid w:val="000607DE"/>
    <w:rsid w:val="00060E01"/>
    <w:rsid w:val="0006109C"/>
    <w:rsid w:val="000617A4"/>
    <w:rsid w:val="0006201B"/>
    <w:rsid w:val="00062A69"/>
    <w:rsid w:val="00062B06"/>
    <w:rsid w:val="00062DF4"/>
    <w:rsid w:val="000633F8"/>
    <w:rsid w:val="0006368C"/>
    <w:rsid w:val="00064035"/>
    <w:rsid w:val="0006527C"/>
    <w:rsid w:val="0006756F"/>
    <w:rsid w:val="00067849"/>
    <w:rsid w:val="00070AFD"/>
    <w:rsid w:val="000710B1"/>
    <w:rsid w:val="0007115A"/>
    <w:rsid w:val="00071AFD"/>
    <w:rsid w:val="00071DE3"/>
    <w:rsid w:val="00071E0D"/>
    <w:rsid w:val="00072C03"/>
    <w:rsid w:val="00072DF9"/>
    <w:rsid w:val="000739EC"/>
    <w:rsid w:val="00073D3E"/>
    <w:rsid w:val="00073D43"/>
    <w:rsid w:val="00074860"/>
    <w:rsid w:val="00074DBA"/>
    <w:rsid w:val="00076A36"/>
    <w:rsid w:val="00077F47"/>
    <w:rsid w:val="000806B8"/>
    <w:rsid w:val="00080D63"/>
    <w:rsid w:val="00081117"/>
    <w:rsid w:val="00082200"/>
    <w:rsid w:val="000825BA"/>
    <w:rsid w:val="00083489"/>
    <w:rsid w:val="00083934"/>
    <w:rsid w:val="0008402D"/>
    <w:rsid w:val="00084164"/>
    <w:rsid w:val="000852C0"/>
    <w:rsid w:val="000867EA"/>
    <w:rsid w:val="000867FC"/>
    <w:rsid w:val="00091200"/>
    <w:rsid w:val="00092C4D"/>
    <w:rsid w:val="0009315E"/>
    <w:rsid w:val="000938E0"/>
    <w:rsid w:val="00094564"/>
    <w:rsid w:val="000945FC"/>
    <w:rsid w:val="0009475F"/>
    <w:rsid w:val="00094B13"/>
    <w:rsid w:val="00094DF9"/>
    <w:rsid w:val="0009538D"/>
    <w:rsid w:val="000956C0"/>
    <w:rsid w:val="00095BDB"/>
    <w:rsid w:val="00095E80"/>
    <w:rsid w:val="00095F23"/>
    <w:rsid w:val="000973C8"/>
    <w:rsid w:val="00097A0B"/>
    <w:rsid w:val="000A1887"/>
    <w:rsid w:val="000A29B0"/>
    <w:rsid w:val="000A2AA9"/>
    <w:rsid w:val="000A385B"/>
    <w:rsid w:val="000A3AE2"/>
    <w:rsid w:val="000A4E81"/>
    <w:rsid w:val="000A5187"/>
    <w:rsid w:val="000A56F2"/>
    <w:rsid w:val="000A6E05"/>
    <w:rsid w:val="000B046F"/>
    <w:rsid w:val="000B0DEB"/>
    <w:rsid w:val="000B11D3"/>
    <w:rsid w:val="000B12FA"/>
    <w:rsid w:val="000B1E11"/>
    <w:rsid w:val="000B1E5D"/>
    <w:rsid w:val="000B2516"/>
    <w:rsid w:val="000B2B9A"/>
    <w:rsid w:val="000B2DA9"/>
    <w:rsid w:val="000B2E32"/>
    <w:rsid w:val="000B2EFD"/>
    <w:rsid w:val="000B4C63"/>
    <w:rsid w:val="000B5282"/>
    <w:rsid w:val="000B562D"/>
    <w:rsid w:val="000B5B99"/>
    <w:rsid w:val="000B71B8"/>
    <w:rsid w:val="000C08BF"/>
    <w:rsid w:val="000C0E3D"/>
    <w:rsid w:val="000C0EEF"/>
    <w:rsid w:val="000C1266"/>
    <w:rsid w:val="000C1558"/>
    <w:rsid w:val="000C2028"/>
    <w:rsid w:val="000C21F2"/>
    <w:rsid w:val="000C22C8"/>
    <w:rsid w:val="000C23D6"/>
    <w:rsid w:val="000C3368"/>
    <w:rsid w:val="000C3B88"/>
    <w:rsid w:val="000C3B9A"/>
    <w:rsid w:val="000C3C6C"/>
    <w:rsid w:val="000C4019"/>
    <w:rsid w:val="000C4F74"/>
    <w:rsid w:val="000C69F4"/>
    <w:rsid w:val="000C72BE"/>
    <w:rsid w:val="000C7DBE"/>
    <w:rsid w:val="000C7E34"/>
    <w:rsid w:val="000D0A8F"/>
    <w:rsid w:val="000D11D0"/>
    <w:rsid w:val="000D20CD"/>
    <w:rsid w:val="000D22BE"/>
    <w:rsid w:val="000D239C"/>
    <w:rsid w:val="000D25A8"/>
    <w:rsid w:val="000D2982"/>
    <w:rsid w:val="000D32CD"/>
    <w:rsid w:val="000D3E7C"/>
    <w:rsid w:val="000D5461"/>
    <w:rsid w:val="000D5798"/>
    <w:rsid w:val="000D64C8"/>
    <w:rsid w:val="000D66A3"/>
    <w:rsid w:val="000D7E2D"/>
    <w:rsid w:val="000E0876"/>
    <w:rsid w:val="000E0AF3"/>
    <w:rsid w:val="000E0D78"/>
    <w:rsid w:val="000E0E95"/>
    <w:rsid w:val="000E0F32"/>
    <w:rsid w:val="000E11A8"/>
    <w:rsid w:val="000E19E7"/>
    <w:rsid w:val="000E1DB6"/>
    <w:rsid w:val="000E1ED2"/>
    <w:rsid w:val="000E20F2"/>
    <w:rsid w:val="000E23EC"/>
    <w:rsid w:val="000E270A"/>
    <w:rsid w:val="000E28A5"/>
    <w:rsid w:val="000E2B16"/>
    <w:rsid w:val="000E2FD4"/>
    <w:rsid w:val="000E327A"/>
    <w:rsid w:val="000E42A5"/>
    <w:rsid w:val="000E4474"/>
    <w:rsid w:val="000E4C53"/>
    <w:rsid w:val="000E5621"/>
    <w:rsid w:val="000E599B"/>
    <w:rsid w:val="000E706F"/>
    <w:rsid w:val="000E773F"/>
    <w:rsid w:val="000F05CD"/>
    <w:rsid w:val="000F0688"/>
    <w:rsid w:val="000F06DF"/>
    <w:rsid w:val="000F0E53"/>
    <w:rsid w:val="000F16EC"/>
    <w:rsid w:val="000F17C7"/>
    <w:rsid w:val="000F2A88"/>
    <w:rsid w:val="000F2AB1"/>
    <w:rsid w:val="000F37D9"/>
    <w:rsid w:val="000F3DD2"/>
    <w:rsid w:val="000F4074"/>
    <w:rsid w:val="000F4621"/>
    <w:rsid w:val="000F48C6"/>
    <w:rsid w:val="000F5998"/>
    <w:rsid w:val="000F5BB3"/>
    <w:rsid w:val="000F6191"/>
    <w:rsid w:val="000F6CBF"/>
    <w:rsid w:val="000F737E"/>
    <w:rsid w:val="0010022E"/>
    <w:rsid w:val="0010072B"/>
    <w:rsid w:val="00100C1C"/>
    <w:rsid w:val="00101131"/>
    <w:rsid w:val="001019F4"/>
    <w:rsid w:val="00101FC8"/>
    <w:rsid w:val="00102998"/>
    <w:rsid w:val="00103017"/>
    <w:rsid w:val="00103A6C"/>
    <w:rsid w:val="001044CD"/>
    <w:rsid w:val="00105583"/>
    <w:rsid w:val="0010600D"/>
    <w:rsid w:val="00106374"/>
    <w:rsid w:val="0010678A"/>
    <w:rsid w:val="00106815"/>
    <w:rsid w:val="00106B9D"/>
    <w:rsid w:val="00106C0D"/>
    <w:rsid w:val="00107630"/>
    <w:rsid w:val="0010768B"/>
    <w:rsid w:val="00107B2A"/>
    <w:rsid w:val="00107DB1"/>
    <w:rsid w:val="00107EAB"/>
    <w:rsid w:val="001107A9"/>
    <w:rsid w:val="001147B9"/>
    <w:rsid w:val="001147C1"/>
    <w:rsid w:val="00114E8F"/>
    <w:rsid w:val="001150E1"/>
    <w:rsid w:val="00115D2E"/>
    <w:rsid w:val="001166A3"/>
    <w:rsid w:val="001166F1"/>
    <w:rsid w:val="001178A9"/>
    <w:rsid w:val="00117912"/>
    <w:rsid w:val="0011793D"/>
    <w:rsid w:val="00117D89"/>
    <w:rsid w:val="001202CC"/>
    <w:rsid w:val="00120915"/>
    <w:rsid w:val="0012101E"/>
    <w:rsid w:val="00121089"/>
    <w:rsid w:val="00121CC2"/>
    <w:rsid w:val="001232DA"/>
    <w:rsid w:val="00124363"/>
    <w:rsid w:val="001258A5"/>
    <w:rsid w:val="0012639A"/>
    <w:rsid w:val="001268FF"/>
    <w:rsid w:val="00127C34"/>
    <w:rsid w:val="001303B9"/>
    <w:rsid w:val="00130D24"/>
    <w:rsid w:val="00130DAB"/>
    <w:rsid w:val="0013243A"/>
    <w:rsid w:val="00132A6A"/>
    <w:rsid w:val="00132D58"/>
    <w:rsid w:val="00132E11"/>
    <w:rsid w:val="001333B0"/>
    <w:rsid w:val="0013346F"/>
    <w:rsid w:val="00134072"/>
    <w:rsid w:val="00134151"/>
    <w:rsid w:val="001341FC"/>
    <w:rsid w:val="0013422B"/>
    <w:rsid w:val="0013423F"/>
    <w:rsid w:val="0013469A"/>
    <w:rsid w:val="001346BF"/>
    <w:rsid w:val="0013526D"/>
    <w:rsid w:val="00135892"/>
    <w:rsid w:val="00136386"/>
    <w:rsid w:val="001363BA"/>
    <w:rsid w:val="00137055"/>
    <w:rsid w:val="00137081"/>
    <w:rsid w:val="0013750A"/>
    <w:rsid w:val="001405BD"/>
    <w:rsid w:val="00142F55"/>
    <w:rsid w:val="00143A1F"/>
    <w:rsid w:val="001446AE"/>
    <w:rsid w:val="00144744"/>
    <w:rsid w:val="0014498E"/>
    <w:rsid w:val="00144B74"/>
    <w:rsid w:val="00144C5E"/>
    <w:rsid w:val="00144CBA"/>
    <w:rsid w:val="00146520"/>
    <w:rsid w:val="00146CB2"/>
    <w:rsid w:val="00146D8A"/>
    <w:rsid w:val="001472CE"/>
    <w:rsid w:val="00147379"/>
    <w:rsid w:val="0014738F"/>
    <w:rsid w:val="00147E5D"/>
    <w:rsid w:val="00150E4C"/>
    <w:rsid w:val="001517B8"/>
    <w:rsid w:val="001518C8"/>
    <w:rsid w:val="00152005"/>
    <w:rsid w:val="00152A24"/>
    <w:rsid w:val="00152C7B"/>
    <w:rsid w:val="00153FFB"/>
    <w:rsid w:val="001544A5"/>
    <w:rsid w:val="00155F2B"/>
    <w:rsid w:val="00155F70"/>
    <w:rsid w:val="00156688"/>
    <w:rsid w:val="001574FC"/>
    <w:rsid w:val="00157612"/>
    <w:rsid w:val="00157790"/>
    <w:rsid w:val="00157883"/>
    <w:rsid w:val="001579BB"/>
    <w:rsid w:val="001600A6"/>
    <w:rsid w:val="00160C49"/>
    <w:rsid w:val="00160F0B"/>
    <w:rsid w:val="00160F51"/>
    <w:rsid w:val="001616CD"/>
    <w:rsid w:val="00162867"/>
    <w:rsid w:val="00162FCF"/>
    <w:rsid w:val="001643A0"/>
    <w:rsid w:val="0016459D"/>
    <w:rsid w:val="00164A9E"/>
    <w:rsid w:val="00164AC0"/>
    <w:rsid w:val="00164F6A"/>
    <w:rsid w:val="001650B6"/>
    <w:rsid w:val="00167724"/>
    <w:rsid w:val="00167E28"/>
    <w:rsid w:val="00167EBB"/>
    <w:rsid w:val="00170219"/>
    <w:rsid w:val="0017024C"/>
    <w:rsid w:val="00171CC4"/>
    <w:rsid w:val="00172126"/>
    <w:rsid w:val="0017266B"/>
    <w:rsid w:val="0017276F"/>
    <w:rsid w:val="00172C7A"/>
    <w:rsid w:val="00172F32"/>
    <w:rsid w:val="00173119"/>
    <w:rsid w:val="001737E6"/>
    <w:rsid w:val="00174037"/>
    <w:rsid w:val="00174AC8"/>
    <w:rsid w:val="00174D30"/>
    <w:rsid w:val="00174F78"/>
    <w:rsid w:val="0017525A"/>
    <w:rsid w:val="00175AF9"/>
    <w:rsid w:val="0017604E"/>
    <w:rsid w:val="00176530"/>
    <w:rsid w:val="00176DD9"/>
    <w:rsid w:val="00177DE6"/>
    <w:rsid w:val="001803B8"/>
    <w:rsid w:val="001804A5"/>
    <w:rsid w:val="0018142A"/>
    <w:rsid w:val="00183797"/>
    <w:rsid w:val="00183E96"/>
    <w:rsid w:val="00184294"/>
    <w:rsid w:val="00184455"/>
    <w:rsid w:val="00184A8F"/>
    <w:rsid w:val="001857CF"/>
    <w:rsid w:val="001866AF"/>
    <w:rsid w:val="001868CC"/>
    <w:rsid w:val="00190F18"/>
    <w:rsid w:val="001917A8"/>
    <w:rsid w:val="001917B0"/>
    <w:rsid w:val="00192AC0"/>
    <w:rsid w:val="001947D0"/>
    <w:rsid w:val="0019580D"/>
    <w:rsid w:val="00195DE8"/>
    <w:rsid w:val="00196E5D"/>
    <w:rsid w:val="0019750D"/>
    <w:rsid w:val="001A3030"/>
    <w:rsid w:val="001A34D8"/>
    <w:rsid w:val="001A3886"/>
    <w:rsid w:val="001A3C71"/>
    <w:rsid w:val="001A3F20"/>
    <w:rsid w:val="001A5581"/>
    <w:rsid w:val="001A677A"/>
    <w:rsid w:val="001A6D95"/>
    <w:rsid w:val="001A784A"/>
    <w:rsid w:val="001B0898"/>
    <w:rsid w:val="001B0C0E"/>
    <w:rsid w:val="001B0DB8"/>
    <w:rsid w:val="001B1E90"/>
    <w:rsid w:val="001B1F05"/>
    <w:rsid w:val="001B285E"/>
    <w:rsid w:val="001B30D7"/>
    <w:rsid w:val="001B3C81"/>
    <w:rsid w:val="001B4CDB"/>
    <w:rsid w:val="001B56C2"/>
    <w:rsid w:val="001B5A79"/>
    <w:rsid w:val="001B5D27"/>
    <w:rsid w:val="001B6792"/>
    <w:rsid w:val="001B67AC"/>
    <w:rsid w:val="001B6C32"/>
    <w:rsid w:val="001B6D78"/>
    <w:rsid w:val="001B71F9"/>
    <w:rsid w:val="001B7FA1"/>
    <w:rsid w:val="001C004A"/>
    <w:rsid w:val="001C0C4F"/>
    <w:rsid w:val="001C1200"/>
    <w:rsid w:val="001C1878"/>
    <w:rsid w:val="001C1F4A"/>
    <w:rsid w:val="001C2EE7"/>
    <w:rsid w:val="001C2EF6"/>
    <w:rsid w:val="001C30F9"/>
    <w:rsid w:val="001C363F"/>
    <w:rsid w:val="001C3F1C"/>
    <w:rsid w:val="001C43E7"/>
    <w:rsid w:val="001C45BB"/>
    <w:rsid w:val="001C4969"/>
    <w:rsid w:val="001C4C5B"/>
    <w:rsid w:val="001C4FB9"/>
    <w:rsid w:val="001C5886"/>
    <w:rsid w:val="001C62AE"/>
    <w:rsid w:val="001C6369"/>
    <w:rsid w:val="001C68FE"/>
    <w:rsid w:val="001C6DE3"/>
    <w:rsid w:val="001C71FE"/>
    <w:rsid w:val="001C77B8"/>
    <w:rsid w:val="001D024F"/>
    <w:rsid w:val="001D0CC1"/>
    <w:rsid w:val="001D114A"/>
    <w:rsid w:val="001D1512"/>
    <w:rsid w:val="001D1607"/>
    <w:rsid w:val="001D1C5C"/>
    <w:rsid w:val="001D2C06"/>
    <w:rsid w:val="001D41A4"/>
    <w:rsid w:val="001D494D"/>
    <w:rsid w:val="001D4CDC"/>
    <w:rsid w:val="001D54A0"/>
    <w:rsid w:val="001D54D9"/>
    <w:rsid w:val="001D57A4"/>
    <w:rsid w:val="001D5927"/>
    <w:rsid w:val="001D615B"/>
    <w:rsid w:val="001D650A"/>
    <w:rsid w:val="001D658B"/>
    <w:rsid w:val="001D6964"/>
    <w:rsid w:val="001D7F4C"/>
    <w:rsid w:val="001E0728"/>
    <w:rsid w:val="001E082C"/>
    <w:rsid w:val="001E0C33"/>
    <w:rsid w:val="001E15EF"/>
    <w:rsid w:val="001E1B58"/>
    <w:rsid w:val="001E1E68"/>
    <w:rsid w:val="001E2201"/>
    <w:rsid w:val="001E2987"/>
    <w:rsid w:val="001E2A62"/>
    <w:rsid w:val="001E2C6F"/>
    <w:rsid w:val="001E34B6"/>
    <w:rsid w:val="001E3520"/>
    <w:rsid w:val="001E382C"/>
    <w:rsid w:val="001E44CA"/>
    <w:rsid w:val="001E4719"/>
    <w:rsid w:val="001E47B5"/>
    <w:rsid w:val="001E52AB"/>
    <w:rsid w:val="001E563C"/>
    <w:rsid w:val="001E5D3B"/>
    <w:rsid w:val="001E5DE2"/>
    <w:rsid w:val="001E6D3B"/>
    <w:rsid w:val="001E7101"/>
    <w:rsid w:val="001E721E"/>
    <w:rsid w:val="001E73D7"/>
    <w:rsid w:val="001E76CF"/>
    <w:rsid w:val="001F0434"/>
    <w:rsid w:val="001F15BC"/>
    <w:rsid w:val="001F1ED9"/>
    <w:rsid w:val="001F1F49"/>
    <w:rsid w:val="001F2710"/>
    <w:rsid w:val="001F27BC"/>
    <w:rsid w:val="001F2819"/>
    <w:rsid w:val="001F2EF6"/>
    <w:rsid w:val="001F34A9"/>
    <w:rsid w:val="001F3BB2"/>
    <w:rsid w:val="001F3EC1"/>
    <w:rsid w:val="001F4F2B"/>
    <w:rsid w:val="001F5246"/>
    <w:rsid w:val="001F66BF"/>
    <w:rsid w:val="001F74F0"/>
    <w:rsid w:val="002006EA"/>
    <w:rsid w:val="00202AAC"/>
    <w:rsid w:val="00203601"/>
    <w:rsid w:val="002039D8"/>
    <w:rsid w:val="00203D2E"/>
    <w:rsid w:val="002042E0"/>
    <w:rsid w:val="002043EC"/>
    <w:rsid w:val="002047CD"/>
    <w:rsid w:val="00204FA3"/>
    <w:rsid w:val="00205FC5"/>
    <w:rsid w:val="002065F4"/>
    <w:rsid w:val="002070F4"/>
    <w:rsid w:val="00210253"/>
    <w:rsid w:val="00210620"/>
    <w:rsid w:val="00210A6F"/>
    <w:rsid w:val="00212F3E"/>
    <w:rsid w:val="00213289"/>
    <w:rsid w:val="002140B0"/>
    <w:rsid w:val="00216350"/>
    <w:rsid w:val="002163F6"/>
    <w:rsid w:val="00217C12"/>
    <w:rsid w:val="00220FEE"/>
    <w:rsid w:val="00221901"/>
    <w:rsid w:val="00222506"/>
    <w:rsid w:val="0022261B"/>
    <w:rsid w:val="002230AE"/>
    <w:rsid w:val="00223C18"/>
    <w:rsid w:val="00224846"/>
    <w:rsid w:val="00224F76"/>
    <w:rsid w:val="00225FD4"/>
    <w:rsid w:val="0022795B"/>
    <w:rsid w:val="002304F7"/>
    <w:rsid w:val="00230FA8"/>
    <w:rsid w:val="00231823"/>
    <w:rsid w:val="00233066"/>
    <w:rsid w:val="00234765"/>
    <w:rsid w:val="002349AC"/>
    <w:rsid w:val="002350C0"/>
    <w:rsid w:val="00235A70"/>
    <w:rsid w:val="0023619A"/>
    <w:rsid w:val="002361C8"/>
    <w:rsid w:val="002362D1"/>
    <w:rsid w:val="0023766C"/>
    <w:rsid w:val="00237E56"/>
    <w:rsid w:val="00237ED1"/>
    <w:rsid w:val="002402C1"/>
    <w:rsid w:val="0024119E"/>
    <w:rsid w:val="0024158A"/>
    <w:rsid w:val="00243C6D"/>
    <w:rsid w:val="00243DC0"/>
    <w:rsid w:val="00243E95"/>
    <w:rsid w:val="00243FFE"/>
    <w:rsid w:val="002441D9"/>
    <w:rsid w:val="00245140"/>
    <w:rsid w:val="00245E02"/>
    <w:rsid w:val="00246C40"/>
    <w:rsid w:val="00246CEE"/>
    <w:rsid w:val="00247477"/>
    <w:rsid w:val="00247A45"/>
    <w:rsid w:val="00250A69"/>
    <w:rsid w:val="00251BA0"/>
    <w:rsid w:val="00252845"/>
    <w:rsid w:val="00252A11"/>
    <w:rsid w:val="00253A27"/>
    <w:rsid w:val="00253EDF"/>
    <w:rsid w:val="0025537E"/>
    <w:rsid w:val="0025570F"/>
    <w:rsid w:val="0025743F"/>
    <w:rsid w:val="002578C5"/>
    <w:rsid w:val="00257C9F"/>
    <w:rsid w:val="00260918"/>
    <w:rsid w:val="00261617"/>
    <w:rsid w:val="00262092"/>
    <w:rsid w:val="00262A4B"/>
    <w:rsid w:val="0026408D"/>
    <w:rsid w:val="00264322"/>
    <w:rsid w:val="00264432"/>
    <w:rsid w:val="00264F4C"/>
    <w:rsid w:val="00266E03"/>
    <w:rsid w:val="00266EEC"/>
    <w:rsid w:val="002700C9"/>
    <w:rsid w:val="00270440"/>
    <w:rsid w:val="00270E9E"/>
    <w:rsid w:val="00272135"/>
    <w:rsid w:val="00272B50"/>
    <w:rsid w:val="002730FF"/>
    <w:rsid w:val="002731AA"/>
    <w:rsid w:val="002733C5"/>
    <w:rsid w:val="00273A4C"/>
    <w:rsid w:val="00273F7D"/>
    <w:rsid w:val="002746F4"/>
    <w:rsid w:val="00274C9A"/>
    <w:rsid w:val="00274F9C"/>
    <w:rsid w:val="002750E9"/>
    <w:rsid w:val="002763E4"/>
    <w:rsid w:val="00277607"/>
    <w:rsid w:val="00281650"/>
    <w:rsid w:val="0028242B"/>
    <w:rsid w:val="00282994"/>
    <w:rsid w:val="00283515"/>
    <w:rsid w:val="00283903"/>
    <w:rsid w:val="00283944"/>
    <w:rsid w:val="00284996"/>
    <w:rsid w:val="00284B7D"/>
    <w:rsid w:val="00284D8D"/>
    <w:rsid w:val="002855A4"/>
    <w:rsid w:val="00285979"/>
    <w:rsid w:val="00285D8C"/>
    <w:rsid w:val="0028606A"/>
    <w:rsid w:val="0028638A"/>
    <w:rsid w:val="002869EF"/>
    <w:rsid w:val="002874A9"/>
    <w:rsid w:val="00287BC4"/>
    <w:rsid w:val="00287BC5"/>
    <w:rsid w:val="002917E2"/>
    <w:rsid w:val="002928F9"/>
    <w:rsid w:val="00292D23"/>
    <w:rsid w:val="00293A9A"/>
    <w:rsid w:val="00293DEE"/>
    <w:rsid w:val="00294BC1"/>
    <w:rsid w:val="00294BFA"/>
    <w:rsid w:val="00294C26"/>
    <w:rsid w:val="00295E58"/>
    <w:rsid w:val="002966AE"/>
    <w:rsid w:val="00296C38"/>
    <w:rsid w:val="00296D23"/>
    <w:rsid w:val="0029766C"/>
    <w:rsid w:val="00297F24"/>
    <w:rsid w:val="002A0857"/>
    <w:rsid w:val="002A0B5D"/>
    <w:rsid w:val="002A0F2E"/>
    <w:rsid w:val="002A1314"/>
    <w:rsid w:val="002A1335"/>
    <w:rsid w:val="002A1391"/>
    <w:rsid w:val="002A1CF4"/>
    <w:rsid w:val="002A24D9"/>
    <w:rsid w:val="002A32B0"/>
    <w:rsid w:val="002A3CEE"/>
    <w:rsid w:val="002A3E6E"/>
    <w:rsid w:val="002A4801"/>
    <w:rsid w:val="002A6592"/>
    <w:rsid w:val="002A7273"/>
    <w:rsid w:val="002A7375"/>
    <w:rsid w:val="002A79C6"/>
    <w:rsid w:val="002A7A49"/>
    <w:rsid w:val="002B02AD"/>
    <w:rsid w:val="002B050F"/>
    <w:rsid w:val="002B0BA1"/>
    <w:rsid w:val="002B0E86"/>
    <w:rsid w:val="002B1264"/>
    <w:rsid w:val="002B1456"/>
    <w:rsid w:val="002B26ED"/>
    <w:rsid w:val="002B2816"/>
    <w:rsid w:val="002B2D50"/>
    <w:rsid w:val="002B55EF"/>
    <w:rsid w:val="002B58EE"/>
    <w:rsid w:val="002B5D79"/>
    <w:rsid w:val="002B5E50"/>
    <w:rsid w:val="002B6231"/>
    <w:rsid w:val="002B6DC8"/>
    <w:rsid w:val="002C07C0"/>
    <w:rsid w:val="002C20CC"/>
    <w:rsid w:val="002C2932"/>
    <w:rsid w:val="002C39A6"/>
    <w:rsid w:val="002C39F1"/>
    <w:rsid w:val="002C3E67"/>
    <w:rsid w:val="002C42D5"/>
    <w:rsid w:val="002C461F"/>
    <w:rsid w:val="002C53AD"/>
    <w:rsid w:val="002C6105"/>
    <w:rsid w:val="002C6591"/>
    <w:rsid w:val="002C7C86"/>
    <w:rsid w:val="002C7FE9"/>
    <w:rsid w:val="002D03C8"/>
    <w:rsid w:val="002D0DC5"/>
    <w:rsid w:val="002D0FF7"/>
    <w:rsid w:val="002D1429"/>
    <w:rsid w:val="002D1988"/>
    <w:rsid w:val="002D2067"/>
    <w:rsid w:val="002D234A"/>
    <w:rsid w:val="002D23CC"/>
    <w:rsid w:val="002D3151"/>
    <w:rsid w:val="002D352E"/>
    <w:rsid w:val="002D468B"/>
    <w:rsid w:val="002D4E0C"/>
    <w:rsid w:val="002D4EBF"/>
    <w:rsid w:val="002D4EFD"/>
    <w:rsid w:val="002D5ACA"/>
    <w:rsid w:val="002D5F47"/>
    <w:rsid w:val="002D7D0E"/>
    <w:rsid w:val="002E00CD"/>
    <w:rsid w:val="002E04C2"/>
    <w:rsid w:val="002E0F92"/>
    <w:rsid w:val="002E1BEE"/>
    <w:rsid w:val="002E2DE7"/>
    <w:rsid w:val="002E3073"/>
    <w:rsid w:val="002E384F"/>
    <w:rsid w:val="002E3A04"/>
    <w:rsid w:val="002E4222"/>
    <w:rsid w:val="002E50F4"/>
    <w:rsid w:val="002E5EBC"/>
    <w:rsid w:val="002E6FC9"/>
    <w:rsid w:val="002E73EE"/>
    <w:rsid w:val="002E7451"/>
    <w:rsid w:val="002E7DC7"/>
    <w:rsid w:val="002E7E6F"/>
    <w:rsid w:val="002F03BF"/>
    <w:rsid w:val="002F03D2"/>
    <w:rsid w:val="002F3141"/>
    <w:rsid w:val="002F3288"/>
    <w:rsid w:val="002F32D0"/>
    <w:rsid w:val="002F3523"/>
    <w:rsid w:val="002F3529"/>
    <w:rsid w:val="002F3BC2"/>
    <w:rsid w:val="002F42A6"/>
    <w:rsid w:val="002F4614"/>
    <w:rsid w:val="002F4D11"/>
    <w:rsid w:val="002F766F"/>
    <w:rsid w:val="002F78B0"/>
    <w:rsid w:val="002F7CF1"/>
    <w:rsid w:val="00300343"/>
    <w:rsid w:val="0030206D"/>
    <w:rsid w:val="003027C1"/>
    <w:rsid w:val="00302C36"/>
    <w:rsid w:val="00303176"/>
    <w:rsid w:val="00303659"/>
    <w:rsid w:val="00303E0B"/>
    <w:rsid w:val="00304B7C"/>
    <w:rsid w:val="0030725E"/>
    <w:rsid w:val="00307693"/>
    <w:rsid w:val="00307990"/>
    <w:rsid w:val="003108DE"/>
    <w:rsid w:val="00310AC8"/>
    <w:rsid w:val="00310FA5"/>
    <w:rsid w:val="003111D3"/>
    <w:rsid w:val="00311284"/>
    <w:rsid w:val="003113DE"/>
    <w:rsid w:val="00311747"/>
    <w:rsid w:val="003119AD"/>
    <w:rsid w:val="00311B13"/>
    <w:rsid w:val="00312709"/>
    <w:rsid w:val="00312B39"/>
    <w:rsid w:val="003132D1"/>
    <w:rsid w:val="003134AD"/>
    <w:rsid w:val="00313971"/>
    <w:rsid w:val="003139DE"/>
    <w:rsid w:val="00313E23"/>
    <w:rsid w:val="003143C0"/>
    <w:rsid w:val="00314506"/>
    <w:rsid w:val="003145C4"/>
    <w:rsid w:val="00314FA2"/>
    <w:rsid w:val="00315A97"/>
    <w:rsid w:val="00315EDE"/>
    <w:rsid w:val="00316071"/>
    <w:rsid w:val="00317C52"/>
    <w:rsid w:val="00317EAE"/>
    <w:rsid w:val="00320102"/>
    <w:rsid w:val="00320DBC"/>
    <w:rsid w:val="003214F4"/>
    <w:rsid w:val="003224B1"/>
    <w:rsid w:val="0032294F"/>
    <w:rsid w:val="00322C26"/>
    <w:rsid w:val="003233A9"/>
    <w:rsid w:val="00323841"/>
    <w:rsid w:val="003254AA"/>
    <w:rsid w:val="003258CA"/>
    <w:rsid w:val="0032634F"/>
    <w:rsid w:val="00327099"/>
    <w:rsid w:val="0032726E"/>
    <w:rsid w:val="00327B40"/>
    <w:rsid w:val="00327C04"/>
    <w:rsid w:val="00330B17"/>
    <w:rsid w:val="00331823"/>
    <w:rsid w:val="003321AD"/>
    <w:rsid w:val="00332221"/>
    <w:rsid w:val="00333007"/>
    <w:rsid w:val="00333B60"/>
    <w:rsid w:val="00333D1D"/>
    <w:rsid w:val="003340AD"/>
    <w:rsid w:val="0033470A"/>
    <w:rsid w:val="003348DE"/>
    <w:rsid w:val="00334C10"/>
    <w:rsid w:val="00334CD7"/>
    <w:rsid w:val="00335708"/>
    <w:rsid w:val="00337AA6"/>
    <w:rsid w:val="00337B8F"/>
    <w:rsid w:val="00337E9B"/>
    <w:rsid w:val="0034034F"/>
    <w:rsid w:val="00340AE3"/>
    <w:rsid w:val="00340D8D"/>
    <w:rsid w:val="0034111F"/>
    <w:rsid w:val="00342283"/>
    <w:rsid w:val="00342743"/>
    <w:rsid w:val="00342804"/>
    <w:rsid w:val="00342D06"/>
    <w:rsid w:val="00343363"/>
    <w:rsid w:val="00343E5C"/>
    <w:rsid w:val="00344749"/>
    <w:rsid w:val="00344FB8"/>
    <w:rsid w:val="00345511"/>
    <w:rsid w:val="00345CFD"/>
    <w:rsid w:val="00345DB9"/>
    <w:rsid w:val="00346225"/>
    <w:rsid w:val="00346580"/>
    <w:rsid w:val="00346604"/>
    <w:rsid w:val="00346BC3"/>
    <w:rsid w:val="003472F5"/>
    <w:rsid w:val="00347A31"/>
    <w:rsid w:val="00347A86"/>
    <w:rsid w:val="003507A6"/>
    <w:rsid w:val="00350A01"/>
    <w:rsid w:val="00350E4D"/>
    <w:rsid w:val="00351393"/>
    <w:rsid w:val="00351A54"/>
    <w:rsid w:val="00351C16"/>
    <w:rsid w:val="00352184"/>
    <w:rsid w:val="00352CDC"/>
    <w:rsid w:val="00353E0C"/>
    <w:rsid w:val="00354704"/>
    <w:rsid w:val="00355B0E"/>
    <w:rsid w:val="003560AB"/>
    <w:rsid w:val="00356187"/>
    <w:rsid w:val="0035695C"/>
    <w:rsid w:val="00360054"/>
    <w:rsid w:val="0036017B"/>
    <w:rsid w:val="0036068D"/>
    <w:rsid w:val="003614BB"/>
    <w:rsid w:val="00361B16"/>
    <w:rsid w:val="0036255D"/>
    <w:rsid w:val="00362755"/>
    <w:rsid w:val="003627A8"/>
    <w:rsid w:val="00362829"/>
    <w:rsid w:val="00362983"/>
    <w:rsid w:val="00363447"/>
    <w:rsid w:val="003636A9"/>
    <w:rsid w:val="00363E13"/>
    <w:rsid w:val="00364A63"/>
    <w:rsid w:val="00365479"/>
    <w:rsid w:val="00365897"/>
    <w:rsid w:val="00365B6F"/>
    <w:rsid w:val="00365C75"/>
    <w:rsid w:val="003660C2"/>
    <w:rsid w:val="003667E4"/>
    <w:rsid w:val="00366D21"/>
    <w:rsid w:val="0036756F"/>
    <w:rsid w:val="00367906"/>
    <w:rsid w:val="00367ABD"/>
    <w:rsid w:val="003702EB"/>
    <w:rsid w:val="0037107A"/>
    <w:rsid w:val="00372BA4"/>
    <w:rsid w:val="00373B93"/>
    <w:rsid w:val="00374D9B"/>
    <w:rsid w:val="00374DE8"/>
    <w:rsid w:val="00375393"/>
    <w:rsid w:val="00375A01"/>
    <w:rsid w:val="00375F2F"/>
    <w:rsid w:val="0037657C"/>
    <w:rsid w:val="0037722E"/>
    <w:rsid w:val="0037772B"/>
    <w:rsid w:val="00377835"/>
    <w:rsid w:val="0038077D"/>
    <w:rsid w:val="00380C22"/>
    <w:rsid w:val="00380CD1"/>
    <w:rsid w:val="00380EC2"/>
    <w:rsid w:val="003811FB"/>
    <w:rsid w:val="00381200"/>
    <w:rsid w:val="003813AA"/>
    <w:rsid w:val="00382055"/>
    <w:rsid w:val="00382E67"/>
    <w:rsid w:val="00384EF5"/>
    <w:rsid w:val="00385EB0"/>
    <w:rsid w:val="00386145"/>
    <w:rsid w:val="00387FF8"/>
    <w:rsid w:val="00390E54"/>
    <w:rsid w:val="00390E88"/>
    <w:rsid w:val="00390FAB"/>
    <w:rsid w:val="0039113A"/>
    <w:rsid w:val="003917EA"/>
    <w:rsid w:val="00391F5D"/>
    <w:rsid w:val="003923ED"/>
    <w:rsid w:val="00392516"/>
    <w:rsid w:val="00392806"/>
    <w:rsid w:val="00393321"/>
    <w:rsid w:val="003943D0"/>
    <w:rsid w:val="003944A2"/>
    <w:rsid w:val="00394BE3"/>
    <w:rsid w:val="00394CBF"/>
    <w:rsid w:val="003953E7"/>
    <w:rsid w:val="0039544A"/>
    <w:rsid w:val="0039593C"/>
    <w:rsid w:val="003959C9"/>
    <w:rsid w:val="003961B1"/>
    <w:rsid w:val="003972E7"/>
    <w:rsid w:val="00397564"/>
    <w:rsid w:val="003977A5"/>
    <w:rsid w:val="003A02CA"/>
    <w:rsid w:val="003A0BBA"/>
    <w:rsid w:val="003A16FF"/>
    <w:rsid w:val="003A1A94"/>
    <w:rsid w:val="003A1F78"/>
    <w:rsid w:val="003A21A6"/>
    <w:rsid w:val="003A2E6C"/>
    <w:rsid w:val="003A38F0"/>
    <w:rsid w:val="003A3A05"/>
    <w:rsid w:val="003A3CED"/>
    <w:rsid w:val="003A4604"/>
    <w:rsid w:val="003A51DF"/>
    <w:rsid w:val="003A5BEB"/>
    <w:rsid w:val="003A60BD"/>
    <w:rsid w:val="003A62AD"/>
    <w:rsid w:val="003A69D6"/>
    <w:rsid w:val="003A6AFC"/>
    <w:rsid w:val="003A7A08"/>
    <w:rsid w:val="003A7D8F"/>
    <w:rsid w:val="003B0231"/>
    <w:rsid w:val="003B1601"/>
    <w:rsid w:val="003B24CF"/>
    <w:rsid w:val="003B25F5"/>
    <w:rsid w:val="003B2FF1"/>
    <w:rsid w:val="003B41F4"/>
    <w:rsid w:val="003B45A7"/>
    <w:rsid w:val="003B4AD1"/>
    <w:rsid w:val="003B6839"/>
    <w:rsid w:val="003B71CF"/>
    <w:rsid w:val="003B7710"/>
    <w:rsid w:val="003C043A"/>
    <w:rsid w:val="003C20EB"/>
    <w:rsid w:val="003C2413"/>
    <w:rsid w:val="003C2574"/>
    <w:rsid w:val="003C25FD"/>
    <w:rsid w:val="003C2B4B"/>
    <w:rsid w:val="003C302A"/>
    <w:rsid w:val="003C3326"/>
    <w:rsid w:val="003C433E"/>
    <w:rsid w:val="003C66EC"/>
    <w:rsid w:val="003C78D1"/>
    <w:rsid w:val="003C79D9"/>
    <w:rsid w:val="003D0FBB"/>
    <w:rsid w:val="003D1164"/>
    <w:rsid w:val="003D15FA"/>
    <w:rsid w:val="003D20C9"/>
    <w:rsid w:val="003D292F"/>
    <w:rsid w:val="003D37F3"/>
    <w:rsid w:val="003D5222"/>
    <w:rsid w:val="003D55D9"/>
    <w:rsid w:val="003D6037"/>
    <w:rsid w:val="003D6EC2"/>
    <w:rsid w:val="003D6EF8"/>
    <w:rsid w:val="003D72F7"/>
    <w:rsid w:val="003D792F"/>
    <w:rsid w:val="003E0689"/>
    <w:rsid w:val="003E09EF"/>
    <w:rsid w:val="003E13B5"/>
    <w:rsid w:val="003E1B87"/>
    <w:rsid w:val="003E2355"/>
    <w:rsid w:val="003E2BE4"/>
    <w:rsid w:val="003E3046"/>
    <w:rsid w:val="003E3E75"/>
    <w:rsid w:val="003E3E81"/>
    <w:rsid w:val="003E408D"/>
    <w:rsid w:val="003E410A"/>
    <w:rsid w:val="003E4541"/>
    <w:rsid w:val="003E5262"/>
    <w:rsid w:val="003E528D"/>
    <w:rsid w:val="003E614E"/>
    <w:rsid w:val="003E64DB"/>
    <w:rsid w:val="003E6CB4"/>
    <w:rsid w:val="003E6DB1"/>
    <w:rsid w:val="003E7043"/>
    <w:rsid w:val="003E7863"/>
    <w:rsid w:val="003E7C6E"/>
    <w:rsid w:val="003F069A"/>
    <w:rsid w:val="003F0B30"/>
    <w:rsid w:val="003F21B1"/>
    <w:rsid w:val="003F318D"/>
    <w:rsid w:val="003F34FD"/>
    <w:rsid w:val="003F3DE3"/>
    <w:rsid w:val="003F3FDB"/>
    <w:rsid w:val="003F4329"/>
    <w:rsid w:val="003F46DD"/>
    <w:rsid w:val="003F5B32"/>
    <w:rsid w:val="003F5FBD"/>
    <w:rsid w:val="003F657F"/>
    <w:rsid w:val="00400C8F"/>
    <w:rsid w:val="00400E51"/>
    <w:rsid w:val="0040153F"/>
    <w:rsid w:val="00402701"/>
    <w:rsid w:val="0040287E"/>
    <w:rsid w:val="0040480C"/>
    <w:rsid w:val="00404903"/>
    <w:rsid w:val="00405B1F"/>
    <w:rsid w:val="00405FF8"/>
    <w:rsid w:val="0040627C"/>
    <w:rsid w:val="0040628F"/>
    <w:rsid w:val="004063D8"/>
    <w:rsid w:val="0040789C"/>
    <w:rsid w:val="00407D81"/>
    <w:rsid w:val="00407E3A"/>
    <w:rsid w:val="00410349"/>
    <w:rsid w:val="00410449"/>
    <w:rsid w:val="00411626"/>
    <w:rsid w:val="00411ECC"/>
    <w:rsid w:val="00412534"/>
    <w:rsid w:val="00412C83"/>
    <w:rsid w:val="00414150"/>
    <w:rsid w:val="0041419A"/>
    <w:rsid w:val="00414201"/>
    <w:rsid w:val="00414B27"/>
    <w:rsid w:val="00416252"/>
    <w:rsid w:val="004162B6"/>
    <w:rsid w:val="0041692C"/>
    <w:rsid w:val="00416AE0"/>
    <w:rsid w:val="004201F6"/>
    <w:rsid w:val="00420717"/>
    <w:rsid w:val="004214AA"/>
    <w:rsid w:val="00421560"/>
    <w:rsid w:val="0042205C"/>
    <w:rsid w:val="00422FAF"/>
    <w:rsid w:val="00423C18"/>
    <w:rsid w:val="00423DC6"/>
    <w:rsid w:val="00424C2F"/>
    <w:rsid w:val="0042556A"/>
    <w:rsid w:val="00425826"/>
    <w:rsid w:val="00426014"/>
    <w:rsid w:val="004260FD"/>
    <w:rsid w:val="00426D9F"/>
    <w:rsid w:val="00431B2E"/>
    <w:rsid w:val="00432980"/>
    <w:rsid w:val="00432C67"/>
    <w:rsid w:val="00432E61"/>
    <w:rsid w:val="0043326B"/>
    <w:rsid w:val="004336ED"/>
    <w:rsid w:val="00433E87"/>
    <w:rsid w:val="00434DDF"/>
    <w:rsid w:val="00435AB3"/>
    <w:rsid w:val="00435F55"/>
    <w:rsid w:val="0043601A"/>
    <w:rsid w:val="00436591"/>
    <w:rsid w:val="004404F2"/>
    <w:rsid w:val="004406BE"/>
    <w:rsid w:val="00440785"/>
    <w:rsid w:val="00440CFC"/>
    <w:rsid w:val="004415E4"/>
    <w:rsid w:val="0044198E"/>
    <w:rsid w:val="00442155"/>
    <w:rsid w:val="00442342"/>
    <w:rsid w:val="004428CF"/>
    <w:rsid w:val="00442935"/>
    <w:rsid w:val="00442B17"/>
    <w:rsid w:val="004438CF"/>
    <w:rsid w:val="0044399A"/>
    <w:rsid w:val="00444708"/>
    <w:rsid w:val="00445528"/>
    <w:rsid w:val="00445D05"/>
    <w:rsid w:val="0044617E"/>
    <w:rsid w:val="004463FA"/>
    <w:rsid w:val="00446A02"/>
    <w:rsid w:val="00446CFD"/>
    <w:rsid w:val="00446D0D"/>
    <w:rsid w:val="00446D5B"/>
    <w:rsid w:val="00447318"/>
    <w:rsid w:val="004474BD"/>
    <w:rsid w:val="00447E5C"/>
    <w:rsid w:val="004503D4"/>
    <w:rsid w:val="00451B03"/>
    <w:rsid w:val="004520BE"/>
    <w:rsid w:val="0045285E"/>
    <w:rsid w:val="00452BB7"/>
    <w:rsid w:val="00452CF3"/>
    <w:rsid w:val="004531DD"/>
    <w:rsid w:val="0045433B"/>
    <w:rsid w:val="00455A17"/>
    <w:rsid w:val="00456125"/>
    <w:rsid w:val="004561A1"/>
    <w:rsid w:val="004563F3"/>
    <w:rsid w:val="00457125"/>
    <w:rsid w:val="00457577"/>
    <w:rsid w:val="00460B7D"/>
    <w:rsid w:val="0046105A"/>
    <w:rsid w:val="00461067"/>
    <w:rsid w:val="004615CF"/>
    <w:rsid w:val="00461C2A"/>
    <w:rsid w:val="00461E78"/>
    <w:rsid w:val="00462358"/>
    <w:rsid w:val="004633B1"/>
    <w:rsid w:val="00463E04"/>
    <w:rsid w:val="0046474A"/>
    <w:rsid w:val="0046492E"/>
    <w:rsid w:val="00464AFE"/>
    <w:rsid w:val="00464BCE"/>
    <w:rsid w:val="00464C80"/>
    <w:rsid w:val="004657C7"/>
    <w:rsid w:val="00465D14"/>
    <w:rsid w:val="004678F2"/>
    <w:rsid w:val="00467BF2"/>
    <w:rsid w:val="0047068D"/>
    <w:rsid w:val="004713AD"/>
    <w:rsid w:val="0047230F"/>
    <w:rsid w:val="004724D4"/>
    <w:rsid w:val="00472E53"/>
    <w:rsid w:val="00473F9C"/>
    <w:rsid w:val="00474BAC"/>
    <w:rsid w:val="00474E0F"/>
    <w:rsid w:val="00474ED2"/>
    <w:rsid w:val="004764BA"/>
    <w:rsid w:val="0047664A"/>
    <w:rsid w:val="00476767"/>
    <w:rsid w:val="00476BB8"/>
    <w:rsid w:val="00477116"/>
    <w:rsid w:val="00480CB0"/>
    <w:rsid w:val="00480E78"/>
    <w:rsid w:val="004835FF"/>
    <w:rsid w:val="00483603"/>
    <w:rsid w:val="004844B6"/>
    <w:rsid w:val="00485122"/>
    <w:rsid w:val="00485427"/>
    <w:rsid w:val="00485E63"/>
    <w:rsid w:val="0048696F"/>
    <w:rsid w:val="004870DE"/>
    <w:rsid w:val="00487A9E"/>
    <w:rsid w:val="004900CE"/>
    <w:rsid w:val="00490131"/>
    <w:rsid w:val="00490621"/>
    <w:rsid w:val="004908D7"/>
    <w:rsid w:val="00492334"/>
    <w:rsid w:val="00492545"/>
    <w:rsid w:val="0049295B"/>
    <w:rsid w:val="00492E8E"/>
    <w:rsid w:val="004930A6"/>
    <w:rsid w:val="0049334E"/>
    <w:rsid w:val="00493724"/>
    <w:rsid w:val="004941EB"/>
    <w:rsid w:val="004952E0"/>
    <w:rsid w:val="00495BB6"/>
    <w:rsid w:val="00496208"/>
    <w:rsid w:val="00496309"/>
    <w:rsid w:val="00496757"/>
    <w:rsid w:val="004967F5"/>
    <w:rsid w:val="00496B17"/>
    <w:rsid w:val="00496B37"/>
    <w:rsid w:val="00496C6D"/>
    <w:rsid w:val="004A019F"/>
    <w:rsid w:val="004A3097"/>
    <w:rsid w:val="004A3D85"/>
    <w:rsid w:val="004A47BE"/>
    <w:rsid w:val="004A59F3"/>
    <w:rsid w:val="004A61D0"/>
    <w:rsid w:val="004A69A4"/>
    <w:rsid w:val="004A768E"/>
    <w:rsid w:val="004B09B1"/>
    <w:rsid w:val="004B0B07"/>
    <w:rsid w:val="004B0C00"/>
    <w:rsid w:val="004B1C7B"/>
    <w:rsid w:val="004B1ECF"/>
    <w:rsid w:val="004B2300"/>
    <w:rsid w:val="004B2365"/>
    <w:rsid w:val="004B28CF"/>
    <w:rsid w:val="004B34EA"/>
    <w:rsid w:val="004B3C59"/>
    <w:rsid w:val="004B3F90"/>
    <w:rsid w:val="004B4502"/>
    <w:rsid w:val="004B46DD"/>
    <w:rsid w:val="004B506F"/>
    <w:rsid w:val="004B5494"/>
    <w:rsid w:val="004B60A4"/>
    <w:rsid w:val="004B7A76"/>
    <w:rsid w:val="004C1C3D"/>
    <w:rsid w:val="004C1FF4"/>
    <w:rsid w:val="004C2187"/>
    <w:rsid w:val="004C21CC"/>
    <w:rsid w:val="004C2A43"/>
    <w:rsid w:val="004C3342"/>
    <w:rsid w:val="004C35A3"/>
    <w:rsid w:val="004C3917"/>
    <w:rsid w:val="004C3C18"/>
    <w:rsid w:val="004C3CA3"/>
    <w:rsid w:val="004C3FD1"/>
    <w:rsid w:val="004C50E4"/>
    <w:rsid w:val="004C5101"/>
    <w:rsid w:val="004C5E3A"/>
    <w:rsid w:val="004C60E9"/>
    <w:rsid w:val="004C6699"/>
    <w:rsid w:val="004C6903"/>
    <w:rsid w:val="004C73BA"/>
    <w:rsid w:val="004C7A2B"/>
    <w:rsid w:val="004C7D3A"/>
    <w:rsid w:val="004D01A8"/>
    <w:rsid w:val="004D0742"/>
    <w:rsid w:val="004D0814"/>
    <w:rsid w:val="004D0828"/>
    <w:rsid w:val="004D0C0F"/>
    <w:rsid w:val="004D0E5A"/>
    <w:rsid w:val="004D197E"/>
    <w:rsid w:val="004D2D2B"/>
    <w:rsid w:val="004D3789"/>
    <w:rsid w:val="004D396A"/>
    <w:rsid w:val="004D4374"/>
    <w:rsid w:val="004D62D5"/>
    <w:rsid w:val="004D6B87"/>
    <w:rsid w:val="004D7BC0"/>
    <w:rsid w:val="004E0ED6"/>
    <w:rsid w:val="004E3AAF"/>
    <w:rsid w:val="004E51FD"/>
    <w:rsid w:val="004E52B5"/>
    <w:rsid w:val="004E56E6"/>
    <w:rsid w:val="004E597B"/>
    <w:rsid w:val="004E5C3F"/>
    <w:rsid w:val="004E638C"/>
    <w:rsid w:val="004E699A"/>
    <w:rsid w:val="004F08E3"/>
    <w:rsid w:val="004F08EE"/>
    <w:rsid w:val="004F0C99"/>
    <w:rsid w:val="004F1587"/>
    <w:rsid w:val="004F187C"/>
    <w:rsid w:val="004F205E"/>
    <w:rsid w:val="004F24E5"/>
    <w:rsid w:val="004F2931"/>
    <w:rsid w:val="004F2B6E"/>
    <w:rsid w:val="004F2DC3"/>
    <w:rsid w:val="004F417C"/>
    <w:rsid w:val="004F4988"/>
    <w:rsid w:val="004F50E3"/>
    <w:rsid w:val="004F5125"/>
    <w:rsid w:val="004F599E"/>
    <w:rsid w:val="004F5D16"/>
    <w:rsid w:val="004F63FF"/>
    <w:rsid w:val="004F69F6"/>
    <w:rsid w:val="004F7DED"/>
    <w:rsid w:val="00500681"/>
    <w:rsid w:val="00500CBE"/>
    <w:rsid w:val="005018A8"/>
    <w:rsid w:val="005028C5"/>
    <w:rsid w:val="00502FE6"/>
    <w:rsid w:val="005030E2"/>
    <w:rsid w:val="005031DD"/>
    <w:rsid w:val="0050331C"/>
    <w:rsid w:val="005035CF"/>
    <w:rsid w:val="00503633"/>
    <w:rsid w:val="00503E8B"/>
    <w:rsid w:val="0050427C"/>
    <w:rsid w:val="0050485D"/>
    <w:rsid w:val="005049AB"/>
    <w:rsid w:val="0050501F"/>
    <w:rsid w:val="00505124"/>
    <w:rsid w:val="00505A39"/>
    <w:rsid w:val="00505C93"/>
    <w:rsid w:val="00506375"/>
    <w:rsid w:val="0050729A"/>
    <w:rsid w:val="00507449"/>
    <w:rsid w:val="0051003A"/>
    <w:rsid w:val="00510BCB"/>
    <w:rsid w:val="00512A61"/>
    <w:rsid w:val="00512C0C"/>
    <w:rsid w:val="00514154"/>
    <w:rsid w:val="00514708"/>
    <w:rsid w:val="005149C3"/>
    <w:rsid w:val="00514A03"/>
    <w:rsid w:val="00515C33"/>
    <w:rsid w:val="00516A77"/>
    <w:rsid w:val="00517C15"/>
    <w:rsid w:val="00517F03"/>
    <w:rsid w:val="00520169"/>
    <w:rsid w:val="00521050"/>
    <w:rsid w:val="00521C9B"/>
    <w:rsid w:val="00522467"/>
    <w:rsid w:val="005230E0"/>
    <w:rsid w:val="005231A1"/>
    <w:rsid w:val="00523243"/>
    <w:rsid w:val="005237CE"/>
    <w:rsid w:val="00523A50"/>
    <w:rsid w:val="005240BF"/>
    <w:rsid w:val="005248CF"/>
    <w:rsid w:val="00524C6D"/>
    <w:rsid w:val="00524E10"/>
    <w:rsid w:val="00525571"/>
    <w:rsid w:val="00525650"/>
    <w:rsid w:val="00525A53"/>
    <w:rsid w:val="0052740D"/>
    <w:rsid w:val="00527E04"/>
    <w:rsid w:val="005307BA"/>
    <w:rsid w:val="00530A77"/>
    <w:rsid w:val="005311F4"/>
    <w:rsid w:val="00531343"/>
    <w:rsid w:val="005314AD"/>
    <w:rsid w:val="00532254"/>
    <w:rsid w:val="00532774"/>
    <w:rsid w:val="00533234"/>
    <w:rsid w:val="005332E7"/>
    <w:rsid w:val="005334B6"/>
    <w:rsid w:val="00533B08"/>
    <w:rsid w:val="005353F5"/>
    <w:rsid w:val="0053574C"/>
    <w:rsid w:val="00535D4F"/>
    <w:rsid w:val="005374A9"/>
    <w:rsid w:val="00537989"/>
    <w:rsid w:val="00537A90"/>
    <w:rsid w:val="00537BDB"/>
    <w:rsid w:val="00540069"/>
    <w:rsid w:val="005404E0"/>
    <w:rsid w:val="005417BF"/>
    <w:rsid w:val="00541FBE"/>
    <w:rsid w:val="00542D1D"/>
    <w:rsid w:val="00543443"/>
    <w:rsid w:val="00544875"/>
    <w:rsid w:val="00544AB7"/>
    <w:rsid w:val="00545C99"/>
    <w:rsid w:val="00546024"/>
    <w:rsid w:val="005471D8"/>
    <w:rsid w:val="0054746F"/>
    <w:rsid w:val="005478AB"/>
    <w:rsid w:val="005478FD"/>
    <w:rsid w:val="00550470"/>
    <w:rsid w:val="0055094E"/>
    <w:rsid w:val="00550E70"/>
    <w:rsid w:val="00552506"/>
    <w:rsid w:val="00552532"/>
    <w:rsid w:val="0055268C"/>
    <w:rsid w:val="00552770"/>
    <w:rsid w:val="0055286F"/>
    <w:rsid w:val="005529D7"/>
    <w:rsid w:val="00552EE3"/>
    <w:rsid w:val="00553C62"/>
    <w:rsid w:val="00554DA7"/>
    <w:rsid w:val="00554E6F"/>
    <w:rsid w:val="00556026"/>
    <w:rsid w:val="00556095"/>
    <w:rsid w:val="005565B1"/>
    <w:rsid w:val="00557393"/>
    <w:rsid w:val="0055762F"/>
    <w:rsid w:val="00557AD3"/>
    <w:rsid w:val="00557C14"/>
    <w:rsid w:val="005605D6"/>
    <w:rsid w:val="005607C0"/>
    <w:rsid w:val="00560941"/>
    <w:rsid w:val="00560DF4"/>
    <w:rsid w:val="0056104F"/>
    <w:rsid w:val="00561320"/>
    <w:rsid w:val="00561970"/>
    <w:rsid w:val="00561A1D"/>
    <w:rsid w:val="00561BB9"/>
    <w:rsid w:val="00562236"/>
    <w:rsid w:val="0056390C"/>
    <w:rsid w:val="00564026"/>
    <w:rsid w:val="00566295"/>
    <w:rsid w:val="00566DEF"/>
    <w:rsid w:val="00566DFA"/>
    <w:rsid w:val="005673CC"/>
    <w:rsid w:val="005674F9"/>
    <w:rsid w:val="00567522"/>
    <w:rsid w:val="00567E49"/>
    <w:rsid w:val="005704FF"/>
    <w:rsid w:val="00571590"/>
    <w:rsid w:val="00572A7A"/>
    <w:rsid w:val="00573621"/>
    <w:rsid w:val="00574740"/>
    <w:rsid w:val="00575A12"/>
    <w:rsid w:val="00575D35"/>
    <w:rsid w:val="00575DEE"/>
    <w:rsid w:val="00575E64"/>
    <w:rsid w:val="005763B6"/>
    <w:rsid w:val="005766B6"/>
    <w:rsid w:val="005772A3"/>
    <w:rsid w:val="00580DB5"/>
    <w:rsid w:val="005818CD"/>
    <w:rsid w:val="00581CFC"/>
    <w:rsid w:val="00581EAB"/>
    <w:rsid w:val="00582EE5"/>
    <w:rsid w:val="005835B6"/>
    <w:rsid w:val="00583613"/>
    <w:rsid w:val="005848DC"/>
    <w:rsid w:val="00585390"/>
    <w:rsid w:val="00585C64"/>
    <w:rsid w:val="00585D53"/>
    <w:rsid w:val="00585E39"/>
    <w:rsid w:val="00586172"/>
    <w:rsid w:val="00587121"/>
    <w:rsid w:val="00590FD1"/>
    <w:rsid w:val="0059239F"/>
    <w:rsid w:val="00592526"/>
    <w:rsid w:val="005925D6"/>
    <w:rsid w:val="005934AF"/>
    <w:rsid w:val="005939A5"/>
    <w:rsid w:val="00593B8C"/>
    <w:rsid w:val="00593CDC"/>
    <w:rsid w:val="005940D5"/>
    <w:rsid w:val="0059558F"/>
    <w:rsid w:val="0059573C"/>
    <w:rsid w:val="005970C3"/>
    <w:rsid w:val="005972CF"/>
    <w:rsid w:val="00597515"/>
    <w:rsid w:val="005978EC"/>
    <w:rsid w:val="00597E76"/>
    <w:rsid w:val="005A0BCC"/>
    <w:rsid w:val="005A1093"/>
    <w:rsid w:val="005A1269"/>
    <w:rsid w:val="005A1292"/>
    <w:rsid w:val="005A133D"/>
    <w:rsid w:val="005A148C"/>
    <w:rsid w:val="005A2326"/>
    <w:rsid w:val="005A23A1"/>
    <w:rsid w:val="005A269D"/>
    <w:rsid w:val="005A2711"/>
    <w:rsid w:val="005A3E9F"/>
    <w:rsid w:val="005A48B3"/>
    <w:rsid w:val="005A4E6D"/>
    <w:rsid w:val="005A533A"/>
    <w:rsid w:val="005A5599"/>
    <w:rsid w:val="005A57E7"/>
    <w:rsid w:val="005A7050"/>
    <w:rsid w:val="005A7496"/>
    <w:rsid w:val="005B133D"/>
    <w:rsid w:val="005B1350"/>
    <w:rsid w:val="005B1C37"/>
    <w:rsid w:val="005B28B1"/>
    <w:rsid w:val="005B2A4B"/>
    <w:rsid w:val="005B2A5B"/>
    <w:rsid w:val="005B41BB"/>
    <w:rsid w:val="005B5883"/>
    <w:rsid w:val="005B5BA1"/>
    <w:rsid w:val="005B7156"/>
    <w:rsid w:val="005B7233"/>
    <w:rsid w:val="005B7BE4"/>
    <w:rsid w:val="005C076E"/>
    <w:rsid w:val="005C0FB5"/>
    <w:rsid w:val="005C1501"/>
    <w:rsid w:val="005C1B30"/>
    <w:rsid w:val="005C2378"/>
    <w:rsid w:val="005C2A3B"/>
    <w:rsid w:val="005C2D27"/>
    <w:rsid w:val="005C3A3A"/>
    <w:rsid w:val="005C401F"/>
    <w:rsid w:val="005C420C"/>
    <w:rsid w:val="005C5350"/>
    <w:rsid w:val="005C58FA"/>
    <w:rsid w:val="005C5D7A"/>
    <w:rsid w:val="005C6920"/>
    <w:rsid w:val="005C6B2F"/>
    <w:rsid w:val="005C6E30"/>
    <w:rsid w:val="005C741D"/>
    <w:rsid w:val="005C777D"/>
    <w:rsid w:val="005D065D"/>
    <w:rsid w:val="005D1068"/>
    <w:rsid w:val="005D1887"/>
    <w:rsid w:val="005D18DF"/>
    <w:rsid w:val="005D30D7"/>
    <w:rsid w:val="005D41C8"/>
    <w:rsid w:val="005D5E35"/>
    <w:rsid w:val="005D6340"/>
    <w:rsid w:val="005D644E"/>
    <w:rsid w:val="005D66B6"/>
    <w:rsid w:val="005D68B4"/>
    <w:rsid w:val="005D6BB6"/>
    <w:rsid w:val="005D6F50"/>
    <w:rsid w:val="005D75BC"/>
    <w:rsid w:val="005E0C00"/>
    <w:rsid w:val="005E1169"/>
    <w:rsid w:val="005E3754"/>
    <w:rsid w:val="005E3925"/>
    <w:rsid w:val="005E3C13"/>
    <w:rsid w:val="005E3C14"/>
    <w:rsid w:val="005E3E1F"/>
    <w:rsid w:val="005E3FBD"/>
    <w:rsid w:val="005E569C"/>
    <w:rsid w:val="005E5729"/>
    <w:rsid w:val="005E5EF2"/>
    <w:rsid w:val="005E66A1"/>
    <w:rsid w:val="005E7C79"/>
    <w:rsid w:val="005F0075"/>
    <w:rsid w:val="005F0944"/>
    <w:rsid w:val="005F2A95"/>
    <w:rsid w:val="005F31CA"/>
    <w:rsid w:val="005F36D0"/>
    <w:rsid w:val="005F373F"/>
    <w:rsid w:val="005F3CEF"/>
    <w:rsid w:val="005F3F68"/>
    <w:rsid w:val="005F472E"/>
    <w:rsid w:val="005F4FE4"/>
    <w:rsid w:val="005F5040"/>
    <w:rsid w:val="005F516E"/>
    <w:rsid w:val="005F5CA1"/>
    <w:rsid w:val="005F5D6A"/>
    <w:rsid w:val="005F5FD1"/>
    <w:rsid w:val="005F641B"/>
    <w:rsid w:val="005F7020"/>
    <w:rsid w:val="00600FC0"/>
    <w:rsid w:val="00602AEF"/>
    <w:rsid w:val="00603238"/>
    <w:rsid w:val="006033E3"/>
    <w:rsid w:val="006039C5"/>
    <w:rsid w:val="00603E77"/>
    <w:rsid w:val="006044AC"/>
    <w:rsid w:val="00605A70"/>
    <w:rsid w:val="00605E19"/>
    <w:rsid w:val="00605FD3"/>
    <w:rsid w:val="0060606F"/>
    <w:rsid w:val="00606BB2"/>
    <w:rsid w:val="00606DDB"/>
    <w:rsid w:val="00610A5B"/>
    <w:rsid w:val="00610CEB"/>
    <w:rsid w:val="00611720"/>
    <w:rsid w:val="006127AC"/>
    <w:rsid w:val="0061282B"/>
    <w:rsid w:val="00612D6E"/>
    <w:rsid w:val="006130AA"/>
    <w:rsid w:val="00613538"/>
    <w:rsid w:val="0061359E"/>
    <w:rsid w:val="00613871"/>
    <w:rsid w:val="00614A13"/>
    <w:rsid w:val="00614A69"/>
    <w:rsid w:val="00615131"/>
    <w:rsid w:val="00615659"/>
    <w:rsid w:val="00616201"/>
    <w:rsid w:val="00617487"/>
    <w:rsid w:val="00617946"/>
    <w:rsid w:val="006179BF"/>
    <w:rsid w:val="0062016C"/>
    <w:rsid w:val="00621076"/>
    <w:rsid w:val="006211DC"/>
    <w:rsid w:val="00621458"/>
    <w:rsid w:val="00621797"/>
    <w:rsid w:val="006217AA"/>
    <w:rsid w:val="006217D6"/>
    <w:rsid w:val="0062265D"/>
    <w:rsid w:val="006242B0"/>
    <w:rsid w:val="00624501"/>
    <w:rsid w:val="00624891"/>
    <w:rsid w:val="00624994"/>
    <w:rsid w:val="00624EA7"/>
    <w:rsid w:val="00624FC5"/>
    <w:rsid w:val="006257AE"/>
    <w:rsid w:val="006265B9"/>
    <w:rsid w:val="00626A68"/>
    <w:rsid w:val="00630228"/>
    <w:rsid w:val="006302E0"/>
    <w:rsid w:val="00630617"/>
    <w:rsid w:val="0063079A"/>
    <w:rsid w:val="00630BB0"/>
    <w:rsid w:val="00630BC4"/>
    <w:rsid w:val="00631347"/>
    <w:rsid w:val="00632207"/>
    <w:rsid w:val="00632CE8"/>
    <w:rsid w:val="0063355E"/>
    <w:rsid w:val="00633CEB"/>
    <w:rsid w:val="00634157"/>
    <w:rsid w:val="00634405"/>
    <w:rsid w:val="0063491C"/>
    <w:rsid w:val="00634BA1"/>
    <w:rsid w:val="00635074"/>
    <w:rsid w:val="00635117"/>
    <w:rsid w:val="00635661"/>
    <w:rsid w:val="00636160"/>
    <w:rsid w:val="006362D3"/>
    <w:rsid w:val="0063678B"/>
    <w:rsid w:val="0063774B"/>
    <w:rsid w:val="00640636"/>
    <w:rsid w:val="0064073F"/>
    <w:rsid w:val="00641724"/>
    <w:rsid w:val="00641A5C"/>
    <w:rsid w:val="00642945"/>
    <w:rsid w:val="00642B6F"/>
    <w:rsid w:val="00643306"/>
    <w:rsid w:val="006433E5"/>
    <w:rsid w:val="006437D1"/>
    <w:rsid w:val="00643E3A"/>
    <w:rsid w:val="006445EC"/>
    <w:rsid w:val="00644DF2"/>
    <w:rsid w:val="00646ADE"/>
    <w:rsid w:val="0064722D"/>
    <w:rsid w:val="006473B0"/>
    <w:rsid w:val="00647520"/>
    <w:rsid w:val="00647640"/>
    <w:rsid w:val="00650D6E"/>
    <w:rsid w:val="00652384"/>
    <w:rsid w:val="006532AB"/>
    <w:rsid w:val="00653BFF"/>
    <w:rsid w:val="00653C59"/>
    <w:rsid w:val="00654502"/>
    <w:rsid w:val="00654DF9"/>
    <w:rsid w:val="00654FC4"/>
    <w:rsid w:val="00656024"/>
    <w:rsid w:val="00656287"/>
    <w:rsid w:val="00656EFC"/>
    <w:rsid w:val="00660B39"/>
    <w:rsid w:val="00661AFE"/>
    <w:rsid w:val="006624B8"/>
    <w:rsid w:val="006626F9"/>
    <w:rsid w:val="00662C35"/>
    <w:rsid w:val="00663219"/>
    <w:rsid w:val="00663282"/>
    <w:rsid w:val="00663507"/>
    <w:rsid w:val="00663B31"/>
    <w:rsid w:val="006645FC"/>
    <w:rsid w:val="006646B8"/>
    <w:rsid w:val="006646D2"/>
    <w:rsid w:val="0066470D"/>
    <w:rsid w:val="006656D7"/>
    <w:rsid w:val="00665755"/>
    <w:rsid w:val="006658A8"/>
    <w:rsid w:val="006663E2"/>
    <w:rsid w:val="006676E2"/>
    <w:rsid w:val="006679E2"/>
    <w:rsid w:val="006707A2"/>
    <w:rsid w:val="00670833"/>
    <w:rsid w:val="0067311E"/>
    <w:rsid w:val="00673922"/>
    <w:rsid w:val="00673DD1"/>
    <w:rsid w:val="00673E31"/>
    <w:rsid w:val="006745D0"/>
    <w:rsid w:val="00674969"/>
    <w:rsid w:val="00675909"/>
    <w:rsid w:val="006761B5"/>
    <w:rsid w:val="0067655E"/>
    <w:rsid w:val="006765F4"/>
    <w:rsid w:val="006770B1"/>
    <w:rsid w:val="006776F8"/>
    <w:rsid w:val="006778E5"/>
    <w:rsid w:val="00680D06"/>
    <w:rsid w:val="00680F19"/>
    <w:rsid w:val="006811DC"/>
    <w:rsid w:val="00681581"/>
    <w:rsid w:val="006820D7"/>
    <w:rsid w:val="00682E9D"/>
    <w:rsid w:val="00683696"/>
    <w:rsid w:val="00683B2C"/>
    <w:rsid w:val="006844F0"/>
    <w:rsid w:val="00684B45"/>
    <w:rsid w:val="0068555C"/>
    <w:rsid w:val="00685FCE"/>
    <w:rsid w:val="00686188"/>
    <w:rsid w:val="0068658C"/>
    <w:rsid w:val="006865CC"/>
    <w:rsid w:val="006877F8"/>
    <w:rsid w:val="00687C9C"/>
    <w:rsid w:val="0069108B"/>
    <w:rsid w:val="00693357"/>
    <w:rsid w:val="006947C9"/>
    <w:rsid w:val="00694F8E"/>
    <w:rsid w:val="006955C6"/>
    <w:rsid w:val="0069663F"/>
    <w:rsid w:val="00696651"/>
    <w:rsid w:val="006969DA"/>
    <w:rsid w:val="0069736F"/>
    <w:rsid w:val="0069758D"/>
    <w:rsid w:val="00697FBB"/>
    <w:rsid w:val="006A0B1C"/>
    <w:rsid w:val="006A10B1"/>
    <w:rsid w:val="006A10E2"/>
    <w:rsid w:val="006A1C86"/>
    <w:rsid w:val="006A1D80"/>
    <w:rsid w:val="006A1F5C"/>
    <w:rsid w:val="006A20EE"/>
    <w:rsid w:val="006A21EC"/>
    <w:rsid w:val="006A2DC7"/>
    <w:rsid w:val="006A313D"/>
    <w:rsid w:val="006A3331"/>
    <w:rsid w:val="006A4621"/>
    <w:rsid w:val="006A6C11"/>
    <w:rsid w:val="006A780C"/>
    <w:rsid w:val="006A7A40"/>
    <w:rsid w:val="006B06A9"/>
    <w:rsid w:val="006B0A5A"/>
    <w:rsid w:val="006B0FF1"/>
    <w:rsid w:val="006B1085"/>
    <w:rsid w:val="006B1A95"/>
    <w:rsid w:val="006B1E5A"/>
    <w:rsid w:val="006B2213"/>
    <w:rsid w:val="006B2BBB"/>
    <w:rsid w:val="006B3C14"/>
    <w:rsid w:val="006B3DA7"/>
    <w:rsid w:val="006B3E6F"/>
    <w:rsid w:val="006B44CF"/>
    <w:rsid w:val="006B45C3"/>
    <w:rsid w:val="006B4D58"/>
    <w:rsid w:val="006B548C"/>
    <w:rsid w:val="006B6571"/>
    <w:rsid w:val="006B6893"/>
    <w:rsid w:val="006B69CF"/>
    <w:rsid w:val="006B6AC1"/>
    <w:rsid w:val="006B7F79"/>
    <w:rsid w:val="006C0F0E"/>
    <w:rsid w:val="006C1805"/>
    <w:rsid w:val="006C1F10"/>
    <w:rsid w:val="006C2218"/>
    <w:rsid w:val="006C2FAE"/>
    <w:rsid w:val="006C32AF"/>
    <w:rsid w:val="006C36A5"/>
    <w:rsid w:val="006C5216"/>
    <w:rsid w:val="006C58E0"/>
    <w:rsid w:val="006C5C50"/>
    <w:rsid w:val="006C5D93"/>
    <w:rsid w:val="006C6271"/>
    <w:rsid w:val="006C6321"/>
    <w:rsid w:val="006C63C6"/>
    <w:rsid w:val="006C6523"/>
    <w:rsid w:val="006C6BFD"/>
    <w:rsid w:val="006C6D7B"/>
    <w:rsid w:val="006C7C24"/>
    <w:rsid w:val="006C7D53"/>
    <w:rsid w:val="006D12B2"/>
    <w:rsid w:val="006D25F6"/>
    <w:rsid w:val="006D27E3"/>
    <w:rsid w:val="006D282A"/>
    <w:rsid w:val="006D2932"/>
    <w:rsid w:val="006D2F52"/>
    <w:rsid w:val="006D312B"/>
    <w:rsid w:val="006D39BF"/>
    <w:rsid w:val="006D45DD"/>
    <w:rsid w:val="006D49D2"/>
    <w:rsid w:val="006D4A4E"/>
    <w:rsid w:val="006D4D1A"/>
    <w:rsid w:val="006D4FC1"/>
    <w:rsid w:val="006D52CE"/>
    <w:rsid w:val="006D5D2B"/>
    <w:rsid w:val="006D5FC8"/>
    <w:rsid w:val="006D6372"/>
    <w:rsid w:val="006D69A3"/>
    <w:rsid w:val="006D7DD0"/>
    <w:rsid w:val="006E01EB"/>
    <w:rsid w:val="006E0881"/>
    <w:rsid w:val="006E1A06"/>
    <w:rsid w:val="006E1AA9"/>
    <w:rsid w:val="006E1F5A"/>
    <w:rsid w:val="006E1FAA"/>
    <w:rsid w:val="006E20A8"/>
    <w:rsid w:val="006E2A20"/>
    <w:rsid w:val="006E2FF2"/>
    <w:rsid w:val="006E35A2"/>
    <w:rsid w:val="006E37E2"/>
    <w:rsid w:val="006E3B6C"/>
    <w:rsid w:val="006E4200"/>
    <w:rsid w:val="006E4259"/>
    <w:rsid w:val="006E45F2"/>
    <w:rsid w:val="006E4D2F"/>
    <w:rsid w:val="006E5D13"/>
    <w:rsid w:val="006E5E28"/>
    <w:rsid w:val="006E6574"/>
    <w:rsid w:val="006E6A6B"/>
    <w:rsid w:val="006E75B4"/>
    <w:rsid w:val="006F0C2B"/>
    <w:rsid w:val="006F1889"/>
    <w:rsid w:val="006F1EDB"/>
    <w:rsid w:val="006F2BFB"/>
    <w:rsid w:val="006F33C3"/>
    <w:rsid w:val="006F353F"/>
    <w:rsid w:val="006F3FBA"/>
    <w:rsid w:val="006F3FDB"/>
    <w:rsid w:val="006F5341"/>
    <w:rsid w:val="006F5544"/>
    <w:rsid w:val="006F595B"/>
    <w:rsid w:val="006F5AFC"/>
    <w:rsid w:val="006F5FD8"/>
    <w:rsid w:val="006F62C0"/>
    <w:rsid w:val="006F66AE"/>
    <w:rsid w:val="006F68BA"/>
    <w:rsid w:val="006F70B9"/>
    <w:rsid w:val="00700038"/>
    <w:rsid w:val="00700103"/>
    <w:rsid w:val="00700175"/>
    <w:rsid w:val="0070020E"/>
    <w:rsid w:val="00700266"/>
    <w:rsid w:val="00700A48"/>
    <w:rsid w:val="00702381"/>
    <w:rsid w:val="00702777"/>
    <w:rsid w:val="00703479"/>
    <w:rsid w:val="007037AE"/>
    <w:rsid w:val="00703812"/>
    <w:rsid w:val="00704816"/>
    <w:rsid w:val="00704974"/>
    <w:rsid w:val="00705A09"/>
    <w:rsid w:val="00705CE4"/>
    <w:rsid w:val="00707692"/>
    <w:rsid w:val="00707AF8"/>
    <w:rsid w:val="00710EA9"/>
    <w:rsid w:val="00711189"/>
    <w:rsid w:val="00711347"/>
    <w:rsid w:val="0071291A"/>
    <w:rsid w:val="00712A18"/>
    <w:rsid w:val="00712B15"/>
    <w:rsid w:val="007131E2"/>
    <w:rsid w:val="00713981"/>
    <w:rsid w:val="00714642"/>
    <w:rsid w:val="0071498C"/>
    <w:rsid w:val="00714C8B"/>
    <w:rsid w:val="00714CF2"/>
    <w:rsid w:val="007151A4"/>
    <w:rsid w:val="007156B9"/>
    <w:rsid w:val="00715C73"/>
    <w:rsid w:val="00715D74"/>
    <w:rsid w:val="00715DF5"/>
    <w:rsid w:val="00715FBA"/>
    <w:rsid w:val="007163C7"/>
    <w:rsid w:val="00717894"/>
    <w:rsid w:val="007178EE"/>
    <w:rsid w:val="0072022A"/>
    <w:rsid w:val="00720817"/>
    <w:rsid w:val="00720B9C"/>
    <w:rsid w:val="00720D4E"/>
    <w:rsid w:val="00721626"/>
    <w:rsid w:val="00722171"/>
    <w:rsid w:val="00722850"/>
    <w:rsid w:val="00722ACB"/>
    <w:rsid w:val="00722BC0"/>
    <w:rsid w:val="0072337A"/>
    <w:rsid w:val="00723FE7"/>
    <w:rsid w:val="0072579D"/>
    <w:rsid w:val="0072582B"/>
    <w:rsid w:val="007258C7"/>
    <w:rsid w:val="00725BB0"/>
    <w:rsid w:val="00730CCC"/>
    <w:rsid w:val="007314D4"/>
    <w:rsid w:val="00732D2D"/>
    <w:rsid w:val="007334F6"/>
    <w:rsid w:val="0073353F"/>
    <w:rsid w:val="00733CFC"/>
    <w:rsid w:val="00734629"/>
    <w:rsid w:val="00734E74"/>
    <w:rsid w:val="00735A91"/>
    <w:rsid w:val="00735EB5"/>
    <w:rsid w:val="007373B1"/>
    <w:rsid w:val="00737439"/>
    <w:rsid w:val="00737744"/>
    <w:rsid w:val="00737803"/>
    <w:rsid w:val="00737A1C"/>
    <w:rsid w:val="00737DFC"/>
    <w:rsid w:val="007400DB"/>
    <w:rsid w:val="00740A38"/>
    <w:rsid w:val="00741E11"/>
    <w:rsid w:val="0074228C"/>
    <w:rsid w:val="00742E45"/>
    <w:rsid w:val="00743CD2"/>
    <w:rsid w:val="007442B9"/>
    <w:rsid w:val="007447AF"/>
    <w:rsid w:val="00744EA5"/>
    <w:rsid w:val="00745D02"/>
    <w:rsid w:val="00746D55"/>
    <w:rsid w:val="00747A6A"/>
    <w:rsid w:val="00747D40"/>
    <w:rsid w:val="00747E17"/>
    <w:rsid w:val="00747EF7"/>
    <w:rsid w:val="00750816"/>
    <w:rsid w:val="00751290"/>
    <w:rsid w:val="0075241A"/>
    <w:rsid w:val="00752691"/>
    <w:rsid w:val="00752E97"/>
    <w:rsid w:val="00752F2A"/>
    <w:rsid w:val="0075342A"/>
    <w:rsid w:val="00753FDB"/>
    <w:rsid w:val="0075414D"/>
    <w:rsid w:val="0075434B"/>
    <w:rsid w:val="0075440F"/>
    <w:rsid w:val="00754A63"/>
    <w:rsid w:val="00754F9E"/>
    <w:rsid w:val="007554E9"/>
    <w:rsid w:val="00755CBB"/>
    <w:rsid w:val="007563ED"/>
    <w:rsid w:val="00756EC9"/>
    <w:rsid w:val="007571F7"/>
    <w:rsid w:val="0076183D"/>
    <w:rsid w:val="00762152"/>
    <w:rsid w:val="007627F4"/>
    <w:rsid w:val="007634D0"/>
    <w:rsid w:val="00763529"/>
    <w:rsid w:val="007638C3"/>
    <w:rsid w:val="00764B46"/>
    <w:rsid w:val="007651ED"/>
    <w:rsid w:val="00765377"/>
    <w:rsid w:val="007657C1"/>
    <w:rsid w:val="00765C08"/>
    <w:rsid w:val="00765D1A"/>
    <w:rsid w:val="00766358"/>
    <w:rsid w:val="00766512"/>
    <w:rsid w:val="00766CAC"/>
    <w:rsid w:val="00767103"/>
    <w:rsid w:val="00767687"/>
    <w:rsid w:val="00770097"/>
    <w:rsid w:val="00770F8B"/>
    <w:rsid w:val="0077167E"/>
    <w:rsid w:val="00771AFB"/>
    <w:rsid w:val="007738B9"/>
    <w:rsid w:val="00773D79"/>
    <w:rsid w:val="00773DFD"/>
    <w:rsid w:val="00774102"/>
    <w:rsid w:val="0077430C"/>
    <w:rsid w:val="007744AA"/>
    <w:rsid w:val="0077465B"/>
    <w:rsid w:val="00774B4F"/>
    <w:rsid w:val="00775264"/>
    <w:rsid w:val="007753B4"/>
    <w:rsid w:val="00775AF9"/>
    <w:rsid w:val="00775B2B"/>
    <w:rsid w:val="00775D5D"/>
    <w:rsid w:val="0077755F"/>
    <w:rsid w:val="00777979"/>
    <w:rsid w:val="0078054A"/>
    <w:rsid w:val="00780884"/>
    <w:rsid w:val="0078169B"/>
    <w:rsid w:val="007832E4"/>
    <w:rsid w:val="00783C47"/>
    <w:rsid w:val="00783D1B"/>
    <w:rsid w:val="00784529"/>
    <w:rsid w:val="007845CD"/>
    <w:rsid w:val="00784817"/>
    <w:rsid w:val="00784B25"/>
    <w:rsid w:val="007852D6"/>
    <w:rsid w:val="00786472"/>
    <w:rsid w:val="00791396"/>
    <w:rsid w:val="007919FA"/>
    <w:rsid w:val="0079290C"/>
    <w:rsid w:val="007934C8"/>
    <w:rsid w:val="00793D75"/>
    <w:rsid w:val="00793FEB"/>
    <w:rsid w:val="00794392"/>
    <w:rsid w:val="00794588"/>
    <w:rsid w:val="00795DC4"/>
    <w:rsid w:val="007961E9"/>
    <w:rsid w:val="007963E3"/>
    <w:rsid w:val="007966D5"/>
    <w:rsid w:val="00796BC8"/>
    <w:rsid w:val="00797DE2"/>
    <w:rsid w:val="007A0DA6"/>
    <w:rsid w:val="007A1C05"/>
    <w:rsid w:val="007A1C65"/>
    <w:rsid w:val="007A1F6E"/>
    <w:rsid w:val="007A2AE5"/>
    <w:rsid w:val="007A31F8"/>
    <w:rsid w:val="007A33DB"/>
    <w:rsid w:val="007A39AB"/>
    <w:rsid w:val="007A406D"/>
    <w:rsid w:val="007A472D"/>
    <w:rsid w:val="007A5279"/>
    <w:rsid w:val="007A5408"/>
    <w:rsid w:val="007A547C"/>
    <w:rsid w:val="007A5838"/>
    <w:rsid w:val="007A5B5A"/>
    <w:rsid w:val="007A62B0"/>
    <w:rsid w:val="007A690E"/>
    <w:rsid w:val="007A6C12"/>
    <w:rsid w:val="007A6F87"/>
    <w:rsid w:val="007A7707"/>
    <w:rsid w:val="007A7868"/>
    <w:rsid w:val="007A7893"/>
    <w:rsid w:val="007A7A36"/>
    <w:rsid w:val="007B01C2"/>
    <w:rsid w:val="007B0819"/>
    <w:rsid w:val="007B0C25"/>
    <w:rsid w:val="007B0D61"/>
    <w:rsid w:val="007B2282"/>
    <w:rsid w:val="007B23F9"/>
    <w:rsid w:val="007B27B2"/>
    <w:rsid w:val="007B27BA"/>
    <w:rsid w:val="007B2CFF"/>
    <w:rsid w:val="007B3EAE"/>
    <w:rsid w:val="007B4C4C"/>
    <w:rsid w:val="007B4FEA"/>
    <w:rsid w:val="007B55A5"/>
    <w:rsid w:val="007B5628"/>
    <w:rsid w:val="007B5A8F"/>
    <w:rsid w:val="007B606B"/>
    <w:rsid w:val="007B6094"/>
    <w:rsid w:val="007B6525"/>
    <w:rsid w:val="007B7CC5"/>
    <w:rsid w:val="007B7E9F"/>
    <w:rsid w:val="007C005B"/>
    <w:rsid w:val="007C0860"/>
    <w:rsid w:val="007C0D8C"/>
    <w:rsid w:val="007C1067"/>
    <w:rsid w:val="007C191C"/>
    <w:rsid w:val="007C1F79"/>
    <w:rsid w:val="007C263D"/>
    <w:rsid w:val="007C2FC9"/>
    <w:rsid w:val="007C3107"/>
    <w:rsid w:val="007C3681"/>
    <w:rsid w:val="007C37F0"/>
    <w:rsid w:val="007C4483"/>
    <w:rsid w:val="007C56A4"/>
    <w:rsid w:val="007C5A0C"/>
    <w:rsid w:val="007C5A65"/>
    <w:rsid w:val="007C60A1"/>
    <w:rsid w:val="007C7777"/>
    <w:rsid w:val="007C7FE6"/>
    <w:rsid w:val="007D081E"/>
    <w:rsid w:val="007D12AA"/>
    <w:rsid w:val="007D1531"/>
    <w:rsid w:val="007D1BA5"/>
    <w:rsid w:val="007D2CA0"/>
    <w:rsid w:val="007D2DFF"/>
    <w:rsid w:val="007D2E29"/>
    <w:rsid w:val="007D3240"/>
    <w:rsid w:val="007D5405"/>
    <w:rsid w:val="007D5D12"/>
    <w:rsid w:val="007D6491"/>
    <w:rsid w:val="007D6B41"/>
    <w:rsid w:val="007D711C"/>
    <w:rsid w:val="007D7C66"/>
    <w:rsid w:val="007E00B0"/>
    <w:rsid w:val="007E02FC"/>
    <w:rsid w:val="007E0326"/>
    <w:rsid w:val="007E0BE6"/>
    <w:rsid w:val="007E0FEE"/>
    <w:rsid w:val="007E1E94"/>
    <w:rsid w:val="007E4355"/>
    <w:rsid w:val="007E491D"/>
    <w:rsid w:val="007E4AB1"/>
    <w:rsid w:val="007E5ED2"/>
    <w:rsid w:val="007E5F1E"/>
    <w:rsid w:val="007E6A4D"/>
    <w:rsid w:val="007E72E2"/>
    <w:rsid w:val="007E753C"/>
    <w:rsid w:val="007E7A20"/>
    <w:rsid w:val="007E7E69"/>
    <w:rsid w:val="007F1C78"/>
    <w:rsid w:val="007F1F31"/>
    <w:rsid w:val="007F2017"/>
    <w:rsid w:val="007F24A5"/>
    <w:rsid w:val="007F26AA"/>
    <w:rsid w:val="007F3976"/>
    <w:rsid w:val="007F3AE4"/>
    <w:rsid w:val="007F42A0"/>
    <w:rsid w:val="007F6087"/>
    <w:rsid w:val="007F6386"/>
    <w:rsid w:val="007F72C0"/>
    <w:rsid w:val="007F7A16"/>
    <w:rsid w:val="00800110"/>
    <w:rsid w:val="0080177C"/>
    <w:rsid w:val="00801B4A"/>
    <w:rsid w:val="00801BA4"/>
    <w:rsid w:val="00802F41"/>
    <w:rsid w:val="0080390E"/>
    <w:rsid w:val="008054A5"/>
    <w:rsid w:val="0080574B"/>
    <w:rsid w:val="00805D83"/>
    <w:rsid w:val="00806AD6"/>
    <w:rsid w:val="00806DAA"/>
    <w:rsid w:val="0080770E"/>
    <w:rsid w:val="00807F09"/>
    <w:rsid w:val="008102C6"/>
    <w:rsid w:val="00810D06"/>
    <w:rsid w:val="00811B7A"/>
    <w:rsid w:val="00811FB0"/>
    <w:rsid w:val="008126F5"/>
    <w:rsid w:val="00812E39"/>
    <w:rsid w:val="00812ED9"/>
    <w:rsid w:val="00814137"/>
    <w:rsid w:val="0081416C"/>
    <w:rsid w:val="0081454D"/>
    <w:rsid w:val="00814A6B"/>
    <w:rsid w:val="008151B0"/>
    <w:rsid w:val="00815408"/>
    <w:rsid w:val="0081568F"/>
    <w:rsid w:val="008159CF"/>
    <w:rsid w:val="00815BE3"/>
    <w:rsid w:val="00815DA6"/>
    <w:rsid w:val="00816076"/>
    <w:rsid w:val="00816476"/>
    <w:rsid w:val="00816C7C"/>
    <w:rsid w:val="00816E05"/>
    <w:rsid w:val="0081726C"/>
    <w:rsid w:val="0081734C"/>
    <w:rsid w:val="00817A9C"/>
    <w:rsid w:val="00817DD6"/>
    <w:rsid w:val="008204C7"/>
    <w:rsid w:val="00821762"/>
    <w:rsid w:val="008220E0"/>
    <w:rsid w:val="00822528"/>
    <w:rsid w:val="0082315A"/>
    <w:rsid w:val="0082327A"/>
    <w:rsid w:val="00824A33"/>
    <w:rsid w:val="0082523C"/>
    <w:rsid w:val="00825281"/>
    <w:rsid w:val="0082589D"/>
    <w:rsid w:val="008258CB"/>
    <w:rsid w:val="008263FF"/>
    <w:rsid w:val="00826A17"/>
    <w:rsid w:val="008305B8"/>
    <w:rsid w:val="00830869"/>
    <w:rsid w:val="008309E8"/>
    <w:rsid w:val="00830B93"/>
    <w:rsid w:val="0083157D"/>
    <w:rsid w:val="0083297C"/>
    <w:rsid w:val="00833710"/>
    <w:rsid w:val="008338CA"/>
    <w:rsid w:val="008339BB"/>
    <w:rsid w:val="008344EF"/>
    <w:rsid w:val="0083466A"/>
    <w:rsid w:val="00835160"/>
    <w:rsid w:val="00836A02"/>
    <w:rsid w:val="00837B29"/>
    <w:rsid w:val="00840424"/>
    <w:rsid w:val="008407E6"/>
    <w:rsid w:val="00840B37"/>
    <w:rsid w:val="00842E1B"/>
    <w:rsid w:val="00842FFA"/>
    <w:rsid w:val="008430E9"/>
    <w:rsid w:val="00844667"/>
    <w:rsid w:val="00844A79"/>
    <w:rsid w:val="00844BBE"/>
    <w:rsid w:val="00845476"/>
    <w:rsid w:val="00846037"/>
    <w:rsid w:val="00846878"/>
    <w:rsid w:val="008470E6"/>
    <w:rsid w:val="008475CB"/>
    <w:rsid w:val="008502C1"/>
    <w:rsid w:val="0085040B"/>
    <w:rsid w:val="00850B69"/>
    <w:rsid w:val="00850C8F"/>
    <w:rsid w:val="00851551"/>
    <w:rsid w:val="00853241"/>
    <w:rsid w:val="00853625"/>
    <w:rsid w:val="008540C2"/>
    <w:rsid w:val="00855F9D"/>
    <w:rsid w:val="00856CCE"/>
    <w:rsid w:val="00856E4F"/>
    <w:rsid w:val="00856EEF"/>
    <w:rsid w:val="00857AFE"/>
    <w:rsid w:val="008604F4"/>
    <w:rsid w:val="008606C5"/>
    <w:rsid w:val="00862233"/>
    <w:rsid w:val="0086261C"/>
    <w:rsid w:val="008627C0"/>
    <w:rsid w:val="00862B6F"/>
    <w:rsid w:val="00862D9C"/>
    <w:rsid w:val="00863BD4"/>
    <w:rsid w:val="0086419A"/>
    <w:rsid w:val="00864B68"/>
    <w:rsid w:val="00866891"/>
    <w:rsid w:val="00867560"/>
    <w:rsid w:val="008676F1"/>
    <w:rsid w:val="00867AA6"/>
    <w:rsid w:val="00867D68"/>
    <w:rsid w:val="0087023B"/>
    <w:rsid w:val="00870734"/>
    <w:rsid w:val="008708DE"/>
    <w:rsid w:val="00870B16"/>
    <w:rsid w:val="00870E7A"/>
    <w:rsid w:val="00871307"/>
    <w:rsid w:val="008715AA"/>
    <w:rsid w:val="00871DD1"/>
    <w:rsid w:val="00872743"/>
    <w:rsid w:val="00873790"/>
    <w:rsid w:val="00874352"/>
    <w:rsid w:val="0087447A"/>
    <w:rsid w:val="00874568"/>
    <w:rsid w:val="008747CC"/>
    <w:rsid w:val="008748E4"/>
    <w:rsid w:val="008752EA"/>
    <w:rsid w:val="008756E4"/>
    <w:rsid w:val="00876BCD"/>
    <w:rsid w:val="00877203"/>
    <w:rsid w:val="00877609"/>
    <w:rsid w:val="00877F36"/>
    <w:rsid w:val="00882261"/>
    <w:rsid w:val="008829FE"/>
    <w:rsid w:val="00883B0F"/>
    <w:rsid w:val="00884196"/>
    <w:rsid w:val="008842D7"/>
    <w:rsid w:val="00884633"/>
    <w:rsid w:val="008849F4"/>
    <w:rsid w:val="008862E7"/>
    <w:rsid w:val="0088647C"/>
    <w:rsid w:val="008864DA"/>
    <w:rsid w:val="00886F18"/>
    <w:rsid w:val="00887E7F"/>
    <w:rsid w:val="008906BC"/>
    <w:rsid w:val="00890ECA"/>
    <w:rsid w:val="0089189A"/>
    <w:rsid w:val="00891966"/>
    <w:rsid w:val="00891ED9"/>
    <w:rsid w:val="0089241C"/>
    <w:rsid w:val="00892FA4"/>
    <w:rsid w:val="00893474"/>
    <w:rsid w:val="00893D92"/>
    <w:rsid w:val="008949C0"/>
    <w:rsid w:val="00894A21"/>
    <w:rsid w:val="00895D94"/>
    <w:rsid w:val="008960F4"/>
    <w:rsid w:val="00897AB0"/>
    <w:rsid w:val="008A079A"/>
    <w:rsid w:val="008A08BF"/>
    <w:rsid w:val="008A0BDF"/>
    <w:rsid w:val="008A1486"/>
    <w:rsid w:val="008A179F"/>
    <w:rsid w:val="008A1B6F"/>
    <w:rsid w:val="008A1F26"/>
    <w:rsid w:val="008A1F87"/>
    <w:rsid w:val="008A208F"/>
    <w:rsid w:val="008A2ABB"/>
    <w:rsid w:val="008A2BE3"/>
    <w:rsid w:val="008A3244"/>
    <w:rsid w:val="008A3641"/>
    <w:rsid w:val="008A3A0B"/>
    <w:rsid w:val="008A4614"/>
    <w:rsid w:val="008A49EF"/>
    <w:rsid w:val="008A6D57"/>
    <w:rsid w:val="008B0864"/>
    <w:rsid w:val="008B1784"/>
    <w:rsid w:val="008B1FF8"/>
    <w:rsid w:val="008B3445"/>
    <w:rsid w:val="008B34D0"/>
    <w:rsid w:val="008B351E"/>
    <w:rsid w:val="008B3D11"/>
    <w:rsid w:val="008B45F4"/>
    <w:rsid w:val="008B4D7B"/>
    <w:rsid w:val="008B51EE"/>
    <w:rsid w:val="008B6F41"/>
    <w:rsid w:val="008B79B4"/>
    <w:rsid w:val="008C068E"/>
    <w:rsid w:val="008C0E3B"/>
    <w:rsid w:val="008C0F89"/>
    <w:rsid w:val="008C1079"/>
    <w:rsid w:val="008C12C9"/>
    <w:rsid w:val="008C16A7"/>
    <w:rsid w:val="008C1791"/>
    <w:rsid w:val="008C1860"/>
    <w:rsid w:val="008C1B9A"/>
    <w:rsid w:val="008C3215"/>
    <w:rsid w:val="008C33E0"/>
    <w:rsid w:val="008C3B0F"/>
    <w:rsid w:val="008C3CB7"/>
    <w:rsid w:val="008C545B"/>
    <w:rsid w:val="008C6192"/>
    <w:rsid w:val="008C6B39"/>
    <w:rsid w:val="008C72C3"/>
    <w:rsid w:val="008C7413"/>
    <w:rsid w:val="008D03D4"/>
    <w:rsid w:val="008D073C"/>
    <w:rsid w:val="008D0B8C"/>
    <w:rsid w:val="008D0C94"/>
    <w:rsid w:val="008D0F1F"/>
    <w:rsid w:val="008D16B7"/>
    <w:rsid w:val="008D197D"/>
    <w:rsid w:val="008D32A1"/>
    <w:rsid w:val="008D3841"/>
    <w:rsid w:val="008D3C01"/>
    <w:rsid w:val="008D5146"/>
    <w:rsid w:val="008D6B3D"/>
    <w:rsid w:val="008D6FCF"/>
    <w:rsid w:val="008D7B46"/>
    <w:rsid w:val="008D7C6D"/>
    <w:rsid w:val="008D7C85"/>
    <w:rsid w:val="008E020D"/>
    <w:rsid w:val="008E0B94"/>
    <w:rsid w:val="008E120F"/>
    <w:rsid w:val="008E2331"/>
    <w:rsid w:val="008E3A01"/>
    <w:rsid w:val="008E3DF2"/>
    <w:rsid w:val="008E4260"/>
    <w:rsid w:val="008E4394"/>
    <w:rsid w:val="008E44B2"/>
    <w:rsid w:val="008E473A"/>
    <w:rsid w:val="008E4EB6"/>
    <w:rsid w:val="008E5279"/>
    <w:rsid w:val="008E5B7B"/>
    <w:rsid w:val="008E6329"/>
    <w:rsid w:val="008E6AE6"/>
    <w:rsid w:val="008E779D"/>
    <w:rsid w:val="008E77C6"/>
    <w:rsid w:val="008E7E60"/>
    <w:rsid w:val="008F0116"/>
    <w:rsid w:val="008F08BA"/>
    <w:rsid w:val="008F110C"/>
    <w:rsid w:val="008F143D"/>
    <w:rsid w:val="008F15D7"/>
    <w:rsid w:val="008F1736"/>
    <w:rsid w:val="008F1990"/>
    <w:rsid w:val="008F1F50"/>
    <w:rsid w:val="008F2835"/>
    <w:rsid w:val="008F2D14"/>
    <w:rsid w:val="008F2FF0"/>
    <w:rsid w:val="008F3007"/>
    <w:rsid w:val="008F3D0B"/>
    <w:rsid w:val="008F4677"/>
    <w:rsid w:val="008F4DE4"/>
    <w:rsid w:val="008F4F77"/>
    <w:rsid w:val="008F609B"/>
    <w:rsid w:val="008F68ED"/>
    <w:rsid w:val="008F6A60"/>
    <w:rsid w:val="008F7988"/>
    <w:rsid w:val="008F7B54"/>
    <w:rsid w:val="0090098E"/>
    <w:rsid w:val="009014CF"/>
    <w:rsid w:val="00901692"/>
    <w:rsid w:val="00901879"/>
    <w:rsid w:val="009021A8"/>
    <w:rsid w:val="009024CC"/>
    <w:rsid w:val="00902558"/>
    <w:rsid w:val="009026CF"/>
    <w:rsid w:val="009039D2"/>
    <w:rsid w:val="009043B0"/>
    <w:rsid w:val="00904539"/>
    <w:rsid w:val="0090460D"/>
    <w:rsid w:val="00904B72"/>
    <w:rsid w:val="00905276"/>
    <w:rsid w:val="009056B7"/>
    <w:rsid w:val="00905721"/>
    <w:rsid w:val="00907866"/>
    <w:rsid w:val="00907AC0"/>
    <w:rsid w:val="00907FCD"/>
    <w:rsid w:val="009100BE"/>
    <w:rsid w:val="009102B8"/>
    <w:rsid w:val="009106B8"/>
    <w:rsid w:val="00910FE5"/>
    <w:rsid w:val="00913384"/>
    <w:rsid w:val="00913DE3"/>
    <w:rsid w:val="00913F87"/>
    <w:rsid w:val="00914975"/>
    <w:rsid w:val="009159CF"/>
    <w:rsid w:val="00915EB9"/>
    <w:rsid w:val="00916A5D"/>
    <w:rsid w:val="009178E7"/>
    <w:rsid w:val="009214D8"/>
    <w:rsid w:val="00921A75"/>
    <w:rsid w:val="00921FD0"/>
    <w:rsid w:val="009226FE"/>
    <w:rsid w:val="00922845"/>
    <w:rsid w:val="00923599"/>
    <w:rsid w:val="00923BE8"/>
    <w:rsid w:val="00923C2F"/>
    <w:rsid w:val="00923F20"/>
    <w:rsid w:val="00924178"/>
    <w:rsid w:val="00924649"/>
    <w:rsid w:val="00924DED"/>
    <w:rsid w:val="009254B2"/>
    <w:rsid w:val="009255B1"/>
    <w:rsid w:val="009263BD"/>
    <w:rsid w:val="009264AA"/>
    <w:rsid w:val="0092686F"/>
    <w:rsid w:val="009268A6"/>
    <w:rsid w:val="009269EB"/>
    <w:rsid w:val="00927A0A"/>
    <w:rsid w:val="00927A17"/>
    <w:rsid w:val="00932865"/>
    <w:rsid w:val="00932E13"/>
    <w:rsid w:val="009348C1"/>
    <w:rsid w:val="00934C7F"/>
    <w:rsid w:val="00937316"/>
    <w:rsid w:val="009373E1"/>
    <w:rsid w:val="00937661"/>
    <w:rsid w:val="00937DF5"/>
    <w:rsid w:val="00940513"/>
    <w:rsid w:val="0094182E"/>
    <w:rsid w:val="00941DA2"/>
    <w:rsid w:val="009430C7"/>
    <w:rsid w:val="00943E43"/>
    <w:rsid w:val="0094479F"/>
    <w:rsid w:val="009449F2"/>
    <w:rsid w:val="009458A6"/>
    <w:rsid w:val="00945FC1"/>
    <w:rsid w:val="00946D49"/>
    <w:rsid w:val="0094757D"/>
    <w:rsid w:val="00947BC9"/>
    <w:rsid w:val="009513D0"/>
    <w:rsid w:val="009519EA"/>
    <w:rsid w:val="0095200E"/>
    <w:rsid w:val="009534D8"/>
    <w:rsid w:val="0095389B"/>
    <w:rsid w:val="00953DD4"/>
    <w:rsid w:val="0095423D"/>
    <w:rsid w:val="00954AAA"/>
    <w:rsid w:val="00954B0B"/>
    <w:rsid w:val="00954DF2"/>
    <w:rsid w:val="009554BA"/>
    <w:rsid w:val="00955D29"/>
    <w:rsid w:val="00956229"/>
    <w:rsid w:val="009564E2"/>
    <w:rsid w:val="009566A2"/>
    <w:rsid w:val="00956837"/>
    <w:rsid w:val="009568A2"/>
    <w:rsid w:val="009569B2"/>
    <w:rsid w:val="0096068C"/>
    <w:rsid w:val="00960E51"/>
    <w:rsid w:val="00960FAD"/>
    <w:rsid w:val="009614EB"/>
    <w:rsid w:val="00961F1D"/>
    <w:rsid w:val="00962A17"/>
    <w:rsid w:val="009632AF"/>
    <w:rsid w:val="00963BD1"/>
    <w:rsid w:val="00963C12"/>
    <w:rsid w:val="00964448"/>
    <w:rsid w:val="0096488E"/>
    <w:rsid w:val="00964D71"/>
    <w:rsid w:val="00965E11"/>
    <w:rsid w:val="00965F09"/>
    <w:rsid w:val="00966714"/>
    <w:rsid w:val="00966D52"/>
    <w:rsid w:val="00966E54"/>
    <w:rsid w:val="0096759B"/>
    <w:rsid w:val="009708D2"/>
    <w:rsid w:val="00971279"/>
    <w:rsid w:val="00972EF0"/>
    <w:rsid w:val="00974623"/>
    <w:rsid w:val="00974B7C"/>
    <w:rsid w:val="00974D1F"/>
    <w:rsid w:val="00974D5D"/>
    <w:rsid w:val="009765DB"/>
    <w:rsid w:val="00976D67"/>
    <w:rsid w:val="0097727A"/>
    <w:rsid w:val="009773CA"/>
    <w:rsid w:val="009775AB"/>
    <w:rsid w:val="009778A4"/>
    <w:rsid w:val="00977EAF"/>
    <w:rsid w:val="00977EB2"/>
    <w:rsid w:val="009801B2"/>
    <w:rsid w:val="00980374"/>
    <w:rsid w:val="00980B5F"/>
    <w:rsid w:val="00980DDF"/>
    <w:rsid w:val="0098138E"/>
    <w:rsid w:val="00982390"/>
    <w:rsid w:val="00983735"/>
    <w:rsid w:val="00984DEC"/>
    <w:rsid w:val="00985110"/>
    <w:rsid w:val="009856DE"/>
    <w:rsid w:val="00985C0B"/>
    <w:rsid w:val="00985F5C"/>
    <w:rsid w:val="0098655A"/>
    <w:rsid w:val="00986711"/>
    <w:rsid w:val="00986BAC"/>
    <w:rsid w:val="00986F52"/>
    <w:rsid w:val="00987BFE"/>
    <w:rsid w:val="00990494"/>
    <w:rsid w:val="009907CB"/>
    <w:rsid w:val="009914E8"/>
    <w:rsid w:val="00992C16"/>
    <w:rsid w:val="00993540"/>
    <w:rsid w:val="00993744"/>
    <w:rsid w:val="00993F8B"/>
    <w:rsid w:val="009942E5"/>
    <w:rsid w:val="009943B7"/>
    <w:rsid w:val="00995010"/>
    <w:rsid w:val="0099550E"/>
    <w:rsid w:val="0099595A"/>
    <w:rsid w:val="00995EA3"/>
    <w:rsid w:val="00995F06"/>
    <w:rsid w:val="009963FB"/>
    <w:rsid w:val="00996AD2"/>
    <w:rsid w:val="009971B8"/>
    <w:rsid w:val="00997716"/>
    <w:rsid w:val="009A11A7"/>
    <w:rsid w:val="009A121A"/>
    <w:rsid w:val="009A3CC9"/>
    <w:rsid w:val="009A5CDC"/>
    <w:rsid w:val="009A6A1C"/>
    <w:rsid w:val="009A6E36"/>
    <w:rsid w:val="009A7629"/>
    <w:rsid w:val="009B0602"/>
    <w:rsid w:val="009B0886"/>
    <w:rsid w:val="009B0967"/>
    <w:rsid w:val="009B0DF7"/>
    <w:rsid w:val="009B17CD"/>
    <w:rsid w:val="009B1A54"/>
    <w:rsid w:val="009B22DC"/>
    <w:rsid w:val="009B3349"/>
    <w:rsid w:val="009B3974"/>
    <w:rsid w:val="009B4034"/>
    <w:rsid w:val="009B40C1"/>
    <w:rsid w:val="009B5E32"/>
    <w:rsid w:val="009B69C6"/>
    <w:rsid w:val="009B7116"/>
    <w:rsid w:val="009C24DF"/>
    <w:rsid w:val="009C293C"/>
    <w:rsid w:val="009C29B0"/>
    <w:rsid w:val="009C336C"/>
    <w:rsid w:val="009C3500"/>
    <w:rsid w:val="009C362A"/>
    <w:rsid w:val="009C4397"/>
    <w:rsid w:val="009C4BCF"/>
    <w:rsid w:val="009C538E"/>
    <w:rsid w:val="009C57FB"/>
    <w:rsid w:val="009C6A15"/>
    <w:rsid w:val="009D13DD"/>
    <w:rsid w:val="009D1CD3"/>
    <w:rsid w:val="009D1EF9"/>
    <w:rsid w:val="009D25E5"/>
    <w:rsid w:val="009D2A0B"/>
    <w:rsid w:val="009D3295"/>
    <w:rsid w:val="009D38FF"/>
    <w:rsid w:val="009D5193"/>
    <w:rsid w:val="009D534A"/>
    <w:rsid w:val="009D5442"/>
    <w:rsid w:val="009D5BC6"/>
    <w:rsid w:val="009D7D64"/>
    <w:rsid w:val="009E0287"/>
    <w:rsid w:val="009E0C86"/>
    <w:rsid w:val="009E0CFB"/>
    <w:rsid w:val="009E2071"/>
    <w:rsid w:val="009E2685"/>
    <w:rsid w:val="009E2E7A"/>
    <w:rsid w:val="009E301A"/>
    <w:rsid w:val="009E3D6A"/>
    <w:rsid w:val="009E4A76"/>
    <w:rsid w:val="009E530D"/>
    <w:rsid w:val="009E5777"/>
    <w:rsid w:val="009E6052"/>
    <w:rsid w:val="009E67B6"/>
    <w:rsid w:val="009E6DF2"/>
    <w:rsid w:val="009E70A0"/>
    <w:rsid w:val="009E7B6E"/>
    <w:rsid w:val="009E7C7F"/>
    <w:rsid w:val="009F0108"/>
    <w:rsid w:val="009F07AE"/>
    <w:rsid w:val="009F0805"/>
    <w:rsid w:val="009F26D9"/>
    <w:rsid w:val="009F2986"/>
    <w:rsid w:val="009F2A0D"/>
    <w:rsid w:val="009F2CE4"/>
    <w:rsid w:val="009F44F1"/>
    <w:rsid w:val="009F525E"/>
    <w:rsid w:val="009F52E6"/>
    <w:rsid w:val="009F5702"/>
    <w:rsid w:val="009F5C42"/>
    <w:rsid w:val="009F7C62"/>
    <w:rsid w:val="009F7F5D"/>
    <w:rsid w:val="00A003D2"/>
    <w:rsid w:val="00A00AFF"/>
    <w:rsid w:val="00A00EF3"/>
    <w:rsid w:val="00A01061"/>
    <w:rsid w:val="00A01A88"/>
    <w:rsid w:val="00A01BB0"/>
    <w:rsid w:val="00A021D0"/>
    <w:rsid w:val="00A02F6F"/>
    <w:rsid w:val="00A0324C"/>
    <w:rsid w:val="00A0326C"/>
    <w:rsid w:val="00A032D6"/>
    <w:rsid w:val="00A04213"/>
    <w:rsid w:val="00A04A23"/>
    <w:rsid w:val="00A05017"/>
    <w:rsid w:val="00A0546F"/>
    <w:rsid w:val="00A05876"/>
    <w:rsid w:val="00A05879"/>
    <w:rsid w:val="00A059A8"/>
    <w:rsid w:val="00A05B09"/>
    <w:rsid w:val="00A05BFD"/>
    <w:rsid w:val="00A05C58"/>
    <w:rsid w:val="00A060E0"/>
    <w:rsid w:val="00A06A83"/>
    <w:rsid w:val="00A07397"/>
    <w:rsid w:val="00A1048C"/>
    <w:rsid w:val="00A10B31"/>
    <w:rsid w:val="00A1187E"/>
    <w:rsid w:val="00A11BBC"/>
    <w:rsid w:val="00A11C8F"/>
    <w:rsid w:val="00A11D3B"/>
    <w:rsid w:val="00A1210B"/>
    <w:rsid w:val="00A13365"/>
    <w:rsid w:val="00A134C8"/>
    <w:rsid w:val="00A13868"/>
    <w:rsid w:val="00A1403F"/>
    <w:rsid w:val="00A14857"/>
    <w:rsid w:val="00A14F85"/>
    <w:rsid w:val="00A152C7"/>
    <w:rsid w:val="00A172AA"/>
    <w:rsid w:val="00A1760A"/>
    <w:rsid w:val="00A1776D"/>
    <w:rsid w:val="00A17CE0"/>
    <w:rsid w:val="00A17DE5"/>
    <w:rsid w:val="00A2015C"/>
    <w:rsid w:val="00A2062B"/>
    <w:rsid w:val="00A20AB0"/>
    <w:rsid w:val="00A23083"/>
    <w:rsid w:val="00A23D48"/>
    <w:rsid w:val="00A24B35"/>
    <w:rsid w:val="00A25053"/>
    <w:rsid w:val="00A26B7A"/>
    <w:rsid w:val="00A26C22"/>
    <w:rsid w:val="00A270C8"/>
    <w:rsid w:val="00A27B0F"/>
    <w:rsid w:val="00A27BC5"/>
    <w:rsid w:val="00A27D90"/>
    <w:rsid w:val="00A30142"/>
    <w:rsid w:val="00A301B0"/>
    <w:rsid w:val="00A304CD"/>
    <w:rsid w:val="00A30D56"/>
    <w:rsid w:val="00A3198E"/>
    <w:rsid w:val="00A32C05"/>
    <w:rsid w:val="00A33541"/>
    <w:rsid w:val="00A33656"/>
    <w:rsid w:val="00A33CEB"/>
    <w:rsid w:val="00A33EB1"/>
    <w:rsid w:val="00A34646"/>
    <w:rsid w:val="00A3489B"/>
    <w:rsid w:val="00A34BA8"/>
    <w:rsid w:val="00A35011"/>
    <w:rsid w:val="00A36081"/>
    <w:rsid w:val="00A36AAD"/>
    <w:rsid w:val="00A36C45"/>
    <w:rsid w:val="00A36C82"/>
    <w:rsid w:val="00A36D5A"/>
    <w:rsid w:val="00A372AE"/>
    <w:rsid w:val="00A3778D"/>
    <w:rsid w:val="00A37896"/>
    <w:rsid w:val="00A421F0"/>
    <w:rsid w:val="00A422F9"/>
    <w:rsid w:val="00A42306"/>
    <w:rsid w:val="00A42678"/>
    <w:rsid w:val="00A42C13"/>
    <w:rsid w:val="00A433F2"/>
    <w:rsid w:val="00A435AF"/>
    <w:rsid w:val="00A43F10"/>
    <w:rsid w:val="00A445B4"/>
    <w:rsid w:val="00A44E8D"/>
    <w:rsid w:val="00A44EE7"/>
    <w:rsid w:val="00A458AD"/>
    <w:rsid w:val="00A46B9C"/>
    <w:rsid w:val="00A46EA8"/>
    <w:rsid w:val="00A50F93"/>
    <w:rsid w:val="00A516D9"/>
    <w:rsid w:val="00A51D8E"/>
    <w:rsid w:val="00A51F22"/>
    <w:rsid w:val="00A53B70"/>
    <w:rsid w:val="00A54633"/>
    <w:rsid w:val="00A54C1A"/>
    <w:rsid w:val="00A550B6"/>
    <w:rsid w:val="00A5523B"/>
    <w:rsid w:val="00A55291"/>
    <w:rsid w:val="00A55624"/>
    <w:rsid w:val="00A55ACD"/>
    <w:rsid w:val="00A55D0B"/>
    <w:rsid w:val="00A56A97"/>
    <w:rsid w:val="00A56DAB"/>
    <w:rsid w:val="00A57738"/>
    <w:rsid w:val="00A60F25"/>
    <w:rsid w:val="00A61CFD"/>
    <w:rsid w:val="00A62ED8"/>
    <w:rsid w:val="00A630D4"/>
    <w:rsid w:val="00A63177"/>
    <w:rsid w:val="00A646DA"/>
    <w:rsid w:val="00A6499D"/>
    <w:rsid w:val="00A65579"/>
    <w:rsid w:val="00A65749"/>
    <w:rsid w:val="00A67CB2"/>
    <w:rsid w:val="00A70311"/>
    <w:rsid w:val="00A70B82"/>
    <w:rsid w:val="00A712F8"/>
    <w:rsid w:val="00A71884"/>
    <w:rsid w:val="00A71979"/>
    <w:rsid w:val="00A71AA4"/>
    <w:rsid w:val="00A71AD6"/>
    <w:rsid w:val="00A71EC7"/>
    <w:rsid w:val="00A72405"/>
    <w:rsid w:val="00A72F01"/>
    <w:rsid w:val="00A733A3"/>
    <w:rsid w:val="00A73EC3"/>
    <w:rsid w:val="00A74438"/>
    <w:rsid w:val="00A7446B"/>
    <w:rsid w:val="00A7515C"/>
    <w:rsid w:val="00A75174"/>
    <w:rsid w:val="00A752BA"/>
    <w:rsid w:val="00A761D0"/>
    <w:rsid w:val="00A76DCF"/>
    <w:rsid w:val="00A76F0D"/>
    <w:rsid w:val="00A823C1"/>
    <w:rsid w:val="00A8290E"/>
    <w:rsid w:val="00A83658"/>
    <w:rsid w:val="00A837A4"/>
    <w:rsid w:val="00A84AEA"/>
    <w:rsid w:val="00A85620"/>
    <w:rsid w:val="00A85D27"/>
    <w:rsid w:val="00A864E5"/>
    <w:rsid w:val="00A86ECC"/>
    <w:rsid w:val="00A877EC"/>
    <w:rsid w:val="00A879D6"/>
    <w:rsid w:val="00A87FBF"/>
    <w:rsid w:val="00A90778"/>
    <w:rsid w:val="00A90BB7"/>
    <w:rsid w:val="00A910A3"/>
    <w:rsid w:val="00A91B3F"/>
    <w:rsid w:val="00A9286F"/>
    <w:rsid w:val="00A9302E"/>
    <w:rsid w:val="00A95CDC"/>
    <w:rsid w:val="00AA0D18"/>
    <w:rsid w:val="00AA1040"/>
    <w:rsid w:val="00AA1105"/>
    <w:rsid w:val="00AA1800"/>
    <w:rsid w:val="00AA2A2B"/>
    <w:rsid w:val="00AA2B48"/>
    <w:rsid w:val="00AA3FA2"/>
    <w:rsid w:val="00AA4ECB"/>
    <w:rsid w:val="00AA5F25"/>
    <w:rsid w:val="00AA61CB"/>
    <w:rsid w:val="00AA6585"/>
    <w:rsid w:val="00AA6B4E"/>
    <w:rsid w:val="00AA78DF"/>
    <w:rsid w:val="00AA7B1E"/>
    <w:rsid w:val="00AA7D38"/>
    <w:rsid w:val="00AB1378"/>
    <w:rsid w:val="00AB1435"/>
    <w:rsid w:val="00AB1C74"/>
    <w:rsid w:val="00AB1D50"/>
    <w:rsid w:val="00AB243D"/>
    <w:rsid w:val="00AB2BE0"/>
    <w:rsid w:val="00AB42C7"/>
    <w:rsid w:val="00AB45EE"/>
    <w:rsid w:val="00AB4A05"/>
    <w:rsid w:val="00AB5419"/>
    <w:rsid w:val="00AB6113"/>
    <w:rsid w:val="00AB6EB9"/>
    <w:rsid w:val="00AB70BE"/>
    <w:rsid w:val="00AB7875"/>
    <w:rsid w:val="00AB7904"/>
    <w:rsid w:val="00AB79AE"/>
    <w:rsid w:val="00AB7BCF"/>
    <w:rsid w:val="00AC0322"/>
    <w:rsid w:val="00AC0735"/>
    <w:rsid w:val="00AC0C13"/>
    <w:rsid w:val="00AC0D49"/>
    <w:rsid w:val="00AC2B3E"/>
    <w:rsid w:val="00AC2D2B"/>
    <w:rsid w:val="00AC2D3D"/>
    <w:rsid w:val="00AC3BD0"/>
    <w:rsid w:val="00AC4F77"/>
    <w:rsid w:val="00AC65C5"/>
    <w:rsid w:val="00AC6610"/>
    <w:rsid w:val="00AC68E2"/>
    <w:rsid w:val="00AC68EE"/>
    <w:rsid w:val="00AC6E92"/>
    <w:rsid w:val="00AC6F33"/>
    <w:rsid w:val="00AC7E87"/>
    <w:rsid w:val="00AD0A9A"/>
    <w:rsid w:val="00AD0E6C"/>
    <w:rsid w:val="00AD0E8B"/>
    <w:rsid w:val="00AD13C5"/>
    <w:rsid w:val="00AD1422"/>
    <w:rsid w:val="00AD1B58"/>
    <w:rsid w:val="00AD2411"/>
    <w:rsid w:val="00AD2425"/>
    <w:rsid w:val="00AD3024"/>
    <w:rsid w:val="00AD3AFC"/>
    <w:rsid w:val="00AD44B1"/>
    <w:rsid w:val="00AD471D"/>
    <w:rsid w:val="00AD4E30"/>
    <w:rsid w:val="00AD4FCF"/>
    <w:rsid w:val="00AD55A4"/>
    <w:rsid w:val="00AD5F68"/>
    <w:rsid w:val="00AD5F8F"/>
    <w:rsid w:val="00AD6D0C"/>
    <w:rsid w:val="00AD749A"/>
    <w:rsid w:val="00AD7C9E"/>
    <w:rsid w:val="00AD7F13"/>
    <w:rsid w:val="00AE098C"/>
    <w:rsid w:val="00AE14ED"/>
    <w:rsid w:val="00AE1550"/>
    <w:rsid w:val="00AE1FC4"/>
    <w:rsid w:val="00AE2850"/>
    <w:rsid w:val="00AE353D"/>
    <w:rsid w:val="00AE3670"/>
    <w:rsid w:val="00AE4273"/>
    <w:rsid w:val="00AE49D9"/>
    <w:rsid w:val="00AE4BD8"/>
    <w:rsid w:val="00AE5563"/>
    <w:rsid w:val="00AE651C"/>
    <w:rsid w:val="00AE7E21"/>
    <w:rsid w:val="00AE7F03"/>
    <w:rsid w:val="00AF0806"/>
    <w:rsid w:val="00AF219B"/>
    <w:rsid w:val="00AF2677"/>
    <w:rsid w:val="00AF2765"/>
    <w:rsid w:val="00AF3A60"/>
    <w:rsid w:val="00AF49FE"/>
    <w:rsid w:val="00AF537D"/>
    <w:rsid w:val="00AF5481"/>
    <w:rsid w:val="00AF6403"/>
    <w:rsid w:val="00AF6619"/>
    <w:rsid w:val="00AF6827"/>
    <w:rsid w:val="00AF6920"/>
    <w:rsid w:val="00B014A4"/>
    <w:rsid w:val="00B0167A"/>
    <w:rsid w:val="00B01DDE"/>
    <w:rsid w:val="00B01F7E"/>
    <w:rsid w:val="00B022DF"/>
    <w:rsid w:val="00B02F25"/>
    <w:rsid w:val="00B04199"/>
    <w:rsid w:val="00B044FF"/>
    <w:rsid w:val="00B049C4"/>
    <w:rsid w:val="00B04A3A"/>
    <w:rsid w:val="00B04EB5"/>
    <w:rsid w:val="00B052FA"/>
    <w:rsid w:val="00B06474"/>
    <w:rsid w:val="00B07123"/>
    <w:rsid w:val="00B07DC6"/>
    <w:rsid w:val="00B10882"/>
    <w:rsid w:val="00B10908"/>
    <w:rsid w:val="00B10BBF"/>
    <w:rsid w:val="00B13DA6"/>
    <w:rsid w:val="00B13E63"/>
    <w:rsid w:val="00B1434C"/>
    <w:rsid w:val="00B1444F"/>
    <w:rsid w:val="00B15B87"/>
    <w:rsid w:val="00B15DCE"/>
    <w:rsid w:val="00B16187"/>
    <w:rsid w:val="00B16A46"/>
    <w:rsid w:val="00B16C2A"/>
    <w:rsid w:val="00B16E6B"/>
    <w:rsid w:val="00B1730D"/>
    <w:rsid w:val="00B1742D"/>
    <w:rsid w:val="00B17A23"/>
    <w:rsid w:val="00B2030D"/>
    <w:rsid w:val="00B20734"/>
    <w:rsid w:val="00B208AA"/>
    <w:rsid w:val="00B20E89"/>
    <w:rsid w:val="00B217AE"/>
    <w:rsid w:val="00B21954"/>
    <w:rsid w:val="00B221AE"/>
    <w:rsid w:val="00B225BD"/>
    <w:rsid w:val="00B23176"/>
    <w:rsid w:val="00B23411"/>
    <w:rsid w:val="00B23DB3"/>
    <w:rsid w:val="00B25544"/>
    <w:rsid w:val="00B25ABA"/>
    <w:rsid w:val="00B25D17"/>
    <w:rsid w:val="00B260FD"/>
    <w:rsid w:val="00B2695E"/>
    <w:rsid w:val="00B271A3"/>
    <w:rsid w:val="00B27656"/>
    <w:rsid w:val="00B2783E"/>
    <w:rsid w:val="00B279A6"/>
    <w:rsid w:val="00B27C53"/>
    <w:rsid w:val="00B30793"/>
    <w:rsid w:val="00B3087D"/>
    <w:rsid w:val="00B32F91"/>
    <w:rsid w:val="00B3318A"/>
    <w:rsid w:val="00B336E3"/>
    <w:rsid w:val="00B33797"/>
    <w:rsid w:val="00B338E1"/>
    <w:rsid w:val="00B33CA8"/>
    <w:rsid w:val="00B33E68"/>
    <w:rsid w:val="00B33EF3"/>
    <w:rsid w:val="00B34794"/>
    <w:rsid w:val="00B34850"/>
    <w:rsid w:val="00B34DA2"/>
    <w:rsid w:val="00B34F04"/>
    <w:rsid w:val="00B3556A"/>
    <w:rsid w:val="00B35AA9"/>
    <w:rsid w:val="00B35DC4"/>
    <w:rsid w:val="00B35FB2"/>
    <w:rsid w:val="00B365F8"/>
    <w:rsid w:val="00B36778"/>
    <w:rsid w:val="00B367E7"/>
    <w:rsid w:val="00B36917"/>
    <w:rsid w:val="00B37667"/>
    <w:rsid w:val="00B4120C"/>
    <w:rsid w:val="00B4140C"/>
    <w:rsid w:val="00B419D8"/>
    <w:rsid w:val="00B4203F"/>
    <w:rsid w:val="00B4287A"/>
    <w:rsid w:val="00B4314B"/>
    <w:rsid w:val="00B431A8"/>
    <w:rsid w:val="00B4353D"/>
    <w:rsid w:val="00B437CA"/>
    <w:rsid w:val="00B4398E"/>
    <w:rsid w:val="00B45D95"/>
    <w:rsid w:val="00B464AE"/>
    <w:rsid w:val="00B4682F"/>
    <w:rsid w:val="00B5237F"/>
    <w:rsid w:val="00B52869"/>
    <w:rsid w:val="00B54A82"/>
    <w:rsid w:val="00B55793"/>
    <w:rsid w:val="00B570F7"/>
    <w:rsid w:val="00B57317"/>
    <w:rsid w:val="00B60421"/>
    <w:rsid w:val="00B612A2"/>
    <w:rsid w:val="00B631F8"/>
    <w:rsid w:val="00B6320A"/>
    <w:rsid w:val="00B64D08"/>
    <w:rsid w:val="00B661F7"/>
    <w:rsid w:val="00B662C6"/>
    <w:rsid w:val="00B67B73"/>
    <w:rsid w:val="00B703B7"/>
    <w:rsid w:val="00B708C7"/>
    <w:rsid w:val="00B7110C"/>
    <w:rsid w:val="00B715D4"/>
    <w:rsid w:val="00B717D3"/>
    <w:rsid w:val="00B7181A"/>
    <w:rsid w:val="00B71A98"/>
    <w:rsid w:val="00B727F7"/>
    <w:rsid w:val="00B7284C"/>
    <w:rsid w:val="00B72C86"/>
    <w:rsid w:val="00B733D0"/>
    <w:rsid w:val="00B746E6"/>
    <w:rsid w:val="00B74C6C"/>
    <w:rsid w:val="00B75E78"/>
    <w:rsid w:val="00B76687"/>
    <w:rsid w:val="00B76DC4"/>
    <w:rsid w:val="00B76EF6"/>
    <w:rsid w:val="00B776A0"/>
    <w:rsid w:val="00B800FF"/>
    <w:rsid w:val="00B81575"/>
    <w:rsid w:val="00B81874"/>
    <w:rsid w:val="00B81EB6"/>
    <w:rsid w:val="00B81FA4"/>
    <w:rsid w:val="00B82018"/>
    <w:rsid w:val="00B82951"/>
    <w:rsid w:val="00B832F0"/>
    <w:rsid w:val="00B8530A"/>
    <w:rsid w:val="00B856AA"/>
    <w:rsid w:val="00B874AF"/>
    <w:rsid w:val="00B876C1"/>
    <w:rsid w:val="00B87976"/>
    <w:rsid w:val="00B879D3"/>
    <w:rsid w:val="00B87F6E"/>
    <w:rsid w:val="00B900F2"/>
    <w:rsid w:val="00B90736"/>
    <w:rsid w:val="00B908D7"/>
    <w:rsid w:val="00B915DA"/>
    <w:rsid w:val="00B91697"/>
    <w:rsid w:val="00B91D9B"/>
    <w:rsid w:val="00B925B0"/>
    <w:rsid w:val="00B93AEC"/>
    <w:rsid w:val="00B93FAE"/>
    <w:rsid w:val="00B93FB3"/>
    <w:rsid w:val="00B94F97"/>
    <w:rsid w:val="00B955A7"/>
    <w:rsid w:val="00B9594D"/>
    <w:rsid w:val="00B962AA"/>
    <w:rsid w:val="00B96C81"/>
    <w:rsid w:val="00B96D68"/>
    <w:rsid w:val="00BA0035"/>
    <w:rsid w:val="00BA0262"/>
    <w:rsid w:val="00BA038F"/>
    <w:rsid w:val="00BA0440"/>
    <w:rsid w:val="00BA05A9"/>
    <w:rsid w:val="00BA1005"/>
    <w:rsid w:val="00BA1705"/>
    <w:rsid w:val="00BA1D6D"/>
    <w:rsid w:val="00BA24AE"/>
    <w:rsid w:val="00BA2D38"/>
    <w:rsid w:val="00BA58BF"/>
    <w:rsid w:val="00BA71A6"/>
    <w:rsid w:val="00BA7707"/>
    <w:rsid w:val="00BB0243"/>
    <w:rsid w:val="00BB0279"/>
    <w:rsid w:val="00BB0628"/>
    <w:rsid w:val="00BB1335"/>
    <w:rsid w:val="00BB1A24"/>
    <w:rsid w:val="00BB271E"/>
    <w:rsid w:val="00BB2D53"/>
    <w:rsid w:val="00BB39FF"/>
    <w:rsid w:val="00BB3EB3"/>
    <w:rsid w:val="00BB465D"/>
    <w:rsid w:val="00BB50BA"/>
    <w:rsid w:val="00BB568C"/>
    <w:rsid w:val="00BB6127"/>
    <w:rsid w:val="00BB6506"/>
    <w:rsid w:val="00BB6FEE"/>
    <w:rsid w:val="00BB7259"/>
    <w:rsid w:val="00BC0A73"/>
    <w:rsid w:val="00BC0E62"/>
    <w:rsid w:val="00BC1B8B"/>
    <w:rsid w:val="00BC2045"/>
    <w:rsid w:val="00BC2372"/>
    <w:rsid w:val="00BC24DB"/>
    <w:rsid w:val="00BC2EA4"/>
    <w:rsid w:val="00BC2F92"/>
    <w:rsid w:val="00BC39E0"/>
    <w:rsid w:val="00BC40AF"/>
    <w:rsid w:val="00BC43F0"/>
    <w:rsid w:val="00BC4ABC"/>
    <w:rsid w:val="00BC5AC1"/>
    <w:rsid w:val="00BC5DC8"/>
    <w:rsid w:val="00BC5F72"/>
    <w:rsid w:val="00BC6EAA"/>
    <w:rsid w:val="00BC7C08"/>
    <w:rsid w:val="00BD0259"/>
    <w:rsid w:val="00BD0835"/>
    <w:rsid w:val="00BD0A4B"/>
    <w:rsid w:val="00BD0AFA"/>
    <w:rsid w:val="00BD1731"/>
    <w:rsid w:val="00BD2165"/>
    <w:rsid w:val="00BD2736"/>
    <w:rsid w:val="00BD34E0"/>
    <w:rsid w:val="00BD370C"/>
    <w:rsid w:val="00BD4B66"/>
    <w:rsid w:val="00BD4D29"/>
    <w:rsid w:val="00BD5CCE"/>
    <w:rsid w:val="00BD796E"/>
    <w:rsid w:val="00BE034E"/>
    <w:rsid w:val="00BE095E"/>
    <w:rsid w:val="00BE25EF"/>
    <w:rsid w:val="00BE2D7D"/>
    <w:rsid w:val="00BE45DC"/>
    <w:rsid w:val="00BE4701"/>
    <w:rsid w:val="00BE584B"/>
    <w:rsid w:val="00BE5856"/>
    <w:rsid w:val="00BE66E1"/>
    <w:rsid w:val="00BE6785"/>
    <w:rsid w:val="00BE7C8C"/>
    <w:rsid w:val="00BF0B8E"/>
    <w:rsid w:val="00BF0D39"/>
    <w:rsid w:val="00BF2712"/>
    <w:rsid w:val="00BF2A06"/>
    <w:rsid w:val="00BF3031"/>
    <w:rsid w:val="00BF31FB"/>
    <w:rsid w:val="00BF49D7"/>
    <w:rsid w:val="00BF515A"/>
    <w:rsid w:val="00BF528D"/>
    <w:rsid w:val="00BF61C4"/>
    <w:rsid w:val="00BF7445"/>
    <w:rsid w:val="00BF7765"/>
    <w:rsid w:val="00C01C25"/>
    <w:rsid w:val="00C02916"/>
    <w:rsid w:val="00C02E12"/>
    <w:rsid w:val="00C02EC8"/>
    <w:rsid w:val="00C0311F"/>
    <w:rsid w:val="00C033C6"/>
    <w:rsid w:val="00C0419A"/>
    <w:rsid w:val="00C04B72"/>
    <w:rsid w:val="00C06225"/>
    <w:rsid w:val="00C066E9"/>
    <w:rsid w:val="00C0673E"/>
    <w:rsid w:val="00C06ADD"/>
    <w:rsid w:val="00C06CB8"/>
    <w:rsid w:val="00C07EA5"/>
    <w:rsid w:val="00C106E1"/>
    <w:rsid w:val="00C10B5F"/>
    <w:rsid w:val="00C11D45"/>
    <w:rsid w:val="00C12829"/>
    <w:rsid w:val="00C12C35"/>
    <w:rsid w:val="00C12F46"/>
    <w:rsid w:val="00C1319E"/>
    <w:rsid w:val="00C1320E"/>
    <w:rsid w:val="00C137D0"/>
    <w:rsid w:val="00C13ABA"/>
    <w:rsid w:val="00C148A8"/>
    <w:rsid w:val="00C153F2"/>
    <w:rsid w:val="00C157A5"/>
    <w:rsid w:val="00C172D9"/>
    <w:rsid w:val="00C1762F"/>
    <w:rsid w:val="00C17C4A"/>
    <w:rsid w:val="00C20E51"/>
    <w:rsid w:val="00C21681"/>
    <w:rsid w:val="00C221BA"/>
    <w:rsid w:val="00C22E4A"/>
    <w:rsid w:val="00C22F31"/>
    <w:rsid w:val="00C2323E"/>
    <w:rsid w:val="00C23D07"/>
    <w:rsid w:val="00C23D16"/>
    <w:rsid w:val="00C2494C"/>
    <w:rsid w:val="00C25372"/>
    <w:rsid w:val="00C25ADD"/>
    <w:rsid w:val="00C260C8"/>
    <w:rsid w:val="00C26536"/>
    <w:rsid w:val="00C27008"/>
    <w:rsid w:val="00C2728A"/>
    <w:rsid w:val="00C273E4"/>
    <w:rsid w:val="00C27661"/>
    <w:rsid w:val="00C30A87"/>
    <w:rsid w:val="00C31413"/>
    <w:rsid w:val="00C314B5"/>
    <w:rsid w:val="00C31798"/>
    <w:rsid w:val="00C32006"/>
    <w:rsid w:val="00C33B7C"/>
    <w:rsid w:val="00C349F1"/>
    <w:rsid w:val="00C34F31"/>
    <w:rsid w:val="00C35E3F"/>
    <w:rsid w:val="00C3679B"/>
    <w:rsid w:val="00C36EC3"/>
    <w:rsid w:val="00C37D71"/>
    <w:rsid w:val="00C4002A"/>
    <w:rsid w:val="00C407DC"/>
    <w:rsid w:val="00C410E3"/>
    <w:rsid w:val="00C41767"/>
    <w:rsid w:val="00C41B54"/>
    <w:rsid w:val="00C4225B"/>
    <w:rsid w:val="00C437CB"/>
    <w:rsid w:val="00C43989"/>
    <w:rsid w:val="00C44173"/>
    <w:rsid w:val="00C44297"/>
    <w:rsid w:val="00C4484E"/>
    <w:rsid w:val="00C44C27"/>
    <w:rsid w:val="00C454AA"/>
    <w:rsid w:val="00C45667"/>
    <w:rsid w:val="00C45750"/>
    <w:rsid w:val="00C46422"/>
    <w:rsid w:val="00C4667C"/>
    <w:rsid w:val="00C46A46"/>
    <w:rsid w:val="00C47004"/>
    <w:rsid w:val="00C475F4"/>
    <w:rsid w:val="00C47637"/>
    <w:rsid w:val="00C477AE"/>
    <w:rsid w:val="00C50493"/>
    <w:rsid w:val="00C511EA"/>
    <w:rsid w:val="00C5134B"/>
    <w:rsid w:val="00C520E4"/>
    <w:rsid w:val="00C526F2"/>
    <w:rsid w:val="00C52B77"/>
    <w:rsid w:val="00C540AF"/>
    <w:rsid w:val="00C542AB"/>
    <w:rsid w:val="00C54686"/>
    <w:rsid w:val="00C54D3C"/>
    <w:rsid w:val="00C55236"/>
    <w:rsid w:val="00C56C6D"/>
    <w:rsid w:val="00C56D56"/>
    <w:rsid w:val="00C56F3E"/>
    <w:rsid w:val="00C57413"/>
    <w:rsid w:val="00C57C5A"/>
    <w:rsid w:val="00C57F4B"/>
    <w:rsid w:val="00C604AF"/>
    <w:rsid w:val="00C61715"/>
    <w:rsid w:val="00C61733"/>
    <w:rsid w:val="00C61753"/>
    <w:rsid w:val="00C618DD"/>
    <w:rsid w:val="00C61E06"/>
    <w:rsid w:val="00C62264"/>
    <w:rsid w:val="00C62383"/>
    <w:rsid w:val="00C62BC1"/>
    <w:rsid w:val="00C6334C"/>
    <w:rsid w:val="00C638F6"/>
    <w:rsid w:val="00C63C52"/>
    <w:rsid w:val="00C63D8A"/>
    <w:rsid w:val="00C63DC6"/>
    <w:rsid w:val="00C63FDA"/>
    <w:rsid w:val="00C64D50"/>
    <w:rsid w:val="00C65514"/>
    <w:rsid w:val="00C6625C"/>
    <w:rsid w:val="00C66E00"/>
    <w:rsid w:val="00C6789C"/>
    <w:rsid w:val="00C67E38"/>
    <w:rsid w:val="00C67E62"/>
    <w:rsid w:val="00C70194"/>
    <w:rsid w:val="00C72170"/>
    <w:rsid w:val="00C728D8"/>
    <w:rsid w:val="00C72992"/>
    <w:rsid w:val="00C7301E"/>
    <w:rsid w:val="00C73908"/>
    <w:rsid w:val="00C7422E"/>
    <w:rsid w:val="00C757EF"/>
    <w:rsid w:val="00C7586B"/>
    <w:rsid w:val="00C75BDF"/>
    <w:rsid w:val="00C76669"/>
    <w:rsid w:val="00C76D7A"/>
    <w:rsid w:val="00C77801"/>
    <w:rsid w:val="00C8037B"/>
    <w:rsid w:val="00C80707"/>
    <w:rsid w:val="00C81296"/>
    <w:rsid w:val="00C819C4"/>
    <w:rsid w:val="00C81BE2"/>
    <w:rsid w:val="00C841ED"/>
    <w:rsid w:val="00C84D69"/>
    <w:rsid w:val="00C858A8"/>
    <w:rsid w:val="00C85CD0"/>
    <w:rsid w:val="00C85D32"/>
    <w:rsid w:val="00C86153"/>
    <w:rsid w:val="00C8615F"/>
    <w:rsid w:val="00C86A3C"/>
    <w:rsid w:val="00C870F1"/>
    <w:rsid w:val="00C87292"/>
    <w:rsid w:val="00C878D5"/>
    <w:rsid w:val="00C87DE9"/>
    <w:rsid w:val="00C9033B"/>
    <w:rsid w:val="00C90465"/>
    <w:rsid w:val="00C906BC"/>
    <w:rsid w:val="00C90EEF"/>
    <w:rsid w:val="00C90F22"/>
    <w:rsid w:val="00C913A1"/>
    <w:rsid w:val="00C91750"/>
    <w:rsid w:val="00C91CBE"/>
    <w:rsid w:val="00C9233D"/>
    <w:rsid w:val="00C92D5D"/>
    <w:rsid w:val="00C92EA9"/>
    <w:rsid w:val="00C92F7C"/>
    <w:rsid w:val="00C93481"/>
    <w:rsid w:val="00C936D9"/>
    <w:rsid w:val="00C93A87"/>
    <w:rsid w:val="00C94876"/>
    <w:rsid w:val="00C94CE5"/>
    <w:rsid w:val="00C95859"/>
    <w:rsid w:val="00C96BB1"/>
    <w:rsid w:val="00C96F02"/>
    <w:rsid w:val="00C96F34"/>
    <w:rsid w:val="00CA0A0C"/>
    <w:rsid w:val="00CA20DF"/>
    <w:rsid w:val="00CA2916"/>
    <w:rsid w:val="00CA2F81"/>
    <w:rsid w:val="00CA3265"/>
    <w:rsid w:val="00CA346F"/>
    <w:rsid w:val="00CA35FE"/>
    <w:rsid w:val="00CA6611"/>
    <w:rsid w:val="00CA666C"/>
    <w:rsid w:val="00CA6CB3"/>
    <w:rsid w:val="00CA70B7"/>
    <w:rsid w:val="00CB07DF"/>
    <w:rsid w:val="00CB08D8"/>
    <w:rsid w:val="00CB1112"/>
    <w:rsid w:val="00CB1A16"/>
    <w:rsid w:val="00CB1DDA"/>
    <w:rsid w:val="00CB1FCC"/>
    <w:rsid w:val="00CB2ED6"/>
    <w:rsid w:val="00CB3A72"/>
    <w:rsid w:val="00CB4DD2"/>
    <w:rsid w:val="00CB5BE1"/>
    <w:rsid w:val="00CB5E2A"/>
    <w:rsid w:val="00CB68DA"/>
    <w:rsid w:val="00CB709A"/>
    <w:rsid w:val="00CB7AA9"/>
    <w:rsid w:val="00CB7E0D"/>
    <w:rsid w:val="00CC005D"/>
    <w:rsid w:val="00CC056A"/>
    <w:rsid w:val="00CC05A8"/>
    <w:rsid w:val="00CC07F0"/>
    <w:rsid w:val="00CC1327"/>
    <w:rsid w:val="00CC1F74"/>
    <w:rsid w:val="00CC2BCE"/>
    <w:rsid w:val="00CC39A0"/>
    <w:rsid w:val="00CC3A66"/>
    <w:rsid w:val="00CC3B32"/>
    <w:rsid w:val="00CC4472"/>
    <w:rsid w:val="00CC501D"/>
    <w:rsid w:val="00CC5B60"/>
    <w:rsid w:val="00CC6A99"/>
    <w:rsid w:val="00CC72AB"/>
    <w:rsid w:val="00CC7813"/>
    <w:rsid w:val="00CC7CCA"/>
    <w:rsid w:val="00CD06D9"/>
    <w:rsid w:val="00CD1544"/>
    <w:rsid w:val="00CD18E8"/>
    <w:rsid w:val="00CD2361"/>
    <w:rsid w:val="00CD2642"/>
    <w:rsid w:val="00CD2E36"/>
    <w:rsid w:val="00CD3485"/>
    <w:rsid w:val="00CD4237"/>
    <w:rsid w:val="00CD43DB"/>
    <w:rsid w:val="00CD4624"/>
    <w:rsid w:val="00CD4C67"/>
    <w:rsid w:val="00CD4CFC"/>
    <w:rsid w:val="00CD5008"/>
    <w:rsid w:val="00CD60E8"/>
    <w:rsid w:val="00CD6542"/>
    <w:rsid w:val="00CD6B8F"/>
    <w:rsid w:val="00CD738C"/>
    <w:rsid w:val="00CD7709"/>
    <w:rsid w:val="00CD7B2F"/>
    <w:rsid w:val="00CE0376"/>
    <w:rsid w:val="00CE2376"/>
    <w:rsid w:val="00CE35B3"/>
    <w:rsid w:val="00CE37CC"/>
    <w:rsid w:val="00CE3CBF"/>
    <w:rsid w:val="00CE4CAF"/>
    <w:rsid w:val="00CE5865"/>
    <w:rsid w:val="00CE5A59"/>
    <w:rsid w:val="00CF0B8C"/>
    <w:rsid w:val="00CF0BD4"/>
    <w:rsid w:val="00CF3698"/>
    <w:rsid w:val="00CF370F"/>
    <w:rsid w:val="00CF3B57"/>
    <w:rsid w:val="00CF3CB7"/>
    <w:rsid w:val="00CF3EBF"/>
    <w:rsid w:val="00CF5197"/>
    <w:rsid w:val="00CF5203"/>
    <w:rsid w:val="00CF5B3E"/>
    <w:rsid w:val="00CF634C"/>
    <w:rsid w:val="00CF6B0B"/>
    <w:rsid w:val="00D00085"/>
    <w:rsid w:val="00D00327"/>
    <w:rsid w:val="00D00385"/>
    <w:rsid w:val="00D00AA3"/>
    <w:rsid w:val="00D00F3F"/>
    <w:rsid w:val="00D0146E"/>
    <w:rsid w:val="00D01642"/>
    <w:rsid w:val="00D01874"/>
    <w:rsid w:val="00D037F0"/>
    <w:rsid w:val="00D03D15"/>
    <w:rsid w:val="00D049FC"/>
    <w:rsid w:val="00D04B79"/>
    <w:rsid w:val="00D0504E"/>
    <w:rsid w:val="00D06207"/>
    <w:rsid w:val="00D066C4"/>
    <w:rsid w:val="00D06899"/>
    <w:rsid w:val="00D07F73"/>
    <w:rsid w:val="00D10602"/>
    <w:rsid w:val="00D1067D"/>
    <w:rsid w:val="00D109AA"/>
    <w:rsid w:val="00D10F2F"/>
    <w:rsid w:val="00D1229D"/>
    <w:rsid w:val="00D12428"/>
    <w:rsid w:val="00D124AC"/>
    <w:rsid w:val="00D133ED"/>
    <w:rsid w:val="00D13FDF"/>
    <w:rsid w:val="00D14844"/>
    <w:rsid w:val="00D150E5"/>
    <w:rsid w:val="00D16005"/>
    <w:rsid w:val="00D176D5"/>
    <w:rsid w:val="00D17F64"/>
    <w:rsid w:val="00D2041C"/>
    <w:rsid w:val="00D20657"/>
    <w:rsid w:val="00D20ED0"/>
    <w:rsid w:val="00D22B1F"/>
    <w:rsid w:val="00D234C8"/>
    <w:rsid w:val="00D23D8A"/>
    <w:rsid w:val="00D23F46"/>
    <w:rsid w:val="00D25ADE"/>
    <w:rsid w:val="00D25FC2"/>
    <w:rsid w:val="00D27DA7"/>
    <w:rsid w:val="00D304ED"/>
    <w:rsid w:val="00D30DF6"/>
    <w:rsid w:val="00D31713"/>
    <w:rsid w:val="00D3196A"/>
    <w:rsid w:val="00D31DA7"/>
    <w:rsid w:val="00D333A0"/>
    <w:rsid w:val="00D348DA"/>
    <w:rsid w:val="00D376A8"/>
    <w:rsid w:val="00D4087A"/>
    <w:rsid w:val="00D41593"/>
    <w:rsid w:val="00D415AF"/>
    <w:rsid w:val="00D42978"/>
    <w:rsid w:val="00D43297"/>
    <w:rsid w:val="00D43440"/>
    <w:rsid w:val="00D4430E"/>
    <w:rsid w:val="00D445F0"/>
    <w:rsid w:val="00D446F3"/>
    <w:rsid w:val="00D4474A"/>
    <w:rsid w:val="00D44DB6"/>
    <w:rsid w:val="00D4551C"/>
    <w:rsid w:val="00D463F5"/>
    <w:rsid w:val="00D46C80"/>
    <w:rsid w:val="00D47E13"/>
    <w:rsid w:val="00D47E3B"/>
    <w:rsid w:val="00D50119"/>
    <w:rsid w:val="00D50C17"/>
    <w:rsid w:val="00D5178B"/>
    <w:rsid w:val="00D52E69"/>
    <w:rsid w:val="00D5325A"/>
    <w:rsid w:val="00D53EEE"/>
    <w:rsid w:val="00D54815"/>
    <w:rsid w:val="00D5537A"/>
    <w:rsid w:val="00D55505"/>
    <w:rsid w:val="00D558A3"/>
    <w:rsid w:val="00D55B30"/>
    <w:rsid w:val="00D560E2"/>
    <w:rsid w:val="00D5631E"/>
    <w:rsid w:val="00D5712A"/>
    <w:rsid w:val="00D5766C"/>
    <w:rsid w:val="00D576F3"/>
    <w:rsid w:val="00D6074D"/>
    <w:rsid w:val="00D610FF"/>
    <w:rsid w:val="00D61369"/>
    <w:rsid w:val="00D616CE"/>
    <w:rsid w:val="00D6170F"/>
    <w:rsid w:val="00D61CF7"/>
    <w:rsid w:val="00D61E99"/>
    <w:rsid w:val="00D62231"/>
    <w:rsid w:val="00D62305"/>
    <w:rsid w:val="00D6241D"/>
    <w:rsid w:val="00D62442"/>
    <w:rsid w:val="00D62818"/>
    <w:rsid w:val="00D62899"/>
    <w:rsid w:val="00D62DFE"/>
    <w:rsid w:val="00D62E6A"/>
    <w:rsid w:val="00D631C7"/>
    <w:rsid w:val="00D63CAB"/>
    <w:rsid w:val="00D643C9"/>
    <w:rsid w:val="00D65B69"/>
    <w:rsid w:val="00D66DC5"/>
    <w:rsid w:val="00D67861"/>
    <w:rsid w:val="00D67E07"/>
    <w:rsid w:val="00D713F0"/>
    <w:rsid w:val="00D71F7D"/>
    <w:rsid w:val="00D729AB"/>
    <w:rsid w:val="00D729FD"/>
    <w:rsid w:val="00D73537"/>
    <w:rsid w:val="00D74817"/>
    <w:rsid w:val="00D74C68"/>
    <w:rsid w:val="00D75DDA"/>
    <w:rsid w:val="00D766C7"/>
    <w:rsid w:val="00D768A8"/>
    <w:rsid w:val="00D7719D"/>
    <w:rsid w:val="00D778DA"/>
    <w:rsid w:val="00D808A9"/>
    <w:rsid w:val="00D80D1B"/>
    <w:rsid w:val="00D80EFD"/>
    <w:rsid w:val="00D81240"/>
    <w:rsid w:val="00D819D8"/>
    <w:rsid w:val="00D8205F"/>
    <w:rsid w:val="00D82496"/>
    <w:rsid w:val="00D82A43"/>
    <w:rsid w:val="00D82AF4"/>
    <w:rsid w:val="00D82B47"/>
    <w:rsid w:val="00D833B7"/>
    <w:rsid w:val="00D835E5"/>
    <w:rsid w:val="00D8362A"/>
    <w:rsid w:val="00D83C7E"/>
    <w:rsid w:val="00D8402C"/>
    <w:rsid w:val="00D84417"/>
    <w:rsid w:val="00D846B7"/>
    <w:rsid w:val="00D8472D"/>
    <w:rsid w:val="00D85C47"/>
    <w:rsid w:val="00D85F74"/>
    <w:rsid w:val="00D86295"/>
    <w:rsid w:val="00D86764"/>
    <w:rsid w:val="00D872B9"/>
    <w:rsid w:val="00D879D0"/>
    <w:rsid w:val="00D9068C"/>
    <w:rsid w:val="00D90790"/>
    <w:rsid w:val="00D910D4"/>
    <w:rsid w:val="00D91127"/>
    <w:rsid w:val="00D9116F"/>
    <w:rsid w:val="00D91218"/>
    <w:rsid w:val="00D9171A"/>
    <w:rsid w:val="00D91AC8"/>
    <w:rsid w:val="00D921F1"/>
    <w:rsid w:val="00D92328"/>
    <w:rsid w:val="00D92B8A"/>
    <w:rsid w:val="00D92DD1"/>
    <w:rsid w:val="00D933FD"/>
    <w:rsid w:val="00D93494"/>
    <w:rsid w:val="00D937CE"/>
    <w:rsid w:val="00D937E0"/>
    <w:rsid w:val="00D93BA4"/>
    <w:rsid w:val="00D93C62"/>
    <w:rsid w:val="00D942C7"/>
    <w:rsid w:val="00D9513E"/>
    <w:rsid w:val="00D953D4"/>
    <w:rsid w:val="00D95862"/>
    <w:rsid w:val="00D9698E"/>
    <w:rsid w:val="00D9742B"/>
    <w:rsid w:val="00D974CA"/>
    <w:rsid w:val="00DA0702"/>
    <w:rsid w:val="00DA087E"/>
    <w:rsid w:val="00DA12F2"/>
    <w:rsid w:val="00DA1C32"/>
    <w:rsid w:val="00DA254F"/>
    <w:rsid w:val="00DA2DBE"/>
    <w:rsid w:val="00DA3BF0"/>
    <w:rsid w:val="00DA4097"/>
    <w:rsid w:val="00DA5361"/>
    <w:rsid w:val="00DA58CF"/>
    <w:rsid w:val="00DA6134"/>
    <w:rsid w:val="00DA674D"/>
    <w:rsid w:val="00DA68EF"/>
    <w:rsid w:val="00DA70F6"/>
    <w:rsid w:val="00DA7A3D"/>
    <w:rsid w:val="00DA7B5D"/>
    <w:rsid w:val="00DA7CCD"/>
    <w:rsid w:val="00DB0D6F"/>
    <w:rsid w:val="00DB1390"/>
    <w:rsid w:val="00DB19F5"/>
    <w:rsid w:val="00DB2148"/>
    <w:rsid w:val="00DB22B7"/>
    <w:rsid w:val="00DB323B"/>
    <w:rsid w:val="00DB53C4"/>
    <w:rsid w:val="00DB569A"/>
    <w:rsid w:val="00DB60AA"/>
    <w:rsid w:val="00DB6749"/>
    <w:rsid w:val="00DB6A3D"/>
    <w:rsid w:val="00DB6BFC"/>
    <w:rsid w:val="00DB7A91"/>
    <w:rsid w:val="00DB7D90"/>
    <w:rsid w:val="00DC0B1E"/>
    <w:rsid w:val="00DC0E5D"/>
    <w:rsid w:val="00DC1319"/>
    <w:rsid w:val="00DC1AD7"/>
    <w:rsid w:val="00DC24D0"/>
    <w:rsid w:val="00DC3CFE"/>
    <w:rsid w:val="00DC40D4"/>
    <w:rsid w:val="00DC4290"/>
    <w:rsid w:val="00DC4447"/>
    <w:rsid w:val="00DC46D4"/>
    <w:rsid w:val="00DC488E"/>
    <w:rsid w:val="00DC547F"/>
    <w:rsid w:val="00DC5680"/>
    <w:rsid w:val="00DC575C"/>
    <w:rsid w:val="00DC5AAD"/>
    <w:rsid w:val="00DC651A"/>
    <w:rsid w:val="00DC6F33"/>
    <w:rsid w:val="00DC712C"/>
    <w:rsid w:val="00DC75C2"/>
    <w:rsid w:val="00DC77F6"/>
    <w:rsid w:val="00DD0301"/>
    <w:rsid w:val="00DD0990"/>
    <w:rsid w:val="00DD10E5"/>
    <w:rsid w:val="00DD17C4"/>
    <w:rsid w:val="00DD2E6B"/>
    <w:rsid w:val="00DD2F35"/>
    <w:rsid w:val="00DD3429"/>
    <w:rsid w:val="00DD3440"/>
    <w:rsid w:val="00DD3BE1"/>
    <w:rsid w:val="00DD5FF0"/>
    <w:rsid w:val="00DD61AF"/>
    <w:rsid w:val="00DD7BEE"/>
    <w:rsid w:val="00DE035B"/>
    <w:rsid w:val="00DE0390"/>
    <w:rsid w:val="00DE03EB"/>
    <w:rsid w:val="00DE08A9"/>
    <w:rsid w:val="00DE0920"/>
    <w:rsid w:val="00DE0B92"/>
    <w:rsid w:val="00DE0F8D"/>
    <w:rsid w:val="00DE1872"/>
    <w:rsid w:val="00DE4CB9"/>
    <w:rsid w:val="00DE5E44"/>
    <w:rsid w:val="00DE643B"/>
    <w:rsid w:val="00DE670F"/>
    <w:rsid w:val="00DE70AF"/>
    <w:rsid w:val="00DE78A1"/>
    <w:rsid w:val="00DF0467"/>
    <w:rsid w:val="00DF0B84"/>
    <w:rsid w:val="00DF0BBB"/>
    <w:rsid w:val="00DF166A"/>
    <w:rsid w:val="00DF1860"/>
    <w:rsid w:val="00DF1C72"/>
    <w:rsid w:val="00DF22B1"/>
    <w:rsid w:val="00DF30FC"/>
    <w:rsid w:val="00DF32DF"/>
    <w:rsid w:val="00DF32E7"/>
    <w:rsid w:val="00DF3B0A"/>
    <w:rsid w:val="00DF43C9"/>
    <w:rsid w:val="00DF549C"/>
    <w:rsid w:val="00DF58E7"/>
    <w:rsid w:val="00DF6E27"/>
    <w:rsid w:val="00E00633"/>
    <w:rsid w:val="00E008BC"/>
    <w:rsid w:val="00E00C10"/>
    <w:rsid w:val="00E0171D"/>
    <w:rsid w:val="00E01D3A"/>
    <w:rsid w:val="00E021D8"/>
    <w:rsid w:val="00E021FD"/>
    <w:rsid w:val="00E02D68"/>
    <w:rsid w:val="00E02E16"/>
    <w:rsid w:val="00E037C3"/>
    <w:rsid w:val="00E03A47"/>
    <w:rsid w:val="00E03F6E"/>
    <w:rsid w:val="00E0417F"/>
    <w:rsid w:val="00E04270"/>
    <w:rsid w:val="00E04623"/>
    <w:rsid w:val="00E04824"/>
    <w:rsid w:val="00E04C73"/>
    <w:rsid w:val="00E04E2A"/>
    <w:rsid w:val="00E051E7"/>
    <w:rsid w:val="00E0583E"/>
    <w:rsid w:val="00E063C4"/>
    <w:rsid w:val="00E06439"/>
    <w:rsid w:val="00E06D9D"/>
    <w:rsid w:val="00E073BF"/>
    <w:rsid w:val="00E077F4"/>
    <w:rsid w:val="00E07C3F"/>
    <w:rsid w:val="00E10004"/>
    <w:rsid w:val="00E100F7"/>
    <w:rsid w:val="00E11876"/>
    <w:rsid w:val="00E11D41"/>
    <w:rsid w:val="00E11E82"/>
    <w:rsid w:val="00E11F36"/>
    <w:rsid w:val="00E1203E"/>
    <w:rsid w:val="00E124BC"/>
    <w:rsid w:val="00E1269D"/>
    <w:rsid w:val="00E12EB7"/>
    <w:rsid w:val="00E12EE8"/>
    <w:rsid w:val="00E140CA"/>
    <w:rsid w:val="00E144EE"/>
    <w:rsid w:val="00E14A62"/>
    <w:rsid w:val="00E14D82"/>
    <w:rsid w:val="00E14FDE"/>
    <w:rsid w:val="00E15105"/>
    <w:rsid w:val="00E1515C"/>
    <w:rsid w:val="00E15A86"/>
    <w:rsid w:val="00E16363"/>
    <w:rsid w:val="00E16B7E"/>
    <w:rsid w:val="00E17033"/>
    <w:rsid w:val="00E17230"/>
    <w:rsid w:val="00E17ACD"/>
    <w:rsid w:val="00E20052"/>
    <w:rsid w:val="00E214F0"/>
    <w:rsid w:val="00E21941"/>
    <w:rsid w:val="00E21CDE"/>
    <w:rsid w:val="00E23140"/>
    <w:rsid w:val="00E234A0"/>
    <w:rsid w:val="00E23897"/>
    <w:rsid w:val="00E2390A"/>
    <w:rsid w:val="00E23CBB"/>
    <w:rsid w:val="00E24924"/>
    <w:rsid w:val="00E24F91"/>
    <w:rsid w:val="00E256B1"/>
    <w:rsid w:val="00E25EBA"/>
    <w:rsid w:val="00E270C0"/>
    <w:rsid w:val="00E3043E"/>
    <w:rsid w:val="00E30819"/>
    <w:rsid w:val="00E3125A"/>
    <w:rsid w:val="00E3145D"/>
    <w:rsid w:val="00E31CD4"/>
    <w:rsid w:val="00E32626"/>
    <w:rsid w:val="00E32A1F"/>
    <w:rsid w:val="00E33281"/>
    <w:rsid w:val="00E35443"/>
    <w:rsid w:val="00E35540"/>
    <w:rsid w:val="00E35D42"/>
    <w:rsid w:val="00E3645B"/>
    <w:rsid w:val="00E36C5E"/>
    <w:rsid w:val="00E36DCE"/>
    <w:rsid w:val="00E37130"/>
    <w:rsid w:val="00E37872"/>
    <w:rsid w:val="00E37B59"/>
    <w:rsid w:val="00E37BCD"/>
    <w:rsid w:val="00E40950"/>
    <w:rsid w:val="00E40FF6"/>
    <w:rsid w:val="00E41F80"/>
    <w:rsid w:val="00E44344"/>
    <w:rsid w:val="00E443BD"/>
    <w:rsid w:val="00E444C1"/>
    <w:rsid w:val="00E458B6"/>
    <w:rsid w:val="00E45D99"/>
    <w:rsid w:val="00E4708C"/>
    <w:rsid w:val="00E47D64"/>
    <w:rsid w:val="00E47FF5"/>
    <w:rsid w:val="00E5070D"/>
    <w:rsid w:val="00E507D7"/>
    <w:rsid w:val="00E51427"/>
    <w:rsid w:val="00E51CBE"/>
    <w:rsid w:val="00E51D59"/>
    <w:rsid w:val="00E51FD4"/>
    <w:rsid w:val="00E52AA6"/>
    <w:rsid w:val="00E53438"/>
    <w:rsid w:val="00E53D57"/>
    <w:rsid w:val="00E54888"/>
    <w:rsid w:val="00E55CEF"/>
    <w:rsid w:val="00E561FD"/>
    <w:rsid w:val="00E56CAE"/>
    <w:rsid w:val="00E56FAA"/>
    <w:rsid w:val="00E5775C"/>
    <w:rsid w:val="00E5789C"/>
    <w:rsid w:val="00E57E96"/>
    <w:rsid w:val="00E60433"/>
    <w:rsid w:val="00E606BA"/>
    <w:rsid w:val="00E60E3E"/>
    <w:rsid w:val="00E6145B"/>
    <w:rsid w:val="00E615C0"/>
    <w:rsid w:val="00E619DA"/>
    <w:rsid w:val="00E62DA2"/>
    <w:rsid w:val="00E6360B"/>
    <w:rsid w:val="00E6463C"/>
    <w:rsid w:val="00E65B81"/>
    <w:rsid w:val="00E66887"/>
    <w:rsid w:val="00E66A0D"/>
    <w:rsid w:val="00E66D33"/>
    <w:rsid w:val="00E67A3B"/>
    <w:rsid w:val="00E67CA9"/>
    <w:rsid w:val="00E67F35"/>
    <w:rsid w:val="00E7007E"/>
    <w:rsid w:val="00E70251"/>
    <w:rsid w:val="00E70D52"/>
    <w:rsid w:val="00E71122"/>
    <w:rsid w:val="00E71166"/>
    <w:rsid w:val="00E717A7"/>
    <w:rsid w:val="00E725FC"/>
    <w:rsid w:val="00E72908"/>
    <w:rsid w:val="00E72AEA"/>
    <w:rsid w:val="00E73D2C"/>
    <w:rsid w:val="00E73E20"/>
    <w:rsid w:val="00E75055"/>
    <w:rsid w:val="00E7766E"/>
    <w:rsid w:val="00E80F4B"/>
    <w:rsid w:val="00E81DD5"/>
    <w:rsid w:val="00E82035"/>
    <w:rsid w:val="00E82352"/>
    <w:rsid w:val="00E83ED6"/>
    <w:rsid w:val="00E84863"/>
    <w:rsid w:val="00E87F82"/>
    <w:rsid w:val="00E910CB"/>
    <w:rsid w:val="00E911EB"/>
    <w:rsid w:val="00E91350"/>
    <w:rsid w:val="00E913BB"/>
    <w:rsid w:val="00E914FF"/>
    <w:rsid w:val="00E91EE0"/>
    <w:rsid w:val="00E9253D"/>
    <w:rsid w:val="00E929A2"/>
    <w:rsid w:val="00E92D5B"/>
    <w:rsid w:val="00E9346B"/>
    <w:rsid w:val="00E951AA"/>
    <w:rsid w:val="00E9543B"/>
    <w:rsid w:val="00E96293"/>
    <w:rsid w:val="00E970EA"/>
    <w:rsid w:val="00E977FA"/>
    <w:rsid w:val="00EA0468"/>
    <w:rsid w:val="00EA0F5E"/>
    <w:rsid w:val="00EA23CE"/>
    <w:rsid w:val="00EA26C6"/>
    <w:rsid w:val="00EA2CAA"/>
    <w:rsid w:val="00EA36C6"/>
    <w:rsid w:val="00EA4CB8"/>
    <w:rsid w:val="00EA5179"/>
    <w:rsid w:val="00EA552B"/>
    <w:rsid w:val="00EA5964"/>
    <w:rsid w:val="00EA671C"/>
    <w:rsid w:val="00EA6933"/>
    <w:rsid w:val="00EA695A"/>
    <w:rsid w:val="00EA7711"/>
    <w:rsid w:val="00EA783F"/>
    <w:rsid w:val="00EB1588"/>
    <w:rsid w:val="00EB18AE"/>
    <w:rsid w:val="00EB18B6"/>
    <w:rsid w:val="00EB1A31"/>
    <w:rsid w:val="00EB21D9"/>
    <w:rsid w:val="00EB35BC"/>
    <w:rsid w:val="00EB4999"/>
    <w:rsid w:val="00EB5272"/>
    <w:rsid w:val="00EB5549"/>
    <w:rsid w:val="00EB6FC7"/>
    <w:rsid w:val="00EB701C"/>
    <w:rsid w:val="00EB7D15"/>
    <w:rsid w:val="00EC18D8"/>
    <w:rsid w:val="00EC1A25"/>
    <w:rsid w:val="00EC1E42"/>
    <w:rsid w:val="00EC3079"/>
    <w:rsid w:val="00EC30F9"/>
    <w:rsid w:val="00EC3586"/>
    <w:rsid w:val="00EC51B0"/>
    <w:rsid w:val="00EC5969"/>
    <w:rsid w:val="00EC5B2A"/>
    <w:rsid w:val="00EC7600"/>
    <w:rsid w:val="00EC7F69"/>
    <w:rsid w:val="00ED0152"/>
    <w:rsid w:val="00ED135C"/>
    <w:rsid w:val="00ED1F40"/>
    <w:rsid w:val="00ED21F2"/>
    <w:rsid w:val="00ED2296"/>
    <w:rsid w:val="00ED2F21"/>
    <w:rsid w:val="00ED3424"/>
    <w:rsid w:val="00ED38A9"/>
    <w:rsid w:val="00ED40D7"/>
    <w:rsid w:val="00ED4B3E"/>
    <w:rsid w:val="00ED5725"/>
    <w:rsid w:val="00ED5DF5"/>
    <w:rsid w:val="00ED644F"/>
    <w:rsid w:val="00ED6A0E"/>
    <w:rsid w:val="00ED7031"/>
    <w:rsid w:val="00ED70F0"/>
    <w:rsid w:val="00ED773B"/>
    <w:rsid w:val="00EE0410"/>
    <w:rsid w:val="00EE091C"/>
    <w:rsid w:val="00EE18B5"/>
    <w:rsid w:val="00EE22F9"/>
    <w:rsid w:val="00EE3060"/>
    <w:rsid w:val="00EE35B1"/>
    <w:rsid w:val="00EE4315"/>
    <w:rsid w:val="00EE49F4"/>
    <w:rsid w:val="00EE4FC1"/>
    <w:rsid w:val="00EE533C"/>
    <w:rsid w:val="00EE5C4D"/>
    <w:rsid w:val="00EE6379"/>
    <w:rsid w:val="00EE7090"/>
    <w:rsid w:val="00EE78C3"/>
    <w:rsid w:val="00EE7D8B"/>
    <w:rsid w:val="00EF107A"/>
    <w:rsid w:val="00EF2B84"/>
    <w:rsid w:val="00EF3DB2"/>
    <w:rsid w:val="00EF4478"/>
    <w:rsid w:val="00EF471A"/>
    <w:rsid w:val="00EF49F0"/>
    <w:rsid w:val="00EF4C2E"/>
    <w:rsid w:val="00EF555D"/>
    <w:rsid w:val="00EF58A8"/>
    <w:rsid w:val="00EF5CA9"/>
    <w:rsid w:val="00EF5E96"/>
    <w:rsid w:val="00EF6484"/>
    <w:rsid w:val="00EF6925"/>
    <w:rsid w:val="00EF6B32"/>
    <w:rsid w:val="00EF778E"/>
    <w:rsid w:val="00EF7A78"/>
    <w:rsid w:val="00F00185"/>
    <w:rsid w:val="00F00728"/>
    <w:rsid w:val="00F01027"/>
    <w:rsid w:val="00F01D60"/>
    <w:rsid w:val="00F01DDE"/>
    <w:rsid w:val="00F01E9F"/>
    <w:rsid w:val="00F02D9A"/>
    <w:rsid w:val="00F02DE9"/>
    <w:rsid w:val="00F0315E"/>
    <w:rsid w:val="00F03731"/>
    <w:rsid w:val="00F04671"/>
    <w:rsid w:val="00F058EA"/>
    <w:rsid w:val="00F06384"/>
    <w:rsid w:val="00F06557"/>
    <w:rsid w:val="00F06999"/>
    <w:rsid w:val="00F10C2E"/>
    <w:rsid w:val="00F12118"/>
    <w:rsid w:val="00F14661"/>
    <w:rsid w:val="00F149A4"/>
    <w:rsid w:val="00F155C4"/>
    <w:rsid w:val="00F1601C"/>
    <w:rsid w:val="00F17908"/>
    <w:rsid w:val="00F2117F"/>
    <w:rsid w:val="00F212B0"/>
    <w:rsid w:val="00F21864"/>
    <w:rsid w:val="00F22221"/>
    <w:rsid w:val="00F2293F"/>
    <w:rsid w:val="00F23339"/>
    <w:rsid w:val="00F24375"/>
    <w:rsid w:val="00F25AB6"/>
    <w:rsid w:val="00F264F2"/>
    <w:rsid w:val="00F2662C"/>
    <w:rsid w:val="00F26ADF"/>
    <w:rsid w:val="00F26DA5"/>
    <w:rsid w:val="00F26ED3"/>
    <w:rsid w:val="00F27D03"/>
    <w:rsid w:val="00F27DBB"/>
    <w:rsid w:val="00F301F9"/>
    <w:rsid w:val="00F31028"/>
    <w:rsid w:val="00F31165"/>
    <w:rsid w:val="00F318BF"/>
    <w:rsid w:val="00F3260C"/>
    <w:rsid w:val="00F327FE"/>
    <w:rsid w:val="00F32B68"/>
    <w:rsid w:val="00F33DA9"/>
    <w:rsid w:val="00F34F82"/>
    <w:rsid w:val="00F351D8"/>
    <w:rsid w:val="00F35321"/>
    <w:rsid w:val="00F354D7"/>
    <w:rsid w:val="00F3789F"/>
    <w:rsid w:val="00F37E1B"/>
    <w:rsid w:val="00F40A01"/>
    <w:rsid w:val="00F40DC9"/>
    <w:rsid w:val="00F40FBE"/>
    <w:rsid w:val="00F41332"/>
    <w:rsid w:val="00F41AAF"/>
    <w:rsid w:val="00F41B7E"/>
    <w:rsid w:val="00F41CD7"/>
    <w:rsid w:val="00F430BB"/>
    <w:rsid w:val="00F43C82"/>
    <w:rsid w:val="00F43F82"/>
    <w:rsid w:val="00F44F35"/>
    <w:rsid w:val="00F44FC7"/>
    <w:rsid w:val="00F4550B"/>
    <w:rsid w:val="00F458DD"/>
    <w:rsid w:val="00F45987"/>
    <w:rsid w:val="00F472CB"/>
    <w:rsid w:val="00F47F1C"/>
    <w:rsid w:val="00F50E1F"/>
    <w:rsid w:val="00F51A9C"/>
    <w:rsid w:val="00F524FA"/>
    <w:rsid w:val="00F52A5E"/>
    <w:rsid w:val="00F53811"/>
    <w:rsid w:val="00F53FD5"/>
    <w:rsid w:val="00F544E5"/>
    <w:rsid w:val="00F549DA"/>
    <w:rsid w:val="00F5506C"/>
    <w:rsid w:val="00F550C0"/>
    <w:rsid w:val="00F558EF"/>
    <w:rsid w:val="00F5623F"/>
    <w:rsid w:val="00F56D19"/>
    <w:rsid w:val="00F57598"/>
    <w:rsid w:val="00F5759A"/>
    <w:rsid w:val="00F57F84"/>
    <w:rsid w:val="00F57FBC"/>
    <w:rsid w:val="00F60722"/>
    <w:rsid w:val="00F61055"/>
    <w:rsid w:val="00F6118C"/>
    <w:rsid w:val="00F6129D"/>
    <w:rsid w:val="00F6168A"/>
    <w:rsid w:val="00F62151"/>
    <w:rsid w:val="00F62700"/>
    <w:rsid w:val="00F62A5B"/>
    <w:rsid w:val="00F62B7A"/>
    <w:rsid w:val="00F62BB9"/>
    <w:rsid w:val="00F62BD1"/>
    <w:rsid w:val="00F62D35"/>
    <w:rsid w:val="00F6397D"/>
    <w:rsid w:val="00F63B3D"/>
    <w:rsid w:val="00F643FA"/>
    <w:rsid w:val="00F645ED"/>
    <w:rsid w:val="00F66146"/>
    <w:rsid w:val="00F664BB"/>
    <w:rsid w:val="00F669E0"/>
    <w:rsid w:val="00F6758C"/>
    <w:rsid w:val="00F707AD"/>
    <w:rsid w:val="00F71C3A"/>
    <w:rsid w:val="00F7207F"/>
    <w:rsid w:val="00F7293E"/>
    <w:rsid w:val="00F729F5"/>
    <w:rsid w:val="00F7423B"/>
    <w:rsid w:val="00F74B6A"/>
    <w:rsid w:val="00F7557A"/>
    <w:rsid w:val="00F756C1"/>
    <w:rsid w:val="00F75EDB"/>
    <w:rsid w:val="00F76650"/>
    <w:rsid w:val="00F768D9"/>
    <w:rsid w:val="00F77FAE"/>
    <w:rsid w:val="00F800AE"/>
    <w:rsid w:val="00F80C3F"/>
    <w:rsid w:val="00F8255C"/>
    <w:rsid w:val="00F84557"/>
    <w:rsid w:val="00F85662"/>
    <w:rsid w:val="00F86BFF"/>
    <w:rsid w:val="00F86E45"/>
    <w:rsid w:val="00F87184"/>
    <w:rsid w:val="00F878F4"/>
    <w:rsid w:val="00F87DC4"/>
    <w:rsid w:val="00F90080"/>
    <w:rsid w:val="00F90089"/>
    <w:rsid w:val="00F901D3"/>
    <w:rsid w:val="00F91673"/>
    <w:rsid w:val="00F9187B"/>
    <w:rsid w:val="00F9195B"/>
    <w:rsid w:val="00F91C21"/>
    <w:rsid w:val="00F92113"/>
    <w:rsid w:val="00F92385"/>
    <w:rsid w:val="00F92AF7"/>
    <w:rsid w:val="00F933F5"/>
    <w:rsid w:val="00F9360F"/>
    <w:rsid w:val="00F93961"/>
    <w:rsid w:val="00F94279"/>
    <w:rsid w:val="00F94966"/>
    <w:rsid w:val="00F96024"/>
    <w:rsid w:val="00F967B1"/>
    <w:rsid w:val="00F96BBE"/>
    <w:rsid w:val="00F97F23"/>
    <w:rsid w:val="00FA0994"/>
    <w:rsid w:val="00FA1188"/>
    <w:rsid w:val="00FA1732"/>
    <w:rsid w:val="00FA1A08"/>
    <w:rsid w:val="00FA1B4F"/>
    <w:rsid w:val="00FA31AF"/>
    <w:rsid w:val="00FA3D7D"/>
    <w:rsid w:val="00FA4B6F"/>
    <w:rsid w:val="00FA4DC9"/>
    <w:rsid w:val="00FA50E6"/>
    <w:rsid w:val="00FA56C1"/>
    <w:rsid w:val="00FA5F35"/>
    <w:rsid w:val="00FA613C"/>
    <w:rsid w:val="00FA6467"/>
    <w:rsid w:val="00FA6857"/>
    <w:rsid w:val="00FA7268"/>
    <w:rsid w:val="00FB0149"/>
    <w:rsid w:val="00FB01A4"/>
    <w:rsid w:val="00FB0A3C"/>
    <w:rsid w:val="00FB0D39"/>
    <w:rsid w:val="00FB1454"/>
    <w:rsid w:val="00FB18FA"/>
    <w:rsid w:val="00FB1C72"/>
    <w:rsid w:val="00FB3071"/>
    <w:rsid w:val="00FB39F8"/>
    <w:rsid w:val="00FB3B1D"/>
    <w:rsid w:val="00FB436F"/>
    <w:rsid w:val="00FB4819"/>
    <w:rsid w:val="00FB4CF7"/>
    <w:rsid w:val="00FB5546"/>
    <w:rsid w:val="00FB584D"/>
    <w:rsid w:val="00FB5A98"/>
    <w:rsid w:val="00FB6054"/>
    <w:rsid w:val="00FB7691"/>
    <w:rsid w:val="00FC05C4"/>
    <w:rsid w:val="00FC0B10"/>
    <w:rsid w:val="00FC0E11"/>
    <w:rsid w:val="00FC0E53"/>
    <w:rsid w:val="00FC0E71"/>
    <w:rsid w:val="00FC0F88"/>
    <w:rsid w:val="00FC1307"/>
    <w:rsid w:val="00FC1405"/>
    <w:rsid w:val="00FC18D5"/>
    <w:rsid w:val="00FC1F65"/>
    <w:rsid w:val="00FC211D"/>
    <w:rsid w:val="00FC3608"/>
    <w:rsid w:val="00FC36D8"/>
    <w:rsid w:val="00FC3765"/>
    <w:rsid w:val="00FC3EAF"/>
    <w:rsid w:val="00FC47F9"/>
    <w:rsid w:val="00FC4AD1"/>
    <w:rsid w:val="00FC5822"/>
    <w:rsid w:val="00FC59DB"/>
    <w:rsid w:val="00FC5AF5"/>
    <w:rsid w:val="00FC5DF9"/>
    <w:rsid w:val="00FC6472"/>
    <w:rsid w:val="00FC656A"/>
    <w:rsid w:val="00FC71A3"/>
    <w:rsid w:val="00FD01AB"/>
    <w:rsid w:val="00FD058D"/>
    <w:rsid w:val="00FD1395"/>
    <w:rsid w:val="00FD1D9F"/>
    <w:rsid w:val="00FD1DBA"/>
    <w:rsid w:val="00FD207C"/>
    <w:rsid w:val="00FD28BA"/>
    <w:rsid w:val="00FD290F"/>
    <w:rsid w:val="00FD31DD"/>
    <w:rsid w:val="00FD3650"/>
    <w:rsid w:val="00FD4030"/>
    <w:rsid w:val="00FD408F"/>
    <w:rsid w:val="00FD46C8"/>
    <w:rsid w:val="00FD530D"/>
    <w:rsid w:val="00FD5602"/>
    <w:rsid w:val="00FD641C"/>
    <w:rsid w:val="00FD6540"/>
    <w:rsid w:val="00FD66C0"/>
    <w:rsid w:val="00FD70D5"/>
    <w:rsid w:val="00FD7A06"/>
    <w:rsid w:val="00FE1125"/>
    <w:rsid w:val="00FE1AA6"/>
    <w:rsid w:val="00FE1C79"/>
    <w:rsid w:val="00FE2351"/>
    <w:rsid w:val="00FE241F"/>
    <w:rsid w:val="00FE2C6B"/>
    <w:rsid w:val="00FE337D"/>
    <w:rsid w:val="00FE34BB"/>
    <w:rsid w:val="00FE34DF"/>
    <w:rsid w:val="00FE398A"/>
    <w:rsid w:val="00FE5580"/>
    <w:rsid w:val="00FE5F6C"/>
    <w:rsid w:val="00FE642E"/>
    <w:rsid w:val="00FE773F"/>
    <w:rsid w:val="00FE7797"/>
    <w:rsid w:val="00FF027B"/>
    <w:rsid w:val="00FF02ED"/>
    <w:rsid w:val="00FF05A1"/>
    <w:rsid w:val="00FF110C"/>
    <w:rsid w:val="00FF1131"/>
    <w:rsid w:val="00FF155E"/>
    <w:rsid w:val="00FF16F2"/>
    <w:rsid w:val="00FF1ACE"/>
    <w:rsid w:val="00FF1D6D"/>
    <w:rsid w:val="00FF2427"/>
    <w:rsid w:val="00FF2755"/>
    <w:rsid w:val="00FF293D"/>
    <w:rsid w:val="00FF3CD8"/>
    <w:rsid w:val="00FF4097"/>
    <w:rsid w:val="00FF4142"/>
    <w:rsid w:val="00FF4679"/>
    <w:rsid w:val="00FF4A74"/>
    <w:rsid w:val="00FF509C"/>
    <w:rsid w:val="00FF6331"/>
    <w:rsid w:val="00FF6BFB"/>
    <w:rsid w:val="07E71C88"/>
    <w:rsid w:val="0954FA3E"/>
    <w:rsid w:val="11BE35DF"/>
    <w:rsid w:val="144B65FA"/>
    <w:rsid w:val="1798043F"/>
    <w:rsid w:val="1BE007B3"/>
    <w:rsid w:val="2357BFEA"/>
    <w:rsid w:val="2EE361EA"/>
    <w:rsid w:val="327DFE77"/>
    <w:rsid w:val="3D34B5E8"/>
    <w:rsid w:val="41070E10"/>
    <w:rsid w:val="49F13281"/>
    <w:rsid w:val="4D6D9DFE"/>
    <w:rsid w:val="4DCA3022"/>
    <w:rsid w:val="51BFF27C"/>
    <w:rsid w:val="54FA8F83"/>
    <w:rsid w:val="55B9A3C4"/>
    <w:rsid w:val="55CA9A40"/>
    <w:rsid w:val="5671C867"/>
    <w:rsid w:val="5A1BF512"/>
    <w:rsid w:val="5A5B014C"/>
    <w:rsid w:val="5C0371DD"/>
    <w:rsid w:val="5C1BFC74"/>
    <w:rsid w:val="5E1F02C8"/>
    <w:rsid w:val="61C6D6A8"/>
    <w:rsid w:val="6C042C1D"/>
    <w:rsid w:val="6CA3AD0B"/>
    <w:rsid w:val="6FEB948E"/>
    <w:rsid w:val="723E8A0D"/>
    <w:rsid w:val="78883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6D51"/>
  <w15:chartTrackingRefBased/>
  <w15:docId w15:val="{0F51F3E0-BCE7-4F75-B17A-DD37898759F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9"/>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1B1E90"/>
    <w:pPr>
      <w:numPr>
        <w:ilvl w:val="1"/>
        <w:numId w:val="1"/>
      </w:numPr>
      <w:tabs>
        <w:tab w:val="clear" w:pos="1080"/>
      </w:tabs>
      <w:ind w:right="2160"/>
      <w:outlineLvl w:val="1"/>
    </w:pPr>
  </w:style>
  <w:style w:type="paragraph" w:styleId="Heading3">
    <w:name w:val="heading 3"/>
    <w:basedOn w:val="Dummy"/>
    <w:next w:val="Standard"/>
    <w:link w:val="Heading3Char"/>
    <w:uiPriority w:val="4"/>
    <w:qFormat/>
    <w:rsid w:val="001B1E90"/>
    <w:pPr>
      <w:numPr>
        <w:ilvl w:val="2"/>
        <w:numId w:val="1"/>
      </w:numPr>
      <w:ind w:right="1728"/>
      <w:outlineLvl w:val="2"/>
    </w:pPr>
    <w:rPr>
      <w:rFonts w:eastAsiaTheme="majorEastAsia" w:cstheme="majorBidi"/>
      <w:szCs w:val="24"/>
    </w:rPr>
  </w:style>
  <w:style w:type="paragraph" w:styleId="Heading4">
    <w:name w:val="heading 4"/>
    <w:basedOn w:val="Dummy"/>
    <w:next w:val="Standard"/>
    <w:link w:val="Heading4Char"/>
    <w:uiPriority w:val="4"/>
    <w:rsid w:val="001B1E90"/>
    <w:pPr>
      <w:numPr>
        <w:ilvl w:val="3"/>
        <w:numId w:val="1"/>
      </w:numPr>
      <w:ind w:right="720"/>
      <w:outlineLvl w:val="3"/>
    </w:pPr>
    <w:rPr>
      <w:rFonts w:eastAsiaTheme="majorEastAsia" w:cstheme="majorBidi"/>
      <w:iCs/>
    </w:rPr>
  </w:style>
  <w:style w:type="paragraph" w:styleId="Heading5">
    <w:name w:val="heading 5"/>
    <w:basedOn w:val="Dummy"/>
    <w:next w:val="Standard"/>
    <w:link w:val="Heading5Char"/>
    <w:uiPriority w:val="4"/>
    <w:rsid w:val="001B1E90"/>
    <w:pPr>
      <w:numPr>
        <w:ilvl w:val="4"/>
        <w:numId w:val="1"/>
      </w:numPr>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7BC5"/>
    <w:rPr>
      <w:rFonts w:ascii="Arial" w:eastAsiaTheme="majorEastAsia" w:hAnsi="Arial" w:cstheme="majorBidi"/>
      <w:b/>
      <w:sz w:val="26"/>
      <w:szCs w:val="32"/>
    </w:rPr>
  </w:style>
  <w:style w:type="paragraph" w:styleId="TOCHeading">
    <w:name w:val="TOC Heading"/>
    <w:next w:val="Normal"/>
    <w:uiPriority w:val="39"/>
    <w:unhideWhenUsed/>
    <w:rsid w:val="000B5282"/>
    <w:pPr>
      <w:spacing w:line="240" w:lineRule="auto"/>
      <w:jc w:val="center"/>
    </w:pPr>
    <w:rPr>
      <w:rFonts w:ascii="Book Antiqua" w:eastAsiaTheme="majorEastAsia" w:hAnsi="Book Antiqua"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1B1E90"/>
    <w:rPr>
      <w:rFonts w:ascii="Arial" w:hAnsi="Arial" w:cs="Arial"/>
      <w:b/>
      <w:sz w:val="26"/>
      <w:szCs w:val="26"/>
    </w:rPr>
  </w:style>
  <w:style w:type="character" w:customStyle="1" w:styleId="Heading3Char">
    <w:name w:val="Heading 3 Char"/>
    <w:basedOn w:val="DefaultParagraphFont"/>
    <w:link w:val="Heading3"/>
    <w:uiPriority w:val="4"/>
    <w:rsid w:val="001B1E9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1B1E90"/>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1B1E90"/>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DB2148"/>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DB2148"/>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DB2148"/>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Style 15,Style 9,Style 18,Style 7,Style 8,Style 19,Styl"/>
    <w:basedOn w:val="DefaultParagraphFont"/>
    <w:uiPriority w:val="99"/>
    <w:unhideWhenUsed/>
    <w:qFormat/>
    <w:rsid w:val="00DF58E7"/>
    <w:rPr>
      <w:vertAlign w:val="superscript"/>
    </w:rPr>
  </w:style>
  <w:style w:type="paragraph" w:customStyle="1" w:styleId="FoF">
    <w:name w:val="FoF"/>
    <w:basedOn w:val="Standard"/>
    <w:uiPriority w:val="6"/>
    <w:qFormat/>
    <w:rsid w:val="006217AA"/>
    <w:pPr>
      <w:numPr>
        <w:numId w:val="17"/>
      </w:numPr>
    </w:pPr>
  </w:style>
  <w:style w:type="paragraph" w:customStyle="1" w:styleId="CoL">
    <w:name w:val="CoL"/>
    <w:basedOn w:val="Standard"/>
    <w:uiPriority w:val="7"/>
    <w:qFormat/>
    <w:rsid w:val="006217AA"/>
    <w:pPr>
      <w:numPr>
        <w:numId w:val="16"/>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6217AA"/>
    <w:pPr>
      <w:numPr>
        <w:numId w:val="18"/>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B717D3"/>
    <w:pPr>
      <w:tabs>
        <w:tab w:val="left" w:pos="4291"/>
        <w:tab w:val="right" w:leader="dot" w:pos="9350"/>
      </w:tabs>
      <w:spacing w:line="240" w:lineRule="auto"/>
      <w:ind w:left="2995" w:right="720" w:hanging="1008"/>
    </w:pPr>
    <w:rPr>
      <w:noProof/>
    </w:rPr>
  </w:style>
  <w:style w:type="paragraph" w:styleId="TOC5">
    <w:name w:val="toc 5"/>
    <w:basedOn w:val="Normal"/>
    <w:next w:val="Normal"/>
    <w:autoRedefine/>
    <w:uiPriority w:val="39"/>
    <w:unhideWhenUsed/>
    <w:rsid w:val="00DB2148"/>
    <w:pPr>
      <w:tabs>
        <w:tab w:val="left" w:pos="2160"/>
        <w:tab w:val="right" w:leader="dot" w:pos="9350"/>
      </w:tabs>
      <w:spacing w:line="240" w:lineRule="auto"/>
      <w:ind w:left="4291" w:right="72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CommentReference">
    <w:name w:val="annotation reference"/>
    <w:basedOn w:val="DefaultParagraphFont"/>
    <w:uiPriority w:val="99"/>
    <w:semiHidden/>
    <w:unhideWhenUsed/>
    <w:rsid w:val="005F4FE4"/>
    <w:rPr>
      <w:sz w:val="16"/>
      <w:szCs w:val="16"/>
    </w:rPr>
  </w:style>
  <w:style w:type="paragraph" w:styleId="CommentText">
    <w:name w:val="annotation text"/>
    <w:basedOn w:val="Normal"/>
    <w:link w:val="CommentTextChar"/>
    <w:uiPriority w:val="99"/>
    <w:unhideWhenUsed/>
    <w:rsid w:val="005F4FE4"/>
    <w:pPr>
      <w:spacing w:line="240" w:lineRule="auto"/>
    </w:pPr>
    <w:rPr>
      <w:sz w:val="20"/>
      <w:szCs w:val="20"/>
    </w:rPr>
  </w:style>
  <w:style w:type="character" w:customStyle="1" w:styleId="CommentTextChar">
    <w:name w:val="Comment Text Char"/>
    <w:basedOn w:val="DefaultParagraphFont"/>
    <w:link w:val="CommentText"/>
    <w:uiPriority w:val="99"/>
    <w:rsid w:val="005F4FE4"/>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F4FE4"/>
    <w:rPr>
      <w:b/>
      <w:bCs/>
    </w:rPr>
  </w:style>
  <w:style w:type="character" w:customStyle="1" w:styleId="CommentSubjectChar">
    <w:name w:val="Comment Subject Char"/>
    <w:basedOn w:val="CommentTextChar"/>
    <w:link w:val="CommentSubject"/>
    <w:uiPriority w:val="99"/>
    <w:semiHidden/>
    <w:rsid w:val="005F4FE4"/>
    <w:rPr>
      <w:rFonts w:ascii="Book Antiqua" w:hAnsi="Book Antiqua"/>
      <w:b/>
      <w:bCs/>
      <w:sz w:val="20"/>
      <w:szCs w:val="20"/>
    </w:rPr>
  </w:style>
  <w:style w:type="paragraph" w:styleId="ListParagraph">
    <w:name w:val="List Paragraph"/>
    <w:basedOn w:val="Normal"/>
    <w:uiPriority w:val="34"/>
    <w:qFormat/>
    <w:rsid w:val="002E3A04"/>
    <w:pPr>
      <w:ind w:left="720"/>
      <w:contextualSpacing/>
    </w:pPr>
  </w:style>
  <w:style w:type="paragraph" w:customStyle="1" w:styleId="Default">
    <w:name w:val="Default"/>
    <w:rsid w:val="00345511"/>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DD61AF"/>
    <w:pPr>
      <w:spacing w:after="0" w:line="240" w:lineRule="auto"/>
    </w:pPr>
    <w:rPr>
      <w:rFonts w:ascii="Book Antiqua" w:hAnsi="Book Antiqua"/>
      <w:sz w:val="26"/>
    </w:rPr>
  </w:style>
  <w:style w:type="character" w:customStyle="1" w:styleId="cf01">
    <w:name w:val="cf01"/>
    <w:basedOn w:val="DefaultParagraphFont"/>
    <w:rsid w:val="00153FFB"/>
    <w:rPr>
      <w:rFonts w:ascii="Segoe UI" w:hAnsi="Segoe UI" w:cs="Segoe UI" w:hint="default"/>
      <w:sz w:val="18"/>
      <w:szCs w:val="18"/>
    </w:rPr>
  </w:style>
  <w:style w:type="character" w:styleId="UnresolvedMention">
    <w:name w:val="Unresolved Mention"/>
    <w:basedOn w:val="DefaultParagraphFont"/>
    <w:uiPriority w:val="99"/>
    <w:semiHidden/>
    <w:unhideWhenUsed/>
    <w:rsid w:val="00893474"/>
    <w:rPr>
      <w:color w:val="605E5C"/>
      <w:shd w:val="clear" w:color="auto" w:fill="E1DFDD"/>
    </w:rPr>
  </w:style>
  <w:style w:type="character" w:styleId="PlaceholderText">
    <w:name w:val="Placeholder Text"/>
    <w:basedOn w:val="DefaultParagraphFont"/>
    <w:uiPriority w:val="99"/>
    <w:semiHidden/>
    <w:rsid w:val="000F4074"/>
    <w:rPr>
      <w:color w:val="666666"/>
    </w:rPr>
  </w:style>
  <w:style w:type="numbering" w:customStyle="1" w:styleId="E3MultilevelList1">
    <w:name w:val="E3 Multilevel List1"/>
    <w:uiPriority w:val="99"/>
    <w:rsid w:val="001E76CF"/>
  </w:style>
  <w:style w:type="paragraph" w:customStyle="1" w:styleId="StandardTableSub">
    <w:name w:val="StandardTableSub"/>
    <w:basedOn w:val="Standard"/>
    <w:rsid w:val="001C43E7"/>
    <w:pPr>
      <w:spacing w:before="180"/>
    </w:pPr>
  </w:style>
  <w:style w:type="paragraph" w:customStyle="1" w:styleId="BlockQuote0">
    <w:name w:val="BlockQuote"/>
    <w:basedOn w:val="Normal"/>
    <w:qFormat/>
    <w:rsid w:val="006C6523"/>
    <w:pPr>
      <w:spacing w:after="120" w:line="240" w:lineRule="auto"/>
      <w:ind w:left="720" w:right="1440" w:firstLine="0"/>
    </w:pPr>
  </w:style>
  <w:style w:type="paragraph" w:customStyle="1" w:styleId="BlockQuoteH025">
    <w:name w:val="BlockQuoteH025"/>
    <w:basedOn w:val="Normal"/>
    <w:qFormat/>
    <w:rsid w:val="009F26D9"/>
    <w:pPr>
      <w:spacing w:after="120" w:line="240" w:lineRule="auto"/>
      <w:ind w:left="1080" w:right="1440" w:hanging="360"/>
    </w:pPr>
  </w:style>
  <w:style w:type="paragraph" w:customStyle="1" w:styleId="BlockQuoteH033">
    <w:name w:val="BlockQuoteH033"/>
    <w:basedOn w:val="BlockQuote0"/>
    <w:qFormat/>
    <w:rsid w:val="00AD2425"/>
    <w:pPr>
      <w:ind w:left="1195" w:hanging="475"/>
    </w:pPr>
  </w:style>
  <w:style w:type="paragraph" w:customStyle="1" w:styleId="BlockQuoteH033subH033">
    <w:name w:val="BlockQuoteH033subH033"/>
    <w:basedOn w:val="Normal"/>
    <w:qFormat/>
    <w:rsid w:val="002B2816"/>
    <w:pPr>
      <w:spacing w:after="120" w:line="240" w:lineRule="auto"/>
      <w:ind w:left="1670" w:right="1296" w:hanging="475"/>
    </w:pPr>
  </w:style>
  <w:style w:type="paragraph" w:styleId="NormalWeb">
    <w:name w:val="Normal (Web)"/>
    <w:basedOn w:val="Normal"/>
    <w:uiPriority w:val="99"/>
    <w:semiHidden/>
    <w:unhideWhenUsed/>
    <w:rsid w:val="00BB6FE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07866"/>
    <w:rPr>
      <w:color w:val="954F72" w:themeColor="followedHyperlink"/>
      <w:u w:val="single"/>
    </w:rPr>
  </w:style>
  <w:style w:type="paragraph" w:styleId="BodyText">
    <w:name w:val="Body Text"/>
    <w:basedOn w:val="Normal"/>
    <w:link w:val="BodyTextChar"/>
    <w:unhideWhenUsed/>
    <w:rsid w:val="00E35D42"/>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5D42"/>
    <w:rPr>
      <w:rFonts w:ascii="Times New Roman" w:eastAsia="Times New Roman" w:hAnsi="Times New Roman" w:cs="Times New Roman"/>
      <w:sz w:val="24"/>
      <w:szCs w:val="20"/>
    </w:rPr>
  </w:style>
  <w:style w:type="paragraph" w:customStyle="1" w:styleId="Note1">
    <w:name w:val="Note1"/>
    <w:basedOn w:val="Normal"/>
    <w:qFormat/>
    <w:rsid w:val="00E35D42"/>
    <w:pPr>
      <w:spacing w:line="240" w:lineRule="auto"/>
      <w:ind w:left="533" w:hanging="533"/>
    </w:pPr>
    <w:rPr>
      <w:rFonts w:ascii="Times New Roman" w:hAnsi="Times New Roman"/>
      <w:iCs/>
      <w:sz w:val="20"/>
    </w:rPr>
  </w:style>
  <w:style w:type="character" w:styleId="Mention">
    <w:name w:val="Mention"/>
    <w:basedOn w:val="DefaultParagraphFont"/>
    <w:uiPriority w:val="99"/>
    <w:unhideWhenUsed/>
    <w:rsid w:val="00B662C6"/>
    <w:rPr>
      <w:color w:val="2B579A"/>
      <w:shd w:val="clear" w:color="auto" w:fill="E1DFDD"/>
    </w:rPr>
  </w:style>
  <w:style w:type="paragraph" w:customStyle="1" w:styleId="SigBlockBA-Cmr">
    <w:name w:val="SigBlockBA-Cmr"/>
    <w:basedOn w:val="Normal"/>
    <w:qFormat/>
    <w:rsid w:val="00F24375"/>
    <w:pPr>
      <w:keepNext/>
      <w:autoSpaceDE w:val="0"/>
      <w:autoSpaceDN w:val="0"/>
      <w:adjustRightInd w:val="0"/>
      <w:spacing w:line="240" w:lineRule="auto"/>
      <w:ind w:left="4320" w:firstLine="0"/>
    </w:pPr>
    <w:rPr>
      <w:rFonts w:eastAsia="Times New Roman" w:cs="Times New Roman"/>
      <w:szCs w:val="20"/>
    </w:rPr>
  </w:style>
  <w:style w:type="paragraph" w:customStyle="1" w:styleId="SigBlockBA-Title">
    <w:name w:val="SigBlockBA-Title"/>
    <w:basedOn w:val="Normal"/>
    <w:qFormat/>
    <w:rsid w:val="00F24375"/>
    <w:pPr>
      <w:keepNext/>
      <w:autoSpaceDE w:val="0"/>
      <w:autoSpaceDN w:val="0"/>
      <w:adjustRightInd w:val="0"/>
      <w:spacing w:line="240" w:lineRule="auto"/>
      <w:ind w:left="5400" w:firstLine="0"/>
    </w:pPr>
    <w:rPr>
      <w:rFonts w:eastAsia="Times New Roman" w:cs="Times New Roman"/>
      <w:szCs w:val="20"/>
    </w:rPr>
  </w:style>
  <w:style w:type="paragraph" w:customStyle="1" w:styleId="SigSpaceBA">
    <w:name w:val="SigSpaceBA"/>
    <w:basedOn w:val="Normal"/>
    <w:qFormat/>
    <w:rsid w:val="00F24375"/>
    <w:pPr>
      <w:keepNext/>
      <w:autoSpaceDE w:val="0"/>
      <w:autoSpaceDN w:val="0"/>
      <w:adjustRightInd w:val="0"/>
      <w:ind w:left="4320" w:firstLine="0"/>
    </w:pPr>
    <w:rPr>
      <w:rFonts w:eastAsia="Times New Roman" w:cs="Times New Roman"/>
      <w:szCs w:val="20"/>
    </w:rPr>
  </w:style>
  <w:style w:type="character" w:customStyle="1" w:styleId="normaltextrun">
    <w:name w:val="normaltextrun"/>
    <w:basedOn w:val="DefaultParagraphFont"/>
    <w:rsid w:val="00C153F2"/>
  </w:style>
  <w:style w:type="paragraph" w:customStyle="1" w:styleId="Section">
    <w:name w:val="Section"/>
    <w:basedOn w:val="Standard"/>
    <w:rsid w:val="006130AA"/>
    <w:pPr>
      <w:keepNext/>
      <w:ind w:firstLine="0"/>
    </w:pPr>
    <w:rPr>
      <w:b/>
      <w:bCs/>
      <w:szCs w:val="26"/>
    </w:rPr>
  </w:style>
  <w:style w:type="paragraph" w:customStyle="1" w:styleId="BodyDiss">
    <w:name w:val="BodyDiss"/>
    <w:basedOn w:val="Standard"/>
    <w:rsid w:val="00982390"/>
    <w:pPr>
      <w:spacing w:after="24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1493">
      <w:bodyDiv w:val="1"/>
      <w:marLeft w:val="0"/>
      <w:marRight w:val="0"/>
      <w:marTop w:val="0"/>
      <w:marBottom w:val="0"/>
      <w:divBdr>
        <w:top w:val="none" w:sz="0" w:space="0" w:color="auto"/>
        <w:left w:val="none" w:sz="0" w:space="0" w:color="auto"/>
        <w:bottom w:val="none" w:sz="0" w:space="0" w:color="auto"/>
        <w:right w:val="none" w:sz="0" w:space="0" w:color="auto"/>
      </w:divBdr>
      <w:divsChild>
        <w:div w:id="32467717">
          <w:marLeft w:val="960"/>
          <w:marRight w:val="0"/>
          <w:marTop w:val="0"/>
          <w:marBottom w:val="240"/>
          <w:divBdr>
            <w:top w:val="none" w:sz="0" w:space="0" w:color="auto"/>
            <w:left w:val="none" w:sz="0" w:space="0" w:color="auto"/>
            <w:bottom w:val="none" w:sz="0" w:space="0" w:color="auto"/>
            <w:right w:val="none" w:sz="0" w:space="0" w:color="auto"/>
          </w:divBdr>
        </w:div>
        <w:div w:id="174881220">
          <w:marLeft w:val="600"/>
          <w:marRight w:val="0"/>
          <w:marTop w:val="0"/>
          <w:marBottom w:val="240"/>
          <w:divBdr>
            <w:top w:val="none" w:sz="0" w:space="0" w:color="auto"/>
            <w:left w:val="none" w:sz="0" w:space="0" w:color="auto"/>
            <w:bottom w:val="none" w:sz="0" w:space="0" w:color="auto"/>
            <w:right w:val="none" w:sz="0" w:space="0" w:color="auto"/>
          </w:divBdr>
        </w:div>
        <w:div w:id="1349062507">
          <w:marLeft w:val="960"/>
          <w:marRight w:val="0"/>
          <w:marTop w:val="0"/>
          <w:marBottom w:val="240"/>
          <w:divBdr>
            <w:top w:val="none" w:sz="0" w:space="0" w:color="auto"/>
            <w:left w:val="none" w:sz="0" w:space="0" w:color="auto"/>
            <w:bottom w:val="none" w:sz="0" w:space="0" w:color="auto"/>
            <w:right w:val="none" w:sz="0" w:space="0" w:color="auto"/>
          </w:divBdr>
        </w:div>
        <w:div w:id="1446923796">
          <w:marLeft w:val="960"/>
          <w:marRight w:val="0"/>
          <w:marTop w:val="0"/>
          <w:marBottom w:val="240"/>
          <w:divBdr>
            <w:top w:val="none" w:sz="0" w:space="0" w:color="auto"/>
            <w:left w:val="none" w:sz="0" w:space="0" w:color="auto"/>
            <w:bottom w:val="none" w:sz="0" w:space="0" w:color="auto"/>
            <w:right w:val="none" w:sz="0" w:space="0" w:color="auto"/>
          </w:divBdr>
        </w:div>
        <w:div w:id="1878739609">
          <w:marLeft w:val="600"/>
          <w:marRight w:val="0"/>
          <w:marTop w:val="0"/>
          <w:marBottom w:val="240"/>
          <w:divBdr>
            <w:top w:val="none" w:sz="0" w:space="0" w:color="auto"/>
            <w:left w:val="none" w:sz="0" w:space="0" w:color="auto"/>
            <w:bottom w:val="none" w:sz="0" w:space="0" w:color="auto"/>
            <w:right w:val="none" w:sz="0" w:space="0" w:color="auto"/>
          </w:divBdr>
        </w:div>
        <w:div w:id="2022317297">
          <w:marLeft w:val="960"/>
          <w:marRight w:val="0"/>
          <w:marTop w:val="0"/>
          <w:marBottom w:val="240"/>
          <w:divBdr>
            <w:top w:val="none" w:sz="0" w:space="0" w:color="auto"/>
            <w:left w:val="none" w:sz="0" w:space="0" w:color="auto"/>
            <w:bottom w:val="none" w:sz="0" w:space="0" w:color="auto"/>
            <w:right w:val="none" w:sz="0" w:space="0" w:color="auto"/>
          </w:divBdr>
        </w:div>
        <w:div w:id="2118866743">
          <w:marLeft w:val="960"/>
          <w:marRight w:val="0"/>
          <w:marTop w:val="0"/>
          <w:marBottom w:val="240"/>
          <w:divBdr>
            <w:top w:val="none" w:sz="0" w:space="0" w:color="auto"/>
            <w:left w:val="none" w:sz="0" w:space="0" w:color="auto"/>
            <w:bottom w:val="none" w:sz="0" w:space="0" w:color="auto"/>
            <w:right w:val="none" w:sz="0" w:space="0" w:color="auto"/>
          </w:divBdr>
        </w:div>
      </w:divsChild>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187448336">
      <w:bodyDiv w:val="1"/>
      <w:marLeft w:val="0"/>
      <w:marRight w:val="0"/>
      <w:marTop w:val="0"/>
      <w:marBottom w:val="0"/>
      <w:divBdr>
        <w:top w:val="none" w:sz="0" w:space="0" w:color="auto"/>
        <w:left w:val="none" w:sz="0" w:space="0" w:color="auto"/>
        <w:bottom w:val="none" w:sz="0" w:space="0" w:color="auto"/>
        <w:right w:val="none" w:sz="0" w:space="0" w:color="auto"/>
      </w:divBdr>
      <w:divsChild>
        <w:div w:id="574900621">
          <w:marLeft w:val="960"/>
          <w:marRight w:val="0"/>
          <w:marTop w:val="0"/>
          <w:marBottom w:val="240"/>
          <w:divBdr>
            <w:top w:val="none" w:sz="0" w:space="0" w:color="auto"/>
            <w:left w:val="none" w:sz="0" w:space="0" w:color="auto"/>
            <w:bottom w:val="none" w:sz="0" w:space="0" w:color="auto"/>
            <w:right w:val="none" w:sz="0" w:space="0" w:color="auto"/>
          </w:divBdr>
        </w:div>
        <w:div w:id="951934145">
          <w:marLeft w:val="600"/>
          <w:marRight w:val="0"/>
          <w:marTop w:val="0"/>
          <w:marBottom w:val="240"/>
          <w:divBdr>
            <w:top w:val="none" w:sz="0" w:space="0" w:color="auto"/>
            <w:left w:val="none" w:sz="0" w:space="0" w:color="auto"/>
            <w:bottom w:val="none" w:sz="0" w:space="0" w:color="auto"/>
            <w:right w:val="none" w:sz="0" w:space="0" w:color="auto"/>
          </w:divBdr>
        </w:div>
        <w:div w:id="1452243916">
          <w:marLeft w:val="960"/>
          <w:marRight w:val="0"/>
          <w:marTop w:val="0"/>
          <w:marBottom w:val="240"/>
          <w:divBdr>
            <w:top w:val="none" w:sz="0" w:space="0" w:color="auto"/>
            <w:left w:val="none" w:sz="0" w:space="0" w:color="auto"/>
            <w:bottom w:val="none" w:sz="0" w:space="0" w:color="auto"/>
            <w:right w:val="none" w:sz="0" w:space="0" w:color="auto"/>
          </w:divBdr>
        </w:div>
        <w:div w:id="1565868052">
          <w:marLeft w:val="600"/>
          <w:marRight w:val="0"/>
          <w:marTop w:val="0"/>
          <w:marBottom w:val="240"/>
          <w:divBdr>
            <w:top w:val="none" w:sz="0" w:space="0" w:color="auto"/>
            <w:left w:val="none" w:sz="0" w:space="0" w:color="auto"/>
            <w:bottom w:val="none" w:sz="0" w:space="0" w:color="auto"/>
            <w:right w:val="none" w:sz="0" w:space="0" w:color="auto"/>
          </w:divBdr>
        </w:div>
        <w:div w:id="1739791895">
          <w:marLeft w:val="960"/>
          <w:marRight w:val="0"/>
          <w:marTop w:val="0"/>
          <w:marBottom w:val="240"/>
          <w:divBdr>
            <w:top w:val="none" w:sz="0" w:space="0" w:color="auto"/>
            <w:left w:val="none" w:sz="0" w:space="0" w:color="auto"/>
            <w:bottom w:val="none" w:sz="0" w:space="0" w:color="auto"/>
            <w:right w:val="none" w:sz="0" w:space="0" w:color="auto"/>
          </w:divBdr>
        </w:div>
        <w:div w:id="1840268140">
          <w:marLeft w:val="960"/>
          <w:marRight w:val="0"/>
          <w:marTop w:val="0"/>
          <w:marBottom w:val="240"/>
          <w:divBdr>
            <w:top w:val="none" w:sz="0" w:space="0" w:color="auto"/>
            <w:left w:val="none" w:sz="0" w:space="0" w:color="auto"/>
            <w:bottom w:val="none" w:sz="0" w:space="0" w:color="auto"/>
            <w:right w:val="none" w:sz="0" w:space="0" w:color="auto"/>
          </w:divBdr>
        </w:div>
        <w:div w:id="1844010360">
          <w:marLeft w:val="960"/>
          <w:marRight w:val="0"/>
          <w:marTop w:val="0"/>
          <w:marBottom w:val="240"/>
          <w:divBdr>
            <w:top w:val="none" w:sz="0" w:space="0" w:color="auto"/>
            <w:left w:val="none" w:sz="0" w:space="0" w:color="auto"/>
            <w:bottom w:val="none" w:sz="0" w:space="0" w:color="auto"/>
            <w:right w:val="none" w:sz="0" w:space="0" w:color="auto"/>
          </w:divBdr>
        </w:div>
      </w:divsChild>
    </w:div>
    <w:div w:id="225655230">
      <w:bodyDiv w:val="1"/>
      <w:marLeft w:val="0"/>
      <w:marRight w:val="0"/>
      <w:marTop w:val="0"/>
      <w:marBottom w:val="0"/>
      <w:divBdr>
        <w:top w:val="none" w:sz="0" w:space="0" w:color="auto"/>
        <w:left w:val="none" w:sz="0" w:space="0" w:color="auto"/>
        <w:bottom w:val="none" w:sz="0" w:space="0" w:color="auto"/>
        <w:right w:val="none" w:sz="0" w:space="0" w:color="auto"/>
      </w:divBdr>
      <w:divsChild>
        <w:div w:id="94250135">
          <w:marLeft w:val="600"/>
          <w:marRight w:val="0"/>
          <w:marTop w:val="0"/>
          <w:marBottom w:val="240"/>
          <w:divBdr>
            <w:top w:val="none" w:sz="0" w:space="0" w:color="auto"/>
            <w:left w:val="none" w:sz="0" w:space="0" w:color="auto"/>
            <w:bottom w:val="none" w:sz="0" w:space="0" w:color="auto"/>
            <w:right w:val="none" w:sz="0" w:space="0" w:color="auto"/>
          </w:divBdr>
        </w:div>
        <w:div w:id="921719694">
          <w:marLeft w:val="600"/>
          <w:marRight w:val="0"/>
          <w:marTop w:val="0"/>
          <w:marBottom w:val="240"/>
          <w:divBdr>
            <w:top w:val="none" w:sz="0" w:space="0" w:color="auto"/>
            <w:left w:val="none" w:sz="0" w:space="0" w:color="auto"/>
            <w:bottom w:val="none" w:sz="0" w:space="0" w:color="auto"/>
            <w:right w:val="none" w:sz="0" w:space="0" w:color="auto"/>
          </w:divBdr>
        </w:div>
        <w:div w:id="1182939368">
          <w:marLeft w:val="600"/>
          <w:marRight w:val="0"/>
          <w:marTop w:val="0"/>
          <w:marBottom w:val="240"/>
          <w:divBdr>
            <w:top w:val="none" w:sz="0" w:space="0" w:color="auto"/>
            <w:left w:val="none" w:sz="0" w:space="0" w:color="auto"/>
            <w:bottom w:val="none" w:sz="0" w:space="0" w:color="auto"/>
            <w:right w:val="none" w:sz="0" w:space="0" w:color="auto"/>
          </w:divBdr>
        </w:div>
      </w:divsChild>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417796549">
      <w:bodyDiv w:val="1"/>
      <w:marLeft w:val="0"/>
      <w:marRight w:val="0"/>
      <w:marTop w:val="0"/>
      <w:marBottom w:val="0"/>
      <w:divBdr>
        <w:top w:val="none" w:sz="0" w:space="0" w:color="auto"/>
        <w:left w:val="none" w:sz="0" w:space="0" w:color="auto"/>
        <w:bottom w:val="none" w:sz="0" w:space="0" w:color="auto"/>
        <w:right w:val="none" w:sz="0" w:space="0" w:color="auto"/>
      </w:divBdr>
      <w:divsChild>
        <w:div w:id="1627810913">
          <w:marLeft w:val="600"/>
          <w:marRight w:val="0"/>
          <w:marTop w:val="0"/>
          <w:marBottom w:val="240"/>
          <w:divBdr>
            <w:top w:val="none" w:sz="0" w:space="0" w:color="auto"/>
            <w:left w:val="none" w:sz="0" w:space="0" w:color="auto"/>
            <w:bottom w:val="none" w:sz="0" w:space="0" w:color="auto"/>
            <w:right w:val="none" w:sz="0" w:space="0" w:color="auto"/>
          </w:divBdr>
        </w:div>
        <w:div w:id="1678380984">
          <w:marLeft w:val="600"/>
          <w:marRight w:val="0"/>
          <w:marTop w:val="0"/>
          <w:marBottom w:val="240"/>
          <w:divBdr>
            <w:top w:val="none" w:sz="0" w:space="0" w:color="auto"/>
            <w:left w:val="none" w:sz="0" w:space="0" w:color="auto"/>
            <w:bottom w:val="none" w:sz="0" w:space="0" w:color="auto"/>
            <w:right w:val="none" w:sz="0" w:space="0" w:color="auto"/>
          </w:divBdr>
        </w:div>
        <w:div w:id="1862552634">
          <w:marLeft w:val="600"/>
          <w:marRight w:val="0"/>
          <w:marTop w:val="0"/>
          <w:marBottom w:val="240"/>
          <w:divBdr>
            <w:top w:val="none" w:sz="0" w:space="0" w:color="auto"/>
            <w:left w:val="none" w:sz="0" w:space="0" w:color="auto"/>
            <w:bottom w:val="none" w:sz="0" w:space="0" w:color="auto"/>
            <w:right w:val="none" w:sz="0" w:space="0" w:color="auto"/>
          </w:divBdr>
        </w:div>
      </w:divsChild>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85317128">
      <w:bodyDiv w:val="1"/>
      <w:marLeft w:val="0"/>
      <w:marRight w:val="0"/>
      <w:marTop w:val="0"/>
      <w:marBottom w:val="0"/>
      <w:divBdr>
        <w:top w:val="none" w:sz="0" w:space="0" w:color="auto"/>
        <w:left w:val="none" w:sz="0" w:space="0" w:color="auto"/>
        <w:bottom w:val="none" w:sz="0" w:space="0" w:color="auto"/>
        <w:right w:val="none" w:sz="0" w:space="0" w:color="auto"/>
      </w:divBdr>
    </w:div>
    <w:div w:id="500464885">
      <w:bodyDiv w:val="1"/>
      <w:marLeft w:val="0"/>
      <w:marRight w:val="0"/>
      <w:marTop w:val="0"/>
      <w:marBottom w:val="0"/>
      <w:divBdr>
        <w:top w:val="none" w:sz="0" w:space="0" w:color="auto"/>
        <w:left w:val="none" w:sz="0" w:space="0" w:color="auto"/>
        <w:bottom w:val="none" w:sz="0" w:space="0" w:color="auto"/>
        <w:right w:val="none" w:sz="0" w:space="0" w:color="auto"/>
      </w:divBdr>
      <w:divsChild>
        <w:div w:id="10228661">
          <w:marLeft w:val="960"/>
          <w:marRight w:val="0"/>
          <w:marTop w:val="0"/>
          <w:marBottom w:val="240"/>
          <w:divBdr>
            <w:top w:val="none" w:sz="0" w:space="0" w:color="auto"/>
            <w:left w:val="none" w:sz="0" w:space="0" w:color="auto"/>
            <w:bottom w:val="none" w:sz="0" w:space="0" w:color="auto"/>
            <w:right w:val="none" w:sz="0" w:space="0" w:color="auto"/>
          </w:divBdr>
        </w:div>
        <w:div w:id="120349807">
          <w:marLeft w:val="600"/>
          <w:marRight w:val="0"/>
          <w:marTop w:val="0"/>
          <w:marBottom w:val="240"/>
          <w:divBdr>
            <w:top w:val="none" w:sz="0" w:space="0" w:color="auto"/>
            <w:left w:val="none" w:sz="0" w:space="0" w:color="auto"/>
            <w:bottom w:val="none" w:sz="0" w:space="0" w:color="auto"/>
            <w:right w:val="none" w:sz="0" w:space="0" w:color="auto"/>
          </w:divBdr>
        </w:div>
        <w:div w:id="249973068">
          <w:marLeft w:val="960"/>
          <w:marRight w:val="0"/>
          <w:marTop w:val="0"/>
          <w:marBottom w:val="240"/>
          <w:divBdr>
            <w:top w:val="none" w:sz="0" w:space="0" w:color="auto"/>
            <w:left w:val="none" w:sz="0" w:space="0" w:color="auto"/>
            <w:bottom w:val="none" w:sz="0" w:space="0" w:color="auto"/>
            <w:right w:val="none" w:sz="0" w:space="0" w:color="auto"/>
          </w:divBdr>
        </w:div>
        <w:div w:id="844326842">
          <w:marLeft w:val="600"/>
          <w:marRight w:val="0"/>
          <w:marTop w:val="0"/>
          <w:marBottom w:val="240"/>
          <w:divBdr>
            <w:top w:val="none" w:sz="0" w:space="0" w:color="auto"/>
            <w:left w:val="none" w:sz="0" w:space="0" w:color="auto"/>
            <w:bottom w:val="none" w:sz="0" w:space="0" w:color="auto"/>
            <w:right w:val="none" w:sz="0" w:space="0" w:color="auto"/>
          </w:divBdr>
        </w:div>
        <w:div w:id="1161850207">
          <w:marLeft w:val="960"/>
          <w:marRight w:val="0"/>
          <w:marTop w:val="0"/>
          <w:marBottom w:val="240"/>
          <w:divBdr>
            <w:top w:val="none" w:sz="0" w:space="0" w:color="auto"/>
            <w:left w:val="none" w:sz="0" w:space="0" w:color="auto"/>
            <w:bottom w:val="none" w:sz="0" w:space="0" w:color="auto"/>
            <w:right w:val="none" w:sz="0" w:space="0" w:color="auto"/>
          </w:divBdr>
        </w:div>
        <w:div w:id="1423990372">
          <w:marLeft w:val="960"/>
          <w:marRight w:val="0"/>
          <w:marTop w:val="0"/>
          <w:marBottom w:val="240"/>
          <w:divBdr>
            <w:top w:val="none" w:sz="0" w:space="0" w:color="auto"/>
            <w:left w:val="none" w:sz="0" w:space="0" w:color="auto"/>
            <w:bottom w:val="none" w:sz="0" w:space="0" w:color="auto"/>
            <w:right w:val="none" w:sz="0" w:space="0" w:color="auto"/>
          </w:divBdr>
        </w:div>
        <w:div w:id="1970281666">
          <w:marLeft w:val="960"/>
          <w:marRight w:val="0"/>
          <w:marTop w:val="0"/>
          <w:marBottom w:val="240"/>
          <w:divBdr>
            <w:top w:val="none" w:sz="0" w:space="0" w:color="auto"/>
            <w:left w:val="none" w:sz="0" w:space="0" w:color="auto"/>
            <w:bottom w:val="none" w:sz="0" w:space="0" w:color="auto"/>
            <w:right w:val="none" w:sz="0" w:space="0" w:color="auto"/>
          </w:divBdr>
        </w:div>
      </w:divsChild>
    </w:div>
    <w:div w:id="749742262">
      <w:bodyDiv w:val="1"/>
      <w:marLeft w:val="0"/>
      <w:marRight w:val="0"/>
      <w:marTop w:val="0"/>
      <w:marBottom w:val="0"/>
      <w:divBdr>
        <w:top w:val="none" w:sz="0" w:space="0" w:color="auto"/>
        <w:left w:val="none" w:sz="0" w:space="0" w:color="auto"/>
        <w:bottom w:val="none" w:sz="0" w:space="0" w:color="auto"/>
        <w:right w:val="none" w:sz="0" w:space="0" w:color="auto"/>
      </w:divBdr>
    </w:div>
    <w:div w:id="752358853">
      <w:bodyDiv w:val="1"/>
      <w:marLeft w:val="0"/>
      <w:marRight w:val="0"/>
      <w:marTop w:val="0"/>
      <w:marBottom w:val="0"/>
      <w:divBdr>
        <w:top w:val="none" w:sz="0" w:space="0" w:color="auto"/>
        <w:left w:val="none" w:sz="0" w:space="0" w:color="auto"/>
        <w:bottom w:val="none" w:sz="0" w:space="0" w:color="auto"/>
        <w:right w:val="none" w:sz="0" w:space="0" w:color="auto"/>
      </w:divBdr>
      <w:divsChild>
        <w:div w:id="440606840">
          <w:marLeft w:val="0"/>
          <w:marRight w:val="0"/>
          <w:marTop w:val="0"/>
          <w:marBottom w:val="0"/>
          <w:divBdr>
            <w:top w:val="none" w:sz="0" w:space="0" w:color="auto"/>
            <w:left w:val="none" w:sz="0" w:space="0" w:color="auto"/>
            <w:bottom w:val="none" w:sz="0" w:space="0" w:color="auto"/>
            <w:right w:val="none" w:sz="0" w:space="0" w:color="auto"/>
          </w:divBdr>
        </w:div>
      </w:divsChild>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241870930">
      <w:bodyDiv w:val="1"/>
      <w:marLeft w:val="0"/>
      <w:marRight w:val="0"/>
      <w:marTop w:val="0"/>
      <w:marBottom w:val="0"/>
      <w:divBdr>
        <w:top w:val="none" w:sz="0" w:space="0" w:color="auto"/>
        <w:left w:val="none" w:sz="0" w:space="0" w:color="auto"/>
        <w:bottom w:val="none" w:sz="0" w:space="0" w:color="auto"/>
        <w:right w:val="none" w:sz="0" w:space="0" w:color="auto"/>
      </w:divBdr>
    </w:div>
    <w:div w:id="1665620421">
      <w:bodyDiv w:val="1"/>
      <w:marLeft w:val="0"/>
      <w:marRight w:val="0"/>
      <w:marTop w:val="0"/>
      <w:marBottom w:val="0"/>
      <w:divBdr>
        <w:top w:val="none" w:sz="0" w:space="0" w:color="auto"/>
        <w:left w:val="none" w:sz="0" w:space="0" w:color="auto"/>
        <w:bottom w:val="none" w:sz="0" w:space="0" w:color="auto"/>
        <w:right w:val="none" w:sz="0" w:space="0" w:color="auto"/>
      </w:divBdr>
    </w:div>
    <w:div w:id="1892111503">
      <w:bodyDiv w:val="1"/>
      <w:marLeft w:val="0"/>
      <w:marRight w:val="0"/>
      <w:marTop w:val="0"/>
      <w:marBottom w:val="0"/>
      <w:divBdr>
        <w:top w:val="none" w:sz="0" w:space="0" w:color="auto"/>
        <w:left w:val="none" w:sz="0" w:space="0" w:color="auto"/>
        <w:bottom w:val="none" w:sz="0" w:space="0" w:color="auto"/>
        <w:right w:val="none" w:sz="0" w:space="0" w:color="auto"/>
      </w:divBdr>
      <w:divsChild>
        <w:div w:id="267351473">
          <w:marLeft w:val="960"/>
          <w:marRight w:val="0"/>
          <w:marTop w:val="0"/>
          <w:marBottom w:val="240"/>
          <w:divBdr>
            <w:top w:val="none" w:sz="0" w:space="0" w:color="auto"/>
            <w:left w:val="none" w:sz="0" w:space="0" w:color="auto"/>
            <w:bottom w:val="none" w:sz="0" w:space="0" w:color="auto"/>
            <w:right w:val="none" w:sz="0" w:space="0" w:color="auto"/>
          </w:divBdr>
        </w:div>
        <w:div w:id="603612355">
          <w:marLeft w:val="960"/>
          <w:marRight w:val="0"/>
          <w:marTop w:val="0"/>
          <w:marBottom w:val="240"/>
          <w:divBdr>
            <w:top w:val="none" w:sz="0" w:space="0" w:color="auto"/>
            <w:left w:val="none" w:sz="0" w:space="0" w:color="auto"/>
            <w:bottom w:val="none" w:sz="0" w:space="0" w:color="auto"/>
            <w:right w:val="none" w:sz="0" w:space="0" w:color="auto"/>
          </w:divBdr>
        </w:div>
        <w:div w:id="681861306">
          <w:marLeft w:val="600"/>
          <w:marRight w:val="0"/>
          <w:marTop w:val="0"/>
          <w:marBottom w:val="240"/>
          <w:divBdr>
            <w:top w:val="none" w:sz="0" w:space="0" w:color="auto"/>
            <w:left w:val="none" w:sz="0" w:space="0" w:color="auto"/>
            <w:bottom w:val="none" w:sz="0" w:space="0" w:color="auto"/>
            <w:right w:val="none" w:sz="0" w:space="0" w:color="auto"/>
          </w:divBdr>
        </w:div>
        <w:div w:id="843477279">
          <w:marLeft w:val="600"/>
          <w:marRight w:val="0"/>
          <w:marTop w:val="0"/>
          <w:marBottom w:val="240"/>
          <w:divBdr>
            <w:top w:val="none" w:sz="0" w:space="0" w:color="auto"/>
            <w:left w:val="none" w:sz="0" w:space="0" w:color="auto"/>
            <w:bottom w:val="none" w:sz="0" w:space="0" w:color="auto"/>
            <w:right w:val="none" w:sz="0" w:space="0" w:color="auto"/>
          </w:divBdr>
        </w:div>
        <w:div w:id="926498283">
          <w:marLeft w:val="960"/>
          <w:marRight w:val="0"/>
          <w:marTop w:val="0"/>
          <w:marBottom w:val="240"/>
          <w:divBdr>
            <w:top w:val="none" w:sz="0" w:space="0" w:color="auto"/>
            <w:left w:val="none" w:sz="0" w:space="0" w:color="auto"/>
            <w:bottom w:val="none" w:sz="0" w:space="0" w:color="auto"/>
            <w:right w:val="none" w:sz="0" w:space="0" w:color="auto"/>
          </w:divBdr>
        </w:div>
        <w:div w:id="1814374690">
          <w:marLeft w:val="960"/>
          <w:marRight w:val="0"/>
          <w:marTop w:val="0"/>
          <w:marBottom w:val="240"/>
          <w:divBdr>
            <w:top w:val="none" w:sz="0" w:space="0" w:color="auto"/>
            <w:left w:val="none" w:sz="0" w:space="0" w:color="auto"/>
            <w:bottom w:val="none" w:sz="0" w:space="0" w:color="auto"/>
            <w:right w:val="none" w:sz="0" w:space="0" w:color="auto"/>
          </w:divBdr>
        </w:div>
        <w:div w:id="2108111113">
          <w:marLeft w:val="960"/>
          <w:marRight w:val="0"/>
          <w:marTop w:val="0"/>
          <w:marBottom w:val="240"/>
          <w:divBdr>
            <w:top w:val="none" w:sz="0" w:space="0" w:color="auto"/>
            <w:left w:val="none" w:sz="0" w:space="0" w:color="auto"/>
            <w:bottom w:val="none" w:sz="0" w:space="0" w:color="auto"/>
            <w:right w:val="none" w:sz="0" w:space="0" w:color="auto"/>
          </w:divBdr>
        </w:div>
      </w:divsChild>
    </w:div>
    <w:div w:id="1905136796">
      <w:bodyDiv w:val="1"/>
      <w:marLeft w:val="0"/>
      <w:marRight w:val="0"/>
      <w:marTop w:val="0"/>
      <w:marBottom w:val="0"/>
      <w:divBdr>
        <w:top w:val="none" w:sz="0" w:space="0" w:color="auto"/>
        <w:left w:val="none" w:sz="0" w:space="0" w:color="auto"/>
        <w:bottom w:val="none" w:sz="0" w:space="0" w:color="auto"/>
        <w:right w:val="none" w:sz="0" w:space="0" w:color="auto"/>
      </w:divBdr>
    </w:div>
    <w:div w:id="19625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ocs.cpuc.ca.gov/SearchRes.aspx?DocFormat=ALL&amp;DocID=16214283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media/cpuc-website/files/uploadedfiles/cpuc_public_website/content/utilities_and_industries/energy_-_electricity_and_natural_gas/energy_programs/cpuc-standard-practice-manual.pdf" TargetMode="External"/><Relationship Id="rId2" Type="http://schemas.openxmlformats.org/officeDocument/2006/relationships/hyperlink" Target="https://docs.cpuc.ca.gov/PublishedDocs/Efile/G000/M515/K329/515329524.PDF" TargetMode="External"/><Relationship Id="rId1" Type="http://schemas.openxmlformats.org/officeDocument/2006/relationships/hyperlink" Target="https://www.cpuc.ca.gov/-/media/cpuc-website/divisions/energy-division/documents/solar-in-disadvantaged-communities/dac-gt-and-csgt-evaluation-final-report_033122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42826-C640-46EA-8DE6-7521634A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190</ap:Pages>
  <ap:Words>43636</ap:Words>
  <ap:Characters>248726</ap:Characters>
  <ap:Application>Microsoft Office Word</ap:Application>
  <ap:DocSecurity>0</ap:DocSecurity>
  <ap:Lines>2072</ap:Lines>
  <ap:Paragraphs>583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291779</ap:CharactersWithSpaces>
  <ap:SharedDoc>false</ap:SharedDoc>
  <ap:HLinks>
    <vt:vector baseType="variant" size="444">
      <vt:variant>
        <vt:i4>1179700</vt:i4>
      </vt:variant>
      <vt:variant>
        <vt:i4>422</vt:i4>
      </vt:variant>
      <vt:variant>
        <vt:i4>0</vt:i4>
      </vt:variant>
      <vt:variant>
        <vt:i4>5</vt:i4>
      </vt:variant>
      <vt:variant>
        <vt:lpwstr/>
      </vt:variant>
      <vt:variant>
        <vt:lpwstr>_Toc146532066</vt:lpwstr>
      </vt:variant>
      <vt:variant>
        <vt:i4>1179700</vt:i4>
      </vt:variant>
      <vt:variant>
        <vt:i4>416</vt:i4>
      </vt:variant>
      <vt:variant>
        <vt:i4>0</vt:i4>
      </vt:variant>
      <vt:variant>
        <vt:i4>5</vt:i4>
      </vt:variant>
      <vt:variant>
        <vt:lpwstr/>
      </vt:variant>
      <vt:variant>
        <vt:lpwstr>_Toc146532065</vt:lpwstr>
      </vt:variant>
      <vt:variant>
        <vt:i4>1179700</vt:i4>
      </vt:variant>
      <vt:variant>
        <vt:i4>410</vt:i4>
      </vt:variant>
      <vt:variant>
        <vt:i4>0</vt:i4>
      </vt:variant>
      <vt:variant>
        <vt:i4>5</vt:i4>
      </vt:variant>
      <vt:variant>
        <vt:lpwstr/>
      </vt:variant>
      <vt:variant>
        <vt:lpwstr>_Toc146532064</vt:lpwstr>
      </vt:variant>
      <vt:variant>
        <vt:i4>1179700</vt:i4>
      </vt:variant>
      <vt:variant>
        <vt:i4>404</vt:i4>
      </vt:variant>
      <vt:variant>
        <vt:i4>0</vt:i4>
      </vt:variant>
      <vt:variant>
        <vt:i4>5</vt:i4>
      </vt:variant>
      <vt:variant>
        <vt:lpwstr/>
      </vt:variant>
      <vt:variant>
        <vt:lpwstr>_Toc146532063</vt:lpwstr>
      </vt:variant>
      <vt:variant>
        <vt:i4>1179700</vt:i4>
      </vt:variant>
      <vt:variant>
        <vt:i4>398</vt:i4>
      </vt:variant>
      <vt:variant>
        <vt:i4>0</vt:i4>
      </vt:variant>
      <vt:variant>
        <vt:i4>5</vt:i4>
      </vt:variant>
      <vt:variant>
        <vt:lpwstr/>
      </vt:variant>
      <vt:variant>
        <vt:lpwstr>_Toc146532062</vt:lpwstr>
      </vt:variant>
      <vt:variant>
        <vt:i4>1179700</vt:i4>
      </vt:variant>
      <vt:variant>
        <vt:i4>392</vt:i4>
      </vt:variant>
      <vt:variant>
        <vt:i4>0</vt:i4>
      </vt:variant>
      <vt:variant>
        <vt:i4>5</vt:i4>
      </vt:variant>
      <vt:variant>
        <vt:lpwstr/>
      </vt:variant>
      <vt:variant>
        <vt:lpwstr>_Toc146532061</vt:lpwstr>
      </vt:variant>
      <vt:variant>
        <vt:i4>1179700</vt:i4>
      </vt:variant>
      <vt:variant>
        <vt:i4>386</vt:i4>
      </vt:variant>
      <vt:variant>
        <vt:i4>0</vt:i4>
      </vt:variant>
      <vt:variant>
        <vt:i4>5</vt:i4>
      </vt:variant>
      <vt:variant>
        <vt:lpwstr/>
      </vt:variant>
      <vt:variant>
        <vt:lpwstr>_Toc146532060</vt:lpwstr>
      </vt:variant>
      <vt:variant>
        <vt:i4>1114164</vt:i4>
      </vt:variant>
      <vt:variant>
        <vt:i4>380</vt:i4>
      </vt:variant>
      <vt:variant>
        <vt:i4>0</vt:i4>
      </vt:variant>
      <vt:variant>
        <vt:i4>5</vt:i4>
      </vt:variant>
      <vt:variant>
        <vt:lpwstr/>
      </vt:variant>
      <vt:variant>
        <vt:lpwstr>_Toc146532059</vt:lpwstr>
      </vt:variant>
      <vt:variant>
        <vt:i4>1114164</vt:i4>
      </vt:variant>
      <vt:variant>
        <vt:i4>374</vt:i4>
      </vt:variant>
      <vt:variant>
        <vt:i4>0</vt:i4>
      </vt:variant>
      <vt:variant>
        <vt:i4>5</vt:i4>
      </vt:variant>
      <vt:variant>
        <vt:lpwstr/>
      </vt:variant>
      <vt:variant>
        <vt:lpwstr>_Toc146532058</vt:lpwstr>
      </vt:variant>
      <vt:variant>
        <vt:i4>1114164</vt:i4>
      </vt:variant>
      <vt:variant>
        <vt:i4>368</vt:i4>
      </vt:variant>
      <vt:variant>
        <vt:i4>0</vt:i4>
      </vt:variant>
      <vt:variant>
        <vt:i4>5</vt:i4>
      </vt:variant>
      <vt:variant>
        <vt:lpwstr/>
      </vt:variant>
      <vt:variant>
        <vt:lpwstr>_Toc146532057</vt:lpwstr>
      </vt:variant>
      <vt:variant>
        <vt:i4>1114164</vt:i4>
      </vt:variant>
      <vt:variant>
        <vt:i4>362</vt:i4>
      </vt:variant>
      <vt:variant>
        <vt:i4>0</vt:i4>
      </vt:variant>
      <vt:variant>
        <vt:i4>5</vt:i4>
      </vt:variant>
      <vt:variant>
        <vt:lpwstr/>
      </vt:variant>
      <vt:variant>
        <vt:lpwstr>_Toc146532056</vt:lpwstr>
      </vt:variant>
      <vt:variant>
        <vt:i4>1114164</vt:i4>
      </vt:variant>
      <vt:variant>
        <vt:i4>356</vt:i4>
      </vt:variant>
      <vt:variant>
        <vt:i4>0</vt:i4>
      </vt:variant>
      <vt:variant>
        <vt:i4>5</vt:i4>
      </vt:variant>
      <vt:variant>
        <vt:lpwstr/>
      </vt:variant>
      <vt:variant>
        <vt:lpwstr>_Toc146532055</vt:lpwstr>
      </vt:variant>
      <vt:variant>
        <vt:i4>1114164</vt:i4>
      </vt:variant>
      <vt:variant>
        <vt:i4>350</vt:i4>
      </vt:variant>
      <vt:variant>
        <vt:i4>0</vt:i4>
      </vt:variant>
      <vt:variant>
        <vt:i4>5</vt:i4>
      </vt:variant>
      <vt:variant>
        <vt:lpwstr/>
      </vt:variant>
      <vt:variant>
        <vt:lpwstr>_Toc146532054</vt:lpwstr>
      </vt:variant>
      <vt:variant>
        <vt:i4>1114164</vt:i4>
      </vt:variant>
      <vt:variant>
        <vt:i4>344</vt:i4>
      </vt:variant>
      <vt:variant>
        <vt:i4>0</vt:i4>
      </vt:variant>
      <vt:variant>
        <vt:i4>5</vt:i4>
      </vt:variant>
      <vt:variant>
        <vt:lpwstr/>
      </vt:variant>
      <vt:variant>
        <vt:lpwstr>_Toc146532053</vt:lpwstr>
      </vt:variant>
      <vt:variant>
        <vt:i4>1114164</vt:i4>
      </vt:variant>
      <vt:variant>
        <vt:i4>338</vt:i4>
      </vt:variant>
      <vt:variant>
        <vt:i4>0</vt:i4>
      </vt:variant>
      <vt:variant>
        <vt:i4>5</vt:i4>
      </vt:variant>
      <vt:variant>
        <vt:lpwstr/>
      </vt:variant>
      <vt:variant>
        <vt:lpwstr>_Toc146532052</vt:lpwstr>
      </vt:variant>
      <vt:variant>
        <vt:i4>1114164</vt:i4>
      </vt:variant>
      <vt:variant>
        <vt:i4>332</vt:i4>
      </vt:variant>
      <vt:variant>
        <vt:i4>0</vt:i4>
      </vt:variant>
      <vt:variant>
        <vt:i4>5</vt:i4>
      </vt:variant>
      <vt:variant>
        <vt:lpwstr/>
      </vt:variant>
      <vt:variant>
        <vt:lpwstr>_Toc146532051</vt:lpwstr>
      </vt:variant>
      <vt:variant>
        <vt:i4>1114164</vt:i4>
      </vt:variant>
      <vt:variant>
        <vt:i4>326</vt:i4>
      </vt:variant>
      <vt:variant>
        <vt:i4>0</vt:i4>
      </vt:variant>
      <vt:variant>
        <vt:i4>5</vt:i4>
      </vt:variant>
      <vt:variant>
        <vt:lpwstr/>
      </vt:variant>
      <vt:variant>
        <vt:lpwstr>_Toc146532050</vt:lpwstr>
      </vt:variant>
      <vt:variant>
        <vt:i4>1048628</vt:i4>
      </vt:variant>
      <vt:variant>
        <vt:i4>320</vt:i4>
      </vt:variant>
      <vt:variant>
        <vt:i4>0</vt:i4>
      </vt:variant>
      <vt:variant>
        <vt:i4>5</vt:i4>
      </vt:variant>
      <vt:variant>
        <vt:lpwstr/>
      </vt:variant>
      <vt:variant>
        <vt:lpwstr>_Toc146532049</vt:lpwstr>
      </vt:variant>
      <vt:variant>
        <vt:i4>1048628</vt:i4>
      </vt:variant>
      <vt:variant>
        <vt:i4>314</vt:i4>
      </vt:variant>
      <vt:variant>
        <vt:i4>0</vt:i4>
      </vt:variant>
      <vt:variant>
        <vt:i4>5</vt:i4>
      </vt:variant>
      <vt:variant>
        <vt:lpwstr/>
      </vt:variant>
      <vt:variant>
        <vt:lpwstr>_Toc146532048</vt:lpwstr>
      </vt:variant>
      <vt:variant>
        <vt:i4>1048628</vt:i4>
      </vt:variant>
      <vt:variant>
        <vt:i4>308</vt:i4>
      </vt:variant>
      <vt:variant>
        <vt:i4>0</vt:i4>
      </vt:variant>
      <vt:variant>
        <vt:i4>5</vt:i4>
      </vt:variant>
      <vt:variant>
        <vt:lpwstr/>
      </vt:variant>
      <vt:variant>
        <vt:lpwstr>_Toc146532047</vt:lpwstr>
      </vt:variant>
      <vt:variant>
        <vt:i4>1048628</vt:i4>
      </vt:variant>
      <vt:variant>
        <vt:i4>302</vt:i4>
      </vt:variant>
      <vt:variant>
        <vt:i4>0</vt:i4>
      </vt:variant>
      <vt:variant>
        <vt:i4>5</vt:i4>
      </vt:variant>
      <vt:variant>
        <vt:lpwstr/>
      </vt:variant>
      <vt:variant>
        <vt:lpwstr>_Toc146532046</vt:lpwstr>
      </vt:variant>
      <vt:variant>
        <vt:i4>1048628</vt:i4>
      </vt:variant>
      <vt:variant>
        <vt:i4>296</vt:i4>
      </vt:variant>
      <vt:variant>
        <vt:i4>0</vt:i4>
      </vt:variant>
      <vt:variant>
        <vt:i4>5</vt:i4>
      </vt:variant>
      <vt:variant>
        <vt:lpwstr/>
      </vt:variant>
      <vt:variant>
        <vt:lpwstr>_Toc146532045</vt:lpwstr>
      </vt:variant>
      <vt:variant>
        <vt:i4>1048628</vt:i4>
      </vt:variant>
      <vt:variant>
        <vt:i4>290</vt:i4>
      </vt:variant>
      <vt:variant>
        <vt:i4>0</vt:i4>
      </vt:variant>
      <vt:variant>
        <vt:i4>5</vt:i4>
      </vt:variant>
      <vt:variant>
        <vt:lpwstr/>
      </vt:variant>
      <vt:variant>
        <vt:lpwstr>_Toc146532044</vt:lpwstr>
      </vt:variant>
      <vt:variant>
        <vt:i4>1048628</vt:i4>
      </vt:variant>
      <vt:variant>
        <vt:i4>284</vt:i4>
      </vt:variant>
      <vt:variant>
        <vt:i4>0</vt:i4>
      </vt:variant>
      <vt:variant>
        <vt:i4>5</vt:i4>
      </vt:variant>
      <vt:variant>
        <vt:lpwstr/>
      </vt:variant>
      <vt:variant>
        <vt:lpwstr>_Toc146532043</vt:lpwstr>
      </vt:variant>
      <vt:variant>
        <vt:i4>1048628</vt:i4>
      </vt:variant>
      <vt:variant>
        <vt:i4>278</vt:i4>
      </vt:variant>
      <vt:variant>
        <vt:i4>0</vt:i4>
      </vt:variant>
      <vt:variant>
        <vt:i4>5</vt:i4>
      </vt:variant>
      <vt:variant>
        <vt:lpwstr/>
      </vt:variant>
      <vt:variant>
        <vt:lpwstr>_Toc146532042</vt:lpwstr>
      </vt:variant>
      <vt:variant>
        <vt:i4>1048628</vt:i4>
      </vt:variant>
      <vt:variant>
        <vt:i4>272</vt:i4>
      </vt:variant>
      <vt:variant>
        <vt:i4>0</vt:i4>
      </vt:variant>
      <vt:variant>
        <vt:i4>5</vt:i4>
      </vt:variant>
      <vt:variant>
        <vt:lpwstr/>
      </vt:variant>
      <vt:variant>
        <vt:lpwstr>_Toc146532041</vt:lpwstr>
      </vt:variant>
      <vt:variant>
        <vt:i4>1048628</vt:i4>
      </vt:variant>
      <vt:variant>
        <vt:i4>266</vt:i4>
      </vt:variant>
      <vt:variant>
        <vt:i4>0</vt:i4>
      </vt:variant>
      <vt:variant>
        <vt:i4>5</vt:i4>
      </vt:variant>
      <vt:variant>
        <vt:lpwstr/>
      </vt:variant>
      <vt:variant>
        <vt:lpwstr>_Toc146532040</vt:lpwstr>
      </vt:variant>
      <vt:variant>
        <vt:i4>1507380</vt:i4>
      </vt:variant>
      <vt:variant>
        <vt:i4>260</vt:i4>
      </vt:variant>
      <vt:variant>
        <vt:i4>0</vt:i4>
      </vt:variant>
      <vt:variant>
        <vt:i4>5</vt:i4>
      </vt:variant>
      <vt:variant>
        <vt:lpwstr/>
      </vt:variant>
      <vt:variant>
        <vt:lpwstr>_Toc146532039</vt:lpwstr>
      </vt:variant>
      <vt:variant>
        <vt:i4>1507380</vt:i4>
      </vt:variant>
      <vt:variant>
        <vt:i4>254</vt:i4>
      </vt:variant>
      <vt:variant>
        <vt:i4>0</vt:i4>
      </vt:variant>
      <vt:variant>
        <vt:i4>5</vt:i4>
      </vt:variant>
      <vt:variant>
        <vt:lpwstr/>
      </vt:variant>
      <vt:variant>
        <vt:lpwstr>_Toc146532038</vt:lpwstr>
      </vt:variant>
      <vt:variant>
        <vt:i4>1507380</vt:i4>
      </vt:variant>
      <vt:variant>
        <vt:i4>248</vt:i4>
      </vt:variant>
      <vt:variant>
        <vt:i4>0</vt:i4>
      </vt:variant>
      <vt:variant>
        <vt:i4>5</vt:i4>
      </vt:variant>
      <vt:variant>
        <vt:lpwstr/>
      </vt:variant>
      <vt:variant>
        <vt:lpwstr>_Toc146532037</vt:lpwstr>
      </vt:variant>
      <vt:variant>
        <vt:i4>1507380</vt:i4>
      </vt:variant>
      <vt:variant>
        <vt:i4>242</vt:i4>
      </vt:variant>
      <vt:variant>
        <vt:i4>0</vt:i4>
      </vt:variant>
      <vt:variant>
        <vt:i4>5</vt:i4>
      </vt:variant>
      <vt:variant>
        <vt:lpwstr/>
      </vt:variant>
      <vt:variant>
        <vt:lpwstr>_Toc146532036</vt:lpwstr>
      </vt:variant>
      <vt:variant>
        <vt:i4>1507380</vt:i4>
      </vt:variant>
      <vt:variant>
        <vt:i4>236</vt:i4>
      </vt:variant>
      <vt:variant>
        <vt:i4>0</vt:i4>
      </vt:variant>
      <vt:variant>
        <vt:i4>5</vt:i4>
      </vt:variant>
      <vt:variant>
        <vt:lpwstr/>
      </vt:variant>
      <vt:variant>
        <vt:lpwstr>_Toc146532035</vt:lpwstr>
      </vt:variant>
      <vt:variant>
        <vt:i4>1507380</vt:i4>
      </vt:variant>
      <vt:variant>
        <vt:i4>230</vt:i4>
      </vt:variant>
      <vt:variant>
        <vt:i4>0</vt:i4>
      </vt:variant>
      <vt:variant>
        <vt:i4>5</vt:i4>
      </vt:variant>
      <vt:variant>
        <vt:lpwstr/>
      </vt:variant>
      <vt:variant>
        <vt:lpwstr>_Toc146532034</vt:lpwstr>
      </vt:variant>
      <vt:variant>
        <vt:i4>1507380</vt:i4>
      </vt:variant>
      <vt:variant>
        <vt:i4>224</vt:i4>
      </vt:variant>
      <vt:variant>
        <vt:i4>0</vt:i4>
      </vt:variant>
      <vt:variant>
        <vt:i4>5</vt:i4>
      </vt:variant>
      <vt:variant>
        <vt:lpwstr/>
      </vt:variant>
      <vt:variant>
        <vt:lpwstr>_Toc146532033</vt:lpwstr>
      </vt:variant>
      <vt:variant>
        <vt:i4>1507380</vt:i4>
      </vt:variant>
      <vt:variant>
        <vt:i4>218</vt:i4>
      </vt:variant>
      <vt:variant>
        <vt:i4>0</vt:i4>
      </vt:variant>
      <vt:variant>
        <vt:i4>5</vt:i4>
      </vt:variant>
      <vt:variant>
        <vt:lpwstr/>
      </vt:variant>
      <vt:variant>
        <vt:lpwstr>_Toc146532032</vt:lpwstr>
      </vt:variant>
      <vt:variant>
        <vt:i4>1507380</vt:i4>
      </vt:variant>
      <vt:variant>
        <vt:i4>212</vt:i4>
      </vt:variant>
      <vt:variant>
        <vt:i4>0</vt:i4>
      </vt:variant>
      <vt:variant>
        <vt:i4>5</vt:i4>
      </vt:variant>
      <vt:variant>
        <vt:lpwstr/>
      </vt:variant>
      <vt:variant>
        <vt:lpwstr>_Toc146532031</vt:lpwstr>
      </vt:variant>
      <vt:variant>
        <vt:i4>1507380</vt:i4>
      </vt:variant>
      <vt:variant>
        <vt:i4>206</vt:i4>
      </vt:variant>
      <vt:variant>
        <vt:i4>0</vt:i4>
      </vt:variant>
      <vt:variant>
        <vt:i4>5</vt:i4>
      </vt:variant>
      <vt:variant>
        <vt:lpwstr/>
      </vt:variant>
      <vt:variant>
        <vt:lpwstr>_Toc146532030</vt:lpwstr>
      </vt:variant>
      <vt:variant>
        <vt:i4>1441844</vt:i4>
      </vt:variant>
      <vt:variant>
        <vt:i4>200</vt:i4>
      </vt:variant>
      <vt:variant>
        <vt:i4>0</vt:i4>
      </vt:variant>
      <vt:variant>
        <vt:i4>5</vt:i4>
      </vt:variant>
      <vt:variant>
        <vt:lpwstr/>
      </vt:variant>
      <vt:variant>
        <vt:lpwstr>_Toc146532029</vt:lpwstr>
      </vt:variant>
      <vt:variant>
        <vt:i4>1441844</vt:i4>
      </vt:variant>
      <vt:variant>
        <vt:i4>194</vt:i4>
      </vt:variant>
      <vt:variant>
        <vt:i4>0</vt:i4>
      </vt:variant>
      <vt:variant>
        <vt:i4>5</vt:i4>
      </vt:variant>
      <vt:variant>
        <vt:lpwstr/>
      </vt:variant>
      <vt:variant>
        <vt:lpwstr>_Toc146532028</vt:lpwstr>
      </vt:variant>
      <vt:variant>
        <vt:i4>1441844</vt:i4>
      </vt:variant>
      <vt:variant>
        <vt:i4>188</vt:i4>
      </vt:variant>
      <vt:variant>
        <vt:i4>0</vt:i4>
      </vt:variant>
      <vt:variant>
        <vt:i4>5</vt:i4>
      </vt:variant>
      <vt:variant>
        <vt:lpwstr/>
      </vt:variant>
      <vt:variant>
        <vt:lpwstr>_Toc146532027</vt:lpwstr>
      </vt:variant>
      <vt:variant>
        <vt:i4>1441844</vt:i4>
      </vt:variant>
      <vt:variant>
        <vt:i4>182</vt:i4>
      </vt:variant>
      <vt:variant>
        <vt:i4>0</vt:i4>
      </vt:variant>
      <vt:variant>
        <vt:i4>5</vt:i4>
      </vt:variant>
      <vt:variant>
        <vt:lpwstr/>
      </vt:variant>
      <vt:variant>
        <vt:lpwstr>_Toc146532026</vt:lpwstr>
      </vt:variant>
      <vt:variant>
        <vt:i4>1441844</vt:i4>
      </vt:variant>
      <vt:variant>
        <vt:i4>176</vt:i4>
      </vt:variant>
      <vt:variant>
        <vt:i4>0</vt:i4>
      </vt:variant>
      <vt:variant>
        <vt:i4>5</vt:i4>
      </vt:variant>
      <vt:variant>
        <vt:lpwstr/>
      </vt:variant>
      <vt:variant>
        <vt:lpwstr>_Toc146532025</vt:lpwstr>
      </vt:variant>
      <vt:variant>
        <vt:i4>1441844</vt:i4>
      </vt:variant>
      <vt:variant>
        <vt:i4>170</vt:i4>
      </vt:variant>
      <vt:variant>
        <vt:i4>0</vt:i4>
      </vt:variant>
      <vt:variant>
        <vt:i4>5</vt:i4>
      </vt:variant>
      <vt:variant>
        <vt:lpwstr/>
      </vt:variant>
      <vt:variant>
        <vt:lpwstr>_Toc146532024</vt:lpwstr>
      </vt:variant>
      <vt:variant>
        <vt:i4>1441844</vt:i4>
      </vt:variant>
      <vt:variant>
        <vt:i4>164</vt:i4>
      </vt:variant>
      <vt:variant>
        <vt:i4>0</vt:i4>
      </vt:variant>
      <vt:variant>
        <vt:i4>5</vt:i4>
      </vt:variant>
      <vt:variant>
        <vt:lpwstr/>
      </vt:variant>
      <vt:variant>
        <vt:lpwstr>_Toc146532023</vt:lpwstr>
      </vt:variant>
      <vt:variant>
        <vt:i4>1441844</vt:i4>
      </vt:variant>
      <vt:variant>
        <vt:i4>158</vt:i4>
      </vt:variant>
      <vt:variant>
        <vt:i4>0</vt:i4>
      </vt:variant>
      <vt:variant>
        <vt:i4>5</vt:i4>
      </vt:variant>
      <vt:variant>
        <vt:lpwstr/>
      </vt:variant>
      <vt:variant>
        <vt:lpwstr>_Toc146532022</vt:lpwstr>
      </vt:variant>
      <vt:variant>
        <vt:i4>1441844</vt:i4>
      </vt:variant>
      <vt:variant>
        <vt:i4>152</vt:i4>
      </vt:variant>
      <vt:variant>
        <vt:i4>0</vt:i4>
      </vt:variant>
      <vt:variant>
        <vt:i4>5</vt:i4>
      </vt:variant>
      <vt:variant>
        <vt:lpwstr/>
      </vt:variant>
      <vt:variant>
        <vt:lpwstr>_Toc146532021</vt:lpwstr>
      </vt:variant>
      <vt:variant>
        <vt:i4>1441844</vt:i4>
      </vt:variant>
      <vt:variant>
        <vt:i4>146</vt:i4>
      </vt:variant>
      <vt:variant>
        <vt:i4>0</vt:i4>
      </vt:variant>
      <vt:variant>
        <vt:i4>5</vt:i4>
      </vt:variant>
      <vt:variant>
        <vt:lpwstr/>
      </vt:variant>
      <vt:variant>
        <vt:lpwstr>_Toc146532020</vt:lpwstr>
      </vt:variant>
      <vt:variant>
        <vt:i4>1376308</vt:i4>
      </vt:variant>
      <vt:variant>
        <vt:i4>140</vt:i4>
      </vt:variant>
      <vt:variant>
        <vt:i4>0</vt:i4>
      </vt:variant>
      <vt:variant>
        <vt:i4>5</vt:i4>
      </vt:variant>
      <vt:variant>
        <vt:lpwstr/>
      </vt:variant>
      <vt:variant>
        <vt:lpwstr>_Toc146532019</vt:lpwstr>
      </vt:variant>
      <vt:variant>
        <vt:i4>1376308</vt:i4>
      </vt:variant>
      <vt:variant>
        <vt:i4>134</vt:i4>
      </vt:variant>
      <vt:variant>
        <vt:i4>0</vt:i4>
      </vt:variant>
      <vt:variant>
        <vt:i4>5</vt:i4>
      </vt:variant>
      <vt:variant>
        <vt:lpwstr/>
      </vt:variant>
      <vt:variant>
        <vt:lpwstr>_Toc146532018</vt:lpwstr>
      </vt:variant>
      <vt:variant>
        <vt:i4>1376308</vt:i4>
      </vt:variant>
      <vt:variant>
        <vt:i4>128</vt:i4>
      </vt:variant>
      <vt:variant>
        <vt:i4>0</vt:i4>
      </vt:variant>
      <vt:variant>
        <vt:i4>5</vt:i4>
      </vt:variant>
      <vt:variant>
        <vt:lpwstr/>
      </vt:variant>
      <vt:variant>
        <vt:lpwstr>_Toc146532017</vt:lpwstr>
      </vt:variant>
      <vt:variant>
        <vt:i4>1376308</vt:i4>
      </vt:variant>
      <vt:variant>
        <vt:i4>122</vt:i4>
      </vt:variant>
      <vt:variant>
        <vt:i4>0</vt:i4>
      </vt:variant>
      <vt:variant>
        <vt:i4>5</vt:i4>
      </vt:variant>
      <vt:variant>
        <vt:lpwstr/>
      </vt:variant>
      <vt:variant>
        <vt:lpwstr>_Toc146532016</vt:lpwstr>
      </vt:variant>
      <vt:variant>
        <vt:i4>1376308</vt:i4>
      </vt:variant>
      <vt:variant>
        <vt:i4>116</vt:i4>
      </vt:variant>
      <vt:variant>
        <vt:i4>0</vt:i4>
      </vt:variant>
      <vt:variant>
        <vt:i4>5</vt:i4>
      </vt:variant>
      <vt:variant>
        <vt:lpwstr/>
      </vt:variant>
      <vt:variant>
        <vt:lpwstr>_Toc146532015</vt:lpwstr>
      </vt:variant>
      <vt:variant>
        <vt:i4>1376308</vt:i4>
      </vt:variant>
      <vt:variant>
        <vt:i4>110</vt:i4>
      </vt:variant>
      <vt:variant>
        <vt:i4>0</vt:i4>
      </vt:variant>
      <vt:variant>
        <vt:i4>5</vt:i4>
      </vt:variant>
      <vt:variant>
        <vt:lpwstr/>
      </vt:variant>
      <vt:variant>
        <vt:lpwstr>_Toc146532014</vt:lpwstr>
      </vt:variant>
      <vt:variant>
        <vt:i4>1376308</vt:i4>
      </vt:variant>
      <vt:variant>
        <vt:i4>104</vt:i4>
      </vt:variant>
      <vt:variant>
        <vt:i4>0</vt:i4>
      </vt:variant>
      <vt:variant>
        <vt:i4>5</vt:i4>
      </vt:variant>
      <vt:variant>
        <vt:lpwstr/>
      </vt:variant>
      <vt:variant>
        <vt:lpwstr>_Toc146532013</vt:lpwstr>
      </vt:variant>
      <vt:variant>
        <vt:i4>1376308</vt:i4>
      </vt:variant>
      <vt:variant>
        <vt:i4>98</vt:i4>
      </vt:variant>
      <vt:variant>
        <vt:i4>0</vt:i4>
      </vt:variant>
      <vt:variant>
        <vt:i4>5</vt:i4>
      </vt:variant>
      <vt:variant>
        <vt:lpwstr/>
      </vt:variant>
      <vt:variant>
        <vt:lpwstr>_Toc146532012</vt:lpwstr>
      </vt:variant>
      <vt:variant>
        <vt:i4>1376308</vt:i4>
      </vt:variant>
      <vt:variant>
        <vt:i4>92</vt:i4>
      </vt:variant>
      <vt:variant>
        <vt:i4>0</vt:i4>
      </vt:variant>
      <vt:variant>
        <vt:i4>5</vt:i4>
      </vt:variant>
      <vt:variant>
        <vt:lpwstr/>
      </vt:variant>
      <vt:variant>
        <vt:lpwstr>_Toc146532011</vt:lpwstr>
      </vt:variant>
      <vt:variant>
        <vt:i4>1376308</vt:i4>
      </vt:variant>
      <vt:variant>
        <vt:i4>86</vt:i4>
      </vt:variant>
      <vt:variant>
        <vt:i4>0</vt:i4>
      </vt:variant>
      <vt:variant>
        <vt:i4>5</vt:i4>
      </vt:variant>
      <vt:variant>
        <vt:lpwstr/>
      </vt:variant>
      <vt:variant>
        <vt:lpwstr>_Toc146532010</vt:lpwstr>
      </vt:variant>
      <vt:variant>
        <vt:i4>1310772</vt:i4>
      </vt:variant>
      <vt:variant>
        <vt:i4>80</vt:i4>
      </vt:variant>
      <vt:variant>
        <vt:i4>0</vt:i4>
      </vt:variant>
      <vt:variant>
        <vt:i4>5</vt:i4>
      </vt:variant>
      <vt:variant>
        <vt:lpwstr/>
      </vt:variant>
      <vt:variant>
        <vt:lpwstr>_Toc146532009</vt:lpwstr>
      </vt:variant>
      <vt:variant>
        <vt:i4>1310772</vt:i4>
      </vt:variant>
      <vt:variant>
        <vt:i4>74</vt:i4>
      </vt:variant>
      <vt:variant>
        <vt:i4>0</vt:i4>
      </vt:variant>
      <vt:variant>
        <vt:i4>5</vt:i4>
      </vt:variant>
      <vt:variant>
        <vt:lpwstr/>
      </vt:variant>
      <vt:variant>
        <vt:lpwstr>_Toc146532008</vt:lpwstr>
      </vt:variant>
      <vt:variant>
        <vt:i4>1310772</vt:i4>
      </vt:variant>
      <vt:variant>
        <vt:i4>68</vt:i4>
      </vt:variant>
      <vt:variant>
        <vt:i4>0</vt:i4>
      </vt:variant>
      <vt:variant>
        <vt:i4>5</vt:i4>
      </vt:variant>
      <vt:variant>
        <vt:lpwstr/>
      </vt:variant>
      <vt:variant>
        <vt:lpwstr>_Toc146532007</vt:lpwstr>
      </vt:variant>
      <vt:variant>
        <vt:i4>1310772</vt:i4>
      </vt:variant>
      <vt:variant>
        <vt:i4>62</vt:i4>
      </vt:variant>
      <vt:variant>
        <vt:i4>0</vt:i4>
      </vt:variant>
      <vt:variant>
        <vt:i4>5</vt:i4>
      </vt:variant>
      <vt:variant>
        <vt:lpwstr/>
      </vt:variant>
      <vt:variant>
        <vt:lpwstr>_Toc146532006</vt:lpwstr>
      </vt:variant>
      <vt:variant>
        <vt:i4>1310772</vt:i4>
      </vt:variant>
      <vt:variant>
        <vt:i4>56</vt:i4>
      </vt:variant>
      <vt:variant>
        <vt:i4>0</vt:i4>
      </vt:variant>
      <vt:variant>
        <vt:i4>5</vt:i4>
      </vt:variant>
      <vt:variant>
        <vt:lpwstr/>
      </vt:variant>
      <vt:variant>
        <vt:lpwstr>_Toc146532005</vt:lpwstr>
      </vt:variant>
      <vt:variant>
        <vt:i4>1310772</vt:i4>
      </vt:variant>
      <vt:variant>
        <vt:i4>50</vt:i4>
      </vt:variant>
      <vt:variant>
        <vt:i4>0</vt:i4>
      </vt:variant>
      <vt:variant>
        <vt:i4>5</vt:i4>
      </vt:variant>
      <vt:variant>
        <vt:lpwstr/>
      </vt:variant>
      <vt:variant>
        <vt:lpwstr>_Toc146532004</vt:lpwstr>
      </vt:variant>
      <vt:variant>
        <vt:i4>1310772</vt:i4>
      </vt:variant>
      <vt:variant>
        <vt:i4>44</vt:i4>
      </vt:variant>
      <vt:variant>
        <vt:i4>0</vt:i4>
      </vt:variant>
      <vt:variant>
        <vt:i4>5</vt:i4>
      </vt:variant>
      <vt:variant>
        <vt:lpwstr/>
      </vt:variant>
      <vt:variant>
        <vt:lpwstr>_Toc146532003</vt:lpwstr>
      </vt:variant>
      <vt:variant>
        <vt:i4>1310772</vt:i4>
      </vt:variant>
      <vt:variant>
        <vt:i4>38</vt:i4>
      </vt:variant>
      <vt:variant>
        <vt:i4>0</vt:i4>
      </vt:variant>
      <vt:variant>
        <vt:i4>5</vt:i4>
      </vt:variant>
      <vt:variant>
        <vt:lpwstr/>
      </vt:variant>
      <vt:variant>
        <vt:lpwstr>_Toc146532002</vt:lpwstr>
      </vt:variant>
      <vt:variant>
        <vt:i4>1310772</vt:i4>
      </vt:variant>
      <vt:variant>
        <vt:i4>32</vt:i4>
      </vt:variant>
      <vt:variant>
        <vt:i4>0</vt:i4>
      </vt:variant>
      <vt:variant>
        <vt:i4>5</vt:i4>
      </vt:variant>
      <vt:variant>
        <vt:lpwstr/>
      </vt:variant>
      <vt:variant>
        <vt:lpwstr>_Toc146532001</vt:lpwstr>
      </vt:variant>
      <vt:variant>
        <vt:i4>1310772</vt:i4>
      </vt:variant>
      <vt:variant>
        <vt:i4>26</vt:i4>
      </vt:variant>
      <vt:variant>
        <vt:i4>0</vt:i4>
      </vt:variant>
      <vt:variant>
        <vt:i4>5</vt:i4>
      </vt:variant>
      <vt:variant>
        <vt:lpwstr/>
      </vt:variant>
      <vt:variant>
        <vt:lpwstr>_Toc146532000</vt:lpwstr>
      </vt:variant>
      <vt:variant>
        <vt:i4>1966141</vt:i4>
      </vt:variant>
      <vt:variant>
        <vt:i4>20</vt:i4>
      </vt:variant>
      <vt:variant>
        <vt:i4>0</vt:i4>
      </vt:variant>
      <vt:variant>
        <vt:i4>5</vt:i4>
      </vt:variant>
      <vt:variant>
        <vt:lpwstr/>
      </vt:variant>
      <vt:variant>
        <vt:lpwstr>_Toc146531999</vt:lpwstr>
      </vt:variant>
      <vt:variant>
        <vt:i4>1966141</vt:i4>
      </vt:variant>
      <vt:variant>
        <vt:i4>14</vt:i4>
      </vt:variant>
      <vt:variant>
        <vt:i4>0</vt:i4>
      </vt:variant>
      <vt:variant>
        <vt:i4>5</vt:i4>
      </vt:variant>
      <vt:variant>
        <vt:lpwstr/>
      </vt:variant>
      <vt:variant>
        <vt:lpwstr>_Toc146531998</vt:lpwstr>
      </vt:variant>
      <vt:variant>
        <vt:i4>1966141</vt:i4>
      </vt:variant>
      <vt:variant>
        <vt:i4>8</vt:i4>
      </vt:variant>
      <vt:variant>
        <vt:i4>0</vt:i4>
      </vt:variant>
      <vt:variant>
        <vt:i4>5</vt:i4>
      </vt:variant>
      <vt:variant>
        <vt:lpwstr/>
      </vt:variant>
      <vt:variant>
        <vt:lpwstr>_Toc146531997</vt:lpwstr>
      </vt:variant>
      <vt:variant>
        <vt:i4>1966141</vt:i4>
      </vt:variant>
      <vt:variant>
        <vt:i4>2</vt:i4>
      </vt:variant>
      <vt:variant>
        <vt:i4>0</vt:i4>
      </vt:variant>
      <vt:variant>
        <vt:i4>5</vt:i4>
      </vt:variant>
      <vt:variant>
        <vt:lpwstr/>
      </vt:variant>
      <vt:variant>
        <vt:lpwstr>_Toc146531996</vt:lpwstr>
      </vt:variant>
      <vt:variant>
        <vt:i4>2555937</vt:i4>
      </vt:variant>
      <vt:variant>
        <vt:i4>6</vt:i4>
      </vt:variant>
      <vt:variant>
        <vt:i4>0</vt:i4>
      </vt:variant>
      <vt:variant>
        <vt:i4>5</vt:i4>
      </vt:variant>
      <vt:variant>
        <vt:lpwstr>https://advance.lexis.com/api/document/collection/administrative-materials/id/42P6-KW10-001G-Y1FG-00000-00?page=62262&amp;reporter=2130&amp;cite=94%20F.E.R.C.%20P61%2C340&amp;context=1000516</vt:lpwstr>
      </vt:variant>
      <vt:variant>
        <vt:lpwstr/>
      </vt:variant>
      <vt:variant>
        <vt:i4>655439</vt:i4>
      </vt:variant>
      <vt:variant>
        <vt:i4>3</vt:i4>
      </vt:variant>
      <vt:variant>
        <vt:i4>0</vt:i4>
      </vt:variant>
      <vt:variant>
        <vt:i4>5</vt:i4>
      </vt:variant>
      <vt:variant>
        <vt:lpwstr>https://docs.cpuc.ca.gov/PublishedDocs/Efile/G000/M515/K329/515329524.PDF</vt:lpwstr>
      </vt:variant>
      <vt:variant>
        <vt:lpwstr/>
      </vt:variant>
      <vt:variant>
        <vt:i4>6422603</vt:i4>
      </vt:variant>
      <vt:variant>
        <vt:i4>0</vt:i4>
      </vt:variant>
      <vt:variant>
        <vt:i4>0</vt:i4>
      </vt:variant>
      <vt:variant>
        <vt:i4>5</vt:i4>
      </vt:variant>
      <vt:variant>
        <vt:lpwstr>https://www.cpuc.ca.gov/-/media/cpuc-website/divisions/energy-division/documents/solar-in-disadvantaged-communities/dac-gt-and-csgt-evaluation-final-report_033122v2.pdf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2024-05-07T00:36:00Z</cp:lastPrinted>
  <dcterms:created xsi:type="dcterms:W3CDTF">2024-06-07T15:16:22Z</dcterms:created>
  <dcterms:modified xsi:type="dcterms:W3CDTF">2024-06-07T15:16:22Z</dcterms:modified>
</cp:coreProperties>
</file>