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97721" w:rsidR="00037F9F" w:rsidP="000500C6" w:rsidRDefault="008D47BB" w14:paraId="3DA8C715" w14:textId="56019517">
      <w:pPr>
        <w:spacing w:line="240" w:lineRule="auto"/>
        <w:ind w:firstLine="0"/>
        <w:rPr>
          <w:b/>
          <w:szCs w:val="26"/>
        </w:rPr>
      </w:pPr>
      <w:bookmarkStart w:name="_Hlk135215398" w:id="0"/>
      <w:r w:rsidRPr="00097721">
        <w:t>ALJ/DBB/hma</w:t>
      </w:r>
      <w:r w:rsidRPr="00097721" w:rsidR="00AE1900">
        <w:tab/>
      </w:r>
      <w:r w:rsidRPr="00097721" w:rsidR="00AE1900">
        <w:tab/>
      </w:r>
      <w:r w:rsidRPr="00097721" w:rsidR="00037F9F">
        <w:rPr>
          <w:b/>
          <w:bCs/>
          <w:sz w:val="24"/>
          <w:szCs w:val="24"/>
        </w:rPr>
        <w:t>PROPOSED DECISION</w:t>
      </w:r>
      <w:r w:rsidRPr="00097721" w:rsidR="00037F9F">
        <w:tab/>
      </w:r>
      <w:r w:rsidRPr="00097721" w:rsidR="000500C6">
        <w:t xml:space="preserve">       </w:t>
      </w:r>
      <w:r w:rsidRPr="00097721" w:rsidR="00037F9F">
        <w:rPr>
          <w:b/>
          <w:szCs w:val="26"/>
        </w:rPr>
        <w:t>Agenda ID #</w:t>
      </w:r>
      <w:r w:rsidRPr="00097721" w:rsidR="005214D7">
        <w:rPr>
          <w:b/>
          <w:szCs w:val="26"/>
        </w:rPr>
        <w:t>22626</w:t>
      </w:r>
      <w:r w:rsidRPr="00097721" w:rsidR="00C25E6F">
        <w:rPr>
          <w:b/>
          <w:szCs w:val="26"/>
        </w:rPr>
        <w:t xml:space="preserve"> (Rev. 1)</w:t>
      </w:r>
    </w:p>
    <w:p w:rsidRPr="00097721" w:rsidR="00DA7B5D" w:rsidP="000500C6" w:rsidRDefault="008C60D0" w14:paraId="21DAED0B" w14:textId="025B2455">
      <w:pPr>
        <w:spacing w:line="240" w:lineRule="auto"/>
        <w:ind w:left="7920" w:firstLine="0"/>
      </w:pPr>
      <w:r w:rsidRPr="00097721">
        <w:rPr>
          <w:b/>
          <w:szCs w:val="26"/>
        </w:rPr>
        <w:t xml:space="preserve"> </w:t>
      </w:r>
      <w:r w:rsidRPr="00097721" w:rsidR="00037F9F">
        <w:rPr>
          <w:b/>
          <w:szCs w:val="26"/>
        </w:rPr>
        <w:t>Ratesetting</w:t>
      </w:r>
      <w:r w:rsidRPr="00097721" w:rsidR="00037F9F">
        <w:tab/>
      </w:r>
    </w:p>
    <w:p w:rsidRPr="00097721" w:rsidR="000500C6" w:rsidP="000500C6" w:rsidRDefault="000500C6" w14:paraId="73A52339" w14:textId="0B2846B4">
      <w:pPr>
        <w:spacing w:line="240" w:lineRule="auto"/>
        <w:ind w:left="7920" w:hanging="7920"/>
        <w:jc w:val="right"/>
        <w:rPr>
          <w:b/>
          <w:bCs/>
          <w:szCs w:val="26"/>
        </w:rPr>
      </w:pPr>
      <w:r w:rsidRPr="00097721">
        <w:rPr>
          <w:b/>
          <w:bCs/>
        </w:rPr>
        <w:t>6/20/24 Item #20</w:t>
      </w:r>
    </w:p>
    <w:p w:rsidRPr="00097721" w:rsidR="008D47BB" w:rsidP="008D47BB" w:rsidRDefault="008D47BB" w14:paraId="718A9838" w14:textId="77777777">
      <w:pPr>
        <w:spacing w:line="240" w:lineRule="auto"/>
        <w:ind w:firstLine="0"/>
      </w:pPr>
    </w:p>
    <w:p w:rsidRPr="00097721" w:rsidR="008D47BB" w:rsidP="008D47BB" w:rsidRDefault="008D47BB" w14:paraId="7E16409F" w14:textId="77777777">
      <w:pPr>
        <w:spacing w:line="240" w:lineRule="auto"/>
        <w:ind w:firstLine="0"/>
      </w:pPr>
    </w:p>
    <w:p w:rsidRPr="00097721" w:rsidR="005214D7" w:rsidP="008D47BB" w:rsidRDefault="005214D7" w14:paraId="03CBC030" w14:textId="3A989E8C">
      <w:pPr>
        <w:spacing w:line="240" w:lineRule="auto"/>
        <w:ind w:firstLine="0"/>
      </w:pPr>
      <w:r w:rsidRPr="00097721">
        <w:t xml:space="preserve">Decision ___ </w:t>
      </w:r>
      <w:r w:rsidRPr="00097721">
        <w:rPr>
          <w:b/>
          <w:bCs/>
          <w:u w:val="single"/>
        </w:rPr>
        <w:t>PROPOSED DECISION OF ALJ CHIV (Mailed 5/17/2024)</w:t>
      </w:r>
    </w:p>
    <w:p w:rsidRPr="00097721" w:rsidR="008D47BB" w:rsidP="008D47BB" w:rsidRDefault="008D47BB" w14:paraId="1AA5879A" w14:textId="77777777">
      <w:pPr>
        <w:spacing w:line="240" w:lineRule="auto"/>
        <w:ind w:firstLine="0"/>
      </w:pPr>
    </w:p>
    <w:p w:rsidRPr="00097721" w:rsidR="00DA7B5D" w:rsidP="00BB0243" w:rsidRDefault="00DA7B5D" w14:paraId="66C48786" w14:textId="77777777">
      <w:pPr>
        <w:spacing w:line="240" w:lineRule="auto"/>
        <w:ind w:firstLine="0"/>
        <w:jc w:val="center"/>
        <w:rPr>
          <w:rFonts w:ascii="Arial" w:hAnsi="Arial" w:cs="Arial"/>
          <w:sz w:val="24"/>
          <w:szCs w:val="24"/>
        </w:rPr>
      </w:pPr>
      <w:r w:rsidRPr="00097721">
        <w:rPr>
          <w:rFonts w:ascii="Arial" w:hAnsi="Arial" w:cs="Arial"/>
          <w:b/>
          <w:sz w:val="24"/>
          <w:szCs w:val="24"/>
        </w:rPr>
        <w:t>BEFORE THE PUBLIC UTILITIES COMMISSION OF THE STATE OF CALIFORNIA</w:t>
      </w:r>
    </w:p>
    <w:p w:rsidRPr="00097721" w:rsidR="00DA7B5D" w:rsidP="008F0116" w:rsidRDefault="00DA7B5D" w14:paraId="1C90194A"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Pr="00097721" w:rsidR="00DA7B5D" w:rsidTr="00505385" w14:paraId="3AF0D92C" w14:textId="77777777">
        <w:trPr>
          <w:jc w:val="center"/>
        </w:trPr>
        <w:tc>
          <w:tcPr>
            <w:tcW w:w="4950" w:type="dxa"/>
            <w:tcBorders>
              <w:top w:val="nil"/>
              <w:left w:val="nil"/>
              <w:bottom w:val="single" w:color="auto" w:sz="4" w:space="0"/>
              <w:right w:val="single" w:color="auto" w:sz="4" w:space="0"/>
            </w:tcBorders>
          </w:tcPr>
          <w:p w:rsidRPr="00097721" w:rsidR="00DA7B5D" w:rsidP="00C10B5F" w:rsidRDefault="00745194" w14:paraId="5F26FE27" w14:textId="77777777">
            <w:pPr>
              <w:spacing w:line="240" w:lineRule="auto"/>
              <w:ind w:firstLine="0"/>
              <w:rPr>
                <w:rFonts w:cs="Arial"/>
                <w:szCs w:val="26"/>
              </w:rPr>
            </w:pPr>
            <w:r w:rsidRPr="00097721">
              <w:rPr>
                <w:rFonts w:cs="Arial"/>
                <w:szCs w:val="26"/>
              </w:rPr>
              <w:t>Order Instituting Rulemaking to Oversee the Resource Adequacy Program, Consider Program Reforms and Refinements, and Establish Forward Resource Adequacy Procurement Obligations.</w:t>
            </w:r>
            <w:r w:rsidRPr="00097721" w:rsidR="00DA7B5D">
              <w:rPr>
                <w:rFonts w:cs="Arial"/>
                <w:szCs w:val="26"/>
              </w:rPr>
              <w:br/>
            </w:r>
          </w:p>
        </w:tc>
        <w:tc>
          <w:tcPr>
            <w:tcW w:w="4410" w:type="dxa"/>
            <w:tcBorders>
              <w:top w:val="nil"/>
              <w:left w:val="single" w:color="auto" w:sz="4" w:space="0"/>
              <w:bottom w:val="nil"/>
              <w:right w:val="nil"/>
            </w:tcBorders>
            <w:vAlign w:val="center"/>
          </w:tcPr>
          <w:p w:rsidRPr="00097721" w:rsidR="0060258D" w:rsidP="00BD26EA" w:rsidRDefault="00B133FF" w14:paraId="75F108F0" w14:textId="471DECD5">
            <w:pPr>
              <w:ind w:firstLine="0"/>
              <w:jc w:val="center"/>
              <w:rPr>
                <w:rFonts w:cs="Arial"/>
                <w:szCs w:val="26"/>
              </w:rPr>
            </w:pPr>
            <w:r w:rsidRPr="00097721">
              <w:rPr>
                <w:rFonts w:cs="Arial"/>
                <w:szCs w:val="26"/>
              </w:rPr>
              <w:t>Rulemaking 2</w:t>
            </w:r>
            <w:r w:rsidRPr="00097721" w:rsidR="00184724">
              <w:rPr>
                <w:rFonts w:cs="Arial"/>
                <w:szCs w:val="26"/>
              </w:rPr>
              <w:t>3-10-0</w:t>
            </w:r>
            <w:r w:rsidRPr="00097721" w:rsidR="00C667F8">
              <w:rPr>
                <w:rFonts w:cs="Arial"/>
                <w:szCs w:val="26"/>
              </w:rPr>
              <w:t>11</w:t>
            </w:r>
          </w:p>
        </w:tc>
      </w:tr>
    </w:tbl>
    <w:p w:rsidRPr="00097721" w:rsidR="00DA7B5D" w:rsidP="008F0116" w:rsidRDefault="00DA7B5D" w14:paraId="44C83BBC" w14:textId="77777777">
      <w:pPr>
        <w:spacing w:line="240" w:lineRule="auto"/>
        <w:ind w:firstLine="0"/>
        <w:rPr>
          <w:rFonts w:ascii="Arial" w:hAnsi="Arial" w:cs="Arial"/>
          <w:sz w:val="24"/>
          <w:szCs w:val="24"/>
        </w:rPr>
      </w:pPr>
    </w:p>
    <w:p w:rsidRPr="00097721" w:rsidR="00AB2028" w:rsidP="008D47BB" w:rsidRDefault="00AB2028" w14:paraId="3C5E1861" w14:textId="77777777">
      <w:pPr>
        <w:pStyle w:val="Dummy"/>
      </w:pPr>
      <w:bookmarkStart w:name="_Toc106958533" w:id="1"/>
      <w:bookmarkStart w:name="_Hlk54356077" w:id="2"/>
    </w:p>
    <w:p w:rsidRPr="00097721" w:rsidR="00AB2028" w:rsidP="00EE52FE" w:rsidRDefault="00AB2028" w14:paraId="484DF6F5" w14:textId="77777777">
      <w:pPr>
        <w:pStyle w:val="Dummy"/>
        <w:jc w:val="center"/>
      </w:pPr>
    </w:p>
    <w:p w:rsidRPr="00097721" w:rsidR="00B133FF" w:rsidP="00EE52FE" w:rsidRDefault="00126EB1" w14:paraId="6915B7B9" w14:textId="32571986">
      <w:pPr>
        <w:pStyle w:val="Dummy"/>
        <w:jc w:val="center"/>
      </w:pPr>
      <w:bookmarkStart w:name="_Toc166841725" w:id="3"/>
      <w:r w:rsidRPr="00097721">
        <w:t xml:space="preserve">DECISION ADOPTING LOCAL CAPACITY OBLIGATIONS </w:t>
      </w:r>
      <w:r w:rsidRPr="00097721">
        <w:br/>
        <w:t>FOR 202</w:t>
      </w:r>
      <w:r w:rsidRPr="00097721" w:rsidR="00184724">
        <w:t>5</w:t>
      </w:r>
      <w:r w:rsidRPr="00097721">
        <w:t>-202</w:t>
      </w:r>
      <w:r w:rsidRPr="00097721" w:rsidR="00184724">
        <w:t>7</w:t>
      </w:r>
      <w:r w:rsidRPr="00097721">
        <w:t>, FLEXIBLE CAPACITY OBLIGATIONS FOR 202</w:t>
      </w:r>
      <w:r w:rsidRPr="00097721" w:rsidR="00184724">
        <w:t>5</w:t>
      </w:r>
      <w:r w:rsidRPr="00097721">
        <w:t xml:space="preserve">, AND </w:t>
      </w:r>
      <w:bookmarkEnd w:id="1"/>
      <w:r w:rsidRPr="00097721">
        <w:t>PROGRAM REFINEMENTS</w:t>
      </w:r>
      <w:bookmarkEnd w:id="3"/>
    </w:p>
    <w:bookmarkEnd w:id="2"/>
    <w:p w:rsidRPr="00097721" w:rsidR="00F92385" w:rsidP="00B3087D" w:rsidRDefault="00F92385" w14:paraId="013617B7" w14:textId="77777777">
      <w:pPr>
        <w:pStyle w:val="Dummy"/>
        <w:jc w:val="center"/>
      </w:pPr>
    </w:p>
    <w:p w:rsidRPr="00097721" w:rsidR="008E05B5" w:rsidP="00B372F6" w:rsidRDefault="008E05B5" w14:paraId="7A13CC30" w14:textId="18C7AD7B">
      <w:pPr>
        <w:ind w:firstLine="0"/>
        <w:sectPr w:rsidRPr="00097721" w:rsidR="008E05B5" w:rsidSect="00F14A89">
          <w:footerReference w:type="first" r:id="rId8"/>
          <w:pgSz w:w="12240" w:h="15840"/>
          <w:pgMar w:top="1440" w:right="1440" w:bottom="1440" w:left="1440" w:header="720" w:footer="720" w:gutter="0"/>
          <w:pgNumType w:start="1"/>
          <w:cols w:space="720"/>
          <w:titlePg/>
          <w:docGrid w:linePitch="360"/>
        </w:sectPr>
      </w:pPr>
    </w:p>
    <w:p w:rsidRPr="00097721" w:rsidR="00D50119" w:rsidP="00F76650" w:rsidRDefault="00D50119" w14:paraId="648D577E" w14:textId="77777777">
      <w:pPr>
        <w:pStyle w:val="Main"/>
        <w:rPr>
          <w:rFonts w:ascii="Book Antiqua" w:hAnsi="Book Antiqua"/>
          <w:sz w:val="22"/>
          <w:szCs w:val="22"/>
        </w:rPr>
      </w:pPr>
      <w:r w:rsidRPr="00097721">
        <w:rPr>
          <w:rFonts w:ascii="Book Antiqua" w:hAnsi="Book Antiqua"/>
          <w:sz w:val="22"/>
          <w:szCs w:val="22"/>
        </w:rPr>
        <w:lastRenderedPageBreak/>
        <w:t>TABLE OF CONTENTS</w:t>
      </w:r>
    </w:p>
    <w:p w:rsidRPr="00097721" w:rsidR="00D50119" w:rsidP="007E0FEE" w:rsidRDefault="00D50119" w14:paraId="1D625D5C" w14:textId="77777777">
      <w:pPr>
        <w:tabs>
          <w:tab w:val="right" w:pos="9360"/>
        </w:tabs>
        <w:ind w:firstLine="0"/>
        <w:rPr>
          <w:sz w:val="22"/>
        </w:rPr>
      </w:pPr>
      <w:r w:rsidRPr="00097721">
        <w:rPr>
          <w:b/>
          <w:sz w:val="22"/>
        </w:rPr>
        <w:t>Title</w:t>
      </w:r>
      <w:r w:rsidRPr="00097721">
        <w:rPr>
          <w:sz w:val="22"/>
        </w:rPr>
        <w:tab/>
      </w:r>
      <w:r w:rsidRPr="00097721">
        <w:rPr>
          <w:b/>
          <w:sz w:val="22"/>
        </w:rPr>
        <w:t>Page</w:t>
      </w:r>
    </w:p>
    <w:sdt>
      <w:sdtPr>
        <w:rPr>
          <w:rFonts w:eastAsiaTheme="minorHAnsi" w:cstheme="minorBidi"/>
          <w:sz w:val="22"/>
        </w:rPr>
        <w:id w:val="-1224440197"/>
        <w:docPartObj>
          <w:docPartGallery w:val="Table of Contents"/>
          <w:docPartUnique/>
        </w:docPartObj>
      </w:sdtPr>
      <w:sdtEndPr>
        <w:rPr>
          <w:b/>
          <w:bCs/>
          <w:noProof/>
        </w:rPr>
      </w:sdtEndPr>
      <w:sdtContent>
        <w:p w:rsidRPr="00097721" w:rsidR="00F92EFD" w:rsidRDefault="00CC4BF1" w14:paraId="672CEC64" w14:textId="4513632F">
          <w:pPr>
            <w:pStyle w:val="TOC1"/>
            <w:tabs>
              <w:tab w:val="right" w:leader="dot" w:pos="9350"/>
            </w:tabs>
            <w:rPr>
              <w:rFonts w:asciiTheme="minorHAnsi" w:hAnsiTheme="minorHAnsi" w:cstheme="minorBidi"/>
              <w:noProof/>
              <w:kern w:val="2"/>
              <w:sz w:val="24"/>
              <w:szCs w:val="24"/>
              <w14:ligatures w14:val="standardContextual"/>
            </w:rPr>
          </w:pPr>
          <w:r w:rsidRPr="00097721">
            <w:rPr>
              <w:sz w:val="22"/>
            </w:rPr>
            <w:fldChar w:fldCharType="begin"/>
          </w:r>
          <w:r w:rsidRPr="00097721">
            <w:rPr>
              <w:sz w:val="22"/>
            </w:rPr>
            <w:instrText xml:space="preserve"> TOC \o "1-6" \h \z \u </w:instrText>
          </w:r>
          <w:r w:rsidRPr="00097721">
            <w:rPr>
              <w:sz w:val="22"/>
            </w:rPr>
            <w:fldChar w:fldCharType="separate"/>
          </w:r>
          <w:hyperlink w:history="1" w:anchor="_Toc166841725">
            <w:r w:rsidRPr="00097721" w:rsidR="00F92EFD">
              <w:rPr>
                <w:rStyle w:val="Hyperlink"/>
                <w:noProof/>
                <w:color w:val="auto"/>
              </w:rPr>
              <w:t>DECISION ADOPTING LOCAL CAPACITY OBLIGATIONS  FOR 2025-2027, FLEXIBLE CAPACITY OBLIGATIONS FOR 2025, AND PROGRAM REFINEMENTS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_Toc166841725 \h </w:instrText>
            </w:r>
            <w:r w:rsidRPr="00097721" w:rsidR="00F92EFD">
              <w:rPr>
                <w:noProof/>
                <w:webHidden/>
              </w:rPr>
            </w:r>
            <w:r w:rsidRPr="00097721" w:rsidR="00F92EFD">
              <w:rPr>
                <w:noProof/>
                <w:webHidden/>
              </w:rPr>
              <w:fldChar w:fldCharType="separate"/>
            </w:r>
            <w:r w:rsidRPr="00097721" w:rsidR="00554901">
              <w:rPr>
                <w:noProof/>
                <w:webHidden/>
              </w:rPr>
              <w:t>1</w:t>
            </w:r>
            <w:r w:rsidRPr="00097721" w:rsidR="00F92EFD">
              <w:rPr>
                <w:noProof/>
                <w:webHidden/>
              </w:rPr>
              <w:fldChar w:fldCharType="end"/>
            </w:r>
          </w:hyperlink>
        </w:p>
        <w:p w:rsidRPr="00097721" w:rsidR="00F92EFD" w:rsidRDefault="00000000" w14:paraId="41759ADC" w14:textId="0E9AECD6">
          <w:pPr>
            <w:pStyle w:val="TOC1"/>
            <w:tabs>
              <w:tab w:val="right" w:leader="dot" w:pos="9350"/>
            </w:tabs>
            <w:rPr>
              <w:rFonts w:asciiTheme="minorHAnsi" w:hAnsiTheme="minorHAnsi" w:cstheme="minorBidi"/>
              <w:noProof/>
              <w:kern w:val="2"/>
              <w:sz w:val="24"/>
              <w:szCs w:val="24"/>
              <w14:ligatures w14:val="standardContextual"/>
            </w:rPr>
          </w:pPr>
          <w:hyperlink w:history="1" w:anchor="_Toc166841726">
            <w:r w:rsidRPr="00097721" w:rsidR="00F92EFD">
              <w:rPr>
                <w:rStyle w:val="Hyperlink"/>
                <w:noProof/>
                <w:color w:val="auto"/>
              </w:rPr>
              <w:t>Summary</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_Toc166841726 \h </w:instrText>
            </w:r>
            <w:r w:rsidRPr="00097721" w:rsidR="00F92EFD">
              <w:rPr>
                <w:noProof/>
                <w:webHidden/>
              </w:rPr>
            </w:r>
            <w:r w:rsidRPr="00097721" w:rsidR="00F92EFD">
              <w:rPr>
                <w:noProof/>
                <w:webHidden/>
              </w:rPr>
              <w:fldChar w:fldCharType="separate"/>
            </w:r>
            <w:r w:rsidRPr="00097721" w:rsidR="00554901">
              <w:rPr>
                <w:noProof/>
                <w:webHidden/>
              </w:rPr>
              <w:t>2</w:t>
            </w:r>
            <w:r w:rsidRPr="00097721" w:rsidR="00F92EFD">
              <w:rPr>
                <w:noProof/>
                <w:webHidden/>
              </w:rPr>
              <w:fldChar w:fldCharType="end"/>
            </w:r>
          </w:hyperlink>
        </w:p>
        <w:p w:rsidRPr="00097721" w:rsidR="00F92EFD" w:rsidRDefault="00000000" w14:paraId="57C2BE4A" w14:textId="0E4D694D">
          <w:pPr>
            <w:pStyle w:val="TOC1"/>
            <w:tabs>
              <w:tab w:val="right" w:leader="dot" w:pos="9350"/>
            </w:tabs>
            <w:rPr>
              <w:rFonts w:asciiTheme="minorHAnsi" w:hAnsiTheme="minorHAnsi" w:cstheme="minorBidi"/>
              <w:noProof/>
              <w:kern w:val="2"/>
              <w:sz w:val="24"/>
              <w:szCs w:val="24"/>
              <w14:ligatures w14:val="standardContextual"/>
            </w:rPr>
          </w:pPr>
          <w:hyperlink w:history="1" w:anchor="_Toc166841727">
            <w:r w:rsidRPr="00097721" w:rsidR="00F92EFD">
              <w:rPr>
                <w:rStyle w:val="Hyperlink"/>
                <w:noProof/>
                <w:color w:val="auto"/>
              </w:rPr>
              <w:t>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Background</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_Toc166841727 \h </w:instrText>
            </w:r>
            <w:r w:rsidRPr="00097721" w:rsidR="00F92EFD">
              <w:rPr>
                <w:noProof/>
                <w:webHidden/>
              </w:rPr>
            </w:r>
            <w:r w:rsidRPr="00097721" w:rsidR="00F92EFD">
              <w:rPr>
                <w:noProof/>
                <w:webHidden/>
              </w:rPr>
              <w:fldChar w:fldCharType="separate"/>
            </w:r>
            <w:r w:rsidRPr="00097721" w:rsidR="00554901">
              <w:rPr>
                <w:noProof/>
                <w:webHidden/>
              </w:rPr>
              <w:t>2</w:t>
            </w:r>
            <w:r w:rsidRPr="00097721" w:rsidR="00F92EFD">
              <w:rPr>
                <w:noProof/>
                <w:webHidden/>
              </w:rPr>
              <w:fldChar w:fldCharType="end"/>
            </w:r>
          </w:hyperlink>
        </w:p>
        <w:p w:rsidRPr="00097721" w:rsidR="00F92EFD" w:rsidRDefault="00000000" w14:paraId="650B0AF3" w14:textId="4793C16D">
          <w:pPr>
            <w:pStyle w:val="TOC2"/>
            <w:tabs>
              <w:tab w:val="right" w:leader="dot" w:pos="9350"/>
            </w:tabs>
            <w:rPr>
              <w:rFonts w:asciiTheme="minorHAnsi" w:hAnsiTheme="minorHAnsi" w:cstheme="minorBidi"/>
              <w:noProof/>
              <w:kern w:val="2"/>
              <w:sz w:val="24"/>
              <w:szCs w:val="24"/>
              <w14:ligatures w14:val="standardContextual"/>
            </w:rPr>
          </w:pPr>
          <w:hyperlink w:history="1" w:anchor="_Toc166841728">
            <w:r w:rsidRPr="00097721" w:rsidR="00F92EFD">
              <w:rPr>
                <w:rStyle w:val="Hyperlink"/>
                <w:noProof/>
                <w:color w:val="auto"/>
              </w:rPr>
              <w:t>1.1.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Procedural History of Track 1</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_Toc166841728 \h </w:instrText>
            </w:r>
            <w:r w:rsidRPr="00097721" w:rsidR="00F92EFD">
              <w:rPr>
                <w:noProof/>
                <w:webHidden/>
              </w:rPr>
            </w:r>
            <w:r w:rsidRPr="00097721" w:rsidR="00F92EFD">
              <w:rPr>
                <w:noProof/>
                <w:webHidden/>
              </w:rPr>
              <w:fldChar w:fldCharType="separate"/>
            </w:r>
            <w:r w:rsidRPr="00097721" w:rsidR="00554901">
              <w:rPr>
                <w:noProof/>
                <w:webHidden/>
              </w:rPr>
              <w:t>2</w:t>
            </w:r>
            <w:r w:rsidRPr="00097721" w:rsidR="00F92EFD">
              <w:rPr>
                <w:noProof/>
                <w:webHidden/>
              </w:rPr>
              <w:fldChar w:fldCharType="end"/>
            </w:r>
          </w:hyperlink>
        </w:p>
        <w:p w:rsidRPr="00097721" w:rsidR="00F92EFD" w:rsidRDefault="00000000" w14:paraId="73B005F5" w14:textId="13871B76">
          <w:pPr>
            <w:pStyle w:val="TOC1"/>
            <w:tabs>
              <w:tab w:val="right" w:leader="dot" w:pos="9350"/>
            </w:tabs>
            <w:rPr>
              <w:rFonts w:asciiTheme="minorHAnsi" w:hAnsiTheme="minorHAnsi" w:cstheme="minorBidi"/>
              <w:noProof/>
              <w:kern w:val="2"/>
              <w:sz w:val="24"/>
              <w:szCs w:val="24"/>
              <w14:ligatures w14:val="standardContextual"/>
            </w:rPr>
          </w:pPr>
          <w:hyperlink w:history="1" w:anchor="_Toc166841729">
            <w:r w:rsidRPr="00097721" w:rsidR="00F92EFD">
              <w:rPr>
                <w:rStyle w:val="Hyperlink"/>
                <w:noProof/>
                <w:color w:val="auto"/>
              </w:rPr>
              <w:t>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Submission Date</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_Toc166841729 \h </w:instrText>
            </w:r>
            <w:r w:rsidRPr="00097721" w:rsidR="00F92EFD">
              <w:rPr>
                <w:noProof/>
                <w:webHidden/>
              </w:rPr>
            </w:r>
            <w:r w:rsidRPr="00097721" w:rsidR="00F92EFD">
              <w:rPr>
                <w:noProof/>
                <w:webHidden/>
              </w:rPr>
              <w:fldChar w:fldCharType="separate"/>
            </w:r>
            <w:r w:rsidRPr="00097721" w:rsidR="00554901">
              <w:rPr>
                <w:noProof/>
                <w:webHidden/>
              </w:rPr>
              <w:t>4</w:t>
            </w:r>
            <w:r w:rsidRPr="00097721" w:rsidR="00F92EFD">
              <w:rPr>
                <w:noProof/>
                <w:webHidden/>
              </w:rPr>
              <w:fldChar w:fldCharType="end"/>
            </w:r>
          </w:hyperlink>
        </w:p>
        <w:p w:rsidRPr="00097721" w:rsidR="00F92EFD" w:rsidRDefault="00000000" w14:paraId="42E1879B" w14:textId="346763F7">
          <w:pPr>
            <w:pStyle w:val="TOC1"/>
            <w:tabs>
              <w:tab w:val="right" w:leader="dot" w:pos="9350"/>
            </w:tabs>
            <w:rPr>
              <w:rFonts w:asciiTheme="minorHAnsi" w:hAnsiTheme="minorHAnsi" w:cstheme="minorBidi"/>
              <w:noProof/>
              <w:kern w:val="2"/>
              <w:sz w:val="24"/>
              <w:szCs w:val="24"/>
              <w14:ligatures w14:val="standardContextual"/>
            </w:rPr>
          </w:pPr>
          <w:hyperlink w:history="1" w:anchor="_Toc166841730">
            <w:r w:rsidRPr="00097721" w:rsidR="00F92EFD">
              <w:rPr>
                <w:rStyle w:val="Hyperlink"/>
                <w:noProof/>
                <w:color w:val="auto"/>
              </w:rPr>
              <w:t>3.</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Issues Before the Commission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_Toc166841730 \h </w:instrText>
            </w:r>
            <w:r w:rsidRPr="00097721" w:rsidR="00F92EFD">
              <w:rPr>
                <w:noProof/>
                <w:webHidden/>
              </w:rPr>
            </w:r>
            <w:r w:rsidRPr="00097721" w:rsidR="00F92EFD">
              <w:rPr>
                <w:noProof/>
                <w:webHidden/>
              </w:rPr>
              <w:fldChar w:fldCharType="separate"/>
            </w:r>
            <w:r w:rsidRPr="00097721" w:rsidR="00554901">
              <w:rPr>
                <w:noProof/>
                <w:webHidden/>
              </w:rPr>
              <w:t>4</w:t>
            </w:r>
            <w:r w:rsidRPr="00097721" w:rsidR="00F92EFD">
              <w:rPr>
                <w:noProof/>
                <w:webHidden/>
              </w:rPr>
              <w:fldChar w:fldCharType="end"/>
            </w:r>
          </w:hyperlink>
        </w:p>
        <w:p w:rsidRPr="00097721" w:rsidR="00F92EFD" w:rsidRDefault="00000000" w14:paraId="611C2C09" w14:textId="36AB553C">
          <w:pPr>
            <w:pStyle w:val="TOC1"/>
            <w:tabs>
              <w:tab w:val="right" w:leader="dot" w:pos="9350"/>
            </w:tabs>
            <w:rPr>
              <w:rFonts w:asciiTheme="minorHAnsi" w:hAnsiTheme="minorHAnsi" w:cstheme="minorBidi"/>
              <w:noProof/>
              <w:kern w:val="2"/>
              <w:sz w:val="24"/>
              <w:szCs w:val="24"/>
              <w14:ligatures w14:val="standardContextual"/>
            </w:rPr>
          </w:pPr>
          <w:hyperlink w:history="1" w:anchor="_Toc166841731">
            <w:r w:rsidRPr="00097721" w:rsidR="00F92EFD">
              <w:rPr>
                <w:rStyle w:val="Hyperlink"/>
                <w:noProof/>
                <w:color w:val="auto"/>
              </w:rPr>
              <w:t>4.</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Discussion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_Toc166841731 \h </w:instrText>
            </w:r>
            <w:r w:rsidRPr="00097721" w:rsidR="00F92EFD">
              <w:rPr>
                <w:noProof/>
                <w:webHidden/>
              </w:rPr>
            </w:r>
            <w:r w:rsidRPr="00097721" w:rsidR="00F92EFD">
              <w:rPr>
                <w:noProof/>
                <w:webHidden/>
              </w:rPr>
              <w:fldChar w:fldCharType="separate"/>
            </w:r>
            <w:r w:rsidRPr="00097721" w:rsidR="00554901">
              <w:rPr>
                <w:noProof/>
                <w:webHidden/>
              </w:rPr>
              <w:t>6</w:t>
            </w:r>
            <w:r w:rsidRPr="00097721" w:rsidR="00F92EFD">
              <w:rPr>
                <w:noProof/>
                <w:webHidden/>
              </w:rPr>
              <w:fldChar w:fldCharType="end"/>
            </w:r>
          </w:hyperlink>
        </w:p>
        <w:p w:rsidRPr="00097721" w:rsidR="00F92EFD" w:rsidRDefault="00000000" w14:paraId="10D2303C" w14:textId="017F4258">
          <w:pPr>
            <w:pStyle w:val="TOC2"/>
            <w:tabs>
              <w:tab w:val="right" w:leader="dot" w:pos="9350"/>
            </w:tabs>
            <w:rPr>
              <w:rFonts w:asciiTheme="minorHAnsi" w:hAnsiTheme="minorHAnsi" w:cstheme="minorBidi"/>
              <w:noProof/>
              <w:kern w:val="2"/>
              <w:sz w:val="24"/>
              <w:szCs w:val="24"/>
              <w14:ligatures w14:val="standardContextual"/>
            </w:rPr>
          </w:pPr>
          <w:hyperlink w:history="1" w:anchor="_Toc166841732">
            <w:r w:rsidRPr="00097721" w:rsidR="00F92EFD">
              <w:rPr>
                <w:rStyle w:val="Hyperlink"/>
                <w:noProof/>
                <w:color w:val="auto"/>
              </w:rPr>
              <w:t>4.1.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2025-2027 Local Capacity Requirements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_Toc166841732 \h </w:instrText>
            </w:r>
            <w:r w:rsidRPr="00097721" w:rsidR="00F92EFD">
              <w:rPr>
                <w:noProof/>
                <w:webHidden/>
              </w:rPr>
            </w:r>
            <w:r w:rsidRPr="00097721" w:rsidR="00F92EFD">
              <w:rPr>
                <w:noProof/>
                <w:webHidden/>
              </w:rPr>
              <w:fldChar w:fldCharType="separate"/>
            </w:r>
            <w:r w:rsidRPr="00097721" w:rsidR="00554901">
              <w:rPr>
                <w:noProof/>
                <w:webHidden/>
              </w:rPr>
              <w:t>6</w:t>
            </w:r>
            <w:r w:rsidRPr="00097721" w:rsidR="00F92EFD">
              <w:rPr>
                <w:noProof/>
                <w:webHidden/>
              </w:rPr>
              <w:fldChar w:fldCharType="end"/>
            </w:r>
          </w:hyperlink>
        </w:p>
        <w:p w:rsidRPr="00097721" w:rsidR="00F92EFD" w:rsidRDefault="00000000" w14:paraId="6A9134E7" w14:textId="2A54EAA8">
          <w:pPr>
            <w:pStyle w:val="TOC2"/>
            <w:tabs>
              <w:tab w:val="right" w:leader="dot" w:pos="9350"/>
            </w:tabs>
            <w:rPr>
              <w:rFonts w:asciiTheme="minorHAnsi" w:hAnsiTheme="minorHAnsi" w:cstheme="minorBidi"/>
              <w:noProof/>
              <w:kern w:val="2"/>
              <w:sz w:val="24"/>
              <w:szCs w:val="24"/>
              <w14:ligatures w14:val="standardContextual"/>
            </w:rPr>
          </w:pPr>
          <w:hyperlink w:history="1" w:anchor="_Toc166841733">
            <w:r w:rsidRPr="00097721" w:rsidR="00F92EFD">
              <w:rPr>
                <w:rStyle w:val="Hyperlink"/>
                <w:noProof/>
                <w:color w:val="auto"/>
              </w:rPr>
              <w:t>4.2.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2025 Flexible Capacity Requirements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_Toc166841733 \h </w:instrText>
            </w:r>
            <w:r w:rsidRPr="00097721" w:rsidR="00F92EFD">
              <w:rPr>
                <w:noProof/>
                <w:webHidden/>
              </w:rPr>
            </w:r>
            <w:r w:rsidRPr="00097721" w:rsidR="00F92EFD">
              <w:rPr>
                <w:noProof/>
                <w:webHidden/>
              </w:rPr>
              <w:fldChar w:fldCharType="separate"/>
            </w:r>
            <w:r w:rsidRPr="00097721" w:rsidR="00554901">
              <w:rPr>
                <w:noProof/>
                <w:webHidden/>
              </w:rPr>
              <w:t>9</w:t>
            </w:r>
            <w:r w:rsidRPr="00097721" w:rsidR="00F92EFD">
              <w:rPr>
                <w:noProof/>
                <w:webHidden/>
              </w:rPr>
              <w:fldChar w:fldCharType="end"/>
            </w:r>
          </w:hyperlink>
        </w:p>
        <w:p w:rsidRPr="00097721" w:rsidR="00F92EFD" w:rsidRDefault="00000000" w14:paraId="5FA76A37" w14:textId="1F07037E">
          <w:pPr>
            <w:pStyle w:val="TOC2"/>
            <w:tabs>
              <w:tab w:val="right" w:leader="dot" w:pos="9350"/>
            </w:tabs>
            <w:rPr>
              <w:rFonts w:asciiTheme="minorHAnsi" w:hAnsiTheme="minorHAnsi" w:cstheme="minorBidi"/>
              <w:noProof/>
              <w:kern w:val="2"/>
              <w:sz w:val="24"/>
              <w:szCs w:val="24"/>
              <w14:ligatures w14:val="standardContextual"/>
            </w:rPr>
          </w:pPr>
          <w:hyperlink w:history="1" w:anchor="_Toc166841734">
            <w:r w:rsidRPr="00097721" w:rsidR="00F92EFD">
              <w:rPr>
                <w:rStyle w:val="Hyperlink"/>
                <w:noProof/>
                <w:color w:val="auto"/>
              </w:rPr>
              <w:t>4.3.</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Delay of Slice-of-Day Implementation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_Toc166841734 \h </w:instrText>
            </w:r>
            <w:r w:rsidRPr="00097721" w:rsidR="00F92EFD">
              <w:rPr>
                <w:noProof/>
                <w:webHidden/>
              </w:rPr>
            </w:r>
            <w:r w:rsidRPr="00097721" w:rsidR="00F92EFD">
              <w:rPr>
                <w:noProof/>
                <w:webHidden/>
              </w:rPr>
              <w:fldChar w:fldCharType="separate"/>
            </w:r>
            <w:r w:rsidRPr="00097721" w:rsidR="00554901">
              <w:rPr>
                <w:noProof/>
                <w:webHidden/>
              </w:rPr>
              <w:t>11</w:t>
            </w:r>
            <w:r w:rsidRPr="00097721" w:rsidR="00F92EFD">
              <w:rPr>
                <w:noProof/>
                <w:webHidden/>
              </w:rPr>
              <w:fldChar w:fldCharType="end"/>
            </w:r>
          </w:hyperlink>
        </w:p>
        <w:p w:rsidRPr="00097721" w:rsidR="00F92EFD" w:rsidRDefault="00000000" w14:paraId="34A2BA31" w14:textId="70EDC0B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35">
            <w:r w:rsidRPr="00097721" w:rsidR="00F92EFD">
              <w:rPr>
                <w:rStyle w:val="Hyperlink"/>
                <w:noProof/>
                <w:color w:val="auto"/>
              </w:rPr>
              <w:t>4.3.1.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Comments on Proposals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_Toc166841735 \h </w:instrText>
            </w:r>
            <w:r w:rsidRPr="00097721" w:rsidR="00F92EFD">
              <w:rPr>
                <w:noProof/>
                <w:webHidden/>
              </w:rPr>
            </w:r>
            <w:r w:rsidRPr="00097721" w:rsidR="00F92EFD">
              <w:rPr>
                <w:noProof/>
                <w:webHidden/>
              </w:rPr>
              <w:fldChar w:fldCharType="separate"/>
            </w:r>
            <w:r w:rsidRPr="00097721" w:rsidR="00554901">
              <w:rPr>
                <w:noProof/>
                <w:webHidden/>
              </w:rPr>
              <w:t>13</w:t>
            </w:r>
            <w:r w:rsidRPr="00097721" w:rsidR="00F92EFD">
              <w:rPr>
                <w:noProof/>
                <w:webHidden/>
              </w:rPr>
              <w:fldChar w:fldCharType="end"/>
            </w:r>
          </w:hyperlink>
        </w:p>
        <w:p w:rsidRPr="00097721" w:rsidR="00F92EFD" w:rsidRDefault="00000000" w14:paraId="61CDA717" w14:textId="07DD72A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36">
            <w:r w:rsidRPr="00097721" w:rsidR="00F92EFD">
              <w:rPr>
                <w:rStyle w:val="Hyperlink"/>
                <w:noProof/>
                <w:color w:val="auto"/>
              </w:rPr>
              <w:t>4.3.2.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Discussion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_Toc166841736 \h </w:instrText>
            </w:r>
            <w:r w:rsidRPr="00097721" w:rsidR="00F92EFD">
              <w:rPr>
                <w:noProof/>
                <w:webHidden/>
              </w:rPr>
            </w:r>
            <w:r w:rsidRPr="00097721" w:rsidR="00F92EFD">
              <w:rPr>
                <w:noProof/>
                <w:webHidden/>
              </w:rPr>
              <w:fldChar w:fldCharType="separate"/>
            </w:r>
            <w:r w:rsidRPr="00097721" w:rsidR="00554901">
              <w:rPr>
                <w:noProof/>
                <w:webHidden/>
              </w:rPr>
              <w:t>15</w:t>
            </w:r>
            <w:r w:rsidRPr="00097721" w:rsidR="00F92EFD">
              <w:rPr>
                <w:noProof/>
                <w:webHidden/>
              </w:rPr>
              <w:fldChar w:fldCharType="end"/>
            </w:r>
          </w:hyperlink>
        </w:p>
        <w:p w:rsidRPr="00097721" w:rsidR="00F92EFD" w:rsidRDefault="00000000" w14:paraId="29900D86" w14:textId="72F152DD">
          <w:pPr>
            <w:pStyle w:val="TOC2"/>
            <w:tabs>
              <w:tab w:val="right" w:leader="dot" w:pos="9350"/>
            </w:tabs>
            <w:rPr>
              <w:rFonts w:asciiTheme="minorHAnsi" w:hAnsiTheme="minorHAnsi" w:cstheme="minorBidi"/>
              <w:noProof/>
              <w:kern w:val="2"/>
              <w:sz w:val="24"/>
              <w:szCs w:val="24"/>
              <w14:ligatures w14:val="standardContextual"/>
            </w:rPr>
          </w:pPr>
          <w:hyperlink w:history="1" w:anchor="_Toc166841737">
            <w:r w:rsidRPr="00097721" w:rsidR="00F92EFD">
              <w:rPr>
                <w:rStyle w:val="Hyperlink"/>
                <w:noProof/>
                <w:color w:val="auto"/>
              </w:rPr>
              <w:t>4.4.</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SOD Planning Reserve Margin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_Toc166841737 \h </w:instrText>
            </w:r>
            <w:r w:rsidRPr="00097721" w:rsidR="00F92EFD">
              <w:rPr>
                <w:noProof/>
                <w:webHidden/>
              </w:rPr>
            </w:r>
            <w:r w:rsidRPr="00097721" w:rsidR="00F92EFD">
              <w:rPr>
                <w:noProof/>
                <w:webHidden/>
              </w:rPr>
              <w:fldChar w:fldCharType="separate"/>
            </w:r>
            <w:r w:rsidRPr="00097721" w:rsidR="00554901">
              <w:rPr>
                <w:noProof/>
                <w:webHidden/>
              </w:rPr>
              <w:t>18</w:t>
            </w:r>
            <w:r w:rsidRPr="00097721" w:rsidR="00F92EFD">
              <w:rPr>
                <w:noProof/>
                <w:webHidden/>
              </w:rPr>
              <w:fldChar w:fldCharType="end"/>
            </w:r>
          </w:hyperlink>
        </w:p>
        <w:p w:rsidRPr="00097721" w:rsidR="00F92EFD" w:rsidRDefault="00000000" w14:paraId="1663A44D" w14:textId="68DC663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38">
            <w:r w:rsidRPr="00097721" w:rsidR="00F92EFD">
              <w:rPr>
                <w:rStyle w:val="Hyperlink"/>
                <w:noProof/>
                <w:color w:val="auto"/>
              </w:rPr>
              <w:t>4.4.1.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Summary of Proposals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_Toc166841738 \h </w:instrText>
            </w:r>
            <w:r w:rsidRPr="00097721" w:rsidR="00F92EFD">
              <w:rPr>
                <w:noProof/>
                <w:webHidden/>
              </w:rPr>
            </w:r>
            <w:r w:rsidRPr="00097721" w:rsidR="00F92EFD">
              <w:rPr>
                <w:noProof/>
                <w:webHidden/>
              </w:rPr>
              <w:fldChar w:fldCharType="separate"/>
            </w:r>
            <w:r w:rsidRPr="00097721" w:rsidR="00554901">
              <w:rPr>
                <w:noProof/>
                <w:webHidden/>
              </w:rPr>
              <w:t>19</w:t>
            </w:r>
            <w:r w:rsidRPr="00097721" w:rsidR="00F92EFD">
              <w:rPr>
                <w:noProof/>
                <w:webHidden/>
              </w:rPr>
              <w:fldChar w:fldCharType="end"/>
            </w:r>
          </w:hyperlink>
        </w:p>
        <w:p w:rsidRPr="00097721" w:rsidR="00F92EFD" w:rsidRDefault="00000000" w14:paraId="07A2D08E" w14:textId="4CDB7D2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39">
            <w:r w:rsidRPr="00097721" w:rsidR="00F92EFD">
              <w:rPr>
                <w:rStyle w:val="Hyperlink"/>
                <w:noProof/>
                <w:color w:val="auto"/>
              </w:rPr>
              <w:t>4.4.2.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Comments on Proposals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_Toc166841739 \h </w:instrText>
            </w:r>
            <w:r w:rsidRPr="00097721" w:rsidR="00F92EFD">
              <w:rPr>
                <w:noProof/>
                <w:webHidden/>
              </w:rPr>
            </w:r>
            <w:r w:rsidRPr="00097721" w:rsidR="00F92EFD">
              <w:rPr>
                <w:noProof/>
                <w:webHidden/>
              </w:rPr>
              <w:fldChar w:fldCharType="separate"/>
            </w:r>
            <w:r w:rsidRPr="00097721" w:rsidR="00554901">
              <w:rPr>
                <w:noProof/>
                <w:webHidden/>
              </w:rPr>
              <w:t>21</w:t>
            </w:r>
            <w:r w:rsidRPr="00097721" w:rsidR="00F92EFD">
              <w:rPr>
                <w:noProof/>
                <w:webHidden/>
              </w:rPr>
              <w:fldChar w:fldCharType="end"/>
            </w:r>
          </w:hyperlink>
        </w:p>
        <w:p w:rsidRPr="00097721" w:rsidR="00F92EFD" w:rsidRDefault="00000000" w14:paraId="0C277C01" w14:textId="737F547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40">
            <w:r w:rsidRPr="00097721" w:rsidR="00F92EFD">
              <w:rPr>
                <w:rStyle w:val="Hyperlink"/>
                <w:noProof/>
                <w:color w:val="auto"/>
              </w:rPr>
              <w:t>4.4.3.</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Discussion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_Toc166841740 \h </w:instrText>
            </w:r>
            <w:r w:rsidRPr="00097721" w:rsidR="00F92EFD">
              <w:rPr>
                <w:noProof/>
                <w:webHidden/>
              </w:rPr>
            </w:r>
            <w:r w:rsidRPr="00097721" w:rsidR="00F92EFD">
              <w:rPr>
                <w:noProof/>
                <w:webHidden/>
              </w:rPr>
              <w:fldChar w:fldCharType="separate"/>
            </w:r>
            <w:r w:rsidRPr="00097721" w:rsidR="00554901">
              <w:rPr>
                <w:noProof/>
                <w:webHidden/>
              </w:rPr>
              <w:t>23</w:t>
            </w:r>
            <w:r w:rsidRPr="00097721" w:rsidR="00F92EFD">
              <w:rPr>
                <w:noProof/>
                <w:webHidden/>
              </w:rPr>
              <w:fldChar w:fldCharType="end"/>
            </w:r>
          </w:hyperlink>
        </w:p>
        <w:p w:rsidRPr="00097721" w:rsidR="00F92EFD" w:rsidRDefault="00000000" w14:paraId="61CCF07A" w14:textId="4395691D">
          <w:pPr>
            <w:pStyle w:val="TOC2"/>
            <w:tabs>
              <w:tab w:val="right" w:leader="dot" w:pos="9350"/>
            </w:tabs>
            <w:rPr>
              <w:rFonts w:asciiTheme="minorHAnsi" w:hAnsiTheme="minorHAnsi" w:cstheme="minorBidi"/>
              <w:noProof/>
              <w:kern w:val="2"/>
              <w:sz w:val="24"/>
              <w:szCs w:val="24"/>
              <w14:ligatures w14:val="standardContextual"/>
            </w:rPr>
          </w:pPr>
          <w:hyperlink w:history="1" w:anchor="_Toc166841741">
            <w:r w:rsidRPr="00097721" w:rsidR="00F92EFD">
              <w:rPr>
                <w:rStyle w:val="Hyperlink"/>
                <w:noProof/>
                <w:color w:val="auto"/>
              </w:rPr>
              <w:t>4.5.</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Compliance and Penalties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_Toc166841741 \h </w:instrText>
            </w:r>
            <w:r w:rsidRPr="00097721" w:rsidR="00F92EFD">
              <w:rPr>
                <w:noProof/>
                <w:webHidden/>
              </w:rPr>
            </w:r>
            <w:r w:rsidRPr="00097721" w:rsidR="00F92EFD">
              <w:rPr>
                <w:noProof/>
                <w:webHidden/>
              </w:rPr>
              <w:fldChar w:fldCharType="separate"/>
            </w:r>
            <w:r w:rsidRPr="00097721" w:rsidR="00554901">
              <w:rPr>
                <w:noProof/>
                <w:webHidden/>
              </w:rPr>
              <w:t>24</w:t>
            </w:r>
            <w:r w:rsidRPr="00097721" w:rsidR="00F92EFD">
              <w:rPr>
                <w:noProof/>
                <w:webHidden/>
              </w:rPr>
              <w:fldChar w:fldCharType="end"/>
            </w:r>
          </w:hyperlink>
        </w:p>
        <w:p w:rsidRPr="00097721" w:rsidR="00F92EFD" w:rsidRDefault="00000000" w14:paraId="0E32686B" w14:textId="35443C6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42">
            <w:r w:rsidRPr="00097721" w:rsidR="00F92EFD">
              <w:rPr>
                <w:rStyle w:val="Hyperlink"/>
                <w:noProof/>
                <w:color w:val="auto"/>
              </w:rPr>
              <w:t>4.5.1.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Temporary System Waivers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_Toc166841742 \h </w:instrText>
            </w:r>
            <w:r w:rsidRPr="00097721" w:rsidR="00F92EFD">
              <w:rPr>
                <w:noProof/>
                <w:webHidden/>
              </w:rPr>
            </w:r>
            <w:r w:rsidRPr="00097721" w:rsidR="00F92EFD">
              <w:rPr>
                <w:noProof/>
                <w:webHidden/>
              </w:rPr>
              <w:fldChar w:fldCharType="separate"/>
            </w:r>
            <w:r w:rsidRPr="00097721" w:rsidR="00554901">
              <w:rPr>
                <w:noProof/>
                <w:webHidden/>
              </w:rPr>
              <w:t>25</w:t>
            </w:r>
            <w:r w:rsidRPr="00097721" w:rsidR="00F92EFD">
              <w:rPr>
                <w:noProof/>
                <w:webHidden/>
              </w:rPr>
              <w:fldChar w:fldCharType="end"/>
            </w:r>
          </w:hyperlink>
        </w:p>
        <w:p w:rsidRPr="00097721" w:rsidR="00F92EFD" w:rsidRDefault="00000000" w14:paraId="3EDC7A28" w14:textId="24564E7D">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66841743">
            <w:r w:rsidRPr="00097721" w:rsidR="00F92EFD">
              <w:rPr>
                <w:rStyle w:val="Hyperlink"/>
                <w:noProof/>
                <w:color w:val="auto"/>
              </w:rPr>
              <w:t>4.5.1.1.</w:t>
            </w:r>
            <w:r w:rsidRPr="00097721" w:rsidR="00F92EFD">
              <w:rPr>
                <w:rFonts w:asciiTheme="minorHAnsi" w:hAnsiTheme="minorHAnsi" w:eastAsiaTheme="minorEastAsia"/>
                <w:noProof/>
                <w:kern w:val="2"/>
                <w:sz w:val="24"/>
                <w:szCs w:val="24"/>
                <w14:ligatures w14:val="standardContextual"/>
              </w:rPr>
              <w:tab/>
            </w:r>
            <w:r w:rsidRPr="00097721" w:rsidR="00F92EFD">
              <w:rPr>
                <w:rStyle w:val="Hyperlink"/>
                <w:noProof/>
                <w:color w:val="auto"/>
              </w:rPr>
              <w:t>Comments on Proposals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_Toc166841743 \h </w:instrText>
            </w:r>
            <w:r w:rsidRPr="00097721" w:rsidR="00F92EFD">
              <w:rPr>
                <w:noProof/>
                <w:webHidden/>
              </w:rPr>
            </w:r>
            <w:r w:rsidRPr="00097721" w:rsidR="00F92EFD">
              <w:rPr>
                <w:noProof/>
                <w:webHidden/>
              </w:rPr>
              <w:fldChar w:fldCharType="separate"/>
            </w:r>
            <w:r w:rsidRPr="00097721" w:rsidR="00554901">
              <w:rPr>
                <w:noProof/>
                <w:webHidden/>
              </w:rPr>
              <w:t>26</w:t>
            </w:r>
            <w:r w:rsidRPr="00097721" w:rsidR="00F92EFD">
              <w:rPr>
                <w:noProof/>
                <w:webHidden/>
              </w:rPr>
              <w:fldChar w:fldCharType="end"/>
            </w:r>
          </w:hyperlink>
        </w:p>
        <w:p w:rsidRPr="00097721" w:rsidR="00F92EFD" w:rsidRDefault="00000000" w14:paraId="2B472D98" w14:textId="118C0709">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66841744">
            <w:r w:rsidRPr="00097721" w:rsidR="00F92EFD">
              <w:rPr>
                <w:rStyle w:val="Hyperlink"/>
                <w:noProof/>
                <w:color w:val="auto"/>
              </w:rPr>
              <w:t>4.5.1.2.</w:t>
            </w:r>
            <w:r w:rsidRPr="00097721" w:rsidR="00F92EFD">
              <w:rPr>
                <w:rFonts w:asciiTheme="minorHAnsi" w:hAnsiTheme="minorHAnsi" w:eastAsiaTheme="minorEastAsia"/>
                <w:noProof/>
                <w:kern w:val="2"/>
                <w:sz w:val="24"/>
                <w:szCs w:val="24"/>
                <w14:ligatures w14:val="standardContextual"/>
              </w:rPr>
              <w:tab/>
            </w:r>
            <w:r w:rsidRPr="00097721" w:rsidR="00F92EFD">
              <w:rPr>
                <w:rStyle w:val="Hyperlink"/>
                <w:noProof/>
                <w:color w:val="auto"/>
              </w:rPr>
              <w:t>Discussion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_Toc166841744 \h </w:instrText>
            </w:r>
            <w:r w:rsidRPr="00097721" w:rsidR="00F92EFD">
              <w:rPr>
                <w:noProof/>
                <w:webHidden/>
              </w:rPr>
            </w:r>
            <w:r w:rsidRPr="00097721" w:rsidR="00F92EFD">
              <w:rPr>
                <w:noProof/>
                <w:webHidden/>
              </w:rPr>
              <w:fldChar w:fldCharType="separate"/>
            </w:r>
            <w:r w:rsidRPr="00097721" w:rsidR="00554901">
              <w:rPr>
                <w:noProof/>
                <w:webHidden/>
              </w:rPr>
              <w:t>28</w:t>
            </w:r>
            <w:r w:rsidRPr="00097721" w:rsidR="00F92EFD">
              <w:rPr>
                <w:noProof/>
                <w:webHidden/>
              </w:rPr>
              <w:fldChar w:fldCharType="end"/>
            </w:r>
          </w:hyperlink>
        </w:p>
        <w:p w:rsidRPr="00097721" w:rsidR="00F92EFD" w:rsidRDefault="00000000" w14:paraId="64ACEA9F" w14:textId="6883F0E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45">
            <w:r w:rsidRPr="00097721" w:rsidR="00F92EFD">
              <w:rPr>
                <w:rStyle w:val="Hyperlink"/>
                <w:noProof/>
                <w:color w:val="auto"/>
              </w:rPr>
              <w:t>4.5.2.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Extension of Cure Periods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_Toc166841745 \h </w:instrText>
            </w:r>
            <w:r w:rsidRPr="00097721" w:rsidR="00F92EFD">
              <w:rPr>
                <w:noProof/>
                <w:webHidden/>
              </w:rPr>
            </w:r>
            <w:r w:rsidRPr="00097721" w:rsidR="00F92EFD">
              <w:rPr>
                <w:noProof/>
                <w:webHidden/>
              </w:rPr>
              <w:fldChar w:fldCharType="separate"/>
            </w:r>
            <w:r w:rsidRPr="00097721" w:rsidR="00554901">
              <w:rPr>
                <w:noProof/>
                <w:webHidden/>
              </w:rPr>
              <w:t>29</w:t>
            </w:r>
            <w:r w:rsidRPr="00097721" w:rsidR="00F92EFD">
              <w:rPr>
                <w:noProof/>
                <w:webHidden/>
              </w:rPr>
              <w:fldChar w:fldCharType="end"/>
            </w:r>
          </w:hyperlink>
        </w:p>
        <w:p w:rsidRPr="00097721" w:rsidR="00F92EFD" w:rsidRDefault="00000000" w14:paraId="58B1BDC3" w14:textId="0B9234EA">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66841746">
            <w:r w:rsidRPr="00097721" w:rsidR="00F92EFD">
              <w:rPr>
                <w:rStyle w:val="Hyperlink"/>
                <w:noProof/>
                <w:color w:val="auto"/>
              </w:rPr>
              <w:t>4.5.2.1.</w:t>
            </w:r>
            <w:r w:rsidRPr="00097721" w:rsidR="00F92EFD">
              <w:rPr>
                <w:rFonts w:asciiTheme="minorHAnsi" w:hAnsiTheme="minorHAnsi" w:eastAsiaTheme="minorEastAsia"/>
                <w:noProof/>
                <w:kern w:val="2"/>
                <w:sz w:val="24"/>
                <w:szCs w:val="24"/>
                <w14:ligatures w14:val="standardContextual"/>
              </w:rPr>
              <w:tab/>
            </w:r>
            <w:r w:rsidRPr="00097721" w:rsidR="00F92EFD">
              <w:rPr>
                <w:rStyle w:val="Hyperlink"/>
                <w:noProof/>
                <w:color w:val="auto"/>
              </w:rPr>
              <w:t>Comments on Proposals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_Toc166841746 \h </w:instrText>
            </w:r>
            <w:r w:rsidRPr="00097721" w:rsidR="00F92EFD">
              <w:rPr>
                <w:noProof/>
                <w:webHidden/>
              </w:rPr>
            </w:r>
            <w:r w:rsidRPr="00097721" w:rsidR="00F92EFD">
              <w:rPr>
                <w:noProof/>
                <w:webHidden/>
              </w:rPr>
              <w:fldChar w:fldCharType="separate"/>
            </w:r>
            <w:r w:rsidRPr="00097721" w:rsidR="00554901">
              <w:rPr>
                <w:noProof/>
                <w:webHidden/>
              </w:rPr>
              <w:t>31</w:t>
            </w:r>
            <w:r w:rsidRPr="00097721" w:rsidR="00F92EFD">
              <w:rPr>
                <w:noProof/>
                <w:webHidden/>
              </w:rPr>
              <w:fldChar w:fldCharType="end"/>
            </w:r>
          </w:hyperlink>
        </w:p>
        <w:p w:rsidRPr="00097721" w:rsidR="00F92EFD" w:rsidRDefault="00000000" w14:paraId="35C9C02D" w14:textId="66CB972E">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66841747">
            <w:r w:rsidRPr="00097721" w:rsidR="00F92EFD">
              <w:rPr>
                <w:rStyle w:val="Hyperlink"/>
                <w:noProof/>
                <w:color w:val="auto"/>
              </w:rPr>
              <w:t>4.5.2.1.</w:t>
            </w:r>
            <w:r w:rsidRPr="00097721" w:rsidR="00F92EFD">
              <w:rPr>
                <w:rFonts w:asciiTheme="minorHAnsi" w:hAnsiTheme="minorHAnsi" w:eastAsiaTheme="minorEastAsia"/>
                <w:noProof/>
                <w:kern w:val="2"/>
                <w:sz w:val="24"/>
                <w:szCs w:val="24"/>
                <w14:ligatures w14:val="standardContextual"/>
              </w:rPr>
              <w:tab/>
            </w:r>
            <w:r w:rsidRPr="00097721" w:rsidR="00F92EFD">
              <w:rPr>
                <w:rStyle w:val="Hyperlink"/>
                <w:noProof/>
                <w:color w:val="auto"/>
              </w:rPr>
              <w:t>Discussion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_Toc166841747 \h </w:instrText>
            </w:r>
            <w:r w:rsidRPr="00097721" w:rsidR="00F92EFD">
              <w:rPr>
                <w:noProof/>
                <w:webHidden/>
              </w:rPr>
            </w:r>
            <w:r w:rsidRPr="00097721" w:rsidR="00F92EFD">
              <w:rPr>
                <w:noProof/>
                <w:webHidden/>
              </w:rPr>
              <w:fldChar w:fldCharType="separate"/>
            </w:r>
            <w:r w:rsidRPr="00097721" w:rsidR="00554901">
              <w:rPr>
                <w:noProof/>
                <w:webHidden/>
              </w:rPr>
              <w:t>32</w:t>
            </w:r>
            <w:r w:rsidRPr="00097721" w:rsidR="00F92EFD">
              <w:rPr>
                <w:noProof/>
                <w:webHidden/>
              </w:rPr>
              <w:fldChar w:fldCharType="end"/>
            </w:r>
          </w:hyperlink>
        </w:p>
        <w:p w:rsidRPr="00097721" w:rsidR="00F92EFD" w:rsidRDefault="00000000" w14:paraId="17DE4C20" w14:textId="0F5A81E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48">
            <w:r w:rsidRPr="00097721" w:rsidR="00F92EFD">
              <w:rPr>
                <w:rStyle w:val="Hyperlink"/>
                <w:noProof/>
                <w:color w:val="auto"/>
              </w:rPr>
              <w:t>4.5.3.</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Residual Capacity Auction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_Toc166841748 \h </w:instrText>
            </w:r>
            <w:r w:rsidRPr="00097721" w:rsidR="00F92EFD">
              <w:rPr>
                <w:noProof/>
                <w:webHidden/>
              </w:rPr>
            </w:r>
            <w:r w:rsidRPr="00097721" w:rsidR="00F92EFD">
              <w:rPr>
                <w:noProof/>
                <w:webHidden/>
              </w:rPr>
              <w:fldChar w:fldCharType="separate"/>
            </w:r>
            <w:r w:rsidRPr="00097721" w:rsidR="00554901">
              <w:rPr>
                <w:noProof/>
                <w:webHidden/>
              </w:rPr>
              <w:t>34</w:t>
            </w:r>
            <w:r w:rsidRPr="00097721" w:rsidR="00F92EFD">
              <w:rPr>
                <w:noProof/>
                <w:webHidden/>
              </w:rPr>
              <w:fldChar w:fldCharType="end"/>
            </w:r>
          </w:hyperlink>
        </w:p>
        <w:p w:rsidRPr="00097721" w:rsidR="00F92EFD" w:rsidRDefault="00000000" w14:paraId="461B2FEE" w14:textId="4BD38D3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66841749">
            <w:r w:rsidRPr="00097721" w:rsidR="00F92EFD">
              <w:rPr>
                <w:rStyle w:val="Hyperlink"/>
                <w:noProof/>
                <w:color w:val="auto"/>
              </w:rPr>
              <w:t>4.5.3.1.</w:t>
            </w:r>
            <w:r w:rsidRPr="00097721" w:rsidR="00F92EFD">
              <w:rPr>
                <w:rFonts w:asciiTheme="minorHAnsi" w:hAnsiTheme="minorHAnsi" w:eastAsiaTheme="minorEastAsia"/>
                <w:noProof/>
                <w:kern w:val="2"/>
                <w:sz w:val="24"/>
                <w:szCs w:val="24"/>
                <w14:ligatures w14:val="standardContextual"/>
              </w:rPr>
              <w:tab/>
            </w:r>
            <w:r w:rsidRPr="00097721" w:rsidR="00F92EFD">
              <w:rPr>
                <w:rStyle w:val="Hyperlink"/>
                <w:noProof/>
                <w:color w:val="auto"/>
              </w:rPr>
              <w:t>Comments on Proposal</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_Toc166841749 \h </w:instrText>
            </w:r>
            <w:r w:rsidRPr="00097721" w:rsidR="00F92EFD">
              <w:rPr>
                <w:noProof/>
                <w:webHidden/>
              </w:rPr>
            </w:r>
            <w:r w:rsidRPr="00097721" w:rsidR="00F92EFD">
              <w:rPr>
                <w:noProof/>
                <w:webHidden/>
              </w:rPr>
              <w:fldChar w:fldCharType="separate"/>
            </w:r>
            <w:r w:rsidRPr="00097721" w:rsidR="00554901">
              <w:rPr>
                <w:noProof/>
                <w:webHidden/>
              </w:rPr>
              <w:t>35</w:t>
            </w:r>
            <w:r w:rsidRPr="00097721" w:rsidR="00F92EFD">
              <w:rPr>
                <w:noProof/>
                <w:webHidden/>
              </w:rPr>
              <w:fldChar w:fldCharType="end"/>
            </w:r>
          </w:hyperlink>
        </w:p>
        <w:p w:rsidRPr="00097721" w:rsidR="00F92EFD" w:rsidRDefault="00000000" w14:paraId="1C0AA22B" w14:textId="735779DD">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66841750">
            <w:r w:rsidRPr="00097721" w:rsidR="00F92EFD">
              <w:rPr>
                <w:rStyle w:val="Hyperlink"/>
                <w:noProof/>
                <w:color w:val="auto"/>
              </w:rPr>
              <w:t>4.5.3.2.</w:t>
            </w:r>
            <w:r w:rsidRPr="00097721" w:rsidR="00F92EFD">
              <w:rPr>
                <w:rFonts w:asciiTheme="minorHAnsi" w:hAnsiTheme="minorHAnsi" w:eastAsiaTheme="minorEastAsia"/>
                <w:noProof/>
                <w:kern w:val="2"/>
                <w:sz w:val="24"/>
                <w:szCs w:val="24"/>
                <w14:ligatures w14:val="standardContextual"/>
              </w:rPr>
              <w:tab/>
            </w:r>
            <w:r w:rsidRPr="00097721" w:rsidR="00F92EFD">
              <w:rPr>
                <w:rStyle w:val="Hyperlink"/>
                <w:noProof/>
                <w:color w:val="auto"/>
              </w:rPr>
              <w:t>Discussion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_Toc166841750 \h </w:instrText>
            </w:r>
            <w:r w:rsidRPr="00097721" w:rsidR="00F92EFD">
              <w:rPr>
                <w:noProof/>
                <w:webHidden/>
              </w:rPr>
            </w:r>
            <w:r w:rsidRPr="00097721" w:rsidR="00F92EFD">
              <w:rPr>
                <w:noProof/>
                <w:webHidden/>
              </w:rPr>
              <w:fldChar w:fldCharType="separate"/>
            </w:r>
            <w:r w:rsidRPr="00097721" w:rsidR="00554901">
              <w:rPr>
                <w:noProof/>
                <w:webHidden/>
              </w:rPr>
              <w:t>37</w:t>
            </w:r>
            <w:r w:rsidRPr="00097721" w:rsidR="00F92EFD">
              <w:rPr>
                <w:noProof/>
                <w:webHidden/>
              </w:rPr>
              <w:fldChar w:fldCharType="end"/>
            </w:r>
          </w:hyperlink>
        </w:p>
        <w:p w:rsidRPr="00097721" w:rsidR="00F92EFD" w:rsidRDefault="00000000" w14:paraId="5EFC03E4" w14:textId="39E8072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51">
            <w:r w:rsidRPr="00097721" w:rsidR="00F92EFD">
              <w:rPr>
                <w:rStyle w:val="Hyperlink"/>
                <w:noProof/>
                <w:color w:val="auto"/>
              </w:rPr>
              <w:t>4.5.4.</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Allocation of Effective PRM or Strategic Reliability Reserve Capacity</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_Toc166841751 \h </w:instrText>
            </w:r>
            <w:r w:rsidRPr="00097721" w:rsidR="00F92EFD">
              <w:rPr>
                <w:noProof/>
                <w:webHidden/>
              </w:rPr>
            </w:r>
            <w:r w:rsidRPr="00097721" w:rsidR="00F92EFD">
              <w:rPr>
                <w:noProof/>
                <w:webHidden/>
              </w:rPr>
              <w:fldChar w:fldCharType="separate"/>
            </w:r>
            <w:r w:rsidRPr="00097721" w:rsidR="00554901">
              <w:rPr>
                <w:noProof/>
                <w:webHidden/>
              </w:rPr>
              <w:t>38</w:t>
            </w:r>
            <w:r w:rsidRPr="00097721" w:rsidR="00F92EFD">
              <w:rPr>
                <w:noProof/>
                <w:webHidden/>
              </w:rPr>
              <w:fldChar w:fldCharType="end"/>
            </w:r>
          </w:hyperlink>
        </w:p>
        <w:p w:rsidRPr="00097721" w:rsidR="00F92EFD" w:rsidRDefault="00000000" w14:paraId="052E2B7B" w14:textId="484864D2">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66841752">
            <w:r w:rsidRPr="00097721" w:rsidR="00F92EFD">
              <w:rPr>
                <w:rStyle w:val="Hyperlink"/>
                <w:noProof/>
                <w:color w:val="auto"/>
              </w:rPr>
              <w:t>4.5.4.1.</w:t>
            </w:r>
            <w:r w:rsidRPr="00097721" w:rsidR="00F92EFD">
              <w:rPr>
                <w:rFonts w:asciiTheme="minorHAnsi" w:hAnsiTheme="minorHAnsi" w:eastAsiaTheme="minorEastAsia"/>
                <w:noProof/>
                <w:kern w:val="2"/>
                <w:sz w:val="24"/>
                <w:szCs w:val="24"/>
                <w14:ligatures w14:val="standardContextual"/>
              </w:rPr>
              <w:tab/>
            </w:r>
            <w:r w:rsidRPr="00097721" w:rsidR="00F92EFD">
              <w:rPr>
                <w:rStyle w:val="Hyperlink"/>
                <w:noProof/>
                <w:color w:val="auto"/>
              </w:rPr>
              <w:t>Discussion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_Toc166841752 \h </w:instrText>
            </w:r>
            <w:r w:rsidRPr="00097721" w:rsidR="00F92EFD">
              <w:rPr>
                <w:noProof/>
                <w:webHidden/>
              </w:rPr>
            </w:r>
            <w:r w:rsidRPr="00097721" w:rsidR="00F92EFD">
              <w:rPr>
                <w:noProof/>
                <w:webHidden/>
              </w:rPr>
              <w:fldChar w:fldCharType="separate"/>
            </w:r>
            <w:r w:rsidRPr="00097721" w:rsidR="00554901">
              <w:rPr>
                <w:noProof/>
                <w:webHidden/>
              </w:rPr>
              <w:t>40</w:t>
            </w:r>
            <w:r w:rsidRPr="00097721" w:rsidR="00F92EFD">
              <w:rPr>
                <w:noProof/>
                <w:webHidden/>
              </w:rPr>
              <w:fldChar w:fldCharType="end"/>
            </w:r>
          </w:hyperlink>
        </w:p>
        <w:p w:rsidRPr="00097721" w:rsidR="00F92EFD" w:rsidRDefault="00000000" w14:paraId="5746C581" w14:textId="5BC5DFE2">
          <w:pPr>
            <w:pStyle w:val="TOC2"/>
            <w:tabs>
              <w:tab w:val="right" w:leader="dot" w:pos="9350"/>
            </w:tabs>
            <w:rPr>
              <w:rFonts w:asciiTheme="minorHAnsi" w:hAnsiTheme="minorHAnsi" w:cstheme="minorBidi"/>
              <w:noProof/>
              <w:kern w:val="2"/>
              <w:sz w:val="24"/>
              <w:szCs w:val="24"/>
              <w14:ligatures w14:val="standardContextual"/>
            </w:rPr>
          </w:pPr>
          <w:hyperlink w:history="1" w:anchor="_Toc166841753">
            <w:r w:rsidRPr="00097721" w:rsidR="00F92EFD">
              <w:rPr>
                <w:rStyle w:val="Hyperlink"/>
                <w:noProof/>
                <w:color w:val="auto"/>
              </w:rPr>
              <w:t>4.6.</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Modifications to Resource Counting Rules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_Toc166841753 \h </w:instrText>
            </w:r>
            <w:r w:rsidRPr="00097721" w:rsidR="00F92EFD">
              <w:rPr>
                <w:noProof/>
                <w:webHidden/>
              </w:rPr>
            </w:r>
            <w:r w:rsidRPr="00097721" w:rsidR="00F92EFD">
              <w:rPr>
                <w:noProof/>
                <w:webHidden/>
              </w:rPr>
              <w:fldChar w:fldCharType="separate"/>
            </w:r>
            <w:r w:rsidRPr="00097721" w:rsidR="00554901">
              <w:rPr>
                <w:noProof/>
                <w:webHidden/>
              </w:rPr>
              <w:t>42</w:t>
            </w:r>
            <w:r w:rsidRPr="00097721" w:rsidR="00F92EFD">
              <w:rPr>
                <w:noProof/>
                <w:webHidden/>
              </w:rPr>
              <w:fldChar w:fldCharType="end"/>
            </w:r>
          </w:hyperlink>
        </w:p>
        <w:p w:rsidRPr="00097721" w:rsidR="00F92EFD" w:rsidRDefault="00000000" w14:paraId="5113CC11" w14:textId="73F2CBF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54">
            <w:r w:rsidRPr="00097721" w:rsidR="00F92EFD">
              <w:rPr>
                <w:rStyle w:val="Hyperlink"/>
                <w:noProof/>
                <w:color w:val="auto"/>
              </w:rPr>
              <w:t>4.6.1.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Hybrid and Co-Located Resource Counting</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_Toc166841754 \h </w:instrText>
            </w:r>
            <w:r w:rsidRPr="00097721" w:rsidR="00F92EFD">
              <w:rPr>
                <w:noProof/>
                <w:webHidden/>
              </w:rPr>
            </w:r>
            <w:r w:rsidRPr="00097721" w:rsidR="00F92EFD">
              <w:rPr>
                <w:noProof/>
                <w:webHidden/>
              </w:rPr>
              <w:fldChar w:fldCharType="separate"/>
            </w:r>
            <w:r w:rsidRPr="00097721" w:rsidR="00554901">
              <w:rPr>
                <w:noProof/>
                <w:webHidden/>
              </w:rPr>
              <w:t>42</w:t>
            </w:r>
            <w:r w:rsidRPr="00097721" w:rsidR="00F92EFD">
              <w:rPr>
                <w:noProof/>
                <w:webHidden/>
              </w:rPr>
              <w:fldChar w:fldCharType="end"/>
            </w:r>
          </w:hyperlink>
        </w:p>
        <w:p w:rsidRPr="00097721" w:rsidR="00F92EFD" w:rsidRDefault="00000000" w14:paraId="7F8878B8" w14:textId="7D833DE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55">
            <w:r w:rsidRPr="00097721" w:rsidR="00F92EFD">
              <w:rPr>
                <w:rStyle w:val="Hyperlink"/>
                <w:noProof/>
                <w:color w:val="auto"/>
              </w:rPr>
              <w:t>4.6.2.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Monthly Exceedance Levels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_Toc166841755 \h </w:instrText>
            </w:r>
            <w:r w:rsidRPr="00097721" w:rsidR="00F92EFD">
              <w:rPr>
                <w:noProof/>
                <w:webHidden/>
              </w:rPr>
            </w:r>
            <w:r w:rsidRPr="00097721" w:rsidR="00F92EFD">
              <w:rPr>
                <w:noProof/>
                <w:webHidden/>
              </w:rPr>
              <w:fldChar w:fldCharType="separate"/>
            </w:r>
            <w:r w:rsidRPr="00097721" w:rsidR="00554901">
              <w:rPr>
                <w:noProof/>
                <w:webHidden/>
              </w:rPr>
              <w:t>44</w:t>
            </w:r>
            <w:r w:rsidRPr="00097721" w:rsidR="00F92EFD">
              <w:rPr>
                <w:noProof/>
                <w:webHidden/>
              </w:rPr>
              <w:fldChar w:fldCharType="end"/>
            </w:r>
          </w:hyperlink>
        </w:p>
        <w:p w:rsidRPr="00097721" w:rsidR="00F92EFD" w:rsidRDefault="00000000" w14:paraId="318C352A" w14:textId="16DC1977">
          <w:pPr>
            <w:pStyle w:val="TOC2"/>
            <w:tabs>
              <w:tab w:val="right" w:leader="dot" w:pos="9350"/>
            </w:tabs>
            <w:rPr>
              <w:rFonts w:asciiTheme="minorHAnsi" w:hAnsiTheme="minorHAnsi" w:cstheme="minorBidi"/>
              <w:noProof/>
              <w:kern w:val="2"/>
              <w:sz w:val="24"/>
              <w:szCs w:val="24"/>
              <w14:ligatures w14:val="standardContextual"/>
            </w:rPr>
          </w:pPr>
          <w:hyperlink w:history="1" w:anchor="_Toc166841756">
            <w:r w:rsidRPr="00097721" w:rsidR="00F92EFD">
              <w:rPr>
                <w:rStyle w:val="Hyperlink"/>
                <w:noProof/>
                <w:color w:val="auto"/>
              </w:rPr>
              <w:t>4.7.</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Modifications to the Storage Charging Sufficiency Test</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_Toc166841756 \h </w:instrText>
            </w:r>
            <w:r w:rsidRPr="00097721" w:rsidR="00F92EFD">
              <w:rPr>
                <w:noProof/>
                <w:webHidden/>
              </w:rPr>
            </w:r>
            <w:r w:rsidRPr="00097721" w:rsidR="00F92EFD">
              <w:rPr>
                <w:noProof/>
                <w:webHidden/>
              </w:rPr>
              <w:fldChar w:fldCharType="separate"/>
            </w:r>
            <w:r w:rsidRPr="00097721" w:rsidR="00554901">
              <w:rPr>
                <w:noProof/>
                <w:webHidden/>
              </w:rPr>
              <w:t>45</w:t>
            </w:r>
            <w:r w:rsidRPr="00097721" w:rsidR="00F92EFD">
              <w:rPr>
                <w:noProof/>
                <w:webHidden/>
              </w:rPr>
              <w:fldChar w:fldCharType="end"/>
            </w:r>
          </w:hyperlink>
        </w:p>
        <w:p w:rsidRPr="00097721" w:rsidR="00F92EFD" w:rsidRDefault="00000000" w14:paraId="6AE04BB8" w14:textId="177D05D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57">
            <w:r w:rsidRPr="00097721" w:rsidR="00F92EFD">
              <w:rPr>
                <w:rStyle w:val="Hyperlink"/>
                <w:noProof/>
                <w:color w:val="auto"/>
              </w:rPr>
              <w:t>4.7.1.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System-Wide Charging Sufficiency Test</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_Toc166841757 \h </w:instrText>
            </w:r>
            <w:r w:rsidRPr="00097721" w:rsidR="00F92EFD">
              <w:rPr>
                <w:noProof/>
                <w:webHidden/>
              </w:rPr>
            </w:r>
            <w:r w:rsidRPr="00097721" w:rsidR="00F92EFD">
              <w:rPr>
                <w:noProof/>
                <w:webHidden/>
              </w:rPr>
              <w:fldChar w:fldCharType="separate"/>
            </w:r>
            <w:r w:rsidRPr="00097721" w:rsidR="00554901">
              <w:rPr>
                <w:noProof/>
                <w:webHidden/>
              </w:rPr>
              <w:t>45</w:t>
            </w:r>
            <w:r w:rsidRPr="00097721" w:rsidR="00F92EFD">
              <w:rPr>
                <w:noProof/>
                <w:webHidden/>
              </w:rPr>
              <w:fldChar w:fldCharType="end"/>
            </w:r>
          </w:hyperlink>
        </w:p>
        <w:p w:rsidRPr="00097721" w:rsidR="00F92EFD" w:rsidRDefault="00000000" w14:paraId="39C5CC47" w14:textId="45E7886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58">
            <w:r w:rsidRPr="00097721" w:rsidR="00F92EFD">
              <w:rPr>
                <w:rStyle w:val="Hyperlink"/>
                <w:noProof/>
                <w:color w:val="auto"/>
              </w:rPr>
              <w:t>4.7.2.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Initial State-of-Charge Modification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_Toc166841758 \h </w:instrText>
            </w:r>
            <w:r w:rsidRPr="00097721" w:rsidR="00F92EFD">
              <w:rPr>
                <w:noProof/>
                <w:webHidden/>
              </w:rPr>
            </w:r>
            <w:r w:rsidRPr="00097721" w:rsidR="00F92EFD">
              <w:rPr>
                <w:noProof/>
                <w:webHidden/>
              </w:rPr>
              <w:fldChar w:fldCharType="separate"/>
            </w:r>
            <w:r w:rsidRPr="00097721" w:rsidR="00554901">
              <w:rPr>
                <w:noProof/>
                <w:webHidden/>
              </w:rPr>
              <w:t>47</w:t>
            </w:r>
            <w:r w:rsidRPr="00097721" w:rsidR="00F92EFD">
              <w:rPr>
                <w:noProof/>
                <w:webHidden/>
              </w:rPr>
              <w:fldChar w:fldCharType="end"/>
            </w:r>
          </w:hyperlink>
        </w:p>
        <w:p w:rsidRPr="00097721" w:rsidR="00F92EFD" w:rsidRDefault="00000000" w14:paraId="743A9223" w14:textId="495D6FB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59">
            <w:r w:rsidRPr="00097721" w:rsidR="00F92EFD">
              <w:rPr>
                <w:rStyle w:val="Hyperlink"/>
                <w:noProof/>
                <w:color w:val="auto"/>
              </w:rPr>
              <w:t>4.7.3.</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Energy-Only Resources for Charging Sufficiency Requirement</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_Toc166841759 \h </w:instrText>
            </w:r>
            <w:r w:rsidRPr="00097721" w:rsidR="00F92EFD">
              <w:rPr>
                <w:noProof/>
                <w:webHidden/>
              </w:rPr>
            </w:r>
            <w:r w:rsidRPr="00097721" w:rsidR="00F92EFD">
              <w:rPr>
                <w:noProof/>
                <w:webHidden/>
              </w:rPr>
              <w:fldChar w:fldCharType="separate"/>
            </w:r>
            <w:r w:rsidRPr="00097721" w:rsidR="00554901">
              <w:rPr>
                <w:noProof/>
                <w:webHidden/>
              </w:rPr>
              <w:t>48</w:t>
            </w:r>
            <w:r w:rsidRPr="00097721" w:rsidR="00F92EFD">
              <w:rPr>
                <w:noProof/>
                <w:webHidden/>
              </w:rPr>
              <w:fldChar w:fldCharType="end"/>
            </w:r>
          </w:hyperlink>
        </w:p>
        <w:p w:rsidRPr="00097721" w:rsidR="00F92EFD" w:rsidRDefault="00000000" w14:paraId="06053A76" w14:textId="3C615F0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60">
            <w:r w:rsidRPr="00097721" w:rsidR="00F92EFD">
              <w:rPr>
                <w:rStyle w:val="Hyperlink"/>
                <w:noProof/>
                <w:color w:val="auto"/>
              </w:rPr>
              <w:t>4.7.4.</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Multi-Day Storage Facilities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_Toc166841760 \h </w:instrText>
            </w:r>
            <w:r w:rsidRPr="00097721" w:rsidR="00F92EFD">
              <w:rPr>
                <w:noProof/>
                <w:webHidden/>
              </w:rPr>
            </w:r>
            <w:r w:rsidRPr="00097721" w:rsidR="00F92EFD">
              <w:rPr>
                <w:noProof/>
                <w:webHidden/>
              </w:rPr>
              <w:fldChar w:fldCharType="separate"/>
            </w:r>
            <w:r w:rsidRPr="00097721" w:rsidR="00554901">
              <w:rPr>
                <w:noProof/>
                <w:webHidden/>
              </w:rPr>
              <w:t>51</w:t>
            </w:r>
            <w:r w:rsidRPr="00097721" w:rsidR="00F92EFD">
              <w:rPr>
                <w:noProof/>
                <w:webHidden/>
              </w:rPr>
              <w:fldChar w:fldCharType="end"/>
            </w:r>
          </w:hyperlink>
        </w:p>
        <w:p w:rsidRPr="00097721" w:rsidR="00F92EFD" w:rsidRDefault="00000000" w14:paraId="11A06A28" w14:textId="2B3ECDA6">
          <w:pPr>
            <w:pStyle w:val="TOC2"/>
            <w:tabs>
              <w:tab w:val="right" w:leader="dot" w:pos="9350"/>
            </w:tabs>
            <w:rPr>
              <w:rFonts w:asciiTheme="minorHAnsi" w:hAnsiTheme="minorHAnsi" w:cstheme="minorBidi"/>
              <w:noProof/>
              <w:kern w:val="2"/>
              <w:sz w:val="24"/>
              <w:szCs w:val="24"/>
              <w14:ligatures w14:val="standardContextual"/>
            </w:rPr>
          </w:pPr>
          <w:hyperlink w:history="1" w:anchor="_Toc166841761">
            <w:r w:rsidRPr="00097721" w:rsidR="00F92EFD">
              <w:rPr>
                <w:rStyle w:val="Hyperlink"/>
                <w:noProof/>
                <w:color w:val="auto"/>
              </w:rPr>
              <w:t>4.8.</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RA Import Requirements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_Toc166841761 \h </w:instrText>
            </w:r>
            <w:r w:rsidRPr="00097721" w:rsidR="00F92EFD">
              <w:rPr>
                <w:noProof/>
                <w:webHidden/>
              </w:rPr>
            </w:r>
            <w:r w:rsidRPr="00097721" w:rsidR="00F92EFD">
              <w:rPr>
                <w:noProof/>
                <w:webHidden/>
              </w:rPr>
              <w:fldChar w:fldCharType="separate"/>
            </w:r>
            <w:r w:rsidRPr="00097721" w:rsidR="00554901">
              <w:rPr>
                <w:noProof/>
                <w:webHidden/>
              </w:rPr>
              <w:t>53</w:t>
            </w:r>
            <w:r w:rsidRPr="00097721" w:rsidR="00F92EFD">
              <w:rPr>
                <w:noProof/>
                <w:webHidden/>
              </w:rPr>
              <w:fldChar w:fldCharType="end"/>
            </w:r>
          </w:hyperlink>
        </w:p>
        <w:p w:rsidRPr="00097721" w:rsidR="00F92EFD" w:rsidRDefault="00000000" w14:paraId="5215373A" w14:textId="50F1DED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62">
            <w:r w:rsidRPr="00097721" w:rsidR="00F92EFD">
              <w:rPr>
                <w:rStyle w:val="Hyperlink"/>
                <w:noProof/>
                <w:color w:val="auto"/>
              </w:rPr>
              <w:t>4.8.1.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Import Allocation Rights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_Toc166841762 \h </w:instrText>
            </w:r>
            <w:r w:rsidRPr="00097721" w:rsidR="00F92EFD">
              <w:rPr>
                <w:noProof/>
                <w:webHidden/>
              </w:rPr>
            </w:r>
            <w:r w:rsidRPr="00097721" w:rsidR="00F92EFD">
              <w:rPr>
                <w:noProof/>
                <w:webHidden/>
              </w:rPr>
              <w:fldChar w:fldCharType="separate"/>
            </w:r>
            <w:r w:rsidRPr="00097721" w:rsidR="00554901">
              <w:rPr>
                <w:noProof/>
                <w:webHidden/>
              </w:rPr>
              <w:t>53</w:t>
            </w:r>
            <w:r w:rsidRPr="00097721" w:rsidR="00F92EFD">
              <w:rPr>
                <w:noProof/>
                <w:webHidden/>
              </w:rPr>
              <w:fldChar w:fldCharType="end"/>
            </w:r>
          </w:hyperlink>
        </w:p>
        <w:p w:rsidRPr="00097721" w:rsidR="00F92EFD" w:rsidRDefault="00000000" w14:paraId="12F49CD7" w14:textId="593FE74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63">
            <w:r w:rsidRPr="00097721" w:rsidR="00F92EFD">
              <w:rPr>
                <w:rStyle w:val="Hyperlink"/>
                <w:noProof/>
                <w:color w:val="auto"/>
              </w:rPr>
              <w:t>4.8.2.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Off-Peak Import Energy</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_Toc166841763 \h </w:instrText>
            </w:r>
            <w:r w:rsidRPr="00097721" w:rsidR="00F92EFD">
              <w:rPr>
                <w:noProof/>
                <w:webHidden/>
              </w:rPr>
            </w:r>
            <w:r w:rsidRPr="00097721" w:rsidR="00F92EFD">
              <w:rPr>
                <w:noProof/>
                <w:webHidden/>
              </w:rPr>
              <w:fldChar w:fldCharType="separate"/>
            </w:r>
            <w:r w:rsidRPr="00097721" w:rsidR="00554901">
              <w:rPr>
                <w:noProof/>
                <w:webHidden/>
              </w:rPr>
              <w:t>54</w:t>
            </w:r>
            <w:r w:rsidRPr="00097721" w:rsidR="00F92EFD">
              <w:rPr>
                <w:noProof/>
                <w:webHidden/>
              </w:rPr>
              <w:fldChar w:fldCharType="end"/>
            </w:r>
          </w:hyperlink>
        </w:p>
        <w:p w:rsidRPr="00097721" w:rsidR="00F92EFD" w:rsidRDefault="00000000" w14:paraId="4D31A5BE" w14:textId="7979D2B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64">
            <w:r w:rsidRPr="00097721" w:rsidR="00F92EFD">
              <w:rPr>
                <w:rStyle w:val="Hyperlink"/>
                <w:noProof/>
                <w:color w:val="auto"/>
              </w:rPr>
              <w:t>4.8.3.</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Other Modifications to Imports Rules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_Toc166841764 \h </w:instrText>
            </w:r>
            <w:r w:rsidRPr="00097721" w:rsidR="00F92EFD">
              <w:rPr>
                <w:noProof/>
                <w:webHidden/>
              </w:rPr>
            </w:r>
            <w:r w:rsidRPr="00097721" w:rsidR="00F92EFD">
              <w:rPr>
                <w:noProof/>
                <w:webHidden/>
              </w:rPr>
              <w:fldChar w:fldCharType="separate"/>
            </w:r>
            <w:r w:rsidRPr="00097721" w:rsidR="00554901">
              <w:rPr>
                <w:noProof/>
                <w:webHidden/>
              </w:rPr>
              <w:t>55</w:t>
            </w:r>
            <w:r w:rsidRPr="00097721" w:rsidR="00F92EFD">
              <w:rPr>
                <w:noProof/>
                <w:webHidden/>
              </w:rPr>
              <w:fldChar w:fldCharType="end"/>
            </w:r>
          </w:hyperlink>
        </w:p>
        <w:p w:rsidRPr="00097721" w:rsidR="00F92EFD" w:rsidRDefault="00000000" w14:paraId="04B0485D" w14:textId="0EA41F6E">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66841765">
            <w:r w:rsidRPr="00097721" w:rsidR="00F92EFD">
              <w:rPr>
                <w:rStyle w:val="Hyperlink"/>
                <w:noProof/>
                <w:color w:val="auto"/>
              </w:rPr>
              <w:t>4.8.3.1.</w:t>
            </w:r>
            <w:r w:rsidRPr="00097721" w:rsidR="00F92EFD">
              <w:rPr>
                <w:rFonts w:asciiTheme="minorHAnsi" w:hAnsiTheme="minorHAnsi" w:eastAsiaTheme="minorEastAsia"/>
                <w:noProof/>
                <w:kern w:val="2"/>
                <w:sz w:val="24"/>
                <w:szCs w:val="24"/>
                <w14:ligatures w14:val="standardContextual"/>
              </w:rPr>
              <w:tab/>
            </w:r>
            <w:r w:rsidRPr="00097721" w:rsidR="00F92EFD">
              <w:rPr>
                <w:rStyle w:val="Hyperlink"/>
                <w:noProof/>
                <w:color w:val="auto"/>
              </w:rPr>
              <w:t>Discussion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_Toc166841765 \h </w:instrText>
            </w:r>
            <w:r w:rsidRPr="00097721" w:rsidR="00F92EFD">
              <w:rPr>
                <w:noProof/>
                <w:webHidden/>
              </w:rPr>
            </w:r>
            <w:r w:rsidRPr="00097721" w:rsidR="00F92EFD">
              <w:rPr>
                <w:noProof/>
                <w:webHidden/>
              </w:rPr>
              <w:fldChar w:fldCharType="separate"/>
            </w:r>
            <w:r w:rsidRPr="00097721" w:rsidR="00554901">
              <w:rPr>
                <w:noProof/>
                <w:webHidden/>
              </w:rPr>
              <w:t>58</w:t>
            </w:r>
            <w:r w:rsidRPr="00097721" w:rsidR="00F92EFD">
              <w:rPr>
                <w:noProof/>
                <w:webHidden/>
              </w:rPr>
              <w:fldChar w:fldCharType="end"/>
            </w:r>
          </w:hyperlink>
        </w:p>
        <w:p w:rsidRPr="00097721" w:rsidR="00F92EFD" w:rsidRDefault="00000000" w14:paraId="79D4BF32" w14:textId="163A0FCD">
          <w:pPr>
            <w:pStyle w:val="TOC2"/>
            <w:tabs>
              <w:tab w:val="right" w:leader="dot" w:pos="9350"/>
            </w:tabs>
            <w:rPr>
              <w:rFonts w:asciiTheme="minorHAnsi" w:hAnsiTheme="minorHAnsi" w:cstheme="minorBidi"/>
              <w:noProof/>
              <w:kern w:val="2"/>
              <w:sz w:val="24"/>
              <w:szCs w:val="24"/>
              <w14:ligatures w14:val="standardContextual"/>
            </w:rPr>
          </w:pPr>
          <w:hyperlink w:history="1" w:anchor="_Toc166841766">
            <w:r w:rsidRPr="00097721" w:rsidR="00F92EFD">
              <w:rPr>
                <w:rStyle w:val="Hyperlink"/>
                <w:noProof/>
                <w:color w:val="auto"/>
              </w:rPr>
              <w:t>4.9.</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Unforced Capacity Evaluation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_Toc166841766 \h </w:instrText>
            </w:r>
            <w:r w:rsidRPr="00097721" w:rsidR="00F92EFD">
              <w:rPr>
                <w:noProof/>
                <w:webHidden/>
              </w:rPr>
            </w:r>
            <w:r w:rsidRPr="00097721" w:rsidR="00F92EFD">
              <w:rPr>
                <w:noProof/>
                <w:webHidden/>
              </w:rPr>
              <w:fldChar w:fldCharType="separate"/>
            </w:r>
            <w:r w:rsidRPr="00097721" w:rsidR="00554901">
              <w:rPr>
                <w:noProof/>
                <w:webHidden/>
              </w:rPr>
              <w:t>60</w:t>
            </w:r>
            <w:r w:rsidRPr="00097721" w:rsidR="00F92EFD">
              <w:rPr>
                <w:noProof/>
                <w:webHidden/>
              </w:rPr>
              <w:fldChar w:fldCharType="end"/>
            </w:r>
          </w:hyperlink>
        </w:p>
        <w:p w:rsidRPr="00097721" w:rsidR="00F92EFD" w:rsidRDefault="00000000" w14:paraId="71B7CFD5" w14:textId="6CFAC80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67">
            <w:r w:rsidRPr="00097721" w:rsidR="00F92EFD">
              <w:rPr>
                <w:rStyle w:val="Hyperlink"/>
                <w:noProof/>
                <w:color w:val="auto"/>
              </w:rPr>
              <w:t>4.9.1.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Comments on Proposals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_Toc166841767 \h </w:instrText>
            </w:r>
            <w:r w:rsidRPr="00097721" w:rsidR="00F92EFD">
              <w:rPr>
                <w:noProof/>
                <w:webHidden/>
              </w:rPr>
            </w:r>
            <w:r w:rsidRPr="00097721" w:rsidR="00F92EFD">
              <w:rPr>
                <w:noProof/>
                <w:webHidden/>
              </w:rPr>
              <w:fldChar w:fldCharType="separate"/>
            </w:r>
            <w:r w:rsidRPr="00097721" w:rsidR="00554901">
              <w:rPr>
                <w:noProof/>
                <w:webHidden/>
              </w:rPr>
              <w:t>62</w:t>
            </w:r>
            <w:r w:rsidRPr="00097721" w:rsidR="00F92EFD">
              <w:rPr>
                <w:noProof/>
                <w:webHidden/>
              </w:rPr>
              <w:fldChar w:fldCharType="end"/>
            </w:r>
          </w:hyperlink>
        </w:p>
        <w:p w:rsidRPr="00097721" w:rsidR="00F92EFD" w:rsidRDefault="00000000" w14:paraId="33AD0329" w14:textId="6E11B4F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6841768">
            <w:r w:rsidRPr="00097721" w:rsidR="00F92EFD">
              <w:rPr>
                <w:rStyle w:val="Hyperlink"/>
                <w:noProof/>
                <w:color w:val="auto"/>
              </w:rPr>
              <w:t>4.9.2.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Discussion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_Toc166841768 \h </w:instrText>
            </w:r>
            <w:r w:rsidRPr="00097721" w:rsidR="00F92EFD">
              <w:rPr>
                <w:noProof/>
                <w:webHidden/>
              </w:rPr>
            </w:r>
            <w:r w:rsidRPr="00097721" w:rsidR="00F92EFD">
              <w:rPr>
                <w:noProof/>
                <w:webHidden/>
              </w:rPr>
              <w:fldChar w:fldCharType="separate"/>
            </w:r>
            <w:r w:rsidRPr="00097721" w:rsidR="00554901">
              <w:rPr>
                <w:noProof/>
                <w:webHidden/>
              </w:rPr>
              <w:t>64</w:t>
            </w:r>
            <w:r w:rsidRPr="00097721" w:rsidR="00F92EFD">
              <w:rPr>
                <w:noProof/>
                <w:webHidden/>
              </w:rPr>
              <w:fldChar w:fldCharType="end"/>
            </w:r>
          </w:hyperlink>
        </w:p>
        <w:p w:rsidRPr="00097721" w:rsidR="00F92EFD" w:rsidRDefault="00000000" w14:paraId="0F5EFB36" w14:textId="2EA43B1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6841769">
            <w:r w:rsidRPr="00097721" w:rsidR="00F92EFD">
              <w:rPr>
                <w:rStyle w:val="Hyperlink"/>
                <w:noProof/>
                <w:color w:val="auto"/>
              </w:rPr>
              <w:t>4.10.</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Demand Response Load Impact Protocols Working Group</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_Toc166841769 \h </w:instrText>
            </w:r>
            <w:r w:rsidRPr="00097721" w:rsidR="00F92EFD">
              <w:rPr>
                <w:noProof/>
                <w:webHidden/>
              </w:rPr>
            </w:r>
            <w:r w:rsidRPr="00097721" w:rsidR="00F92EFD">
              <w:rPr>
                <w:noProof/>
                <w:webHidden/>
              </w:rPr>
              <w:fldChar w:fldCharType="separate"/>
            </w:r>
            <w:r w:rsidRPr="00097721" w:rsidR="00554901">
              <w:rPr>
                <w:noProof/>
                <w:webHidden/>
              </w:rPr>
              <w:t>65</w:t>
            </w:r>
            <w:r w:rsidRPr="00097721" w:rsidR="00F92EFD">
              <w:rPr>
                <w:noProof/>
                <w:webHidden/>
              </w:rPr>
              <w:fldChar w:fldCharType="end"/>
            </w:r>
          </w:hyperlink>
        </w:p>
        <w:p w:rsidRPr="00097721" w:rsidR="00F92EFD" w:rsidRDefault="00000000" w14:paraId="49D80CC0" w14:textId="446F1DC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6841770">
            <w:r w:rsidRPr="00097721" w:rsidR="00F92EFD">
              <w:rPr>
                <w:rStyle w:val="Hyperlink"/>
                <w:noProof/>
                <w:color w:val="auto"/>
              </w:rPr>
              <w:t>4.11.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Other Proposals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_Toc166841770 \h </w:instrText>
            </w:r>
            <w:r w:rsidRPr="00097721" w:rsidR="00F92EFD">
              <w:rPr>
                <w:noProof/>
                <w:webHidden/>
              </w:rPr>
            </w:r>
            <w:r w:rsidRPr="00097721" w:rsidR="00F92EFD">
              <w:rPr>
                <w:noProof/>
                <w:webHidden/>
              </w:rPr>
              <w:fldChar w:fldCharType="separate"/>
            </w:r>
            <w:r w:rsidRPr="00097721" w:rsidR="00554901">
              <w:rPr>
                <w:noProof/>
                <w:webHidden/>
              </w:rPr>
              <w:t>65</w:t>
            </w:r>
            <w:r w:rsidRPr="00097721" w:rsidR="00F92EFD">
              <w:rPr>
                <w:noProof/>
                <w:webHidden/>
              </w:rPr>
              <w:fldChar w:fldCharType="end"/>
            </w:r>
          </w:hyperlink>
        </w:p>
        <w:p w:rsidRPr="00097721" w:rsidR="00F92EFD" w:rsidRDefault="00000000" w14:paraId="006DFC31" w14:textId="4101697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6841771">
            <w:r w:rsidRPr="00097721" w:rsidR="00F92EFD">
              <w:rPr>
                <w:rStyle w:val="Hyperlink"/>
                <w:noProof/>
                <w:color w:val="auto"/>
              </w:rPr>
              <w:t>4.11.1.</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Diablo Canyon Extension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_Toc166841771 \h </w:instrText>
            </w:r>
            <w:r w:rsidRPr="00097721" w:rsidR="00F92EFD">
              <w:rPr>
                <w:noProof/>
                <w:webHidden/>
              </w:rPr>
            </w:r>
            <w:r w:rsidRPr="00097721" w:rsidR="00F92EFD">
              <w:rPr>
                <w:noProof/>
                <w:webHidden/>
              </w:rPr>
              <w:fldChar w:fldCharType="separate"/>
            </w:r>
            <w:r w:rsidRPr="00097721" w:rsidR="00554901">
              <w:rPr>
                <w:noProof/>
                <w:webHidden/>
              </w:rPr>
              <w:t>65</w:t>
            </w:r>
            <w:r w:rsidRPr="00097721" w:rsidR="00F92EFD">
              <w:rPr>
                <w:noProof/>
                <w:webHidden/>
              </w:rPr>
              <w:fldChar w:fldCharType="end"/>
            </w:r>
          </w:hyperlink>
        </w:p>
        <w:p w:rsidRPr="00097721" w:rsidR="00F92EFD" w:rsidRDefault="00000000" w14:paraId="1670A07F" w14:textId="4896C07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6841772">
            <w:r w:rsidRPr="00097721" w:rsidR="00F92EFD">
              <w:rPr>
                <w:rStyle w:val="Hyperlink"/>
                <w:noProof/>
                <w:color w:val="auto"/>
              </w:rPr>
              <w:t>4.11.2.</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Substitution Capacity Costs for CAM Resources</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_Toc166841772 \h </w:instrText>
            </w:r>
            <w:r w:rsidRPr="00097721" w:rsidR="00F92EFD">
              <w:rPr>
                <w:noProof/>
                <w:webHidden/>
              </w:rPr>
            </w:r>
            <w:r w:rsidRPr="00097721" w:rsidR="00F92EFD">
              <w:rPr>
                <w:noProof/>
                <w:webHidden/>
              </w:rPr>
              <w:fldChar w:fldCharType="separate"/>
            </w:r>
            <w:r w:rsidRPr="00097721" w:rsidR="00554901">
              <w:rPr>
                <w:noProof/>
                <w:webHidden/>
              </w:rPr>
              <w:t>67</w:t>
            </w:r>
            <w:r w:rsidRPr="00097721" w:rsidR="00F92EFD">
              <w:rPr>
                <w:noProof/>
                <w:webHidden/>
              </w:rPr>
              <w:fldChar w:fldCharType="end"/>
            </w:r>
          </w:hyperlink>
        </w:p>
        <w:p w:rsidRPr="00097721" w:rsidR="00F92EFD" w:rsidRDefault="00000000" w14:paraId="79C9E08E" w14:textId="6313BD79">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6841773">
            <w:r w:rsidRPr="00097721" w:rsidR="00F92EFD">
              <w:rPr>
                <w:rStyle w:val="Hyperlink"/>
                <w:noProof/>
                <w:color w:val="auto"/>
              </w:rPr>
              <w:t>4.11.3.</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Deliverable Resources Shown to CAISO</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_Toc166841773 \h </w:instrText>
            </w:r>
            <w:r w:rsidRPr="00097721" w:rsidR="00F92EFD">
              <w:rPr>
                <w:noProof/>
                <w:webHidden/>
              </w:rPr>
            </w:r>
            <w:r w:rsidRPr="00097721" w:rsidR="00F92EFD">
              <w:rPr>
                <w:noProof/>
                <w:webHidden/>
              </w:rPr>
              <w:fldChar w:fldCharType="separate"/>
            </w:r>
            <w:r w:rsidRPr="00097721" w:rsidR="00554901">
              <w:rPr>
                <w:noProof/>
                <w:webHidden/>
              </w:rPr>
              <w:t>69</w:t>
            </w:r>
            <w:r w:rsidRPr="00097721" w:rsidR="00F92EFD">
              <w:rPr>
                <w:noProof/>
                <w:webHidden/>
              </w:rPr>
              <w:fldChar w:fldCharType="end"/>
            </w:r>
          </w:hyperlink>
        </w:p>
        <w:p w:rsidRPr="00097721" w:rsidR="00F92EFD" w:rsidRDefault="00000000" w14:paraId="50B8AAAC" w14:textId="73DB7C8C">
          <w:pPr>
            <w:pStyle w:val="TOC1"/>
            <w:tabs>
              <w:tab w:val="right" w:leader="dot" w:pos="9350"/>
            </w:tabs>
            <w:rPr>
              <w:rFonts w:asciiTheme="minorHAnsi" w:hAnsiTheme="minorHAnsi" w:cstheme="minorBidi"/>
              <w:noProof/>
              <w:kern w:val="2"/>
              <w:sz w:val="24"/>
              <w:szCs w:val="24"/>
              <w14:ligatures w14:val="standardContextual"/>
            </w:rPr>
          </w:pPr>
          <w:hyperlink w:history="1" w:anchor="_Toc166841774">
            <w:r w:rsidRPr="00097721" w:rsidR="00F92EFD">
              <w:rPr>
                <w:rStyle w:val="Hyperlink"/>
                <w:noProof/>
                <w:color w:val="auto"/>
              </w:rPr>
              <w:t>5.</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Comments on Proposed Decision</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_Toc166841774 \h </w:instrText>
            </w:r>
            <w:r w:rsidRPr="00097721" w:rsidR="00F92EFD">
              <w:rPr>
                <w:noProof/>
                <w:webHidden/>
              </w:rPr>
            </w:r>
            <w:r w:rsidRPr="00097721" w:rsidR="00F92EFD">
              <w:rPr>
                <w:noProof/>
                <w:webHidden/>
              </w:rPr>
              <w:fldChar w:fldCharType="separate"/>
            </w:r>
            <w:r w:rsidRPr="00097721" w:rsidR="00554901">
              <w:rPr>
                <w:noProof/>
                <w:webHidden/>
              </w:rPr>
              <w:t>69</w:t>
            </w:r>
            <w:r w:rsidRPr="00097721" w:rsidR="00F92EFD">
              <w:rPr>
                <w:noProof/>
                <w:webHidden/>
              </w:rPr>
              <w:fldChar w:fldCharType="end"/>
            </w:r>
          </w:hyperlink>
        </w:p>
        <w:p w:rsidRPr="00097721" w:rsidR="00F92EFD" w:rsidRDefault="00000000" w14:paraId="57786D1D" w14:textId="06535088">
          <w:pPr>
            <w:pStyle w:val="TOC1"/>
            <w:tabs>
              <w:tab w:val="right" w:leader="dot" w:pos="9350"/>
            </w:tabs>
            <w:rPr>
              <w:rFonts w:asciiTheme="minorHAnsi" w:hAnsiTheme="minorHAnsi" w:cstheme="minorBidi"/>
              <w:noProof/>
              <w:kern w:val="2"/>
              <w:sz w:val="24"/>
              <w:szCs w:val="24"/>
              <w14:ligatures w14:val="standardContextual"/>
            </w:rPr>
          </w:pPr>
          <w:hyperlink w:history="1" w:anchor="_Toc166841775">
            <w:r w:rsidRPr="00097721" w:rsidR="00F92EFD">
              <w:rPr>
                <w:rStyle w:val="Hyperlink"/>
                <w:noProof/>
                <w:color w:val="auto"/>
              </w:rPr>
              <w:t>6.</w:t>
            </w:r>
            <w:r w:rsidRPr="00097721" w:rsidR="00F92EFD">
              <w:rPr>
                <w:rFonts w:asciiTheme="minorHAnsi" w:hAnsiTheme="minorHAnsi" w:cstheme="minorBidi"/>
                <w:noProof/>
                <w:kern w:val="2"/>
                <w:sz w:val="24"/>
                <w:szCs w:val="24"/>
                <w14:ligatures w14:val="standardContextual"/>
              </w:rPr>
              <w:tab/>
            </w:r>
            <w:r w:rsidRPr="00097721" w:rsidR="00F92EFD">
              <w:rPr>
                <w:rStyle w:val="Hyperlink"/>
                <w:noProof/>
                <w:color w:val="auto"/>
              </w:rPr>
              <w:t>Assignment of Proceeding</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_Toc166841775 \h </w:instrText>
            </w:r>
            <w:r w:rsidRPr="00097721" w:rsidR="00F92EFD">
              <w:rPr>
                <w:noProof/>
                <w:webHidden/>
              </w:rPr>
            </w:r>
            <w:r w:rsidRPr="00097721" w:rsidR="00F92EFD">
              <w:rPr>
                <w:noProof/>
                <w:webHidden/>
              </w:rPr>
              <w:fldChar w:fldCharType="separate"/>
            </w:r>
            <w:r w:rsidRPr="00097721" w:rsidR="00554901">
              <w:rPr>
                <w:noProof/>
                <w:webHidden/>
              </w:rPr>
              <w:t>70</w:t>
            </w:r>
            <w:r w:rsidRPr="00097721" w:rsidR="00F92EFD">
              <w:rPr>
                <w:noProof/>
                <w:webHidden/>
              </w:rPr>
              <w:fldChar w:fldCharType="end"/>
            </w:r>
          </w:hyperlink>
        </w:p>
        <w:p w:rsidRPr="00097721" w:rsidR="00F92EFD" w:rsidRDefault="00000000" w14:paraId="41FEC934" w14:textId="075472E9">
          <w:pPr>
            <w:pStyle w:val="TOC1"/>
            <w:tabs>
              <w:tab w:val="right" w:leader="dot" w:pos="9350"/>
            </w:tabs>
            <w:rPr>
              <w:rFonts w:asciiTheme="minorHAnsi" w:hAnsiTheme="minorHAnsi" w:cstheme="minorBidi"/>
              <w:noProof/>
              <w:kern w:val="2"/>
              <w:sz w:val="24"/>
              <w:szCs w:val="24"/>
              <w14:ligatures w14:val="standardContextual"/>
            </w:rPr>
          </w:pPr>
          <w:hyperlink w:history="1" w:anchor="_Toc166841776">
            <w:r w:rsidRPr="00097721" w:rsidR="00F92EFD">
              <w:rPr>
                <w:rStyle w:val="Hyperlink"/>
                <w:noProof/>
                <w:color w:val="auto"/>
              </w:rPr>
              <w:t>Findings of Fact</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_Toc166841776 \h </w:instrText>
            </w:r>
            <w:r w:rsidRPr="00097721" w:rsidR="00F92EFD">
              <w:rPr>
                <w:noProof/>
                <w:webHidden/>
              </w:rPr>
            </w:r>
            <w:r w:rsidRPr="00097721" w:rsidR="00F92EFD">
              <w:rPr>
                <w:noProof/>
                <w:webHidden/>
              </w:rPr>
              <w:fldChar w:fldCharType="separate"/>
            </w:r>
            <w:r w:rsidRPr="00097721" w:rsidR="00554901">
              <w:rPr>
                <w:noProof/>
                <w:webHidden/>
              </w:rPr>
              <w:t>70</w:t>
            </w:r>
            <w:r w:rsidRPr="00097721" w:rsidR="00F92EFD">
              <w:rPr>
                <w:noProof/>
                <w:webHidden/>
              </w:rPr>
              <w:fldChar w:fldCharType="end"/>
            </w:r>
          </w:hyperlink>
        </w:p>
        <w:p w:rsidRPr="00097721" w:rsidR="00F92EFD" w:rsidRDefault="00000000" w14:paraId="6679974C" w14:textId="31BCDC4B">
          <w:pPr>
            <w:pStyle w:val="TOC1"/>
            <w:tabs>
              <w:tab w:val="right" w:leader="dot" w:pos="9350"/>
            </w:tabs>
            <w:rPr>
              <w:rFonts w:asciiTheme="minorHAnsi" w:hAnsiTheme="minorHAnsi" w:cstheme="minorBidi"/>
              <w:noProof/>
              <w:kern w:val="2"/>
              <w:sz w:val="24"/>
              <w:szCs w:val="24"/>
              <w14:ligatures w14:val="standardContextual"/>
            </w:rPr>
          </w:pPr>
          <w:hyperlink w:history="1" w:anchor="_Toc166841777">
            <w:r w:rsidRPr="00097721" w:rsidR="00F92EFD">
              <w:rPr>
                <w:rStyle w:val="Hyperlink"/>
                <w:noProof/>
                <w:color w:val="auto"/>
              </w:rPr>
              <w:t>Conclusions of Law</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_Toc166841777 \h </w:instrText>
            </w:r>
            <w:r w:rsidRPr="00097721" w:rsidR="00F92EFD">
              <w:rPr>
                <w:noProof/>
                <w:webHidden/>
              </w:rPr>
            </w:r>
            <w:r w:rsidRPr="00097721" w:rsidR="00F92EFD">
              <w:rPr>
                <w:noProof/>
                <w:webHidden/>
              </w:rPr>
              <w:fldChar w:fldCharType="separate"/>
            </w:r>
            <w:r w:rsidRPr="00097721" w:rsidR="00554901">
              <w:rPr>
                <w:noProof/>
                <w:webHidden/>
              </w:rPr>
              <w:t>72</w:t>
            </w:r>
            <w:r w:rsidRPr="00097721" w:rsidR="00F92EFD">
              <w:rPr>
                <w:noProof/>
                <w:webHidden/>
              </w:rPr>
              <w:fldChar w:fldCharType="end"/>
            </w:r>
          </w:hyperlink>
        </w:p>
        <w:p w:rsidRPr="00097721" w:rsidR="00F92EFD" w:rsidRDefault="00000000" w14:paraId="61AE1C6B" w14:textId="22547E2E">
          <w:pPr>
            <w:pStyle w:val="TOC1"/>
            <w:tabs>
              <w:tab w:val="right" w:leader="dot" w:pos="9350"/>
            </w:tabs>
            <w:rPr>
              <w:rFonts w:asciiTheme="minorHAnsi" w:hAnsiTheme="minorHAnsi" w:cstheme="minorBidi"/>
              <w:noProof/>
              <w:kern w:val="2"/>
              <w:sz w:val="24"/>
              <w:szCs w:val="24"/>
              <w14:ligatures w14:val="standardContextual"/>
            </w:rPr>
          </w:pPr>
          <w:hyperlink w:history="1" w:anchor="_Toc166841778">
            <w:r w:rsidRPr="00097721" w:rsidR="00F92EFD">
              <w:rPr>
                <w:rStyle w:val="Hyperlink"/>
                <w:noProof/>
                <w:color w:val="auto"/>
              </w:rPr>
              <w:t>ORDER</w:t>
            </w:r>
            <w:r w:rsidRPr="00097721" w:rsidR="00F92EFD">
              <w:rPr>
                <w:noProof/>
                <w:webHidden/>
              </w:rPr>
              <w:tab/>
            </w:r>
            <w:r w:rsidRPr="00097721" w:rsidR="00F92EFD">
              <w:rPr>
                <w:noProof/>
                <w:webHidden/>
              </w:rPr>
              <w:fldChar w:fldCharType="begin"/>
            </w:r>
            <w:r w:rsidRPr="00097721" w:rsidR="00F92EFD">
              <w:rPr>
                <w:noProof/>
                <w:webHidden/>
              </w:rPr>
              <w:instrText xml:space="preserve"> PAGEREF _Toc166841778 \h </w:instrText>
            </w:r>
            <w:r w:rsidRPr="00097721" w:rsidR="00F92EFD">
              <w:rPr>
                <w:noProof/>
                <w:webHidden/>
              </w:rPr>
            </w:r>
            <w:r w:rsidRPr="00097721" w:rsidR="00F92EFD">
              <w:rPr>
                <w:noProof/>
                <w:webHidden/>
              </w:rPr>
              <w:fldChar w:fldCharType="separate"/>
            </w:r>
            <w:r w:rsidRPr="00097721" w:rsidR="00554901">
              <w:rPr>
                <w:noProof/>
                <w:webHidden/>
              </w:rPr>
              <w:t>73</w:t>
            </w:r>
            <w:r w:rsidRPr="00097721" w:rsidR="00F92EFD">
              <w:rPr>
                <w:noProof/>
                <w:webHidden/>
              </w:rPr>
              <w:fldChar w:fldCharType="end"/>
            </w:r>
          </w:hyperlink>
        </w:p>
        <w:p w:rsidRPr="00097721" w:rsidR="003D792C" w:rsidP="003D792C" w:rsidRDefault="00CC4BF1" w14:paraId="338BFCA9" w14:textId="6F851E98">
          <w:pPr>
            <w:spacing w:line="240" w:lineRule="auto"/>
            <w:ind w:firstLine="0"/>
            <w:rPr>
              <w:sz w:val="22"/>
            </w:rPr>
          </w:pPr>
          <w:r w:rsidRPr="00097721">
            <w:rPr>
              <w:sz w:val="22"/>
            </w:rPr>
            <w:fldChar w:fldCharType="end"/>
          </w:r>
        </w:p>
        <w:p w:rsidRPr="00097721" w:rsidR="003D792C" w:rsidP="00CC4BF1" w:rsidRDefault="003D792C" w14:paraId="1C68BA6F" w14:textId="77777777">
          <w:pPr>
            <w:pStyle w:val="TOC1"/>
            <w:tabs>
              <w:tab w:val="right" w:leader="dot" w:pos="9350"/>
            </w:tabs>
            <w:rPr>
              <w:sz w:val="22"/>
            </w:rPr>
          </w:pPr>
        </w:p>
        <w:p w:rsidRPr="00097721" w:rsidR="00D82A43" w:rsidP="003D792C" w:rsidRDefault="00000000" w14:paraId="78C50265" w14:textId="77777777">
          <w:pPr>
            <w:rPr>
              <w:sz w:val="24"/>
              <w:szCs w:val="24"/>
            </w:rPr>
          </w:pPr>
        </w:p>
      </w:sdtContent>
    </w:sdt>
    <w:p w:rsidRPr="00097721" w:rsidR="00D44DB6" w:rsidP="00D44DB6" w:rsidRDefault="00D44DB6" w14:paraId="47099153" w14:textId="77777777">
      <w:pPr>
        <w:spacing w:line="240" w:lineRule="auto"/>
        <w:ind w:firstLine="0"/>
        <w:rPr>
          <w:rFonts w:cs="Arial"/>
          <w:i/>
          <w:szCs w:val="26"/>
        </w:rPr>
      </w:pPr>
    </w:p>
    <w:p w:rsidRPr="00097721" w:rsidR="00BD3BD9" w:rsidP="00BD3BD9" w:rsidRDefault="00BD3BD9" w14:paraId="20E228B4" w14:textId="77777777">
      <w:pPr>
        <w:rPr>
          <w:rFonts w:cs="Arial"/>
          <w:i/>
          <w:szCs w:val="26"/>
        </w:rPr>
      </w:pPr>
    </w:p>
    <w:p w:rsidRPr="00097721" w:rsidR="00BD3BD9" w:rsidP="00BD3BD9" w:rsidRDefault="00BD3BD9" w14:paraId="5F449878" w14:textId="79DE47AF">
      <w:pPr>
        <w:tabs>
          <w:tab w:val="left" w:pos="2127"/>
        </w:tabs>
        <w:rPr>
          <w:rFonts w:cs="Arial"/>
          <w:i/>
          <w:szCs w:val="26"/>
        </w:rPr>
      </w:pPr>
      <w:r w:rsidRPr="00097721">
        <w:rPr>
          <w:rFonts w:cs="Arial"/>
          <w:i/>
          <w:szCs w:val="26"/>
        </w:rPr>
        <w:tab/>
      </w:r>
    </w:p>
    <w:p w:rsidRPr="00097721" w:rsidR="00BD3BD9" w:rsidP="00BD3BD9" w:rsidRDefault="00BD3BD9" w14:paraId="38F9E73C" w14:textId="65975680">
      <w:pPr>
        <w:tabs>
          <w:tab w:val="left" w:pos="2127"/>
        </w:tabs>
        <w:rPr>
          <w:rFonts w:cs="Arial"/>
          <w:szCs w:val="26"/>
        </w:rPr>
        <w:sectPr w:rsidRPr="00097721" w:rsidR="00BD3BD9" w:rsidSect="00F14A89">
          <w:headerReference w:type="default" r:id="rId9"/>
          <w:footerReference w:type="default" r:id="rId10"/>
          <w:pgSz w:w="12240" w:h="15840"/>
          <w:pgMar w:top="1728" w:right="1440" w:bottom="1440" w:left="1440" w:header="720" w:footer="720" w:gutter="0"/>
          <w:pgNumType w:fmt="lowerRoman" w:start="1"/>
          <w:cols w:space="720"/>
          <w:docGrid w:linePitch="360"/>
        </w:sectPr>
      </w:pPr>
      <w:r w:rsidRPr="00097721">
        <w:rPr>
          <w:rFonts w:cs="Arial"/>
          <w:szCs w:val="26"/>
        </w:rPr>
        <w:tab/>
      </w:r>
    </w:p>
    <w:p w:rsidRPr="00097721" w:rsidR="00126EB1" w:rsidP="00126EB1" w:rsidRDefault="00126EB1" w14:paraId="6628BD17" w14:textId="22C7E15F">
      <w:pPr>
        <w:pStyle w:val="Main"/>
      </w:pPr>
      <w:r w:rsidRPr="00097721">
        <w:rPr>
          <w:caps w:val="0"/>
        </w:rPr>
        <w:lastRenderedPageBreak/>
        <w:t xml:space="preserve">DECISION ADOPTING LOCAL CAPACITY OBLIGATIONS </w:t>
      </w:r>
      <w:r w:rsidRPr="00097721">
        <w:rPr>
          <w:caps w:val="0"/>
        </w:rPr>
        <w:br/>
        <w:t>FOR 202</w:t>
      </w:r>
      <w:r w:rsidRPr="00097721" w:rsidR="00184724">
        <w:rPr>
          <w:caps w:val="0"/>
        </w:rPr>
        <w:t>5</w:t>
      </w:r>
      <w:r w:rsidRPr="00097721">
        <w:rPr>
          <w:caps w:val="0"/>
        </w:rPr>
        <w:t>-202</w:t>
      </w:r>
      <w:r w:rsidRPr="00097721" w:rsidR="00184724">
        <w:rPr>
          <w:caps w:val="0"/>
        </w:rPr>
        <w:t>7</w:t>
      </w:r>
      <w:r w:rsidRPr="00097721">
        <w:rPr>
          <w:caps w:val="0"/>
        </w:rPr>
        <w:t>, FLEXIBLE CAPACITY OBLIGATIONS FOR 202</w:t>
      </w:r>
      <w:r w:rsidRPr="00097721" w:rsidR="00184724">
        <w:rPr>
          <w:caps w:val="0"/>
        </w:rPr>
        <w:t>5</w:t>
      </w:r>
      <w:r w:rsidRPr="00097721">
        <w:rPr>
          <w:caps w:val="0"/>
        </w:rPr>
        <w:t>, AND PROGRAM REFINEMENTS</w:t>
      </w:r>
    </w:p>
    <w:p w:rsidRPr="00097721" w:rsidR="0098655A" w:rsidP="00D82A43" w:rsidRDefault="0098655A" w14:paraId="43EB0275" w14:textId="77777777">
      <w:pPr>
        <w:pStyle w:val="Main"/>
        <w:spacing w:after="240"/>
      </w:pPr>
    </w:p>
    <w:p w:rsidRPr="00097721" w:rsidR="005A148C" w:rsidP="005A148C" w:rsidRDefault="005A148C" w14:paraId="29CA19F2" w14:textId="77777777">
      <w:pPr>
        <w:pStyle w:val="Dummy"/>
      </w:pPr>
      <w:bookmarkStart w:name="_Toc8123714" w:id="4"/>
      <w:bookmarkStart w:name="_Toc12866683" w:id="5"/>
      <w:bookmarkStart w:name="_Toc166841726" w:id="6"/>
      <w:r w:rsidRPr="00097721">
        <w:t>Summary</w:t>
      </w:r>
      <w:bookmarkEnd w:id="4"/>
      <w:bookmarkEnd w:id="5"/>
      <w:bookmarkEnd w:id="6"/>
    </w:p>
    <w:p w:rsidRPr="00097721" w:rsidR="00B133FF" w:rsidP="00E657D4" w:rsidRDefault="00B133FF" w14:paraId="495231C7" w14:textId="0E247438">
      <w:pPr>
        <w:pStyle w:val="Standard"/>
      </w:pPr>
      <w:r w:rsidRPr="00097721">
        <w:t>This decision adopts Local Capacity Requirements for 202</w:t>
      </w:r>
      <w:r w:rsidRPr="00097721" w:rsidR="00184724">
        <w:t>5</w:t>
      </w:r>
      <w:r w:rsidRPr="00097721">
        <w:t>-202</w:t>
      </w:r>
      <w:r w:rsidRPr="00097721" w:rsidR="00184724">
        <w:t>7</w:t>
      </w:r>
      <w:r w:rsidRPr="00097721">
        <w:t>, Flexible Capacity Requirements for 202</w:t>
      </w:r>
      <w:r w:rsidRPr="00097721" w:rsidR="00184724">
        <w:t>5</w:t>
      </w:r>
      <w:r w:rsidRPr="00097721">
        <w:t xml:space="preserve">, and refinements to the Resource Adequacy program scoped as </w:t>
      </w:r>
      <w:r w:rsidRPr="00097721" w:rsidR="00184724">
        <w:t>Track</w:t>
      </w:r>
      <w:r w:rsidRPr="00097721">
        <w:t xml:space="preserve"> </w:t>
      </w:r>
      <w:r w:rsidRPr="00097721" w:rsidR="00184724">
        <w:t>1</w:t>
      </w:r>
      <w:r w:rsidRPr="00097721">
        <w:t>.</w:t>
      </w:r>
    </w:p>
    <w:p w:rsidRPr="00097721" w:rsidR="00B133FF" w:rsidP="00E657D4" w:rsidRDefault="00B133FF" w14:paraId="714C8977" w14:textId="338AA919">
      <w:pPr>
        <w:pStyle w:val="Standard"/>
      </w:pPr>
      <w:r w:rsidRPr="00097721">
        <w:t xml:space="preserve">This proceeding </w:t>
      </w:r>
      <w:r w:rsidRPr="00097721" w:rsidR="00184724">
        <w:t>remains open</w:t>
      </w:r>
      <w:r w:rsidRPr="00097721">
        <w:t>.</w:t>
      </w:r>
    </w:p>
    <w:p w:rsidRPr="00097721" w:rsidR="00B133FF" w:rsidP="00E657D4" w:rsidRDefault="00B133FF" w14:paraId="204282D5" w14:textId="77777777">
      <w:pPr>
        <w:pStyle w:val="Heading1"/>
      </w:pPr>
      <w:bookmarkStart w:name="_Toc8123715" w:id="7"/>
      <w:bookmarkStart w:name="_Toc134018736" w:id="8"/>
      <w:bookmarkStart w:name="_Toc166841727" w:id="9"/>
      <w:r w:rsidRPr="00097721">
        <w:t>Background</w:t>
      </w:r>
      <w:bookmarkEnd w:id="7"/>
      <w:bookmarkEnd w:id="8"/>
      <w:bookmarkEnd w:id="9"/>
    </w:p>
    <w:p w:rsidRPr="00097721" w:rsidR="00B133FF" w:rsidP="00E657D4" w:rsidRDefault="00B133FF" w14:paraId="32A1EEBC" w14:textId="25C63C37">
      <w:pPr>
        <w:pStyle w:val="Standard"/>
      </w:pPr>
      <w:bookmarkStart w:name="_Hlk69985340" w:id="10"/>
      <w:r w:rsidRPr="00097721">
        <w:t xml:space="preserve">On October </w:t>
      </w:r>
      <w:r w:rsidRPr="00097721" w:rsidR="00184724">
        <w:t>12</w:t>
      </w:r>
      <w:r w:rsidRPr="00097721">
        <w:t>, 202</w:t>
      </w:r>
      <w:r w:rsidRPr="00097721" w:rsidR="00184724">
        <w:t>3</w:t>
      </w:r>
      <w:r w:rsidRPr="00097721">
        <w:t xml:space="preserve">, the California Public Utilities Commission (Commission) issued the Order Instituting Rulemaking (OIR) to oversee the Resource Adequacy (RA) program, consider program reforms and refinements, and establish forward RA procurement obligations applicable to Commission-jurisdictional load-serving entities (LSEs).  </w:t>
      </w:r>
      <w:r w:rsidRPr="00097721" w:rsidR="00184724">
        <w:t xml:space="preserve">This proceeding is the successor to Rulemaking (R.) 21-11-002, which addressed these topics over the preceding two years.  </w:t>
      </w:r>
      <w:r w:rsidRPr="00097721">
        <w:t>Additional information on the procedural history of this proceeding is provided in the OIR.</w:t>
      </w:r>
    </w:p>
    <w:p w:rsidRPr="00097721" w:rsidR="00B133FF" w:rsidP="00E657D4" w:rsidRDefault="00B133FF" w14:paraId="09507579" w14:textId="4F468BF3">
      <w:pPr>
        <w:pStyle w:val="Standard"/>
      </w:pPr>
      <w:bookmarkStart w:name="_Hlk103158970" w:id="11"/>
      <w:bookmarkEnd w:id="10"/>
      <w:r w:rsidRPr="00097721">
        <w:t xml:space="preserve">A Scoping Memo and Ruling </w:t>
      </w:r>
      <w:r w:rsidRPr="00097721" w:rsidR="00184724">
        <w:t xml:space="preserve">(Scoping Memo) </w:t>
      </w:r>
      <w:r w:rsidRPr="00097721">
        <w:t>for this proceeding was issued on December</w:t>
      </w:r>
      <w:r w:rsidRPr="00097721" w:rsidR="00184724">
        <w:t xml:space="preserve"> 18, 2023</w:t>
      </w:r>
      <w:r w:rsidRPr="00097721">
        <w:t xml:space="preserve">.  The Scoping Memo identified the issues to be addressed in this proceeding, set forth a schedule and process for addressing those issues, and established </w:t>
      </w:r>
      <w:r w:rsidRPr="00097721" w:rsidR="00184724">
        <w:t>three</w:t>
      </w:r>
      <w:r w:rsidRPr="00097721">
        <w:t xml:space="preserve"> tracks for this proceeding (</w:t>
      </w:r>
      <w:r w:rsidRPr="00097721" w:rsidR="00184724">
        <w:t>Tracks 1, 2 and 3</w:t>
      </w:r>
      <w:r w:rsidRPr="00097721">
        <w:t xml:space="preserve">).  Issues scoped as </w:t>
      </w:r>
      <w:r w:rsidRPr="00097721" w:rsidR="00184724">
        <w:t>Track</w:t>
      </w:r>
      <w:r w:rsidRPr="00097721">
        <w:t xml:space="preserve"> 1 </w:t>
      </w:r>
      <w:r w:rsidRPr="00097721" w:rsidR="00184724">
        <w:t>will be addressed in this decision</w:t>
      </w:r>
      <w:r w:rsidRPr="00097721">
        <w:t xml:space="preserve">.  </w:t>
      </w:r>
    </w:p>
    <w:p w:rsidRPr="00097721" w:rsidR="00184724" w:rsidP="00184724" w:rsidRDefault="00184724" w14:paraId="52287D8E" w14:textId="261274B6">
      <w:pPr>
        <w:pStyle w:val="Heading2"/>
      </w:pPr>
      <w:bookmarkStart w:name="_Toc166841728" w:id="12"/>
      <w:r w:rsidRPr="00097721">
        <w:t>Procedural History of Track 1</w:t>
      </w:r>
      <w:bookmarkEnd w:id="12"/>
      <w:r w:rsidRPr="00097721">
        <w:t xml:space="preserve"> </w:t>
      </w:r>
    </w:p>
    <w:bookmarkEnd w:id="11"/>
    <w:p w:rsidRPr="00097721" w:rsidR="005100AE" w:rsidP="005100AE" w:rsidRDefault="00184724" w14:paraId="2FB8EFFC" w14:textId="75148D8C">
      <w:pPr>
        <w:pStyle w:val="Standard"/>
        <w:rPr>
          <w:rFonts w:eastAsia="Times New Roman"/>
        </w:rPr>
      </w:pPr>
      <w:r w:rsidRPr="00097721">
        <w:t>Track 1 proposals</w:t>
      </w:r>
      <w:r w:rsidRPr="00097721" w:rsidR="00B133FF">
        <w:t xml:space="preserve"> were filed on January </w:t>
      </w:r>
      <w:r w:rsidRPr="00097721">
        <w:t xml:space="preserve">19, </w:t>
      </w:r>
      <w:r w:rsidRPr="00097721" w:rsidR="00B133FF">
        <w:t>20</w:t>
      </w:r>
      <w:r w:rsidRPr="00097721">
        <w:t>24</w:t>
      </w:r>
      <w:r w:rsidRPr="00097721" w:rsidR="00B133FF">
        <w:t xml:space="preserve"> by: </w:t>
      </w:r>
      <w:r w:rsidRPr="00097721" w:rsidR="005100AE">
        <w:t xml:space="preserve">Alliance for Retail Energy Markets (AReM); </w:t>
      </w:r>
      <w:r w:rsidRPr="00097721" w:rsidR="00DF276D">
        <w:t>American Clean Power Association – California (ACP</w:t>
      </w:r>
      <w:r w:rsidRPr="00097721" w:rsidR="00B9202C">
        <w:t>-CA</w:t>
      </w:r>
      <w:r w:rsidRPr="00097721" w:rsidR="00DF276D">
        <w:t xml:space="preserve">); </w:t>
      </w:r>
      <w:r w:rsidRPr="00097721">
        <w:t xml:space="preserve">California Community Choice Association (CalCCA); California Efficiency </w:t>
      </w:r>
      <w:r w:rsidRPr="00097721">
        <w:lastRenderedPageBreak/>
        <w:t xml:space="preserve">+ Demand Management Council and Center for Energy Efficiency and Renewable Technologies (jointly, Council/CEERT); </w:t>
      </w:r>
      <w:r w:rsidRPr="00097721">
        <w:rPr>
          <w:rFonts w:eastAsia="Times New Roman"/>
        </w:rPr>
        <w:t xml:space="preserve">California Energy Storage Alliance (CESA); </w:t>
      </w:r>
      <w:r w:rsidRPr="00097721">
        <w:t xml:space="preserve">California Independent System Operator Corporation (CAISO); </w:t>
      </w:r>
      <w:r w:rsidRPr="00097721" w:rsidR="00DF276D">
        <w:t xml:space="preserve">the Public Advocates Office </w:t>
      </w:r>
      <w:r w:rsidRPr="00097721" w:rsidR="001931EF">
        <w:t xml:space="preserve">at the California Public Utilities Commission </w:t>
      </w:r>
      <w:r w:rsidRPr="00097721" w:rsidR="00DF276D">
        <w:t xml:space="preserve">(Cal Advocates); </w:t>
      </w:r>
      <w:r w:rsidRPr="00097721">
        <w:t xml:space="preserve">City of San Jose, Administrator of San Jose Clean Energy (SJCE); </w:t>
      </w:r>
      <w:r w:rsidRPr="00097721" w:rsidR="00AF7739">
        <w:t xml:space="preserve">Form Energy; </w:t>
      </w:r>
      <w:r w:rsidRPr="00097721" w:rsidR="00AF7739">
        <w:rPr>
          <w:rFonts w:eastAsia="Times New Roman"/>
        </w:rPr>
        <w:t xml:space="preserve">Pacific Gas and Electric Company (PG&amp;E); </w:t>
      </w:r>
      <w:r w:rsidRPr="00097721">
        <w:t>Southern California Edison Company (SCE);</w:t>
      </w:r>
      <w:r w:rsidRPr="00097721" w:rsidR="00AF7739">
        <w:rPr>
          <w:rFonts w:eastAsia="Times New Roman"/>
        </w:rPr>
        <w:t xml:space="preserve"> </w:t>
      </w:r>
      <w:r w:rsidRPr="00097721" w:rsidR="00BD3BD9">
        <w:rPr>
          <w:rFonts w:eastAsia="Times New Roman"/>
        </w:rPr>
        <w:t xml:space="preserve">and </w:t>
      </w:r>
      <w:r w:rsidRPr="00097721" w:rsidR="00AF7739">
        <w:rPr>
          <w:rFonts w:eastAsia="Times New Roman"/>
        </w:rPr>
        <w:t>Western Power Trading Forum (WPTF).</w:t>
      </w:r>
      <w:r w:rsidRPr="00097721" w:rsidR="005100AE">
        <w:t xml:space="preserve">  </w:t>
      </w:r>
      <w:r w:rsidRPr="00097721" w:rsidR="00B133FF">
        <w:rPr>
          <w:rFonts w:eastAsia="Times New Roman"/>
        </w:rPr>
        <w:t xml:space="preserve">The Commission’s Energy Division’s </w:t>
      </w:r>
      <w:r w:rsidRPr="00097721" w:rsidR="005100AE">
        <w:rPr>
          <w:rFonts w:eastAsia="Times New Roman"/>
        </w:rPr>
        <w:t>Track 1</w:t>
      </w:r>
      <w:r w:rsidRPr="00097721" w:rsidR="00B133FF">
        <w:rPr>
          <w:rFonts w:eastAsia="Times New Roman"/>
        </w:rPr>
        <w:t xml:space="preserve"> proposals were filed by an Administrative Law Judge’s (ALJ) ruling on January </w:t>
      </w:r>
      <w:r w:rsidRPr="00097721" w:rsidR="005100AE">
        <w:rPr>
          <w:rFonts w:eastAsia="Times New Roman"/>
        </w:rPr>
        <w:t>22</w:t>
      </w:r>
      <w:r w:rsidRPr="00097721" w:rsidR="00B133FF">
        <w:rPr>
          <w:rFonts w:eastAsia="Times New Roman"/>
        </w:rPr>
        <w:t>, 202</w:t>
      </w:r>
      <w:r w:rsidRPr="00097721" w:rsidR="005100AE">
        <w:rPr>
          <w:rFonts w:eastAsia="Times New Roman"/>
        </w:rPr>
        <w:t>4</w:t>
      </w:r>
      <w:r w:rsidRPr="00097721" w:rsidR="00B133FF">
        <w:rPr>
          <w:rFonts w:eastAsia="Times New Roman"/>
        </w:rPr>
        <w:t xml:space="preserve">.  </w:t>
      </w:r>
      <w:bookmarkStart w:name="_Hlk103159096" w:id="13"/>
    </w:p>
    <w:p w:rsidRPr="00097721" w:rsidR="00B133FF" w:rsidP="005100AE" w:rsidRDefault="005100AE" w14:paraId="084E0B17" w14:textId="08B92D0B">
      <w:pPr>
        <w:pStyle w:val="Standard"/>
        <w:rPr>
          <w:rFonts w:eastAsia="Times New Roman"/>
        </w:rPr>
      </w:pPr>
      <w:r w:rsidRPr="00097721">
        <w:rPr>
          <w:rFonts w:eastAsia="Times New Roman"/>
        </w:rPr>
        <w:t xml:space="preserve">On January 19, 2024, PG&amp;E submitted the Load Impact Protocols (LIP) Simplification Working Group Report on behalf of the LIP Simplification Working Group.  </w:t>
      </w:r>
      <w:r w:rsidRPr="00097721" w:rsidR="00696846">
        <w:rPr>
          <w:rFonts w:eastAsia="Times New Roman"/>
        </w:rPr>
        <w:t>On February 6, 2024, Energy Division’s Report on Resource Adequacy Slice</w:t>
      </w:r>
      <w:r w:rsidRPr="00097721" w:rsidR="007E5D6E">
        <w:rPr>
          <w:rFonts w:eastAsia="Times New Roman"/>
        </w:rPr>
        <w:t>-</w:t>
      </w:r>
      <w:r w:rsidRPr="00097721" w:rsidR="00696846">
        <w:rPr>
          <w:rFonts w:eastAsia="Times New Roman"/>
        </w:rPr>
        <w:t>of</w:t>
      </w:r>
      <w:r w:rsidRPr="00097721" w:rsidR="007E5D6E">
        <w:rPr>
          <w:rFonts w:eastAsia="Times New Roman"/>
        </w:rPr>
        <w:t>-</w:t>
      </w:r>
      <w:r w:rsidRPr="00097721" w:rsidR="00696846">
        <w:rPr>
          <w:rFonts w:eastAsia="Times New Roman"/>
        </w:rPr>
        <w:t xml:space="preserve">Day </w:t>
      </w:r>
      <w:r w:rsidRPr="00097721" w:rsidR="00BD3BD9">
        <w:rPr>
          <w:rFonts w:eastAsia="Times New Roman"/>
        </w:rPr>
        <w:t xml:space="preserve">(SOD) </w:t>
      </w:r>
      <w:r w:rsidRPr="00097721" w:rsidR="00696846">
        <w:rPr>
          <w:rFonts w:eastAsia="Times New Roman"/>
        </w:rPr>
        <w:t>Implementation and Year-Ahead Showings</w:t>
      </w:r>
      <w:r w:rsidRPr="00097721" w:rsidR="009A2ECA">
        <w:rPr>
          <w:rFonts w:eastAsia="Times New Roman"/>
        </w:rPr>
        <w:t xml:space="preserve"> was issued via an ALJ ruling</w:t>
      </w:r>
      <w:r w:rsidRPr="00097721" w:rsidR="00696846">
        <w:rPr>
          <w:rFonts w:eastAsia="Times New Roman"/>
        </w:rPr>
        <w:t xml:space="preserve">.  </w:t>
      </w:r>
      <w:r w:rsidRPr="00097721" w:rsidR="00B9202C">
        <w:rPr>
          <w:rFonts w:eastAsia="Times New Roman"/>
        </w:rPr>
        <w:t>W</w:t>
      </w:r>
      <w:r w:rsidRPr="00097721" w:rsidR="00B133FF">
        <w:rPr>
          <w:rFonts w:eastAsia="Times New Roman"/>
        </w:rPr>
        <w:t>orkshop</w:t>
      </w:r>
      <w:r w:rsidRPr="00097721" w:rsidR="00B9202C">
        <w:rPr>
          <w:rFonts w:eastAsia="Times New Roman"/>
        </w:rPr>
        <w:t>s</w:t>
      </w:r>
      <w:r w:rsidRPr="00097721" w:rsidR="00B133FF">
        <w:rPr>
          <w:rFonts w:eastAsia="Times New Roman"/>
        </w:rPr>
        <w:t xml:space="preserve"> on </w:t>
      </w:r>
      <w:r w:rsidRPr="00097721" w:rsidR="00B9202C">
        <w:rPr>
          <w:rFonts w:eastAsia="Times New Roman"/>
        </w:rPr>
        <w:t xml:space="preserve">all </w:t>
      </w:r>
      <w:r w:rsidRPr="00097721" w:rsidR="00696846">
        <w:rPr>
          <w:rFonts w:eastAsia="Times New Roman"/>
        </w:rPr>
        <w:t>Track 1</w:t>
      </w:r>
      <w:r w:rsidRPr="00097721" w:rsidR="00B133FF">
        <w:rPr>
          <w:rFonts w:eastAsia="Times New Roman"/>
        </w:rPr>
        <w:t xml:space="preserve"> proposals </w:t>
      </w:r>
      <w:r w:rsidRPr="00097721" w:rsidR="00B9202C">
        <w:rPr>
          <w:rFonts w:eastAsia="Times New Roman"/>
        </w:rPr>
        <w:t>were</w:t>
      </w:r>
      <w:r w:rsidRPr="00097721" w:rsidR="00B133FF">
        <w:rPr>
          <w:rFonts w:eastAsia="Times New Roman"/>
        </w:rPr>
        <w:t xml:space="preserve"> held on February </w:t>
      </w:r>
      <w:r w:rsidRPr="00097721">
        <w:rPr>
          <w:rFonts w:eastAsia="Times New Roman"/>
        </w:rPr>
        <w:t>14</w:t>
      </w:r>
      <w:r w:rsidRPr="00097721" w:rsidR="00B133FF">
        <w:rPr>
          <w:rFonts w:eastAsia="Times New Roman"/>
        </w:rPr>
        <w:t>, 202</w:t>
      </w:r>
      <w:r w:rsidRPr="00097721">
        <w:rPr>
          <w:rFonts w:eastAsia="Times New Roman"/>
        </w:rPr>
        <w:t>4 and February 28, 2024</w:t>
      </w:r>
      <w:r w:rsidRPr="00097721" w:rsidR="00B133FF">
        <w:rPr>
          <w:rFonts w:eastAsia="Times New Roman"/>
        </w:rPr>
        <w:t>.</w:t>
      </w:r>
      <w:bookmarkEnd w:id="13"/>
    </w:p>
    <w:p w:rsidRPr="00097721" w:rsidR="009A2ECA" w:rsidP="005100AE" w:rsidRDefault="009A2ECA" w14:paraId="4702C688" w14:textId="431F32CB">
      <w:pPr>
        <w:pStyle w:val="Standard"/>
      </w:pPr>
      <w:r w:rsidRPr="00097721">
        <w:rPr>
          <w:rFonts w:eastAsia="Times New Roman"/>
        </w:rPr>
        <w:t>On February 23, 2024, revised Track 1 proposals were filed by: ACP</w:t>
      </w:r>
      <w:r w:rsidRPr="00097721" w:rsidR="00B9202C">
        <w:rPr>
          <w:rFonts w:eastAsia="Times New Roman"/>
        </w:rPr>
        <w:t>-CA</w:t>
      </w:r>
      <w:r w:rsidRPr="00097721">
        <w:rPr>
          <w:rFonts w:eastAsia="Times New Roman"/>
        </w:rPr>
        <w:t xml:space="preserve">; </w:t>
      </w:r>
      <w:r w:rsidRPr="00097721" w:rsidR="00C001F3">
        <w:rPr>
          <w:rFonts w:eastAsia="Times New Roman"/>
        </w:rPr>
        <w:t xml:space="preserve">AReM; CAISO; CalCCA; CESA; </w:t>
      </w:r>
      <w:r w:rsidRPr="00097721">
        <w:rPr>
          <w:rFonts w:eastAsia="Times New Roman"/>
        </w:rPr>
        <w:t xml:space="preserve">California Wind Energy Association (CalWEA); </w:t>
      </w:r>
      <w:r w:rsidRPr="00097721" w:rsidR="00C001F3">
        <w:rPr>
          <w:rFonts w:eastAsia="Times New Roman"/>
        </w:rPr>
        <w:t xml:space="preserve">Middle River Power LLC (MRP); PG&amp;E; and </w:t>
      </w:r>
      <w:r w:rsidRPr="00097721">
        <w:rPr>
          <w:rFonts w:eastAsia="Times New Roman"/>
        </w:rPr>
        <w:t>SCE</w:t>
      </w:r>
      <w:r w:rsidRPr="00097721" w:rsidR="00C001F3">
        <w:rPr>
          <w:rFonts w:eastAsia="Times New Roman"/>
        </w:rPr>
        <w:t>.</w:t>
      </w:r>
      <w:r w:rsidRPr="00097721">
        <w:rPr>
          <w:rFonts w:eastAsia="Times New Roman"/>
        </w:rPr>
        <w:t xml:space="preserve"> </w:t>
      </w:r>
    </w:p>
    <w:p w:rsidRPr="00097721" w:rsidR="00C001F3" w:rsidP="00A12692" w:rsidRDefault="00B133FF" w14:paraId="5EDE30B4" w14:textId="41D0214B">
      <w:pPr>
        <w:pStyle w:val="Standard"/>
      </w:pPr>
      <w:r w:rsidRPr="00097721">
        <w:t xml:space="preserve">Opening comments on </w:t>
      </w:r>
      <w:r w:rsidRPr="00097721" w:rsidR="00C001F3">
        <w:t>Track 1</w:t>
      </w:r>
      <w:r w:rsidRPr="00097721">
        <w:t xml:space="preserve"> proposals were </w:t>
      </w:r>
      <w:r w:rsidRPr="00097721" w:rsidR="00B9202C">
        <w:t>filed</w:t>
      </w:r>
      <w:r w:rsidRPr="00097721">
        <w:t xml:space="preserve"> on </w:t>
      </w:r>
      <w:r w:rsidRPr="00097721" w:rsidR="00C001F3">
        <w:t>March 8, 2024</w:t>
      </w:r>
      <w:r w:rsidRPr="00097721">
        <w:t xml:space="preserve"> by: </w:t>
      </w:r>
      <w:r w:rsidRPr="00097721" w:rsidR="00B25787">
        <w:t>ACP</w:t>
      </w:r>
      <w:r w:rsidRPr="00097721" w:rsidR="00B9202C">
        <w:t>-CA</w:t>
      </w:r>
      <w:r w:rsidRPr="00097721" w:rsidR="00B25787">
        <w:t xml:space="preserve">; </w:t>
      </w:r>
      <w:r w:rsidRPr="00097721" w:rsidR="001721DD">
        <w:t xml:space="preserve">AES Clean Energy Development, LLC (AES); </w:t>
      </w:r>
      <w:r w:rsidRPr="00097721">
        <w:t xml:space="preserve">AReM; Bonneville Power Administration (BPA); </w:t>
      </w:r>
      <w:r w:rsidRPr="00097721" w:rsidR="00B07D82">
        <w:t xml:space="preserve">CAISO; </w:t>
      </w:r>
      <w:r w:rsidRPr="00097721" w:rsidR="006B6832">
        <w:rPr>
          <w:rFonts w:eastAsia="Times New Roman"/>
        </w:rPr>
        <w:t xml:space="preserve">CAISO’s Department of Market Monitoring (DMM); </w:t>
      </w:r>
      <w:r w:rsidRPr="00097721" w:rsidR="00B07D82">
        <w:t xml:space="preserve">Cal Advocates; </w:t>
      </w:r>
      <w:r w:rsidRPr="00097721" w:rsidR="009C0F71">
        <w:t xml:space="preserve">CalCCA; </w:t>
      </w:r>
      <w:r w:rsidRPr="00097721" w:rsidR="00B5529B">
        <w:rPr>
          <w:rFonts w:eastAsia="Times New Roman"/>
        </w:rPr>
        <w:t xml:space="preserve">Calpine Corporation (Calpine); </w:t>
      </w:r>
      <w:r w:rsidRPr="00097721" w:rsidR="00FB473D">
        <w:rPr>
          <w:rFonts w:eastAsia="Times New Roman"/>
        </w:rPr>
        <w:t xml:space="preserve">CESA; </w:t>
      </w:r>
      <w:r w:rsidRPr="00097721" w:rsidR="007B76FE">
        <w:rPr>
          <w:rFonts w:eastAsia="Times New Roman"/>
        </w:rPr>
        <w:t xml:space="preserve">Hydrostor, Inc. (Hydrostor); </w:t>
      </w:r>
      <w:r w:rsidRPr="00097721" w:rsidR="00C001F3">
        <w:t xml:space="preserve">Microsoft Corporation (Microsoft); </w:t>
      </w:r>
      <w:r w:rsidRPr="00097721" w:rsidR="005E6AB0">
        <w:t xml:space="preserve">MRP; </w:t>
      </w:r>
      <w:r w:rsidRPr="00097721" w:rsidR="00C001F3">
        <w:t xml:space="preserve">PG&amp;E; </w:t>
      </w:r>
      <w:r w:rsidRPr="00097721" w:rsidR="00B07D82">
        <w:t xml:space="preserve">REV Renewables LLC (REV); </w:t>
      </w:r>
      <w:r w:rsidRPr="00097721" w:rsidR="00C001F3">
        <w:t xml:space="preserve">San Diego Gas &amp; Electric Company (SDG&amp;E); SCE; </w:t>
      </w:r>
      <w:r w:rsidRPr="00097721" w:rsidR="00B07D82">
        <w:t xml:space="preserve">Shell Energy North America (US). L.P. (Shell Energy); </w:t>
      </w:r>
      <w:r w:rsidRPr="00097721" w:rsidR="00280430">
        <w:t xml:space="preserve">Sierra Club and California Environmental Justice Alliance (jointly, Sierra Club/CEJA); </w:t>
      </w:r>
      <w:r w:rsidRPr="00097721" w:rsidR="00C001F3">
        <w:t xml:space="preserve">Silicon Valley Clean </w:t>
      </w:r>
      <w:r w:rsidRPr="00097721" w:rsidR="00C001F3">
        <w:lastRenderedPageBreak/>
        <w:t xml:space="preserve">Energy Authority (SVCE); </w:t>
      </w:r>
      <w:r w:rsidRPr="00097721" w:rsidR="000804A4">
        <w:t xml:space="preserve">Terra-Gen, LLC (Terra-Gen); </w:t>
      </w:r>
      <w:r w:rsidRPr="00097721" w:rsidR="00C001F3">
        <w:t>Vistra Corporation (Vistra)</w:t>
      </w:r>
      <w:r w:rsidRPr="00097721" w:rsidR="00B9202C">
        <w:t>;</w:t>
      </w:r>
      <w:r w:rsidRPr="00097721" w:rsidR="00B5529B">
        <w:t xml:space="preserve"> and WPTF.</w:t>
      </w:r>
    </w:p>
    <w:p w:rsidRPr="00097721" w:rsidR="008821D2" w:rsidP="005325D7" w:rsidRDefault="00B133FF" w14:paraId="1183C9EC" w14:textId="706ACC71">
      <w:pPr>
        <w:pStyle w:val="Standard"/>
      </w:pPr>
      <w:r w:rsidRPr="00097721">
        <w:t xml:space="preserve">Reply comments on </w:t>
      </w:r>
      <w:r w:rsidRPr="00097721" w:rsidR="00F528C8">
        <w:t xml:space="preserve">Track 1 </w:t>
      </w:r>
      <w:r w:rsidRPr="00097721">
        <w:t xml:space="preserve">proposals were filed on </w:t>
      </w:r>
      <w:r w:rsidRPr="00097721" w:rsidR="00F528C8">
        <w:t>March 22, 2024</w:t>
      </w:r>
      <w:r w:rsidRPr="00097721">
        <w:t xml:space="preserve"> by: </w:t>
      </w:r>
      <w:r w:rsidRPr="00097721" w:rsidR="005325D7">
        <w:t xml:space="preserve">AReM, BPA, CAISO, Cal Advocates, CalCCA, Calpine, CalWEA, CEERT, CESA, Form Energy, Hydrostor, MRP, </w:t>
      </w:r>
      <w:r w:rsidRPr="00097721" w:rsidR="00DF1482">
        <w:t>Natural Resources Defense Council (</w:t>
      </w:r>
      <w:r w:rsidRPr="00097721" w:rsidR="005325D7">
        <w:t>NRDC</w:t>
      </w:r>
      <w:r w:rsidRPr="00097721" w:rsidR="00DF1482">
        <w:t>)</w:t>
      </w:r>
      <w:r w:rsidRPr="00097721" w:rsidR="005325D7">
        <w:t>, PG&amp;E, S</w:t>
      </w:r>
      <w:r w:rsidRPr="00097721" w:rsidR="005C14D7">
        <w:t>ierra Club</w:t>
      </w:r>
      <w:r w:rsidRPr="00097721" w:rsidR="005325D7">
        <w:t>/CEJA, SCE, SDG&amp;E, Shell Energy, Terra-Gen, and WPTF.</w:t>
      </w:r>
    </w:p>
    <w:p w:rsidRPr="00097721" w:rsidR="008821D2" w:rsidP="003B7ED4" w:rsidRDefault="008821D2" w14:paraId="07E60B20" w14:textId="77777777">
      <w:pPr>
        <w:pStyle w:val="Heading1"/>
      </w:pPr>
      <w:bookmarkStart w:name="_Toc166841729" w:id="14"/>
      <w:r w:rsidRPr="00097721">
        <w:t>Submission Date</w:t>
      </w:r>
      <w:bookmarkEnd w:id="14"/>
    </w:p>
    <w:p w:rsidRPr="00097721" w:rsidR="00B133FF" w:rsidP="00A12692" w:rsidRDefault="00B133FF" w14:paraId="1F457A6E" w14:textId="689A1CD9">
      <w:pPr>
        <w:pStyle w:val="Standard"/>
      </w:pPr>
      <w:r w:rsidRPr="00097721">
        <w:t xml:space="preserve">The matter for this decision was submitted on </w:t>
      </w:r>
      <w:r w:rsidRPr="00097721" w:rsidR="006624AF">
        <w:t>May 1</w:t>
      </w:r>
      <w:r w:rsidRPr="00097721" w:rsidR="0018029E">
        <w:t>3</w:t>
      </w:r>
      <w:r w:rsidRPr="00097721" w:rsidR="006624AF">
        <w:t>, 2024</w:t>
      </w:r>
      <w:r w:rsidRPr="00097721">
        <w:t>.</w:t>
      </w:r>
    </w:p>
    <w:p w:rsidRPr="00097721" w:rsidR="00B133FF" w:rsidP="00A12692" w:rsidRDefault="00B133FF" w14:paraId="4776A374" w14:textId="77777777">
      <w:pPr>
        <w:pStyle w:val="Heading1"/>
      </w:pPr>
      <w:bookmarkStart w:name="_Toc8123719" w:id="15"/>
      <w:bookmarkStart w:name="_Toc134018737" w:id="16"/>
      <w:bookmarkStart w:name="_Toc166841730" w:id="17"/>
      <w:r w:rsidRPr="00097721">
        <w:t>Issues Before the Commission</w:t>
      </w:r>
      <w:bookmarkEnd w:id="15"/>
      <w:bookmarkEnd w:id="16"/>
      <w:bookmarkEnd w:id="17"/>
    </w:p>
    <w:p w:rsidRPr="00097721" w:rsidR="00B133FF" w:rsidP="00A12692" w:rsidRDefault="00B133FF" w14:paraId="2D697CA6" w14:textId="5B203DD2">
      <w:pPr>
        <w:pStyle w:val="Standard"/>
      </w:pPr>
      <w:r w:rsidRPr="00097721">
        <w:t xml:space="preserve">The scope of </w:t>
      </w:r>
      <w:r w:rsidRPr="00097721" w:rsidR="001931EF">
        <w:t xml:space="preserve">issues in </w:t>
      </w:r>
      <w:r w:rsidRPr="00097721" w:rsidR="00F528C8">
        <w:t>Track 1</w:t>
      </w:r>
      <w:r w:rsidRPr="00097721">
        <w:t xml:space="preserve">, as adopted in the </w:t>
      </w:r>
      <w:r w:rsidRPr="00097721" w:rsidR="00F528C8">
        <w:t>December 18, 202</w:t>
      </w:r>
      <w:r w:rsidRPr="00097721" w:rsidR="00C667F8">
        <w:t>3</w:t>
      </w:r>
      <w:r w:rsidRPr="00097721">
        <w:t xml:space="preserve"> Scoping Memo, </w:t>
      </w:r>
      <w:r w:rsidRPr="00097721" w:rsidR="00A91321">
        <w:t>is</w:t>
      </w:r>
      <w:r w:rsidRPr="00097721">
        <w:t xml:space="preserve"> summarized below:</w:t>
      </w:r>
    </w:p>
    <w:p w:rsidRPr="00097721" w:rsidR="00B133FF" w:rsidP="00F528C8" w:rsidRDefault="00F528C8" w14:paraId="19437ED9" w14:textId="608CBDDB">
      <w:pPr>
        <w:pStyle w:val="ListNum"/>
        <w:ind w:right="1440"/>
      </w:pPr>
      <w:r w:rsidRPr="00097721">
        <w:t>Adoption of</w:t>
      </w:r>
      <w:r w:rsidRPr="00097721" w:rsidR="00B133FF">
        <w:t xml:space="preserve"> 202</w:t>
      </w:r>
      <w:r w:rsidRPr="00097721">
        <w:t>5</w:t>
      </w:r>
      <w:r w:rsidRPr="00097721" w:rsidR="00B133FF">
        <w:t>-202</w:t>
      </w:r>
      <w:r w:rsidRPr="00097721">
        <w:t>7</w:t>
      </w:r>
      <w:r w:rsidRPr="00097721" w:rsidR="00B133FF">
        <w:t xml:space="preserve"> Local Capacity Requirements (LCR).</w:t>
      </w:r>
      <w:r w:rsidRPr="00097721">
        <w:t xml:space="preserve">  </w:t>
      </w:r>
      <w:r w:rsidRPr="00097721" w:rsidR="00B133FF">
        <w:t xml:space="preserve">CAISO performs an annual LCR study, which is submitted into the RA proceeding and used to adopt local RA procurement requirements for the next three compliance years.  For </w:t>
      </w:r>
      <w:r w:rsidRPr="00097721" w:rsidR="00706CD9">
        <w:t>Track 1</w:t>
      </w:r>
      <w:r w:rsidRPr="00097721" w:rsidR="00B133FF">
        <w:t xml:space="preserve">, this will be for the </w:t>
      </w:r>
      <w:r w:rsidRPr="00097721" w:rsidR="00DF137C">
        <w:br/>
      </w:r>
      <w:r w:rsidRPr="00097721" w:rsidR="00B133FF">
        <w:t>202</w:t>
      </w:r>
      <w:r w:rsidRPr="00097721" w:rsidR="00706CD9">
        <w:t>5</w:t>
      </w:r>
      <w:r w:rsidRPr="00097721" w:rsidR="00B133FF">
        <w:t>-202</w:t>
      </w:r>
      <w:r w:rsidRPr="00097721" w:rsidR="00706CD9">
        <w:t>7</w:t>
      </w:r>
      <w:r w:rsidRPr="00097721" w:rsidR="00B133FF">
        <w:t xml:space="preserve"> RA compliance years.  </w:t>
      </w:r>
    </w:p>
    <w:p w:rsidRPr="00097721" w:rsidR="00706CD9" w:rsidP="00706CD9" w:rsidRDefault="00706CD9" w14:paraId="1EE5B40A" w14:textId="4AF64AE0">
      <w:pPr>
        <w:pStyle w:val="ListNum"/>
        <w:ind w:right="1440"/>
      </w:pPr>
      <w:r w:rsidRPr="00097721">
        <w:t>Adoption of</w:t>
      </w:r>
      <w:r w:rsidRPr="00097721" w:rsidR="00B133FF">
        <w:t xml:space="preserve"> 202</w:t>
      </w:r>
      <w:r w:rsidRPr="00097721">
        <w:t>5</w:t>
      </w:r>
      <w:r w:rsidRPr="00097721" w:rsidR="00B133FF">
        <w:t xml:space="preserve"> Flexible Capacity Requirements (FCR).</w:t>
      </w:r>
      <w:r w:rsidRPr="00097721">
        <w:t xml:space="preserve">  </w:t>
      </w:r>
      <w:r w:rsidRPr="00097721" w:rsidR="00B133FF">
        <w:rPr>
          <w:szCs w:val="26"/>
        </w:rPr>
        <w:t xml:space="preserve">Similar to the LCR process, CAISO performs an annual FCR study, which is used to adopt flexible RA requirements for the following compliance year.  </w:t>
      </w:r>
    </w:p>
    <w:p w:rsidRPr="00097721" w:rsidR="00706CD9" w:rsidP="00706CD9" w:rsidRDefault="00706CD9" w14:paraId="224D0C3D" w14:textId="754B91D8">
      <w:pPr>
        <w:pStyle w:val="ListNum"/>
        <w:ind w:right="1440"/>
      </w:pPr>
      <w:r w:rsidRPr="00097721">
        <w:t>24-Hour Slice</w:t>
      </w:r>
      <w:r w:rsidRPr="00097721" w:rsidR="009C0FEA">
        <w:t>-</w:t>
      </w:r>
      <w:r w:rsidRPr="00097721">
        <w:t xml:space="preserve">of-Day (SOD) Framework.  The Commission will consider priority modifications to the SOD framework, including issues identified in the Energy Division report summarizing party comments after the </w:t>
      </w:r>
      <w:r w:rsidRPr="00097721" w:rsidR="00927547">
        <w:t>y</w:t>
      </w:r>
      <w:r w:rsidRPr="00097721">
        <w:t>ear-</w:t>
      </w:r>
      <w:r w:rsidRPr="00097721" w:rsidR="00927547">
        <w:t>a</w:t>
      </w:r>
      <w:r w:rsidRPr="00097721">
        <w:t xml:space="preserve">head test showings (to be submitted by February 1, 2024), as well as other proposals submitted into this proceeding. </w:t>
      </w:r>
    </w:p>
    <w:p w:rsidRPr="00097721" w:rsidR="00706CD9" w:rsidP="00927547" w:rsidRDefault="00706CD9" w14:paraId="33AFE94E" w14:textId="0E6F4BD8">
      <w:pPr>
        <w:pStyle w:val="ListAlpha"/>
        <w:ind w:left="1440" w:right="1440"/>
      </w:pPr>
      <w:r w:rsidRPr="00097721">
        <w:t xml:space="preserve">SOD Planning Reserve Margin (PRM). The Commission will consider the translation of the adopted 17 percent PRM for the 2025 RA compliance year to the SOD framework. </w:t>
      </w:r>
      <w:r w:rsidRPr="00097721" w:rsidR="00927547">
        <w:t xml:space="preserve"> </w:t>
      </w:r>
      <w:r w:rsidRPr="00097721">
        <w:t xml:space="preserve">Parties may submit proposals on a calibration methodology to determine how the adopted 17 percent PRM can be translated into the SOD </w:t>
      </w:r>
      <w:r w:rsidRPr="00097721">
        <w:lastRenderedPageBreak/>
        <w:t xml:space="preserve">framework for 2025, as well as proposals to refine the SOD PRM calibration tool for use in the translation of future Loss of Load Expectation (LOLE) studies. </w:t>
      </w:r>
    </w:p>
    <w:p w:rsidRPr="00097721" w:rsidR="00706CD9" w:rsidP="00706CD9" w:rsidRDefault="00706CD9" w14:paraId="7E961C97" w14:textId="0DD48AF7">
      <w:pPr>
        <w:pStyle w:val="ListNum"/>
        <w:ind w:right="1440"/>
      </w:pPr>
      <w:r w:rsidRPr="00097721">
        <w:t xml:space="preserve">Unforced Capacity Methodology (UCAP). In Decision (D.) 23-04-010, the Commission expressed interest in exploring comprehensive application of a UCAP for resource counting that would account for ambient derates and forced outages. </w:t>
      </w:r>
      <w:r w:rsidRPr="00097721" w:rsidR="00AF10D6">
        <w:t xml:space="preserve"> </w:t>
      </w:r>
      <w:r w:rsidRPr="00097721">
        <w:t>In addition to consideration of UCAP, parties should consider modifications to the RA product that would penalize LSEs if their contracted RA capacity underperforms or is not available for CAISO dispatch due to forced outage.</w:t>
      </w:r>
    </w:p>
    <w:p w:rsidRPr="00097721" w:rsidR="00706CD9" w:rsidP="00706CD9" w:rsidRDefault="00706CD9" w14:paraId="1BB50F97" w14:textId="77777777">
      <w:pPr>
        <w:pStyle w:val="ListNum"/>
        <w:ind w:right="1440"/>
      </w:pPr>
      <w:r w:rsidRPr="00097721">
        <w:t xml:space="preserve">Demand response (DR) Load Impact Protocols (LIP). The Commission will consider potential simplifications to LIPs, as discussed in D.23-06-029, with consideration for the LIP Simplification Working Group’s report to be filed in January 2024. </w:t>
      </w:r>
    </w:p>
    <w:p w:rsidRPr="00097721" w:rsidR="00706CD9" w:rsidP="00706CD9" w:rsidRDefault="00706CD9" w14:paraId="0C23D678" w14:textId="77777777">
      <w:pPr>
        <w:pStyle w:val="ListNum"/>
        <w:ind w:right="1440"/>
      </w:pPr>
      <w:r w:rsidRPr="00097721">
        <w:t xml:space="preserve">Resource Adequacy Compliance and Penalties. The Commission will consider modifications to the RA penalty structure and other ways to incent compliance with RA requirements, as well as to identify potential opportunities to increase the availability of RA resources. </w:t>
      </w:r>
    </w:p>
    <w:p w:rsidRPr="00097721" w:rsidR="00706CD9" w:rsidP="00706CD9" w:rsidRDefault="00706CD9" w14:paraId="78E2CD8E" w14:textId="1709552C">
      <w:pPr>
        <w:pStyle w:val="ListNum"/>
        <w:ind w:right="1440"/>
      </w:pPr>
      <w:r w:rsidRPr="00097721">
        <w:t xml:space="preserve">Other time-sensitive issues identified by Energy Division or by parties in proposals. While structural changes to the central procurement entity (CPE) structure will be addressed in Track 2, parties and Energy Division may raise proposals in Track 1 on time-sensitive refinements to the CPE process that can be implemented in sufficient time to impact 2025 CPE procurement process. </w:t>
      </w:r>
    </w:p>
    <w:p w:rsidRPr="00097721" w:rsidR="00AF10D6" w:rsidP="00AF10D6" w:rsidRDefault="00AF10D6" w14:paraId="198672A0" w14:textId="7C3A4B5C">
      <w:r w:rsidRPr="00097721">
        <w:t>As provided in the Scoping Memo, Track 1 is expected to conclude by the end of June 2024, with the caveat that if there are scheduling delays or scoped issues that cannot be addressed in a June 2024 final decision, those issues may be incorporated into a later track of this proceeding.</w:t>
      </w:r>
    </w:p>
    <w:p w:rsidRPr="00097721" w:rsidR="00B133FF" w:rsidP="008B07DF" w:rsidRDefault="00B133FF" w14:paraId="1B72A834" w14:textId="77777777">
      <w:pPr>
        <w:pStyle w:val="Heading1"/>
      </w:pPr>
      <w:bookmarkStart w:name="_Toc134018738" w:id="18"/>
      <w:bookmarkStart w:name="_Toc166841731" w:id="19"/>
      <w:bookmarkStart w:name="_Toc8123720" w:id="20"/>
      <w:r w:rsidRPr="00097721">
        <w:lastRenderedPageBreak/>
        <w:t>Discussion</w:t>
      </w:r>
      <w:bookmarkEnd w:id="18"/>
      <w:bookmarkEnd w:id="19"/>
      <w:r w:rsidRPr="00097721">
        <w:t xml:space="preserve"> </w:t>
      </w:r>
      <w:bookmarkEnd w:id="20"/>
    </w:p>
    <w:p w:rsidRPr="00097721" w:rsidR="00B133FF" w:rsidP="008B07DF" w:rsidRDefault="00B133FF" w14:paraId="18AB8A91" w14:textId="6F8D2A5F">
      <w:pPr>
        <w:pStyle w:val="Heading2"/>
      </w:pPr>
      <w:bookmarkStart w:name="_Toc134018739" w:id="21"/>
      <w:bookmarkStart w:name="_Toc166841732" w:id="22"/>
      <w:r w:rsidRPr="00097721">
        <w:t>202</w:t>
      </w:r>
      <w:r w:rsidRPr="00097721" w:rsidR="00706CD9">
        <w:t>5</w:t>
      </w:r>
      <w:r w:rsidRPr="00097721" w:rsidR="00B260C7">
        <w:t>-</w:t>
      </w:r>
      <w:r w:rsidRPr="00097721">
        <w:t>202</w:t>
      </w:r>
      <w:r w:rsidRPr="00097721" w:rsidR="00706CD9">
        <w:t>7</w:t>
      </w:r>
      <w:r w:rsidRPr="00097721">
        <w:t xml:space="preserve"> Local Capacity Requirements</w:t>
      </w:r>
      <w:bookmarkEnd w:id="21"/>
      <w:bookmarkEnd w:id="22"/>
    </w:p>
    <w:p w:rsidRPr="00097721" w:rsidR="00B133FF" w:rsidP="008B07DF" w:rsidRDefault="00B133FF" w14:paraId="07EF8E95" w14:textId="4649204B">
      <w:pPr>
        <w:pStyle w:val="Standard"/>
      </w:pPr>
      <w:r w:rsidRPr="00097721">
        <w:t>In D.06-06-064, the Commission established the local RA framework and adopted local procurement obligations for 2007.  The Commission determined that a study of the LCR, performed by CAISO, would form the basis for the local RA program and that the local requirements should be based on a level of reliability described as “Option 2” in CAISO’s LCR study report.</w:t>
      </w:r>
      <w:r w:rsidRPr="00097721">
        <w:rPr>
          <w:vertAlign w:val="superscript"/>
        </w:rPr>
        <w:footnoteReference w:id="2"/>
      </w:r>
      <w:r w:rsidRPr="00097721">
        <w:t xml:space="preserve">  CAISO conducts an annual LCR study</w:t>
      </w:r>
      <w:r w:rsidRPr="00097721" w:rsidR="00C667F8">
        <w:t>,</w:t>
      </w:r>
      <w:r w:rsidRPr="00097721">
        <w:t xml:space="preserve"> and the Commission resets local procurement obligations each year after review and approval of CAISO’s recommendations.  A series of subsequent decisions (most recently in D.2</w:t>
      </w:r>
      <w:r w:rsidRPr="00097721" w:rsidR="00F27FB9">
        <w:t>3</w:t>
      </w:r>
      <w:r w:rsidRPr="00097721">
        <w:t>-06-0</w:t>
      </w:r>
      <w:r w:rsidRPr="00097721" w:rsidR="00F27FB9">
        <w:t>29</w:t>
      </w:r>
      <w:r w:rsidRPr="00097721">
        <w:t>) established local procurement obligations for 2008 through 202</w:t>
      </w:r>
      <w:r w:rsidRPr="00097721" w:rsidR="00F27FB9">
        <w:t>6</w:t>
      </w:r>
      <w:r w:rsidRPr="00097721">
        <w:t>.  In D.19</w:t>
      </w:r>
      <w:r w:rsidRPr="00097721">
        <w:noBreakHyphen/>
        <w:t>02</w:t>
      </w:r>
      <w:r w:rsidRPr="00097721">
        <w:noBreakHyphen/>
        <w:t>022, multi</w:t>
      </w:r>
      <w:r w:rsidRPr="00097721">
        <w:noBreakHyphen/>
        <w:t>year local RA requirements were adopted for a three</w:t>
      </w:r>
      <w:r w:rsidRPr="00097721">
        <w:noBreakHyphen/>
        <w:t xml:space="preserve">year duration beginning with the 2020 compliance year.  </w:t>
      </w:r>
    </w:p>
    <w:p w:rsidRPr="00097721" w:rsidR="00B133FF" w:rsidP="008B07DF" w:rsidRDefault="00B133FF" w14:paraId="0C3D9C8F" w14:textId="7E68B19D">
      <w:pPr>
        <w:pStyle w:val="Standard"/>
      </w:pPr>
      <w:r w:rsidRPr="00097721">
        <w:t>In PG&amp;E’s and SCE’s service territories, beginning for the 2023 RA compliance year, a CPE framework was adopted</w:t>
      </w:r>
      <w:r w:rsidRPr="00097721" w:rsidR="00C667F8">
        <w:t>,</w:t>
      </w:r>
      <w:r w:rsidRPr="00097721">
        <w:t xml:space="preserve"> and local requirements are no longer allocated to LSEs in PG&amp;E’s and SCE’s distribution service areas.  In SDG&amp;E’s service area, l</w:t>
      </w:r>
      <w:r w:rsidRPr="00097721">
        <w:rPr>
          <w:szCs w:val="26"/>
        </w:rPr>
        <w:t>ocal RA requirements are still allocated to Commission-jurisdictional LSEs and each LSE must procure sufficient RA capacity resources in each local area to meet its obligations.</w:t>
      </w:r>
      <w:r w:rsidRPr="00097721">
        <w:t xml:space="preserve">  </w:t>
      </w:r>
    </w:p>
    <w:p w:rsidRPr="00097721" w:rsidR="00B133FF" w:rsidP="00E95996" w:rsidRDefault="00B133FF" w14:paraId="055BF01C" w14:textId="64D45028">
      <w:pPr>
        <w:pStyle w:val="Standard"/>
      </w:pPr>
      <w:r w:rsidRPr="00097721">
        <w:t xml:space="preserve">CAISO’s Draft </w:t>
      </w:r>
      <w:r w:rsidRPr="00097721" w:rsidR="00706CD9">
        <w:t>2025</w:t>
      </w:r>
      <w:r w:rsidRPr="00097721">
        <w:t xml:space="preserve"> Local Capacity Technical Report (Draft LCR Report) was submitted on </w:t>
      </w:r>
      <w:r w:rsidRPr="00097721" w:rsidR="00607641">
        <w:t>April 4, 2024</w:t>
      </w:r>
      <w:r w:rsidRPr="00097721">
        <w:t xml:space="preserve">.  Comments on the Draft LCR Report were filed on </w:t>
      </w:r>
      <w:r w:rsidRPr="00097721" w:rsidR="0048224F">
        <w:t>April 18, 2024 by the Protect Our Communities Foundation (PCF)</w:t>
      </w:r>
      <w:r w:rsidRPr="00097721">
        <w:t xml:space="preserve">.  </w:t>
      </w:r>
    </w:p>
    <w:p w:rsidRPr="00097721" w:rsidR="004B2D42" w:rsidP="002A1CB7" w:rsidRDefault="00B133FF" w14:paraId="4D4D4B28" w14:textId="77777777">
      <w:pPr>
        <w:pStyle w:val="Standard"/>
      </w:pPr>
      <w:r w:rsidRPr="00097721">
        <w:t xml:space="preserve">CAISO’s </w:t>
      </w:r>
      <w:r w:rsidRPr="00097721" w:rsidR="00706CD9">
        <w:t>2025</w:t>
      </w:r>
      <w:r w:rsidRPr="00097721">
        <w:t xml:space="preserve"> Final Local Capacity Technical Report (Final LCR Report) was submitted on </w:t>
      </w:r>
      <w:r w:rsidRPr="00097721" w:rsidR="0033687E">
        <w:t>May 1, 2024</w:t>
      </w:r>
      <w:r w:rsidRPr="00097721">
        <w:t xml:space="preserve">.  Comments on the Final LCR Report were filed </w:t>
      </w:r>
      <w:r w:rsidRPr="00097721">
        <w:lastRenderedPageBreak/>
        <w:t xml:space="preserve">on </w:t>
      </w:r>
      <w:r w:rsidRPr="00097721" w:rsidR="0033687E">
        <w:t>May 8, 2024</w:t>
      </w:r>
      <w:r w:rsidRPr="00097721" w:rsidR="00070185">
        <w:t xml:space="preserve"> by PCF</w:t>
      </w:r>
      <w:r w:rsidRPr="00097721">
        <w:t xml:space="preserve">.  Reply comments on the Final LCR Report were filed on </w:t>
      </w:r>
      <w:r w:rsidRPr="00097721" w:rsidR="0033687E">
        <w:t>May 13, 2024</w:t>
      </w:r>
      <w:r w:rsidRPr="00097721" w:rsidR="00D411B9">
        <w:t xml:space="preserve"> by CAISO</w:t>
      </w:r>
      <w:r w:rsidRPr="00097721">
        <w:t xml:space="preserve">.  </w:t>
      </w:r>
    </w:p>
    <w:p w:rsidRPr="00097721" w:rsidR="00D411B9" w:rsidP="002A1CB7" w:rsidRDefault="00D411B9" w14:paraId="15BB516C" w14:textId="3FE4F30F">
      <w:pPr>
        <w:pStyle w:val="Standard"/>
      </w:pPr>
      <w:r w:rsidRPr="00097721">
        <w:t xml:space="preserve">PCF </w:t>
      </w:r>
      <w:r w:rsidRPr="00097721" w:rsidR="00F53A86">
        <w:t>comments</w:t>
      </w:r>
      <w:r w:rsidRPr="00097721">
        <w:t xml:space="preserve"> that CAISO states that the reliability standards to which it cites are not binding.</w:t>
      </w:r>
      <w:r w:rsidRPr="00097721">
        <w:rPr>
          <w:rStyle w:val="FootnoteReference"/>
        </w:rPr>
        <w:footnoteReference w:id="3"/>
      </w:r>
      <w:r w:rsidRPr="00097721">
        <w:t xml:space="preserve">  In reply comments, CAISO clarifies that it must apply all established reliability standards in the LCR Technical Study process and that the reliability standards are mandatory.</w:t>
      </w:r>
      <w:r w:rsidRPr="00097721">
        <w:rPr>
          <w:rStyle w:val="FootnoteReference"/>
        </w:rPr>
        <w:footnoteReference w:id="4"/>
      </w:r>
      <w:r w:rsidRPr="00097721">
        <w:t xml:space="preserve">  CAISO also states that PCF did not participate in in CAISO’s stakeholder process to develop the local capacity requirements in the Final Report, which is the appropriate forum to discuss changes to CAISO’s LCR study.</w:t>
      </w:r>
    </w:p>
    <w:p w:rsidRPr="00097721" w:rsidR="00B133FF" w:rsidP="00E95996" w:rsidRDefault="00B133FF" w14:paraId="151F9014" w14:textId="64F9D392">
      <w:pPr>
        <w:pStyle w:val="Standard"/>
      </w:pPr>
      <w:r w:rsidRPr="00097721">
        <w:t>CAISO’s recommended 202</w:t>
      </w:r>
      <w:r w:rsidRPr="00097721" w:rsidR="00706CD9">
        <w:t>5</w:t>
      </w:r>
      <w:r w:rsidRPr="00097721">
        <w:noBreakHyphen/>
        <w:t>202</w:t>
      </w:r>
      <w:r w:rsidRPr="00097721" w:rsidR="00706CD9">
        <w:t>7</w:t>
      </w:r>
      <w:r w:rsidRPr="00097721">
        <w:t xml:space="preserve"> LCR values are summarized in the following table, with the </w:t>
      </w:r>
      <w:r w:rsidRPr="00097721" w:rsidR="00607248">
        <w:t xml:space="preserve">adopted </w:t>
      </w:r>
      <w:r w:rsidRPr="00097721">
        <w:t>202</w:t>
      </w:r>
      <w:r w:rsidRPr="00097721" w:rsidR="00706CD9">
        <w:t>4</w:t>
      </w:r>
      <w:r w:rsidRPr="00097721">
        <w:t>-202</w:t>
      </w:r>
      <w:r w:rsidRPr="00097721" w:rsidR="00706CD9">
        <w:t>6</w:t>
      </w:r>
      <w:r w:rsidRPr="00097721">
        <w:t xml:space="preserve"> LCR values provided for comparison.</w:t>
      </w:r>
    </w:p>
    <w:tbl>
      <w:tblPr>
        <w:tblW w:w="89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4130"/>
        <w:gridCol w:w="1800"/>
        <w:gridCol w:w="1620"/>
        <w:gridCol w:w="1440"/>
      </w:tblGrid>
      <w:tr w:rsidRPr="00097721" w:rsidR="00097721" w:rsidTr="00E75AAD" w14:paraId="5C59FD04" w14:textId="77777777">
        <w:trPr>
          <w:trHeight w:val="700"/>
          <w:jc w:val="center"/>
        </w:trPr>
        <w:tc>
          <w:tcPr>
            <w:tcW w:w="8990" w:type="dxa"/>
            <w:gridSpan w:val="4"/>
            <w:tcBorders>
              <w:top w:val="single" w:color="auto" w:sz="8" w:space="0"/>
              <w:left w:val="single" w:color="auto" w:sz="8" w:space="0"/>
              <w:bottom w:val="single" w:color="auto" w:sz="8" w:space="0"/>
              <w:right w:val="single" w:color="auto" w:sz="8" w:space="0"/>
            </w:tcBorders>
            <w:noWrap/>
            <w:vAlign w:val="center"/>
            <w:hideMark/>
          </w:tcPr>
          <w:p w:rsidRPr="00097721" w:rsidR="006D77A6" w:rsidP="00E75AAD" w:rsidRDefault="006D77A6" w14:paraId="61C4F78E" w14:textId="77777777">
            <w:pPr>
              <w:keepNext/>
              <w:keepLines/>
              <w:kinsoku w:val="0"/>
              <w:overflowPunct w:val="0"/>
              <w:autoSpaceDE w:val="0"/>
              <w:autoSpaceDN w:val="0"/>
              <w:spacing w:after="40" w:line="240" w:lineRule="auto"/>
              <w:jc w:val="center"/>
              <w:rPr>
                <w:b/>
                <w:bCs/>
                <w:sz w:val="24"/>
                <w:szCs w:val="24"/>
              </w:rPr>
            </w:pPr>
            <w:r w:rsidRPr="00097721">
              <w:rPr>
                <w:b/>
                <w:bCs/>
                <w:sz w:val="24"/>
                <w:szCs w:val="24"/>
              </w:rPr>
              <w:lastRenderedPageBreak/>
              <w:t xml:space="preserve">2025 </w:t>
            </w:r>
            <w:r w:rsidRPr="00097721">
              <w:rPr>
                <w:b/>
                <w:bCs/>
                <w:sz w:val="24"/>
                <w:szCs w:val="24"/>
              </w:rPr>
              <w:noBreakHyphen/>
              <w:t xml:space="preserve"> 2027 Local Capacity Requirements</w:t>
            </w:r>
          </w:p>
        </w:tc>
      </w:tr>
      <w:tr w:rsidRPr="00097721" w:rsidR="00097721" w:rsidTr="00E75AAD" w14:paraId="62B93A83" w14:textId="77777777">
        <w:trPr>
          <w:trHeight w:val="502"/>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034C7B04" w14:textId="77777777">
            <w:pPr>
              <w:keepNext/>
              <w:keepLines/>
              <w:kinsoku w:val="0"/>
              <w:overflowPunct w:val="0"/>
              <w:autoSpaceDE w:val="0"/>
              <w:autoSpaceDN w:val="0"/>
              <w:spacing w:after="40" w:line="240" w:lineRule="auto"/>
              <w:ind w:firstLine="0"/>
              <w:jc w:val="center"/>
              <w:rPr>
                <w:b/>
                <w:bCs/>
                <w:sz w:val="24"/>
                <w:szCs w:val="24"/>
              </w:rPr>
            </w:pPr>
            <w:r w:rsidRPr="00097721">
              <w:rPr>
                <w:b/>
                <w:bCs/>
                <w:sz w:val="24"/>
                <w:szCs w:val="24"/>
              </w:rPr>
              <w:t>Local Area Name</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281805E5" w14:textId="77777777">
            <w:pPr>
              <w:keepNext/>
              <w:keepLines/>
              <w:kinsoku w:val="0"/>
              <w:overflowPunct w:val="0"/>
              <w:autoSpaceDE w:val="0"/>
              <w:autoSpaceDN w:val="0"/>
              <w:spacing w:after="40" w:line="240" w:lineRule="auto"/>
              <w:ind w:firstLine="0"/>
              <w:jc w:val="center"/>
              <w:rPr>
                <w:b/>
                <w:bCs/>
                <w:sz w:val="24"/>
                <w:szCs w:val="24"/>
              </w:rPr>
            </w:pPr>
            <w:r w:rsidRPr="00097721">
              <w:rPr>
                <w:b/>
                <w:bCs/>
                <w:sz w:val="24"/>
                <w:szCs w:val="24"/>
              </w:rPr>
              <w:t>2025</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3CA6F9EF" w14:textId="77777777">
            <w:pPr>
              <w:keepNext/>
              <w:keepLines/>
              <w:kinsoku w:val="0"/>
              <w:overflowPunct w:val="0"/>
              <w:autoSpaceDE w:val="0"/>
              <w:autoSpaceDN w:val="0"/>
              <w:spacing w:after="40" w:line="240" w:lineRule="auto"/>
              <w:ind w:firstLine="0"/>
              <w:jc w:val="center"/>
              <w:rPr>
                <w:b/>
                <w:bCs/>
                <w:sz w:val="24"/>
                <w:szCs w:val="24"/>
              </w:rPr>
            </w:pPr>
            <w:r w:rsidRPr="00097721">
              <w:rPr>
                <w:b/>
                <w:bCs/>
                <w:sz w:val="24"/>
                <w:szCs w:val="24"/>
              </w:rPr>
              <w:t>2026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6CCF2B33" w14:textId="77777777">
            <w:pPr>
              <w:keepNext/>
              <w:keepLines/>
              <w:kinsoku w:val="0"/>
              <w:overflowPunct w:val="0"/>
              <w:autoSpaceDE w:val="0"/>
              <w:autoSpaceDN w:val="0"/>
              <w:spacing w:after="40" w:line="240" w:lineRule="auto"/>
              <w:ind w:firstLine="0"/>
              <w:jc w:val="center"/>
              <w:rPr>
                <w:b/>
                <w:bCs/>
                <w:sz w:val="24"/>
                <w:szCs w:val="24"/>
              </w:rPr>
            </w:pPr>
            <w:r w:rsidRPr="00097721">
              <w:rPr>
                <w:b/>
                <w:bCs/>
                <w:sz w:val="24"/>
                <w:szCs w:val="24"/>
              </w:rPr>
              <w:t>2027</w:t>
            </w:r>
          </w:p>
        </w:tc>
      </w:tr>
      <w:tr w:rsidRPr="00097721" w:rsidR="00097721" w:rsidTr="00E75AAD" w14:paraId="6821AB6A"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77069E82" w14:textId="77777777">
            <w:pPr>
              <w:keepNext/>
              <w:keepLines/>
              <w:kinsoku w:val="0"/>
              <w:overflowPunct w:val="0"/>
              <w:autoSpaceDE w:val="0"/>
              <w:autoSpaceDN w:val="0"/>
              <w:spacing w:after="40" w:line="240" w:lineRule="auto"/>
              <w:ind w:firstLine="0"/>
              <w:rPr>
                <w:sz w:val="24"/>
                <w:szCs w:val="24"/>
              </w:rPr>
            </w:pPr>
            <w:r w:rsidRPr="00097721">
              <w:rPr>
                <w:sz w:val="24"/>
                <w:szCs w:val="24"/>
              </w:rPr>
              <w:t>Humboldt</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53FBE925"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164</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022C1D77"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166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71731CB8"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169</w:t>
            </w:r>
          </w:p>
        </w:tc>
      </w:tr>
      <w:tr w:rsidRPr="00097721" w:rsidR="00097721" w:rsidTr="00E75AAD" w14:paraId="29D82390" w14:textId="77777777">
        <w:trPr>
          <w:trHeight w:val="340"/>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6EB9F9EA" w14:textId="77777777">
            <w:pPr>
              <w:keepNext/>
              <w:keepLines/>
              <w:kinsoku w:val="0"/>
              <w:overflowPunct w:val="0"/>
              <w:autoSpaceDE w:val="0"/>
              <w:autoSpaceDN w:val="0"/>
              <w:spacing w:after="40" w:line="240" w:lineRule="auto"/>
              <w:ind w:firstLine="0"/>
              <w:rPr>
                <w:sz w:val="24"/>
                <w:szCs w:val="24"/>
              </w:rPr>
            </w:pPr>
            <w:r w:rsidRPr="00097721">
              <w:rPr>
                <w:sz w:val="24"/>
                <w:szCs w:val="24"/>
              </w:rPr>
              <w:t>North Coast/North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6FB5823D"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967</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21523E4C"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836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6B2C9EE2"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844</w:t>
            </w:r>
          </w:p>
        </w:tc>
      </w:tr>
      <w:tr w:rsidRPr="00097721" w:rsidR="00097721" w:rsidTr="00E75AAD" w14:paraId="1E71F1D7"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63D90EAC" w14:textId="77777777">
            <w:pPr>
              <w:keepNext/>
              <w:keepLines/>
              <w:kinsoku w:val="0"/>
              <w:overflowPunct w:val="0"/>
              <w:autoSpaceDE w:val="0"/>
              <w:autoSpaceDN w:val="0"/>
              <w:spacing w:after="40" w:line="240" w:lineRule="auto"/>
              <w:ind w:firstLine="0"/>
              <w:rPr>
                <w:sz w:val="24"/>
                <w:szCs w:val="24"/>
              </w:rPr>
            </w:pPr>
            <w:r w:rsidRPr="00097721">
              <w:rPr>
                <w:sz w:val="24"/>
                <w:szCs w:val="24"/>
              </w:rPr>
              <w:t>Sierra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1914C1A4"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1532*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4C556C4C"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1620*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04287089"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1709*</w:t>
            </w:r>
          </w:p>
        </w:tc>
      </w:tr>
      <w:tr w:rsidRPr="00097721" w:rsidR="00097721" w:rsidTr="00E75AAD" w14:paraId="7C8E0218"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1457962E" w14:textId="77777777">
            <w:pPr>
              <w:keepNext/>
              <w:keepLines/>
              <w:kinsoku w:val="0"/>
              <w:overflowPunct w:val="0"/>
              <w:autoSpaceDE w:val="0"/>
              <w:autoSpaceDN w:val="0"/>
              <w:spacing w:after="40" w:line="240" w:lineRule="auto"/>
              <w:ind w:firstLine="0"/>
              <w:rPr>
                <w:sz w:val="24"/>
                <w:szCs w:val="24"/>
              </w:rPr>
            </w:pPr>
            <w:r w:rsidRPr="00097721">
              <w:rPr>
                <w:sz w:val="24"/>
                <w:szCs w:val="24"/>
              </w:rPr>
              <w:t>Stockton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7F292AB7"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735*</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69589DAC"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736*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07A5BE9B"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737*</w:t>
            </w:r>
          </w:p>
        </w:tc>
      </w:tr>
      <w:tr w:rsidRPr="00097721" w:rsidR="00097721" w:rsidTr="00E75AAD" w14:paraId="1D4AE750"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6EF33EFD" w14:textId="77777777">
            <w:pPr>
              <w:keepNext/>
              <w:keepLines/>
              <w:kinsoku w:val="0"/>
              <w:overflowPunct w:val="0"/>
              <w:autoSpaceDE w:val="0"/>
              <w:autoSpaceDN w:val="0"/>
              <w:spacing w:after="40" w:line="240" w:lineRule="auto"/>
              <w:ind w:firstLine="0"/>
              <w:rPr>
                <w:sz w:val="24"/>
                <w:szCs w:val="24"/>
              </w:rPr>
            </w:pPr>
            <w:r w:rsidRPr="00097721">
              <w:rPr>
                <w:sz w:val="24"/>
                <w:szCs w:val="24"/>
              </w:rPr>
              <w:t>Greater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04C45BE3"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7441*</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7C05BD32"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7441*</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03382E0A"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7441*</w:t>
            </w:r>
          </w:p>
        </w:tc>
      </w:tr>
      <w:tr w:rsidRPr="00097721" w:rsidR="00097721" w:rsidTr="00E75AAD" w14:paraId="36DC3C6C"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5D98ABF3" w14:textId="77777777">
            <w:pPr>
              <w:keepNext/>
              <w:keepLines/>
              <w:kinsoku w:val="0"/>
              <w:overflowPunct w:val="0"/>
              <w:autoSpaceDE w:val="0"/>
              <w:autoSpaceDN w:val="0"/>
              <w:spacing w:after="40" w:line="240" w:lineRule="auto"/>
              <w:ind w:firstLine="0"/>
              <w:rPr>
                <w:sz w:val="24"/>
                <w:szCs w:val="24"/>
              </w:rPr>
            </w:pPr>
            <w:r w:rsidRPr="00097721">
              <w:rPr>
                <w:sz w:val="24"/>
                <w:szCs w:val="24"/>
              </w:rPr>
              <w:t>Greater Fresno</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4509697C"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2532*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15209C95"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2527*</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1F23AE23"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2522*</w:t>
            </w:r>
          </w:p>
        </w:tc>
      </w:tr>
      <w:tr w:rsidRPr="00097721" w:rsidR="00097721" w:rsidTr="00E75AAD" w14:paraId="72D9B71B"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3A06CE8E" w14:textId="77777777">
            <w:pPr>
              <w:keepNext/>
              <w:keepLines/>
              <w:kinsoku w:val="0"/>
              <w:overflowPunct w:val="0"/>
              <w:autoSpaceDE w:val="0"/>
              <w:autoSpaceDN w:val="0"/>
              <w:spacing w:after="40" w:line="240" w:lineRule="auto"/>
              <w:ind w:firstLine="0"/>
              <w:rPr>
                <w:sz w:val="24"/>
                <w:szCs w:val="24"/>
              </w:rPr>
            </w:pPr>
            <w:r w:rsidRPr="00097721">
              <w:rPr>
                <w:sz w:val="24"/>
                <w:szCs w:val="24"/>
              </w:rPr>
              <w:t>Kern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322EF6D4"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434</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4EBFE34E"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422*</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327FFB55"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410*</w:t>
            </w:r>
          </w:p>
        </w:tc>
      </w:tr>
      <w:tr w:rsidRPr="00097721" w:rsidR="00097721" w:rsidTr="00E75AAD" w14:paraId="16A279CC" w14:textId="77777777">
        <w:trPr>
          <w:trHeight w:val="277"/>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25526EBC" w14:textId="77777777">
            <w:pPr>
              <w:keepNext/>
              <w:keepLines/>
              <w:kinsoku w:val="0"/>
              <w:overflowPunct w:val="0"/>
              <w:autoSpaceDE w:val="0"/>
              <w:autoSpaceDN w:val="0"/>
              <w:spacing w:after="40" w:line="240" w:lineRule="auto"/>
              <w:ind w:firstLine="0"/>
              <w:rPr>
                <w:sz w:val="24"/>
                <w:szCs w:val="24"/>
              </w:rPr>
            </w:pPr>
            <w:r w:rsidRPr="00097721">
              <w:rPr>
                <w:sz w:val="24"/>
                <w:szCs w:val="24"/>
              </w:rPr>
              <w:t>Big Creek/Ventura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666EF9BC"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2145</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4A6FA086"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2172</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376E1EDB"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2200</w:t>
            </w:r>
          </w:p>
        </w:tc>
      </w:tr>
      <w:tr w:rsidRPr="00097721" w:rsidR="00097721" w:rsidTr="00E75AAD" w14:paraId="34AFF8B0" w14:textId="77777777">
        <w:trPr>
          <w:trHeight w:val="277"/>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72275076" w14:textId="77777777">
            <w:pPr>
              <w:keepNext/>
              <w:keepLines/>
              <w:kinsoku w:val="0"/>
              <w:overflowPunct w:val="0"/>
              <w:autoSpaceDE w:val="0"/>
              <w:autoSpaceDN w:val="0"/>
              <w:spacing w:after="40" w:line="240" w:lineRule="auto"/>
              <w:ind w:firstLine="0"/>
              <w:rPr>
                <w:sz w:val="24"/>
                <w:szCs w:val="24"/>
              </w:rPr>
            </w:pPr>
            <w:r w:rsidRPr="00097721">
              <w:rPr>
                <w:sz w:val="24"/>
                <w:szCs w:val="24"/>
              </w:rPr>
              <w:t>LA Basin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6946B866"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4123</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591D12DF"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4361</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4B69CB7B"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4600</w:t>
            </w:r>
          </w:p>
        </w:tc>
      </w:tr>
      <w:tr w:rsidRPr="00097721" w:rsidR="00097721" w:rsidTr="00E75AAD" w14:paraId="0DD59496"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5DE44AF5" w14:textId="77777777">
            <w:pPr>
              <w:keepNext/>
              <w:keepLines/>
              <w:kinsoku w:val="0"/>
              <w:overflowPunct w:val="0"/>
              <w:autoSpaceDE w:val="0"/>
              <w:autoSpaceDN w:val="0"/>
              <w:spacing w:after="40" w:line="240" w:lineRule="auto"/>
              <w:ind w:firstLine="0"/>
              <w:rPr>
                <w:sz w:val="24"/>
                <w:szCs w:val="24"/>
              </w:rPr>
            </w:pPr>
            <w:r w:rsidRPr="00097721">
              <w:rPr>
                <w:sz w:val="24"/>
                <w:szCs w:val="24"/>
              </w:rPr>
              <w:t>San Diego/Imperial Valley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1A1C7CBC"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2709</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51EA0912"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2812</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1A6ACA0A"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2915</w:t>
            </w:r>
          </w:p>
        </w:tc>
      </w:tr>
      <w:tr w:rsidRPr="00097721" w:rsidR="00097721" w:rsidTr="00E75AAD" w14:paraId="7FD3BB94" w14:textId="77777777">
        <w:trPr>
          <w:trHeight w:val="300"/>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55B205BF" w14:textId="77777777">
            <w:pPr>
              <w:keepNext/>
              <w:keepLines/>
              <w:kinsoku w:val="0"/>
              <w:overflowPunct w:val="0"/>
              <w:autoSpaceDE w:val="0"/>
              <w:autoSpaceDN w:val="0"/>
              <w:spacing w:after="40" w:line="240" w:lineRule="auto"/>
              <w:ind w:firstLine="0"/>
              <w:rPr>
                <w:sz w:val="24"/>
                <w:szCs w:val="24"/>
              </w:rPr>
            </w:pPr>
            <w:r w:rsidRPr="00097721">
              <w:rPr>
                <w:sz w:val="24"/>
                <w:szCs w:val="24"/>
              </w:rPr>
              <w:t>Total</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299366A0"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22782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16D4D3BB"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23093</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6D77A6" w:rsidP="00E75AAD" w:rsidRDefault="006D77A6" w14:paraId="7DCB6AF9" w14:textId="77777777">
            <w:pPr>
              <w:keepNext/>
              <w:keepLines/>
              <w:kinsoku w:val="0"/>
              <w:overflowPunct w:val="0"/>
              <w:autoSpaceDE w:val="0"/>
              <w:autoSpaceDN w:val="0"/>
              <w:spacing w:after="40" w:line="240" w:lineRule="auto"/>
              <w:ind w:firstLine="0"/>
              <w:jc w:val="center"/>
              <w:rPr>
                <w:sz w:val="24"/>
                <w:szCs w:val="24"/>
              </w:rPr>
            </w:pPr>
            <w:r w:rsidRPr="00097721">
              <w:rPr>
                <w:sz w:val="24"/>
                <w:szCs w:val="24"/>
              </w:rPr>
              <w:t>23547</w:t>
            </w:r>
          </w:p>
        </w:tc>
      </w:tr>
      <w:tr w:rsidRPr="00097721" w:rsidR="00097721" w:rsidTr="00E75AAD" w14:paraId="620E322F" w14:textId="77777777">
        <w:trPr>
          <w:trHeight w:val="300"/>
          <w:jc w:val="center"/>
        </w:trPr>
        <w:tc>
          <w:tcPr>
            <w:tcW w:w="8990" w:type="dxa"/>
            <w:gridSpan w:val="4"/>
            <w:tcBorders>
              <w:top w:val="single" w:color="auto" w:sz="8" w:space="0"/>
              <w:left w:val="single" w:color="auto" w:sz="8" w:space="0"/>
              <w:bottom w:val="single" w:color="auto" w:sz="8" w:space="0"/>
              <w:right w:val="single" w:color="auto" w:sz="8" w:space="0"/>
            </w:tcBorders>
            <w:shd w:val="clear" w:color="auto" w:fill="FFFFFF"/>
            <w:noWrap/>
            <w:vAlign w:val="center"/>
            <w:hideMark/>
          </w:tcPr>
          <w:p w:rsidRPr="00097721" w:rsidR="006D77A6" w:rsidP="00E75AAD" w:rsidRDefault="006D77A6" w14:paraId="78D016F8" w14:textId="77777777">
            <w:pPr>
              <w:keepNext/>
              <w:keepLines/>
              <w:spacing w:after="40" w:line="240" w:lineRule="auto"/>
              <w:ind w:firstLine="0"/>
              <w:rPr>
                <w:sz w:val="24"/>
                <w:szCs w:val="24"/>
              </w:rPr>
            </w:pPr>
            <w:r w:rsidRPr="00097721">
              <w:rPr>
                <w:sz w:val="24"/>
                <w:szCs w:val="24"/>
              </w:rPr>
              <w:t>*  CAISO note:  Details about magnitude of deficiencies can be found in the applicable section [of the LCR Report].  Resource deficient areas and sub</w:t>
            </w:r>
            <w:r w:rsidRPr="00097721">
              <w:rPr>
                <w:sz w:val="24"/>
                <w:szCs w:val="24"/>
              </w:rPr>
              <w:noBreakHyphen/>
              <w:t>area implies that in order to comply with the criteria, at summer peak, load may be shed immediately after the first contingency.</w:t>
            </w:r>
          </w:p>
        </w:tc>
      </w:tr>
    </w:tbl>
    <w:p w:rsidRPr="00097721" w:rsidR="006D77A6" w:rsidP="00E95996" w:rsidRDefault="006D77A6" w14:paraId="4969810E" w14:textId="77777777">
      <w:pPr>
        <w:pStyle w:val="Standard"/>
      </w:pPr>
    </w:p>
    <w:p w:rsidRPr="00097721" w:rsidR="006D77A6" w:rsidP="00E95996" w:rsidRDefault="006D77A6" w14:paraId="43DC08F0" w14:textId="77777777">
      <w:pPr>
        <w:pStyle w:val="Standard"/>
      </w:pPr>
    </w:p>
    <w:p w:rsidRPr="00097721" w:rsidR="006D77A6" w:rsidP="00E95996" w:rsidRDefault="006D77A6" w14:paraId="461D4DCA" w14:textId="77777777">
      <w:pPr>
        <w:pStyle w:val="Standard"/>
      </w:pPr>
    </w:p>
    <w:tbl>
      <w:tblPr>
        <w:tblW w:w="89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4130"/>
        <w:gridCol w:w="1800"/>
        <w:gridCol w:w="1620"/>
        <w:gridCol w:w="1440"/>
      </w:tblGrid>
      <w:tr w:rsidRPr="00097721" w:rsidR="00097721" w:rsidTr="00E95996" w14:paraId="1849DA39" w14:textId="77777777">
        <w:trPr>
          <w:trHeight w:val="700"/>
          <w:jc w:val="center"/>
        </w:trPr>
        <w:tc>
          <w:tcPr>
            <w:tcW w:w="8990" w:type="dxa"/>
            <w:gridSpan w:val="4"/>
            <w:tcBorders>
              <w:top w:val="single" w:color="auto" w:sz="8" w:space="0"/>
              <w:left w:val="single" w:color="auto" w:sz="8" w:space="0"/>
              <w:bottom w:val="single" w:color="auto" w:sz="8" w:space="0"/>
              <w:right w:val="single" w:color="auto" w:sz="8" w:space="0"/>
            </w:tcBorders>
            <w:noWrap/>
            <w:vAlign w:val="center"/>
            <w:hideMark/>
          </w:tcPr>
          <w:p w:rsidRPr="00097721" w:rsidR="00B133FF" w:rsidP="00A57137" w:rsidRDefault="00B133FF" w14:paraId="76E708CF" w14:textId="77777777">
            <w:pPr>
              <w:keepNext/>
              <w:keepLines/>
              <w:kinsoku w:val="0"/>
              <w:overflowPunct w:val="0"/>
              <w:autoSpaceDE w:val="0"/>
              <w:autoSpaceDN w:val="0"/>
              <w:spacing w:after="120" w:line="240" w:lineRule="auto"/>
              <w:jc w:val="center"/>
              <w:rPr>
                <w:b/>
                <w:bCs/>
                <w:sz w:val="24"/>
                <w:szCs w:val="24"/>
              </w:rPr>
            </w:pPr>
            <w:r w:rsidRPr="00097721">
              <w:rPr>
                <w:b/>
                <w:bCs/>
                <w:sz w:val="24"/>
                <w:szCs w:val="24"/>
              </w:rPr>
              <w:lastRenderedPageBreak/>
              <w:t xml:space="preserve">2024 </w:t>
            </w:r>
            <w:r w:rsidRPr="00097721">
              <w:rPr>
                <w:b/>
                <w:bCs/>
                <w:sz w:val="24"/>
                <w:szCs w:val="24"/>
              </w:rPr>
              <w:noBreakHyphen/>
              <w:t xml:space="preserve"> 2026 Local Capacity Requirements</w:t>
            </w:r>
          </w:p>
        </w:tc>
      </w:tr>
      <w:tr w:rsidRPr="00097721" w:rsidR="00097721" w:rsidTr="00E95996" w14:paraId="478450AE" w14:textId="77777777">
        <w:trPr>
          <w:trHeight w:val="502"/>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A57137" w:rsidRDefault="00B133FF" w14:paraId="64457B45" w14:textId="77777777">
            <w:pPr>
              <w:keepNext/>
              <w:keepLines/>
              <w:kinsoku w:val="0"/>
              <w:overflowPunct w:val="0"/>
              <w:autoSpaceDE w:val="0"/>
              <w:autoSpaceDN w:val="0"/>
              <w:spacing w:after="120" w:line="240" w:lineRule="auto"/>
              <w:ind w:firstLine="0"/>
              <w:jc w:val="center"/>
              <w:rPr>
                <w:b/>
                <w:bCs/>
                <w:sz w:val="24"/>
                <w:szCs w:val="24"/>
              </w:rPr>
            </w:pPr>
            <w:r w:rsidRPr="00097721">
              <w:rPr>
                <w:b/>
                <w:bCs/>
                <w:sz w:val="24"/>
                <w:szCs w:val="24"/>
              </w:rPr>
              <w:t>Local Area Name</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A57137" w:rsidRDefault="00B133FF" w14:paraId="5896F99B" w14:textId="77777777">
            <w:pPr>
              <w:keepNext/>
              <w:keepLines/>
              <w:kinsoku w:val="0"/>
              <w:overflowPunct w:val="0"/>
              <w:autoSpaceDE w:val="0"/>
              <w:autoSpaceDN w:val="0"/>
              <w:spacing w:after="120" w:line="240" w:lineRule="auto"/>
              <w:ind w:firstLine="0"/>
              <w:jc w:val="center"/>
              <w:rPr>
                <w:b/>
                <w:bCs/>
                <w:sz w:val="24"/>
                <w:szCs w:val="24"/>
              </w:rPr>
            </w:pPr>
            <w:r w:rsidRPr="00097721">
              <w:rPr>
                <w:b/>
                <w:bCs/>
                <w:sz w:val="24"/>
                <w:szCs w:val="24"/>
              </w:rPr>
              <w:t>2024</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A57137" w:rsidRDefault="00B133FF" w14:paraId="32F28C98" w14:textId="77777777">
            <w:pPr>
              <w:keepNext/>
              <w:keepLines/>
              <w:kinsoku w:val="0"/>
              <w:overflowPunct w:val="0"/>
              <w:autoSpaceDE w:val="0"/>
              <w:autoSpaceDN w:val="0"/>
              <w:spacing w:after="120" w:line="240" w:lineRule="auto"/>
              <w:ind w:firstLine="0"/>
              <w:jc w:val="center"/>
              <w:rPr>
                <w:b/>
                <w:bCs/>
                <w:sz w:val="24"/>
                <w:szCs w:val="24"/>
              </w:rPr>
            </w:pPr>
            <w:r w:rsidRPr="00097721">
              <w:rPr>
                <w:b/>
                <w:bCs/>
                <w:sz w:val="24"/>
                <w:szCs w:val="24"/>
              </w:rPr>
              <w:t>2025</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A57137" w:rsidRDefault="00B133FF" w14:paraId="1E088288" w14:textId="77777777">
            <w:pPr>
              <w:keepNext/>
              <w:keepLines/>
              <w:kinsoku w:val="0"/>
              <w:overflowPunct w:val="0"/>
              <w:autoSpaceDE w:val="0"/>
              <w:autoSpaceDN w:val="0"/>
              <w:spacing w:after="120" w:line="240" w:lineRule="auto"/>
              <w:ind w:firstLine="0"/>
              <w:jc w:val="center"/>
              <w:rPr>
                <w:b/>
                <w:bCs/>
                <w:sz w:val="24"/>
                <w:szCs w:val="24"/>
              </w:rPr>
            </w:pPr>
            <w:r w:rsidRPr="00097721">
              <w:rPr>
                <w:b/>
                <w:bCs/>
                <w:sz w:val="24"/>
                <w:szCs w:val="24"/>
              </w:rPr>
              <w:t>2026</w:t>
            </w:r>
          </w:p>
        </w:tc>
      </w:tr>
      <w:tr w:rsidRPr="00097721" w:rsidR="00097721" w:rsidTr="00E95996" w14:paraId="05F939FD"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3A1802AC" w14:textId="77777777">
            <w:pPr>
              <w:keepNext/>
              <w:keepLines/>
              <w:kinsoku w:val="0"/>
              <w:overflowPunct w:val="0"/>
              <w:autoSpaceDE w:val="0"/>
              <w:autoSpaceDN w:val="0"/>
              <w:spacing w:line="240" w:lineRule="auto"/>
              <w:ind w:firstLine="0"/>
              <w:rPr>
                <w:sz w:val="24"/>
                <w:szCs w:val="24"/>
              </w:rPr>
            </w:pPr>
            <w:r w:rsidRPr="00097721">
              <w:rPr>
                <w:sz w:val="24"/>
                <w:szCs w:val="24"/>
              </w:rPr>
              <w:t>Humboldt</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462B43B2"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133</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04D0DAE2"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137</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5B69D40F"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141</w:t>
            </w:r>
          </w:p>
        </w:tc>
      </w:tr>
      <w:tr w:rsidRPr="00097721" w:rsidR="00097721" w:rsidTr="00E95996" w14:paraId="59C883AE" w14:textId="77777777">
        <w:trPr>
          <w:trHeight w:val="340"/>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45326006" w14:textId="77777777">
            <w:pPr>
              <w:keepNext/>
              <w:keepLines/>
              <w:kinsoku w:val="0"/>
              <w:overflowPunct w:val="0"/>
              <w:autoSpaceDE w:val="0"/>
              <w:autoSpaceDN w:val="0"/>
              <w:spacing w:line="240" w:lineRule="auto"/>
              <w:ind w:firstLine="0"/>
              <w:rPr>
                <w:sz w:val="24"/>
                <w:szCs w:val="24"/>
              </w:rPr>
            </w:pPr>
            <w:r w:rsidRPr="00097721">
              <w:rPr>
                <w:sz w:val="24"/>
                <w:szCs w:val="24"/>
              </w:rPr>
              <w:t>North Coast/North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389A9A1A"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983</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1E169BB5"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989*</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6460346F"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853</w:t>
            </w:r>
          </w:p>
        </w:tc>
      </w:tr>
      <w:tr w:rsidRPr="00097721" w:rsidR="00097721" w:rsidTr="00E95996" w14:paraId="24A63683"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7C707FA0" w14:textId="77777777">
            <w:pPr>
              <w:keepNext/>
              <w:keepLines/>
              <w:kinsoku w:val="0"/>
              <w:overflowPunct w:val="0"/>
              <w:autoSpaceDE w:val="0"/>
              <w:autoSpaceDN w:val="0"/>
              <w:spacing w:line="240" w:lineRule="auto"/>
              <w:ind w:firstLine="0"/>
              <w:rPr>
                <w:sz w:val="24"/>
                <w:szCs w:val="24"/>
              </w:rPr>
            </w:pPr>
            <w:r w:rsidRPr="00097721">
              <w:rPr>
                <w:sz w:val="24"/>
                <w:szCs w:val="24"/>
              </w:rPr>
              <w:t>Sierra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02DD2007"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1212*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78226C9B"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1263*</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5BAD5BC3"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1314*</w:t>
            </w:r>
          </w:p>
        </w:tc>
      </w:tr>
      <w:tr w:rsidRPr="00097721" w:rsidR="00097721" w:rsidTr="00E95996" w14:paraId="7D359314"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1785FDEF" w14:textId="77777777">
            <w:pPr>
              <w:keepNext/>
              <w:keepLines/>
              <w:kinsoku w:val="0"/>
              <w:overflowPunct w:val="0"/>
              <w:autoSpaceDE w:val="0"/>
              <w:autoSpaceDN w:val="0"/>
              <w:spacing w:line="240" w:lineRule="auto"/>
              <w:ind w:firstLine="0"/>
              <w:rPr>
                <w:sz w:val="24"/>
                <w:szCs w:val="24"/>
              </w:rPr>
            </w:pPr>
            <w:r w:rsidRPr="00097721">
              <w:rPr>
                <w:sz w:val="24"/>
                <w:szCs w:val="24"/>
              </w:rPr>
              <w:t>Stockton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0A6B7219"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750*</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5704EC5E"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750*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72ECB055"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750*</w:t>
            </w:r>
          </w:p>
        </w:tc>
      </w:tr>
      <w:tr w:rsidRPr="00097721" w:rsidR="00097721" w:rsidTr="00E95996" w14:paraId="0D1E3D1E"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0B585D2E" w14:textId="77777777">
            <w:pPr>
              <w:keepNext/>
              <w:keepLines/>
              <w:kinsoku w:val="0"/>
              <w:overflowPunct w:val="0"/>
              <w:autoSpaceDE w:val="0"/>
              <w:autoSpaceDN w:val="0"/>
              <w:spacing w:line="240" w:lineRule="auto"/>
              <w:ind w:firstLine="0"/>
              <w:rPr>
                <w:sz w:val="24"/>
                <w:szCs w:val="24"/>
              </w:rPr>
            </w:pPr>
            <w:r w:rsidRPr="00097721">
              <w:rPr>
                <w:sz w:val="24"/>
                <w:szCs w:val="24"/>
              </w:rPr>
              <w:t>Greater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57FB6B60"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7329*</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63532E85"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7498*</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092C8CB2"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7667*</w:t>
            </w:r>
          </w:p>
        </w:tc>
      </w:tr>
      <w:tr w:rsidRPr="00097721" w:rsidR="00097721" w:rsidTr="00E95996" w14:paraId="682D781D"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5C1B6111" w14:textId="77777777">
            <w:pPr>
              <w:keepNext/>
              <w:keepLines/>
              <w:kinsoku w:val="0"/>
              <w:overflowPunct w:val="0"/>
              <w:autoSpaceDE w:val="0"/>
              <w:autoSpaceDN w:val="0"/>
              <w:spacing w:line="240" w:lineRule="auto"/>
              <w:ind w:firstLine="0"/>
              <w:rPr>
                <w:sz w:val="24"/>
                <w:szCs w:val="24"/>
              </w:rPr>
            </w:pPr>
            <w:r w:rsidRPr="00097721">
              <w:rPr>
                <w:sz w:val="24"/>
                <w:szCs w:val="24"/>
              </w:rPr>
              <w:t>Greater Fresno</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2167B9B8"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2028*</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234C9AF1"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2203*</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4CE0D3E3"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2378*</w:t>
            </w:r>
          </w:p>
        </w:tc>
      </w:tr>
      <w:tr w:rsidRPr="00097721" w:rsidR="00097721" w:rsidTr="00E95996" w14:paraId="601BA6AE"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3365E9C5" w14:textId="77777777">
            <w:pPr>
              <w:keepNext/>
              <w:keepLines/>
              <w:kinsoku w:val="0"/>
              <w:overflowPunct w:val="0"/>
              <w:autoSpaceDE w:val="0"/>
              <w:autoSpaceDN w:val="0"/>
              <w:spacing w:line="240" w:lineRule="auto"/>
              <w:ind w:firstLine="0"/>
              <w:rPr>
                <w:sz w:val="24"/>
                <w:szCs w:val="24"/>
              </w:rPr>
            </w:pPr>
            <w:r w:rsidRPr="00097721">
              <w:rPr>
                <w:sz w:val="24"/>
                <w:szCs w:val="24"/>
              </w:rPr>
              <w:t>Kern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67C6005B"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427*</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3208A270"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427*</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104C7470"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427*</w:t>
            </w:r>
          </w:p>
        </w:tc>
      </w:tr>
      <w:tr w:rsidRPr="00097721" w:rsidR="00097721" w:rsidTr="00E95996" w14:paraId="41DDB09E" w14:textId="77777777">
        <w:trPr>
          <w:trHeight w:val="277"/>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1FD651AE" w14:textId="77777777">
            <w:pPr>
              <w:keepNext/>
              <w:keepLines/>
              <w:kinsoku w:val="0"/>
              <w:overflowPunct w:val="0"/>
              <w:autoSpaceDE w:val="0"/>
              <w:autoSpaceDN w:val="0"/>
              <w:spacing w:line="240" w:lineRule="auto"/>
              <w:ind w:firstLine="0"/>
              <w:rPr>
                <w:sz w:val="24"/>
                <w:szCs w:val="24"/>
              </w:rPr>
            </w:pPr>
            <w:r w:rsidRPr="00097721">
              <w:rPr>
                <w:sz w:val="24"/>
                <w:szCs w:val="24"/>
              </w:rPr>
              <w:t>Big Creek/Ventura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7C084C56"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1971</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65656E0F"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1110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7F3C2829"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1146</w:t>
            </w:r>
          </w:p>
        </w:tc>
      </w:tr>
      <w:tr w:rsidRPr="00097721" w:rsidR="00097721" w:rsidTr="00E95996" w14:paraId="57465C45" w14:textId="77777777">
        <w:trPr>
          <w:trHeight w:val="277"/>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70CD83D3" w14:textId="77777777">
            <w:pPr>
              <w:keepNext/>
              <w:keepLines/>
              <w:kinsoku w:val="0"/>
              <w:overflowPunct w:val="0"/>
              <w:autoSpaceDE w:val="0"/>
              <w:autoSpaceDN w:val="0"/>
              <w:spacing w:line="240" w:lineRule="auto"/>
              <w:ind w:firstLine="0"/>
              <w:rPr>
                <w:sz w:val="24"/>
                <w:szCs w:val="24"/>
              </w:rPr>
            </w:pPr>
            <w:r w:rsidRPr="00097721">
              <w:rPr>
                <w:sz w:val="24"/>
                <w:szCs w:val="24"/>
              </w:rPr>
              <w:t>LA Basin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17471B1C"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4413</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1DE7B28D"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4795</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5CB99999"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5177</w:t>
            </w:r>
          </w:p>
        </w:tc>
      </w:tr>
      <w:tr w:rsidRPr="00097721" w:rsidR="00097721" w:rsidTr="00E95996" w14:paraId="01FA662F" w14:textId="77777777">
        <w:trPr>
          <w:trHeight w:val="315"/>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414EAD2A" w14:textId="77777777">
            <w:pPr>
              <w:keepNext/>
              <w:keepLines/>
              <w:kinsoku w:val="0"/>
              <w:overflowPunct w:val="0"/>
              <w:autoSpaceDE w:val="0"/>
              <w:autoSpaceDN w:val="0"/>
              <w:spacing w:line="240" w:lineRule="auto"/>
              <w:ind w:firstLine="0"/>
              <w:rPr>
                <w:sz w:val="24"/>
                <w:szCs w:val="24"/>
              </w:rPr>
            </w:pPr>
            <w:r w:rsidRPr="00097721">
              <w:rPr>
                <w:sz w:val="24"/>
                <w:szCs w:val="24"/>
              </w:rPr>
              <w:t>San Diego/Imperial Valley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025605E5"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2834</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392CC94E"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3019</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06338823"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3205</w:t>
            </w:r>
          </w:p>
        </w:tc>
      </w:tr>
      <w:tr w:rsidRPr="00097721" w:rsidR="00097721" w:rsidTr="00E95996" w14:paraId="49063DD5" w14:textId="77777777">
        <w:trPr>
          <w:trHeight w:val="300"/>
          <w:jc w:val="center"/>
        </w:trPr>
        <w:tc>
          <w:tcPr>
            <w:tcW w:w="413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7E2EC6C7" w14:textId="77777777">
            <w:pPr>
              <w:keepNext/>
              <w:keepLines/>
              <w:kinsoku w:val="0"/>
              <w:overflowPunct w:val="0"/>
              <w:autoSpaceDE w:val="0"/>
              <w:autoSpaceDN w:val="0"/>
              <w:spacing w:line="240" w:lineRule="auto"/>
              <w:ind w:firstLine="0"/>
              <w:rPr>
                <w:sz w:val="24"/>
                <w:szCs w:val="24"/>
              </w:rPr>
            </w:pPr>
            <w:r w:rsidRPr="00097721">
              <w:rPr>
                <w:sz w:val="24"/>
                <w:szCs w:val="24"/>
              </w:rPr>
              <w:t>Total</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638CB8DA"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22080</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289C7E01"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22191</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97721" w:rsidR="00B133FF" w:rsidP="00D62D0D" w:rsidRDefault="00B133FF" w14:paraId="169ABB0A" w14:textId="77777777">
            <w:pPr>
              <w:keepNext/>
              <w:keepLines/>
              <w:kinsoku w:val="0"/>
              <w:overflowPunct w:val="0"/>
              <w:autoSpaceDE w:val="0"/>
              <w:autoSpaceDN w:val="0"/>
              <w:spacing w:line="240" w:lineRule="auto"/>
              <w:ind w:firstLine="0"/>
              <w:jc w:val="center"/>
              <w:rPr>
                <w:sz w:val="24"/>
                <w:szCs w:val="24"/>
              </w:rPr>
            </w:pPr>
            <w:r w:rsidRPr="00097721">
              <w:rPr>
                <w:rFonts w:cs="Arial"/>
                <w:sz w:val="24"/>
                <w:szCs w:val="24"/>
              </w:rPr>
              <w:t>23058</w:t>
            </w:r>
          </w:p>
        </w:tc>
      </w:tr>
      <w:tr w:rsidRPr="00097721" w:rsidR="00097721" w:rsidTr="00E95996" w14:paraId="137D0C68" w14:textId="77777777">
        <w:trPr>
          <w:trHeight w:val="300"/>
          <w:jc w:val="center"/>
        </w:trPr>
        <w:tc>
          <w:tcPr>
            <w:tcW w:w="8990" w:type="dxa"/>
            <w:gridSpan w:val="4"/>
            <w:tcBorders>
              <w:top w:val="single" w:color="auto" w:sz="8" w:space="0"/>
              <w:left w:val="single" w:color="auto" w:sz="8" w:space="0"/>
              <w:bottom w:val="single" w:color="auto" w:sz="8" w:space="0"/>
              <w:right w:val="single" w:color="auto" w:sz="8" w:space="0"/>
            </w:tcBorders>
            <w:shd w:val="clear" w:color="auto" w:fill="FFFFFF"/>
            <w:noWrap/>
            <w:vAlign w:val="center"/>
            <w:hideMark/>
          </w:tcPr>
          <w:p w:rsidRPr="00097721" w:rsidR="00B133FF" w:rsidP="00A57137" w:rsidRDefault="00B133FF" w14:paraId="0F7EEDFF" w14:textId="77777777">
            <w:pPr>
              <w:keepNext/>
              <w:keepLines/>
              <w:spacing w:after="120" w:line="240" w:lineRule="auto"/>
              <w:ind w:firstLine="0"/>
              <w:rPr>
                <w:sz w:val="24"/>
                <w:szCs w:val="24"/>
              </w:rPr>
            </w:pPr>
            <w:r w:rsidRPr="00097721">
              <w:rPr>
                <w:sz w:val="24"/>
                <w:szCs w:val="24"/>
              </w:rPr>
              <w:t>*  CAISO note:  Details about magnitude of deficiencies can be found in the applicable section [of the LCR Report].  Resource deficient areas and sub</w:t>
            </w:r>
            <w:r w:rsidRPr="00097721">
              <w:rPr>
                <w:sz w:val="24"/>
                <w:szCs w:val="24"/>
              </w:rPr>
              <w:noBreakHyphen/>
              <w:t>area implies that in order to comply with the criteria, at summer peak, load may be shed immediately after the first contingency.</w:t>
            </w:r>
          </w:p>
        </w:tc>
      </w:tr>
    </w:tbl>
    <w:p w:rsidRPr="00097721" w:rsidR="00B133FF" w:rsidP="005514B4" w:rsidRDefault="00B133FF" w14:paraId="6F64B3C7" w14:textId="77777777">
      <w:pPr>
        <w:ind w:firstLine="0"/>
        <w:rPr>
          <w:sz w:val="6"/>
          <w:szCs w:val="6"/>
        </w:rPr>
      </w:pPr>
      <w:bookmarkStart w:name="_Hlk72055979" w:id="23"/>
    </w:p>
    <w:p w:rsidRPr="00097721" w:rsidR="00B133FF" w:rsidP="008D47BB" w:rsidRDefault="00B133FF" w14:paraId="0551DD8C" w14:textId="7D105A15">
      <w:pPr>
        <w:pStyle w:val="Standard"/>
        <w:spacing w:before="120"/>
        <w:rPr>
          <w:rFonts w:asciiTheme="minorHAnsi" w:hAnsiTheme="minorHAnsi"/>
          <w:sz w:val="22"/>
        </w:rPr>
      </w:pPr>
      <w:r w:rsidRPr="00097721">
        <w:t>The Commission finds the recommended LCR values for 202</w:t>
      </w:r>
      <w:r w:rsidRPr="00097721" w:rsidR="00706CD9">
        <w:t>5</w:t>
      </w:r>
      <w:r w:rsidRPr="00097721">
        <w:t>–202</w:t>
      </w:r>
      <w:r w:rsidRPr="00097721" w:rsidR="00706CD9">
        <w:t>7</w:t>
      </w:r>
      <w:r w:rsidRPr="00097721">
        <w:t xml:space="preserve"> to be reasonable.  Accordingly, CAISO’s recommended 202</w:t>
      </w:r>
      <w:r w:rsidRPr="00097721" w:rsidR="00706CD9">
        <w:t>5</w:t>
      </w:r>
      <w:r w:rsidRPr="00097721">
        <w:t>–202</w:t>
      </w:r>
      <w:r w:rsidRPr="00097721" w:rsidR="00706CD9">
        <w:t>7</w:t>
      </w:r>
      <w:r w:rsidRPr="00097721">
        <w:t xml:space="preserve"> LCR values set forth in the table above are adopted.</w:t>
      </w:r>
      <w:bookmarkEnd w:id="23"/>
    </w:p>
    <w:p w:rsidRPr="00097721" w:rsidR="00B133FF" w:rsidP="008D62FE" w:rsidRDefault="00B133FF" w14:paraId="30ACE7E7" w14:textId="3FE4F74C">
      <w:pPr>
        <w:pStyle w:val="Heading2"/>
      </w:pPr>
      <w:bookmarkStart w:name="_Toc134018740" w:id="24"/>
      <w:bookmarkStart w:name="_Toc166841733" w:id="25"/>
      <w:r w:rsidRPr="00097721">
        <w:t>202</w:t>
      </w:r>
      <w:r w:rsidRPr="00097721" w:rsidR="00706CD9">
        <w:t>5</w:t>
      </w:r>
      <w:r w:rsidRPr="00097721">
        <w:t xml:space="preserve"> Flexible Capacity Requirements</w:t>
      </w:r>
      <w:bookmarkEnd w:id="24"/>
      <w:bookmarkEnd w:id="25"/>
    </w:p>
    <w:p w:rsidRPr="00097721" w:rsidR="00B133FF" w:rsidP="008D62FE" w:rsidRDefault="00B133FF" w14:paraId="74494A8D" w14:textId="77777777">
      <w:pPr>
        <w:pStyle w:val="Standard"/>
      </w:pPr>
      <w:r w:rsidRPr="00097721">
        <w:t>D.13</w:t>
      </w:r>
      <w:r w:rsidRPr="00097721">
        <w:noBreakHyphen/>
        <w:t>06</w:t>
      </w:r>
      <w:r w:rsidRPr="00097721">
        <w:noBreakHyphen/>
        <w:t>024 and D.14</w:t>
      </w:r>
      <w:r w:rsidRPr="00097721">
        <w:noBreakHyphen/>
        <w:t>06</w:t>
      </w:r>
      <w:r w:rsidRPr="00097721">
        <w:noBreakHyphen/>
        <w:t>050 adopted a flexible capacity requirement to begin in 2015 and defined implementation guidelines.  D.13</w:t>
      </w:r>
      <w:r w:rsidRPr="00097721">
        <w:noBreakHyphen/>
        <w:t>06</w:t>
      </w:r>
      <w:r w:rsidRPr="00097721">
        <w:noBreakHyphen/>
        <w:t>024 recognized a need for flexible capacity in the RA fleet and defined flexible capacity need:</w:t>
      </w:r>
    </w:p>
    <w:p w:rsidRPr="00097721" w:rsidR="00B133FF" w:rsidP="008D62FE" w:rsidRDefault="00B133FF" w14:paraId="3ABE07EC" w14:textId="77777777">
      <w:pPr>
        <w:spacing w:after="120" w:line="240" w:lineRule="auto"/>
        <w:ind w:left="720" w:right="1440" w:firstLine="0"/>
      </w:pPr>
      <w:r w:rsidRPr="00097721">
        <w:t>“Flexible capacity need” is defined as the quantity of resources needed by the CAISO to manage grid reliability during the greatest three</w:t>
      </w:r>
      <w:r w:rsidRPr="00097721">
        <w:noBreakHyphen/>
        <w:t>hour continuous ramp in each month.  Resources will be considered as “flexible capacity” if they can sustain or increase output, or reduce ramping needs, during the hours of “flexible need.”</w:t>
      </w:r>
      <w:r w:rsidRPr="00097721">
        <w:rPr>
          <w:vertAlign w:val="superscript"/>
        </w:rPr>
        <w:footnoteReference w:id="5"/>
      </w:r>
    </w:p>
    <w:p w:rsidRPr="00097721" w:rsidR="00B133FF" w:rsidP="0096557C" w:rsidRDefault="00B133FF" w14:paraId="2742B696" w14:textId="3AC7881C">
      <w:pPr>
        <w:pStyle w:val="Standard"/>
      </w:pPr>
      <w:r w:rsidRPr="00097721">
        <w:lastRenderedPageBreak/>
        <w:t xml:space="preserve">This year, CAISO notified the Commission that the final Flexible Capacity Needs Assessment for </w:t>
      </w:r>
      <w:r w:rsidRPr="00097721" w:rsidR="00706CD9">
        <w:t>2025</w:t>
      </w:r>
      <w:r w:rsidRPr="00097721">
        <w:t xml:space="preserve"> (Final FCR Report) would not be filed by </w:t>
      </w:r>
      <w:r w:rsidRPr="00097721" w:rsidR="00A249EA">
        <w:br/>
      </w:r>
      <w:r w:rsidRPr="00097721" w:rsidR="006D77A6">
        <w:t>early May</w:t>
      </w:r>
      <w:r w:rsidRPr="00097721">
        <w:t xml:space="preserve"> </w:t>
      </w:r>
      <w:r w:rsidRPr="00097721" w:rsidR="006D77A6">
        <w:t>but would be targeted to be filed on May 13</w:t>
      </w:r>
      <w:r w:rsidRPr="00097721">
        <w:t xml:space="preserve">.  On </w:t>
      </w:r>
      <w:r w:rsidRPr="00097721" w:rsidR="006D77A6">
        <w:t>May 2</w:t>
      </w:r>
      <w:r w:rsidRPr="00097721">
        <w:t>, an ALJ’s ruling was issued that shortened the time for comments on the Final FCR Report.  The ruling stated that once CAISO filed the Final FCR Report into the proceeding, parties would have until the end of the second business day to file responsive comments.</w:t>
      </w:r>
    </w:p>
    <w:p w:rsidRPr="00097721" w:rsidR="00026DE3" w:rsidP="0096557C" w:rsidRDefault="00B133FF" w14:paraId="456367C4" w14:textId="402A155A">
      <w:pPr>
        <w:pStyle w:val="Standard"/>
      </w:pPr>
      <w:r w:rsidRPr="00097721">
        <w:t xml:space="preserve">The Final FCR Report was </w:t>
      </w:r>
      <w:r w:rsidRPr="00097721" w:rsidR="00C31787">
        <w:t>submitted</w:t>
      </w:r>
      <w:r w:rsidRPr="00097721">
        <w:t xml:space="preserve"> </w:t>
      </w:r>
      <w:r w:rsidRPr="00097721" w:rsidR="00C31787">
        <w:t xml:space="preserve">by CAISO </w:t>
      </w:r>
      <w:r w:rsidRPr="00097721">
        <w:t xml:space="preserve">on </w:t>
      </w:r>
      <w:r w:rsidRPr="00097721" w:rsidR="006D77A6">
        <w:t>May 13, 2024</w:t>
      </w:r>
      <w:r w:rsidRPr="00097721">
        <w:t xml:space="preserve">.  </w:t>
      </w:r>
      <w:r w:rsidRPr="00097721" w:rsidR="002A1CB7">
        <w:t>No c</w:t>
      </w:r>
      <w:r w:rsidRPr="00097721" w:rsidR="00026DE3">
        <w:t xml:space="preserve">omments on the Final FCR Report were filed.  </w:t>
      </w:r>
    </w:p>
    <w:p w:rsidRPr="00097721" w:rsidR="00D7620B" w:rsidP="002138C7" w:rsidRDefault="00B133FF" w14:paraId="354E203E" w14:textId="468B10BE">
      <w:pPr>
        <w:pStyle w:val="Standard"/>
      </w:pPr>
      <w:r w:rsidRPr="00097721">
        <w:t xml:space="preserve">The Final FCR Report contains the following figures for </w:t>
      </w:r>
      <w:r w:rsidRPr="00097721" w:rsidR="00706CD9">
        <w:t>2025</w:t>
      </w:r>
      <w:r w:rsidRPr="00097721">
        <w:t xml:space="preserve">, with the </w:t>
      </w:r>
      <w:r w:rsidRPr="00097721" w:rsidR="00706CD9">
        <w:t>2024</w:t>
      </w:r>
      <w:r w:rsidRPr="00097721">
        <w:t xml:space="preserve"> FCR figures provided for comparison.</w:t>
      </w:r>
    </w:p>
    <w:tbl>
      <w:tblPr>
        <w:tblW w:w="5054" w:type="pct"/>
        <w:jc w:val="center"/>
        <w:tblLook w:val="04A0" w:firstRow="1" w:lastRow="0" w:firstColumn="1" w:lastColumn="0" w:noHBand="0" w:noVBand="1"/>
      </w:tblPr>
      <w:tblGrid>
        <w:gridCol w:w="1430"/>
        <w:gridCol w:w="1656"/>
        <w:gridCol w:w="1656"/>
        <w:gridCol w:w="1501"/>
        <w:gridCol w:w="1631"/>
        <w:gridCol w:w="1567"/>
      </w:tblGrid>
      <w:tr w:rsidRPr="00097721" w:rsidR="00097721" w:rsidTr="00BF5ACF" w14:paraId="7A289764" w14:textId="77777777">
        <w:trPr>
          <w:trHeight w:val="510"/>
          <w:jc w:val="center"/>
        </w:trPr>
        <w:tc>
          <w:tcPr>
            <w:tcW w:w="5000" w:type="pct"/>
            <w:gridSpan w:val="6"/>
            <w:tcBorders>
              <w:top w:val="single" w:color="auto" w:sz="8" w:space="0"/>
              <w:left w:val="single" w:color="auto" w:sz="8" w:space="0"/>
              <w:bottom w:val="nil"/>
              <w:right w:val="single" w:color="auto" w:sz="8" w:space="0"/>
            </w:tcBorders>
            <w:vAlign w:val="center"/>
            <w:hideMark/>
          </w:tcPr>
          <w:p w:rsidRPr="00097721" w:rsidR="002138C7" w:rsidP="00BF5ACF" w:rsidRDefault="002138C7" w14:paraId="67EC954D" w14:textId="00C376FD">
            <w:pPr>
              <w:keepNext/>
              <w:keepLines/>
              <w:spacing w:after="120" w:line="240" w:lineRule="auto"/>
              <w:jc w:val="center"/>
              <w:rPr>
                <w:b/>
                <w:bCs/>
                <w:sz w:val="24"/>
                <w:szCs w:val="24"/>
              </w:rPr>
            </w:pPr>
            <w:r w:rsidRPr="00097721">
              <w:rPr>
                <w:b/>
                <w:bCs/>
                <w:sz w:val="24"/>
                <w:szCs w:val="24"/>
              </w:rPr>
              <w:t>2025 Flexible Capacity Requirements</w:t>
            </w:r>
          </w:p>
        </w:tc>
      </w:tr>
      <w:tr w:rsidRPr="00097721" w:rsidR="00097721" w:rsidTr="00BF5ACF" w14:paraId="4D8DD21C" w14:textId="77777777">
        <w:trPr>
          <w:trHeight w:val="510"/>
          <w:jc w:val="center"/>
        </w:trPr>
        <w:tc>
          <w:tcPr>
            <w:tcW w:w="757" w:type="pct"/>
            <w:vMerge w:val="restart"/>
            <w:tcBorders>
              <w:top w:val="single" w:color="auto" w:sz="8" w:space="0"/>
              <w:left w:val="single" w:color="auto" w:sz="8" w:space="0"/>
              <w:bottom w:val="single" w:color="000000" w:sz="8" w:space="0"/>
              <w:right w:val="single" w:color="auto" w:sz="8" w:space="0"/>
            </w:tcBorders>
            <w:vAlign w:val="center"/>
            <w:hideMark/>
          </w:tcPr>
          <w:p w:rsidRPr="00097721" w:rsidR="002138C7" w:rsidP="00BF5ACF" w:rsidRDefault="002138C7" w14:paraId="0244D12A" w14:textId="77777777">
            <w:pPr>
              <w:keepNext/>
              <w:keepLines/>
              <w:spacing w:after="120" w:line="240" w:lineRule="auto"/>
              <w:ind w:firstLine="0"/>
              <w:rPr>
                <w:b/>
                <w:bCs/>
                <w:sz w:val="24"/>
                <w:szCs w:val="24"/>
              </w:rPr>
            </w:pPr>
            <w:r w:rsidRPr="00097721">
              <w:rPr>
                <w:b/>
                <w:bCs/>
                <w:sz w:val="24"/>
                <w:szCs w:val="24"/>
              </w:rPr>
              <w:t>NOTE: All numbers are in Megawatts</w:t>
            </w:r>
          </w:p>
        </w:tc>
        <w:tc>
          <w:tcPr>
            <w:tcW w:w="877" w:type="pct"/>
            <w:vMerge w:val="restart"/>
            <w:tcBorders>
              <w:top w:val="single" w:color="auto" w:sz="8" w:space="0"/>
              <w:left w:val="single" w:color="auto" w:sz="8" w:space="0"/>
              <w:bottom w:val="single" w:color="000000" w:sz="8" w:space="0"/>
              <w:right w:val="single" w:color="auto" w:sz="8" w:space="0"/>
            </w:tcBorders>
            <w:vAlign w:val="center"/>
            <w:hideMark/>
          </w:tcPr>
          <w:p w:rsidRPr="00097721" w:rsidR="002138C7" w:rsidP="00BF5ACF" w:rsidRDefault="002138C7" w14:paraId="2518F939" w14:textId="77777777">
            <w:pPr>
              <w:keepNext/>
              <w:keepLines/>
              <w:spacing w:after="120" w:line="240" w:lineRule="auto"/>
              <w:ind w:firstLine="0"/>
              <w:jc w:val="center"/>
              <w:rPr>
                <w:b/>
                <w:bCs/>
                <w:sz w:val="24"/>
                <w:szCs w:val="24"/>
              </w:rPr>
            </w:pPr>
            <w:r w:rsidRPr="00097721">
              <w:rPr>
                <w:b/>
                <w:bCs/>
                <w:sz w:val="24"/>
                <w:szCs w:val="24"/>
              </w:rPr>
              <w:t>CAISO System Flexible Requirement</w:t>
            </w:r>
          </w:p>
        </w:tc>
        <w:tc>
          <w:tcPr>
            <w:tcW w:w="877" w:type="pct"/>
            <w:vMerge w:val="restart"/>
            <w:tcBorders>
              <w:top w:val="single" w:color="auto" w:sz="8" w:space="0"/>
              <w:left w:val="nil"/>
              <w:bottom w:val="single" w:color="auto" w:sz="4" w:space="0"/>
              <w:right w:val="single" w:color="auto" w:sz="8" w:space="0"/>
            </w:tcBorders>
            <w:vAlign w:val="center"/>
          </w:tcPr>
          <w:p w:rsidRPr="00097721" w:rsidR="002138C7" w:rsidP="00BF5ACF" w:rsidRDefault="002138C7" w14:paraId="4A1DC5B1" w14:textId="77777777">
            <w:pPr>
              <w:keepNext/>
              <w:keepLines/>
              <w:spacing w:after="120" w:line="240" w:lineRule="auto"/>
              <w:ind w:firstLine="0"/>
              <w:jc w:val="center"/>
              <w:rPr>
                <w:b/>
                <w:bCs/>
                <w:sz w:val="24"/>
                <w:szCs w:val="24"/>
              </w:rPr>
            </w:pPr>
            <w:r w:rsidRPr="00097721">
              <w:rPr>
                <w:b/>
                <w:bCs/>
                <w:sz w:val="24"/>
                <w:szCs w:val="24"/>
              </w:rPr>
              <w:t>CPUC</w:t>
            </w:r>
          </w:p>
          <w:p w:rsidRPr="00097721" w:rsidR="002138C7" w:rsidP="00BF5ACF" w:rsidRDefault="002138C7" w14:paraId="7335FACE" w14:textId="77777777">
            <w:pPr>
              <w:keepNext/>
              <w:keepLines/>
              <w:spacing w:after="120" w:line="240" w:lineRule="auto"/>
              <w:ind w:firstLine="0"/>
              <w:jc w:val="center"/>
              <w:rPr>
                <w:b/>
                <w:bCs/>
                <w:sz w:val="24"/>
                <w:szCs w:val="24"/>
              </w:rPr>
            </w:pPr>
            <w:r w:rsidRPr="00097721">
              <w:rPr>
                <w:b/>
                <w:bCs/>
                <w:sz w:val="24"/>
                <w:szCs w:val="24"/>
              </w:rPr>
              <w:t>Flexible Requirement</w:t>
            </w:r>
          </w:p>
        </w:tc>
        <w:tc>
          <w:tcPr>
            <w:tcW w:w="2489" w:type="pct"/>
            <w:gridSpan w:val="3"/>
            <w:tcBorders>
              <w:top w:val="single" w:color="auto" w:sz="8" w:space="0"/>
              <w:left w:val="nil"/>
              <w:bottom w:val="single" w:color="auto" w:sz="4" w:space="0"/>
              <w:right w:val="single" w:color="auto" w:sz="8" w:space="0"/>
            </w:tcBorders>
            <w:vAlign w:val="center"/>
            <w:hideMark/>
          </w:tcPr>
          <w:p w:rsidRPr="00097721" w:rsidR="002138C7" w:rsidP="00BF5ACF" w:rsidRDefault="002138C7" w14:paraId="78E39310" w14:textId="77777777">
            <w:pPr>
              <w:keepNext/>
              <w:keepLines/>
              <w:spacing w:after="120" w:line="240" w:lineRule="auto"/>
              <w:ind w:firstLine="0"/>
              <w:jc w:val="center"/>
              <w:rPr>
                <w:b/>
                <w:bCs/>
                <w:sz w:val="24"/>
                <w:szCs w:val="24"/>
              </w:rPr>
            </w:pPr>
            <w:r w:rsidRPr="00097721">
              <w:rPr>
                <w:b/>
                <w:bCs/>
                <w:sz w:val="24"/>
                <w:szCs w:val="24"/>
              </w:rPr>
              <w:t>CPUC</w:t>
            </w:r>
          </w:p>
        </w:tc>
      </w:tr>
      <w:tr w:rsidRPr="00097721" w:rsidR="00097721" w:rsidTr="00BF5ACF" w14:paraId="69469E5E" w14:textId="77777777">
        <w:trPr>
          <w:trHeight w:val="510"/>
          <w:jc w:val="center"/>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097721" w:rsidR="002138C7" w:rsidP="00BF5ACF" w:rsidRDefault="002138C7" w14:paraId="54C25B68" w14:textId="77777777">
            <w:pPr>
              <w:keepNext/>
              <w:spacing w:after="120" w:line="240" w:lineRule="auto"/>
              <w:jc w:val="center"/>
              <w:rPr>
                <w:sz w:val="24"/>
                <w:szCs w:val="24"/>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097721" w:rsidR="002138C7" w:rsidP="00BF5ACF" w:rsidRDefault="002138C7" w14:paraId="3F397973" w14:textId="77777777">
            <w:pPr>
              <w:keepNext/>
              <w:spacing w:after="120" w:line="240" w:lineRule="auto"/>
              <w:jc w:val="center"/>
              <w:rPr>
                <w:b/>
                <w:bCs/>
                <w:sz w:val="24"/>
                <w:szCs w:val="24"/>
              </w:rPr>
            </w:pPr>
          </w:p>
        </w:tc>
        <w:tc>
          <w:tcPr>
            <w:tcW w:w="0" w:type="auto"/>
            <w:vMerge/>
            <w:tcBorders>
              <w:top w:val="single" w:color="auto" w:sz="4" w:space="0"/>
              <w:left w:val="nil"/>
              <w:bottom w:val="single" w:color="auto" w:sz="4" w:space="0"/>
              <w:right w:val="single" w:color="auto" w:sz="8" w:space="0"/>
            </w:tcBorders>
            <w:vAlign w:val="center"/>
            <w:hideMark/>
          </w:tcPr>
          <w:p w:rsidRPr="00097721" w:rsidR="002138C7" w:rsidP="00BF5ACF" w:rsidRDefault="002138C7" w14:paraId="1AF5145C" w14:textId="77777777">
            <w:pPr>
              <w:keepNext/>
              <w:spacing w:after="120" w:line="240" w:lineRule="auto"/>
              <w:jc w:val="center"/>
              <w:rPr>
                <w:b/>
                <w:bCs/>
                <w:sz w:val="24"/>
                <w:szCs w:val="24"/>
              </w:rPr>
            </w:pPr>
          </w:p>
        </w:tc>
        <w:tc>
          <w:tcPr>
            <w:tcW w:w="795" w:type="pct"/>
            <w:tcBorders>
              <w:top w:val="single" w:color="auto" w:sz="4" w:space="0"/>
              <w:left w:val="nil"/>
              <w:bottom w:val="single" w:color="auto" w:sz="4" w:space="0"/>
              <w:right w:val="single" w:color="auto" w:sz="8" w:space="0"/>
            </w:tcBorders>
            <w:vAlign w:val="center"/>
          </w:tcPr>
          <w:p w:rsidRPr="00097721" w:rsidR="002138C7" w:rsidP="00BF5ACF" w:rsidRDefault="002138C7" w14:paraId="471AD042" w14:textId="77777777">
            <w:pPr>
              <w:keepNext/>
              <w:keepLines/>
              <w:spacing w:after="120" w:line="240" w:lineRule="auto"/>
              <w:ind w:firstLine="0"/>
              <w:jc w:val="center"/>
              <w:rPr>
                <w:b/>
                <w:bCs/>
                <w:sz w:val="24"/>
                <w:szCs w:val="24"/>
              </w:rPr>
            </w:pPr>
            <w:r w:rsidRPr="00097721">
              <w:rPr>
                <w:b/>
                <w:bCs/>
                <w:sz w:val="24"/>
                <w:szCs w:val="24"/>
              </w:rPr>
              <w:t>Category 1</w:t>
            </w:r>
          </w:p>
          <w:p w:rsidRPr="00097721" w:rsidR="002138C7" w:rsidP="00BF5ACF" w:rsidRDefault="002138C7" w14:paraId="6AB44EB6" w14:textId="77777777">
            <w:pPr>
              <w:keepNext/>
              <w:keepLines/>
              <w:spacing w:after="120" w:line="240" w:lineRule="auto"/>
              <w:ind w:firstLine="0"/>
              <w:jc w:val="center"/>
              <w:rPr>
                <w:b/>
                <w:bCs/>
                <w:sz w:val="24"/>
                <w:szCs w:val="24"/>
              </w:rPr>
            </w:pPr>
            <w:r w:rsidRPr="00097721">
              <w:rPr>
                <w:b/>
                <w:bCs/>
                <w:sz w:val="24"/>
                <w:szCs w:val="24"/>
              </w:rPr>
              <w:t>(minimum)</w:t>
            </w:r>
          </w:p>
        </w:tc>
        <w:tc>
          <w:tcPr>
            <w:tcW w:w="864" w:type="pct"/>
            <w:tcBorders>
              <w:top w:val="single" w:color="auto" w:sz="4" w:space="0"/>
              <w:left w:val="nil"/>
              <w:bottom w:val="single" w:color="auto" w:sz="4" w:space="0"/>
              <w:right w:val="single" w:color="auto" w:sz="8" w:space="0"/>
            </w:tcBorders>
            <w:vAlign w:val="center"/>
          </w:tcPr>
          <w:p w:rsidRPr="00097721" w:rsidR="002138C7" w:rsidP="00BF5ACF" w:rsidRDefault="002138C7" w14:paraId="223C9B0C" w14:textId="77777777">
            <w:pPr>
              <w:keepNext/>
              <w:keepLines/>
              <w:spacing w:after="120" w:line="240" w:lineRule="auto"/>
              <w:ind w:firstLine="0"/>
              <w:jc w:val="center"/>
              <w:rPr>
                <w:b/>
                <w:bCs/>
                <w:sz w:val="24"/>
                <w:szCs w:val="24"/>
              </w:rPr>
            </w:pPr>
            <w:r w:rsidRPr="00097721">
              <w:rPr>
                <w:b/>
                <w:bCs/>
                <w:sz w:val="24"/>
                <w:szCs w:val="24"/>
              </w:rPr>
              <w:t>Category 2</w:t>
            </w:r>
          </w:p>
          <w:p w:rsidRPr="00097721" w:rsidR="002138C7" w:rsidP="00BF5ACF" w:rsidRDefault="002138C7" w14:paraId="0A14E9AA" w14:textId="77777777">
            <w:pPr>
              <w:keepNext/>
              <w:keepLines/>
              <w:spacing w:after="120" w:line="240" w:lineRule="auto"/>
              <w:ind w:firstLine="0"/>
              <w:jc w:val="center"/>
              <w:rPr>
                <w:b/>
                <w:bCs/>
                <w:sz w:val="24"/>
                <w:szCs w:val="24"/>
              </w:rPr>
            </w:pPr>
            <w:r w:rsidRPr="00097721">
              <w:rPr>
                <w:b/>
                <w:bCs/>
                <w:sz w:val="24"/>
                <w:szCs w:val="24"/>
              </w:rPr>
              <w:t>(100% less Cat. 1 &amp; 3)</w:t>
            </w:r>
          </w:p>
        </w:tc>
        <w:tc>
          <w:tcPr>
            <w:tcW w:w="830" w:type="pct"/>
            <w:tcBorders>
              <w:top w:val="single" w:color="auto" w:sz="4" w:space="0"/>
              <w:left w:val="nil"/>
              <w:bottom w:val="single" w:color="auto" w:sz="4" w:space="0"/>
              <w:right w:val="single" w:color="auto" w:sz="8" w:space="0"/>
            </w:tcBorders>
            <w:vAlign w:val="center"/>
          </w:tcPr>
          <w:p w:rsidRPr="00097721" w:rsidR="002138C7" w:rsidP="00BF5ACF" w:rsidRDefault="002138C7" w14:paraId="5F54CB1D" w14:textId="77777777">
            <w:pPr>
              <w:keepNext/>
              <w:keepLines/>
              <w:spacing w:after="120" w:line="240" w:lineRule="auto"/>
              <w:ind w:firstLine="0"/>
              <w:jc w:val="center"/>
              <w:rPr>
                <w:b/>
                <w:bCs/>
                <w:sz w:val="24"/>
                <w:szCs w:val="24"/>
              </w:rPr>
            </w:pPr>
            <w:r w:rsidRPr="00097721">
              <w:rPr>
                <w:b/>
                <w:bCs/>
                <w:sz w:val="24"/>
                <w:szCs w:val="24"/>
              </w:rPr>
              <w:t>Category 3</w:t>
            </w:r>
          </w:p>
          <w:p w:rsidRPr="00097721" w:rsidR="002138C7" w:rsidP="00BF5ACF" w:rsidRDefault="002138C7" w14:paraId="530105C1" w14:textId="77777777">
            <w:pPr>
              <w:keepNext/>
              <w:keepLines/>
              <w:spacing w:after="120" w:line="240" w:lineRule="auto"/>
              <w:ind w:firstLine="0"/>
              <w:jc w:val="center"/>
              <w:rPr>
                <w:b/>
                <w:bCs/>
                <w:sz w:val="24"/>
                <w:szCs w:val="24"/>
              </w:rPr>
            </w:pPr>
            <w:r w:rsidRPr="00097721">
              <w:rPr>
                <w:b/>
                <w:bCs/>
                <w:sz w:val="24"/>
                <w:szCs w:val="24"/>
              </w:rPr>
              <w:t>(maximum)</w:t>
            </w:r>
          </w:p>
        </w:tc>
      </w:tr>
      <w:tr w:rsidRPr="00097721" w:rsidR="00097721" w:rsidTr="00F428FE" w14:paraId="5A5FBACF"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55367382" w14:textId="77777777">
            <w:pPr>
              <w:keepNext/>
              <w:keepLines/>
              <w:spacing w:after="120" w:line="240" w:lineRule="auto"/>
              <w:ind w:firstLine="0"/>
              <w:rPr>
                <w:sz w:val="24"/>
                <w:szCs w:val="24"/>
              </w:rPr>
            </w:pPr>
            <w:r w:rsidRPr="00097721">
              <w:rPr>
                <w:sz w:val="24"/>
                <w:szCs w:val="24"/>
              </w:rPr>
              <w:t>January</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24FA29A1" w14:textId="59C74363">
            <w:pPr>
              <w:keepNext/>
              <w:spacing w:after="120" w:line="240" w:lineRule="auto"/>
              <w:jc w:val="center"/>
              <w:rPr>
                <w:sz w:val="24"/>
                <w:szCs w:val="24"/>
              </w:rPr>
            </w:pPr>
            <w:r w:rsidRPr="00097721">
              <w:rPr>
                <w:rFonts w:eastAsia="Times New Roman" w:cs="Times New Roman"/>
                <w:sz w:val="24"/>
                <w:szCs w:val="24"/>
              </w:rPr>
              <w:t>22704</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2C1BD271" w14:textId="2849D10F">
            <w:pPr>
              <w:keepNext/>
              <w:spacing w:after="120" w:line="240" w:lineRule="auto"/>
              <w:ind w:firstLine="0"/>
              <w:jc w:val="center"/>
              <w:rPr>
                <w:sz w:val="24"/>
                <w:szCs w:val="24"/>
              </w:rPr>
            </w:pPr>
            <w:r w:rsidRPr="00097721">
              <w:rPr>
                <w:rFonts w:eastAsia="Times New Roman" w:cs="Times New Roman"/>
                <w:sz w:val="24"/>
                <w:szCs w:val="24"/>
              </w:rPr>
              <w:t>21830</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4265016F" w14:textId="3C7DE2B6">
            <w:pPr>
              <w:keepNext/>
              <w:spacing w:after="120" w:line="240" w:lineRule="auto"/>
              <w:ind w:firstLine="0"/>
              <w:jc w:val="center"/>
              <w:rPr>
                <w:sz w:val="24"/>
                <w:szCs w:val="24"/>
              </w:rPr>
            </w:pPr>
            <w:r w:rsidRPr="00097721">
              <w:rPr>
                <w:rFonts w:eastAsia="Times New Roman" w:cs="Times New Roman"/>
                <w:sz w:val="24"/>
                <w:szCs w:val="24"/>
              </w:rPr>
              <w:t>6238</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37F4C4A2" w14:textId="7A8DB7FB">
            <w:pPr>
              <w:keepNext/>
              <w:spacing w:after="120" w:line="240" w:lineRule="auto"/>
              <w:ind w:firstLine="0"/>
              <w:jc w:val="center"/>
              <w:rPr>
                <w:sz w:val="24"/>
                <w:szCs w:val="24"/>
              </w:rPr>
            </w:pPr>
            <w:r w:rsidRPr="00097721">
              <w:rPr>
                <w:rFonts w:eastAsia="Times New Roman" w:cs="Times New Roman"/>
                <w:sz w:val="24"/>
                <w:szCs w:val="24"/>
              </w:rPr>
              <w:t>14500</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4428555D" w14:textId="63AD8E61">
            <w:pPr>
              <w:keepNext/>
              <w:spacing w:after="120" w:line="240" w:lineRule="auto"/>
              <w:ind w:firstLine="0"/>
              <w:jc w:val="center"/>
              <w:rPr>
                <w:sz w:val="24"/>
                <w:szCs w:val="24"/>
              </w:rPr>
            </w:pPr>
            <w:r w:rsidRPr="00097721">
              <w:rPr>
                <w:rFonts w:eastAsia="Times New Roman" w:cs="Times New Roman"/>
                <w:sz w:val="24"/>
                <w:szCs w:val="24"/>
              </w:rPr>
              <w:t>1091</w:t>
            </w:r>
          </w:p>
        </w:tc>
      </w:tr>
      <w:tr w:rsidRPr="00097721" w:rsidR="00097721" w:rsidTr="00F428FE" w14:paraId="0EAA7400"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258E71DD" w14:textId="77777777">
            <w:pPr>
              <w:keepNext/>
              <w:keepLines/>
              <w:spacing w:after="120" w:line="240" w:lineRule="auto"/>
              <w:ind w:firstLine="0"/>
              <w:rPr>
                <w:sz w:val="24"/>
                <w:szCs w:val="24"/>
              </w:rPr>
            </w:pPr>
            <w:r w:rsidRPr="00097721">
              <w:rPr>
                <w:sz w:val="24"/>
                <w:szCs w:val="24"/>
              </w:rPr>
              <w:t>February</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64B2FCE1" w14:textId="60447298">
            <w:pPr>
              <w:keepNext/>
              <w:spacing w:after="120" w:line="240" w:lineRule="auto"/>
              <w:jc w:val="center"/>
              <w:rPr>
                <w:sz w:val="24"/>
                <w:szCs w:val="24"/>
              </w:rPr>
            </w:pPr>
            <w:r w:rsidRPr="00097721">
              <w:rPr>
                <w:rFonts w:eastAsia="Times New Roman" w:cs="Times New Roman"/>
                <w:sz w:val="24"/>
                <w:szCs w:val="24"/>
              </w:rPr>
              <w:t>22568</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419C3C86" w14:textId="6EC5197D">
            <w:pPr>
              <w:keepNext/>
              <w:spacing w:after="120" w:line="240" w:lineRule="auto"/>
              <w:ind w:firstLine="0"/>
              <w:jc w:val="center"/>
              <w:rPr>
                <w:sz w:val="24"/>
                <w:szCs w:val="24"/>
              </w:rPr>
            </w:pPr>
            <w:r w:rsidRPr="00097721">
              <w:rPr>
                <w:rFonts w:eastAsia="Times New Roman" w:cs="Times New Roman"/>
                <w:sz w:val="24"/>
                <w:szCs w:val="24"/>
              </w:rPr>
              <w:t>21783</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21CAB307" w14:textId="49F9FE60">
            <w:pPr>
              <w:keepNext/>
              <w:spacing w:after="120" w:line="240" w:lineRule="auto"/>
              <w:ind w:firstLine="0"/>
              <w:jc w:val="center"/>
              <w:rPr>
                <w:sz w:val="24"/>
                <w:szCs w:val="24"/>
              </w:rPr>
            </w:pPr>
            <w:r w:rsidRPr="00097721">
              <w:rPr>
                <w:rFonts w:eastAsia="Times New Roman" w:cs="Times New Roman"/>
                <w:sz w:val="24"/>
                <w:szCs w:val="24"/>
              </w:rPr>
              <w:t>6224</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7842DEEB" w14:textId="2A07F285">
            <w:pPr>
              <w:keepNext/>
              <w:spacing w:after="120" w:line="240" w:lineRule="auto"/>
              <w:ind w:firstLine="0"/>
              <w:jc w:val="center"/>
              <w:rPr>
                <w:sz w:val="24"/>
                <w:szCs w:val="24"/>
              </w:rPr>
            </w:pPr>
            <w:r w:rsidRPr="00097721">
              <w:rPr>
                <w:rFonts w:eastAsia="Times New Roman" w:cs="Times New Roman"/>
                <w:sz w:val="24"/>
                <w:szCs w:val="24"/>
              </w:rPr>
              <w:t>14469</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386ED33C" w14:textId="3E02EC2E">
            <w:pPr>
              <w:keepNext/>
              <w:spacing w:after="120" w:line="240" w:lineRule="auto"/>
              <w:ind w:firstLine="0"/>
              <w:jc w:val="center"/>
              <w:rPr>
                <w:sz w:val="24"/>
                <w:szCs w:val="24"/>
              </w:rPr>
            </w:pPr>
            <w:r w:rsidRPr="00097721">
              <w:rPr>
                <w:rFonts w:eastAsia="Times New Roman" w:cs="Times New Roman"/>
                <w:sz w:val="24"/>
                <w:szCs w:val="24"/>
              </w:rPr>
              <w:t>1089</w:t>
            </w:r>
          </w:p>
        </w:tc>
      </w:tr>
      <w:tr w:rsidRPr="00097721" w:rsidR="00097721" w:rsidTr="00F428FE" w14:paraId="78444AF0"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3C30D740" w14:textId="77777777">
            <w:pPr>
              <w:keepNext/>
              <w:keepLines/>
              <w:spacing w:after="120" w:line="240" w:lineRule="auto"/>
              <w:ind w:firstLine="0"/>
              <w:rPr>
                <w:sz w:val="24"/>
                <w:szCs w:val="24"/>
              </w:rPr>
            </w:pPr>
            <w:r w:rsidRPr="00097721">
              <w:rPr>
                <w:sz w:val="24"/>
                <w:szCs w:val="24"/>
              </w:rPr>
              <w:t>March</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38BE9562" w14:textId="4B936A32">
            <w:pPr>
              <w:keepNext/>
              <w:spacing w:after="120" w:line="240" w:lineRule="auto"/>
              <w:jc w:val="center"/>
              <w:rPr>
                <w:sz w:val="24"/>
                <w:szCs w:val="24"/>
              </w:rPr>
            </w:pPr>
            <w:r w:rsidRPr="00097721">
              <w:rPr>
                <w:rFonts w:eastAsia="Times New Roman" w:cs="Times New Roman"/>
                <w:sz w:val="24"/>
                <w:szCs w:val="24"/>
              </w:rPr>
              <w:t>20533</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02758FFF" w14:textId="3AC2F00B">
            <w:pPr>
              <w:keepNext/>
              <w:spacing w:after="120" w:line="240" w:lineRule="auto"/>
              <w:ind w:firstLine="0"/>
              <w:jc w:val="center"/>
              <w:rPr>
                <w:sz w:val="24"/>
                <w:szCs w:val="24"/>
              </w:rPr>
            </w:pPr>
            <w:r w:rsidRPr="00097721">
              <w:rPr>
                <w:rFonts w:eastAsia="Times New Roman" w:cs="Times New Roman"/>
                <w:sz w:val="24"/>
                <w:szCs w:val="24"/>
              </w:rPr>
              <w:t>19708</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7321D05F" w14:textId="31141E3F">
            <w:pPr>
              <w:keepNext/>
              <w:spacing w:after="120" w:line="240" w:lineRule="auto"/>
              <w:ind w:firstLine="0"/>
              <w:jc w:val="center"/>
              <w:rPr>
                <w:sz w:val="24"/>
                <w:szCs w:val="24"/>
              </w:rPr>
            </w:pPr>
            <w:r w:rsidRPr="00097721">
              <w:rPr>
                <w:rFonts w:eastAsia="Times New Roman" w:cs="Times New Roman"/>
                <w:sz w:val="24"/>
                <w:szCs w:val="24"/>
              </w:rPr>
              <w:t>5631</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7343C931" w14:textId="069C5C55">
            <w:pPr>
              <w:keepNext/>
              <w:spacing w:after="120" w:line="240" w:lineRule="auto"/>
              <w:ind w:firstLine="0"/>
              <w:jc w:val="center"/>
              <w:rPr>
                <w:sz w:val="24"/>
                <w:szCs w:val="24"/>
              </w:rPr>
            </w:pPr>
            <w:r w:rsidRPr="00097721">
              <w:rPr>
                <w:rFonts w:eastAsia="Times New Roman" w:cs="Times New Roman"/>
                <w:sz w:val="24"/>
                <w:szCs w:val="24"/>
              </w:rPr>
              <w:t>13091</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0A8A5750" w14:textId="7E1E66EF">
            <w:pPr>
              <w:keepNext/>
              <w:spacing w:after="120" w:line="240" w:lineRule="auto"/>
              <w:ind w:firstLine="0"/>
              <w:jc w:val="center"/>
              <w:rPr>
                <w:sz w:val="24"/>
                <w:szCs w:val="24"/>
              </w:rPr>
            </w:pPr>
            <w:r w:rsidRPr="00097721">
              <w:rPr>
                <w:rFonts w:eastAsia="Times New Roman" w:cs="Times New Roman"/>
                <w:sz w:val="24"/>
                <w:szCs w:val="24"/>
              </w:rPr>
              <w:t>985</w:t>
            </w:r>
          </w:p>
        </w:tc>
      </w:tr>
      <w:tr w:rsidRPr="00097721" w:rsidR="00097721" w:rsidTr="00F428FE" w14:paraId="68C9EB85"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6EFBBFD6" w14:textId="77777777">
            <w:pPr>
              <w:keepNext/>
              <w:keepLines/>
              <w:spacing w:after="120" w:line="240" w:lineRule="auto"/>
              <w:ind w:firstLine="0"/>
              <w:rPr>
                <w:sz w:val="24"/>
                <w:szCs w:val="24"/>
              </w:rPr>
            </w:pPr>
            <w:r w:rsidRPr="00097721">
              <w:rPr>
                <w:sz w:val="24"/>
                <w:szCs w:val="24"/>
              </w:rPr>
              <w:t>April</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4AFB6F40" w14:textId="4CD097B8">
            <w:pPr>
              <w:keepNext/>
              <w:spacing w:after="120" w:line="240" w:lineRule="auto"/>
              <w:jc w:val="center"/>
              <w:rPr>
                <w:sz w:val="24"/>
                <w:szCs w:val="24"/>
              </w:rPr>
            </w:pPr>
            <w:r w:rsidRPr="00097721">
              <w:rPr>
                <w:rFonts w:eastAsia="Times New Roman" w:cs="Times New Roman"/>
                <w:sz w:val="24"/>
                <w:szCs w:val="24"/>
              </w:rPr>
              <w:t>25191</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2AE7C37E" w14:textId="72678780">
            <w:pPr>
              <w:keepNext/>
              <w:spacing w:after="120" w:line="240" w:lineRule="auto"/>
              <w:ind w:firstLine="0"/>
              <w:jc w:val="center"/>
              <w:rPr>
                <w:sz w:val="24"/>
                <w:szCs w:val="24"/>
              </w:rPr>
            </w:pPr>
            <w:r w:rsidRPr="00097721">
              <w:rPr>
                <w:rFonts w:eastAsia="Times New Roman" w:cs="Times New Roman"/>
                <w:sz w:val="24"/>
                <w:szCs w:val="24"/>
              </w:rPr>
              <w:t>23818</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18437911" w14:textId="36251136">
            <w:pPr>
              <w:keepNext/>
              <w:spacing w:after="120" w:line="240" w:lineRule="auto"/>
              <w:ind w:firstLine="0"/>
              <w:jc w:val="center"/>
              <w:rPr>
                <w:sz w:val="24"/>
                <w:szCs w:val="24"/>
              </w:rPr>
            </w:pPr>
            <w:r w:rsidRPr="00097721">
              <w:rPr>
                <w:rFonts w:eastAsia="Times New Roman" w:cs="Times New Roman"/>
                <w:sz w:val="24"/>
                <w:szCs w:val="24"/>
              </w:rPr>
              <w:t>6806</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6F882ECE" w14:textId="196A0B3E">
            <w:pPr>
              <w:keepNext/>
              <w:spacing w:after="120" w:line="240" w:lineRule="auto"/>
              <w:ind w:firstLine="0"/>
              <w:jc w:val="center"/>
              <w:rPr>
                <w:sz w:val="24"/>
                <w:szCs w:val="24"/>
              </w:rPr>
            </w:pPr>
            <w:r w:rsidRPr="00097721">
              <w:rPr>
                <w:rFonts w:eastAsia="Times New Roman" w:cs="Times New Roman"/>
                <w:sz w:val="24"/>
                <w:szCs w:val="24"/>
              </w:rPr>
              <w:t>15821</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5678866D" w14:textId="2D7DE85E">
            <w:pPr>
              <w:keepNext/>
              <w:spacing w:after="120" w:line="240" w:lineRule="auto"/>
              <w:ind w:firstLine="0"/>
              <w:jc w:val="center"/>
              <w:rPr>
                <w:sz w:val="24"/>
                <w:szCs w:val="24"/>
              </w:rPr>
            </w:pPr>
            <w:r w:rsidRPr="00097721">
              <w:rPr>
                <w:rFonts w:eastAsia="Times New Roman" w:cs="Times New Roman"/>
                <w:sz w:val="24"/>
                <w:szCs w:val="24"/>
              </w:rPr>
              <w:t>1191</w:t>
            </w:r>
          </w:p>
        </w:tc>
      </w:tr>
      <w:tr w:rsidRPr="00097721" w:rsidR="00097721" w:rsidTr="00F428FE" w14:paraId="0557E524"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255D4B0C" w14:textId="77777777">
            <w:pPr>
              <w:keepNext/>
              <w:keepLines/>
              <w:spacing w:after="120" w:line="240" w:lineRule="auto"/>
              <w:ind w:firstLine="0"/>
              <w:rPr>
                <w:sz w:val="24"/>
                <w:szCs w:val="24"/>
              </w:rPr>
            </w:pPr>
            <w:r w:rsidRPr="00097721">
              <w:rPr>
                <w:sz w:val="24"/>
                <w:szCs w:val="24"/>
              </w:rPr>
              <w:t>May</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0714DD43" w14:textId="33010B7A">
            <w:pPr>
              <w:keepNext/>
              <w:spacing w:after="120" w:line="240" w:lineRule="auto"/>
              <w:jc w:val="center"/>
              <w:rPr>
                <w:sz w:val="24"/>
                <w:szCs w:val="24"/>
              </w:rPr>
            </w:pPr>
            <w:r w:rsidRPr="00097721">
              <w:rPr>
                <w:rFonts w:eastAsia="Times New Roman" w:cs="Times New Roman"/>
                <w:sz w:val="24"/>
                <w:szCs w:val="24"/>
              </w:rPr>
              <w:t>24740</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4678F4E8" w14:textId="19EED89D">
            <w:pPr>
              <w:keepNext/>
              <w:spacing w:after="120" w:line="240" w:lineRule="auto"/>
              <w:ind w:firstLine="0"/>
              <w:jc w:val="center"/>
              <w:rPr>
                <w:sz w:val="24"/>
                <w:szCs w:val="24"/>
              </w:rPr>
            </w:pPr>
            <w:r w:rsidRPr="00097721">
              <w:rPr>
                <w:rFonts w:eastAsia="Times New Roman" w:cs="Times New Roman"/>
                <w:sz w:val="24"/>
                <w:szCs w:val="24"/>
              </w:rPr>
              <w:t>23501</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29585082" w14:textId="32EAB17F">
            <w:pPr>
              <w:keepNext/>
              <w:spacing w:after="120" w:line="240" w:lineRule="auto"/>
              <w:ind w:firstLine="0"/>
              <w:jc w:val="center"/>
              <w:rPr>
                <w:sz w:val="24"/>
                <w:szCs w:val="24"/>
              </w:rPr>
            </w:pPr>
            <w:r w:rsidRPr="00097721">
              <w:rPr>
                <w:rFonts w:eastAsia="Times New Roman" w:cs="Times New Roman"/>
                <w:sz w:val="24"/>
                <w:szCs w:val="24"/>
              </w:rPr>
              <w:t>9568</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3C15581B" w14:textId="7A9B727A">
            <w:pPr>
              <w:keepNext/>
              <w:spacing w:after="120" w:line="240" w:lineRule="auto"/>
              <w:ind w:firstLine="0"/>
              <w:jc w:val="center"/>
              <w:rPr>
                <w:sz w:val="24"/>
                <w:szCs w:val="24"/>
              </w:rPr>
            </w:pPr>
            <w:r w:rsidRPr="00097721">
              <w:rPr>
                <w:rFonts w:eastAsia="Times New Roman" w:cs="Times New Roman"/>
                <w:sz w:val="24"/>
                <w:szCs w:val="24"/>
              </w:rPr>
              <w:t>12759</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19E1C539" w14:textId="3061850C">
            <w:pPr>
              <w:keepNext/>
              <w:spacing w:after="120" w:line="240" w:lineRule="auto"/>
              <w:ind w:firstLine="0"/>
              <w:jc w:val="center"/>
              <w:rPr>
                <w:sz w:val="24"/>
                <w:szCs w:val="24"/>
              </w:rPr>
            </w:pPr>
            <w:r w:rsidRPr="00097721">
              <w:rPr>
                <w:rFonts w:eastAsia="Times New Roman" w:cs="Times New Roman"/>
                <w:sz w:val="24"/>
                <w:szCs w:val="24"/>
              </w:rPr>
              <w:t>1175</w:t>
            </w:r>
          </w:p>
        </w:tc>
      </w:tr>
      <w:tr w:rsidRPr="00097721" w:rsidR="00097721" w:rsidTr="00F428FE" w14:paraId="6A8497BA"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17FE49DB" w14:textId="77777777">
            <w:pPr>
              <w:keepNext/>
              <w:keepLines/>
              <w:spacing w:after="120" w:line="240" w:lineRule="auto"/>
              <w:ind w:firstLine="0"/>
              <w:rPr>
                <w:sz w:val="24"/>
                <w:szCs w:val="24"/>
              </w:rPr>
            </w:pPr>
            <w:r w:rsidRPr="00097721">
              <w:rPr>
                <w:sz w:val="24"/>
                <w:szCs w:val="24"/>
              </w:rPr>
              <w:t>June</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11641DBE" w14:textId="512C63F3">
            <w:pPr>
              <w:keepNext/>
              <w:spacing w:after="120" w:line="240" w:lineRule="auto"/>
              <w:jc w:val="center"/>
              <w:rPr>
                <w:sz w:val="24"/>
                <w:szCs w:val="24"/>
              </w:rPr>
            </w:pPr>
            <w:r w:rsidRPr="00097721">
              <w:rPr>
                <w:rFonts w:eastAsia="Times New Roman" w:cs="Times New Roman"/>
                <w:sz w:val="24"/>
                <w:szCs w:val="24"/>
              </w:rPr>
              <w:t>23317</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48D5CAEE" w14:textId="2D3E7A32">
            <w:pPr>
              <w:keepNext/>
              <w:spacing w:after="120" w:line="240" w:lineRule="auto"/>
              <w:ind w:firstLine="0"/>
              <w:jc w:val="center"/>
              <w:rPr>
                <w:sz w:val="24"/>
                <w:szCs w:val="24"/>
              </w:rPr>
            </w:pPr>
            <w:r w:rsidRPr="00097721">
              <w:rPr>
                <w:rFonts w:eastAsia="Times New Roman" w:cs="Times New Roman"/>
                <w:sz w:val="24"/>
                <w:szCs w:val="24"/>
              </w:rPr>
              <w:t>22128</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4CD6DC2F" w14:textId="224D5DCA">
            <w:pPr>
              <w:keepNext/>
              <w:spacing w:after="120" w:line="240" w:lineRule="auto"/>
              <w:ind w:firstLine="0"/>
              <w:jc w:val="center"/>
              <w:rPr>
                <w:sz w:val="24"/>
                <w:szCs w:val="24"/>
              </w:rPr>
            </w:pPr>
            <w:r w:rsidRPr="00097721">
              <w:rPr>
                <w:rFonts w:eastAsia="Times New Roman" w:cs="Times New Roman"/>
                <w:sz w:val="24"/>
                <w:szCs w:val="24"/>
              </w:rPr>
              <w:t>9009</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69C9DB1A" w14:textId="4A993FBD">
            <w:pPr>
              <w:keepNext/>
              <w:spacing w:after="120" w:line="240" w:lineRule="auto"/>
              <w:ind w:firstLine="0"/>
              <w:jc w:val="center"/>
              <w:rPr>
                <w:sz w:val="24"/>
                <w:szCs w:val="24"/>
              </w:rPr>
            </w:pPr>
            <w:r w:rsidRPr="00097721">
              <w:rPr>
                <w:rFonts w:eastAsia="Times New Roman" w:cs="Times New Roman"/>
                <w:sz w:val="24"/>
                <w:szCs w:val="24"/>
              </w:rPr>
              <w:t>12013</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7FE76116" w14:textId="4E247FA5">
            <w:pPr>
              <w:keepNext/>
              <w:spacing w:after="120" w:line="240" w:lineRule="auto"/>
              <w:ind w:firstLine="0"/>
              <w:jc w:val="center"/>
              <w:rPr>
                <w:sz w:val="24"/>
                <w:szCs w:val="24"/>
              </w:rPr>
            </w:pPr>
            <w:r w:rsidRPr="00097721">
              <w:rPr>
                <w:rFonts w:eastAsia="Times New Roman" w:cs="Times New Roman"/>
                <w:sz w:val="24"/>
                <w:szCs w:val="24"/>
              </w:rPr>
              <w:t>1106</w:t>
            </w:r>
          </w:p>
        </w:tc>
      </w:tr>
      <w:tr w:rsidRPr="00097721" w:rsidR="00097721" w:rsidTr="00F428FE" w14:paraId="751BA7BE"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7BBDBBD1" w14:textId="77777777">
            <w:pPr>
              <w:keepNext/>
              <w:keepLines/>
              <w:spacing w:after="120" w:line="240" w:lineRule="auto"/>
              <w:ind w:firstLine="0"/>
              <w:rPr>
                <w:sz w:val="24"/>
                <w:szCs w:val="24"/>
              </w:rPr>
            </w:pPr>
            <w:r w:rsidRPr="00097721">
              <w:rPr>
                <w:sz w:val="24"/>
                <w:szCs w:val="24"/>
              </w:rPr>
              <w:t>July</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38DB4DCB" w14:textId="17BAB797">
            <w:pPr>
              <w:keepNext/>
              <w:spacing w:after="120" w:line="240" w:lineRule="auto"/>
              <w:jc w:val="center"/>
              <w:rPr>
                <w:sz w:val="24"/>
                <w:szCs w:val="24"/>
              </w:rPr>
            </w:pPr>
            <w:r w:rsidRPr="00097721">
              <w:rPr>
                <w:rFonts w:eastAsia="Times New Roman" w:cs="Times New Roman"/>
                <w:sz w:val="24"/>
                <w:szCs w:val="24"/>
              </w:rPr>
              <w:t>22869</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50442ACE" w14:textId="3CED1595">
            <w:pPr>
              <w:keepNext/>
              <w:spacing w:after="120" w:line="240" w:lineRule="auto"/>
              <w:ind w:firstLine="0"/>
              <w:jc w:val="center"/>
              <w:rPr>
                <w:sz w:val="24"/>
                <w:szCs w:val="24"/>
              </w:rPr>
            </w:pPr>
            <w:r w:rsidRPr="00097721">
              <w:rPr>
                <w:rFonts w:eastAsia="Times New Roman" w:cs="Times New Roman"/>
                <w:sz w:val="24"/>
                <w:szCs w:val="24"/>
              </w:rPr>
              <w:t>21863</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622AF44E" w14:textId="363FF4F1">
            <w:pPr>
              <w:keepNext/>
              <w:spacing w:after="120" w:line="240" w:lineRule="auto"/>
              <w:ind w:firstLine="0"/>
              <w:jc w:val="center"/>
              <w:rPr>
                <w:sz w:val="24"/>
                <w:szCs w:val="24"/>
              </w:rPr>
            </w:pPr>
            <w:r w:rsidRPr="00097721">
              <w:rPr>
                <w:rFonts w:eastAsia="Times New Roman" w:cs="Times New Roman"/>
                <w:sz w:val="24"/>
                <w:szCs w:val="24"/>
              </w:rPr>
              <w:t>8901</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24EB3B84" w14:textId="1D208F09">
            <w:pPr>
              <w:keepNext/>
              <w:spacing w:after="120" w:line="240" w:lineRule="auto"/>
              <w:ind w:firstLine="0"/>
              <w:jc w:val="center"/>
              <w:rPr>
                <w:sz w:val="24"/>
                <w:szCs w:val="24"/>
              </w:rPr>
            </w:pPr>
            <w:r w:rsidRPr="00097721">
              <w:rPr>
                <w:rFonts w:eastAsia="Times New Roman" w:cs="Times New Roman"/>
                <w:sz w:val="24"/>
                <w:szCs w:val="24"/>
              </w:rPr>
              <w:t>11869</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6F56EEFF" w14:textId="20683A74">
            <w:pPr>
              <w:keepNext/>
              <w:spacing w:after="120" w:line="240" w:lineRule="auto"/>
              <w:ind w:firstLine="0"/>
              <w:jc w:val="center"/>
              <w:rPr>
                <w:sz w:val="24"/>
                <w:szCs w:val="24"/>
              </w:rPr>
            </w:pPr>
            <w:r w:rsidRPr="00097721">
              <w:rPr>
                <w:rFonts w:eastAsia="Times New Roman" w:cs="Times New Roman"/>
                <w:sz w:val="24"/>
                <w:szCs w:val="24"/>
              </w:rPr>
              <w:t>1093</w:t>
            </w:r>
          </w:p>
        </w:tc>
      </w:tr>
      <w:tr w:rsidRPr="00097721" w:rsidR="00097721" w:rsidTr="00F428FE" w14:paraId="2D5CC869"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40FF0EA6" w14:textId="77777777">
            <w:pPr>
              <w:keepNext/>
              <w:keepLines/>
              <w:spacing w:after="120" w:line="240" w:lineRule="auto"/>
              <w:ind w:firstLine="0"/>
              <w:rPr>
                <w:sz w:val="24"/>
                <w:szCs w:val="24"/>
              </w:rPr>
            </w:pPr>
            <w:r w:rsidRPr="00097721">
              <w:rPr>
                <w:sz w:val="24"/>
                <w:szCs w:val="24"/>
              </w:rPr>
              <w:t>August</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13E1BC11" w14:textId="1AF97A7B">
            <w:pPr>
              <w:keepNext/>
              <w:spacing w:after="120" w:line="240" w:lineRule="auto"/>
              <w:jc w:val="center"/>
              <w:rPr>
                <w:sz w:val="24"/>
                <w:szCs w:val="24"/>
              </w:rPr>
            </w:pPr>
            <w:r w:rsidRPr="00097721">
              <w:rPr>
                <w:rFonts w:eastAsia="Times New Roman" w:cs="Times New Roman"/>
                <w:sz w:val="24"/>
                <w:szCs w:val="24"/>
              </w:rPr>
              <w:t>23469</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55F88FC6" w14:textId="7A01BC4D">
            <w:pPr>
              <w:keepNext/>
              <w:spacing w:after="120" w:line="240" w:lineRule="auto"/>
              <w:ind w:firstLine="0"/>
              <w:jc w:val="center"/>
              <w:rPr>
                <w:sz w:val="24"/>
                <w:szCs w:val="24"/>
              </w:rPr>
            </w:pPr>
            <w:r w:rsidRPr="00097721">
              <w:rPr>
                <w:rFonts w:eastAsia="Times New Roman" w:cs="Times New Roman"/>
                <w:sz w:val="24"/>
                <w:szCs w:val="24"/>
              </w:rPr>
              <w:t>22492</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3BB0703A" w14:textId="6DC7D7EC">
            <w:pPr>
              <w:keepNext/>
              <w:spacing w:after="120" w:line="240" w:lineRule="auto"/>
              <w:ind w:firstLine="0"/>
              <w:jc w:val="center"/>
              <w:rPr>
                <w:sz w:val="24"/>
                <w:szCs w:val="24"/>
              </w:rPr>
            </w:pPr>
            <w:r w:rsidRPr="00097721">
              <w:rPr>
                <w:rFonts w:eastAsia="Times New Roman" w:cs="Times New Roman"/>
                <w:sz w:val="24"/>
                <w:szCs w:val="24"/>
              </w:rPr>
              <w:t>9157</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7ACE3DFA" w14:textId="4A5F2D1C">
            <w:pPr>
              <w:keepNext/>
              <w:spacing w:after="120" w:line="240" w:lineRule="auto"/>
              <w:ind w:firstLine="0"/>
              <w:jc w:val="center"/>
              <w:rPr>
                <w:sz w:val="24"/>
                <w:szCs w:val="24"/>
              </w:rPr>
            </w:pPr>
            <w:r w:rsidRPr="00097721">
              <w:rPr>
                <w:rFonts w:eastAsia="Times New Roman" w:cs="Times New Roman"/>
                <w:sz w:val="24"/>
                <w:szCs w:val="24"/>
              </w:rPr>
              <w:t>12211</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552CA903" w14:textId="33E016ED">
            <w:pPr>
              <w:keepNext/>
              <w:spacing w:after="120" w:line="240" w:lineRule="auto"/>
              <w:ind w:firstLine="0"/>
              <w:jc w:val="center"/>
              <w:rPr>
                <w:sz w:val="24"/>
                <w:szCs w:val="24"/>
              </w:rPr>
            </w:pPr>
            <w:r w:rsidRPr="00097721">
              <w:rPr>
                <w:rFonts w:eastAsia="Times New Roman" w:cs="Times New Roman"/>
                <w:sz w:val="24"/>
                <w:szCs w:val="24"/>
              </w:rPr>
              <w:t>1125</w:t>
            </w:r>
          </w:p>
        </w:tc>
      </w:tr>
      <w:tr w:rsidRPr="00097721" w:rsidR="00097721" w:rsidTr="00F428FE" w14:paraId="38D1DCDC"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5B812255" w14:textId="77777777">
            <w:pPr>
              <w:keepNext/>
              <w:keepLines/>
              <w:spacing w:after="120" w:line="240" w:lineRule="auto"/>
              <w:ind w:firstLine="0"/>
              <w:rPr>
                <w:sz w:val="24"/>
                <w:szCs w:val="24"/>
              </w:rPr>
            </w:pPr>
            <w:r w:rsidRPr="00097721">
              <w:rPr>
                <w:sz w:val="24"/>
                <w:szCs w:val="24"/>
              </w:rPr>
              <w:t>September</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040F0DF2" w14:textId="3E7DBAD6">
            <w:pPr>
              <w:keepNext/>
              <w:spacing w:after="120" w:line="240" w:lineRule="auto"/>
              <w:jc w:val="center"/>
              <w:rPr>
                <w:sz w:val="24"/>
                <w:szCs w:val="24"/>
              </w:rPr>
            </w:pPr>
            <w:r w:rsidRPr="00097721">
              <w:rPr>
                <w:rFonts w:eastAsia="Times New Roman" w:cs="Times New Roman"/>
                <w:sz w:val="24"/>
                <w:szCs w:val="24"/>
              </w:rPr>
              <w:t>27010</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5096A214" w14:textId="4B4352A0">
            <w:pPr>
              <w:keepNext/>
              <w:spacing w:after="120" w:line="240" w:lineRule="auto"/>
              <w:ind w:firstLine="0"/>
              <w:jc w:val="center"/>
              <w:rPr>
                <w:sz w:val="24"/>
                <w:szCs w:val="24"/>
              </w:rPr>
            </w:pPr>
            <w:r w:rsidRPr="00097721">
              <w:rPr>
                <w:rFonts w:eastAsia="Times New Roman" w:cs="Times New Roman"/>
                <w:sz w:val="24"/>
                <w:szCs w:val="24"/>
              </w:rPr>
              <w:t>25709</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3DD4B6B4" w14:textId="66D42F36">
            <w:pPr>
              <w:keepNext/>
              <w:spacing w:after="120" w:line="240" w:lineRule="auto"/>
              <w:ind w:firstLine="0"/>
              <w:jc w:val="center"/>
              <w:rPr>
                <w:sz w:val="24"/>
                <w:szCs w:val="24"/>
              </w:rPr>
            </w:pPr>
            <w:r w:rsidRPr="00097721">
              <w:rPr>
                <w:rFonts w:eastAsia="Times New Roman" w:cs="Times New Roman"/>
                <w:sz w:val="24"/>
                <w:szCs w:val="24"/>
              </w:rPr>
              <w:t>10466</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2471DE46" w14:textId="07468F12">
            <w:pPr>
              <w:keepNext/>
              <w:spacing w:after="120" w:line="240" w:lineRule="auto"/>
              <w:ind w:firstLine="0"/>
              <w:jc w:val="center"/>
              <w:rPr>
                <w:sz w:val="24"/>
                <w:szCs w:val="24"/>
              </w:rPr>
            </w:pPr>
            <w:r w:rsidRPr="00097721">
              <w:rPr>
                <w:rFonts w:eastAsia="Times New Roman" w:cs="Times New Roman"/>
                <w:sz w:val="24"/>
                <w:szCs w:val="24"/>
              </w:rPr>
              <w:t>13957</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3F68F6D3" w14:textId="354A5C94">
            <w:pPr>
              <w:keepNext/>
              <w:spacing w:after="120" w:line="240" w:lineRule="auto"/>
              <w:ind w:firstLine="0"/>
              <w:jc w:val="center"/>
              <w:rPr>
                <w:sz w:val="24"/>
                <w:szCs w:val="24"/>
              </w:rPr>
            </w:pPr>
            <w:r w:rsidRPr="00097721">
              <w:rPr>
                <w:rFonts w:eastAsia="Times New Roman" w:cs="Times New Roman"/>
                <w:sz w:val="24"/>
                <w:szCs w:val="24"/>
              </w:rPr>
              <w:t>1285</w:t>
            </w:r>
          </w:p>
        </w:tc>
      </w:tr>
      <w:tr w:rsidRPr="00097721" w:rsidR="00097721" w:rsidTr="00F428FE" w14:paraId="20D8796A"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6612C673" w14:textId="77777777">
            <w:pPr>
              <w:keepNext/>
              <w:keepLines/>
              <w:spacing w:after="120" w:line="240" w:lineRule="auto"/>
              <w:ind w:firstLine="0"/>
              <w:rPr>
                <w:sz w:val="24"/>
                <w:szCs w:val="24"/>
              </w:rPr>
            </w:pPr>
            <w:r w:rsidRPr="00097721">
              <w:rPr>
                <w:sz w:val="24"/>
                <w:szCs w:val="24"/>
              </w:rPr>
              <w:t>October</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79542482" w14:textId="09082C13">
            <w:pPr>
              <w:keepNext/>
              <w:spacing w:after="120" w:line="240" w:lineRule="auto"/>
              <w:jc w:val="center"/>
              <w:rPr>
                <w:sz w:val="24"/>
                <w:szCs w:val="24"/>
              </w:rPr>
            </w:pPr>
            <w:r w:rsidRPr="00097721">
              <w:rPr>
                <w:rFonts w:eastAsia="Times New Roman" w:cs="Times New Roman"/>
                <w:sz w:val="24"/>
                <w:szCs w:val="24"/>
              </w:rPr>
              <w:t>25920</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2C097D4C" w14:textId="3172D9CB">
            <w:pPr>
              <w:keepNext/>
              <w:spacing w:after="120" w:line="240" w:lineRule="auto"/>
              <w:ind w:firstLine="0"/>
              <w:jc w:val="center"/>
              <w:rPr>
                <w:sz w:val="24"/>
                <w:szCs w:val="24"/>
              </w:rPr>
            </w:pPr>
            <w:r w:rsidRPr="00097721">
              <w:rPr>
                <w:rFonts w:eastAsia="Times New Roman" w:cs="Times New Roman"/>
                <w:sz w:val="24"/>
                <w:szCs w:val="24"/>
              </w:rPr>
              <w:t>24708</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0318A002" w14:textId="697699DE">
            <w:pPr>
              <w:keepNext/>
              <w:spacing w:after="120" w:line="240" w:lineRule="auto"/>
              <w:ind w:firstLine="0"/>
              <w:jc w:val="center"/>
              <w:rPr>
                <w:sz w:val="24"/>
                <w:szCs w:val="24"/>
              </w:rPr>
            </w:pPr>
            <w:r w:rsidRPr="00097721">
              <w:rPr>
                <w:rFonts w:eastAsia="Times New Roman" w:cs="Times New Roman"/>
                <w:sz w:val="24"/>
                <w:szCs w:val="24"/>
              </w:rPr>
              <w:t>7060</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62BF2692" w14:textId="589C9637">
            <w:pPr>
              <w:keepNext/>
              <w:spacing w:after="120" w:line="240" w:lineRule="auto"/>
              <w:ind w:firstLine="0"/>
              <w:jc w:val="center"/>
              <w:rPr>
                <w:sz w:val="24"/>
                <w:szCs w:val="24"/>
              </w:rPr>
            </w:pPr>
            <w:r w:rsidRPr="00097721">
              <w:rPr>
                <w:rFonts w:eastAsia="Times New Roman" w:cs="Times New Roman"/>
                <w:sz w:val="24"/>
                <w:szCs w:val="24"/>
              </w:rPr>
              <w:t>16412</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5A379192" w14:textId="2DFD47C9">
            <w:pPr>
              <w:keepNext/>
              <w:spacing w:after="120" w:line="240" w:lineRule="auto"/>
              <w:ind w:firstLine="0"/>
              <w:jc w:val="center"/>
              <w:rPr>
                <w:sz w:val="24"/>
                <w:szCs w:val="24"/>
              </w:rPr>
            </w:pPr>
            <w:r w:rsidRPr="00097721">
              <w:rPr>
                <w:rFonts w:eastAsia="Times New Roman" w:cs="Times New Roman"/>
                <w:sz w:val="24"/>
                <w:szCs w:val="24"/>
              </w:rPr>
              <w:t>1235</w:t>
            </w:r>
          </w:p>
        </w:tc>
      </w:tr>
      <w:tr w:rsidRPr="00097721" w:rsidR="00097721" w:rsidTr="00F428FE" w14:paraId="699331DE"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2BB69626" w14:textId="77777777">
            <w:pPr>
              <w:keepNext/>
              <w:keepLines/>
              <w:spacing w:after="120" w:line="240" w:lineRule="auto"/>
              <w:ind w:firstLine="0"/>
              <w:rPr>
                <w:sz w:val="24"/>
                <w:szCs w:val="24"/>
              </w:rPr>
            </w:pPr>
            <w:r w:rsidRPr="00097721">
              <w:rPr>
                <w:sz w:val="24"/>
                <w:szCs w:val="24"/>
              </w:rPr>
              <w:t>November</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16AB03F4" w14:textId="6B8E6FDA">
            <w:pPr>
              <w:keepNext/>
              <w:spacing w:after="120" w:line="240" w:lineRule="auto"/>
              <w:jc w:val="center"/>
              <w:rPr>
                <w:sz w:val="24"/>
                <w:szCs w:val="24"/>
              </w:rPr>
            </w:pPr>
            <w:r w:rsidRPr="00097721">
              <w:rPr>
                <w:rFonts w:eastAsia="Times New Roman" w:cs="Times New Roman"/>
                <w:sz w:val="24"/>
                <w:szCs w:val="24"/>
              </w:rPr>
              <w:t>24987</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39C35A71" w14:textId="2BEEF70C">
            <w:pPr>
              <w:keepNext/>
              <w:spacing w:after="120" w:line="240" w:lineRule="auto"/>
              <w:ind w:firstLine="0"/>
              <w:jc w:val="center"/>
              <w:rPr>
                <w:sz w:val="24"/>
                <w:szCs w:val="24"/>
              </w:rPr>
            </w:pPr>
            <w:r w:rsidRPr="00097721">
              <w:rPr>
                <w:rFonts w:eastAsia="Times New Roman" w:cs="Times New Roman"/>
                <w:sz w:val="24"/>
                <w:szCs w:val="24"/>
              </w:rPr>
              <w:t>23831</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167180BD" w14:textId="4DFD6A9B">
            <w:pPr>
              <w:keepNext/>
              <w:spacing w:after="120" w:line="240" w:lineRule="auto"/>
              <w:ind w:firstLine="0"/>
              <w:jc w:val="center"/>
              <w:rPr>
                <w:sz w:val="24"/>
                <w:szCs w:val="24"/>
              </w:rPr>
            </w:pPr>
            <w:r w:rsidRPr="00097721">
              <w:rPr>
                <w:rFonts w:eastAsia="Times New Roman" w:cs="Times New Roman"/>
                <w:sz w:val="24"/>
                <w:szCs w:val="24"/>
              </w:rPr>
              <w:t>6810</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1B64846A" w14:textId="3DDB44E5">
            <w:pPr>
              <w:keepNext/>
              <w:spacing w:after="120" w:line="240" w:lineRule="auto"/>
              <w:ind w:firstLine="0"/>
              <w:jc w:val="center"/>
              <w:rPr>
                <w:sz w:val="24"/>
                <w:szCs w:val="24"/>
              </w:rPr>
            </w:pPr>
            <w:r w:rsidRPr="00097721">
              <w:rPr>
                <w:rFonts w:eastAsia="Times New Roman" w:cs="Times New Roman"/>
                <w:sz w:val="24"/>
                <w:szCs w:val="24"/>
              </w:rPr>
              <w:t>15830</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7A38A15C" w14:textId="2B5C1728">
            <w:pPr>
              <w:keepNext/>
              <w:spacing w:after="120" w:line="240" w:lineRule="auto"/>
              <w:ind w:firstLine="0"/>
              <w:jc w:val="center"/>
              <w:rPr>
                <w:sz w:val="24"/>
                <w:szCs w:val="24"/>
              </w:rPr>
            </w:pPr>
            <w:r w:rsidRPr="00097721">
              <w:rPr>
                <w:rFonts w:eastAsia="Times New Roman" w:cs="Times New Roman"/>
                <w:sz w:val="24"/>
                <w:szCs w:val="24"/>
              </w:rPr>
              <w:t>1192</w:t>
            </w:r>
          </w:p>
        </w:tc>
      </w:tr>
      <w:tr w:rsidRPr="00097721" w:rsidR="002138C7" w:rsidTr="00F428FE" w14:paraId="1596773D"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2138C7" w:rsidP="002138C7" w:rsidRDefault="002138C7" w14:paraId="4EECFDC5" w14:textId="77777777">
            <w:pPr>
              <w:keepNext/>
              <w:keepLines/>
              <w:spacing w:after="120" w:line="240" w:lineRule="auto"/>
              <w:ind w:firstLine="0"/>
              <w:rPr>
                <w:sz w:val="24"/>
                <w:szCs w:val="24"/>
              </w:rPr>
            </w:pPr>
            <w:r w:rsidRPr="00097721">
              <w:rPr>
                <w:sz w:val="24"/>
                <w:szCs w:val="24"/>
              </w:rPr>
              <w:t>December</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74D04C86" w14:textId="6A89A081">
            <w:pPr>
              <w:keepNext/>
              <w:keepLines/>
              <w:spacing w:after="120" w:line="240" w:lineRule="auto"/>
              <w:jc w:val="center"/>
              <w:rPr>
                <w:sz w:val="24"/>
                <w:szCs w:val="24"/>
              </w:rPr>
            </w:pPr>
            <w:r w:rsidRPr="00097721">
              <w:rPr>
                <w:rFonts w:eastAsia="Times New Roman" w:cs="Times New Roman"/>
                <w:sz w:val="24"/>
                <w:szCs w:val="24"/>
              </w:rPr>
              <w:t>21880</w:t>
            </w:r>
          </w:p>
        </w:tc>
        <w:tc>
          <w:tcPr>
            <w:tcW w:w="877" w:type="pct"/>
            <w:tcBorders>
              <w:top w:val="nil"/>
              <w:left w:val="nil"/>
              <w:bottom w:val="single" w:color="auto" w:sz="8" w:space="0"/>
              <w:right w:val="single" w:color="auto" w:sz="8" w:space="0"/>
            </w:tcBorders>
            <w:vAlign w:val="center"/>
          </w:tcPr>
          <w:p w:rsidRPr="00097721" w:rsidR="002138C7" w:rsidP="002138C7" w:rsidRDefault="002138C7" w14:paraId="7614A856" w14:textId="63758087">
            <w:pPr>
              <w:keepNext/>
              <w:keepLines/>
              <w:spacing w:after="120" w:line="240" w:lineRule="auto"/>
              <w:ind w:firstLine="0"/>
              <w:jc w:val="center"/>
              <w:rPr>
                <w:sz w:val="24"/>
                <w:szCs w:val="24"/>
              </w:rPr>
            </w:pPr>
            <w:r w:rsidRPr="00097721">
              <w:rPr>
                <w:rFonts w:eastAsia="Times New Roman" w:cs="Times New Roman"/>
                <w:sz w:val="24"/>
                <w:szCs w:val="24"/>
              </w:rPr>
              <w:t>20945</w:t>
            </w:r>
          </w:p>
        </w:tc>
        <w:tc>
          <w:tcPr>
            <w:tcW w:w="795" w:type="pct"/>
            <w:tcBorders>
              <w:top w:val="nil"/>
              <w:left w:val="nil"/>
              <w:bottom w:val="single" w:color="auto" w:sz="8" w:space="0"/>
              <w:right w:val="single" w:color="auto" w:sz="8" w:space="0"/>
            </w:tcBorders>
            <w:vAlign w:val="center"/>
          </w:tcPr>
          <w:p w:rsidRPr="00097721" w:rsidR="002138C7" w:rsidP="002138C7" w:rsidRDefault="002138C7" w14:paraId="118AEE98" w14:textId="3822BA4C">
            <w:pPr>
              <w:keepNext/>
              <w:keepLines/>
              <w:spacing w:after="120" w:line="240" w:lineRule="auto"/>
              <w:ind w:firstLine="0"/>
              <w:jc w:val="center"/>
              <w:rPr>
                <w:sz w:val="24"/>
                <w:szCs w:val="24"/>
              </w:rPr>
            </w:pPr>
            <w:r w:rsidRPr="00097721">
              <w:rPr>
                <w:rFonts w:eastAsia="Times New Roman" w:cs="Times New Roman"/>
                <w:sz w:val="24"/>
                <w:szCs w:val="24"/>
              </w:rPr>
              <w:t>5985</w:t>
            </w:r>
          </w:p>
        </w:tc>
        <w:tc>
          <w:tcPr>
            <w:tcW w:w="864" w:type="pct"/>
            <w:tcBorders>
              <w:top w:val="nil"/>
              <w:left w:val="nil"/>
              <w:bottom w:val="single" w:color="auto" w:sz="8" w:space="0"/>
              <w:right w:val="single" w:color="auto" w:sz="8" w:space="0"/>
            </w:tcBorders>
            <w:vAlign w:val="center"/>
          </w:tcPr>
          <w:p w:rsidRPr="00097721" w:rsidR="002138C7" w:rsidP="002138C7" w:rsidRDefault="002138C7" w14:paraId="19F000BB" w14:textId="07906BF7">
            <w:pPr>
              <w:keepNext/>
              <w:keepLines/>
              <w:spacing w:after="120" w:line="240" w:lineRule="auto"/>
              <w:ind w:firstLine="0"/>
              <w:jc w:val="center"/>
              <w:rPr>
                <w:sz w:val="24"/>
                <w:szCs w:val="24"/>
              </w:rPr>
            </w:pPr>
            <w:r w:rsidRPr="00097721">
              <w:rPr>
                <w:rFonts w:eastAsia="Times New Roman" w:cs="Times New Roman"/>
                <w:sz w:val="24"/>
                <w:szCs w:val="24"/>
              </w:rPr>
              <w:t>13913</w:t>
            </w:r>
          </w:p>
        </w:tc>
        <w:tc>
          <w:tcPr>
            <w:tcW w:w="830" w:type="pct"/>
            <w:tcBorders>
              <w:top w:val="nil"/>
              <w:left w:val="nil"/>
              <w:bottom w:val="single" w:color="auto" w:sz="8" w:space="0"/>
              <w:right w:val="single" w:color="auto" w:sz="8" w:space="0"/>
            </w:tcBorders>
            <w:vAlign w:val="center"/>
          </w:tcPr>
          <w:p w:rsidRPr="00097721" w:rsidR="002138C7" w:rsidP="002138C7" w:rsidRDefault="002138C7" w14:paraId="2758D2A9" w14:textId="3F193ECD">
            <w:pPr>
              <w:keepNext/>
              <w:keepLines/>
              <w:spacing w:after="120" w:line="240" w:lineRule="auto"/>
              <w:ind w:firstLine="0"/>
              <w:jc w:val="center"/>
              <w:rPr>
                <w:sz w:val="24"/>
                <w:szCs w:val="24"/>
              </w:rPr>
            </w:pPr>
            <w:r w:rsidRPr="00097721">
              <w:rPr>
                <w:rFonts w:eastAsia="Times New Roman" w:cs="Times New Roman"/>
                <w:sz w:val="24"/>
                <w:szCs w:val="24"/>
              </w:rPr>
              <w:t>1047</w:t>
            </w:r>
          </w:p>
        </w:tc>
      </w:tr>
    </w:tbl>
    <w:p w:rsidRPr="00097721" w:rsidR="002138C7" w:rsidP="0096557C" w:rsidRDefault="002138C7" w14:paraId="2E5AF0DF" w14:textId="77777777">
      <w:pPr>
        <w:pStyle w:val="Standard"/>
      </w:pPr>
    </w:p>
    <w:p w:rsidRPr="00097721" w:rsidR="00D7620B" w:rsidP="0096557C" w:rsidRDefault="00D7620B" w14:paraId="398CA34B" w14:textId="77777777">
      <w:pPr>
        <w:pStyle w:val="Standard"/>
      </w:pPr>
    </w:p>
    <w:tbl>
      <w:tblPr>
        <w:tblW w:w="5054" w:type="pct"/>
        <w:jc w:val="center"/>
        <w:tblLook w:val="04A0" w:firstRow="1" w:lastRow="0" w:firstColumn="1" w:lastColumn="0" w:noHBand="0" w:noVBand="1"/>
      </w:tblPr>
      <w:tblGrid>
        <w:gridCol w:w="1430"/>
        <w:gridCol w:w="1656"/>
        <w:gridCol w:w="1656"/>
        <w:gridCol w:w="1501"/>
        <w:gridCol w:w="1631"/>
        <w:gridCol w:w="1567"/>
      </w:tblGrid>
      <w:tr w:rsidRPr="00097721" w:rsidR="00097721" w:rsidTr="00E418E1" w14:paraId="4977B2AC" w14:textId="77777777">
        <w:trPr>
          <w:trHeight w:val="510"/>
          <w:jc w:val="center"/>
        </w:trPr>
        <w:tc>
          <w:tcPr>
            <w:tcW w:w="5000" w:type="pct"/>
            <w:gridSpan w:val="6"/>
            <w:tcBorders>
              <w:top w:val="single" w:color="auto" w:sz="8" w:space="0"/>
              <w:left w:val="single" w:color="auto" w:sz="8" w:space="0"/>
              <w:bottom w:val="nil"/>
              <w:right w:val="single" w:color="auto" w:sz="8" w:space="0"/>
            </w:tcBorders>
            <w:vAlign w:val="center"/>
            <w:hideMark/>
          </w:tcPr>
          <w:p w:rsidRPr="00097721" w:rsidR="00B133FF" w:rsidP="004601E0" w:rsidRDefault="00B133FF" w14:paraId="75F4C007" w14:textId="77777777">
            <w:pPr>
              <w:keepNext/>
              <w:keepLines/>
              <w:spacing w:after="120" w:line="240" w:lineRule="auto"/>
              <w:jc w:val="center"/>
              <w:rPr>
                <w:b/>
                <w:bCs/>
                <w:sz w:val="24"/>
                <w:szCs w:val="24"/>
              </w:rPr>
            </w:pPr>
            <w:r w:rsidRPr="00097721">
              <w:rPr>
                <w:b/>
                <w:bCs/>
                <w:sz w:val="24"/>
                <w:szCs w:val="24"/>
              </w:rPr>
              <w:lastRenderedPageBreak/>
              <w:t>2024 Flexible Capacity Requirements</w:t>
            </w:r>
          </w:p>
        </w:tc>
      </w:tr>
      <w:tr w:rsidRPr="00097721" w:rsidR="00097721" w:rsidTr="009524C9" w14:paraId="3A4D440E" w14:textId="77777777">
        <w:trPr>
          <w:trHeight w:val="510"/>
          <w:jc w:val="center"/>
        </w:trPr>
        <w:tc>
          <w:tcPr>
            <w:tcW w:w="757" w:type="pct"/>
            <w:vMerge w:val="restart"/>
            <w:tcBorders>
              <w:top w:val="single" w:color="auto" w:sz="8" w:space="0"/>
              <w:left w:val="single" w:color="auto" w:sz="8" w:space="0"/>
              <w:bottom w:val="single" w:color="000000" w:sz="8" w:space="0"/>
              <w:right w:val="single" w:color="auto" w:sz="8" w:space="0"/>
            </w:tcBorders>
            <w:vAlign w:val="center"/>
            <w:hideMark/>
          </w:tcPr>
          <w:p w:rsidRPr="00097721" w:rsidR="00B133FF" w:rsidP="004601E0" w:rsidRDefault="00B133FF" w14:paraId="100E3A24" w14:textId="77777777">
            <w:pPr>
              <w:keepNext/>
              <w:keepLines/>
              <w:spacing w:after="120" w:line="240" w:lineRule="auto"/>
              <w:ind w:firstLine="0"/>
              <w:rPr>
                <w:b/>
                <w:bCs/>
                <w:sz w:val="24"/>
                <w:szCs w:val="24"/>
              </w:rPr>
            </w:pPr>
            <w:r w:rsidRPr="00097721">
              <w:rPr>
                <w:b/>
                <w:bCs/>
                <w:sz w:val="24"/>
                <w:szCs w:val="24"/>
              </w:rPr>
              <w:t>NOTE: All numbers are in Megawatts</w:t>
            </w:r>
          </w:p>
        </w:tc>
        <w:tc>
          <w:tcPr>
            <w:tcW w:w="877" w:type="pct"/>
            <w:vMerge w:val="restart"/>
            <w:tcBorders>
              <w:top w:val="single" w:color="auto" w:sz="8" w:space="0"/>
              <w:left w:val="single" w:color="auto" w:sz="8" w:space="0"/>
              <w:bottom w:val="single" w:color="000000" w:sz="8" w:space="0"/>
              <w:right w:val="single" w:color="auto" w:sz="8" w:space="0"/>
            </w:tcBorders>
            <w:vAlign w:val="center"/>
            <w:hideMark/>
          </w:tcPr>
          <w:p w:rsidRPr="00097721" w:rsidR="00B133FF" w:rsidP="004601E0" w:rsidRDefault="00B133FF" w14:paraId="0CD93FC3" w14:textId="77777777">
            <w:pPr>
              <w:keepNext/>
              <w:keepLines/>
              <w:spacing w:after="120" w:line="240" w:lineRule="auto"/>
              <w:ind w:firstLine="0"/>
              <w:jc w:val="center"/>
              <w:rPr>
                <w:b/>
                <w:bCs/>
                <w:sz w:val="24"/>
                <w:szCs w:val="24"/>
              </w:rPr>
            </w:pPr>
            <w:r w:rsidRPr="00097721">
              <w:rPr>
                <w:b/>
                <w:bCs/>
                <w:sz w:val="24"/>
                <w:szCs w:val="24"/>
              </w:rPr>
              <w:t>CAISO System Flexible Requirement</w:t>
            </w:r>
          </w:p>
        </w:tc>
        <w:tc>
          <w:tcPr>
            <w:tcW w:w="877" w:type="pct"/>
            <w:vMerge w:val="restart"/>
            <w:tcBorders>
              <w:top w:val="single" w:color="auto" w:sz="8" w:space="0"/>
              <w:left w:val="nil"/>
              <w:bottom w:val="single" w:color="auto" w:sz="4" w:space="0"/>
              <w:right w:val="single" w:color="auto" w:sz="8" w:space="0"/>
            </w:tcBorders>
            <w:vAlign w:val="center"/>
          </w:tcPr>
          <w:p w:rsidRPr="00097721" w:rsidR="00B133FF" w:rsidP="004601E0" w:rsidRDefault="00B133FF" w14:paraId="056FD6AA" w14:textId="77777777">
            <w:pPr>
              <w:keepNext/>
              <w:keepLines/>
              <w:spacing w:after="120" w:line="240" w:lineRule="auto"/>
              <w:ind w:firstLine="0"/>
              <w:jc w:val="center"/>
              <w:rPr>
                <w:b/>
                <w:bCs/>
                <w:sz w:val="24"/>
                <w:szCs w:val="24"/>
              </w:rPr>
            </w:pPr>
            <w:r w:rsidRPr="00097721">
              <w:rPr>
                <w:b/>
                <w:bCs/>
                <w:sz w:val="24"/>
                <w:szCs w:val="24"/>
              </w:rPr>
              <w:t>CPUC</w:t>
            </w:r>
          </w:p>
          <w:p w:rsidRPr="00097721" w:rsidR="00B133FF" w:rsidP="004601E0" w:rsidRDefault="00B133FF" w14:paraId="2E8ADB6D" w14:textId="77777777">
            <w:pPr>
              <w:keepNext/>
              <w:keepLines/>
              <w:spacing w:after="120" w:line="240" w:lineRule="auto"/>
              <w:ind w:firstLine="0"/>
              <w:jc w:val="center"/>
              <w:rPr>
                <w:b/>
                <w:bCs/>
                <w:sz w:val="24"/>
                <w:szCs w:val="24"/>
              </w:rPr>
            </w:pPr>
            <w:r w:rsidRPr="00097721">
              <w:rPr>
                <w:b/>
                <w:bCs/>
                <w:sz w:val="24"/>
                <w:szCs w:val="24"/>
              </w:rPr>
              <w:t>Flexible Requirement</w:t>
            </w:r>
          </w:p>
        </w:tc>
        <w:tc>
          <w:tcPr>
            <w:tcW w:w="2489" w:type="pct"/>
            <w:gridSpan w:val="3"/>
            <w:tcBorders>
              <w:top w:val="single" w:color="auto" w:sz="8" w:space="0"/>
              <w:left w:val="nil"/>
              <w:bottom w:val="single" w:color="auto" w:sz="4" w:space="0"/>
              <w:right w:val="single" w:color="auto" w:sz="8" w:space="0"/>
            </w:tcBorders>
            <w:vAlign w:val="center"/>
            <w:hideMark/>
          </w:tcPr>
          <w:p w:rsidRPr="00097721" w:rsidR="00B133FF" w:rsidP="004601E0" w:rsidRDefault="00B133FF" w14:paraId="2010A9C2" w14:textId="77777777">
            <w:pPr>
              <w:keepNext/>
              <w:keepLines/>
              <w:spacing w:after="120" w:line="240" w:lineRule="auto"/>
              <w:ind w:firstLine="0"/>
              <w:jc w:val="center"/>
              <w:rPr>
                <w:b/>
                <w:bCs/>
                <w:sz w:val="24"/>
                <w:szCs w:val="24"/>
              </w:rPr>
            </w:pPr>
            <w:r w:rsidRPr="00097721">
              <w:rPr>
                <w:b/>
                <w:bCs/>
                <w:sz w:val="24"/>
                <w:szCs w:val="24"/>
              </w:rPr>
              <w:t>CPUC</w:t>
            </w:r>
          </w:p>
        </w:tc>
      </w:tr>
      <w:tr w:rsidRPr="00097721" w:rsidR="00097721" w:rsidTr="00E531A4" w14:paraId="4FED83C9" w14:textId="77777777">
        <w:trPr>
          <w:trHeight w:val="510"/>
          <w:jc w:val="center"/>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097721" w:rsidR="00B133FF" w:rsidP="004601E0" w:rsidRDefault="00B133FF" w14:paraId="413898FD" w14:textId="77777777">
            <w:pPr>
              <w:keepNext/>
              <w:spacing w:after="120" w:line="240" w:lineRule="auto"/>
              <w:jc w:val="center"/>
              <w:rPr>
                <w:sz w:val="24"/>
                <w:szCs w:val="24"/>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097721" w:rsidR="00B133FF" w:rsidP="004601E0" w:rsidRDefault="00B133FF" w14:paraId="3351FBD3" w14:textId="77777777">
            <w:pPr>
              <w:keepNext/>
              <w:spacing w:after="120" w:line="240" w:lineRule="auto"/>
              <w:jc w:val="center"/>
              <w:rPr>
                <w:b/>
                <w:bCs/>
                <w:sz w:val="24"/>
                <w:szCs w:val="24"/>
              </w:rPr>
            </w:pPr>
          </w:p>
        </w:tc>
        <w:tc>
          <w:tcPr>
            <w:tcW w:w="0" w:type="auto"/>
            <w:vMerge/>
            <w:tcBorders>
              <w:top w:val="single" w:color="auto" w:sz="4" w:space="0"/>
              <w:left w:val="nil"/>
              <w:bottom w:val="single" w:color="auto" w:sz="4" w:space="0"/>
              <w:right w:val="single" w:color="auto" w:sz="8" w:space="0"/>
            </w:tcBorders>
            <w:vAlign w:val="center"/>
            <w:hideMark/>
          </w:tcPr>
          <w:p w:rsidRPr="00097721" w:rsidR="00B133FF" w:rsidP="004601E0" w:rsidRDefault="00B133FF" w14:paraId="6B36A64A" w14:textId="77777777">
            <w:pPr>
              <w:keepNext/>
              <w:spacing w:after="120" w:line="240" w:lineRule="auto"/>
              <w:jc w:val="center"/>
              <w:rPr>
                <w:b/>
                <w:bCs/>
                <w:sz w:val="24"/>
                <w:szCs w:val="24"/>
              </w:rPr>
            </w:pPr>
          </w:p>
        </w:tc>
        <w:tc>
          <w:tcPr>
            <w:tcW w:w="795" w:type="pct"/>
            <w:tcBorders>
              <w:top w:val="single" w:color="auto" w:sz="4" w:space="0"/>
              <w:left w:val="nil"/>
              <w:bottom w:val="single" w:color="auto" w:sz="4" w:space="0"/>
              <w:right w:val="single" w:color="auto" w:sz="8" w:space="0"/>
            </w:tcBorders>
            <w:vAlign w:val="center"/>
          </w:tcPr>
          <w:p w:rsidRPr="00097721" w:rsidR="00B133FF" w:rsidP="004601E0" w:rsidRDefault="00B133FF" w14:paraId="2A966084" w14:textId="77777777">
            <w:pPr>
              <w:keepNext/>
              <w:keepLines/>
              <w:spacing w:after="120" w:line="240" w:lineRule="auto"/>
              <w:ind w:firstLine="0"/>
              <w:jc w:val="center"/>
              <w:rPr>
                <w:b/>
                <w:bCs/>
                <w:sz w:val="24"/>
                <w:szCs w:val="24"/>
              </w:rPr>
            </w:pPr>
            <w:r w:rsidRPr="00097721">
              <w:rPr>
                <w:b/>
                <w:bCs/>
                <w:sz w:val="24"/>
                <w:szCs w:val="24"/>
              </w:rPr>
              <w:t>Category 1</w:t>
            </w:r>
          </w:p>
          <w:p w:rsidRPr="00097721" w:rsidR="00B133FF" w:rsidP="004601E0" w:rsidRDefault="00B133FF" w14:paraId="660176B3" w14:textId="77777777">
            <w:pPr>
              <w:keepNext/>
              <w:keepLines/>
              <w:spacing w:after="120" w:line="240" w:lineRule="auto"/>
              <w:ind w:firstLine="0"/>
              <w:jc w:val="center"/>
              <w:rPr>
                <w:b/>
                <w:bCs/>
                <w:sz w:val="24"/>
                <w:szCs w:val="24"/>
              </w:rPr>
            </w:pPr>
            <w:r w:rsidRPr="00097721">
              <w:rPr>
                <w:b/>
                <w:bCs/>
                <w:sz w:val="24"/>
                <w:szCs w:val="24"/>
              </w:rPr>
              <w:t>(minimum)</w:t>
            </w:r>
          </w:p>
        </w:tc>
        <w:tc>
          <w:tcPr>
            <w:tcW w:w="864" w:type="pct"/>
            <w:tcBorders>
              <w:top w:val="single" w:color="auto" w:sz="4" w:space="0"/>
              <w:left w:val="nil"/>
              <w:bottom w:val="single" w:color="auto" w:sz="4" w:space="0"/>
              <w:right w:val="single" w:color="auto" w:sz="8" w:space="0"/>
            </w:tcBorders>
            <w:vAlign w:val="center"/>
          </w:tcPr>
          <w:p w:rsidRPr="00097721" w:rsidR="00B133FF" w:rsidP="004601E0" w:rsidRDefault="00B133FF" w14:paraId="6133AD8E" w14:textId="77777777">
            <w:pPr>
              <w:keepNext/>
              <w:keepLines/>
              <w:spacing w:after="120" w:line="240" w:lineRule="auto"/>
              <w:ind w:firstLine="0"/>
              <w:jc w:val="center"/>
              <w:rPr>
                <w:b/>
                <w:bCs/>
                <w:sz w:val="24"/>
                <w:szCs w:val="24"/>
              </w:rPr>
            </w:pPr>
            <w:r w:rsidRPr="00097721">
              <w:rPr>
                <w:b/>
                <w:bCs/>
                <w:sz w:val="24"/>
                <w:szCs w:val="24"/>
              </w:rPr>
              <w:t>Category 2</w:t>
            </w:r>
          </w:p>
          <w:p w:rsidRPr="00097721" w:rsidR="00B133FF" w:rsidP="004601E0" w:rsidRDefault="00B133FF" w14:paraId="16961C72" w14:textId="77777777">
            <w:pPr>
              <w:keepNext/>
              <w:keepLines/>
              <w:spacing w:after="120" w:line="240" w:lineRule="auto"/>
              <w:ind w:firstLine="0"/>
              <w:jc w:val="center"/>
              <w:rPr>
                <w:b/>
                <w:bCs/>
                <w:sz w:val="24"/>
                <w:szCs w:val="24"/>
              </w:rPr>
            </w:pPr>
            <w:r w:rsidRPr="00097721">
              <w:rPr>
                <w:b/>
                <w:bCs/>
                <w:sz w:val="24"/>
                <w:szCs w:val="24"/>
              </w:rPr>
              <w:t>(100% less Cat. 1 &amp; 3)</w:t>
            </w:r>
          </w:p>
        </w:tc>
        <w:tc>
          <w:tcPr>
            <w:tcW w:w="830" w:type="pct"/>
            <w:tcBorders>
              <w:top w:val="single" w:color="auto" w:sz="4" w:space="0"/>
              <w:left w:val="nil"/>
              <w:bottom w:val="single" w:color="auto" w:sz="4" w:space="0"/>
              <w:right w:val="single" w:color="auto" w:sz="8" w:space="0"/>
            </w:tcBorders>
            <w:vAlign w:val="center"/>
          </w:tcPr>
          <w:p w:rsidRPr="00097721" w:rsidR="00B133FF" w:rsidP="004601E0" w:rsidRDefault="00B133FF" w14:paraId="17CDFE8F" w14:textId="77777777">
            <w:pPr>
              <w:keepNext/>
              <w:keepLines/>
              <w:spacing w:after="120" w:line="240" w:lineRule="auto"/>
              <w:ind w:firstLine="0"/>
              <w:jc w:val="center"/>
              <w:rPr>
                <w:b/>
                <w:bCs/>
                <w:sz w:val="24"/>
                <w:szCs w:val="24"/>
              </w:rPr>
            </w:pPr>
            <w:r w:rsidRPr="00097721">
              <w:rPr>
                <w:b/>
                <w:bCs/>
                <w:sz w:val="24"/>
                <w:szCs w:val="24"/>
              </w:rPr>
              <w:t>Category 3</w:t>
            </w:r>
          </w:p>
          <w:p w:rsidRPr="00097721" w:rsidR="00B133FF" w:rsidP="004601E0" w:rsidRDefault="00B133FF" w14:paraId="54AB6FD1" w14:textId="77777777">
            <w:pPr>
              <w:keepNext/>
              <w:keepLines/>
              <w:spacing w:after="120" w:line="240" w:lineRule="auto"/>
              <w:ind w:firstLine="0"/>
              <w:jc w:val="center"/>
              <w:rPr>
                <w:b/>
                <w:bCs/>
                <w:sz w:val="24"/>
                <w:szCs w:val="24"/>
              </w:rPr>
            </w:pPr>
            <w:r w:rsidRPr="00097721">
              <w:rPr>
                <w:b/>
                <w:bCs/>
                <w:sz w:val="24"/>
                <w:szCs w:val="24"/>
              </w:rPr>
              <w:t>(maximum)</w:t>
            </w:r>
          </w:p>
        </w:tc>
      </w:tr>
      <w:tr w:rsidRPr="00097721" w:rsidR="00097721" w:rsidTr="00E531A4" w14:paraId="7A31251C"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65E58E35" w14:textId="77777777">
            <w:pPr>
              <w:keepNext/>
              <w:keepLines/>
              <w:spacing w:after="120" w:line="240" w:lineRule="auto"/>
              <w:ind w:firstLine="0"/>
              <w:rPr>
                <w:sz w:val="24"/>
                <w:szCs w:val="24"/>
              </w:rPr>
            </w:pPr>
            <w:r w:rsidRPr="00097721">
              <w:rPr>
                <w:sz w:val="24"/>
                <w:szCs w:val="24"/>
              </w:rPr>
              <w:t>January</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328D7F71" w14:textId="77777777">
            <w:pPr>
              <w:keepNext/>
              <w:spacing w:after="120" w:line="240" w:lineRule="auto"/>
              <w:jc w:val="center"/>
              <w:rPr>
                <w:sz w:val="24"/>
                <w:szCs w:val="24"/>
              </w:rPr>
            </w:pPr>
            <w:r w:rsidRPr="00097721">
              <w:rPr>
                <w:rFonts w:cs="Calibri"/>
                <w:sz w:val="24"/>
                <w:szCs w:val="24"/>
              </w:rPr>
              <w:t>23583</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795ED303" w14:textId="77777777">
            <w:pPr>
              <w:keepNext/>
              <w:spacing w:after="120" w:line="240" w:lineRule="auto"/>
              <w:ind w:firstLine="0"/>
              <w:jc w:val="center"/>
              <w:rPr>
                <w:sz w:val="24"/>
                <w:szCs w:val="24"/>
              </w:rPr>
            </w:pPr>
            <w:r w:rsidRPr="00097721">
              <w:rPr>
                <w:rFonts w:cs="Calibri"/>
                <w:sz w:val="24"/>
                <w:szCs w:val="24"/>
              </w:rPr>
              <w:t>22554</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45D20670" w14:textId="77777777">
            <w:pPr>
              <w:keepNext/>
              <w:spacing w:after="120" w:line="240" w:lineRule="auto"/>
              <w:ind w:firstLine="0"/>
              <w:jc w:val="center"/>
              <w:rPr>
                <w:sz w:val="24"/>
                <w:szCs w:val="24"/>
              </w:rPr>
            </w:pPr>
            <w:r w:rsidRPr="00097721">
              <w:rPr>
                <w:rFonts w:cs="Calibri"/>
                <w:sz w:val="24"/>
                <w:szCs w:val="24"/>
              </w:rPr>
              <w:t>6065</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254DC357" w14:textId="77777777">
            <w:pPr>
              <w:keepNext/>
              <w:spacing w:after="120" w:line="240" w:lineRule="auto"/>
              <w:ind w:firstLine="0"/>
              <w:jc w:val="center"/>
              <w:rPr>
                <w:sz w:val="24"/>
                <w:szCs w:val="24"/>
              </w:rPr>
            </w:pPr>
            <w:r w:rsidRPr="00097721">
              <w:rPr>
                <w:rFonts w:cs="Calibri"/>
                <w:sz w:val="24"/>
                <w:szCs w:val="24"/>
              </w:rPr>
              <w:t>15361</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334BB37A" w14:textId="77777777">
            <w:pPr>
              <w:keepNext/>
              <w:spacing w:after="120" w:line="240" w:lineRule="auto"/>
              <w:ind w:firstLine="0"/>
              <w:jc w:val="center"/>
              <w:rPr>
                <w:sz w:val="24"/>
                <w:szCs w:val="24"/>
              </w:rPr>
            </w:pPr>
            <w:r w:rsidRPr="00097721">
              <w:rPr>
                <w:rFonts w:cs="Calibri"/>
                <w:sz w:val="24"/>
                <w:szCs w:val="24"/>
              </w:rPr>
              <w:t>1128</w:t>
            </w:r>
          </w:p>
        </w:tc>
      </w:tr>
      <w:tr w:rsidRPr="00097721" w:rsidR="00097721" w:rsidTr="00E531A4" w14:paraId="5BDDBAEC"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4A69A28D" w14:textId="77777777">
            <w:pPr>
              <w:keepNext/>
              <w:keepLines/>
              <w:spacing w:after="120" w:line="240" w:lineRule="auto"/>
              <w:ind w:firstLine="0"/>
              <w:rPr>
                <w:sz w:val="24"/>
                <w:szCs w:val="24"/>
              </w:rPr>
            </w:pPr>
            <w:r w:rsidRPr="00097721">
              <w:rPr>
                <w:sz w:val="24"/>
                <w:szCs w:val="24"/>
              </w:rPr>
              <w:t>February</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518DCCF8" w14:textId="77777777">
            <w:pPr>
              <w:keepNext/>
              <w:spacing w:after="120" w:line="240" w:lineRule="auto"/>
              <w:jc w:val="center"/>
              <w:rPr>
                <w:sz w:val="24"/>
                <w:szCs w:val="24"/>
              </w:rPr>
            </w:pPr>
            <w:r w:rsidRPr="00097721">
              <w:rPr>
                <w:rFonts w:cs="Calibri"/>
                <w:sz w:val="24"/>
                <w:szCs w:val="24"/>
              </w:rPr>
              <w:t>23925</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47FD2674" w14:textId="77777777">
            <w:pPr>
              <w:keepNext/>
              <w:spacing w:after="120" w:line="240" w:lineRule="auto"/>
              <w:ind w:firstLine="0"/>
              <w:jc w:val="center"/>
              <w:rPr>
                <w:sz w:val="24"/>
                <w:szCs w:val="24"/>
              </w:rPr>
            </w:pPr>
            <w:r w:rsidRPr="00097721">
              <w:rPr>
                <w:rFonts w:cs="Calibri"/>
                <w:sz w:val="24"/>
                <w:szCs w:val="24"/>
              </w:rPr>
              <w:t>22909</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55B8FA3E" w14:textId="77777777">
            <w:pPr>
              <w:keepNext/>
              <w:spacing w:after="120" w:line="240" w:lineRule="auto"/>
              <w:ind w:firstLine="0"/>
              <w:jc w:val="center"/>
              <w:rPr>
                <w:sz w:val="24"/>
                <w:szCs w:val="24"/>
              </w:rPr>
            </w:pPr>
            <w:r w:rsidRPr="00097721">
              <w:rPr>
                <w:rFonts w:cs="Calibri"/>
                <w:sz w:val="24"/>
                <w:szCs w:val="24"/>
              </w:rPr>
              <w:t>6160</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34650F04" w14:textId="77777777">
            <w:pPr>
              <w:keepNext/>
              <w:spacing w:after="120" w:line="240" w:lineRule="auto"/>
              <w:ind w:firstLine="0"/>
              <w:jc w:val="center"/>
              <w:rPr>
                <w:sz w:val="24"/>
                <w:szCs w:val="24"/>
              </w:rPr>
            </w:pPr>
            <w:r w:rsidRPr="00097721">
              <w:rPr>
                <w:rFonts w:cs="Calibri"/>
                <w:sz w:val="24"/>
                <w:szCs w:val="24"/>
              </w:rPr>
              <w:t>15604</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23FDD4E9" w14:textId="77777777">
            <w:pPr>
              <w:keepNext/>
              <w:spacing w:after="120" w:line="240" w:lineRule="auto"/>
              <w:ind w:firstLine="0"/>
              <w:jc w:val="center"/>
              <w:rPr>
                <w:sz w:val="24"/>
                <w:szCs w:val="24"/>
              </w:rPr>
            </w:pPr>
            <w:r w:rsidRPr="00097721">
              <w:rPr>
                <w:rFonts w:cs="Calibri"/>
                <w:sz w:val="24"/>
                <w:szCs w:val="24"/>
              </w:rPr>
              <w:t>1145</w:t>
            </w:r>
          </w:p>
        </w:tc>
      </w:tr>
      <w:tr w:rsidRPr="00097721" w:rsidR="00097721" w:rsidTr="00E531A4" w14:paraId="5BEAA07F"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6458C620" w14:textId="77777777">
            <w:pPr>
              <w:keepNext/>
              <w:keepLines/>
              <w:spacing w:after="120" w:line="240" w:lineRule="auto"/>
              <w:ind w:firstLine="0"/>
              <w:rPr>
                <w:sz w:val="24"/>
                <w:szCs w:val="24"/>
              </w:rPr>
            </w:pPr>
            <w:r w:rsidRPr="00097721">
              <w:rPr>
                <w:sz w:val="24"/>
                <w:szCs w:val="24"/>
              </w:rPr>
              <w:t>March</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3CB5A406" w14:textId="77777777">
            <w:pPr>
              <w:keepNext/>
              <w:spacing w:after="120" w:line="240" w:lineRule="auto"/>
              <w:jc w:val="center"/>
              <w:rPr>
                <w:sz w:val="24"/>
                <w:szCs w:val="24"/>
              </w:rPr>
            </w:pPr>
            <w:r w:rsidRPr="00097721">
              <w:rPr>
                <w:rFonts w:cs="Calibri"/>
                <w:sz w:val="24"/>
                <w:szCs w:val="24"/>
              </w:rPr>
              <w:t>24446</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1F625153" w14:textId="77777777">
            <w:pPr>
              <w:keepNext/>
              <w:spacing w:after="120" w:line="240" w:lineRule="auto"/>
              <w:ind w:firstLine="0"/>
              <w:jc w:val="center"/>
              <w:rPr>
                <w:sz w:val="24"/>
                <w:szCs w:val="24"/>
              </w:rPr>
            </w:pPr>
            <w:r w:rsidRPr="00097721">
              <w:rPr>
                <w:rFonts w:cs="Calibri"/>
                <w:sz w:val="24"/>
                <w:szCs w:val="24"/>
              </w:rPr>
              <w:t>23246</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19D69A26" w14:textId="77777777">
            <w:pPr>
              <w:keepNext/>
              <w:spacing w:after="120" w:line="240" w:lineRule="auto"/>
              <w:ind w:firstLine="0"/>
              <w:jc w:val="center"/>
              <w:rPr>
                <w:sz w:val="24"/>
                <w:szCs w:val="24"/>
              </w:rPr>
            </w:pPr>
            <w:r w:rsidRPr="00097721">
              <w:rPr>
                <w:rFonts w:cs="Calibri"/>
                <w:sz w:val="24"/>
                <w:szCs w:val="24"/>
              </w:rPr>
              <w:t>6251</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58E451BC" w14:textId="77777777">
            <w:pPr>
              <w:keepNext/>
              <w:spacing w:after="120" w:line="240" w:lineRule="auto"/>
              <w:ind w:firstLine="0"/>
              <w:jc w:val="center"/>
              <w:rPr>
                <w:sz w:val="24"/>
                <w:szCs w:val="24"/>
              </w:rPr>
            </w:pPr>
            <w:r w:rsidRPr="00097721">
              <w:rPr>
                <w:rFonts w:cs="Calibri"/>
                <w:sz w:val="24"/>
                <w:szCs w:val="24"/>
              </w:rPr>
              <w:t>15833</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4A208066" w14:textId="77777777">
            <w:pPr>
              <w:keepNext/>
              <w:spacing w:after="120" w:line="240" w:lineRule="auto"/>
              <w:ind w:firstLine="0"/>
              <w:jc w:val="center"/>
              <w:rPr>
                <w:sz w:val="24"/>
                <w:szCs w:val="24"/>
              </w:rPr>
            </w:pPr>
            <w:r w:rsidRPr="00097721">
              <w:rPr>
                <w:rFonts w:cs="Calibri"/>
                <w:sz w:val="24"/>
                <w:szCs w:val="24"/>
              </w:rPr>
              <w:t>1162</w:t>
            </w:r>
          </w:p>
        </w:tc>
      </w:tr>
      <w:tr w:rsidRPr="00097721" w:rsidR="00097721" w:rsidTr="00E531A4" w14:paraId="09FE97A8"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531C0100" w14:textId="77777777">
            <w:pPr>
              <w:keepNext/>
              <w:keepLines/>
              <w:spacing w:after="120" w:line="240" w:lineRule="auto"/>
              <w:ind w:firstLine="0"/>
              <w:rPr>
                <w:sz w:val="24"/>
                <w:szCs w:val="24"/>
              </w:rPr>
            </w:pPr>
            <w:r w:rsidRPr="00097721">
              <w:rPr>
                <w:sz w:val="24"/>
                <w:szCs w:val="24"/>
              </w:rPr>
              <w:t>April</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745F472C" w14:textId="77777777">
            <w:pPr>
              <w:keepNext/>
              <w:spacing w:after="120" w:line="240" w:lineRule="auto"/>
              <w:jc w:val="center"/>
              <w:rPr>
                <w:sz w:val="24"/>
                <w:szCs w:val="24"/>
              </w:rPr>
            </w:pPr>
            <w:r w:rsidRPr="00097721">
              <w:rPr>
                <w:rFonts w:cs="Calibri"/>
                <w:sz w:val="24"/>
                <w:szCs w:val="24"/>
              </w:rPr>
              <w:t>23817</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063A4B97" w14:textId="77777777">
            <w:pPr>
              <w:keepNext/>
              <w:spacing w:after="120" w:line="240" w:lineRule="auto"/>
              <w:ind w:firstLine="0"/>
              <w:jc w:val="center"/>
              <w:rPr>
                <w:sz w:val="24"/>
                <w:szCs w:val="24"/>
              </w:rPr>
            </w:pPr>
            <w:r w:rsidRPr="00097721">
              <w:rPr>
                <w:rFonts w:cs="Calibri"/>
                <w:sz w:val="24"/>
                <w:szCs w:val="24"/>
              </w:rPr>
              <w:t>22643</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057282DA" w14:textId="77777777">
            <w:pPr>
              <w:keepNext/>
              <w:spacing w:after="120" w:line="240" w:lineRule="auto"/>
              <w:ind w:firstLine="0"/>
              <w:jc w:val="center"/>
              <w:rPr>
                <w:sz w:val="24"/>
                <w:szCs w:val="24"/>
              </w:rPr>
            </w:pPr>
            <w:r w:rsidRPr="00097721">
              <w:rPr>
                <w:rFonts w:cs="Calibri"/>
                <w:sz w:val="24"/>
                <w:szCs w:val="24"/>
              </w:rPr>
              <w:t>6089</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15129201" w14:textId="77777777">
            <w:pPr>
              <w:keepNext/>
              <w:spacing w:after="120" w:line="240" w:lineRule="auto"/>
              <w:ind w:firstLine="0"/>
              <w:jc w:val="center"/>
              <w:rPr>
                <w:sz w:val="24"/>
                <w:szCs w:val="24"/>
              </w:rPr>
            </w:pPr>
            <w:r w:rsidRPr="00097721">
              <w:rPr>
                <w:rFonts w:cs="Calibri"/>
                <w:sz w:val="24"/>
                <w:szCs w:val="24"/>
              </w:rPr>
              <w:t>15422</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0477FBAC" w14:textId="77777777">
            <w:pPr>
              <w:keepNext/>
              <w:spacing w:after="120" w:line="240" w:lineRule="auto"/>
              <w:ind w:firstLine="0"/>
              <w:jc w:val="center"/>
              <w:rPr>
                <w:sz w:val="24"/>
                <w:szCs w:val="24"/>
              </w:rPr>
            </w:pPr>
            <w:r w:rsidRPr="00097721">
              <w:rPr>
                <w:rFonts w:cs="Calibri"/>
                <w:sz w:val="24"/>
                <w:szCs w:val="24"/>
              </w:rPr>
              <w:t>1132</w:t>
            </w:r>
          </w:p>
        </w:tc>
      </w:tr>
      <w:tr w:rsidRPr="00097721" w:rsidR="00097721" w:rsidTr="00E531A4" w14:paraId="67D5CA38"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070CB4EB" w14:textId="77777777">
            <w:pPr>
              <w:keepNext/>
              <w:keepLines/>
              <w:spacing w:after="120" w:line="240" w:lineRule="auto"/>
              <w:ind w:firstLine="0"/>
              <w:rPr>
                <w:sz w:val="24"/>
                <w:szCs w:val="24"/>
              </w:rPr>
            </w:pPr>
            <w:r w:rsidRPr="00097721">
              <w:rPr>
                <w:sz w:val="24"/>
                <w:szCs w:val="24"/>
              </w:rPr>
              <w:t>May</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0D854748" w14:textId="77777777">
            <w:pPr>
              <w:keepNext/>
              <w:spacing w:after="120" w:line="240" w:lineRule="auto"/>
              <w:jc w:val="center"/>
              <w:rPr>
                <w:sz w:val="24"/>
                <w:szCs w:val="24"/>
              </w:rPr>
            </w:pPr>
            <w:r w:rsidRPr="00097721">
              <w:rPr>
                <w:rFonts w:cs="Calibri"/>
                <w:sz w:val="24"/>
                <w:szCs w:val="24"/>
              </w:rPr>
              <w:t>23485</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4D0C5991" w14:textId="77777777">
            <w:pPr>
              <w:keepNext/>
              <w:spacing w:after="120" w:line="240" w:lineRule="auto"/>
              <w:ind w:firstLine="0"/>
              <w:jc w:val="center"/>
              <w:rPr>
                <w:sz w:val="24"/>
                <w:szCs w:val="24"/>
              </w:rPr>
            </w:pPr>
            <w:r w:rsidRPr="00097721">
              <w:rPr>
                <w:rFonts w:cs="Calibri"/>
                <w:sz w:val="24"/>
                <w:szCs w:val="24"/>
              </w:rPr>
              <w:t>22293</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6DD4E34B" w14:textId="77777777">
            <w:pPr>
              <w:keepNext/>
              <w:spacing w:after="120" w:line="240" w:lineRule="auto"/>
              <w:ind w:firstLine="0"/>
              <w:jc w:val="center"/>
              <w:rPr>
                <w:sz w:val="24"/>
                <w:szCs w:val="24"/>
              </w:rPr>
            </w:pPr>
            <w:r w:rsidRPr="00097721">
              <w:rPr>
                <w:rFonts w:cs="Calibri"/>
                <w:sz w:val="24"/>
                <w:szCs w:val="24"/>
              </w:rPr>
              <w:t>8303</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1B20A95D" w14:textId="77777777">
            <w:pPr>
              <w:keepNext/>
              <w:spacing w:after="120" w:line="240" w:lineRule="auto"/>
              <w:ind w:firstLine="0"/>
              <w:jc w:val="center"/>
              <w:rPr>
                <w:sz w:val="24"/>
                <w:szCs w:val="24"/>
              </w:rPr>
            </w:pPr>
            <w:r w:rsidRPr="00097721">
              <w:rPr>
                <w:rFonts w:cs="Calibri"/>
                <w:sz w:val="24"/>
                <w:szCs w:val="24"/>
              </w:rPr>
              <w:t>12875</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4F0E04AA" w14:textId="77777777">
            <w:pPr>
              <w:keepNext/>
              <w:spacing w:after="120" w:line="240" w:lineRule="auto"/>
              <w:ind w:firstLine="0"/>
              <w:jc w:val="center"/>
              <w:rPr>
                <w:sz w:val="24"/>
                <w:szCs w:val="24"/>
              </w:rPr>
            </w:pPr>
            <w:r w:rsidRPr="00097721">
              <w:rPr>
                <w:rFonts w:cs="Calibri"/>
                <w:sz w:val="24"/>
                <w:szCs w:val="24"/>
              </w:rPr>
              <w:t>1115</w:t>
            </w:r>
          </w:p>
        </w:tc>
      </w:tr>
      <w:tr w:rsidRPr="00097721" w:rsidR="00097721" w:rsidTr="00E531A4" w14:paraId="67B66843"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0FBBA5BB" w14:textId="77777777">
            <w:pPr>
              <w:keepNext/>
              <w:keepLines/>
              <w:spacing w:after="120" w:line="240" w:lineRule="auto"/>
              <w:ind w:firstLine="0"/>
              <w:rPr>
                <w:sz w:val="24"/>
                <w:szCs w:val="24"/>
              </w:rPr>
            </w:pPr>
            <w:r w:rsidRPr="00097721">
              <w:rPr>
                <w:sz w:val="24"/>
                <w:szCs w:val="24"/>
              </w:rPr>
              <w:t>June</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2CD1B32D" w14:textId="77777777">
            <w:pPr>
              <w:keepNext/>
              <w:spacing w:after="120" w:line="240" w:lineRule="auto"/>
              <w:jc w:val="center"/>
              <w:rPr>
                <w:sz w:val="24"/>
                <w:szCs w:val="24"/>
              </w:rPr>
            </w:pPr>
            <w:r w:rsidRPr="00097721">
              <w:rPr>
                <w:rFonts w:cs="Calibri"/>
                <w:sz w:val="24"/>
                <w:szCs w:val="24"/>
              </w:rPr>
              <w:t>23897</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03D3A0B0" w14:textId="77777777">
            <w:pPr>
              <w:keepNext/>
              <w:spacing w:after="120" w:line="240" w:lineRule="auto"/>
              <w:ind w:firstLine="0"/>
              <w:jc w:val="center"/>
              <w:rPr>
                <w:sz w:val="24"/>
                <w:szCs w:val="24"/>
              </w:rPr>
            </w:pPr>
            <w:r w:rsidRPr="00097721">
              <w:rPr>
                <w:rFonts w:cs="Calibri"/>
                <w:sz w:val="24"/>
                <w:szCs w:val="24"/>
              </w:rPr>
              <w:t>22776</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68C84385" w14:textId="77777777">
            <w:pPr>
              <w:keepNext/>
              <w:spacing w:after="120" w:line="240" w:lineRule="auto"/>
              <w:ind w:firstLine="0"/>
              <w:jc w:val="center"/>
              <w:rPr>
                <w:sz w:val="24"/>
                <w:szCs w:val="24"/>
              </w:rPr>
            </w:pPr>
            <w:r w:rsidRPr="00097721">
              <w:rPr>
                <w:rFonts w:cs="Calibri"/>
                <w:sz w:val="24"/>
                <w:szCs w:val="24"/>
              </w:rPr>
              <w:t>8483</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65D33F5F" w14:textId="77777777">
            <w:pPr>
              <w:keepNext/>
              <w:spacing w:after="120" w:line="240" w:lineRule="auto"/>
              <w:ind w:firstLine="0"/>
              <w:jc w:val="center"/>
              <w:rPr>
                <w:sz w:val="24"/>
                <w:szCs w:val="24"/>
              </w:rPr>
            </w:pPr>
            <w:r w:rsidRPr="00097721">
              <w:rPr>
                <w:rFonts w:cs="Calibri"/>
                <w:sz w:val="24"/>
                <w:szCs w:val="24"/>
              </w:rPr>
              <w:t>13154</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74331B97" w14:textId="77777777">
            <w:pPr>
              <w:keepNext/>
              <w:spacing w:after="120" w:line="240" w:lineRule="auto"/>
              <w:ind w:firstLine="0"/>
              <w:jc w:val="center"/>
              <w:rPr>
                <w:sz w:val="24"/>
                <w:szCs w:val="24"/>
              </w:rPr>
            </w:pPr>
            <w:r w:rsidRPr="00097721">
              <w:rPr>
                <w:rFonts w:cs="Calibri"/>
                <w:sz w:val="24"/>
                <w:szCs w:val="24"/>
              </w:rPr>
              <w:t>1139</w:t>
            </w:r>
          </w:p>
        </w:tc>
      </w:tr>
      <w:tr w:rsidRPr="00097721" w:rsidR="00097721" w:rsidTr="00E531A4" w14:paraId="13B55FBD"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5BCACEA5" w14:textId="77777777">
            <w:pPr>
              <w:keepNext/>
              <w:keepLines/>
              <w:spacing w:after="120" w:line="240" w:lineRule="auto"/>
              <w:ind w:firstLine="0"/>
              <w:rPr>
                <w:sz w:val="24"/>
                <w:szCs w:val="24"/>
              </w:rPr>
            </w:pPr>
            <w:r w:rsidRPr="00097721">
              <w:rPr>
                <w:sz w:val="24"/>
                <w:szCs w:val="24"/>
              </w:rPr>
              <w:t>July</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0E6676E5" w14:textId="77777777">
            <w:pPr>
              <w:keepNext/>
              <w:spacing w:after="120" w:line="240" w:lineRule="auto"/>
              <w:jc w:val="center"/>
              <w:rPr>
                <w:sz w:val="24"/>
                <w:szCs w:val="24"/>
              </w:rPr>
            </w:pPr>
            <w:r w:rsidRPr="00097721">
              <w:rPr>
                <w:rFonts w:cs="Calibri"/>
                <w:sz w:val="24"/>
                <w:szCs w:val="24"/>
              </w:rPr>
              <w:t>20651</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0BEBF8B3" w14:textId="77777777">
            <w:pPr>
              <w:keepNext/>
              <w:spacing w:after="120" w:line="240" w:lineRule="auto"/>
              <w:ind w:firstLine="0"/>
              <w:jc w:val="center"/>
              <w:rPr>
                <w:sz w:val="24"/>
                <w:szCs w:val="24"/>
              </w:rPr>
            </w:pPr>
            <w:r w:rsidRPr="00097721">
              <w:rPr>
                <w:rFonts w:cs="Calibri"/>
                <w:sz w:val="24"/>
                <w:szCs w:val="24"/>
              </w:rPr>
              <w:t>19836</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76B0A5C5" w14:textId="77777777">
            <w:pPr>
              <w:keepNext/>
              <w:spacing w:after="120" w:line="240" w:lineRule="auto"/>
              <w:ind w:firstLine="0"/>
              <w:jc w:val="center"/>
              <w:rPr>
                <w:sz w:val="24"/>
                <w:szCs w:val="24"/>
              </w:rPr>
            </w:pPr>
            <w:r w:rsidRPr="00097721">
              <w:rPr>
                <w:rFonts w:cs="Calibri"/>
                <w:sz w:val="24"/>
                <w:szCs w:val="24"/>
              </w:rPr>
              <w:t>7388</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71D45FFD" w14:textId="77777777">
            <w:pPr>
              <w:keepNext/>
              <w:spacing w:after="120" w:line="240" w:lineRule="auto"/>
              <w:ind w:firstLine="0"/>
              <w:jc w:val="center"/>
              <w:rPr>
                <w:sz w:val="24"/>
                <w:szCs w:val="24"/>
              </w:rPr>
            </w:pPr>
            <w:r w:rsidRPr="00097721">
              <w:rPr>
                <w:rFonts w:cs="Calibri"/>
                <w:sz w:val="24"/>
                <w:szCs w:val="24"/>
              </w:rPr>
              <w:t>11456</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7B735CA0" w14:textId="77777777">
            <w:pPr>
              <w:keepNext/>
              <w:spacing w:after="120" w:line="240" w:lineRule="auto"/>
              <w:ind w:firstLine="0"/>
              <w:jc w:val="center"/>
              <w:rPr>
                <w:sz w:val="24"/>
                <w:szCs w:val="24"/>
              </w:rPr>
            </w:pPr>
            <w:r w:rsidRPr="00097721">
              <w:rPr>
                <w:rFonts w:cs="Calibri"/>
                <w:sz w:val="24"/>
                <w:szCs w:val="24"/>
              </w:rPr>
              <w:t>992</w:t>
            </w:r>
          </w:p>
        </w:tc>
      </w:tr>
      <w:tr w:rsidRPr="00097721" w:rsidR="00097721" w:rsidTr="00E531A4" w14:paraId="3E16CD38"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302681A5" w14:textId="77777777">
            <w:pPr>
              <w:keepNext/>
              <w:keepLines/>
              <w:spacing w:after="120" w:line="240" w:lineRule="auto"/>
              <w:ind w:firstLine="0"/>
              <w:rPr>
                <w:sz w:val="24"/>
                <w:szCs w:val="24"/>
              </w:rPr>
            </w:pPr>
            <w:r w:rsidRPr="00097721">
              <w:rPr>
                <w:sz w:val="24"/>
                <w:szCs w:val="24"/>
              </w:rPr>
              <w:t>August</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50486252" w14:textId="77777777">
            <w:pPr>
              <w:keepNext/>
              <w:spacing w:after="120" w:line="240" w:lineRule="auto"/>
              <w:jc w:val="center"/>
              <w:rPr>
                <w:sz w:val="24"/>
                <w:szCs w:val="24"/>
              </w:rPr>
            </w:pPr>
            <w:r w:rsidRPr="00097721">
              <w:rPr>
                <w:rFonts w:cs="Calibri"/>
                <w:sz w:val="24"/>
                <w:szCs w:val="24"/>
              </w:rPr>
              <w:t>22018</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03F0B34B" w14:textId="77777777">
            <w:pPr>
              <w:keepNext/>
              <w:spacing w:after="120" w:line="240" w:lineRule="auto"/>
              <w:ind w:firstLine="0"/>
              <w:jc w:val="center"/>
              <w:rPr>
                <w:sz w:val="24"/>
                <w:szCs w:val="24"/>
              </w:rPr>
            </w:pPr>
            <w:r w:rsidRPr="00097721">
              <w:rPr>
                <w:rFonts w:cs="Calibri"/>
                <w:sz w:val="24"/>
                <w:szCs w:val="24"/>
              </w:rPr>
              <w:t>21087</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441AED02" w14:textId="77777777">
            <w:pPr>
              <w:keepNext/>
              <w:spacing w:after="120" w:line="240" w:lineRule="auto"/>
              <w:ind w:firstLine="0"/>
              <w:jc w:val="center"/>
              <w:rPr>
                <w:sz w:val="24"/>
                <w:szCs w:val="24"/>
              </w:rPr>
            </w:pPr>
            <w:r w:rsidRPr="00097721">
              <w:rPr>
                <w:rFonts w:cs="Calibri"/>
                <w:sz w:val="24"/>
                <w:szCs w:val="24"/>
              </w:rPr>
              <w:t>7854</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5803385F" w14:textId="77777777">
            <w:pPr>
              <w:keepNext/>
              <w:spacing w:after="120" w:line="240" w:lineRule="auto"/>
              <w:ind w:firstLine="0"/>
              <w:jc w:val="center"/>
              <w:rPr>
                <w:sz w:val="24"/>
                <w:szCs w:val="24"/>
              </w:rPr>
            </w:pPr>
            <w:r w:rsidRPr="00097721">
              <w:rPr>
                <w:rFonts w:cs="Calibri"/>
                <w:sz w:val="24"/>
                <w:szCs w:val="24"/>
              </w:rPr>
              <w:t>12179</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0E967BC4" w14:textId="77777777">
            <w:pPr>
              <w:keepNext/>
              <w:spacing w:after="120" w:line="240" w:lineRule="auto"/>
              <w:ind w:firstLine="0"/>
              <w:jc w:val="center"/>
              <w:rPr>
                <w:sz w:val="24"/>
                <w:szCs w:val="24"/>
              </w:rPr>
            </w:pPr>
            <w:r w:rsidRPr="00097721">
              <w:rPr>
                <w:rFonts w:cs="Calibri"/>
                <w:sz w:val="24"/>
                <w:szCs w:val="24"/>
              </w:rPr>
              <w:t>1054</w:t>
            </w:r>
          </w:p>
        </w:tc>
      </w:tr>
      <w:tr w:rsidRPr="00097721" w:rsidR="00097721" w:rsidTr="00E531A4" w14:paraId="5400C8E9"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0BCBADF8" w14:textId="77777777">
            <w:pPr>
              <w:keepNext/>
              <w:keepLines/>
              <w:spacing w:after="120" w:line="240" w:lineRule="auto"/>
              <w:ind w:firstLine="0"/>
              <w:rPr>
                <w:sz w:val="24"/>
                <w:szCs w:val="24"/>
              </w:rPr>
            </w:pPr>
            <w:r w:rsidRPr="00097721">
              <w:rPr>
                <w:sz w:val="24"/>
                <w:szCs w:val="24"/>
              </w:rPr>
              <w:t>September</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1FDDC7A8" w14:textId="77777777">
            <w:pPr>
              <w:keepNext/>
              <w:spacing w:after="120" w:line="240" w:lineRule="auto"/>
              <w:jc w:val="center"/>
              <w:rPr>
                <w:sz w:val="24"/>
                <w:szCs w:val="24"/>
              </w:rPr>
            </w:pPr>
            <w:r w:rsidRPr="00097721">
              <w:rPr>
                <w:rFonts w:cs="Calibri"/>
                <w:sz w:val="24"/>
                <w:szCs w:val="24"/>
              </w:rPr>
              <w:t>23135</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1A41333A" w14:textId="77777777">
            <w:pPr>
              <w:keepNext/>
              <w:spacing w:after="120" w:line="240" w:lineRule="auto"/>
              <w:ind w:firstLine="0"/>
              <w:jc w:val="center"/>
              <w:rPr>
                <w:sz w:val="24"/>
                <w:szCs w:val="24"/>
              </w:rPr>
            </w:pPr>
            <w:r w:rsidRPr="00097721">
              <w:rPr>
                <w:rFonts w:cs="Calibri"/>
                <w:sz w:val="24"/>
                <w:szCs w:val="24"/>
              </w:rPr>
              <w:t>22226</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5256FE94" w14:textId="77777777">
            <w:pPr>
              <w:keepNext/>
              <w:spacing w:after="120" w:line="240" w:lineRule="auto"/>
              <w:ind w:firstLine="0"/>
              <w:jc w:val="center"/>
              <w:rPr>
                <w:sz w:val="24"/>
                <w:szCs w:val="24"/>
              </w:rPr>
            </w:pPr>
            <w:r w:rsidRPr="00097721">
              <w:rPr>
                <w:rFonts w:cs="Calibri"/>
                <w:sz w:val="24"/>
                <w:szCs w:val="24"/>
              </w:rPr>
              <w:t>8278</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6E714AAE" w14:textId="77777777">
            <w:pPr>
              <w:keepNext/>
              <w:spacing w:after="120" w:line="240" w:lineRule="auto"/>
              <w:ind w:firstLine="0"/>
              <w:jc w:val="center"/>
              <w:rPr>
                <w:sz w:val="24"/>
                <w:szCs w:val="24"/>
              </w:rPr>
            </w:pPr>
            <w:r w:rsidRPr="00097721">
              <w:rPr>
                <w:rFonts w:cs="Calibri"/>
                <w:sz w:val="24"/>
                <w:szCs w:val="24"/>
              </w:rPr>
              <w:t>12837</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0B4AEA07" w14:textId="77777777">
            <w:pPr>
              <w:keepNext/>
              <w:spacing w:after="120" w:line="240" w:lineRule="auto"/>
              <w:ind w:firstLine="0"/>
              <w:jc w:val="center"/>
              <w:rPr>
                <w:sz w:val="24"/>
                <w:szCs w:val="24"/>
              </w:rPr>
            </w:pPr>
            <w:r w:rsidRPr="00097721">
              <w:rPr>
                <w:rFonts w:cs="Calibri"/>
                <w:sz w:val="24"/>
                <w:szCs w:val="24"/>
              </w:rPr>
              <w:t>1111</w:t>
            </w:r>
          </w:p>
        </w:tc>
      </w:tr>
      <w:tr w:rsidRPr="00097721" w:rsidR="00097721" w:rsidTr="00E531A4" w14:paraId="4301C7BE"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3D287F97" w14:textId="77777777">
            <w:pPr>
              <w:keepNext/>
              <w:keepLines/>
              <w:spacing w:after="120" w:line="240" w:lineRule="auto"/>
              <w:ind w:firstLine="0"/>
              <w:rPr>
                <w:sz w:val="24"/>
                <w:szCs w:val="24"/>
              </w:rPr>
            </w:pPr>
            <w:r w:rsidRPr="00097721">
              <w:rPr>
                <w:sz w:val="24"/>
                <w:szCs w:val="24"/>
              </w:rPr>
              <w:t>October</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55B3A1BD" w14:textId="77777777">
            <w:pPr>
              <w:keepNext/>
              <w:spacing w:after="120" w:line="240" w:lineRule="auto"/>
              <w:jc w:val="center"/>
              <w:rPr>
                <w:sz w:val="24"/>
                <w:szCs w:val="24"/>
              </w:rPr>
            </w:pPr>
            <w:r w:rsidRPr="00097721">
              <w:rPr>
                <w:rFonts w:cs="Calibri"/>
                <w:sz w:val="24"/>
                <w:szCs w:val="24"/>
              </w:rPr>
              <w:t>22655</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6750C05A" w14:textId="77777777">
            <w:pPr>
              <w:keepNext/>
              <w:spacing w:after="120" w:line="240" w:lineRule="auto"/>
              <w:ind w:firstLine="0"/>
              <w:jc w:val="center"/>
              <w:rPr>
                <w:sz w:val="24"/>
                <w:szCs w:val="24"/>
              </w:rPr>
            </w:pPr>
            <w:r w:rsidRPr="00097721">
              <w:rPr>
                <w:rFonts w:cs="Calibri"/>
                <w:sz w:val="24"/>
                <w:szCs w:val="24"/>
              </w:rPr>
              <w:t>21745</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1FF01DBB" w14:textId="77777777">
            <w:pPr>
              <w:keepNext/>
              <w:spacing w:after="120" w:line="240" w:lineRule="auto"/>
              <w:ind w:firstLine="0"/>
              <w:jc w:val="center"/>
              <w:rPr>
                <w:sz w:val="24"/>
                <w:szCs w:val="24"/>
              </w:rPr>
            </w:pPr>
            <w:r w:rsidRPr="00097721">
              <w:rPr>
                <w:rFonts w:cs="Calibri"/>
                <w:sz w:val="24"/>
                <w:szCs w:val="24"/>
              </w:rPr>
              <w:t>5847</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59B14B06" w14:textId="77777777">
            <w:pPr>
              <w:keepNext/>
              <w:spacing w:after="120" w:line="240" w:lineRule="auto"/>
              <w:ind w:firstLine="0"/>
              <w:jc w:val="center"/>
              <w:rPr>
                <w:sz w:val="24"/>
                <w:szCs w:val="24"/>
              </w:rPr>
            </w:pPr>
            <w:r w:rsidRPr="00097721">
              <w:rPr>
                <w:rFonts w:cs="Calibri"/>
                <w:sz w:val="24"/>
                <w:szCs w:val="24"/>
              </w:rPr>
              <w:t>14811</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019818F3" w14:textId="77777777">
            <w:pPr>
              <w:keepNext/>
              <w:spacing w:after="120" w:line="240" w:lineRule="auto"/>
              <w:ind w:firstLine="0"/>
              <w:jc w:val="center"/>
              <w:rPr>
                <w:sz w:val="24"/>
                <w:szCs w:val="24"/>
              </w:rPr>
            </w:pPr>
            <w:r w:rsidRPr="00097721">
              <w:rPr>
                <w:rFonts w:cs="Calibri"/>
                <w:sz w:val="24"/>
                <w:szCs w:val="24"/>
              </w:rPr>
              <w:t>1087</w:t>
            </w:r>
          </w:p>
        </w:tc>
      </w:tr>
      <w:tr w:rsidRPr="00097721" w:rsidR="00097721" w:rsidTr="00E531A4" w14:paraId="2AD091B6"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365896F9" w14:textId="77777777">
            <w:pPr>
              <w:keepNext/>
              <w:keepLines/>
              <w:spacing w:after="120" w:line="240" w:lineRule="auto"/>
              <w:ind w:firstLine="0"/>
              <w:rPr>
                <w:sz w:val="24"/>
                <w:szCs w:val="24"/>
              </w:rPr>
            </w:pPr>
            <w:r w:rsidRPr="00097721">
              <w:rPr>
                <w:sz w:val="24"/>
                <w:szCs w:val="24"/>
              </w:rPr>
              <w:t>November</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7FA49051" w14:textId="77777777">
            <w:pPr>
              <w:keepNext/>
              <w:spacing w:after="120" w:line="240" w:lineRule="auto"/>
              <w:jc w:val="center"/>
              <w:rPr>
                <w:sz w:val="24"/>
                <w:szCs w:val="24"/>
              </w:rPr>
            </w:pPr>
            <w:r w:rsidRPr="00097721">
              <w:rPr>
                <w:rFonts w:cs="Calibri"/>
                <w:sz w:val="24"/>
                <w:szCs w:val="24"/>
              </w:rPr>
              <w:t>23081</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674166AA" w14:textId="77777777">
            <w:pPr>
              <w:keepNext/>
              <w:spacing w:after="120" w:line="240" w:lineRule="auto"/>
              <w:ind w:firstLine="0"/>
              <w:jc w:val="center"/>
              <w:rPr>
                <w:sz w:val="24"/>
                <w:szCs w:val="24"/>
              </w:rPr>
            </w:pPr>
            <w:r w:rsidRPr="00097721">
              <w:rPr>
                <w:rFonts w:cs="Calibri"/>
                <w:sz w:val="24"/>
                <w:szCs w:val="24"/>
              </w:rPr>
              <w:t>22145</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530C6FAF" w14:textId="77777777">
            <w:pPr>
              <w:keepNext/>
              <w:spacing w:after="120" w:line="240" w:lineRule="auto"/>
              <w:ind w:firstLine="0"/>
              <w:jc w:val="center"/>
              <w:rPr>
                <w:sz w:val="24"/>
                <w:szCs w:val="24"/>
              </w:rPr>
            </w:pPr>
            <w:r w:rsidRPr="00097721">
              <w:rPr>
                <w:rFonts w:cs="Calibri"/>
                <w:sz w:val="24"/>
                <w:szCs w:val="24"/>
              </w:rPr>
              <w:t>5955</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1F2563F1" w14:textId="77777777">
            <w:pPr>
              <w:keepNext/>
              <w:spacing w:after="120" w:line="240" w:lineRule="auto"/>
              <w:ind w:firstLine="0"/>
              <w:jc w:val="center"/>
              <w:rPr>
                <w:sz w:val="24"/>
                <w:szCs w:val="24"/>
              </w:rPr>
            </w:pPr>
            <w:r w:rsidRPr="00097721">
              <w:rPr>
                <w:rFonts w:cs="Calibri"/>
                <w:sz w:val="24"/>
                <w:szCs w:val="24"/>
              </w:rPr>
              <w:t>15083</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7877E672" w14:textId="77777777">
            <w:pPr>
              <w:keepNext/>
              <w:spacing w:after="120" w:line="240" w:lineRule="auto"/>
              <w:ind w:firstLine="0"/>
              <w:jc w:val="center"/>
              <w:rPr>
                <w:sz w:val="24"/>
                <w:szCs w:val="24"/>
              </w:rPr>
            </w:pPr>
            <w:r w:rsidRPr="00097721">
              <w:rPr>
                <w:rFonts w:cs="Calibri"/>
                <w:sz w:val="24"/>
                <w:szCs w:val="24"/>
              </w:rPr>
              <w:t>1107</w:t>
            </w:r>
          </w:p>
        </w:tc>
      </w:tr>
      <w:tr w:rsidRPr="00097721" w:rsidR="009524C9" w:rsidTr="00E531A4" w14:paraId="48E8EAE5" w14:textId="77777777">
        <w:trPr>
          <w:trHeight w:val="360" w:hRule="exact"/>
          <w:jc w:val="center"/>
        </w:trPr>
        <w:tc>
          <w:tcPr>
            <w:tcW w:w="757" w:type="pct"/>
            <w:tcBorders>
              <w:top w:val="nil"/>
              <w:left w:val="single" w:color="auto" w:sz="8" w:space="0"/>
              <w:bottom w:val="single" w:color="auto" w:sz="8" w:space="0"/>
              <w:right w:val="single" w:color="auto" w:sz="8" w:space="0"/>
            </w:tcBorders>
            <w:vAlign w:val="center"/>
            <w:hideMark/>
          </w:tcPr>
          <w:p w:rsidRPr="00097721" w:rsidR="009524C9" w:rsidP="004601E0" w:rsidRDefault="009524C9" w14:paraId="1E72B4FB" w14:textId="77777777">
            <w:pPr>
              <w:keepNext/>
              <w:keepLines/>
              <w:spacing w:after="120" w:line="240" w:lineRule="auto"/>
              <w:ind w:firstLine="0"/>
              <w:rPr>
                <w:sz w:val="24"/>
                <w:szCs w:val="24"/>
              </w:rPr>
            </w:pPr>
            <w:r w:rsidRPr="00097721">
              <w:rPr>
                <w:sz w:val="24"/>
                <w:szCs w:val="24"/>
              </w:rPr>
              <w:t>December</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3195CE10" w14:textId="77777777">
            <w:pPr>
              <w:keepNext/>
              <w:keepLines/>
              <w:spacing w:after="120" w:line="240" w:lineRule="auto"/>
              <w:jc w:val="center"/>
              <w:rPr>
                <w:sz w:val="24"/>
                <w:szCs w:val="24"/>
              </w:rPr>
            </w:pPr>
            <w:r w:rsidRPr="00097721">
              <w:rPr>
                <w:rFonts w:cs="Calibri"/>
                <w:sz w:val="24"/>
                <w:szCs w:val="24"/>
              </w:rPr>
              <w:t>20900</w:t>
            </w:r>
          </w:p>
        </w:tc>
        <w:tc>
          <w:tcPr>
            <w:tcW w:w="877" w:type="pct"/>
            <w:tcBorders>
              <w:top w:val="nil"/>
              <w:left w:val="nil"/>
              <w:bottom w:val="single" w:color="auto" w:sz="8" w:space="0"/>
              <w:right w:val="single" w:color="auto" w:sz="8" w:space="0"/>
            </w:tcBorders>
            <w:vAlign w:val="bottom"/>
          </w:tcPr>
          <w:p w:rsidRPr="00097721" w:rsidR="009524C9" w:rsidP="004601E0" w:rsidRDefault="009524C9" w14:paraId="5B0EFD39" w14:textId="77777777">
            <w:pPr>
              <w:keepNext/>
              <w:keepLines/>
              <w:spacing w:after="120" w:line="240" w:lineRule="auto"/>
              <w:ind w:firstLine="0"/>
              <w:jc w:val="center"/>
              <w:rPr>
                <w:sz w:val="24"/>
                <w:szCs w:val="24"/>
              </w:rPr>
            </w:pPr>
            <w:r w:rsidRPr="00097721">
              <w:rPr>
                <w:rFonts w:cs="Calibri"/>
                <w:sz w:val="24"/>
                <w:szCs w:val="24"/>
              </w:rPr>
              <w:t>20093</w:t>
            </w:r>
          </w:p>
        </w:tc>
        <w:tc>
          <w:tcPr>
            <w:tcW w:w="795" w:type="pct"/>
            <w:tcBorders>
              <w:top w:val="nil"/>
              <w:left w:val="nil"/>
              <w:bottom w:val="single" w:color="auto" w:sz="8" w:space="0"/>
              <w:right w:val="single" w:color="auto" w:sz="8" w:space="0"/>
            </w:tcBorders>
            <w:vAlign w:val="bottom"/>
          </w:tcPr>
          <w:p w:rsidRPr="00097721" w:rsidR="009524C9" w:rsidP="004601E0" w:rsidRDefault="009524C9" w14:paraId="6915637F" w14:textId="77777777">
            <w:pPr>
              <w:keepNext/>
              <w:keepLines/>
              <w:spacing w:after="120" w:line="240" w:lineRule="auto"/>
              <w:ind w:firstLine="0"/>
              <w:jc w:val="center"/>
              <w:rPr>
                <w:sz w:val="24"/>
                <w:szCs w:val="24"/>
              </w:rPr>
            </w:pPr>
            <w:r w:rsidRPr="00097721">
              <w:rPr>
                <w:rFonts w:cs="Calibri"/>
                <w:sz w:val="24"/>
                <w:szCs w:val="24"/>
              </w:rPr>
              <w:t>5403</w:t>
            </w:r>
          </w:p>
        </w:tc>
        <w:tc>
          <w:tcPr>
            <w:tcW w:w="864" w:type="pct"/>
            <w:tcBorders>
              <w:top w:val="nil"/>
              <w:left w:val="nil"/>
              <w:bottom w:val="single" w:color="auto" w:sz="8" w:space="0"/>
              <w:right w:val="single" w:color="auto" w:sz="8" w:space="0"/>
            </w:tcBorders>
            <w:vAlign w:val="bottom"/>
          </w:tcPr>
          <w:p w:rsidRPr="00097721" w:rsidR="009524C9" w:rsidP="004601E0" w:rsidRDefault="009524C9" w14:paraId="7496FFA3" w14:textId="77777777">
            <w:pPr>
              <w:keepNext/>
              <w:keepLines/>
              <w:spacing w:after="120" w:line="240" w:lineRule="auto"/>
              <w:ind w:firstLine="0"/>
              <w:jc w:val="center"/>
              <w:rPr>
                <w:sz w:val="24"/>
                <w:szCs w:val="24"/>
              </w:rPr>
            </w:pPr>
            <w:r w:rsidRPr="00097721">
              <w:rPr>
                <w:rFonts w:cs="Calibri"/>
                <w:sz w:val="24"/>
                <w:szCs w:val="24"/>
              </w:rPr>
              <w:t>13685</w:t>
            </w:r>
          </w:p>
        </w:tc>
        <w:tc>
          <w:tcPr>
            <w:tcW w:w="830" w:type="pct"/>
            <w:tcBorders>
              <w:top w:val="nil"/>
              <w:left w:val="nil"/>
              <w:bottom w:val="single" w:color="auto" w:sz="8" w:space="0"/>
              <w:right w:val="single" w:color="auto" w:sz="8" w:space="0"/>
            </w:tcBorders>
            <w:vAlign w:val="bottom"/>
          </w:tcPr>
          <w:p w:rsidRPr="00097721" w:rsidR="009524C9" w:rsidP="004601E0" w:rsidRDefault="009524C9" w14:paraId="5FD9FDC2" w14:textId="77777777">
            <w:pPr>
              <w:keepNext/>
              <w:keepLines/>
              <w:spacing w:after="120" w:line="240" w:lineRule="auto"/>
              <w:ind w:firstLine="0"/>
              <w:jc w:val="center"/>
              <w:rPr>
                <w:sz w:val="24"/>
                <w:szCs w:val="24"/>
              </w:rPr>
            </w:pPr>
            <w:r w:rsidRPr="00097721">
              <w:rPr>
                <w:rFonts w:cs="Calibri"/>
                <w:sz w:val="24"/>
                <w:szCs w:val="24"/>
              </w:rPr>
              <w:t>1005</w:t>
            </w:r>
          </w:p>
        </w:tc>
      </w:tr>
    </w:tbl>
    <w:p w:rsidRPr="00097721" w:rsidR="00B133FF" w:rsidP="005514B4" w:rsidRDefault="00B133FF" w14:paraId="0FF635D5" w14:textId="77777777">
      <w:pPr>
        <w:pStyle w:val="Standard"/>
        <w:ind w:firstLine="0"/>
        <w:rPr>
          <w:sz w:val="12"/>
          <w:szCs w:val="12"/>
        </w:rPr>
      </w:pPr>
    </w:p>
    <w:p w:rsidRPr="00097721" w:rsidR="00B133FF" w:rsidP="00193495" w:rsidRDefault="008821D2" w14:paraId="15349100" w14:textId="77777777">
      <w:pPr>
        <w:pStyle w:val="Standard"/>
      </w:pPr>
      <w:r w:rsidRPr="00097721">
        <w:t>Despite</w:t>
      </w:r>
      <w:r w:rsidRPr="00097721" w:rsidR="00B133FF">
        <w:t xml:space="preserve"> the brief review period available for the Final FCR Report, the Commission </w:t>
      </w:r>
      <w:r w:rsidRPr="00097721">
        <w:t xml:space="preserve">reviewed the FCR figures and </w:t>
      </w:r>
      <w:r w:rsidRPr="00097721" w:rsidR="00B133FF">
        <w:t xml:space="preserve">finds that the figures appear reasonable.  Accordingly, CAISO’s recommended values set forth in the table above are adopted.  </w:t>
      </w:r>
    </w:p>
    <w:p w:rsidRPr="00097721" w:rsidR="00A36FE7" w:rsidP="00A36FE7" w:rsidRDefault="00A36FE7" w14:paraId="3F9A8D02" w14:textId="77777777">
      <w:pPr>
        <w:pStyle w:val="Heading2"/>
      </w:pPr>
      <w:bookmarkStart w:name="_Toc166841734" w:id="26"/>
      <w:r w:rsidRPr="00097721">
        <w:t>Delay of Slice-of-Day Implementation</w:t>
      </w:r>
      <w:bookmarkEnd w:id="26"/>
      <w:r w:rsidRPr="00097721">
        <w:t xml:space="preserve"> </w:t>
      </w:r>
    </w:p>
    <w:p w:rsidRPr="00097721" w:rsidR="00A36FE7" w:rsidP="00A36FE7" w:rsidRDefault="00A36FE7" w14:paraId="272056CD" w14:textId="2CF2D5A4">
      <w:pPr>
        <w:pStyle w:val="Standard"/>
      </w:pPr>
      <w:r w:rsidRPr="00097721">
        <w:t xml:space="preserve">In D.22-06-0250, the Commission determined that 2024 would be the test year </w:t>
      </w:r>
      <w:r w:rsidRPr="00097721" w:rsidR="00C667F8">
        <w:t>for</w:t>
      </w:r>
      <w:r w:rsidRPr="00097721">
        <w:t xml:space="preserve"> the SOD framework, with full program implementation to begin for the 2025 RA year.</w:t>
      </w:r>
      <w:r w:rsidRPr="00097721">
        <w:rPr>
          <w:rStyle w:val="FootnoteReference"/>
        </w:rPr>
        <w:footnoteReference w:id="6"/>
      </w:r>
      <w:r w:rsidRPr="00097721">
        <w:t xml:space="preserve">  In D.23-04-010, the Commission affirmed that it intended t</w:t>
      </w:r>
      <w:r w:rsidRPr="00097721" w:rsidR="00C667F8">
        <w:t>o</w:t>
      </w:r>
      <w:r w:rsidRPr="00097721">
        <w:t xml:space="preserve"> move forward with SOD implementation in 2025.</w:t>
      </w:r>
      <w:r w:rsidRPr="00097721">
        <w:rPr>
          <w:rStyle w:val="FootnoteReference"/>
        </w:rPr>
        <w:footnoteReference w:id="7"/>
      </w:r>
      <w:r w:rsidRPr="00097721">
        <w:t xml:space="preserve">  CalCCA and AReM offer </w:t>
      </w:r>
      <w:r w:rsidRPr="00097721">
        <w:lastRenderedPageBreak/>
        <w:t xml:space="preserve">proposals on delaying the 2025 implementation of the SOD framework, as summarized below.  </w:t>
      </w:r>
    </w:p>
    <w:p w:rsidRPr="00097721" w:rsidR="00A36FE7" w:rsidP="00A36FE7" w:rsidRDefault="00A36FE7" w14:paraId="1EAEBE7B" w14:textId="77777777">
      <w:pPr>
        <w:pStyle w:val="Standard"/>
      </w:pPr>
      <w:r w:rsidRPr="00097721">
        <w:t>AReM proposes three options for delaying implementation.</w:t>
      </w:r>
      <w:r w:rsidRPr="00097721">
        <w:rPr>
          <w:rStyle w:val="FootnoteReference"/>
        </w:rPr>
        <w:footnoteReference w:id="8"/>
      </w:r>
      <w:r w:rsidRPr="00097721">
        <w:t xml:space="preserve">  Under the first option, AReM proposes a full year delay with 2025 as another test year.  AReM states that this proposal provides more time to develop SOD tools and for LSEs to become familiar with the tools.  AReM acknowledges that the downsides of this option are that RA reform to ensure reliability is delayed, there are no guarantees a delay would lead to a smooth 2026 rollout, and that LSEs that planned for a 2025 implementation may face financial consequences by a delay.</w:t>
      </w:r>
    </w:p>
    <w:p w:rsidRPr="00097721" w:rsidR="00A36FE7" w:rsidP="00A36FE7" w:rsidRDefault="00A36FE7" w14:paraId="30CE3D84" w14:textId="117C9E0E">
      <w:pPr>
        <w:pStyle w:val="Standard"/>
      </w:pPr>
      <w:r w:rsidRPr="00097721">
        <w:t xml:space="preserve">Under a second option, implementation would be delayed to July </w:t>
      </w:r>
      <w:r w:rsidRPr="00097721" w:rsidR="00C667F8">
        <w:t xml:space="preserve">or some other point in </w:t>
      </w:r>
      <w:r w:rsidRPr="00097721">
        <w:t>2025.  AReM cites an advantage of this option is that RA reform moves forward in 2026 with a few extra months for development.  A disadvantage is that SOD tools would still be required for year-ahead filings in 2024.  AReM adds that because year-ahead filings have lower penalty risk (based on points and LSE expansion), this option gives more time to develop tools and templates before LSEs face the risk of full penalties.</w:t>
      </w:r>
    </w:p>
    <w:p w:rsidRPr="00097721" w:rsidR="00A36FE7" w:rsidP="00A36FE7" w:rsidRDefault="00A36FE7" w14:paraId="731AB9B5" w14:textId="2869E887">
      <w:pPr>
        <w:pStyle w:val="Standard"/>
      </w:pPr>
      <w:r w:rsidRPr="00097721">
        <w:t xml:space="preserve">Under a third option, LSEs would </w:t>
      </w:r>
      <w:r w:rsidRPr="00097721" w:rsidR="00C667F8">
        <w:t xml:space="preserve">be permitted to </w:t>
      </w:r>
      <w:r w:rsidRPr="00097721">
        <w:t xml:space="preserve">choose </w:t>
      </w:r>
      <w:r w:rsidRPr="00097721" w:rsidR="00C667F8">
        <w:t xml:space="preserve">between the current </w:t>
      </w:r>
      <w:r w:rsidRPr="00097721">
        <w:t xml:space="preserve">RA framework </w:t>
      </w:r>
      <w:r w:rsidRPr="00097721" w:rsidR="00C667F8">
        <w:t xml:space="preserve">and the SOD framework </w:t>
      </w:r>
      <w:r w:rsidRPr="00097721">
        <w:t>for 2025 compliance with full</w:t>
      </w:r>
      <w:r w:rsidRPr="00097721" w:rsidR="00C667F8">
        <w:t xml:space="preserve"> SOD</w:t>
      </w:r>
      <w:r w:rsidRPr="00097721">
        <w:t xml:space="preserve"> implementation in 2026.  AReM cites one advantage of this option as fairness to LSEs by giving optionality, while a disadvantage is the burden on Commission Staff to juggle two RA frameworks for compliance, while still working on full SOD implementation.  AReM notes that this option may raise concerns that LSEs select a preferred framework that harms reliability.</w:t>
      </w:r>
    </w:p>
    <w:p w:rsidRPr="00097721" w:rsidR="00A36FE7" w:rsidP="00A36FE7" w:rsidRDefault="00A36FE7" w14:paraId="63533CE7" w14:textId="7C396631">
      <w:pPr>
        <w:pStyle w:val="Standard"/>
      </w:pPr>
      <w:r w:rsidRPr="00097721">
        <w:lastRenderedPageBreak/>
        <w:t>CalCCA proposes to delay SOD implementation to 2026 at the earliest, or until exit criteria have been met.</w:t>
      </w:r>
      <w:r w:rsidRPr="00097721">
        <w:rPr>
          <w:rStyle w:val="FootnoteReference"/>
        </w:rPr>
        <w:footnoteReference w:id="9"/>
      </w:r>
      <w:r w:rsidRPr="00097721">
        <w:t xml:space="preserve">  CalCCA reasons that there are issues with the showing tools that require resolution and a SOD PRM for 2025 has not yet been selected, adding uncertainty to LSE procurement.  CalCCA recommends adopting exit criteria before implementation to include: that showing template issues have been resolved to Energy Division and LSEs’ satisfaction, the showing template has been finalized one year before the first showing, LSEs have been trained on and successfully used the template for a test year filing, and a PRM for the first year has been adopted with sufficient time for LSEs to procure.  CalCCA recommends that LSEs continue to show storage in </w:t>
      </w:r>
      <w:r w:rsidRPr="00097721" w:rsidR="001B147E">
        <w:t>Maximum Cumulative Capacity (</w:t>
      </w:r>
      <w:r w:rsidRPr="00097721">
        <w:t>MCC</w:t>
      </w:r>
      <w:r w:rsidRPr="00097721" w:rsidR="001B147E">
        <w:t>)</w:t>
      </w:r>
      <w:r w:rsidRPr="00097721">
        <w:t xml:space="preserve"> Bucket 4 in 2025 by showing excess capacity to charge storage.</w:t>
      </w:r>
    </w:p>
    <w:p w:rsidRPr="00097721" w:rsidR="00A36FE7" w:rsidP="00A36FE7" w:rsidRDefault="00A36FE7" w14:paraId="0B545658" w14:textId="77777777">
      <w:pPr>
        <w:pStyle w:val="Heading3"/>
      </w:pPr>
      <w:bookmarkStart w:name="_Toc166841735" w:id="27"/>
      <w:r w:rsidRPr="00097721">
        <w:t>Comments on Proposals</w:t>
      </w:r>
      <w:bookmarkEnd w:id="27"/>
    </w:p>
    <w:p w:rsidRPr="00097721" w:rsidR="00A36FE7" w:rsidP="00A36FE7" w:rsidRDefault="00A36FE7" w14:paraId="3D811B13" w14:textId="77777777">
      <w:pPr>
        <w:pStyle w:val="Standard"/>
      </w:pPr>
      <w:r w:rsidRPr="00097721">
        <w:t>Several parties support delaying SOD implementation until 2026, including CAISO, CalWEA, Calpine, REV, SDG&amp;E, SCE, and SVCE.</w:t>
      </w:r>
      <w:r w:rsidRPr="00097721">
        <w:rPr>
          <w:rStyle w:val="FootnoteReference"/>
        </w:rPr>
        <w:footnoteReference w:id="10"/>
      </w:r>
      <w:r w:rsidRPr="00097721">
        <w:t xml:space="preserve">  CAISO sees merit in delaying implementation because it would allow time for the SOD PRM process to be solidified, to consider proposals based on the 2024 test year, and to analyze LSEs’ monthly test year showings in 2024 to identify enhancements.  SDG&amp;E contends that a delay is not likely to negatively impact system reliability and may in fact avoid unintended harm by relying on an uncertain reliability metric and incomplete SOD framework.  CalWEA supports a delay to 2026 so long as waivers are adopted.</w:t>
      </w:r>
    </w:p>
    <w:p w:rsidRPr="00097721" w:rsidR="00A36FE7" w:rsidP="00A36FE7" w:rsidRDefault="00A36FE7" w14:paraId="1CF88F15" w14:textId="4EC770A1">
      <w:pPr>
        <w:pStyle w:val="Standard"/>
      </w:pPr>
      <w:r w:rsidRPr="00097721">
        <w:lastRenderedPageBreak/>
        <w:t xml:space="preserve">SVCE supports a delay to 2026 if a </w:t>
      </w:r>
      <w:r w:rsidRPr="00097721" w:rsidR="00C667F8">
        <w:t xml:space="preserve">temporary </w:t>
      </w:r>
      <w:r w:rsidRPr="00097721">
        <w:t xml:space="preserve">waiver </w:t>
      </w:r>
      <w:r w:rsidRPr="00097721" w:rsidR="00C667F8">
        <w:t xml:space="preserve">process </w:t>
      </w:r>
      <w:r w:rsidRPr="00097721">
        <w:t xml:space="preserve">is not adopted.  SVCE remarks that marketers are not yet selling SOD products and contracts are not yet designed for the new framework but acknowledges that marketers may not transition to the SOD framework until it is binding.  SCE only supports delaying to 2026 if other measures are not adopted, such as a waiver process, an appropriate SOD PRM, and allowing resources to count for RA if a </w:t>
      </w:r>
      <w:r w:rsidRPr="00097721" w:rsidR="00F92671">
        <w:t>commercial operation date (</w:t>
      </w:r>
      <w:r w:rsidRPr="00097721">
        <w:t>COD</w:t>
      </w:r>
      <w:r w:rsidRPr="00097721" w:rsidR="00F92671">
        <w:t>)</w:t>
      </w:r>
      <w:r w:rsidRPr="00097721">
        <w:t xml:space="preserve"> is after the start of the RA month.</w:t>
      </w:r>
      <w:r w:rsidRPr="00097721">
        <w:rPr>
          <w:rStyle w:val="FootnoteReference"/>
        </w:rPr>
        <w:footnoteReference w:id="11"/>
      </w:r>
      <w:r w:rsidRPr="00097721">
        <w:t xml:space="preserve">  </w:t>
      </w:r>
    </w:p>
    <w:p w:rsidRPr="00097721" w:rsidR="00A36FE7" w:rsidP="00A36FE7" w:rsidRDefault="00A36FE7" w14:paraId="0695D0AE" w14:textId="77777777">
      <w:pPr>
        <w:pStyle w:val="Standard"/>
      </w:pPr>
      <w:r w:rsidRPr="00097721">
        <w:t>CalCCA opposes a partial delay as LSEs would have to comply with two sets of requirements, one for year-ahead and one for month-ahead with different counting rules.</w:t>
      </w:r>
      <w:r w:rsidRPr="00097721">
        <w:rPr>
          <w:rStyle w:val="FootnoteReference"/>
        </w:rPr>
        <w:footnoteReference w:id="12"/>
      </w:r>
      <w:r w:rsidRPr="00097721">
        <w:t xml:space="preserve">  CalCCA states this will create uncertainty and potential excess costs on LSEs to comply with two RA programs.  CalCCA also opposes AReM’s optionality proposal because it complicates compliance and raises concerns about how to equitably allocate costs for backstop procurement.</w:t>
      </w:r>
    </w:p>
    <w:p w:rsidRPr="00097721" w:rsidR="00A36FE7" w:rsidP="00A36FE7" w:rsidRDefault="00A36FE7" w14:paraId="3C735198" w14:textId="6A0A1146">
      <w:pPr>
        <w:pStyle w:val="Standard"/>
      </w:pPr>
      <w:r w:rsidRPr="00097721">
        <w:t>Parties that oppose delaying the SOD framework are Sierra Club/CEJA, MRP, PG&amp;E, and Shell</w:t>
      </w:r>
      <w:r w:rsidRPr="00097721" w:rsidR="002E19A7">
        <w:t xml:space="preserve"> Energy</w:t>
      </w:r>
      <w:r w:rsidRPr="00097721">
        <w:t>.  PG&amp;E argues that the test year was intended to address issues with the showing tools and that the process is ongoing and will likely result in significant progress throughout 2024; thus, it is premature to conclude the tools and processes will not be ready for 2025.</w:t>
      </w:r>
      <w:r w:rsidRPr="00097721">
        <w:rPr>
          <w:rStyle w:val="FootnoteReference"/>
        </w:rPr>
        <w:footnoteReference w:id="13"/>
      </w:r>
      <w:r w:rsidRPr="00097721">
        <w:t xml:space="preserve">  PG&amp;E points out that LSEs have had sufficient time to adjust their portfolios and that since test year filings were not binding, it is unsurprising that LSEs failed to meet their test year obligations.  PG&amp;E also states that a delay is unfair to LSEs that have proactively procured the right mix of resources for SOD requirements, that a delay will likely have adverse consequences for other high-priority changes (like </w:t>
      </w:r>
      <w:r w:rsidRPr="00097721">
        <w:lastRenderedPageBreak/>
        <w:t>UCAP and multi-year RA), and that resolving “all” issues is an arbitrary standard that prevents implementation of any new program.</w:t>
      </w:r>
      <w:r w:rsidRPr="00097721">
        <w:rPr>
          <w:rStyle w:val="FootnoteReference"/>
        </w:rPr>
        <w:footnoteReference w:id="14"/>
      </w:r>
      <w:r w:rsidRPr="00097721">
        <w:t xml:space="preserve">  PG&amp;E states that 2025 implementation would allow the Commission see how capacity needs can be met at a granular level.  </w:t>
      </w:r>
    </w:p>
    <w:p w:rsidRPr="00097721" w:rsidR="00A36FE7" w:rsidP="00A36FE7" w:rsidRDefault="00A36FE7" w14:paraId="2F0DF868" w14:textId="19FA9138">
      <w:pPr>
        <w:pStyle w:val="Standard"/>
      </w:pPr>
      <w:r w:rsidRPr="00097721">
        <w:t>MRP opposes a delay, stating that Energy Division’s SOD Report did not find significant flaws in the framework and that Energy Division and parties are working through issues raised by parties this year.</w:t>
      </w:r>
      <w:r w:rsidRPr="00097721">
        <w:rPr>
          <w:rStyle w:val="FootnoteReference"/>
        </w:rPr>
        <w:footnoteReference w:id="15"/>
      </w:r>
      <w:r w:rsidRPr="00097721">
        <w:t xml:space="preserve">  Shell </w:t>
      </w:r>
      <w:r w:rsidRPr="00097721" w:rsidR="00C84FD1">
        <w:t xml:space="preserve">Energy </w:t>
      </w:r>
      <w:r w:rsidRPr="00097721">
        <w:t>contends that a delayed implementation discriminates against LSEs that have been diligently working towards SOD compliance.</w:t>
      </w:r>
      <w:r w:rsidRPr="00097721">
        <w:rPr>
          <w:rStyle w:val="FootnoteReference"/>
        </w:rPr>
        <w:footnoteReference w:id="16"/>
      </w:r>
      <w:r w:rsidRPr="00097721">
        <w:t xml:space="preserve">  Shell </w:t>
      </w:r>
      <w:r w:rsidRPr="00097721" w:rsidR="00865B7B">
        <w:t xml:space="preserve">Energy </w:t>
      </w:r>
      <w:r w:rsidRPr="00097721">
        <w:t xml:space="preserve">states that the Commission must maintain regulatory certainty around the transition and that a delay does not guarantee issues with the framework will be resolved.  Shell </w:t>
      </w:r>
      <w:r w:rsidRPr="00097721" w:rsidR="00F0775B">
        <w:t xml:space="preserve">Energy </w:t>
      </w:r>
      <w:r w:rsidRPr="00097721">
        <w:t>instead recommends 2025 implementation with greater leniency to address challenges with the SOD framework.  Sierra Club/CEJA agree that implementation should not be delayed</w:t>
      </w:r>
      <w:r w:rsidRPr="00097721" w:rsidR="00F854AC">
        <w:t>,</w:t>
      </w:r>
      <w:r w:rsidRPr="00097721">
        <w:t xml:space="preserve"> and the program should continue to be refined in 2024.</w:t>
      </w:r>
      <w:r w:rsidRPr="00097721">
        <w:rPr>
          <w:rStyle w:val="FootnoteReference"/>
        </w:rPr>
        <w:footnoteReference w:id="17"/>
      </w:r>
    </w:p>
    <w:p w:rsidRPr="00097721" w:rsidR="00A36FE7" w:rsidP="00A36FE7" w:rsidRDefault="00A36FE7" w14:paraId="45FF6C7F" w14:textId="77777777">
      <w:pPr>
        <w:pStyle w:val="Heading3"/>
      </w:pPr>
      <w:bookmarkStart w:name="_Toc166841736" w:id="28"/>
      <w:r w:rsidRPr="00097721">
        <w:t>Discussion</w:t>
      </w:r>
      <w:bookmarkEnd w:id="28"/>
    </w:p>
    <w:p w:rsidRPr="00097721" w:rsidR="00A36FE7" w:rsidP="00A36FE7" w:rsidRDefault="00A36FE7" w14:paraId="72F21F3F" w14:textId="2981F656">
      <w:pPr>
        <w:pStyle w:val="Standard"/>
      </w:pPr>
      <w:r w:rsidRPr="00097721">
        <w:t xml:space="preserve">The Commission began exploring a broad reform of the current RA program in 2020.  Over nearly four years, Energy Division Staff and stakeholders have worked together to develop and refine every aspect of the new SOD framework.  Through </w:t>
      </w:r>
      <w:r w:rsidRPr="00097721" w:rsidR="006D77A6">
        <w:t xml:space="preserve">numerous </w:t>
      </w:r>
      <w:r w:rsidRPr="00097721">
        <w:t>working group meetings</w:t>
      </w:r>
      <w:r w:rsidRPr="00097721" w:rsidR="00607248">
        <w:t xml:space="preserve">, </w:t>
      </w:r>
      <w:r w:rsidRPr="00097721">
        <w:t>workshops</w:t>
      </w:r>
      <w:r w:rsidRPr="00097721" w:rsidR="00607248">
        <w:t>, and office hours,</w:t>
      </w:r>
      <w:r w:rsidRPr="00097721">
        <w:t xml:space="preserve"> and the submission of a substantial volume of proposals, comments, and reports, the Commission recognizes and appreciates the </w:t>
      </w:r>
      <w:r w:rsidRPr="00097721" w:rsidR="0002055F">
        <w:t xml:space="preserve">significant </w:t>
      </w:r>
      <w:r w:rsidRPr="00097721">
        <w:t xml:space="preserve">undertaking </w:t>
      </w:r>
      <w:r w:rsidRPr="00097721" w:rsidR="006624AF">
        <w:t xml:space="preserve">by </w:t>
      </w:r>
      <w:r w:rsidRPr="00097721">
        <w:t xml:space="preserve">Energy Division Staff and parties to develop this new RA framework. </w:t>
      </w:r>
    </w:p>
    <w:p w:rsidRPr="00097721" w:rsidR="00A36FE7" w:rsidP="00A36FE7" w:rsidRDefault="00A36FE7" w14:paraId="4DA5AF4B" w14:textId="77777777">
      <w:pPr>
        <w:pStyle w:val="Standard"/>
      </w:pPr>
      <w:r w:rsidRPr="00097721">
        <w:lastRenderedPageBreak/>
        <w:t>In D.23-04-010, the Commission identified that in the 2024 test year, “LSEs have a penalty-free opportunity to prepare for and provide feedback on the SOD framework rules, compliance and showing tools, and processes.  Subject to minor adjustments and modifications to the SOD framework rules and compliance and showing tools, the Commission fully intends to move forward with implementation of the SOD framework for the 2025 RA compliance year.”</w:t>
      </w:r>
      <w:r w:rsidRPr="00097721">
        <w:rPr>
          <w:rStyle w:val="FootnoteReference"/>
        </w:rPr>
        <w:footnoteReference w:id="18"/>
      </w:r>
      <w:r w:rsidRPr="00097721">
        <w:t xml:space="preserve">  </w:t>
      </w:r>
    </w:p>
    <w:p w:rsidRPr="00097721" w:rsidR="00A36FE7" w:rsidP="00A36FE7" w:rsidRDefault="00A36FE7" w14:paraId="6842B061" w14:textId="77777777">
      <w:pPr>
        <w:pStyle w:val="Standard"/>
      </w:pPr>
      <w:r w:rsidRPr="00097721">
        <w:t xml:space="preserve">In considering parties’ concerns about moving forward with 2025 implementation, the Commission is not persuaded that delaying implementation of the SOD framework is warranted.  Given the multiple years that the SOD framework has been under development, we find that LSEs have had ample time to prepare their RA portfolios for implementation of the SOD framework in 2025.  The Commission also agrees with parties that state that delaying SOD implementation would be unfair to those LSEs that have been adjusting their RA portfolios to meet the SOD requirements. </w:t>
      </w:r>
    </w:p>
    <w:p w:rsidRPr="00097721" w:rsidR="00A36FE7" w:rsidP="00A36FE7" w:rsidRDefault="00A36FE7" w14:paraId="617554CD" w14:textId="702AA917">
      <w:pPr>
        <w:pStyle w:val="Standard"/>
      </w:pPr>
      <w:r w:rsidRPr="00097721">
        <w:t>We recognize parties’ concern</w:t>
      </w:r>
      <w:r w:rsidRPr="00097721" w:rsidR="0031587C">
        <w:t>s</w:t>
      </w:r>
      <w:r w:rsidRPr="00097721">
        <w:t xml:space="preserve"> about whether the showing tools and processes will be ready for 2025 implementation.  Energy Division has spent the past year developing and modifying the SOD showing tools in response to party input and will continue doing so </w:t>
      </w:r>
      <w:r w:rsidRPr="00097721" w:rsidR="00F854AC">
        <w:t>in</w:t>
      </w:r>
      <w:r w:rsidRPr="00097721">
        <w:t xml:space="preserve"> </w:t>
      </w:r>
      <w:r w:rsidRPr="00097721" w:rsidR="00F854AC">
        <w:t>the m</w:t>
      </w:r>
      <w:r w:rsidRPr="00097721">
        <w:t>onths</w:t>
      </w:r>
      <w:r w:rsidRPr="00097721" w:rsidR="00F854AC">
        <w:t xml:space="preserve"> following the issuance of this decision</w:t>
      </w:r>
      <w:r w:rsidRPr="00097721">
        <w:t>.  The Commission is confident that the showing tools will be ready for 2025 implementation.  However, as we stated in D.23-04-010, we “anticipate that minor adjustments to the compliance tools and program rules may be necessary following the test year.”</w:t>
      </w:r>
      <w:r w:rsidRPr="00097721">
        <w:rPr>
          <w:rStyle w:val="FootnoteReference"/>
        </w:rPr>
        <w:footnoteReference w:id="19"/>
      </w:r>
      <w:r w:rsidRPr="00097721">
        <w:t xml:space="preserve">   </w:t>
      </w:r>
    </w:p>
    <w:p w:rsidRPr="00097721" w:rsidR="00A36FE7" w:rsidP="00A36FE7" w:rsidRDefault="00A36FE7" w14:paraId="6D4314F6" w14:textId="56490030">
      <w:pPr>
        <w:pStyle w:val="Standard"/>
      </w:pPr>
      <w:r w:rsidRPr="00097721">
        <w:lastRenderedPageBreak/>
        <w:t xml:space="preserve">The Commission is not convinced by arguments that an additional test year </w:t>
      </w:r>
      <w:r w:rsidRPr="00097721" w:rsidR="006D77A6">
        <w:t xml:space="preserve">is necessary to </w:t>
      </w:r>
      <w:r w:rsidRPr="00097721">
        <w:t xml:space="preserve">give Energy Division Staff sufficient time to refine the showing tools.  An additional 2025 test year </w:t>
      </w:r>
      <w:r w:rsidRPr="00097721" w:rsidR="006624AF">
        <w:t xml:space="preserve">will </w:t>
      </w:r>
      <w:r w:rsidRPr="00097721">
        <w:t xml:space="preserve">mean that Energy Division Staff yet again </w:t>
      </w:r>
      <w:r w:rsidRPr="00097721" w:rsidR="006D77A6">
        <w:t xml:space="preserve">will </w:t>
      </w:r>
      <w:r w:rsidRPr="00097721">
        <w:t xml:space="preserve">be required to run two RA programs simultaneously – the current RA program and the SOD test year process. </w:t>
      </w:r>
      <w:r w:rsidRPr="00097721" w:rsidR="0002055F">
        <w:t xml:space="preserve"> </w:t>
      </w:r>
      <w:r w:rsidRPr="00097721">
        <w:t xml:space="preserve">Overseeing two distinct RA programs in 2025 would not necessarily free up Commission Staff resources and time to develop the SOD showing tools.  The Commission agrees with parties that state that delaying implementation by one year does not guarantee that all issues with the SOD framework will be resolved to </w:t>
      </w:r>
      <w:r w:rsidRPr="00097721" w:rsidR="006D77A6">
        <w:t xml:space="preserve">all parties’ </w:t>
      </w:r>
      <w:r w:rsidRPr="00097721">
        <w:t xml:space="preserve">satisfaction.  </w:t>
      </w:r>
    </w:p>
    <w:p w:rsidRPr="00097721" w:rsidR="00A36FE7" w:rsidP="00A36FE7" w:rsidRDefault="00A36FE7" w14:paraId="41880F10" w14:textId="627B5F3C">
      <w:pPr>
        <w:pStyle w:val="Standard"/>
      </w:pPr>
      <w:r w:rsidRPr="00097721">
        <w:t xml:space="preserve">Moreover, even if SOD implementation </w:t>
      </w:r>
      <w:r w:rsidRPr="00097721" w:rsidR="006D77A6">
        <w:t xml:space="preserve">is </w:t>
      </w:r>
      <w:r w:rsidRPr="00097721">
        <w:t xml:space="preserve">delayed, parties have requested that standalone storage resources continue to be shown in MCC Bucket 4, as was permitted during the 2024 test year, so long as LSEs can demonstrate excess capacity above their requirements to charge the storage.  As more LSEs have been using use-limited resources to meet RA requirements, more LSEs would need to use the SOD showing tools to show excess energy in an additional test year.  In other words, Energy Division would still be expected to complete the SOD showing tools and LSEs would still need to become familiar with the SOD showing tools for the 2025 RA year.  </w:t>
      </w:r>
    </w:p>
    <w:p w:rsidRPr="00097721" w:rsidR="00A36FE7" w:rsidP="00A36FE7" w:rsidRDefault="00A36FE7" w14:paraId="1BB6AFA8" w14:textId="32016C52">
      <w:pPr>
        <w:pStyle w:val="Standard"/>
      </w:pPr>
      <w:r w:rsidRPr="00097721">
        <w:t>For these reasons, we maintain that the 2025 RA compliance year will be the first year for the new SOD framework.  The Commission expects that the first year of implementation of an entirely new RA framework will be imperfect and that there will be hurdles, just as could be expected for any major regulatory program rollout.  The Commission will continue to monitor the readiness of the SOD showing tools throughout 2024 and monitor LSEs’ compliance with the SOD requirements in 2025 and will consider adjustments to the program as needed.</w:t>
      </w:r>
    </w:p>
    <w:p w:rsidRPr="00097721" w:rsidR="00A36FE7" w:rsidP="00A36FE7" w:rsidRDefault="00A36FE7" w14:paraId="6F0E6BF8" w14:textId="6A0F071F">
      <w:pPr>
        <w:pStyle w:val="Standard"/>
      </w:pPr>
      <w:r w:rsidRPr="00097721">
        <w:lastRenderedPageBreak/>
        <w:t xml:space="preserve">Lastly, Energy Division will continue to host </w:t>
      </w:r>
      <w:r w:rsidRPr="00097721" w:rsidR="006E49A8">
        <w:t xml:space="preserve">office hours and </w:t>
      </w:r>
      <w:r w:rsidRPr="00097721" w:rsidR="00E5456A">
        <w:t xml:space="preserve">trainings prior to the </w:t>
      </w:r>
      <w:r w:rsidRPr="00097721" w:rsidR="0031587C">
        <w:t xml:space="preserve">2025 </w:t>
      </w:r>
      <w:r w:rsidRPr="00097721" w:rsidR="00E5456A">
        <w:t>year-ahead filing deadline</w:t>
      </w:r>
      <w:r w:rsidRPr="00097721">
        <w:t xml:space="preserve"> to assist LSEs with using the SOD template.  We encourage LSEs to use these </w:t>
      </w:r>
      <w:r w:rsidRPr="00097721" w:rsidR="00E5456A">
        <w:t>trainings and resources</w:t>
      </w:r>
      <w:r w:rsidRPr="00097721">
        <w:t xml:space="preserve">.  </w:t>
      </w:r>
    </w:p>
    <w:p w:rsidRPr="00097721" w:rsidR="00C21AB3" w:rsidP="00901FF0" w:rsidRDefault="00C21AB3" w14:paraId="57FE1C0F" w14:textId="77777777">
      <w:pPr>
        <w:pStyle w:val="Heading2"/>
        <w:tabs>
          <w:tab w:val="clear" w:pos="1080"/>
          <w:tab w:val="num" w:pos="1170"/>
        </w:tabs>
      </w:pPr>
      <w:bookmarkStart w:name="_Toc166841737" w:id="29"/>
      <w:r w:rsidRPr="00097721">
        <w:t>SOD Planning Reserve Margin</w:t>
      </w:r>
      <w:bookmarkEnd w:id="29"/>
    </w:p>
    <w:p w:rsidRPr="00097721" w:rsidR="006D77A6" w:rsidP="006D77A6" w:rsidRDefault="006D77A6" w14:paraId="56887153" w14:textId="1055AC0E">
      <w:r w:rsidRPr="00097721">
        <w:t xml:space="preserve">In January 2023, Energy Division published </w:t>
      </w:r>
      <w:r w:rsidRPr="00097721" w:rsidR="006624AF">
        <w:t>the</w:t>
      </w:r>
      <w:r w:rsidRPr="00097721">
        <w:t xml:space="preserve"> annual 2024 LOLE </w:t>
      </w:r>
      <w:r w:rsidRPr="00097721" w:rsidR="006624AF">
        <w:t>s</w:t>
      </w:r>
      <w:r w:rsidRPr="00097721">
        <w:t xml:space="preserve">tudy that reflected monthly PRM levels using the </w:t>
      </w:r>
      <w:r w:rsidRPr="00097721" w:rsidR="006624AF">
        <w:t>California Energy Commission’s (</w:t>
      </w:r>
      <w:r w:rsidRPr="00097721">
        <w:t>CEC</w:t>
      </w:r>
      <w:r w:rsidRPr="00097721" w:rsidR="006624AF">
        <w:t>)</w:t>
      </w:r>
      <w:r w:rsidRPr="00097721">
        <w:t xml:space="preserve"> 2021 </w:t>
      </w:r>
      <w:r w:rsidRPr="00097721" w:rsidR="006624AF">
        <w:t>Integrated Energy Policy Report (</w:t>
      </w:r>
      <w:r w:rsidRPr="00097721">
        <w:t>IEPR</w:t>
      </w:r>
      <w:r w:rsidRPr="00097721" w:rsidR="006624AF">
        <w:t>)</w:t>
      </w:r>
      <w:r w:rsidRPr="00097721">
        <w:t xml:space="preserve"> managed demand.</w:t>
      </w:r>
      <w:r w:rsidRPr="00097721" w:rsidR="001D4487">
        <w:rPr>
          <w:rStyle w:val="FootnoteReference"/>
        </w:rPr>
        <w:footnoteReference w:id="20"/>
      </w:r>
      <w:r w:rsidRPr="00097721">
        <w:t xml:space="preserve">  For the summer months (July-September), the PRM levels ranged from 14.5 percent to 21.4 percent.  </w:t>
      </w:r>
      <w:r w:rsidRPr="00097721" w:rsidR="00BC7BF0">
        <w:t>In D.23-06-029, the Commission adopted a 17</w:t>
      </w:r>
      <w:r w:rsidRPr="00097721" w:rsidR="00E954DA">
        <w:t xml:space="preserve"> percent</w:t>
      </w:r>
      <w:r w:rsidRPr="00097721" w:rsidR="00BC7BF0">
        <w:t xml:space="preserve"> PRM</w:t>
      </w:r>
      <w:r w:rsidRPr="00097721" w:rsidR="006624AF">
        <w:t>,</w:t>
      </w:r>
      <w:r w:rsidRPr="00097721" w:rsidR="00BC7BF0">
        <w:t xml:space="preserve"> </w:t>
      </w:r>
      <w:r w:rsidRPr="00097721">
        <w:t>tak</w:t>
      </w:r>
      <w:r w:rsidRPr="00097721" w:rsidR="006624AF">
        <w:t>ing</w:t>
      </w:r>
      <w:r w:rsidRPr="00097721">
        <w:t xml:space="preserve"> both the LOLE </w:t>
      </w:r>
      <w:r w:rsidRPr="00097721" w:rsidR="006624AF">
        <w:t>s</w:t>
      </w:r>
      <w:r w:rsidRPr="00097721">
        <w:t>tudy and other factors into account, including increases to the demand forecast and reliance on a large amount of under-construction resources.  The Commission adopted a 17 percent PRM for the 2024 and 2025 RA years</w:t>
      </w:r>
      <w:r w:rsidRPr="00097721" w:rsidR="00BC7BF0">
        <w:t>, stating that “[g]iven the realities of available RA supply and persistent delays in development projects, it is prudent to retain the status quo 17</w:t>
      </w:r>
      <w:r w:rsidRPr="00097721" w:rsidR="00E33A58">
        <w:t xml:space="preserve"> percent </w:t>
      </w:r>
      <w:r w:rsidRPr="00097721" w:rsidR="00BC7BF0">
        <w:t xml:space="preserve">PRM for the 2024 and 2025 </w:t>
      </w:r>
      <w:r w:rsidRPr="00097721" w:rsidR="00E33A58">
        <w:t xml:space="preserve">RA </w:t>
      </w:r>
      <w:r w:rsidRPr="00097721" w:rsidR="00BC7BF0">
        <w:t>years.”</w:t>
      </w:r>
      <w:r w:rsidRPr="00097721" w:rsidR="00BC7BF0">
        <w:rPr>
          <w:rStyle w:val="FootnoteReference"/>
        </w:rPr>
        <w:footnoteReference w:id="21"/>
      </w:r>
      <w:r w:rsidRPr="00097721" w:rsidR="00BC7BF0">
        <w:t xml:space="preserve">  </w:t>
      </w:r>
    </w:p>
    <w:p w:rsidRPr="00097721" w:rsidR="006D77A6" w:rsidP="006D77A6" w:rsidRDefault="006D77A6" w14:paraId="5FE150D2" w14:textId="3F26B88C">
      <w:r w:rsidRPr="00097721">
        <w:t xml:space="preserve">In </w:t>
      </w:r>
      <w:r w:rsidRPr="00097721" w:rsidR="00FD48FD">
        <w:t xml:space="preserve">addition, in </w:t>
      </w:r>
      <w:r w:rsidRPr="00097721">
        <w:t>D.22-06-050</w:t>
      </w:r>
      <w:r w:rsidRPr="00097721" w:rsidR="00FD48FD">
        <w:t xml:space="preserve"> (</w:t>
      </w:r>
      <w:r w:rsidRPr="00097721" w:rsidR="00A14C57">
        <w:t xml:space="preserve">and </w:t>
      </w:r>
      <w:r w:rsidRPr="00097721" w:rsidR="00FD48FD">
        <w:t>reaffirmed</w:t>
      </w:r>
      <w:r w:rsidRPr="00097721">
        <w:t xml:space="preserve"> in D.23-04-010</w:t>
      </w:r>
      <w:r w:rsidRPr="00097721" w:rsidR="00FD48FD">
        <w:t>)</w:t>
      </w:r>
      <w:r w:rsidRPr="00097721">
        <w:t xml:space="preserve">, the Commission </w:t>
      </w:r>
      <w:r w:rsidRPr="00097721" w:rsidR="00FD48FD">
        <w:t>determined</w:t>
      </w:r>
      <w:r w:rsidRPr="00097721">
        <w:t xml:space="preserve"> that a single PRM w</w:t>
      </w:r>
      <w:r w:rsidRPr="00097721" w:rsidR="00FD48FD">
        <w:t>ill</w:t>
      </w:r>
      <w:r w:rsidRPr="00097721">
        <w:t xml:space="preserve"> apply to all hours of the year for initial implementation of the SOD framework.</w:t>
      </w:r>
      <w:r w:rsidRPr="00097721" w:rsidR="00FD48FD">
        <w:rPr>
          <w:rStyle w:val="FootnoteReference"/>
        </w:rPr>
        <w:footnoteReference w:id="22"/>
      </w:r>
      <w:r w:rsidRPr="00097721">
        <w:t xml:space="preserve">  In D.23-04-010, the Commission authorized Energy Division to integrate the PRM calibration tools, as proposed by NRDC and SCE</w:t>
      </w:r>
      <w:r w:rsidRPr="00097721" w:rsidR="00FD48FD">
        <w:t>,</w:t>
      </w:r>
      <w:r w:rsidRPr="00097721">
        <w:t xml:space="preserve"> to translate the results of </w:t>
      </w:r>
      <w:r w:rsidRPr="00097721" w:rsidR="00FD48FD">
        <w:t>the</w:t>
      </w:r>
      <w:r w:rsidRPr="00097721">
        <w:t xml:space="preserve"> 2024 LOLE </w:t>
      </w:r>
      <w:r w:rsidRPr="00097721" w:rsidR="00FD48FD">
        <w:t>s</w:t>
      </w:r>
      <w:r w:rsidRPr="00097721">
        <w:t xml:space="preserve">tudy to the SOD framework.  </w:t>
      </w:r>
    </w:p>
    <w:p w:rsidRPr="00097721" w:rsidR="00BC7BF0" w:rsidP="006D77A6" w:rsidRDefault="00BC7BF0" w14:paraId="5078647C" w14:textId="715B8A9B">
      <w:r w:rsidRPr="00097721">
        <w:lastRenderedPageBreak/>
        <w:t xml:space="preserve">As stated in </w:t>
      </w:r>
      <w:r w:rsidRPr="00097721" w:rsidR="00DA68F2">
        <w:t xml:space="preserve">the </w:t>
      </w:r>
      <w:r w:rsidRPr="00097721">
        <w:t>Scoping Memo, the Commission “will consider the translation of the adopted 17 percent PRM for the 2025 RA compliance year to the SOD framework.  Parties may submit proposals on a calibration methodology to determine how the adopted 17 percent PRM can be translated into the SOD framework for 2025, as well as proposals to refine the SOD PRM calibration tool for use in the translation of future Loss of Load Expectation (LOLE) studies.”</w:t>
      </w:r>
      <w:r w:rsidRPr="00097721">
        <w:rPr>
          <w:rStyle w:val="FootnoteReference"/>
        </w:rPr>
        <w:footnoteReference w:id="23"/>
      </w:r>
      <w:r w:rsidRPr="00097721">
        <w:t xml:space="preserve">  </w:t>
      </w:r>
      <w:r w:rsidRPr="00097721" w:rsidR="00C279C5">
        <w:t>Below we</w:t>
      </w:r>
      <w:r w:rsidRPr="00097721">
        <w:t xml:space="preserve"> consider proposal</w:t>
      </w:r>
      <w:r w:rsidRPr="00097721" w:rsidR="0013675A">
        <w:t>s</w:t>
      </w:r>
      <w:r w:rsidRPr="00097721">
        <w:t xml:space="preserve"> </w:t>
      </w:r>
      <w:r w:rsidRPr="00097721" w:rsidR="0013675A">
        <w:t xml:space="preserve">to translate the 17 percent </w:t>
      </w:r>
      <w:r w:rsidRPr="00097721">
        <w:t xml:space="preserve">PRM for the SOD framework. </w:t>
      </w:r>
    </w:p>
    <w:p w:rsidRPr="00097721" w:rsidR="0013675A" w:rsidP="00143C5B" w:rsidRDefault="0013675A" w14:paraId="0BAA74C4" w14:textId="1CB5C6D2">
      <w:r w:rsidRPr="00097721">
        <w:t xml:space="preserve">We note that additional PRM-related proposals were submitted by WPTF, ACP-CA, and CAISO with variations on effectively re-running the LOLE study or modifying the adopted 17 percent PRM for 2025.  </w:t>
      </w:r>
      <w:r w:rsidRPr="00097721" w:rsidR="00143C5B">
        <w:t>Based on</w:t>
      </w:r>
      <w:r w:rsidRPr="00097721">
        <w:t xml:space="preserve"> the Scoping Memo, such proposals are out of scope for Track 1 of this proceeding</w:t>
      </w:r>
      <w:r w:rsidRPr="00097721" w:rsidR="00CB7266">
        <w:t>, which is focused on translation of the adopted 17 percent PRM for 2025</w:t>
      </w:r>
      <w:r w:rsidRPr="00097721" w:rsidR="007C632C">
        <w:t xml:space="preserve"> and are </w:t>
      </w:r>
      <w:r w:rsidRPr="00097721" w:rsidR="00FD48FD">
        <w:t xml:space="preserve">therefore </w:t>
      </w:r>
      <w:r w:rsidRPr="00097721" w:rsidR="007C632C">
        <w:t>not discussed in this decision</w:t>
      </w:r>
      <w:r w:rsidRPr="00097721" w:rsidR="00143C5B">
        <w:t>.  The Scoping Memo provided that Track 2 will include consideration of a revised LOLE study and PRM for the 2026 and 2027 compliance years, and parties are encouraged to discuss such proposals in Track 2.</w:t>
      </w:r>
    </w:p>
    <w:p w:rsidRPr="00097721" w:rsidR="00BC7BF0" w:rsidP="00BC7BF0" w:rsidRDefault="00BC7BF0" w14:paraId="236E1069" w14:textId="21AAB908">
      <w:pPr>
        <w:pStyle w:val="Heading3"/>
      </w:pPr>
      <w:bookmarkStart w:name="_Toc166841738" w:id="30"/>
      <w:r w:rsidRPr="00097721">
        <w:t>Summary of Proposals</w:t>
      </w:r>
      <w:bookmarkEnd w:id="30"/>
    </w:p>
    <w:p w:rsidRPr="00097721" w:rsidR="00FD48FD" w:rsidP="00F73DE3" w:rsidRDefault="00966081" w14:paraId="1BAEBDA7" w14:textId="79D41682">
      <w:r w:rsidRPr="00097721">
        <w:t>For the 2025 RA year, Energy Division recommends two options for translating the 17</w:t>
      </w:r>
      <w:r w:rsidRPr="00097721" w:rsidR="00E25290">
        <w:t xml:space="preserve"> percent</w:t>
      </w:r>
      <w:r w:rsidRPr="00097721">
        <w:t xml:space="preserve"> PRM into a SOD PRM.</w:t>
      </w:r>
      <w:r w:rsidRPr="00097721" w:rsidR="00D232B0">
        <w:rPr>
          <w:rStyle w:val="FootnoteReference"/>
        </w:rPr>
        <w:footnoteReference w:id="24"/>
      </w:r>
      <w:r w:rsidRPr="00097721">
        <w:t xml:space="preserve">  </w:t>
      </w:r>
      <w:r w:rsidRPr="00097721" w:rsidR="00F73DE3">
        <w:t>Under Option 1</w:t>
      </w:r>
      <w:r w:rsidRPr="00097721">
        <w:t xml:space="preserve">, Energy Division </w:t>
      </w:r>
      <w:r w:rsidRPr="00097721" w:rsidR="003A2A91">
        <w:t>notes</w:t>
      </w:r>
      <w:r w:rsidRPr="00097721" w:rsidR="00F73DE3">
        <w:t xml:space="preserve"> that to translate the results of the </w:t>
      </w:r>
      <w:r w:rsidRPr="00097721" w:rsidR="002B1735">
        <w:t xml:space="preserve">2024 RA </w:t>
      </w:r>
      <w:r w:rsidRPr="00097721" w:rsidR="00F73DE3">
        <w:t xml:space="preserve">LOLE study to </w:t>
      </w:r>
      <w:r w:rsidRPr="00097721" w:rsidR="002B1735">
        <w:t xml:space="preserve">a </w:t>
      </w:r>
      <w:r w:rsidRPr="00097721" w:rsidR="00F73DE3">
        <w:t xml:space="preserve">SOD </w:t>
      </w:r>
      <w:r w:rsidRPr="00097721" w:rsidR="002B1735">
        <w:t>PRM, Energy Division utilized the methodology adopted in D.23-04-010, which authorized Energy Division to integrate the PRM calibration tools</w:t>
      </w:r>
      <w:r w:rsidRPr="00097721" w:rsidR="00375B38">
        <w:t xml:space="preserve">, as </w:t>
      </w:r>
      <w:r w:rsidRPr="00097721" w:rsidR="002B1735">
        <w:t xml:space="preserve">proposed </w:t>
      </w:r>
      <w:r w:rsidRPr="00097721" w:rsidR="002B1735">
        <w:lastRenderedPageBreak/>
        <w:t>by NRDC and SCE.  This methodology included using the current SOD counting rules for resources and the 2021 IEPR worst</w:t>
      </w:r>
      <w:r w:rsidRPr="00097721" w:rsidR="00E43058">
        <w:t>-</w:t>
      </w:r>
      <w:r w:rsidRPr="00097721" w:rsidR="002B1735">
        <w:t>day load forecast (both</w:t>
      </w:r>
      <w:r w:rsidRPr="00097721" w:rsidR="00FD48FD">
        <w:t xml:space="preserve"> of which</w:t>
      </w:r>
      <w:r w:rsidRPr="00097721" w:rsidR="002B1735">
        <w:t xml:space="preserve"> reflect September values)</w:t>
      </w:r>
      <w:r w:rsidRPr="00097721" w:rsidR="008624FC">
        <w:t>.</w:t>
      </w:r>
      <w:r w:rsidRPr="00097721" w:rsidR="00F73DE3">
        <w:t xml:space="preserve">  </w:t>
      </w:r>
      <w:r w:rsidRPr="00097721" w:rsidR="00DF1482">
        <w:t xml:space="preserve">In </w:t>
      </w:r>
      <w:r w:rsidRPr="00097721" w:rsidR="002B1735">
        <w:t xml:space="preserve">fall </w:t>
      </w:r>
      <w:r w:rsidRPr="00097721" w:rsidR="00FD48FD">
        <w:t xml:space="preserve">of </w:t>
      </w:r>
      <w:r w:rsidRPr="00097721" w:rsidR="00DF1482">
        <w:t xml:space="preserve">2023, </w:t>
      </w:r>
      <w:r w:rsidRPr="00097721" w:rsidR="00F73DE3">
        <w:t>Energy Division published an initial draft of its SOD PRM calibration tool using the portfolio results of the 2024 RA LOLE study and presented the results in a</w:t>
      </w:r>
      <w:r w:rsidRPr="00097721" w:rsidR="008624FC">
        <w:t>n</w:t>
      </w:r>
      <w:r w:rsidRPr="00097721" w:rsidR="00F73DE3">
        <w:t xml:space="preserve"> October 2023 workshop.  After correcting errors, Energy Division then calculated a 15.43</w:t>
      </w:r>
      <w:r w:rsidRPr="00097721" w:rsidR="003341D4">
        <w:t xml:space="preserve"> percent</w:t>
      </w:r>
      <w:r w:rsidRPr="00097721" w:rsidR="00F73DE3">
        <w:t xml:space="preserve"> SOD capacity margin for the September peak month.  </w:t>
      </w:r>
    </w:p>
    <w:p w:rsidRPr="00097721" w:rsidR="00966081" w:rsidP="00F73DE3" w:rsidRDefault="00F73DE3" w14:paraId="4EE6A356" w14:textId="59F0CAA7">
      <w:r w:rsidRPr="00097721">
        <w:t xml:space="preserve">Option 1 is to </w:t>
      </w:r>
      <w:r w:rsidRPr="00097721" w:rsidR="002B1735">
        <w:t xml:space="preserve">apply </w:t>
      </w:r>
      <w:r w:rsidRPr="00097721">
        <w:t>th</w:t>
      </w:r>
      <w:r w:rsidRPr="00097721" w:rsidR="002B1735">
        <w:t>e</w:t>
      </w:r>
      <w:r w:rsidRPr="00097721">
        <w:t xml:space="preserve"> </w:t>
      </w:r>
      <w:r w:rsidRPr="00097721" w:rsidR="002B1735">
        <w:t xml:space="preserve">15.43 percent PRM, provided by </w:t>
      </w:r>
      <w:r w:rsidRPr="00097721">
        <w:t xml:space="preserve">translation of the 2024 </w:t>
      </w:r>
      <w:r w:rsidRPr="00097721" w:rsidR="002B1735">
        <w:t xml:space="preserve">LOLE </w:t>
      </w:r>
      <w:r w:rsidRPr="00097721" w:rsidR="00966081">
        <w:t>portfolio</w:t>
      </w:r>
      <w:r w:rsidRPr="00097721" w:rsidR="002B1735">
        <w:t>, to the 2025 SOD compliance year.</w:t>
      </w:r>
      <w:r w:rsidRPr="00097721" w:rsidR="00966081">
        <w:t xml:space="preserve"> </w:t>
      </w:r>
      <w:r w:rsidRPr="00097721" w:rsidR="002B1735">
        <w:t xml:space="preserve"> Energy Division </w:t>
      </w:r>
      <w:r w:rsidRPr="00097721" w:rsidR="00FD48FD">
        <w:t>states</w:t>
      </w:r>
      <w:r w:rsidRPr="00097721" w:rsidR="002B1735">
        <w:t xml:space="preserve"> that a 15.43 percent PRM suggests that a 17 percent PRM calibration is fulfilled, given that the results from the 2024 RA LOLE study (published in January 2023) show a 15 percent PRM for September using the </w:t>
      </w:r>
      <w:r w:rsidRPr="00097721" w:rsidR="00EE6BB8">
        <w:t>2021</w:t>
      </w:r>
      <w:r w:rsidRPr="00097721" w:rsidR="00AD539C">
        <w:t xml:space="preserve"> </w:t>
      </w:r>
      <w:r w:rsidRPr="00097721" w:rsidR="002B1735">
        <w:t>CEC 1-in-2 IEPR demand forecast.</w:t>
      </w:r>
      <w:r w:rsidRPr="00097721" w:rsidR="00AD539C">
        <w:rPr>
          <w:rStyle w:val="FootnoteReference"/>
        </w:rPr>
        <w:footnoteReference w:id="25"/>
      </w:r>
      <w:r w:rsidRPr="00097721" w:rsidR="002B1735">
        <w:t xml:space="preserve">  </w:t>
      </w:r>
      <w:r w:rsidRPr="00097721">
        <w:t xml:space="preserve">Energy Division </w:t>
      </w:r>
      <w:r w:rsidRPr="00097721" w:rsidR="00FD48FD">
        <w:t xml:space="preserve">observes </w:t>
      </w:r>
      <w:r w:rsidRPr="00097721">
        <w:t>that</w:t>
      </w:r>
      <w:r w:rsidRPr="00097721" w:rsidR="00CC314D">
        <w:t xml:space="preserve"> there is a question of whether a 15.43</w:t>
      </w:r>
      <w:r w:rsidRPr="00097721" w:rsidR="001E035D">
        <w:t xml:space="preserve"> percent</w:t>
      </w:r>
      <w:r w:rsidRPr="00097721" w:rsidR="00CC314D">
        <w:t xml:space="preserve"> SOD PRM for all summer months ensures the same level of reliability adopted in D.23-06-029 with the 17</w:t>
      </w:r>
      <w:r w:rsidRPr="00097721" w:rsidR="001E035D">
        <w:t xml:space="preserve"> percent PRM</w:t>
      </w:r>
      <w:r w:rsidRPr="00097721" w:rsidR="008624FC">
        <w:t>.</w:t>
      </w:r>
    </w:p>
    <w:p w:rsidRPr="00097721" w:rsidR="00F73DE3" w:rsidP="00F73DE3" w:rsidRDefault="00F73DE3" w14:paraId="54348057" w14:textId="346997D3">
      <w:r w:rsidRPr="00097721">
        <w:t>Under Option 2, Energy Division recommends maintaining the status quo 17</w:t>
      </w:r>
      <w:r w:rsidRPr="00097721" w:rsidR="002C1590">
        <w:t xml:space="preserve"> percent</w:t>
      </w:r>
      <w:r w:rsidRPr="00097721">
        <w:t xml:space="preserve"> PRM for the 2025 </w:t>
      </w:r>
      <w:r w:rsidRPr="00097721" w:rsidR="005836CA">
        <w:t xml:space="preserve">SOD </w:t>
      </w:r>
      <w:r w:rsidRPr="00097721">
        <w:t>PRM to apply to RA program obligations.</w:t>
      </w:r>
      <w:r w:rsidRPr="00097721" w:rsidR="00BD3ADC">
        <w:t xml:space="preserve">  Energy Division states that this option applies a slightly higher SOD PRM than the 15.43</w:t>
      </w:r>
      <w:r w:rsidRPr="00097721" w:rsidR="002C1590">
        <w:t xml:space="preserve"> percent</w:t>
      </w:r>
      <w:r w:rsidRPr="00097721" w:rsidR="002B1735">
        <w:t xml:space="preserve"> LOLE results translated to</w:t>
      </w:r>
      <w:r w:rsidRPr="00097721" w:rsidR="00BD3ADC">
        <w:t xml:space="preserve"> September but may also be lower than the </w:t>
      </w:r>
      <w:r w:rsidRPr="00097721" w:rsidR="002B1735">
        <w:t xml:space="preserve">SOD </w:t>
      </w:r>
      <w:r w:rsidRPr="00097721" w:rsidR="00BD3ADC">
        <w:t>PRM required in other months</w:t>
      </w:r>
      <w:r w:rsidRPr="00097721" w:rsidR="00AD539C">
        <w:t>,</w:t>
      </w:r>
      <w:r w:rsidRPr="00097721" w:rsidR="002B1735">
        <w:t xml:space="preserve"> given the monthly exceedance levels</w:t>
      </w:r>
      <w:r w:rsidRPr="00097721" w:rsidR="00BD3ADC">
        <w:t xml:space="preserve">.  Energy Division states that </w:t>
      </w:r>
      <w:r w:rsidRPr="00097721" w:rsidR="002B1735">
        <w:t xml:space="preserve">a 17 percent PRM will </w:t>
      </w:r>
      <w:r w:rsidRPr="00097721" w:rsidR="00BD3ADC">
        <w:t xml:space="preserve">decrease </w:t>
      </w:r>
      <w:r w:rsidRPr="00097721" w:rsidR="002B1735">
        <w:t xml:space="preserve">LOLE </w:t>
      </w:r>
      <w:r w:rsidRPr="00097721" w:rsidR="00BD3ADC">
        <w:t>slightly</w:t>
      </w:r>
      <w:r w:rsidRPr="00097721" w:rsidR="002B1735">
        <w:t xml:space="preserve"> in September</w:t>
      </w:r>
      <w:r w:rsidRPr="00097721" w:rsidR="00BD3ADC">
        <w:t xml:space="preserve"> but will potentially increase </w:t>
      </w:r>
      <w:r w:rsidRPr="00097721" w:rsidR="002B1735">
        <w:t xml:space="preserve">LOLE </w:t>
      </w:r>
      <w:r w:rsidRPr="00097721" w:rsidR="00BD3ADC">
        <w:t xml:space="preserve">in other months of the year, which will result in a more balanced LOLE across summer months.  Energy Division </w:t>
      </w:r>
      <w:r w:rsidRPr="00097721" w:rsidR="002B1735">
        <w:t xml:space="preserve">also </w:t>
      </w:r>
      <w:r w:rsidRPr="00097721" w:rsidR="00BD3ADC">
        <w:t xml:space="preserve">notes that the </w:t>
      </w:r>
      <w:r w:rsidRPr="00097721" w:rsidR="00297430">
        <w:t>15.43 percent September</w:t>
      </w:r>
      <w:r w:rsidRPr="00097721" w:rsidR="00BD3ADC">
        <w:t xml:space="preserve"> calibration result is very </w:t>
      </w:r>
      <w:r w:rsidRPr="00097721" w:rsidR="00BD3ADC">
        <w:lastRenderedPageBreak/>
        <w:t>close to the CEC’s monthly managed September PRM of 14.5</w:t>
      </w:r>
      <w:r w:rsidRPr="00097721" w:rsidR="00297430">
        <w:t xml:space="preserve"> percent</w:t>
      </w:r>
      <w:r w:rsidRPr="00097721" w:rsidR="00BD3ADC">
        <w:t>, which was used to inform the 17</w:t>
      </w:r>
      <w:r w:rsidRPr="00097721" w:rsidR="00297430">
        <w:t xml:space="preserve"> percent</w:t>
      </w:r>
      <w:r w:rsidRPr="00097721" w:rsidR="00BD3ADC">
        <w:t xml:space="preserve"> PRM for 2024 and 2025 in D.23-06-029.</w:t>
      </w:r>
    </w:p>
    <w:p w:rsidRPr="00097721" w:rsidR="00DF364F" w:rsidP="00F73DE3" w:rsidRDefault="00DF364F" w14:paraId="5A08F04E" w14:textId="3627555E">
      <w:r w:rsidRPr="00097721">
        <w:t xml:space="preserve">Energy Division </w:t>
      </w:r>
      <w:r w:rsidRPr="00097721" w:rsidR="006B5D8F">
        <w:t xml:space="preserve">also </w:t>
      </w:r>
      <w:r w:rsidRPr="00097721" w:rsidR="009525F4">
        <w:t xml:space="preserve">notes that it plans </w:t>
      </w:r>
      <w:r w:rsidRPr="00097721" w:rsidR="006B5D8F">
        <w:t xml:space="preserve">to perform a </w:t>
      </w:r>
      <w:r w:rsidRPr="00097721" w:rsidR="009525F4">
        <w:t xml:space="preserve">set of </w:t>
      </w:r>
      <w:r w:rsidRPr="00097721" w:rsidR="006B5D8F">
        <w:t>stress test</w:t>
      </w:r>
      <w:r w:rsidRPr="00097721" w:rsidR="009525F4">
        <w:t>s in its 2026 LOLE study (as part of Track 2 of this proceeding) to assess the effectiveness of imposing an annual PRM based on a peak month’s result, and if needed, explore the necessity of levelized annual PRM or unique monthly PRMs for purposes of maintaining reliability</w:t>
      </w:r>
      <w:r w:rsidRPr="00097721" w:rsidR="006B5D8F">
        <w:t>.</w:t>
      </w:r>
      <w:r w:rsidRPr="00097721" w:rsidR="006B5D8F">
        <w:rPr>
          <w:rStyle w:val="FootnoteReference"/>
        </w:rPr>
        <w:footnoteReference w:id="26"/>
      </w:r>
      <w:r w:rsidRPr="00097721" w:rsidR="009365EC">
        <w:t xml:space="preserve">  </w:t>
      </w:r>
    </w:p>
    <w:p w:rsidRPr="00097721" w:rsidR="00A931CE" w:rsidP="00A931CE" w:rsidRDefault="00A931CE" w14:paraId="0EEC9AC5" w14:textId="0C71933D">
      <w:pPr>
        <w:pStyle w:val="Heading3"/>
      </w:pPr>
      <w:bookmarkStart w:name="_Toc166841739" w:id="31"/>
      <w:r w:rsidRPr="00097721">
        <w:t>Comments on Proposals</w:t>
      </w:r>
      <w:bookmarkEnd w:id="31"/>
    </w:p>
    <w:p w:rsidRPr="00097721" w:rsidR="002C1509" w:rsidP="00861BD0" w:rsidRDefault="00D27FEB" w14:paraId="4370DEA7" w14:textId="77777777">
      <w:r w:rsidRPr="00097721">
        <w:t xml:space="preserve">Ava, CalCCA, and PG&amp;E </w:t>
      </w:r>
      <w:r w:rsidRPr="00097721" w:rsidR="00E028DF">
        <w:t>support a 15.43</w:t>
      </w:r>
      <w:r w:rsidRPr="00097721" w:rsidR="00861BD0">
        <w:t xml:space="preserve"> percent</w:t>
      </w:r>
      <w:r w:rsidRPr="00097721" w:rsidR="00E028DF">
        <w:t xml:space="preserve"> SOD PRM for 2025.</w:t>
      </w:r>
      <w:r w:rsidRPr="00097721" w:rsidR="00E028DF">
        <w:rPr>
          <w:rStyle w:val="FootnoteReference"/>
        </w:rPr>
        <w:footnoteReference w:id="27"/>
      </w:r>
      <w:r w:rsidRPr="00097721" w:rsidR="00E028DF">
        <w:t xml:space="preserve">  CalCCA </w:t>
      </w:r>
      <w:r w:rsidRPr="00097721" w:rsidR="003D13D6">
        <w:t xml:space="preserve">and Ava </w:t>
      </w:r>
      <w:r w:rsidRPr="00097721" w:rsidR="00E028DF">
        <w:t>state that the 15.43</w:t>
      </w:r>
      <w:r w:rsidRPr="00097721" w:rsidR="00861BD0">
        <w:t xml:space="preserve"> percent</w:t>
      </w:r>
      <w:r w:rsidRPr="00097721" w:rsidR="00E028DF">
        <w:t xml:space="preserve"> </w:t>
      </w:r>
      <w:r w:rsidRPr="00097721" w:rsidR="00861BD0">
        <w:t xml:space="preserve">should be adopted </w:t>
      </w:r>
      <w:r w:rsidRPr="00097721" w:rsidR="00E028DF">
        <w:t>if the SOD framework is implemented in 2025</w:t>
      </w:r>
      <w:r w:rsidRPr="00097721" w:rsidR="00861BD0">
        <w:t xml:space="preserve"> but that the 17 percent should be retained if there is another test year.  </w:t>
      </w:r>
    </w:p>
    <w:p w:rsidRPr="00097721" w:rsidR="00DD26DA" w:rsidP="00F7508B" w:rsidRDefault="00081E70" w14:paraId="43199852" w14:textId="0BCB84AA">
      <w:r w:rsidRPr="00097721">
        <w:t xml:space="preserve">Microsoft </w:t>
      </w:r>
      <w:r w:rsidRPr="00097721" w:rsidR="002C1509">
        <w:t xml:space="preserve">argues that </w:t>
      </w:r>
      <w:r w:rsidRPr="00097721" w:rsidR="008624FC">
        <w:t>n</w:t>
      </w:r>
      <w:r w:rsidRPr="00097721" w:rsidR="002C1509">
        <w:t xml:space="preserve">either PRM </w:t>
      </w:r>
      <w:r w:rsidRPr="00097721" w:rsidR="00D27FEB">
        <w:t>calibrate</w:t>
      </w:r>
      <w:r w:rsidRPr="00097721" w:rsidR="008624FC">
        <w:t>s</w:t>
      </w:r>
      <w:r w:rsidRPr="00097721" w:rsidR="00D27FEB">
        <w:t xml:space="preserve"> for reliability</w:t>
      </w:r>
      <w:r w:rsidRPr="00097721" w:rsidR="00861BD0">
        <w:t xml:space="preserve"> but</w:t>
      </w:r>
      <w:r w:rsidRPr="00097721" w:rsidR="00D27FEB">
        <w:t xml:space="preserve"> </w:t>
      </w:r>
      <w:r w:rsidRPr="00097721">
        <w:t>prefers 17</w:t>
      </w:r>
      <w:r w:rsidRPr="00097721" w:rsidR="002C1509">
        <w:t xml:space="preserve"> percent</w:t>
      </w:r>
      <w:r w:rsidRPr="00097721" w:rsidR="00EF44ED">
        <w:t xml:space="preserve"> </w:t>
      </w:r>
      <w:r w:rsidRPr="00097721" w:rsidR="00D27FEB">
        <w:t xml:space="preserve">and </w:t>
      </w:r>
      <w:r w:rsidRPr="00097721" w:rsidR="002C1509">
        <w:t>recommends</w:t>
      </w:r>
      <w:r w:rsidRPr="00097721" w:rsidR="00EE24FD">
        <w:t xml:space="preserve"> </w:t>
      </w:r>
      <w:r w:rsidRPr="00097721" w:rsidR="00BF088E">
        <w:t>Energy Division’s proposed stress tests.</w:t>
      </w:r>
      <w:r w:rsidRPr="00097721" w:rsidR="00D27FEB">
        <w:rPr>
          <w:rStyle w:val="FootnoteReference"/>
        </w:rPr>
        <w:footnoteReference w:id="28"/>
      </w:r>
      <w:r w:rsidRPr="00097721" w:rsidR="00C7620A">
        <w:t xml:space="preserve">  </w:t>
      </w:r>
      <w:r w:rsidRPr="00097721" w:rsidR="00BC1ECD">
        <w:t xml:space="preserve">Vistra supports an initial PRM </w:t>
      </w:r>
      <w:r w:rsidRPr="00097721" w:rsidR="00D27FEB">
        <w:t>of</w:t>
      </w:r>
      <w:r w:rsidRPr="00097721" w:rsidR="00BC1ECD">
        <w:t xml:space="preserve"> 17</w:t>
      </w:r>
      <w:r w:rsidRPr="00097721" w:rsidR="002F0896">
        <w:t xml:space="preserve"> percent</w:t>
      </w:r>
      <w:r w:rsidRPr="00097721" w:rsidR="00BC1ECD">
        <w:t xml:space="preserve"> for 2025 and</w:t>
      </w:r>
      <w:r w:rsidRPr="00097721" w:rsidR="00D27FEB">
        <w:t xml:space="preserve"> </w:t>
      </w:r>
      <w:r w:rsidRPr="00097721" w:rsidR="00BC1ECD">
        <w:t xml:space="preserve">either </w:t>
      </w:r>
      <w:r w:rsidRPr="00097721" w:rsidR="002F0896">
        <w:t xml:space="preserve">maintaining the effective PRM or </w:t>
      </w:r>
      <w:r w:rsidRPr="00097721" w:rsidR="00BC1ECD">
        <w:t>performing stress tests to identify if the PRM needs to be increased.</w:t>
      </w:r>
      <w:r w:rsidRPr="00097721" w:rsidR="00D27FEB">
        <w:rPr>
          <w:rStyle w:val="FootnoteReference"/>
        </w:rPr>
        <w:footnoteReference w:id="29"/>
      </w:r>
      <w:r w:rsidRPr="00097721" w:rsidR="00BC1ECD">
        <w:t xml:space="preserve">  </w:t>
      </w:r>
      <w:r w:rsidRPr="00097721" w:rsidR="00DD26DA">
        <w:t xml:space="preserve">CAISO states that </w:t>
      </w:r>
      <w:r w:rsidRPr="00097721" w:rsidR="007A6C0F">
        <w:t xml:space="preserve">for 2025, </w:t>
      </w:r>
      <w:r w:rsidRPr="00097721" w:rsidR="00DD26DA">
        <w:t>a PRM less than 17</w:t>
      </w:r>
      <w:r w:rsidRPr="00097721" w:rsidR="009D3AED">
        <w:t xml:space="preserve"> percent</w:t>
      </w:r>
      <w:r w:rsidRPr="00097721" w:rsidR="00DD26DA">
        <w:t xml:space="preserve"> should not be adopted and a 15.43</w:t>
      </w:r>
      <w:r w:rsidRPr="00097721" w:rsidR="009D3AED">
        <w:t xml:space="preserve"> percent</w:t>
      </w:r>
      <w:r w:rsidRPr="00097721" w:rsidR="00DD26DA">
        <w:t xml:space="preserve"> SOD PRM should not be used, as this may introduce loss of load risk in months outside of the peak month.</w:t>
      </w:r>
      <w:r w:rsidRPr="00097721" w:rsidR="00DD26DA">
        <w:rPr>
          <w:rStyle w:val="FootnoteReference"/>
        </w:rPr>
        <w:footnoteReference w:id="30"/>
      </w:r>
      <w:r w:rsidRPr="00097721" w:rsidR="00DD26DA">
        <w:t xml:space="preserve">  SCE disagrees with CAISO that a PRM of less than 17</w:t>
      </w:r>
      <w:r w:rsidRPr="00097721" w:rsidR="009D3AED">
        <w:t xml:space="preserve"> percent </w:t>
      </w:r>
      <w:r w:rsidRPr="00097721" w:rsidR="00DD26DA">
        <w:t xml:space="preserve">would introduce LOLE risk in months </w:t>
      </w:r>
      <w:r w:rsidRPr="00097721" w:rsidR="00DD26DA">
        <w:lastRenderedPageBreak/>
        <w:t>outside of the peak month</w:t>
      </w:r>
      <w:r w:rsidRPr="00097721" w:rsidR="00F55753">
        <w:t>, argu</w:t>
      </w:r>
      <w:r w:rsidRPr="00097721" w:rsidR="00252459">
        <w:t>ing</w:t>
      </w:r>
      <w:r w:rsidRPr="00097721" w:rsidR="00F55753">
        <w:t xml:space="preserve"> </w:t>
      </w:r>
      <w:r w:rsidRPr="00097721" w:rsidR="00DD26DA">
        <w:t>that CAISO is incorrectly treating single PRMs and SOD PRMs as the same.</w:t>
      </w:r>
      <w:r w:rsidRPr="00097721" w:rsidR="00DD26DA">
        <w:rPr>
          <w:rStyle w:val="FootnoteReference"/>
        </w:rPr>
        <w:footnoteReference w:id="31"/>
      </w:r>
    </w:p>
    <w:p w:rsidRPr="00097721" w:rsidR="009B1563" w:rsidP="009B1563" w:rsidRDefault="00006FA6" w14:paraId="6CD751C1" w14:textId="4C14A0A2">
      <w:r w:rsidRPr="00097721">
        <w:t>SCE</w:t>
      </w:r>
      <w:r w:rsidRPr="00097721" w:rsidR="00DD26DA">
        <w:t>, MRP, and WPTF</w:t>
      </w:r>
      <w:r w:rsidRPr="00097721">
        <w:t xml:space="preserve"> oppose </w:t>
      </w:r>
      <w:r w:rsidRPr="00097721" w:rsidR="00DA59C9">
        <w:t xml:space="preserve">both of </w:t>
      </w:r>
      <w:r w:rsidRPr="00097721">
        <w:t>Energy Division’s options for the SOD framework</w:t>
      </w:r>
      <w:r w:rsidRPr="00097721" w:rsidR="00106823">
        <w:t>.</w:t>
      </w:r>
      <w:r w:rsidRPr="00097721" w:rsidR="00CF2E98">
        <w:rPr>
          <w:rStyle w:val="FootnoteReference"/>
        </w:rPr>
        <w:footnoteReference w:id="32"/>
      </w:r>
      <w:r w:rsidRPr="00097721" w:rsidR="00106823">
        <w:t xml:space="preserve">  SCE </w:t>
      </w:r>
      <w:r w:rsidRPr="00097721" w:rsidR="00F45071">
        <w:t>views</w:t>
      </w:r>
      <w:r w:rsidRPr="00097721" w:rsidR="00106823">
        <w:t xml:space="preserve"> </w:t>
      </w:r>
      <w:r w:rsidRPr="00097721" w:rsidR="009E2245">
        <w:t>a</w:t>
      </w:r>
      <w:r w:rsidRPr="00097721" w:rsidR="00106823">
        <w:t xml:space="preserve"> 17</w:t>
      </w:r>
      <w:r w:rsidRPr="00097721" w:rsidR="00B039F1">
        <w:t xml:space="preserve"> percent</w:t>
      </w:r>
      <w:r w:rsidRPr="00097721" w:rsidR="00106823">
        <w:t xml:space="preserve"> PRM </w:t>
      </w:r>
      <w:r w:rsidRPr="00097721" w:rsidR="00F45071">
        <w:t>as</w:t>
      </w:r>
      <w:r w:rsidRPr="00097721" w:rsidR="00106823">
        <w:t xml:space="preserve"> more problematic because it </w:t>
      </w:r>
      <w:r w:rsidRPr="00097721" w:rsidR="00F45071">
        <w:t>does not</w:t>
      </w:r>
      <w:r w:rsidRPr="00097721" w:rsidR="00106823">
        <w:t xml:space="preserve"> account for differences </w:t>
      </w:r>
      <w:r w:rsidRPr="00097721" w:rsidR="003977AB">
        <w:t>in</w:t>
      </w:r>
      <w:r w:rsidRPr="00097721" w:rsidR="00106823">
        <w:t xml:space="preserve"> the two </w:t>
      </w:r>
      <w:r w:rsidRPr="00097721" w:rsidR="00F45071">
        <w:t>frameworks</w:t>
      </w:r>
      <w:r w:rsidRPr="00097721" w:rsidR="00106823">
        <w:t xml:space="preserve"> with respect to resource counting and applying PRM to load. </w:t>
      </w:r>
      <w:r w:rsidRPr="00097721" w:rsidR="003977AB">
        <w:t xml:space="preserve"> </w:t>
      </w:r>
      <w:r w:rsidRPr="00097721" w:rsidR="009B1563">
        <w:t>MRP opposes both PRMs due to a lack of evidence either can maintain 0.1 LOLE and states if either is adopted, the Commission should commit to understanding the level of reliability the option yields.</w:t>
      </w:r>
    </w:p>
    <w:p w:rsidRPr="00097721" w:rsidR="00DA6281" w:rsidP="00E42050" w:rsidRDefault="001075E3" w14:paraId="6B1B7F2B" w14:textId="1B684C81">
      <w:r w:rsidRPr="00097721">
        <w:t xml:space="preserve">WPTF </w:t>
      </w:r>
      <w:r w:rsidRPr="00097721" w:rsidR="00F32C0C">
        <w:t>is co</w:t>
      </w:r>
      <w:r w:rsidRPr="00097721">
        <w:t>ncern</w:t>
      </w:r>
      <w:r w:rsidRPr="00097721" w:rsidR="00F32C0C">
        <w:t>ed</w:t>
      </w:r>
      <w:r w:rsidRPr="00097721" w:rsidR="003977AB">
        <w:t xml:space="preserve"> with</w:t>
      </w:r>
      <w:r w:rsidRPr="00097721">
        <w:t xml:space="preserve"> a single PRM based on September</w:t>
      </w:r>
      <w:r w:rsidRPr="00097721" w:rsidR="00F32C0C">
        <w:t xml:space="preserve"> </w:t>
      </w:r>
      <w:r w:rsidRPr="00097721">
        <w:t>or a 17</w:t>
      </w:r>
      <w:r w:rsidRPr="00097721" w:rsidR="00B039F1">
        <w:t xml:space="preserve"> percent</w:t>
      </w:r>
      <w:r w:rsidRPr="00097721">
        <w:t xml:space="preserve"> PRM that will increase LOLE in other months.  WPTF commissioned Astrape Consulting to stress test both options and calculate the lowest PRM that produces a 0.1 LOLE.  WPTF states that </w:t>
      </w:r>
      <w:r w:rsidRPr="00097721" w:rsidR="001D249F">
        <w:t>the</w:t>
      </w:r>
      <w:r w:rsidRPr="00097721">
        <w:t xml:space="preserve"> analysis shows that a 15.43</w:t>
      </w:r>
      <w:r w:rsidRPr="00097721" w:rsidR="0026509E">
        <w:t xml:space="preserve"> percent </w:t>
      </w:r>
      <w:r w:rsidRPr="00097721">
        <w:t>PRM increases LOLE to 0.372</w:t>
      </w:r>
      <w:r w:rsidRPr="00097721" w:rsidR="006D12B5">
        <w:t xml:space="preserve">, </w:t>
      </w:r>
      <w:r w:rsidRPr="00097721">
        <w:t>a 17</w:t>
      </w:r>
      <w:r w:rsidRPr="00097721" w:rsidR="006D12B5">
        <w:t xml:space="preserve"> percent</w:t>
      </w:r>
      <w:r w:rsidRPr="00097721">
        <w:t xml:space="preserve"> PRM produces a LOLE of 0.229</w:t>
      </w:r>
      <w:r w:rsidRPr="00097721" w:rsidR="006D12B5">
        <w:t xml:space="preserve">, and </w:t>
      </w:r>
      <w:r w:rsidRPr="00097721">
        <w:t>a 19.7</w:t>
      </w:r>
      <w:r w:rsidRPr="00097721" w:rsidR="006D12B5">
        <w:t xml:space="preserve"> percent</w:t>
      </w:r>
      <w:r w:rsidRPr="00097721">
        <w:t xml:space="preserve"> PRM is the lowest PRM </w:t>
      </w:r>
      <w:r w:rsidRPr="00097721" w:rsidR="00AF4FEB">
        <w:t>to</w:t>
      </w:r>
      <w:r w:rsidRPr="00097721">
        <w:t xml:space="preserve"> produce a portfolio meeting 0.1 LOLE.</w:t>
      </w:r>
      <w:r w:rsidRPr="00097721" w:rsidR="00DD26DA">
        <w:t xml:space="preserve">  In rep</w:t>
      </w:r>
      <w:r w:rsidRPr="00097721" w:rsidR="00AF4FEB">
        <w:t>ly comments</w:t>
      </w:r>
      <w:r w:rsidRPr="00097721" w:rsidR="00DD26DA">
        <w:t xml:space="preserve">, </w:t>
      </w:r>
      <w:r w:rsidRPr="00097721" w:rsidR="005A5431">
        <w:t xml:space="preserve">PG&amp;E </w:t>
      </w:r>
      <w:r w:rsidRPr="00097721" w:rsidR="00DD26DA">
        <w:t>observes</w:t>
      </w:r>
      <w:r w:rsidRPr="00097721" w:rsidR="005A5431">
        <w:t xml:space="preserve"> that WPTF’s analysis does not include the impact of the effective PRM for SOD, which when combined with a base PRM of 15.43</w:t>
      </w:r>
      <w:r w:rsidRPr="00097721" w:rsidR="002B432E">
        <w:t xml:space="preserve"> percent</w:t>
      </w:r>
      <w:r w:rsidRPr="00097721" w:rsidR="005A5431">
        <w:t xml:space="preserve"> produces a range of 19.13-22.43</w:t>
      </w:r>
      <w:r w:rsidRPr="00097721" w:rsidR="00E665F8">
        <w:t xml:space="preserve"> percent</w:t>
      </w:r>
      <w:r w:rsidRPr="00097721" w:rsidR="005A5431">
        <w:t xml:space="preserve"> PRM.</w:t>
      </w:r>
      <w:r w:rsidRPr="00097721" w:rsidR="005A5431">
        <w:rPr>
          <w:rStyle w:val="FootnoteReference"/>
        </w:rPr>
        <w:footnoteReference w:id="33"/>
      </w:r>
      <w:r w:rsidRPr="00097721" w:rsidR="00E42050">
        <w:t xml:space="preserve">  </w:t>
      </w:r>
    </w:p>
    <w:p w:rsidRPr="00097721" w:rsidR="00DD26DA" w:rsidP="008A66D0" w:rsidRDefault="00991D99" w14:paraId="33BA3FCF" w14:textId="515E5242">
      <w:r w:rsidRPr="00097721">
        <w:t xml:space="preserve">Calpine </w:t>
      </w:r>
      <w:r w:rsidRPr="00097721" w:rsidR="00DD1C78">
        <w:t>supports a 17</w:t>
      </w:r>
      <w:r w:rsidRPr="00097721" w:rsidR="00950FD8">
        <w:t xml:space="preserve"> percent</w:t>
      </w:r>
      <w:r w:rsidRPr="00097721" w:rsidR="00DD1C78">
        <w:t xml:space="preserve"> PRM for 2025 after reviewing WPTF’s analysis, as a 15.43</w:t>
      </w:r>
      <w:r w:rsidRPr="00097721" w:rsidR="00950FD8">
        <w:t xml:space="preserve"> percent</w:t>
      </w:r>
      <w:r w:rsidRPr="00097721" w:rsidR="00DD1C78">
        <w:t xml:space="preserve"> PRM yields a LOLE far abo</w:t>
      </w:r>
      <w:r w:rsidRPr="00097721" w:rsidR="007E48D0">
        <w:t>ve</w:t>
      </w:r>
      <w:r w:rsidRPr="00097721" w:rsidR="00DD1C78">
        <w:t xml:space="preserve"> the 0.1 LOLE target.</w:t>
      </w:r>
      <w:r w:rsidRPr="00097721" w:rsidR="00DD1C78">
        <w:rPr>
          <w:rStyle w:val="FootnoteReference"/>
        </w:rPr>
        <w:footnoteReference w:id="34"/>
      </w:r>
      <w:r w:rsidRPr="00097721">
        <w:t xml:space="preserve">  </w:t>
      </w:r>
      <w:r w:rsidRPr="00097721" w:rsidR="00342A33">
        <w:lastRenderedPageBreak/>
        <w:t xml:space="preserve">CEERT </w:t>
      </w:r>
      <w:r w:rsidRPr="00097721" w:rsidR="00347741">
        <w:t>supports Energy Division’s proposal for stress tests to analyze monthly reliability when applying a single PRM</w:t>
      </w:r>
      <w:r w:rsidRPr="00097721" w:rsidR="00342A33">
        <w:t>.</w:t>
      </w:r>
      <w:r w:rsidRPr="00097721" w:rsidR="003840B1">
        <w:rPr>
          <w:rStyle w:val="FootnoteReference"/>
        </w:rPr>
        <w:footnoteReference w:id="35"/>
      </w:r>
      <w:r w:rsidRPr="00097721" w:rsidR="00347741">
        <w:t xml:space="preserve">  </w:t>
      </w:r>
    </w:p>
    <w:p w:rsidRPr="00097721" w:rsidR="00C47653" w:rsidP="00354E0A" w:rsidRDefault="00FB731B" w14:paraId="393C6662" w14:textId="3F07C381">
      <w:pPr>
        <w:pStyle w:val="Heading3"/>
      </w:pPr>
      <w:bookmarkStart w:name="_Toc166841740" w:id="32"/>
      <w:r w:rsidRPr="00097721">
        <w:t>Discussion</w:t>
      </w:r>
      <w:bookmarkEnd w:id="32"/>
    </w:p>
    <w:p w:rsidRPr="00097721" w:rsidR="00CC4530" w:rsidP="00354E0A" w:rsidRDefault="00BC7BF0" w14:paraId="3C0F2848" w14:textId="291B882C">
      <w:r w:rsidRPr="00097721">
        <w:t>As discussed</w:t>
      </w:r>
      <w:r w:rsidRPr="00097721" w:rsidR="00BD02F9">
        <w:t xml:space="preserve"> above, we maintain that </w:t>
      </w:r>
      <w:r w:rsidRPr="00097721">
        <w:t>the first year of the SOD framework will be the 2025 RA year</w:t>
      </w:r>
      <w:r w:rsidRPr="00097721" w:rsidR="008624FC">
        <w:t>.</w:t>
      </w:r>
      <w:r w:rsidRPr="00097721">
        <w:t xml:space="preserve">  </w:t>
      </w:r>
      <w:r w:rsidRPr="00097721" w:rsidR="00354E0A">
        <w:t>As described in the Scoping Memo, the Commission “will consider the translation of the adopted 17 percent PRM for the 2025 RA compliance year to the SOD framework.”</w:t>
      </w:r>
      <w:r w:rsidRPr="00097721" w:rsidR="00354E0A">
        <w:rPr>
          <w:rStyle w:val="FootnoteReference"/>
        </w:rPr>
        <w:footnoteReference w:id="36"/>
      </w:r>
      <w:r w:rsidRPr="00097721" w:rsidR="00354E0A">
        <w:t xml:space="preserve">  </w:t>
      </w:r>
    </w:p>
    <w:p w:rsidRPr="00097721" w:rsidR="008624FC" w:rsidP="008624FC" w:rsidRDefault="002C4D2E" w14:paraId="14E4AB47" w14:textId="2610B9A1">
      <w:r w:rsidRPr="00097721">
        <w:t xml:space="preserve">In considering the appropriate translation of the 17 percent PRM for the 2025 RA year, we are concerned that the results of Energy Division’s 15.43 percent PRM </w:t>
      </w:r>
      <w:r w:rsidRPr="00097721" w:rsidR="00B442E4">
        <w:t>calibration analysis</w:t>
      </w:r>
      <w:r w:rsidRPr="00097721">
        <w:t xml:space="preserve"> </w:t>
      </w:r>
      <w:r w:rsidRPr="00097721" w:rsidR="00B442E4">
        <w:t>demonstrate that a 17</w:t>
      </w:r>
      <w:r w:rsidRPr="00097721">
        <w:t xml:space="preserve"> percent</w:t>
      </w:r>
      <w:r w:rsidRPr="00097721" w:rsidR="00B442E4">
        <w:t xml:space="preserve"> PRM calibration is fulfilled</w:t>
      </w:r>
      <w:r w:rsidRPr="00097721">
        <w:t xml:space="preserve"> only in September</w:t>
      </w:r>
      <w:r w:rsidRPr="00097721" w:rsidR="00B442E4">
        <w:t>.</w:t>
      </w:r>
      <w:r w:rsidRPr="00097721" w:rsidR="00B442E4">
        <w:rPr>
          <w:rStyle w:val="FootnoteReference"/>
        </w:rPr>
        <w:footnoteReference w:id="37"/>
      </w:r>
      <w:r w:rsidRPr="00097721" w:rsidR="00B442E4">
        <w:t xml:space="preserve">  </w:t>
      </w:r>
      <w:r w:rsidRPr="00097721" w:rsidR="003E6CED">
        <w:t>We agree with Energy Division that this raises the concern</w:t>
      </w:r>
      <w:r w:rsidRPr="00097721" w:rsidR="005C4512">
        <w:t xml:space="preserve"> </w:t>
      </w:r>
      <w:r w:rsidRPr="00097721" w:rsidR="009D0A29">
        <w:t>that</w:t>
      </w:r>
      <w:r w:rsidRPr="00097721" w:rsidR="005C4512">
        <w:t xml:space="preserve"> a 15.43</w:t>
      </w:r>
      <w:r w:rsidRPr="00097721" w:rsidR="003E6CED">
        <w:t xml:space="preserve"> percent</w:t>
      </w:r>
      <w:r w:rsidRPr="00097721" w:rsidR="005C4512">
        <w:t xml:space="preserve"> SOD PRM for all summer months </w:t>
      </w:r>
      <w:r w:rsidRPr="00097721" w:rsidR="009D0A29">
        <w:t xml:space="preserve">does not </w:t>
      </w:r>
      <w:r w:rsidRPr="00097721" w:rsidR="005C4512">
        <w:t xml:space="preserve">ensure the same reliability level </w:t>
      </w:r>
      <w:r w:rsidRPr="00097721" w:rsidR="009D0A29">
        <w:t xml:space="preserve">the Commission </w:t>
      </w:r>
      <w:r w:rsidRPr="00097721" w:rsidR="005C4512">
        <w:t xml:space="preserve">intended when </w:t>
      </w:r>
      <w:r w:rsidRPr="00097721" w:rsidR="009D0A29">
        <w:t xml:space="preserve">adopting </w:t>
      </w:r>
      <w:r w:rsidRPr="00097721" w:rsidR="005C4512">
        <w:t>the 17</w:t>
      </w:r>
      <w:r w:rsidRPr="00097721" w:rsidR="009D0A29">
        <w:t xml:space="preserve"> percent</w:t>
      </w:r>
      <w:r w:rsidRPr="00097721" w:rsidR="005C4512">
        <w:t xml:space="preserve"> PRM for 2025 in D.23-06-029.</w:t>
      </w:r>
      <w:r w:rsidRPr="00097721" w:rsidR="00B442E4">
        <w:t xml:space="preserve"> </w:t>
      </w:r>
      <w:r w:rsidRPr="00097721" w:rsidR="005C4512">
        <w:t xml:space="preserve"> </w:t>
      </w:r>
      <w:r w:rsidRPr="00097721" w:rsidR="004F6366">
        <w:t xml:space="preserve">Alternatively, </w:t>
      </w:r>
      <w:r w:rsidRPr="00097721" w:rsidR="00B75BF0">
        <w:t>under</w:t>
      </w:r>
      <w:r w:rsidRPr="00097721" w:rsidR="004F6366">
        <w:t xml:space="preserve"> </w:t>
      </w:r>
      <w:r w:rsidRPr="00097721" w:rsidR="005C4512">
        <w:t>Energy Division</w:t>
      </w:r>
      <w:r w:rsidRPr="00097721" w:rsidR="004F6366">
        <w:t xml:space="preserve">’s proposed </w:t>
      </w:r>
      <w:r w:rsidRPr="00097721" w:rsidR="005C4512">
        <w:t>17</w:t>
      </w:r>
      <w:r w:rsidRPr="00097721" w:rsidR="004F6366">
        <w:t xml:space="preserve"> percent</w:t>
      </w:r>
      <w:r w:rsidRPr="00097721" w:rsidR="005C4512">
        <w:t xml:space="preserve"> SOD PRM for 2025</w:t>
      </w:r>
      <w:r w:rsidRPr="00097721" w:rsidR="004F6366">
        <w:t>,</w:t>
      </w:r>
      <w:r w:rsidRPr="00097721" w:rsidR="007F5369">
        <w:t xml:space="preserve"> Energy Division </w:t>
      </w:r>
      <w:r w:rsidRPr="00097721" w:rsidR="004F6366">
        <w:t>states</w:t>
      </w:r>
      <w:r w:rsidRPr="00097721" w:rsidR="007F5369">
        <w:t xml:space="preserve"> that the adopted 17</w:t>
      </w:r>
      <w:r w:rsidRPr="00097721" w:rsidR="00B75BF0">
        <w:t xml:space="preserve"> percent</w:t>
      </w:r>
      <w:r w:rsidRPr="00097721" w:rsidR="007F5369">
        <w:t xml:space="preserve"> PRM was initially informed by a PRM reflecting about 15</w:t>
      </w:r>
      <w:r w:rsidRPr="00097721" w:rsidR="000129D4">
        <w:t xml:space="preserve"> percent</w:t>
      </w:r>
      <w:r w:rsidRPr="00097721" w:rsidR="007F5369">
        <w:t xml:space="preserve"> for September using CEC’s </w:t>
      </w:r>
      <w:r w:rsidRPr="00097721" w:rsidR="00A97FD0">
        <w:t>m</w:t>
      </w:r>
      <w:r w:rsidRPr="00097721" w:rsidR="007F5369">
        <w:t>anaged peak demand forecast and th</w:t>
      </w:r>
      <w:r w:rsidRPr="00097721" w:rsidR="00D30826">
        <w:t>us</w:t>
      </w:r>
      <w:r w:rsidRPr="00097721" w:rsidR="007F5369">
        <w:t>, a 17</w:t>
      </w:r>
      <w:r w:rsidRPr="00097721" w:rsidR="00D30826">
        <w:t xml:space="preserve"> percent</w:t>
      </w:r>
      <w:r w:rsidRPr="00097721" w:rsidR="007F5369">
        <w:t xml:space="preserve"> SOD PRM may have a comparable level of reliability as intended by D.23-06-029.</w:t>
      </w:r>
    </w:p>
    <w:p w:rsidRPr="00097721" w:rsidR="007221DB" w:rsidP="008624FC" w:rsidRDefault="008624FC" w14:paraId="3DEB2C2C" w14:textId="1EA75ACB">
      <w:r w:rsidRPr="00097721">
        <w:t xml:space="preserve">The </w:t>
      </w:r>
      <w:r w:rsidRPr="00097721" w:rsidR="0085667A">
        <w:t xml:space="preserve">Commission observes that the </w:t>
      </w:r>
      <w:r w:rsidRPr="00097721" w:rsidR="00A0725E">
        <w:t xml:space="preserve">CEC’s </w:t>
      </w:r>
      <w:r w:rsidRPr="00097721" w:rsidR="0085667A">
        <w:t xml:space="preserve">2023 </w:t>
      </w:r>
      <w:r w:rsidRPr="00097721" w:rsidR="00A0725E">
        <w:t>IEPR</w:t>
      </w:r>
      <w:r w:rsidRPr="00097721" w:rsidR="0085667A">
        <w:t xml:space="preserve"> demand forecast for 2025 show</w:t>
      </w:r>
      <w:r w:rsidRPr="00097721" w:rsidR="00A0725E">
        <w:t xml:space="preserve">s decreased demand compared to previous years, and a shift in the peak to July (rather than September).  Several parties, including SDG&amp;E, Microsoft, </w:t>
      </w:r>
      <w:r w:rsidRPr="00097721" w:rsidR="00DE7C8E">
        <w:t xml:space="preserve">and </w:t>
      </w:r>
      <w:r w:rsidRPr="00097721" w:rsidR="00A0725E">
        <w:t>Cal Advocates, express concern</w:t>
      </w:r>
      <w:r w:rsidRPr="00097721" w:rsidR="007221DB">
        <w:t>s</w:t>
      </w:r>
      <w:r w:rsidRPr="00097721" w:rsidR="00A0725E">
        <w:t xml:space="preserve"> </w:t>
      </w:r>
      <w:r w:rsidRPr="00097721" w:rsidR="007221DB">
        <w:t>with</w:t>
      </w:r>
      <w:r w:rsidRPr="00097721" w:rsidR="00A0725E">
        <w:t xml:space="preserve"> the uncertainty </w:t>
      </w:r>
      <w:r w:rsidRPr="00097721" w:rsidR="006C65BF">
        <w:t>associated with</w:t>
      </w:r>
      <w:r w:rsidRPr="00097721" w:rsidR="00A0725E">
        <w:t xml:space="preserve"> </w:t>
      </w:r>
      <w:r w:rsidRPr="00097721" w:rsidR="006C65BF">
        <w:t>a</w:t>
      </w:r>
      <w:r w:rsidRPr="00097721" w:rsidR="00A0725E">
        <w:t xml:space="preserve"> lower demand </w:t>
      </w:r>
      <w:r w:rsidRPr="00097721" w:rsidR="006C65BF">
        <w:t xml:space="preserve">forecast </w:t>
      </w:r>
      <w:r w:rsidRPr="00097721" w:rsidR="00A0725E">
        <w:t>and changing peak loads</w:t>
      </w:r>
      <w:r w:rsidRPr="00097721" w:rsidR="006C65BF">
        <w:t xml:space="preserve">, </w:t>
      </w:r>
      <w:r w:rsidRPr="00097721" w:rsidR="00A0725E">
        <w:t xml:space="preserve">as </w:t>
      </w:r>
      <w:r w:rsidRPr="00097721" w:rsidR="006C65BF">
        <w:t>the IEPR forecast</w:t>
      </w:r>
      <w:r w:rsidRPr="00097721" w:rsidR="00A0725E">
        <w:t xml:space="preserve"> is </w:t>
      </w:r>
      <w:r w:rsidRPr="00097721" w:rsidR="00A0725E">
        <w:lastRenderedPageBreak/>
        <w:t>closely tied to the RA requirements.</w:t>
      </w:r>
      <w:r w:rsidRPr="00097721" w:rsidR="00A0725E">
        <w:rPr>
          <w:rStyle w:val="FootnoteReference"/>
        </w:rPr>
        <w:footnoteReference w:id="38"/>
      </w:r>
      <w:r w:rsidRPr="00097721" w:rsidR="00DE7C8E">
        <w:t xml:space="preserve">  </w:t>
      </w:r>
      <w:r w:rsidRPr="00097721" w:rsidR="001B025A">
        <w:t>T</w:t>
      </w:r>
      <w:r w:rsidRPr="00097721" w:rsidR="00DE7C8E">
        <w:t xml:space="preserve">he Commission is concerned that </w:t>
      </w:r>
      <w:r w:rsidRPr="00097721">
        <w:t>the</w:t>
      </w:r>
      <w:r w:rsidRPr="00097721" w:rsidR="00DE7C8E">
        <w:t xml:space="preserve"> reduced demand</w:t>
      </w:r>
      <w:r w:rsidRPr="00097721">
        <w:t xml:space="preserve"> </w:t>
      </w:r>
      <w:r w:rsidRPr="00097721" w:rsidR="00F86939">
        <w:t xml:space="preserve">and shift in peak to July, under which solar exceedance values are significantly higher than in September, </w:t>
      </w:r>
      <w:r w:rsidRPr="00097721">
        <w:t>may result in a</w:t>
      </w:r>
      <w:r w:rsidRPr="00097721" w:rsidR="00F86939">
        <w:t xml:space="preserve"> restrictively </w:t>
      </w:r>
      <w:r w:rsidRPr="00097721" w:rsidR="001B025A">
        <w:t xml:space="preserve">lower </w:t>
      </w:r>
      <w:r w:rsidRPr="00097721" w:rsidR="00F86939">
        <w:t>PRM for procurement purposes</w:t>
      </w:r>
      <w:r w:rsidRPr="00097721">
        <w:t>.</w:t>
      </w:r>
      <w:r w:rsidRPr="00097721" w:rsidR="00DE7C8E">
        <w:t xml:space="preserve">  </w:t>
      </w:r>
      <w:r w:rsidRPr="00097721" w:rsidR="001B025A">
        <w:t>A 15.43 percent PRM level runs the risk of less total resources procured by LSEs</w:t>
      </w:r>
      <w:r w:rsidRPr="00097721" w:rsidR="000009AD">
        <w:t>.  However,</w:t>
      </w:r>
      <w:r w:rsidRPr="00097721" w:rsidR="001B025A">
        <w:t xml:space="preserve"> maintaining a 17 percent PRM level builds in a safety margin in the event the modifications to the 2025 RA forecast do not materialize.  </w:t>
      </w:r>
      <w:r w:rsidRPr="00097721" w:rsidR="004A643C">
        <w:t>T</w:t>
      </w:r>
      <w:r w:rsidRPr="00097721" w:rsidR="007221DB">
        <w:t xml:space="preserve">he Commission finds that applying a 17 percent SOD PRM for 2025 </w:t>
      </w:r>
      <w:r w:rsidRPr="00097721" w:rsidR="000009AD">
        <w:t xml:space="preserve">is a </w:t>
      </w:r>
      <w:r w:rsidRPr="00097721" w:rsidR="004A643C">
        <w:t xml:space="preserve">more </w:t>
      </w:r>
      <w:r w:rsidRPr="00097721" w:rsidR="000009AD">
        <w:t xml:space="preserve">prudent approach that </w:t>
      </w:r>
      <w:r w:rsidRPr="00097721" w:rsidR="007221DB">
        <w:t xml:space="preserve">would help offset uncertainty with the decreased load forecast. </w:t>
      </w:r>
    </w:p>
    <w:p w:rsidRPr="00097721" w:rsidR="00A17B09" w:rsidP="00A17B09" w:rsidRDefault="00F86939" w14:paraId="44CA892B" w14:textId="1807298C">
      <w:r w:rsidRPr="00097721">
        <w:t>In considering the 2023 IEPR forecast for 2025, it appears that a PRM of 17 percent (as opposed to 15.43</w:t>
      </w:r>
      <w:r w:rsidRPr="00097721" w:rsidR="001B147E">
        <w:t xml:space="preserve"> percent</w:t>
      </w:r>
      <w:r w:rsidRPr="00097721">
        <w:t xml:space="preserve">) in the SOD framework would result in an increase in procurement of 726.66 </w:t>
      </w:r>
      <w:r w:rsidRPr="00097721" w:rsidR="0069618D">
        <w:t>megawatts (</w:t>
      </w:r>
      <w:r w:rsidRPr="00097721">
        <w:t>MW</w:t>
      </w:r>
      <w:r w:rsidRPr="00097721" w:rsidR="0069618D">
        <w:t>)</w:t>
      </w:r>
      <w:r w:rsidRPr="00097721">
        <w:t xml:space="preserve"> in July, 706.59 MW in August, and 698.38 MW in September.  </w:t>
      </w:r>
      <w:r w:rsidRPr="00097721" w:rsidR="00990C60">
        <w:t xml:space="preserve">On balance, this additional level of procurement </w:t>
      </w:r>
      <w:r w:rsidRPr="00097721" w:rsidR="000009AD">
        <w:t>is</w:t>
      </w:r>
      <w:r w:rsidRPr="00097721" w:rsidR="00990C60">
        <w:t xml:space="preserve"> reasonable</w:t>
      </w:r>
      <w:r w:rsidRPr="00097721" w:rsidR="004A643C">
        <w:t>,</w:t>
      </w:r>
      <w:r w:rsidRPr="00097721" w:rsidR="00990C60">
        <w:t xml:space="preserve"> </w:t>
      </w:r>
      <w:r w:rsidRPr="00097721" w:rsidR="000009AD">
        <w:t>considering</w:t>
      </w:r>
      <w:r w:rsidRPr="00097721" w:rsidR="00990C60">
        <w:t xml:space="preserve"> </w:t>
      </w:r>
      <w:r w:rsidRPr="00097721" w:rsidR="004A643C">
        <w:t xml:space="preserve">that </w:t>
      </w:r>
      <w:r w:rsidRPr="00097721" w:rsidR="00990C60">
        <w:t>the 2025 RA forecast has decreased</w:t>
      </w:r>
      <w:r w:rsidRPr="00097721" w:rsidR="004A643C">
        <w:t xml:space="preserve"> considerably</w:t>
      </w:r>
      <w:r w:rsidRPr="00097721" w:rsidR="00990C60">
        <w:t xml:space="preserve">, particularly for the tightest supply months </w:t>
      </w:r>
      <w:r w:rsidRPr="00097721" w:rsidR="004A643C">
        <w:t xml:space="preserve">of </w:t>
      </w:r>
      <w:r w:rsidRPr="00097721" w:rsidR="00990C60">
        <w:t xml:space="preserve">August and September. </w:t>
      </w:r>
      <w:r w:rsidRPr="00097721" w:rsidR="00282240">
        <w:t xml:space="preserve"> </w:t>
      </w:r>
      <w:r w:rsidRPr="00097721" w:rsidR="00931E1B">
        <w:t xml:space="preserve">For these reasons, the Commission is </w:t>
      </w:r>
      <w:r w:rsidRPr="00097721" w:rsidR="008503F7">
        <w:t>persuaded</w:t>
      </w:r>
      <w:r w:rsidRPr="00097721" w:rsidR="00B442E4">
        <w:t xml:space="preserve"> </w:t>
      </w:r>
      <w:r w:rsidRPr="00097721" w:rsidR="009F5060">
        <w:t>that</w:t>
      </w:r>
      <w:r w:rsidRPr="00097721" w:rsidR="00C62AFF">
        <w:t xml:space="preserve"> a </w:t>
      </w:r>
      <w:r w:rsidRPr="00097721" w:rsidR="00B442E4">
        <w:t>17</w:t>
      </w:r>
      <w:r w:rsidRPr="00097721" w:rsidR="009F5060">
        <w:t xml:space="preserve"> percent</w:t>
      </w:r>
      <w:r w:rsidRPr="00097721" w:rsidR="00B442E4">
        <w:t xml:space="preserve"> PRM </w:t>
      </w:r>
      <w:r w:rsidRPr="00097721" w:rsidR="009F5060">
        <w:t>is a more appropriate PRM to be applied to the SOD framework</w:t>
      </w:r>
      <w:r w:rsidRPr="00097721" w:rsidR="004A643C">
        <w:t xml:space="preserve"> for the 2025 RA compliance year and we adopt it here</w:t>
      </w:r>
      <w:r w:rsidRPr="00097721" w:rsidR="00B22EB8">
        <w:t>.</w:t>
      </w:r>
      <w:r w:rsidRPr="00097721" w:rsidR="00B442E4">
        <w:t xml:space="preserve"> </w:t>
      </w:r>
      <w:r w:rsidRPr="00097721" w:rsidR="008624FC">
        <w:t xml:space="preserve"> </w:t>
      </w:r>
    </w:p>
    <w:p w:rsidRPr="00097721" w:rsidR="00C21AB3" w:rsidP="00C21AB3" w:rsidRDefault="00C21AB3" w14:paraId="7106D9CA" w14:textId="65A34CEA">
      <w:pPr>
        <w:pStyle w:val="Heading2"/>
      </w:pPr>
      <w:bookmarkStart w:name="_Toc166841741" w:id="33"/>
      <w:r w:rsidRPr="00097721">
        <w:t>Compliance and Penalties</w:t>
      </w:r>
      <w:bookmarkEnd w:id="33"/>
    </w:p>
    <w:p w:rsidRPr="00097721" w:rsidR="006071DC" w:rsidP="006071DC" w:rsidRDefault="006071DC" w14:paraId="78883CC2" w14:textId="5D320CA4">
      <w:r w:rsidRPr="00097721">
        <w:t>The Scoping Memo provides that the Commission “will consider modifications to the RA penalty structure and other ways to incent compliance with RA requirements, as well as to identify potential opportunities to increase the availability of RA resources.”</w:t>
      </w:r>
      <w:r w:rsidRPr="00097721" w:rsidR="004B7355">
        <w:rPr>
          <w:rStyle w:val="FootnoteReference"/>
        </w:rPr>
        <w:footnoteReference w:id="39"/>
      </w:r>
      <w:r w:rsidRPr="00097721">
        <w:t xml:space="preserve"> </w:t>
      </w:r>
      <w:r w:rsidRPr="00097721" w:rsidR="004B7355">
        <w:t xml:space="preserve"> We consider such proposals below.</w:t>
      </w:r>
    </w:p>
    <w:p w:rsidRPr="00097721" w:rsidR="00E628E1" w:rsidP="00485600" w:rsidRDefault="007A23EE" w14:paraId="3790C30A" w14:textId="6CB17E5C">
      <w:pPr>
        <w:pStyle w:val="Heading3"/>
      </w:pPr>
      <w:bookmarkStart w:name="_Toc166841742" w:id="34"/>
      <w:r w:rsidRPr="00097721">
        <w:lastRenderedPageBreak/>
        <w:t xml:space="preserve">Temporary </w:t>
      </w:r>
      <w:r w:rsidRPr="00097721" w:rsidR="00485600">
        <w:t>System Waivers</w:t>
      </w:r>
      <w:bookmarkEnd w:id="34"/>
    </w:p>
    <w:p w:rsidRPr="00097721" w:rsidR="00612DB0" w:rsidP="0067062E" w:rsidRDefault="007C184B" w14:paraId="5DC2391F" w14:textId="06054DE6">
      <w:pPr>
        <w:pStyle w:val="Standard"/>
      </w:pPr>
      <w:r w:rsidRPr="00097721">
        <w:t xml:space="preserve">CalCCA recommends a temporary waiver process for system and flexible RA from 2025-2027 to align with SOD implementation and </w:t>
      </w:r>
      <w:r w:rsidRPr="00097721" w:rsidR="00F92671">
        <w:t>assist</w:t>
      </w:r>
      <w:r w:rsidRPr="00097721">
        <w:t xml:space="preserve"> </w:t>
      </w:r>
      <w:r w:rsidRPr="00097721" w:rsidR="00F92671">
        <w:t>with</w:t>
      </w:r>
      <w:r w:rsidRPr="00097721">
        <w:t xml:space="preserve"> a smooth transition.</w:t>
      </w:r>
      <w:r w:rsidRPr="00097721">
        <w:rPr>
          <w:rStyle w:val="FootnoteReference"/>
        </w:rPr>
        <w:footnoteReference w:id="40"/>
      </w:r>
      <w:r w:rsidRPr="00097721" w:rsidR="00ED219C">
        <w:t xml:space="preserve">  CalCCA </w:t>
      </w:r>
      <w:r w:rsidRPr="00097721" w:rsidR="00F92671">
        <w:t>suggests</w:t>
      </w:r>
      <w:r w:rsidRPr="00097721" w:rsidR="00ED219C">
        <w:t xml:space="preserve"> a partial waiver </w:t>
      </w:r>
      <w:r w:rsidRPr="00097721" w:rsidR="00E65B64">
        <w:t xml:space="preserve">that </w:t>
      </w:r>
      <w:r w:rsidRPr="00097721" w:rsidR="00ED219C">
        <w:t>give</w:t>
      </w:r>
      <w:r w:rsidRPr="00097721" w:rsidR="00F92671">
        <w:t>s</w:t>
      </w:r>
      <w:r w:rsidRPr="00097721" w:rsidR="00ED219C">
        <w:t xml:space="preserve"> an LSE a waiver of penalty points and other non-financial consequences </w:t>
      </w:r>
      <w:r w:rsidRPr="00097721" w:rsidR="00E65B64">
        <w:t>if</w:t>
      </w:r>
      <w:r w:rsidRPr="00097721" w:rsidR="00ED219C">
        <w:t xml:space="preserve"> an LSE demonstrate</w:t>
      </w:r>
      <w:r w:rsidRPr="00097721" w:rsidR="00E65B64">
        <w:t>s</w:t>
      </w:r>
      <w:r w:rsidRPr="00097721" w:rsidR="00ED219C">
        <w:t xml:space="preserve"> tight market conditions, similar to </w:t>
      </w:r>
      <w:r w:rsidRPr="00097721" w:rsidR="00E65B64">
        <w:t>the</w:t>
      </w:r>
      <w:r w:rsidRPr="00097721" w:rsidR="00ED219C">
        <w:t xml:space="preserve"> local waiver</w:t>
      </w:r>
      <w:r w:rsidRPr="00097721" w:rsidR="00E65B64">
        <w:t xml:space="preserve"> process</w:t>
      </w:r>
      <w:r w:rsidRPr="00097721" w:rsidR="00ED219C">
        <w:t xml:space="preserve">.  CalCCA </w:t>
      </w:r>
      <w:r w:rsidRPr="00097721" w:rsidR="00E65B64">
        <w:t xml:space="preserve">also </w:t>
      </w:r>
      <w:r w:rsidRPr="00097721" w:rsidR="00F92671">
        <w:t>suggests</w:t>
      </w:r>
      <w:r w:rsidRPr="00097721" w:rsidR="00ED219C">
        <w:t xml:space="preserve"> a full waiver </w:t>
      </w:r>
      <w:r w:rsidRPr="00097721" w:rsidR="00E65B64">
        <w:t xml:space="preserve">that </w:t>
      </w:r>
      <w:r w:rsidRPr="00097721" w:rsidR="00ED219C">
        <w:t xml:space="preserve">would give an LSE a waiver of financial penalties, points, and </w:t>
      </w:r>
      <w:r w:rsidRPr="00097721" w:rsidR="00E65B64">
        <w:t>other</w:t>
      </w:r>
      <w:r w:rsidRPr="00097721" w:rsidR="00ED219C">
        <w:t xml:space="preserve"> consequences.  The LSE would need to show: (1) highly constrained market conditions (similar to the local waiver</w:t>
      </w:r>
      <w:r w:rsidRPr="00097721" w:rsidR="00E65B64">
        <w:t xml:space="preserve"> process</w:t>
      </w:r>
      <w:r w:rsidRPr="00097721" w:rsidR="00ED219C">
        <w:t xml:space="preserve">) and </w:t>
      </w:r>
      <w:r w:rsidRPr="00097721" w:rsidR="00F92671">
        <w:t>that</w:t>
      </w:r>
      <w:r w:rsidRPr="00097721" w:rsidR="00ED219C">
        <w:t xml:space="preserve"> it received insufficient bids and/or offers to </w:t>
      </w:r>
      <w:r w:rsidRPr="00097721" w:rsidR="00E65B64">
        <w:t>meet</w:t>
      </w:r>
      <w:r w:rsidRPr="00097721" w:rsidR="00ED219C">
        <w:t xml:space="preserve"> its obligations, (2) that </w:t>
      </w:r>
      <w:r w:rsidRPr="00097721" w:rsidR="00F92671">
        <w:t xml:space="preserve">COD </w:t>
      </w:r>
      <w:r w:rsidRPr="00097721" w:rsidR="00ED219C">
        <w:t xml:space="preserve">delays for new projects contributed to the deficiency, and (3) that the LSE made reasonable efforts to meet </w:t>
      </w:r>
      <w:r w:rsidRPr="00097721" w:rsidR="00F92671">
        <w:t>RA</w:t>
      </w:r>
      <w:r w:rsidRPr="00097721" w:rsidR="00ED219C">
        <w:t xml:space="preserve"> obligations but </w:t>
      </w:r>
      <w:r w:rsidRPr="00097721" w:rsidR="00E65B64">
        <w:t>could not</w:t>
      </w:r>
      <w:r w:rsidRPr="00097721" w:rsidR="00ED219C">
        <w:t xml:space="preserve"> due to SOD implementation issues.</w:t>
      </w:r>
      <w:r w:rsidRPr="00097721" w:rsidR="0067062E">
        <w:t xml:space="preserve">  </w:t>
      </w:r>
      <w:r w:rsidRPr="00097721" w:rsidR="00612DB0">
        <w:t xml:space="preserve">CalCCA </w:t>
      </w:r>
      <w:r w:rsidRPr="00097721" w:rsidR="006467B2">
        <w:t>proposes</w:t>
      </w:r>
      <w:r w:rsidRPr="00097721" w:rsidR="00612DB0">
        <w:t xml:space="preserve"> a workshop to further develop criteria for a waiver.</w:t>
      </w:r>
    </w:p>
    <w:p w:rsidRPr="00097721" w:rsidR="005C0D1A" w:rsidP="005C0D1A" w:rsidRDefault="005C0D1A" w14:paraId="73BDDAEC" w14:textId="3007D744">
      <w:pPr>
        <w:pStyle w:val="Standard"/>
      </w:pPr>
      <w:r w:rsidRPr="00097721">
        <w:t xml:space="preserve">SCE recommends </w:t>
      </w:r>
      <w:r w:rsidRPr="00097721" w:rsidR="00125198">
        <w:t xml:space="preserve">a temporary system waiver </w:t>
      </w:r>
      <w:r w:rsidRPr="00097721">
        <w:t xml:space="preserve">for summer 2024 (July–September) and for the 2025 </w:t>
      </w:r>
      <w:r w:rsidRPr="00097721" w:rsidR="00D06C56">
        <w:t>RA</w:t>
      </w:r>
      <w:r w:rsidRPr="00097721">
        <w:t xml:space="preserve"> year.</w:t>
      </w:r>
      <w:r w:rsidRPr="00097721" w:rsidR="0014150F">
        <w:rPr>
          <w:rStyle w:val="FootnoteReference"/>
        </w:rPr>
        <w:footnoteReference w:id="41"/>
      </w:r>
      <w:r w:rsidRPr="00097721">
        <w:t xml:space="preserve">  </w:t>
      </w:r>
      <w:r w:rsidRPr="00097721" w:rsidR="00E71AD9">
        <w:t>For</w:t>
      </w:r>
      <w:r w:rsidRPr="00097721">
        <w:t xml:space="preserve"> a</w:t>
      </w:r>
      <w:r w:rsidRPr="00097721" w:rsidR="00D06C56">
        <w:t xml:space="preserve"> deficient </w:t>
      </w:r>
      <w:r w:rsidRPr="00097721">
        <w:t xml:space="preserve">LSE, </w:t>
      </w:r>
      <w:r w:rsidRPr="00097721" w:rsidR="00E71AD9">
        <w:t xml:space="preserve">SCE proposes </w:t>
      </w:r>
      <w:r w:rsidRPr="00097721">
        <w:t xml:space="preserve">the LSE demonstrate that it made all “best commercial efforts” to secure capacity through solicitations and the broker market.  </w:t>
      </w:r>
      <w:r w:rsidRPr="00097721" w:rsidR="00D06C56">
        <w:t>D</w:t>
      </w:r>
      <w:r w:rsidRPr="00097721" w:rsidR="00AB7F53">
        <w:t xml:space="preserve">espite these efforts, </w:t>
      </w:r>
      <w:r w:rsidRPr="00097721" w:rsidR="00D06C56">
        <w:t xml:space="preserve">the LSE must show </w:t>
      </w:r>
      <w:r w:rsidRPr="00097721" w:rsidR="00AB7F53">
        <w:t xml:space="preserve">a lack of capacity for procurement.  SCE states that </w:t>
      </w:r>
      <w:r w:rsidRPr="00097721" w:rsidR="00D06C56">
        <w:t xml:space="preserve">other factors that should be considered are </w:t>
      </w:r>
      <w:r w:rsidRPr="00097721" w:rsidR="00AB7F53">
        <w:t xml:space="preserve">excessive pricing </w:t>
      </w:r>
      <w:r w:rsidRPr="00097721" w:rsidR="00D06C56">
        <w:t xml:space="preserve">(although not </w:t>
      </w:r>
      <w:r w:rsidRPr="00097721" w:rsidR="00AB7F53">
        <w:t xml:space="preserve">sufficient </w:t>
      </w:r>
      <w:r w:rsidRPr="00097721" w:rsidR="00D06C56">
        <w:t>on its own)</w:t>
      </w:r>
      <w:r w:rsidRPr="00097721" w:rsidR="00AB7F53">
        <w:t xml:space="preserve"> </w:t>
      </w:r>
      <w:r w:rsidRPr="00097721" w:rsidR="00D06C56">
        <w:t>and</w:t>
      </w:r>
      <w:r w:rsidRPr="00097721" w:rsidR="00AB7F53">
        <w:t xml:space="preserve"> project delays outside of an LSE’s control.</w:t>
      </w:r>
    </w:p>
    <w:p w:rsidRPr="00097721" w:rsidR="00BD2672" w:rsidP="005C0D1A" w:rsidRDefault="00BD2672" w14:paraId="48677CAC" w14:textId="4C4844E3">
      <w:pPr>
        <w:pStyle w:val="Standard"/>
      </w:pPr>
      <w:r w:rsidRPr="00097721">
        <w:t>ACP-CA recommends limited system waiver</w:t>
      </w:r>
      <w:r w:rsidRPr="00097721" w:rsidR="00F244E0">
        <w:t xml:space="preserve">s when it is clear that </w:t>
      </w:r>
      <w:r w:rsidRPr="00097721" w:rsidR="007C219F">
        <w:t>an</w:t>
      </w:r>
      <w:r w:rsidRPr="00097721" w:rsidR="00F244E0">
        <w:t xml:space="preserve"> LSE exercised commercially reasonable efforts to secure capacity but circumstances </w:t>
      </w:r>
      <w:r w:rsidRPr="00097721" w:rsidR="00F244E0">
        <w:lastRenderedPageBreak/>
        <w:t xml:space="preserve">beyond the </w:t>
      </w:r>
      <w:r w:rsidRPr="00097721" w:rsidR="007C219F">
        <w:t xml:space="preserve">LSE’s </w:t>
      </w:r>
      <w:r w:rsidRPr="00097721" w:rsidR="00F244E0">
        <w:t>control resulted in non-compliance</w:t>
      </w:r>
      <w:r w:rsidRPr="00097721">
        <w:t>.</w:t>
      </w:r>
      <w:r w:rsidRPr="00097721" w:rsidR="00E53DB5">
        <w:rPr>
          <w:rStyle w:val="FootnoteReference"/>
        </w:rPr>
        <w:footnoteReference w:id="42"/>
      </w:r>
      <w:r w:rsidRPr="00097721" w:rsidR="00E53DB5">
        <w:t xml:space="preserve">  ACP-CA </w:t>
      </w:r>
      <w:r w:rsidRPr="00097721" w:rsidR="00146CC4">
        <w:t>suggests</w:t>
      </w:r>
      <w:r w:rsidRPr="00097721" w:rsidR="00E53DB5">
        <w:t xml:space="preserve"> </w:t>
      </w:r>
      <w:r w:rsidRPr="00097721" w:rsidR="00F244E0">
        <w:t xml:space="preserve">the LSE </w:t>
      </w:r>
      <w:r w:rsidRPr="00097721" w:rsidR="006B5892">
        <w:t>must</w:t>
      </w:r>
      <w:r w:rsidRPr="00097721" w:rsidR="00F244E0">
        <w:t xml:space="preserve"> show it held solicitations, actively developed new resources, and actively attempted to procure capacity.  ACP-CA states that</w:t>
      </w:r>
      <w:r w:rsidRPr="00097721" w:rsidR="00E53DB5">
        <w:t xml:space="preserve"> a waiver should </w:t>
      </w:r>
      <w:r w:rsidRPr="00097721" w:rsidR="00615AA4">
        <w:t xml:space="preserve">also </w:t>
      </w:r>
      <w:r w:rsidRPr="00097721" w:rsidR="00E53DB5">
        <w:t xml:space="preserve">be </w:t>
      </w:r>
      <w:r w:rsidRPr="00097721" w:rsidR="006B5892">
        <w:t>granted</w:t>
      </w:r>
      <w:r w:rsidRPr="00097721" w:rsidR="00E53DB5">
        <w:t xml:space="preserve"> when the cause of a deficiency is due to a delay in allocation of deliverability or maximum import capability.</w:t>
      </w:r>
      <w:r w:rsidRPr="00097721">
        <w:t xml:space="preserve">  </w:t>
      </w:r>
    </w:p>
    <w:p w:rsidRPr="00097721" w:rsidR="008031E1" w:rsidP="008031E1" w:rsidRDefault="008031E1" w14:paraId="27692988" w14:textId="01D3C135">
      <w:pPr>
        <w:pStyle w:val="Heading4"/>
      </w:pPr>
      <w:bookmarkStart w:name="_Toc166841743" w:id="35"/>
      <w:r w:rsidRPr="00097721">
        <w:t>Comments on Proposals</w:t>
      </w:r>
      <w:bookmarkEnd w:id="35"/>
    </w:p>
    <w:p w:rsidRPr="00097721" w:rsidR="007A23EE" w:rsidP="007A23EE" w:rsidRDefault="007A23EE" w14:paraId="5F80CD7B" w14:textId="58706E30">
      <w:pPr>
        <w:pStyle w:val="Standard"/>
      </w:pPr>
      <w:r w:rsidRPr="00097721">
        <w:t xml:space="preserve">ACP-CA, REV, </w:t>
      </w:r>
      <w:r w:rsidRPr="00097721" w:rsidR="00B16E1B">
        <w:t>Shell</w:t>
      </w:r>
      <w:r w:rsidRPr="00097721" w:rsidR="00654F67">
        <w:t xml:space="preserve"> Energy</w:t>
      </w:r>
      <w:r w:rsidRPr="00097721" w:rsidR="00153A4B">
        <w:t xml:space="preserve">, </w:t>
      </w:r>
      <w:r w:rsidRPr="00097721">
        <w:t>SJCE</w:t>
      </w:r>
      <w:r w:rsidRPr="00097721" w:rsidR="00153A4B">
        <w:t>, and SVCE</w:t>
      </w:r>
      <w:r w:rsidRPr="00097721">
        <w:t xml:space="preserve"> support CalCCA’s proposal.</w:t>
      </w:r>
      <w:r w:rsidRPr="00097721">
        <w:rPr>
          <w:rStyle w:val="FootnoteReference"/>
        </w:rPr>
        <w:footnoteReference w:id="43"/>
      </w:r>
      <w:r w:rsidRPr="00097721">
        <w:t xml:space="preserve">  ACP-CA supports </w:t>
      </w:r>
      <w:r w:rsidRPr="00097721" w:rsidR="00AD7885">
        <w:t>a</w:t>
      </w:r>
      <w:r w:rsidRPr="00097721">
        <w:t xml:space="preserve"> full</w:t>
      </w:r>
      <w:r w:rsidRPr="00097721" w:rsidR="00282240">
        <w:t xml:space="preserve"> </w:t>
      </w:r>
      <w:r w:rsidRPr="00097721">
        <w:t>waiver proposal for COD delays.</w:t>
      </w:r>
      <w:r w:rsidRPr="00097721" w:rsidR="007B0803">
        <w:t xml:space="preserve"> </w:t>
      </w:r>
      <w:r w:rsidRPr="00097721" w:rsidR="008370EE">
        <w:t xml:space="preserve"> </w:t>
      </w:r>
      <w:r w:rsidRPr="00097721" w:rsidR="007B0803">
        <w:t xml:space="preserve">Shell </w:t>
      </w:r>
      <w:r w:rsidRPr="00097721" w:rsidR="002E19A7">
        <w:t xml:space="preserve">Energy </w:t>
      </w:r>
      <w:r w:rsidRPr="00097721" w:rsidR="007B0803">
        <w:t xml:space="preserve">states that the current penalty price should be </w:t>
      </w:r>
      <w:r w:rsidRPr="00097721" w:rsidR="00227EBA">
        <w:t>the</w:t>
      </w:r>
      <w:r w:rsidRPr="00097721" w:rsidR="007B0803">
        <w:t xml:space="preserve"> benchmark to determine whether bid prices received were too high.</w:t>
      </w:r>
      <w:r w:rsidRPr="00097721" w:rsidR="00153A4B">
        <w:t xml:space="preserve">  SVCE </w:t>
      </w:r>
      <w:r w:rsidRPr="00097721" w:rsidR="005E1643">
        <w:t>recommends adopting</w:t>
      </w:r>
      <w:r w:rsidRPr="00097721" w:rsidR="00153A4B">
        <w:t xml:space="preserve"> CalCCA’s proposal </w:t>
      </w:r>
      <w:r w:rsidRPr="00097721" w:rsidR="00990C60">
        <w:t xml:space="preserve">starting </w:t>
      </w:r>
      <w:r w:rsidRPr="00097721" w:rsidR="00153A4B">
        <w:t>for the 2024 compliance year.</w:t>
      </w:r>
    </w:p>
    <w:p w:rsidRPr="00097721" w:rsidR="00DE423E" w:rsidP="007B2B83" w:rsidRDefault="00E402E5" w14:paraId="536B30FD" w14:textId="10757314">
      <w:pPr>
        <w:pStyle w:val="Standard"/>
      </w:pPr>
      <w:r w:rsidRPr="00097721">
        <w:t>SCE supports a temporary waiver but disagrees that the waiver should extend to 2027; instead, SCE states that any extension beyond 2025 should be deferred.</w:t>
      </w:r>
      <w:r w:rsidRPr="00097721">
        <w:rPr>
          <w:rStyle w:val="FootnoteReference"/>
        </w:rPr>
        <w:footnoteReference w:id="44"/>
      </w:r>
      <w:r w:rsidRPr="00097721">
        <w:t xml:space="preserve">  </w:t>
      </w:r>
      <w:r w:rsidRPr="00097721" w:rsidR="008370EE">
        <w:t xml:space="preserve">Calpine supports a temporary waiver but </w:t>
      </w:r>
      <w:r w:rsidRPr="00097721" w:rsidR="00163108">
        <w:t>notes</w:t>
      </w:r>
      <w:r w:rsidRPr="00097721" w:rsidR="008370EE">
        <w:t xml:space="preserve"> that a significant amount of capacity </w:t>
      </w:r>
      <w:r w:rsidRPr="00097721" w:rsidR="00AD7885">
        <w:t xml:space="preserve">is </w:t>
      </w:r>
      <w:r w:rsidRPr="00097721" w:rsidR="008370EE">
        <w:t>scheduled to be added in the next few years.</w:t>
      </w:r>
      <w:r w:rsidRPr="00097721" w:rsidR="008370EE">
        <w:rPr>
          <w:rStyle w:val="FootnoteReference"/>
        </w:rPr>
        <w:footnoteReference w:id="45"/>
      </w:r>
      <w:r w:rsidRPr="00097721" w:rsidR="008370EE">
        <w:t xml:space="preserve">  Calpine </w:t>
      </w:r>
      <w:r w:rsidRPr="00097721" w:rsidR="00C86525">
        <w:t>supports</w:t>
      </w:r>
      <w:r w:rsidRPr="00097721" w:rsidR="008370EE">
        <w:t xml:space="preserve"> a waiver </w:t>
      </w:r>
      <w:r w:rsidRPr="00097721" w:rsidR="00C86525">
        <w:t>for</w:t>
      </w:r>
      <w:r w:rsidRPr="00097721" w:rsidR="008370EE">
        <w:t xml:space="preserve"> delayed COD of a new resource but </w:t>
      </w:r>
      <w:r w:rsidRPr="00097721" w:rsidR="00C86525">
        <w:t>states that it</w:t>
      </w:r>
      <w:r w:rsidRPr="00097721" w:rsidR="008370EE">
        <w:t xml:space="preserve"> should be time-limited </w:t>
      </w:r>
      <w:r w:rsidRPr="00097721" w:rsidR="00C86525">
        <w:t>as</w:t>
      </w:r>
      <w:r w:rsidRPr="00097721" w:rsidR="008370EE">
        <w:t xml:space="preserve"> LSEs must pursue other options to meet obligations.</w:t>
      </w:r>
      <w:r w:rsidRPr="00097721" w:rsidR="004729E7">
        <w:t xml:space="preserve">  </w:t>
      </w:r>
      <w:r w:rsidRPr="00097721" w:rsidR="00DE423E">
        <w:t xml:space="preserve">AReM supports a partial waiver </w:t>
      </w:r>
      <w:r w:rsidRPr="00097721">
        <w:t>of</w:t>
      </w:r>
      <w:r w:rsidRPr="00097721" w:rsidR="00303885">
        <w:t xml:space="preserve"> non-financial penalties </w:t>
      </w:r>
      <w:r w:rsidRPr="00097721" w:rsidR="00DE423E">
        <w:t xml:space="preserve">for 2025-2027 but </w:t>
      </w:r>
      <w:r w:rsidRPr="00097721" w:rsidR="00706A07">
        <w:t>objects to</w:t>
      </w:r>
      <w:r w:rsidRPr="00097721" w:rsidR="00DE423E">
        <w:t xml:space="preserve"> a full waiver of financial penalties</w:t>
      </w:r>
      <w:r w:rsidRPr="00097721" w:rsidR="00706A07">
        <w:t xml:space="preserve">, as a full waiver allows an LSE to escape any payment for procurement obligations, which is </w:t>
      </w:r>
      <w:r w:rsidRPr="00097721" w:rsidR="007B2B83">
        <w:t>un</w:t>
      </w:r>
      <w:r w:rsidRPr="00097721" w:rsidR="00706A07">
        <w:t xml:space="preserve">reasonable even in a tight </w:t>
      </w:r>
      <w:r w:rsidRPr="00097721" w:rsidR="00706A07">
        <w:lastRenderedPageBreak/>
        <w:t>market</w:t>
      </w:r>
      <w:r w:rsidRPr="00097721" w:rsidR="00DE423E">
        <w:t>.</w:t>
      </w:r>
      <w:r w:rsidRPr="00097721" w:rsidR="00DE423E">
        <w:rPr>
          <w:rStyle w:val="FootnoteReference"/>
        </w:rPr>
        <w:footnoteReference w:id="46"/>
      </w:r>
      <w:r w:rsidRPr="00097721" w:rsidR="00303885">
        <w:t xml:space="preserve"> </w:t>
      </w:r>
      <w:r w:rsidRPr="00097721" w:rsidR="00706A07">
        <w:t xml:space="preserve"> </w:t>
      </w:r>
      <w:r w:rsidRPr="00097721" w:rsidR="00303885">
        <w:t xml:space="preserve">AReM </w:t>
      </w:r>
      <w:r w:rsidRPr="00097721" w:rsidR="008A38F7">
        <w:t>opposes</w:t>
      </w:r>
      <w:r w:rsidRPr="00097721" w:rsidR="00303885">
        <w:t xml:space="preserve"> a waiver </w:t>
      </w:r>
      <w:r w:rsidRPr="00097721" w:rsidR="00013B21">
        <w:t>for</w:t>
      </w:r>
      <w:r w:rsidRPr="00097721" w:rsidR="00303885">
        <w:t xml:space="preserve"> delays of new resource development</w:t>
      </w:r>
      <w:r w:rsidRPr="00097721" w:rsidR="00047489">
        <w:t xml:space="preserve"> since </w:t>
      </w:r>
      <w:r w:rsidRPr="00097721" w:rsidR="00303885">
        <w:t>LSEs can avoid penalties if it contracts with existing resources rather than delayed new resources.</w:t>
      </w:r>
    </w:p>
    <w:p w:rsidRPr="00097721" w:rsidR="00F6677F" w:rsidP="00F6677F" w:rsidRDefault="00153A4B" w14:paraId="728E384B" w14:textId="77777777">
      <w:pPr>
        <w:pStyle w:val="Standard"/>
      </w:pPr>
      <w:r w:rsidRPr="00097721">
        <w:t xml:space="preserve">MRP </w:t>
      </w:r>
      <w:r w:rsidRPr="00097721" w:rsidR="006D60AA">
        <w:t>and PG&amp;E oppose waivers</w:t>
      </w:r>
      <w:r w:rsidRPr="00097721" w:rsidR="007936D5">
        <w:t xml:space="preserve"> </w:t>
      </w:r>
      <w:r w:rsidRPr="00097721" w:rsidR="00C601A6">
        <w:t>and generally state that determining whether an LSE exercised commercially reasonable efforts can be a very subjective process, resulting in inequitable application of the criteria</w:t>
      </w:r>
      <w:r w:rsidRPr="00097721" w:rsidR="006D60AA">
        <w:t>.</w:t>
      </w:r>
      <w:r w:rsidRPr="00097721" w:rsidR="007936D5">
        <w:rPr>
          <w:rStyle w:val="FootnoteReference"/>
        </w:rPr>
        <w:footnoteReference w:id="47"/>
      </w:r>
      <w:r w:rsidRPr="00097721" w:rsidR="006D60AA">
        <w:t xml:space="preserve">  </w:t>
      </w:r>
      <w:r w:rsidRPr="00097721" w:rsidR="00011A7A">
        <w:t xml:space="preserve">MRP </w:t>
      </w:r>
      <w:r w:rsidRPr="00097721" w:rsidR="00013EF9">
        <w:t>contends</w:t>
      </w:r>
      <w:r w:rsidRPr="00097721" w:rsidR="00011A7A">
        <w:t xml:space="preserve"> that a waiver cannot be </w:t>
      </w:r>
      <w:r w:rsidRPr="00097721">
        <w:t>align</w:t>
      </w:r>
      <w:r w:rsidRPr="00097721" w:rsidR="00011A7A">
        <w:t>ed</w:t>
      </w:r>
      <w:r w:rsidRPr="00097721">
        <w:t xml:space="preserve"> with </w:t>
      </w:r>
      <w:r w:rsidRPr="00097721" w:rsidR="00013EF9">
        <w:t>Public Utilities (</w:t>
      </w:r>
      <w:r w:rsidRPr="00097721">
        <w:t>Pub. Util.</w:t>
      </w:r>
      <w:r w:rsidRPr="00097721" w:rsidR="00013EF9">
        <w:t>)</w:t>
      </w:r>
      <w:r w:rsidRPr="00097721">
        <w:t xml:space="preserve"> Code Section 380</w:t>
      </w:r>
      <w:r w:rsidRPr="00097721" w:rsidR="006D60AA">
        <w:t>’s</w:t>
      </w:r>
      <w:r w:rsidRPr="00097721" w:rsidR="00011A7A">
        <w:t xml:space="preserve"> requirement</w:t>
      </w:r>
      <w:r w:rsidRPr="00097721">
        <w:t xml:space="preserve"> to minimize backstop procurement</w:t>
      </w:r>
      <w:r w:rsidRPr="00097721" w:rsidR="006D60AA">
        <w:t xml:space="preserve"> and </w:t>
      </w:r>
      <w:r w:rsidRPr="00097721" w:rsidR="00011A7A">
        <w:t xml:space="preserve">that a waiver process would </w:t>
      </w:r>
      <w:r w:rsidRPr="00097721" w:rsidR="000E051C">
        <w:t>allow</w:t>
      </w:r>
      <w:r w:rsidRPr="00097721" w:rsidR="00011A7A">
        <w:t xml:space="preserve"> deficient LSEs to </w:t>
      </w:r>
      <w:r w:rsidRPr="00097721" w:rsidR="000E051C">
        <w:t xml:space="preserve">avoid </w:t>
      </w:r>
      <w:r w:rsidRPr="00097721" w:rsidR="00011A7A">
        <w:t>procur</w:t>
      </w:r>
      <w:r w:rsidRPr="00097721" w:rsidR="000E051C">
        <w:t>ing</w:t>
      </w:r>
      <w:r w:rsidRPr="00097721" w:rsidR="00011A7A">
        <w:t xml:space="preserve"> capacity</w:t>
      </w:r>
      <w:r w:rsidRPr="00097721" w:rsidR="006D60AA">
        <w:t xml:space="preserve">, </w:t>
      </w:r>
      <w:r w:rsidRPr="00097721" w:rsidR="00011A7A">
        <w:t>significantly erod</w:t>
      </w:r>
      <w:r w:rsidRPr="00097721" w:rsidR="00E4377F">
        <w:t>ing</w:t>
      </w:r>
      <w:r w:rsidRPr="00097721" w:rsidR="00011A7A">
        <w:t xml:space="preserve"> grid reliability and the value of the RA program.</w:t>
      </w:r>
      <w:r w:rsidRPr="00097721" w:rsidR="007B121C">
        <w:t xml:space="preserve">  MRP </w:t>
      </w:r>
      <w:r w:rsidRPr="00097721" w:rsidR="006D60AA">
        <w:t>highlights</w:t>
      </w:r>
      <w:r w:rsidRPr="00097721" w:rsidR="007B121C">
        <w:t xml:space="preserve"> that the Commission adopted </w:t>
      </w:r>
      <w:r w:rsidRPr="00097721" w:rsidR="001965DF">
        <w:t>a</w:t>
      </w:r>
      <w:r w:rsidRPr="00097721" w:rsidR="007B121C">
        <w:t xml:space="preserve"> 17</w:t>
      </w:r>
      <w:r w:rsidRPr="00097721" w:rsidR="00CF3D3D">
        <w:t xml:space="preserve"> percent</w:t>
      </w:r>
      <w:r w:rsidRPr="00097721" w:rsidR="007B121C">
        <w:t xml:space="preserve"> PRM in part due to concerns about the lack of supply from new project delays, and </w:t>
      </w:r>
      <w:r w:rsidRPr="00097721" w:rsidR="001965DF">
        <w:t>thus</w:t>
      </w:r>
      <w:r w:rsidRPr="00097721" w:rsidR="007B121C">
        <w:t xml:space="preserve">, the PRM includes an implicit system waiver because the Commission may otherwise have adopted a higher PRM.  </w:t>
      </w:r>
    </w:p>
    <w:p w:rsidRPr="00097721" w:rsidR="00907EE5" w:rsidP="00F6677F" w:rsidRDefault="0048492C" w14:paraId="6A6C7343" w14:textId="0D0777DE">
      <w:pPr>
        <w:pStyle w:val="Standard"/>
      </w:pPr>
      <w:r w:rsidRPr="00097721">
        <w:t xml:space="preserve">PG&amp;E states that waivers are highly inequitable for LSEs that do not use the process, as those LSE potentially contract at higher prices and LSEs that use the waiver process avoid contracting.  PG&amp;E adds that LSEs that fail to meet system obligations put all customers at greater risk of outages, even customers of LSEs that paid the price of meeting system obligations.  </w:t>
      </w:r>
      <w:r w:rsidRPr="00097721" w:rsidR="00907EE5">
        <w:t xml:space="preserve">PG&amp;E </w:t>
      </w:r>
      <w:r w:rsidRPr="00097721" w:rsidR="007936D5">
        <w:t>argues that</w:t>
      </w:r>
      <w:r w:rsidRPr="00097721" w:rsidR="00907EE5">
        <w:t xml:space="preserve"> none of the proposals offer sufficient safeguards to ensure reliability, such as a cap on how much of an LSE’s obligation can be waived.  </w:t>
      </w:r>
    </w:p>
    <w:p w:rsidRPr="00097721" w:rsidR="008C044F" w:rsidP="008031E1" w:rsidRDefault="00B85291" w14:paraId="2FD401AA" w14:textId="387A135A">
      <w:pPr>
        <w:pStyle w:val="Standard"/>
      </w:pPr>
      <w:r w:rsidRPr="00097721">
        <w:t xml:space="preserve">In opening comments, </w:t>
      </w:r>
      <w:r w:rsidRPr="00097721" w:rsidR="008C044F">
        <w:t>PG&amp;E proposes temporary system waivers for new resource development delays.</w:t>
      </w:r>
      <w:r w:rsidRPr="00097721" w:rsidR="008C044F">
        <w:rPr>
          <w:rStyle w:val="FootnoteReference"/>
        </w:rPr>
        <w:footnoteReference w:id="48"/>
      </w:r>
      <w:r w:rsidRPr="00097721" w:rsidR="008C044F">
        <w:t xml:space="preserve">  PG&amp;E recommends that LSEs that experience </w:t>
      </w:r>
      <w:r w:rsidRPr="00097721" w:rsidR="008C044F">
        <w:lastRenderedPageBreak/>
        <w:t xml:space="preserve">new </w:t>
      </w:r>
      <w:r w:rsidRPr="00097721" w:rsidR="008464FE">
        <w:t>project</w:t>
      </w:r>
      <w:r w:rsidRPr="00097721" w:rsidR="008C044F">
        <w:t xml:space="preserve"> delays for mid-term reliability (MTR)-related resources </w:t>
      </w:r>
      <w:r w:rsidRPr="00097721" w:rsidR="00E66145">
        <w:t>should</w:t>
      </w:r>
      <w:r w:rsidRPr="00097721" w:rsidR="008C044F">
        <w:t xml:space="preserve"> receive a waiver</w:t>
      </w:r>
      <w:r w:rsidRPr="00097721" w:rsidR="006C3E02">
        <w:t>,</w:t>
      </w:r>
      <w:r w:rsidRPr="00097721" w:rsidR="008C044F">
        <w:t xml:space="preserve"> if the delay</w:t>
      </w:r>
      <w:r w:rsidRPr="00097721" w:rsidR="00703A99">
        <w:t>ed</w:t>
      </w:r>
      <w:r w:rsidRPr="00097721" w:rsidR="008C044F">
        <w:t xml:space="preserve"> resource </w:t>
      </w:r>
      <w:r w:rsidRPr="00097721" w:rsidR="00ED4ED8">
        <w:t>was</w:t>
      </w:r>
      <w:r w:rsidRPr="00097721" w:rsidR="008C044F">
        <w:t xml:space="preserve"> the difference between a month-ahead showing passing or failing compliance.  If yes, the LSE would be eligible for a waiver; if no</w:t>
      </w:r>
      <w:r w:rsidRPr="00097721" w:rsidR="00BA5FE5">
        <w:t>t</w:t>
      </w:r>
      <w:r w:rsidRPr="00097721" w:rsidR="008C044F">
        <w:t xml:space="preserve">, the LSE would </w:t>
      </w:r>
      <w:r w:rsidRPr="00097721" w:rsidR="00BA5FE5">
        <w:t xml:space="preserve">receive </w:t>
      </w:r>
      <w:r w:rsidRPr="00097721" w:rsidR="008C044F">
        <w:t>a penalty based on the deficiency, net the impact of the delayed resource.</w:t>
      </w:r>
      <w:r w:rsidRPr="00097721" w:rsidR="00AD2E20">
        <w:t xml:space="preserve">  PG&amp;E </w:t>
      </w:r>
      <w:r w:rsidRPr="00097721" w:rsidR="007C42D6">
        <w:t>states</w:t>
      </w:r>
      <w:r w:rsidRPr="00097721" w:rsidR="00AD2E20">
        <w:t xml:space="preserve"> that this approach cap</w:t>
      </w:r>
      <w:r w:rsidRPr="00097721" w:rsidR="00D177F2">
        <w:t>s</w:t>
      </w:r>
      <w:r w:rsidRPr="00097721" w:rsidR="00AD2E20">
        <w:t xml:space="preserve"> the volume eligible for a waiver, addresses concerns about new resource delays, and is more equitable for all LSE experiencing delays.</w:t>
      </w:r>
      <w:r w:rsidRPr="00097721" w:rsidR="00432554">
        <w:t xml:space="preserve">  Further, the Commission has set criteria for granting MTR procurement waivers and this process would eliminat</w:t>
      </w:r>
      <w:r w:rsidRPr="00097721" w:rsidR="00CE6DF3">
        <w:t>e</w:t>
      </w:r>
      <w:r w:rsidRPr="00097721" w:rsidR="00432554">
        <w:t xml:space="preserve"> duplicative administrative work.</w:t>
      </w:r>
    </w:p>
    <w:p w:rsidRPr="00097721" w:rsidR="00520102" w:rsidP="00520102" w:rsidRDefault="00520102" w14:paraId="7D6967BC" w14:textId="3056855C">
      <w:pPr>
        <w:pStyle w:val="Heading4"/>
      </w:pPr>
      <w:bookmarkStart w:name="_Toc166841744" w:id="36"/>
      <w:r w:rsidRPr="00097721">
        <w:t>Discussion</w:t>
      </w:r>
      <w:bookmarkEnd w:id="36"/>
    </w:p>
    <w:p w:rsidRPr="00097721" w:rsidR="00EF25A2" w:rsidP="00C8195A" w:rsidRDefault="00C8195A" w14:paraId="44D8C25B" w14:textId="74C4440C">
      <w:pPr>
        <w:pStyle w:val="Standard"/>
      </w:pPr>
      <w:r w:rsidRPr="00097721">
        <w:t>The</w:t>
      </w:r>
      <w:r w:rsidRPr="00097721" w:rsidR="008803FD">
        <w:t xml:space="preserve"> Commission has </w:t>
      </w:r>
      <w:r w:rsidRPr="00097721">
        <w:t xml:space="preserve">considered and </w:t>
      </w:r>
      <w:r w:rsidRPr="00097721" w:rsidR="008803FD">
        <w:t xml:space="preserve">rejected adoption of system RA waivers </w:t>
      </w:r>
      <w:r w:rsidRPr="00097721">
        <w:t>a few</w:t>
      </w:r>
      <w:r w:rsidRPr="00097721" w:rsidR="008803FD">
        <w:t xml:space="preserve"> times in recent years.  In D.19-06-029, the Commission </w:t>
      </w:r>
      <w:r w:rsidRPr="00097721" w:rsidR="00EF25A2">
        <w:t>rejected system waivers, stating</w:t>
      </w:r>
      <w:r w:rsidRPr="00097721" w:rsidR="008803FD">
        <w:t xml:space="preserve"> that “there remain significant, unresolved issues that required further consideration before allowing such waivers, including potential leaning by LSEs and market power issues.  Such market power issues may include potential gaming by generators that may, for example, withhold capacity during more expensive peak months.”</w:t>
      </w:r>
      <w:r w:rsidRPr="00097721" w:rsidR="008803FD">
        <w:rPr>
          <w:rStyle w:val="FootnoteReference"/>
        </w:rPr>
        <w:footnoteReference w:id="49"/>
      </w:r>
      <w:r w:rsidRPr="00097721">
        <w:t xml:space="preserve">  </w:t>
      </w:r>
      <w:r w:rsidRPr="00097721" w:rsidR="00EF25A2">
        <w:t xml:space="preserve">In D.20-06-031, we again rejected adopting of system </w:t>
      </w:r>
      <w:r w:rsidRPr="00097721" w:rsidR="001931EF">
        <w:t xml:space="preserve">RA </w:t>
      </w:r>
      <w:r w:rsidRPr="00097721" w:rsidR="00EF25A2">
        <w:t>waivers, stating that the “waiver process requires further development and study,” and reiterating our position in D.19-06-029.</w:t>
      </w:r>
      <w:r w:rsidRPr="00097721" w:rsidR="00EF25A2">
        <w:rPr>
          <w:rStyle w:val="FootnoteReference"/>
        </w:rPr>
        <w:footnoteReference w:id="50"/>
      </w:r>
    </w:p>
    <w:p w:rsidRPr="00097721" w:rsidR="00835F34" w:rsidP="00520102" w:rsidRDefault="00B92A76" w14:paraId="4DD01BE2" w14:textId="28737DA4">
      <w:pPr>
        <w:pStyle w:val="Standard"/>
      </w:pPr>
      <w:r w:rsidRPr="00097721">
        <w:t>While the</w:t>
      </w:r>
      <w:r w:rsidRPr="00097721" w:rsidR="00D36B6A">
        <w:t xml:space="preserve"> Commission </w:t>
      </w:r>
      <w:r w:rsidRPr="00097721">
        <w:t>understands</w:t>
      </w:r>
      <w:r w:rsidRPr="00097721" w:rsidR="00D36B6A">
        <w:t xml:space="preserve"> concerns </w:t>
      </w:r>
      <w:r w:rsidRPr="00097721">
        <w:t>regarding</w:t>
      </w:r>
      <w:r w:rsidRPr="00097721" w:rsidR="00D36B6A">
        <w:t xml:space="preserve"> high prices for RA resources in recent years, </w:t>
      </w:r>
      <w:r w:rsidRPr="00097721">
        <w:t>the Commission</w:t>
      </w:r>
      <w:r w:rsidRPr="00097721" w:rsidR="00D36B6A">
        <w:t xml:space="preserve"> </w:t>
      </w:r>
      <w:r w:rsidRPr="00097721" w:rsidR="00007075">
        <w:t>conclude</w:t>
      </w:r>
      <w:r w:rsidRPr="00097721">
        <w:t>s</w:t>
      </w:r>
      <w:r w:rsidRPr="00097721" w:rsidR="00D36B6A">
        <w:t xml:space="preserve"> that a </w:t>
      </w:r>
      <w:r w:rsidRPr="00097721" w:rsidR="00303D3E">
        <w:t xml:space="preserve">system </w:t>
      </w:r>
      <w:r w:rsidRPr="00097721" w:rsidR="00D36B6A">
        <w:t xml:space="preserve">waiver process is </w:t>
      </w:r>
      <w:r w:rsidRPr="00097721" w:rsidR="00163AFF">
        <w:t xml:space="preserve">not </w:t>
      </w:r>
      <w:r w:rsidRPr="00097721" w:rsidR="00D36B6A">
        <w:t xml:space="preserve">the solution.  </w:t>
      </w:r>
      <w:r w:rsidRPr="00097721" w:rsidR="00C06B27">
        <w:t>The Commission is persuaded</w:t>
      </w:r>
      <w:r w:rsidRPr="00097721" w:rsidR="00D36B6A">
        <w:t xml:space="preserve"> </w:t>
      </w:r>
      <w:r w:rsidRPr="00097721" w:rsidR="00C06B27">
        <w:t xml:space="preserve">by </w:t>
      </w:r>
      <w:r w:rsidRPr="00097721" w:rsidR="00D467B9">
        <w:t xml:space="preserve">those that argue </w:t>
      </w:r>
      <w:r w:rsidRPr="00097721" w:rsidR="00007075">
        <w:t xml:space="preserve">that </w:t>
      </w:r>
      <w:r w:rsidRPr="00097721" w:rsidR="00D36B6A">
        <w:t xml:space="preserve">a </w:t>
      </w:r>
      <w:r w:rsidRPr="00097721" w:rsidR="0034053A">
        <w:t xml:space="preserve">system </w:t>
      </w:r>
      <w:r w:rsidRPr="00097721" w:rsidR="00D36B6A">
        <w:t xml:space="preserve">waiver process is highly inequitable for those LSEs that </w:t>
      </w:r>
      <w:r w:rsidRPr="00097721" w:rsidR="0034053A">
        <w:t xml:space="preserve">procure to </w:t>
      </w:r>
      <w:r w:rsidRPr="00097721" w:rsidR="00D36B6A">
        <w:lastRenderedPageBreak/>
        <w:t>meet their RA obligations</w:t>
      </w:r>
      <w:r w:rsidRPr="00097721" w:rsidR="00806786">
        <w:t xml:space="preserve"> at market prices</w:t>
      </w:r>
      <w:r w:rsidRPr="00097721" w:rsidR="00D36B6A">
        <w:t xml:space="preserve">, while LSEs that use </w:t>
      </w:r>
      <w:r w:rsidRPr="00097721" w:rsidR="00D649F5">
        <w:t>a system</w:t>
      </w:r>
      <w:r w:rsidRPr="00097721" w:rsidR="00D36B6A">
        <w:t xml:space="preserve"> waiver process </w:t>
      </w:r>
      <w:r w:rsidRPr="00097721" w:rsidR="00D649F5">
        <w:t xml:space="preserve">would </w:t>
      </w:r>
      <w:r w:rsidRPr="00097721" w:rsidR="00C0511F">
        <w:t xml:space="preserve">potentially </w:t>
      </w:r>
      <w:r w:rsidRPr="00097721" w:rsidR="00D36B6A">
        <w:t xml:space="preserve">avoid </w:t>
      </w:r>
      <w:r w:rsidRPr="00097721" w:rsidR="00C0511F">
        <w:t xml:space="preserve">both </w:t>
      </w:r>
      <w:r w:rsidRPr="00097721" w:rsidR="00D36B6A">
        <w:t xml:space="preserve">procuring RA </w:t>
      </w:r>
      <w:r w:rsidRPr="00097721" w:rsidR="004D6B2E">
        <w:t>capacity</w:t>
      </w:r>
      <w:r w:rsidRPr="00097721" w:rsidR="00D36B6A">
        <w:t xml:space="preserve"> and </w:t>
      </w:r>
      <w:r w:rsidRPr="00097721" w:rsidR="004D6B2E">
        <w:t>paying</w:t>
      </w:r>
      <w:r w:rsidRPr="00097721" w:rsidR="00D36B6A">
        <w:t xml:space="preserve"> penalties for non-compliance.  We </w:t>
      </w:r>
      <w:r w:rsidRPr="00097721" w:rsidR="00480B7D">
        <w:t>also agree</w:t>
      </w:r>
      <w:r w:rsidRPr="00097721" w:rsidR="00BD6452">
        <w:t xml:space="preserve"> that an LSE’s</w:t>
      </w:r>
      <w:r w:rsidRPr="00097721" w:rsidR="00D36B6A">
        <w:t xml:space="preserve"> failure to meet </w:t>
      </w:r>
      <w:r w:rsidRPr="00097721" w:rsidR="00BD6452">
        <w:t>its</w:t>
      </w:r>
      <w:r w:rsidRPr="00097721" w:rsidR="00D36B6A">
        <w:t xml:space="preserve"> system obligations increases the risk of outages for all ratepayers, even th</w:t>
      </w:r>
      <w:r w:rsidRPr="00097721" w:rsidR="00BD6452">
        <w:t>e</w:t>
      </w:r>
      <w:r w:rsidRPr="00097721" w:rsidR="00D36B6A">
        <w:t xml:space="preserve"> </w:t>
      </w:r>
      <w:r w:rsidRPr="00097721" w:rsidR="00BD6452">
        <w:t>customers</w:t>
      </w:r>
      <w:r w:rsidRPr="00097721" w:rsidR="00D36B6A">
        <w:t xml:space="preserve"> of LSEs that complied to meet their RA obligations.</w:t>
      </w:r>
      <w:r w:rsidRPr="00097721" w:rsidR="002A43A7">
        <w:t xml:space="preserve">  </w:t>
      </w:r>
    </w:p>
    <w:p w:rsidRPr="00097721" w:rsidR="008803FD" w:rsidP="00520102" w:rsidRDefault="008A1073" w14:paraId="2829F8DA" w14:textId="76DF249C">
      <w:pPr>
        <w:pStyle w:val="Standard"/>
      </w:pPr>
      <w:r w:rsidRPr="00097721">
        <w:t>As we</w:t>
      </w:r>
      <w:r w:rsidRPr="00097721" w:rsidR="00480899">
        <w:t xml:space="preserve"> </w:t>
      </w:r>
      <w:r w:rsidRPr="00097721" w:rsidR="00B53F98">
        <w:t>concluded</w:t>
      </w:r>
      <w:r w:rsidRPr="00097721">
        <w:t xml:space="preserve"> in past </w:t>
      </w:r>
      <w:r w:rsidRPr="00097721" w:rsidR="0040681B">
        <w:t xml:space="preserve">Commission </w:t>
      </w:r>
      <w:r w:rsidRPr="00097721">
        <w:t xml:space="preserve">decisions, </w:t>
      </w:r>
      <w:r w:rsidRPr="00097721" w:rsidR="00F05589">
        <w:t>for</w:t>
      </w:r>
      <w:r w:rsidRPr="00097721" w:rsidR="004E2F39">
        <w:t xml:space="preserve"> </w:t>
      </w:r>
      <w:r w:rsidRPr="00097721" w:rsidR="003C07CA">
        <w:t xml:space="preserve">any </w:t>
      </w:r>
      <w:r w:rsidRPr="00097721" w:rsidR="004E2F39">
        <w:t>system waiver</w:t>
      </w:r>
      <w:r w:rsidRPr="00097721" w:rsidR="003C07CA">
        <w:t xml:space="preserve"> process</w:t>
      </w:r>
      <w:r w:rsidRPr="00097721" w:rsidR="004E2F39">
        <w:t xml:space="preserve">, </w:t>
      </w:r>
      <w:r w:rsidRPr="00097721" w:rsidR="0040681B">
        <w:t xml:space="preserve">we continue to be concerned that system waivers </w:t>
      </w:r>
      <w:r w:rsidRPr="00097721" w:rsidR="00F86939">
        <w:t xml:space="preserve">raise </w:t>
      </w:r>
      <w:r w:rsidRPr="00097721" w:rsidR="00173077">
        <w:t>system</w:t>
      </w:r>
      <w:r w:rsidRPr="00097721" w:rsidR="0040681B">
        <w:t xml:space="preserve"> reliability issues</w:t>
      </w:r>
      <w:r w:rsidRPr="00097721" w:rsidR="00F86939">
        <w:t xml:space="preserve"> and leaning concerns</w:t>
      </w:r>
      <w:r w:rsidRPr="00097721" w:rsidR="0040681B">
        <w:t xml:space="preserve">, </w:t>
      </w:r>
      <w:r w:rsidRPr="00097721" w:rsidR="008069D6">
        <w:t>whereby</w:t>
      </w:r>
      <w:r w:rsidRPr="00097721" w:rsidR="0040681B">
        <w:t xml:space="preserve"> LSEs that fail to procure sufficient capacity and receive a waiver lean on the procurement of compliant LSEs</w:t>
      </w:r>
      <w:r w:rsidRPr="00097721" w:rsidR="00F86939">
        <w:t>, resulting in reliability risk to all ratepayers</w:t>
      </w:r>
      <w:r w:rsidRPr="00097721" w:rsidR="0040681B">
        <w:t xml:space="preserve">.  These issues </w:t>
      </w:r>
      <w:r w:rsidRPr="00097721" w:rsidR="003C07CA">
        <w:t xml:space="preserve">have </w:t>
      </w:r>
      <w:r w:rsidRPr="00097721" w:rsidR="002D21D2">
        <w:t xml:space="preserve">yet </w:t>
      </w:r>
      <w:r w:rsidRPr="00097721" w:rsidR="0040681B">
        <w:t>to be</w:t>
      </w:r>
      <w:r w:rsidRPr="00097721" w:rsidR="003C07CA">
        <w:t xml:space="preserve"> resolved</w:t>
      </w:r>
      <w:r w:rsidRPr="00097721" w:rsidR="002A43A7">
        <w:t>.</w:t>
      </w:r>
      <w:r w:rsidRPr="00097721">
        <w:t xml:space="preserve">  For these reasons, we decline to adopt a system waiver process.</w:t>
      </w:r>
    </w:p>
    <w:p w:rsidRPr="00097721" w:rsidR="008A1073" w:rsidP="008A1073" w:rsidRDefault="008A1073" w14:paraId="683B5028" w14:textId="5B7995EC">
      <w:pPr>
        <w:pStyle w:val="Standard"/>
        <w:rPr>
          <w:rFonts w:eastAsia="Times New Roman"/>
        </w:rPr>
      </w:pPr>
      <w:r w:rsidRPr="00097721">
        <w:t xml:space="preserve">With respect to new project </w:t>
      </w:r>
      <w:r w:rsidRPr="00097721" w:rsidR="008E38A2">
        <w:t xml:space="preserve">development </w:t>
      </w:r>
      <w:r w:rsidRPr="00097721">
        <w:t xml:space="preserve">delays, </w:t>
      </w:r>
      <w:r w:rsidRPr="00097721" w:rsidR="00F806B1">
        <w:t xml:space="preserve">MRP points out that the 17 percent PRM adopted in D.23-06-029 was adopted in part due to the Commission’s concerns about the amount of new RA resources facing development delays and thus, the PRM implicitly includes a temporary system waiver. </w:t>
      </w:r>
      <w:r w:rsidRPr="00097721" w:rsidR="00282240">
        <w:t xml:space="preserve"> </w:t>
      </w:r>
      <w:r w:rsidRPr="00097721" w:rsidR="00F806B1">
        <w:t xml:space="preserve">The Commission </w:t>
      </w:r>
      <w:r w:rsidRPr="00097721" w:rsidR="000A26B8">
        <w:t>agrees</w:t>
      </w:r>
      <w:r w:rsidRPr="00097721" w:rsidR="00835849">
        <w:t xml:space="preserve"> with MRP that </w:t>
      </w:r>
      <w:r w:rsidRPr="00097721" w:rsidR="000A26B8">
        <w:t xml:space="preserve">the adoption of the 17 percent PRM </w:t>
      </w:r>
      <w:r w:rsidRPr="00097721" w:rsidR="00480899">
        <w:t>help</w:t>
      </w:r>
      <w:r w:rsidRPr="00097721" w:rsidR="00F86939">
        <w:t>s</w:t>
      </w:r>
      <w:r w:rsidRPr="00097721" w:rsidR="00480899">
        <w:t xml:space="preserve"> to </w:t>
      </w:r>
      <w:r w:rsidRPr="00097721" w:rsidR="000A26B8">
        <w:t>account for development delays for new resources</w:t>
      </w:r>
      <w:r w:rsidRPr="00097721" w:rsidR="00F806B1">
        <w:t>.</w:t>
      </w:r>
      <w:r w:rsidRPr="00097721" w:rsidR="00F806B1">
        <w:rPr>
          <w:rStyle w:val="FootnoteReference"/>
        </w:rPr>
        <w:footnoteReference w:id="51"/>
      </w:r>
      <w:r w:rsidRPr="00097721" w:rsidR="00F806B1">
        <w:t xml:space="preserve"> </w:t>
      </w:r>
      <w:r w:rsidRPr="00097721" w:rsidR="00AD3145">
        <w:t xml:space="preserve"> </w:t>
      </w:r>
      <w:r w:rsidRPr="00097721" w:rsidR="00132E3C">
        <w:t xml:space="preserve">That said, </w:t>
      </w:r>
      <w:r w:rsidRPr="00097721" w:rsidR="00F5720E">
        <w:t xml:space="preserve">in this decision, </w:t>
      </w:r>
      <w:r w:rsidRPr="00097721" w:rsidR="00132E3C">
        <w:t>the Commission</w:t>
      </w:r>
      <w:r w:rsidRPr="00097721" w:rsidR="00C1011C">
        <w:t xml:space="preserve"> </w:t>
      </w:r>
      <w:r w:rsidRPr="00097721" w:rsidR="00132E3C">
        <w:t xml:space="preserve">addresses </w:t>
      </w:r>
      <w:r w:rsidRPr="00097721" w:rsidR="00C1011C">
        <w:t xml:space="preserve">new resource </w:t>
      </w:r>
      <w:r w:rsidRPr="00097721" w:rsidR="00132E3C">
        <w:t xml:space="preserve">development delays </w:t>
      </w:r>
      <w:r w:rsidRPr="00097721" w:rsidR="00C1011C">
        <w:t>through</w:t>
      </w:r>
      <w:r w:rsidRPr="00097721" w:rsidR="00132E3C">
        <w:t xml:space="preserve"> extended cure periods, as discussed below.</w:t>
      </w:r>
    </w:p>
    <w:p w:rsidRPr="00097721" w:rsidR="00485600" w:rsidP="00485600" w:rsidRDefault="00652225" w14:paraId="63902690" w14:textId="5C754FC9">
      <w:pPr>
        <w:pStyle w:val="Heading3"/>
      </w:pPr>
      <w:bookmarkStart w:name="_Toc166841745" w:id="37"/>
      <w:r w:rsidRPr="00097721">
        <w:t>Extension of</w:t>
      </w:r>
      <w:r w:rsidRPr="00097721" w:rsidR="00485600">
        <w:t xml:space="preserve"> Cure Periods</w:t>
      </w:r>
      <w:bookmarkEnd w:id="37"/>
    </w:p>
    <w:p w:rsidRPr="00097721" w:rsidR="00BD03EC" w:rsidP="00472256" w:rsidRDefault="00AF081B" w14:paraId="589FDB78" w14:textId="70773B36">
      <w:pPr>
        <w:pStyle w:val="Standard"/>
      </w:pPr>
      <w:r w:rsidRPr="00097721">
        <w:t>CalCCA, CESA, and SCE</w:t>
      </w:r>
      <w:r w:rsidRPr="00097721" w:rsidR="00BD03EC">
        <w:t xml:space="preserve"> put forth proposals </w:t>
      </w:r>
      <w:r w:rsidRPr="00097721" w:rsidR="00B637B8">
        <w:t>to</w:t>
      </w:r>
      <w:r w:rsidRPr="00097721" w:rsidR="00BD03EC">
        <w:t xml:space="preserve"> address new resource development delays and extended cure periods.</w:t>
      </w:r>
    </w:p>
    <w:p w:rsidRPr="00097721" w:rsidR="00652225" w:rsidP="00472256" w:rsidRDefault="004932B3" w14:paraId="188C9BCF" w14:textId="6C40161B">
      <w:pPr>
        <w:pStyle w:val="Standard"/>
      </w:pPr>
      <w:r w:rsidRPr="00097721">
        <w:t xml:space="preserve">The current RA rules require </w:t>
      </w:r>
      <w:r w:rsidRPr="00097721" w:rsidR="00625787">
        <w:t xml:space="preserve">LSEs </w:t>
      </w:r>
      <w:r w:rsidRPr="00097721">
        <w:t>to</w:t>
      </w:r>
      <w:r w:rsidRPr="00097721" w:rsidR="00625787">
        <w:t xml:space="preserve"> make month-ahead showings 45 days prior to the start of the compliance month.  Due to that requirement, CalCCA </w:t>
      </w:r>
      <w:r w:rsidRPr="00097721" w:rsidR="00625787">
        <w:lastRenderedPageBreak/>
        <w:t>argues that new resources that reach COD</w:t>
      </w:r>
      <w:r w:rsidRPr="00097721">
        <w:t>,</w:t>
      </w:r>
      <w:r w:rsidRPr="00097721" w:rsidR="00625787">
        <w:t xml:space="preserve"> or existing resources that contract with LSEs</w:t>
      </w:r>
      <w:r w:rsidRPr="00097721">
        <w:t>,</w:t>
      </w:r>
      <w:r w:rsidRPr="00097721" w:rsidR="00625787">
        <w:t xml:space="preserve"> between the </w:t>
      </w:r>
      <w:r w:rsidRPr="00097721">
        <w:t>month-ahead</w:t>
      </w:r>
      <w:r w:rsidRPr="00097721" w:rsidR="00625787">
        <w:t xml:space="preserve"> deadline and the </w:t>
      </w:r>
      <w:r w:rsidRPr="00097721">
        <w:t xml:space="preserve">start of the </w:t>
      </w:r>
      <w:r w:rsidRPr="00097721" w:rsidR="00625787">
        <w:t>compliance month are not account</w:t>
      </w:r>
      <w:r w:rsidRPr="00097721">
        <w:t>ed</w:t>
      </w:r>
      <w:r w:rsidRPr="00097721" w:rsidR="00625787">
        <w:t xml:space="preserve"> for </w:t>
      </w:r>
      <w:r w:rsidRPr="00097721">
        <w:t>when assessing compliance</w:t>
      </w:r>
      <w:r w:rsidRPr="00097721" w:rsidR="00625787">
        <w:t>.</w:t>
      </w:r>
      <w:r w:rsidRPr="00097721">
        <w:rPr>
          <w:rStyle w:val="FootnoteReference"/>
        </w:rPr>
        <w:footnoteReference w:id="52"/>
      </w:r>
      <w:r w:rsidRPr="00097721" w:rsidR="00625787">
        <w:t xml:space="preserve">  CalCCA proposes that the cure period be extended such that LSEs may cure their year-ahead and month-ahead RA deficiencies up to the start of the operational RA month.  </w:t>
      </w:r>
      <w:r w:rsidRPr="00097721" w:rsidR="00233AAF">
        <w:t>F</w:t>
      </w:r>
      <w:r w:rsidRPr="00097721" w:rsidR="00C0710D">
        <w:t xml:space="preserve">or example, if an LSE has a </w:t>
      </w:r>
      <w:r w:rsidRPr="00097721" w:rsidR="00233AAF">
        <w:t xml:space="preserve">September </w:t>
      </w:r>
      <w:r w:rsidRPr="00097721" w:rsidR="00C0710D">
        <w:t xml:space="preserve">deficiency for its year-ahead filing due on October 31 or its September month-ahead filing </w:t>
      </w:r>
      <w:r w:rsidRPr="00097721" w:rsidR="00233AAF">
        <w:t xml:space="preserve">due </w:t>
      </w:r>
      <w:r w:rsidRPr="00097721" w:rsidR="00C0710D">
        <w:t xml:space="preserve">on July 15, but </w:t>
      </w:r>
      <w:r w:rsidRPr="00097721" w:rsidR="00233AAF">
        <w:t>the</w:t>
      </w:r>
      <w:r w:rsidRPr="00097721" w:rsidR="00C0710D">
        <w:t xml:space="preserve"> deficiency</w:t>
      </w:r>
      <w:r w:rsidRPr="00097721" w:rsidR="00233AAF">
        <w:t xml:space="preserve"> is resolved</w:t>
      </w:r>
      <w:r w:rsidRPr="00097721" w:rsidR="00C0710D">
        <w:t xml:space="preserve"> before September 1, the</w:t>
      </w:r>
      <w:r w:rsidRPr="00097721" w:rsidR="00485600">
        <w:t xml:space="preserve"> Commission should find the LSE compliant and not subject to penalties.  </w:t>
      </w:r>
    </w:p>
    <w:p w:rsidRPr="00097721" w:rsidR="0035745E" w:rsidP="00652225" w:rsidRDefault="00485600" w14:paraId="0AE08677" w14:textId="2D715A06">
      <w:pPr>
        <w:pStyle w:val="Standard"/>
      </w:pPr>
      <w:r w:rsidRPr="00097721">
        <w:t xml:space="preserve">CalCCA also proposes that if the LSE resolves </w:t>
      </w:r>
      <w:r w:rsidRPr="00097721" w:rsidR="00416028">
        <w:t>a</w:t>
      </w:r>
      <w:r w:rsidRPr="00097721">
        <w:t xml:space="preserve"> deficiency between the start and end of the compliance month</w:t>
      </w:r>
      <w:r w:rsidRPr="00097721" w:rsidR="00416028">
        <w:t>, the penalty amount should be derated</w:t>
      </w:r>
      <w:r w:rsidRPr="00097721">
        <w:t>.</w:t>
      </w:r>
      <w:r w:rsidRPr="00097721" w:rsidR="0002499C">
        <w:t xml:space="preserve">  </w:t>
      </w:r>
      <w:r w:rsidRPr="00097721" w:rsidR="00416028">
        <w:t>That is</w:t>
      </w:r>
      <w:r w:rsidRPr="00097721" w:rsidR="0002499C">
        <w:t xml:space="preserve">, the </w:t>
      </w:r>
      <w:r w:rsidRPr="00097721" w:rsidR="00416028">
        <w:t xml:space="preserve">penalty </w:t>
      </w:r>
      <w:r w:rsidRPr="00097721" w:rsidR="0002499C">
        <w:t>dollar amount would be prorated by the percentage of days the LSE was deficient.</w:t>
      </w:r>
      <w:r w:rsidRPr="00097721" w:rsidR="00652225">
        <w:t xml:space="preserve">  </w:t>
      </w:r>
      <w:r w:rsidRPr="00097721" w:rsidR="0035745E">
        <w:t xml:space="preserve">CalCCA </w:t>
      </w:r>
      <w:r w:rsidRPr="00097721" w:rsidR="00CB60ED">
        <w:t>posits</w:t>
      </w:r>
      <w:r w:rsidRPr="00097721" w:rsidR="0035745E">
        <w:t xml:space="preserve"> that </w:t>
      </w:r>
      <w:r w:rsidRPr="00097721" w:rsidR="00955706">
        <w:t>the</w:t>
      </w:r>
      <w:r w:rsidRPr="00097721" w:rsidR="0035745E">
        <w:t xml:space="preserve"> proposal would unlock new and existing capacity that becomes available between the showing </w:t>
      </w:r>
      <w:r w:rsidRPr="00097721" w:rsidR="001F2CDD">
        <w:t xml:space="preserve">deadline </w:t>
      </w:r>
      <w:r w:rsidRPr="00097721" w:rsidR="0035745E">
        <w:t xml:space="preserve">and the RA </w:t>
      </w:r>
      <w:r w:rsidRPr="00097721" w:rsidR="00977F36">
        <w:t xml:space="preserve">compliance </w:t>
      </w:r>
      <w:r w:rsidRPr="00097721" w:rsidR="0035745E">
        <w:t>month.</w:t>
      </w:r>
    </w:p>
    <w:p w:rsidRPr="00097721" w:rsidR="008C63ED" w:rsidP="008C63ED" w:rsidRDefault="008C63ED" w14:paraId="73D70D52" w14:textId="7811FF78">
      <w:pPr>
        <w:pStyle w:val="Standard"/>
      </w:pPr>
      <w:r w:rsidRPr="00097721">
        <w:t xml:space="preserve">SCE recommends allowing LSEs to use new contracted resources to count towards RA obligations even if they do not become operational by the T-45 or T-30 RA deadlines </w:t>
      </w:r>
      <w:r w:rsidRPr="00097721" w:rsidR="009F1BCE">
        <w:t>so long as they</w:t>
      </w:r>
      <w:r w:rsidRPr="00097721">
        <w:t xml:space="preserve"> come online before the start of the compliance month.</w:t>
      </w:r>
      <w:r w:rsidRPr="00097721">
        <w:rPr>
          <w:rStyle w:val="FootnoteReference"/>
        </w:rPr>
        <w:footnoteReference w:id="53"/>
      </w:r>
      <w:r w:rsidRPr="00097721">
        <w:t xml:space="preserve">  SCE states </w:t>
      </w:r>
      <w:r w:rsidRPr="00097721" w:rsidR="002F772D">
        <w:t xml:space="preserve">that </w:t>
      </w:r>
      <w:r w:rsidRPr="00097721">
        <w:t xml:space="preserve">this process, known as “proxy RA,” is used in the context of MTR and </w:t>
      </w:r>
      <w:r w:rsidRPr="00097721" w:rsidR="002F772D">
        <w:t>s</w:t>
      </w:r>
      <w:r w:rsidRPr="00097721">
        <w:t xml:space="preserve">ystem </w:t>
      </w:r>
      <w:r w:rsidRPr="00097721" w:rsidR="002F772D">
        <w:t>r</w:t>
      </w:r>
      <w:r w:rsidRPr="00097721">
        <w:t xml:space="preserve">eliability procurement.  SCE contends that this would </w:t>
      </w:r>
      <w:r w:rsidRPr="00097721" w:rsidR="001F4A0E">
        <w:t>enhance</w:t>
      </w:r>
      <w:r w:rsidRPr="00097721">
        <w:t xml:space="preserve"> grid reliability by </w:t>
      </w:r>
      <w:r w:rsidRPr="00097721" w:rsidR="00F105B1">
        <w:t>increasing the availability of</w:t>
      </w:r>
      <w:r w:rsidRPr="00097721">
        <w:t xml:space="preserve"> resources </w:t>
      </w:r>
      <w:r w:rsidRPr="00097721" w:rsidR="00F105B1">
        <w:t xml:space="preserve">that are </w:t>
      </w:r>
      <w:r w:rsidRPr="00097721">
        <w:t xml:space="preserve">online before the start of the month with contractual obligations that match the </w:t>
      </w:r>
      <w:r w:rsidRPr="00097721">
        <w:lastRenderedPageBreak/>
        <w:t xml:space="preserve">must-offer obligation </w:t>
      </w:r>
      <w:r w:rsidRPr="00097721" w:rsidR="00E51E5C">
        <w:t xml:space="preserve">(MOO) </w:t>
      </w:r>
      <w:r w:rsidRPr="00097721">
        <w:t>and would avoid long lead times needed to meet formal RA requirements.</w:t>
      </w:r>
    </w:p>
    <w:p w:rsidRPr="00097721" w:rsidR="001C5921" w:rsidP="00806BEB" w:rsidRDefault="008C63ED" w14:paraId="1356C6B7" w14:textId="2C76F63A">
      <w:pPr>
        <w:pStyle w:val="Standard"/>
      </w:pPr>
      <w:r w:rsidRPr="00097721">
        <w:t>CESA similarly proposes that resources with COD</w:t>
      </w:r>
      <w:r w:rsidRPr="00097721" w:rsidR="00A0461E">
        <w:t>s</w:t>
      </w:r>
      <w:r w:rsidRPr="00097721">
        <w:t xml:space="preserve"> prior to the start of the RA month should be eligible to be shown on </w:t>
      </w:r>
      <w:r w:rsidRPr="00097721" w:rsidR="00C40EA3">
        <w:t xml:space="preserve">an LSE’s </w:t>
      </w:r>
      <w:r w:rsidRPr="00097721">
        <w:t>RA plan for that month.</w:t>
      </w:r>
      <w:r w:rsidRPr="00097721">
        <w:rPr>
          <w:rStyle w:val="FootnoteReference"/>
        </w:rPr>
        <w:footnoteReference w:id="54"/>
      </w:r>
      <w:r w:rsidRPr="00097721">
        <w:t xml:space="preserve">  CESA </w:t>
      </w:r>
      <w:r w:rsidRPr="00097721" w:rsidR="00362F5F">
        <w:t>states that,</w:t>
      </w:r>
      <w:r w:rsidRPr="00097721">
        <w:t xml:space="preserve"> for example, large resources that reach COD in August cannot count towards RA requirements in September and thus do not have a </w:t>
      </w:r>
      <w:r w:rsidRPr="00097721" w:rsidR="00E51E5C">
        <w:t>MOO</w:t>
      </w:r>
      <w:r w:rsidRPr="00097721">
        <w:t xml:space="preserve"> even if the LSE contracted capacity for September and the resource is online in September.  CESA states that CAISO should have access to as much capacity with a </w:t>
      </w:r>
      <w:r w:rsidRPr="00097721" w:rsidR="00E51E5C">
        <w:t>MOO</w:t>
      </w:r>
      <w:r w:rsidRPr="00097721">
        <w:t xml:space="preserve"> as available and LSEs should </w:t>
      </w:r>
      <w:r w:rsidRPr="00097721" w:rsidR="00ED7CAA">
        <w:t xml:space="preserve">likewise </w:t>
      </w:r>
      <w:r w:rsidRPr="00097721">
        <w:t>get credit for procuring such resources.</w:t>
      </w:r>
      <w:r w:rsidRPr="00097721" w:rsidR="00806BEB">
        <w:t xml:space="preserve">  </w:t>
      </w:r>
      <w:r w:rsidRPr="00097721" w:rsidR="001C5921">
        <w:t>CESA proposes two implementation options</w:t>
      </w:r>
      <w:r w:rsidRPr="00097721" w:rsidR="00F4711A">
        <w:t xml:space="preserve">: (1) a </w:t>
      </w:r>
      <w:r w:rsidRPr="00097721" w:rsidR="00375B38">
        <w:t>c</w:t>
      </w:r>
      <w:r w:rsidRPr="00097721" w:rsidR="00F4711A">
        <w:t xml:space="preserve">ure </w:t>
      </w:r>
      <w:r w:rsidRPr="00097721" w:rsidR="00375B38">
        <w:t>p</w:t>
      </w:r>
      <w:r w:rsidRPr="00097721" w:rsidR="00F4711A">
        <w:t xml:space="preserve">rocess, whereby after receiving a deficiency notice, the LSE provides the contract of the new resource with the scheduled COD </w:t>
      </w:r>
      <w:r w:rsidRPr="00097721" w:rsidR="00375B38">
        <w:t xml:space="preserve">or </w:t>
      </w:r>
      <w:r w:rsidRPr="00097721" w:rsidR="00F4711A">
        <w:t xml:space="preserve">(2) a </w:t>
      </w:r>
      <w:r w:rsidRPr="00097721" w:rsidR="00375B38">
        <w:t>w</w:t>
      </w:r>
      <w:r w:rsidRPr="00097721" w:rsidR="00F4711A">
        <w:t xml:space="preserve">aiver </w:t>
      </w:r>
      <w:r w:rsidRPr="00097721" w:rsidR="00375B38">
        <w:t>p</w:t>
      </w:r>
      <w:r w:rsidRPr="00097721" w:rsidR="00F4711A">
        <w:t>rocess, whereby after the start of a compliance month, an LSE can seek relief by showing it contracted a new resource with a COD before the start of the month and penalties may be adjusted after verification</w:t>
      </w:r>
      <w:r w:rsidRPr="00097721" w:rsidR="001C5921">
        <w:t>.</w:t>
      </w:r>
      <w:r w:rsidRPr="00097721" w:rsidR="001C5921">
        <w:rPr>
          <w:rStyle w:val="FootnoteReference"/>
        </w:rPr>
        <w:footnoteReference w:id="55"/>
      </w:r>
      <w:r w:rsidRPr="00097721" w:rsidR="001C5921">
        <w:t xml:space="preserve">  </w:t>
      </w:r>
    </w:p>
    <w:p w:rsidRPr="00097721" w:rsidR="008C63ED" w:rsidP="008C63ED" w:rsidRDefault="008C63ED" w14:paraId="370C7451" w14:textId="173C7CD7">
      <w:pPr>
        <w:pStyle w:val="Heading4"/>
      </w:pPr>
      <w:bookmarkStart w:name="_Toc166841746" w:id="38"/>
      <w:r w:rsidRPr="00097721">
        <w:t>Comments on Proposals</w:t>
      </w:r>
      <w:bookmarkEnd w:id="38"/>
    </w:p>
    <w:p w:rsidRPr="00097721" w:rsidR="001C5921" w:rsidP="00603F98" w:rsidRDefault="00C1711D" w14:paraId="53E196DB" w14:textId="2F89B304">
      <w:pPr>
        <w:pStyle w:val="Standard"/>
      </w:pPr>
      <w:r w:rsidRPr="00097721">
        <w:t xml:space="preserve">Ava, AReM, PG&amp;E, CESA, and Vistra </w:t>
      </w:r>
      <w:r w:rsidRPr="00097721" w:rsidR="00652225">
        <w:t>support CalCCA’s proposal.</w:t>
      </w:r>
      <w:r w:rsidRPr="00097721" w:rsidR="0071487D">
        <w:rPr>
          <w:rStyle w:val="FootnoteReference"/>
        </w:rPr>
        <w:footnoteReference w:id="56"/>
      </w:r>
      <w:r w:rsidRPr="00097721" w:rsidR="00652225">
        <w:t xml:space="preserve">  AReM </w:t>
      </w:r>
      <w:r w:rsidRPr="00097721" w:rsidR="0081518F">
        <w:t xml:space="preserve">states that </w:t>
      </w:r>
      <w:r w:rsidRPr="00097721" w:rsidR="007F3AB4">
        <w:t xml:space="preserve">while </w:t>
      </w:r>
      <w:r w:rsidRPr="00097721" w:rsidR="003B4A53">
        <w:t>the benefits of an</w:t>
      </w:r>
      <w:r w:rsidRPr="00097721" w:rsidR="00A00A34">
        <w:t xml:space="preserve"> extended cure period </w:t>
      </w:r>
      <w:r w:rsidRPr="00097721" w:rsidR="007F3AB4">
        <w:t xml:space="preserve">are </w:t>
      </w:r>
      <w:r w:rsidRPr="00097721" w:rsidR="003B4A53">
        <w:t>limited</w:t>
      </w:r>
      <w:r w:rsidRPr="00097721" w:rsidR="007F3AB4">
        <w:t>, it could</w:t>
      </w:r>
      <w:r w:rsidRPr="00097721" w:rsidR="003B4A53">
        <w:t xml:space="preserve"> </w:t>
      </w:r>
      <w:r w:rsidRPr="00097721" w:rsidR="00A00A34">
        <w:t xml:space="preserve">be useful </w:t>
      </w:r>
      <w:r w:rsidRPr="00097721" w:rsidR="00292D8A">
        <w:t>for</w:t>
      </w:r>
      <w:r w:rsidRPr="00097721" w:rsidR="00A00A34">
        <w:t xml:space="preserve"> new resources and </w:t>
      </w:r>
      <w:r w:rsidRPr="00097721" w:rsidR="007F3AB4">
        <w:t>for</w:t>
      </w:r>
      <w:r w:rsidRPr="00097721" w:rsidR="00A00A34">
        <w:t xml:space="preserve"> flexibility with SOD implementation issues.  </w:t>
      </w:r>
      <w:r w:rsidRPr="00097721" w:rsidR="006F1DE0">
        <w:t xml:space="preserve">PG&amp;E supports an extended cure period if it </w:t>
      </w:r>
      <w:r w:rsidRPr="00097721" w:rsidR="00E418A6">
        <w:t>gives</w:t>
      </w:r>
      <w:r w:rsidRPr="00097721" w:rsidR="006F1DE0">
        <w:t xml:space="preserve"> CAISO sufficient time to evaluate </w:t>
      </w:r>
      <w:r w:rsidRPr="00097721" w:rsidR="00114B47">
        <w:t>system</w:t>
      </w:r>
      <w:r w:rsidRPr="00097721" w:rsidR="006F1DE0">
        <w:t xml:space="preserve"> needs and exercise backstop procurement </w:t>
      </w:r>
      <w:r w:rsidRPr="00097721" w:rsidR="00114B47">
        <w:t xml:space="preserve">authority </w:t>
      </w:r>
      <w:r w:rsidRPr="00097721" w:rsidR="006F1DE0">
        <w:t>that does not result in a cost</w:t>
      </w:r>
      <w:r w:rsidRPr="00097721" w:rsidR="0071487D">
        <w:t xml:space="preserve"> </w:t>
      </w:r>
      <w:r w:rsidRPr="00097721" w:rsidR="006F1DE0">
        <w:t xml:space="preserve">shift. </w:t>
      </w:r>
    </w:p>
    <w:p w:rsidRPr="00097721" w:rsidR="00AA198B" w:rsidP="00AA198B" w:rsidRDefault="008C63ED" w14:paraId="02A0C642" w14:textId="5AA5F9FA">
      <w:pPr>
        <w:pStyle w:val="Standard"/>
      </w:pPr>
      <w:r w:rsidRPr="00097721">
        <w:lastRenderedPageBreak/>
        <w:t>Parties that support SCE</w:t>
      </w:r>
      <w:r w:rsidRPr="00097721" w:rsidR="00772B97">
        <w:t>’s</w:t>
      </w:r>
      <w:r w:rsidRPr="00097721">
        <w:t xml:space="preserve"> and</w:t>
      </w:r>
      <w:r w:rsidRPr="00097721" w:rsidR="00735035">
        <w:t>/or</w:t>
      </w:r>
      <w:r w:rsidRPr="00097721">
        <w:t xml:space="preserve"> CESA’s proposals include </w:t>
      </w:r>
      <w:r w:rsidRPr="00097721" w:rsidR="00202463">
        <w:t xml:space="preserve">AES, </w:t>
      </w:r>
      <w:r w:rsidRPr="00097721">
        <w:t xml:space="preserve">AReM, Ava, Hydrostor, Microsoft, </w:t>
      </w:r>
      <w:r w:rsidRPr="00097721" w:rsidR="00626772">
        <w:t xml:space="preserve">REV </w:t>
      </w:r>
      <w:r w:rsidRPr="00097721">
        <w:t>and Vistra.</w:t>
      </w:r>
      <w:r w:rsidRPr="00097721" w:rsidR="00891E75">
        <w:rPr>
          <w:rStyle w:val="FootnoteReference"/>
        </w:rPr>
        <w:footnoteReference w:id="57"/>
      </w:r>
      <w:r w:rsidRPr="00097721" w:rsidR="00735035">
        <w:t xml:space="preserve">  </w:t>
      </w:r>
      <w:r w:rsidRPr="00097721" w:rsidR="00603F98">
        <w:t xml:space="preserve">Microsoft states that resources should count </w:t>
      </w:r>
      <w:r w:rsidRPr="00097721" w:rsidR="00963792">
        <w:t>for</w:t>
      </w:r>
      <w:r w:rsidRPr="00097721" w:rsidR="00603F98">
        <w:t xml:space="preserve"> RA as soon as they come online</w:t>
      </w:r>
      <w:r w:rsidRPr="00097721" w:rsidR="00C715C1">
        <w:t xml:space="preserve"> </w:t>
      </w:r>
      <w:r w:rsidRPr="00097721" w:rsidR="00603F98">
        <w:t xml:space="preserve">up </w:t>
      </w:r>
      <w:r w:rsidRPr="00097721" w:rsidR="00DA60DF">
        <w:t>to</w:t>
      </w:r>
      <w:r w:rsidRPr="00097721" w:rsidR="00603F98">
        <w:t xml:space="preserve"> T-15.</w:t>
      </w:r>
      <w:r w:rsidRPr="00097721" w:rsidR="00735035">
        <w:t xml:space="preserve">  </w:t>
      </w:r>
      <w:r w:rsidRPr="00097721" w:rsidR="00963792">
        <w:t xml:space="preserve">Vistra suggests modifying the </w:t>
      </w:r>
      <w:r w:rsidRPr="00097721" w:rsidR="00117C28">
        <w:t>month-ahead</w:t>
      </w:r>
      <w:r w:rsidRPr="00097721" w:rsidR="00963792">
        <w:t xml:space="preserve"> deadline to after all CAISO showings and manual additions have occurred</w:t>
      </w:r>
      <w:r w:rsidRPr="00097721" w:rsidR="00117C28">
        <w:t>,</w:t>
      </w:r>
      <w:r w:rsidRPr="00097721" w:rsidR="00963792">
        <w:t xml:space="preserve"> up to T-15.  </w:t>
      </w:r>
      <w:r w:rsidRPr="00097721" w:rsidR="00735035">
        <w:t xml:space="preserve">AReM supports </w:t>
      </w:r>
      <w:r w:rsidRPr="00097721" w:rsidR="0089079D">
        <w:t>both</w:t>
      </w:r>
      <w:r w:rsidRPr="00097721" w:rsidR="00735035">
        <w:t xml:space="preserve"> proposals but is concerned that they </w:t>
      </w:r>
      <w:r w:rsidRPr="00097721" w:rsidR="00B421B8">
        <w:t xml:space="preserve">do not </w:t>
      </w:r>
      <w:r w:rsidRPr="00097721" w:rsidR="00EF4867">
        <w:t>include</w:t>
      </w:r>
      <w:r w:rsidRPr="00097721" w:rsidR="00735035">
        <w:t xml:space="preserve"> a </w:t>
      </w:r>
      <w:r w:rsidRPr="00097721" w:rsidR="00EA4C54">
        <w:t>way</w:t>
      </w:r>
      <w:r w:rsidRPr="00097721" w:rsidR="00735035">
        <w:t xml:space="preserve"> to verify the scheduled COD or address consequences if a generator fails to meet the COD.  AReM states that CAISO need</w:t>
      </w:r>
      <w:r w:rsidRPr="00097721" w:rsidR="00DF20DC">
        <w:t>s</w:t>
      </w:r>
      <w:r w:rsidRPr="00097721" w:rsidR="00735035">
        <w:t xml:space="preserve"> to verify resources </w:t>
      </w:r>
      <w:r w:rsidRPr="00097721" w:rsidR="00977F36">
        <w:t xml:space="preserve">that </w:t>
      </w:r>
      <w:r w:rsidRPr="00097721" w:rsidR="00735035">
        <w:t xml:space="preserve">came online to know how much backstop </w:t>
      </w:r>
      <w:r w:rsidRPr="00097721" w:rsidR="00B717EE">
        <w:t xml:space="preserve">procurement </w:t>
      </w:r>
      <w:r w:rsidRPr="00097721" w:rsidR="00D92B71">
        <w:t>is</w:t>
      </w:r>
      <w:r w:rsidRPr="00097721" w:rsidR="00735035">
        <w:t xml:space="preserve"> needed.</w:t>
      </w:r>
      <w:r w:rsidRPr="00097721" w:rsidR="000A178B">
        <w:t xml:space="preserve">  </w:t>
      </w:r>
      <w:r w:rsidRPr="00097721" w:rsidR="00735035">
        <w:t>Hydrostor generally supports CESA’s proposal as it would avoid unnecessary</w:t>
      </w:r>
      <w:r w:rsidRPr="00097721" w:rsidR="00B72D2C">
        <w:t xml:space="preserve">, </w:t>
      </w:r>
      <w:r w:rsidRPr="00097721" w:rsidR="00735035">
        <w:t xml:space="preserve">costly delays in attributing new online capacity to an LSE.  </w:t>
      </w:r>
      <w:r w:rsidRPr="00097721" w:rsidR="00F03145">
        <w:t xml:space="preserve">AES and REV support both proposals, and Ava supports SCE’s proposal.  </w:t>
      </w:r>
    </w:p>
    <w:p w:rsidRPr="00097721" w:rsidR="00967079" w:rsidP="00AA198B" w:rsidRDefault="00967079" w14:paraId="09202A89" w14:textId="267C1E3D">
      <w:pPr>
        <w:pStyle w:val="Standard"/>
      </w:pPr>
      <w:r w:rsidRPr="00097721">
        <w:t xml:space="preserve">CAISO </w:t>
      </w:r>
      <w:r w:rsidRPr="00097721" w:rsidR="00F03145">
        <w:t>notes</w:t>
      </w:r>
      <w:r w:rsidRPr="00097721">
        <w:t xml:space="preserve"> that the Commission does not have authority to change CAISO showing timelines and any changes must </w:t>
      </w:r>
      <w:r w:rsidRPr="00097721" w:rsidR="00671D50">
        <w:t xml:space="preserve">go </w:t>
      </w:r>
      <w:r w:rsidRPr="00097721">
        <w:t>through CAISO’s stakeholder process.</w:t>
      </w:r>
      <w:r w:rsidRPr="00097721">
        <w:rPr>
          <w:rStyle w:val="FootnoteReference"/>
        </w:rPr>
        <w:footnoteReference w:id="58"/>
      </w:r>
      <w:r w:rsidRPr="00097721" w:rsidR="00332F71">
        <w:t xml:space="preserve">  </w:t>
      </w:r>
    </w:p>
    <w:p w:rsidRPr="00097721" w:rsidR="000A178B" w:rsidRDefault="000A178B" w14:paraId="6259695F" w14:textId="0E89EEE6">
      <w:pPr>
        <w:pStyle w:val="Heading4"/>
        <w:numPr>
          <w:ilvl w:val="3"/>
          <w:numId w:val="11"/>
        </w:numPr>
      </w:pPr>
      <w:bookmarkStart w:name="_Toc166841747" w:id="39"/>
      <w:r w:rsidRPr="00097721">
        <w:t>Discussion</w:t>
      </w:r>
      <w:bookmarkEnd w:id="39"/>
    </w:p>
    <w:p w:rsidRPr="00097721" w:rsidR="002867EA" w:rsidP="007D1212" w:rsidRDefault="00654981" w14:paraId="24B260A4" w14:textId="7E76CE14">
      <w:pPr>
        <w:pStyle w:val="Standard"/>
      </w:pPr>
      <w:r w:rsidRPr="00097721">
        <w:t>In D.23-06-029, the Commission noted that “in recent years, development projects have faced significant delays due to a host of issues, including supply chain delays, labor shortages, interconnection queue limitations, and rising costs.”</w:t>
      </w:r>
      <w:r w:rsidRPr="00097721">
        <w:rPr>
          <w:rStyle w:val="FootnoteReference"/>
        </w:rPr>
        <w:footnoteReference w:id="59"/>
      </w:r>
      <w:r w:rsidRPr="00097721" w:rsidR="00A224F5">
        <w:t xml:space="preserve"> </w:t>
      </w:r>
      <w:r w:rsidRPr="00097721">
        <w:t xml:space="preserve"> In addition, a</w:t>
      </w:r>
      <w:r w:rsidRPr="00097721" w:rsidR="00406A44">
        <w:t xml:space="preserve"> large volume of</w:t>
      </w:r>
      <w:r w:rsidRPr="00097721" w:rsidR="007D1212">
        <w:t xml:space="preserve"> new mid-term reliability projects </w:t>
      </w:r>
      <w:r w:rsidRPr="00097721" w:rsidR="00406A44">
        <w:t>are</w:t>
      </w:r>
      <w:r w:rsidRPr="00097721" w:rsidR="007D1212">
        <w:t xml:space="preserve"> </w:t>
      </w:r>
      <w:r w:rsidRPr="00097721" w:rsidR="00406A44">
        <w:t>e</w:t>
      </w:r>
      <w:r w:rsidRPr="00097721" w:rsidR="00B11489">
        <w:t>xpected to come</w:t>
      </w:r>
      <w:r w:rsidRPr="00097721" w:rsidR="007D1212">
        <w:t xml:space="preserve"> online </w:t>
      </w:r>
      <w:r w:rsidRPr="00097721" w:rsidR="002C3173">
        <w:t>as directed in</w:t>
      </w:r>
      <w:r w:rsidRPr="00097721" w:rsidR="00B11489">
        <w:t xml:space="preserve"> the</w:t>
      </w:r>
      <w:r w:rsidRPr="00097721" w:rsidR="00406A44">
        <w:t xml:space="preserve"> </w:t>
      </w:r>
      <w:r w:rsidRPr="00097721" w:rsidR="00B11489">
        <w:t>Integrated Resource Planning (</w:t>
      </w:r>
      <w:r w:rsidRPr="00097721" w:rsidR="00406A44">
        <w:t>IRP</w:t>
      </w:r>
      <w:r w:rsidRPr="00097721" w:rsidR="00B11489">
        <w:t>) proceeding</w:t>
      </w:r>
      <w:r w:rsidRPr="00097721" w:rsidR="00F0136B">
        <w:t xml:space="preserve">.  </w:t>
      </w:r>
    </w:p>
    <w:p w:rsidRPr="00097721" w:rsidR="00605200" w:rsidP="007D1212" w:rsidRDefault="00E12080" w14:paraId="4FB5A50E" w14:textId="6825AB1D">
      <w:pPr>
        <w:pStyle w:val="Standard"/>
      </w:pPr>
      <w:r w:rsidRPr="00097721">
        <w:lastRenderedPageBreak/>
        <w:t xml:space="preserve">The Commission </w:t>
      </w:r>
      <w:r w:rsidRPr="00097721" w:rsidR="003D4F05">
        <w:t>finds</w:t>
      </w:r>
      <w:r w:rsidRPr="00097721">
        <w:t xml:space="preserve"> </w:t>
      </w:r>
      <w:r w:rsidRPr="00097721" w:rsidR="003D4F05">
        <w:t>it reasonable to allow</w:t>
      </w:r>
      <w:r w:rsidRPr="00097721">
        <w:t xml:space="preserve"> new resources with a COD after T-30 and before the start of the RA compliance month </w:t>
      </w:r>
      <w:r w:rsidRPr="00097721" w:rsidR="002C3173">
        <w:t xml:space="preserve">(T-1) </w:t>
      </w:r>
      <w:r w:rsidRPr="00097721">
        <w:t>to count towards that month’s RA compliance</w:t>
      </w:r>
      <w:r w:rsidRPr="00097721" w:rsidR="002C3173">
        <w:t>, on an interim basis</w:t>
      </w:r>
      <w:r w:rsidRPr="00097721">
        <w:t xml:space="preserve">.  </w:t>
      </w:r>
      <w:r w:rsidRPr="00097721" w:rsidR="00F04632">
        <w:t>This</w:t>
      </w:r>
      <w:r w:rsidRPr="00097721">
        <w:t xml:space="preserve"> proposal will </w:t>
      </w:r>
      <w:r w:rsidRPr="00097721" w:rsidR="004A0B07">
        <w:t xml:space="preserve">not only </w:t>
      </w:r>
      <w:r w:rsidRPr="00097721">
        <w:t xml:space="preserve">increase the </w:t>
      </w:r>
      <w:r w:rsidRPr="00097721" w:rsidR="00124951">
        <w:t>number</w:t>
      </w:r>
      <w:r w:rsidRPr="00097721">
        <w:t xml:space="preserve"> of resources an LSE can count towards </w:t>
      </w:r>
      <w:r w:rsidRPr="00097721" w:rsidR="00437506">
        <w:t xml:space="preserve">its </w:t>
      </w:r>
      <w:r w:rsidRPr="00097721">
        <w:t xml:space="preserve">RA </w:t>
      </w:r>
      <w:r w:rsidRPr="00097721" w:rsidR="00437506">
        <w:t>obligations</w:t>
      </w:r>
      <w:r w:rsidRPr="00097721" w:rsidR="00DD6662">
        <w:t xml:space="preserve">, </w:t>
      </w:r>
      <w:r w:rsidRPr="00097721" w:rsidR="00B33928">
        <w:t>but also</w:t>
      </w:r>
      <w:r w:rsidRPr="00097721">
        <w:t xml:space="preserve"> </w:t>
      </w:r>
      <w:r w:rsidRPr="00097721" w:rsidR="00C50949">
        <w:t>increase the</w:t>
      </w:r>
      <w:r w:rsidRPr="00097721">
        <w:t xml:space="preserve"> </w:t>
      </w:r>
      <w:r w:rsidRPr="00097721" w:rsidR="007E2340">
        <w:t xml:space="preserve">number </w:t>
      </w:r>
      <w:r w:rsidRPr="00097721">
        <w:t xml:space="preserve">of resources with a </w:t>
      </w:r>
      <w:r w:rsidRPr="00097721" w:rsidR="00E51E5C">
        <w:t>MOO</w:t>
      </w:r>
      <w:r w:rsidRPr="00097721">
        <w:t xml:space="preserve"> </w:t>
      </w:r>
      <w:r w:rsidRPr="00097721" w:rsidR="00185DC8">
        <w:t>that are</w:t>
      </w:r>
      <w:r w:rsidRPr="00097721">
        <w:t xml:space="preserve"> available to CAISO</w:t>
      </w:r>
      <w:r w:rsidRPr="00097721" w:rsidR="00990C60">
        <w:t>’s</w:t>
      </w:r>
      <w:r w:rsidRPr="00097721">
        <w:t xml:space="preserve"> market</w:t>
      </w:r>
      <w:r w:rsidRPr="00097721" w:rsidR="00990C60">
        <w:t>s</w:t>
      </w:r>
      <w:r w:rsidRPr="00097721">
        <w:t xml:space="preserve"> to </w:t>
      </w:r>
      <w:r w:rsidRPr="00097721" w:rsidR="00F0632C">
        <w:t>enhance</w:t>
      </w:r>
      <w:r w:rsidRPr="00097721">
        <w:t xml:space="preserve"> grid reliability.  </w:t>
      </w:r>
    </w:p>
    <w:p w:rsidRPr="00097721" w:rsidR="000A178B" w:rsidP="002C3173" w:rsidRDefault="00B57BC7" w14:paraId="4BF0A8F3" w14:textId="426FDE42">
      <w:pPr>
        <w:pStyle w:val="Standard"/>
      </w:pPr>
      <w:r w:rsidRPr="00097721">
        <w:t xml:space="preserve">We find, however, that this </w:t>
      </w:r>
      <w:r w:rsidRPr="00097721" w:rsidR="002C3173">
        <w:t xml:space="preserve">interim </w:t>
      </w:r>
      <w:r w:rsidRPr="00097721">
        <w:t xml:space="preserve">extension of the cure period should be limited to the critical summer months for RA capacity availability.  </w:t>
      </w:r>
      <w:r w:rsidRPr="00097721" w:rsidR="004029B8">
        <w:t xml:space="preserve">As such, </w:t>
      </w:r>
      <w:r w:rsidRPr="00097721" w:rsidR="00F00716">
        <w:t>for Ju</w:t>
      </w:r>
      <w:r w:rsidRPr="00097721" w:rsidR="00C666F2">
        <w:t>ne</w:t>
      </w:r>
      <w:r w:rsidRPr="00097721" w:rsidR="00F00716">
        <w:t>-September</w:t>
      </w:r>
      <w:r w:rsidRPr="00097721" w:rsidR="0006534F">
        <w:t xml:space="preserve"> month-ahead filings</w:t>
      </w:r>
      <w:r w:rsidRPr="00097721" w:rsidR="00F00716">
        <w:t xml:space="preserve">, </w:t>
      </w:r>
      <w:r w:rsidRPr="00097721" w:rsidR="007D1212">
        <w:t xml:space="preserve">new resources </w:t>
      </w:r>
      <w:r w:rsidRPr="00097721" w:rsidR="00605200">
        <w:t>with a COD</w:t>
      </w:r>
      <w:r w:rsidRPr="00097721" w:rsidR="007D1212">
        <w:t xml:space="preserve"> after </w:t>
      </w:r>
      <w:r w:rsidRPr="00097721" w:rsidR="002C3173">
        <w:t xml:space="preserve">T-30 </w:t>
      </w:r>
      <w:r w:rsidRPr="00097721" w:rsidR="007D1212">
        <w:t xml:space="preserve">and before the start of </w:t>
      </w:r>
      <w:r w:rsidRPr="00097721" w:rsidR="00875167">
        <w:t>an LSE’s</w:t>
      </w:r>
      <w:r w:rsidRPr="00097721" w:rsidR="007D1212">
        <w:t xml:space="preserve"> RA compliance month</w:t>
      </w:r>
      <w:r w:rsidRPr="00097721" w:rsidR="00F00716">
        <w:t xml:space="preserve"> </w:t>
      </w:r>
      <w:r w:rsidRPr="00097721" w:rsidR="002C3173">
        <w:t>(T-1) may</w:t>
      </w:r>
      <w:r w:rsidRPr="00097721" w:rsidR="00F00716">
        <w:t xml:space="preserve"> </w:t>
      </w:r>
      <w:r w:rsidRPr="00097721" w:rsidR="007D1212">
        <w:t xml:space="preserve">count towards </w:t>
      </w:r>
      <w:r w:rsidRPr="00097721" w:rsidR="002C3173">
        <w:t xml:space="preserve">curing an LSE’s identified RA deficiencies for that compliance month, if the LSE provides the following documentation to Energy Division:  (1) the new resource contract verifying that the resource will be providing a MOO into CAISO energy markets consistent with an RA product, and (2) a COD notice that confirms the resource was online and deliverable before the start of the compliance month (T-1).  Additionally, the MWs associated with the identified resource must not accept any CAISO </w:t>
      </w:r>
      <w:r w:rsidRPr="00097721" w:rsidR="00622BEE">
        <w:t>Capacity Procurement Mechanism (</w:t>
      </w:r>
      <w:r w:rsidRPr="00097721" w:rsidR="002C3173">
        <w:t>CPM</w:t>
      </w:r>
      <w:r w:rsidRPr="00097721" w:rsidR="00622BEE">
        <w:t>)</w:t>
      </w:r>
      <w:r w:rsidRPr="00097721" w:rsidR="002C3173">
        <w:t xml:space="preserve"> designation for the associated compliance month, which will ensure there is no double-counting of the resource for RA purposes.  </w:t>
      </w:r>
      <w:r w:rsidRPr="00097721" w:rsidR="00BC12FC">
        <w:t xml:space="preserve">  </w:t>
      </w:r>
    </w:p>
    <w:p w:rsidRPr="00097721" w:rsidR="006D529B" w:rsidP="00990C60" w:rsidRDefault="00212EA3" w14:paraId="0FD86641" w14:textId="349E63DB">
      <w:pPr>
        <w:pStyle w:val="Standard"/>
      </w:pPr>
      <w:r w:rsidRPr="00097721">
        <w:t xml:space="preserve">To implement this extended cure period, </w:t>
      </w:r>
      <w:r w:rsidRPr="00097721" w:rsidR="000F76CB">
        <w:t>Energy Division Staff will continue to issue deficiency notices prior to T-30, as is the current practice</w:t>
      </w:r>
      <w:r w:rsidRPr="00097721">
        <w:t>.  I</w:t>
      </w:r>
      <w:r w:rsidRPr="00097721" w:rsidR="000F76CB">
        <w:t xml:space="preserve">f an LSE </w:t>
      </w:r>
      <w:r w:rsidRPr="00097721">
        <w:t>procures a</w:t>
      </w:r>
      <w:r w:rsidRPr="00097721" w:rsidR="000F76CB">
        <w:t xml:space="preserve"> new resource</w:t>
      </w:r>
      <w:r w:rsidRPr="00097721">
        <w:t xml:space="preserve"> </w:t>
      </w:r>
      <w:r w:rsidRPr="00097721" w:rsidR="00990C60">
        <w:t>that reaches</w:t>
      </w:r>
      <w:r w:rsidRPr="00097721">
        <w:t xml:space="preserve"> COD</w:t>
      </w:r>
      <w:r w:rsidRPr="00097721" w:rsidR="000F76CB">
        <w:t xml:space="preserve"> after T-30 and before the start of the RA compliance month, the LSE must submit to Energy Division Staff the COD notice and underlying RA contract for the </w:t>
      </w:r>
      <w:r w:rsidRPr="00097721">
        <w:t xml:space="preserve">new </w:t>
      </w:r>
      <w:r w:rsidRPr="00097721" w:rsidR="000F76CB">
        <w:t xml:space="preserve">resource.  After the RA compliance month, Energy Division Staff will refer any remaining outstanding deficiency to </w:t>
      </w:r>
      <w:r w:rsidRPr="00097721" w:rsidR="003E0563">
        <w:t xml:space="preserve">the Consumer Protection </w:t>
      </w:r>
      <w:r w:rsidRPr="00097721" w:rsidR="007E2340">
        <w:t xml:space="preserve">and </w:t>
      </w:r>
      <w:r w:rsidRPr="00097721" w:rsidR="003E0563">
        <w:t>Enforcement Division</w:t>
      </w:r>
      <w:r w:rsidRPr="00097721" w:rsidR="000F76CB">
        <w:t xml:space="preserve">.  If the new </w:t>
      </w:r>
      <w:r w:rsidRPr="00097721" w:rsidR="000F76CB">
        <w:lastRenderedPageBreak/>
        <w:t xml:space="preserve">resource </w:t>
      </w:r>
      <w:r w:rsidRPr="00097721" w:rsidR="005B0EFC">
        <w:t>with a COD</w:t>
      </w:r>
      <w:r w:rsidRPr="00097721" w:rsidR="000F76CB">
        <w:t xml:space="preserve"> after T-30 cures the LSE’s deficienc</w:t>
      </w:r>
      <w:r w:rsidRPr="00097721" w:rsidR="005B0EFC">
        <w:t>ies</w:t>
      </w:r>
      <w:r w:rsidRPr="00097721" w:rsidR="000F76CB">
        <w:t>, the LSE’s deficienc</w:t>
      </w:r>
      <w:r w:rsidRPr="00097721" w:rsidR="005B0EFC">
        <w:t>ies</w:t>
      </w:r>
      <w:r w:rsidRPr="00097721" w:rsidR="000F76CB">
        <w:t xml:space="preserve"> will be considered cured within five business days.  </w:t>
      </w:r>
      <w:r w:rsidRPr="00097721" w:rsidR="002C3173">
        <w:t xml:space="preserve">This </w:t>
      </w:r>
      <w:r w:rsidRPr="00097721" w:rsidR="000F76CB">
        <w:t xml:space="preserve">rule will be effective upon the issuance of this decision and may be utilized </w:t>
      </w:r>
      <w:r w:rsidRPr="00097721" w:rsidR="00F02D1B">
        <w:t xml:space="preserve">by LSEs </w:t>
      </w:r>
      <w:r w:rsidRPr="00097721" w:rsidR="000F76CB">
        <w:t xml:space="preserve">for compliance </w:t>
      </w:r>
      <w:r w:rsidRPr="00097721" w:rsidR="00990C60">
        <w:t xml:space="preserve">beginning </w:t>
      </w:r>
      <w:r w:rsidRPr="00097721" w:rsidR="000F76CB">
        <w:t>with the</w:t>
      </w:r>
      <w:r w:rsidRPr="00097721" w:rsidR="00F02D1B">
        <w:t xml:space="preserve">ir </w:t>
      </w:r>
      <w:r w:rsidRPr="00097721" w:rsidR="002C3173">
        <w:t>July</w:t>
      </w:r>
      <w:r w:rsidRPr="00097721" w:rsidR="000F76CB">
        <w:t xml:space="preserve"> 2024 </w:t>
      </w:r>
      <w:r w:rsidRPr="00097721" w:rsidR="00F02D1B">
        <w:t xml:space="preserve">month-ahead </w:t>
      </w:r>
      <w:r w:rsidRPr="00097721" w:rsidR="000F76CB">
        <w:t>showing</w:t>
      </w:r>
      <w:r w:rsidRPr="00097721" w:rsidR="002C3173">
        <w:t>.</w:t>
      </w:r>
      <w:r w:rsidRPr="00097721" w:rsidR="00990C60">
        <w:t xml:space="preserve">  </w:t>
      </w:r>
    </w:p>
    <w:p w:rsidRPr="00097721" w:rsidR="0084743F" w:rsidP="00A603E2" w:rsidRDefault="00990C60" w14:paraId="251E88DA" w14:textId="76CCEA93">
      <w:pPr>
        <w:pStyle w:val="Standard"/>
      </w:pPr>
      <w:r w:rsidRPr="00097721">
        <w:t xml:space="preserve">We recognize that CAISO will continue to assess collective and individual LSE backstop needs based on the timelines identified in its tariff.  Currently, CAISO locks supply plan submittals at T-30.  Therefore, the extended cure period will not be accounted for in CAISO’s </w:t>
      </w:r>
      <w:r w:rsidRPr="00097721" w:rsidR="006E49A8">
        <w:t xml:space="preserve">current </w:t>
      </w:r>
      <w:r w:rsidRPr="00097721">
        <w:t>monthly CPM process.</w:t>
      </w:r>
      <w:r w:rsidRPr="00097721" w:rsidR="006D529B">
        <w:t xml:space="preserve">  </w:t>
      </w:r>
      <w:r w:rsidRPr="00097721" w:rsidR="00B7425B">
        <w:t xml:space="preserve">While we recognize CAISO’s current system has limitations, we encourage CAISO and Energy Division to coordinate to ensure that the additional </w:t>
      </w:r>
      <w:r w:rsidRPr="00097721" w:rsidR="009525F4">
        <w:t xml:space="preserve">new </w:t>
      </w:r>
      <w:r w:rsidRPr="00097721" w:rsidR="00B7425B">
        <w:t xml:space="preserve">confirmed RA resources for the compliance month are visible to CAISO markets and </w:t>
      </w:r>
      <w:r w:rsidRPr="00097721" w:rsidR="009D6334">
        <w:t>are considered in any</w:t>
      </w:r>
      <w:r w:rsidRPr="00097721" w:rsidR="00B7425B">
        <w:t xml:space="preserve"> CPM designation.  </w:t>
      </w:r>
      <w:r w:rsidRPr="00097721" w:rsidR="006D529B">
        <w:t>In addition, a</w:t>
      </w:r>
      <w:r w:rsidRPr="00097721" w:rsidR="0084743F">
        <w:t>s this extended cure period is adopted on an interim basis, the Commission will monitor the use of the cure period and will reevaluate the need for it in the future.</w:t>
      </w:r>
    </w:p>
    <w:p w:rsidRPr="00097721" w:rsidR="00652225" w:rsidP="00AE0046" w:rsidRDefault="00465048" w14:paraId="182B9458" w14:textId="3CF8EA88">
      <w:pPr>
        <w:pStyle w:val="Standard"/>
      </w:pPr>
      <w:r w:rsidRPr="00097721">
        <w:t xml:space="preserve">The Commission finds that CalCCA’s proposal to </w:t>
      </w:r>
      <w:r w:rsidRPr="00097721" w:rsidR="00AE0046">
        <w:t xml:space="preserve">allow LSEs to cure year-ahead and month-ahead deficiencies up to the start of the compliance month </w:t>
      </w:r>
      <w:r w:rsidRPr="00097721" w:rsidR="005F40D9">
        <w:t>with</w:t>
      </w:r>
      <w:r w:rsidRPr="00097721" w:rsidR="00AE0046">
        <w:t xml:space="preserve"> </w:t>
      </w:r>
      <w:r w:rsidRPr="00097721" w:rsidR="005F40D9">
        <w:t>both</w:t>
      </w:r>
      <w:r w:rsidRPr="00097721" w:rsidR="00AE0046">
        <w:t xml:space="preserve"> new and existing resources is overly broad </w:t>
      </w:r>
      <w:r w:rsidRPr="00097721">
        <w:t xml:space="preserve">and </w:t>
      </w:r>
      <w:r w:rsidRPr="00097721" w:rsidR="00AF61AC">
        <w:t>introduces</w:t>
      </w:r>
      <w:r w:rsidRPr="00097721" w:rsidR="00AE0046">
        <w:t xml:space="preserve"> uncertainty and risk to the RA program’s goal of ensuring </w:t>
      </w:r>
      <w:r w:rsidRPr="00097721">
        <w:t>grid reliability.</w:t>
      </w:r>
      <w:r w:rsidRPr="00097721" w:rsidR="00AE0046">
        <w:t xml:space="preserve">  We decline to adopt this proposal.</w:t>
      </w:r>
    </w:p>
    <w:p w:rsidRPr="00097721" w:rsidR="00485600" w:rsidP="00485600" w:rsidRDefault="00485600" w14:paraId="1CB50F03" w14:textId="11E608C4">
      <w:pPr>
        <w:pStyle w:val="Heading3"/>
      </w:pPr>
      <w:bookmarkStart w:name="_Toc166841748" w:id="40"/>
      <w:r w:rsidRPr="00097721">
        <w:t>Residual Capacity Auction</w:t>
      </w:r>
      <w:bookmarkEnd w:id="40"/>
    </w:p>
    <w:p w:rsidRPr="00097721" w:rsidR="00485600" w:rsidP="00A105AB" w:rsidRDefault="003976B4" w14:paraId="130426D9" w14:textId="608DD2EF">
      <w:pPr>
        <w:pStyle w:val="Standard"/>
      </w:pPr>
      <w:r w:rsidRPr="00097721">
        <w:t xml:space="preserve">Cal Advocates </w:t>
      </w:r>
      <w:r w:rsidRPr="00097721" w:rsidR="00A4653B">
        <w:t>submits</w:t>
      </w:r>
      <w:r w:rsidRPr="00097721">
        <w:t xml:space="preserve"> a Residual Capacity Auction (RCA) proposal that would allow the </w:t>
      </w:r>
      <w:r w:rsidRPr="00097721" w:rsidR="00883D90">
        <w:t xml:space="preserve">existing </w:t>
      </w:r>
      <w:r w:rsidRPr="00097721">
        <w:t>CPE to procure system RA</w:t>
      </w:r>
      <w:r w:rsidRPr="00097721" w:rsidR="0028623C">
        <w:t xml:space="preserve"> capacity on behalf of</w:t>
      </w:r>
      <w:r w:rsidRPr="00097721">
        <w:t xml:space="preserve"> deficient LSEs through a blind reverse auction.</w:t>
      </w:r>
      <w:r w:rsidRPr="00097721">
        <w:rPr>
          <w:rStyle w:val="FootnoteReference"/>
        </w:rPr>
        <w:footnoteReference w:id="60"/>
      </w:r>
      <w:r w:rsidRPr="00097721" w:rsidR="00883D90">
        <w:t xml:space="preserve">  </w:t>
      </w:r>
      <w:r w:rsidRPr="00097721" w:rsidR="00ED26AC">
        <w:t>The RCA include</w:t>
      </w:r>
      <w:r w:rsidRPr="00097721" w:rsidR="00423730">
        <w:t>s</w:t>
      </w:r>
      <w:r w:rsidRPr="00097721" w:rsidR="00ED26AC">
        <w:t xml:space="preserve"> a waiver process for LSEs that </w:t>
      </w:r>
      <w:r w:rsidRPr="00097721" w:rsidR="003970AE">
        <w:t>demonstrate</w:t>
      </w:r>
      <w:r w:rsidRPr="00097721" w:rsidR="00ED26AC">
        <w:t xml:space="preserve"> good faith efforts to procure </w:t>
      </w:r>
      <w:r w:rsidRPr="00097721" w:rsidR="003970AE">
        <w:t xml:space="preserve">system </w:t>
      </w:r>
      <w:r w:rsidRPr="00097721" w:rsidR="00ED26AC">
        <w:t xml:space="preserve">RA.  </w:t>
      </w:r>
      <w:r w:rsidRPr="00097721" w:rsidR="00D30510">
        <w:t xml:space="preserve">The </w:t>
      </w:r>
      <w:r w:rsidRPr="00097721" w:rsidR="00D30510">
        <w:lastRenderedPageBreak/>
        <w:t>proposal is intended to be a mechanism to procure sufficient capacity to cure individual LSE deficiencies at competitive prices.</w:t>
      </w:r>
      <w:r w:rsidRPr="00097721" w:rsidR="00A105AB">
        <w:t xml:space="preserve">  </w:t>
      </w:r>
      <w:r w:rsidRPr="00097721" w:rsidR="00187AAB">
        <w:t>The</w:t>
      </w:r>
      <w:r w:rsidRPr="00097721" w:rsidR="00883D90">
        <w:t xml:space="preserve"> propos</w:t>
      </w:r>
      <w:r w:rsidRPr="00097721" w:rsidR="00187AAB">
        <w:t>al recommends</w:t>
      </w:r>
      <w:r w:rsidRPr="00097721" w:rsidR="00883D90">
        <w:t xml:space="preserve"> the following </w:t>
      </w:r>
      <w:r w:rsidRPr="00097721" w:rsidR="001F2A51">
        <w:t>components</w:t>
      </w:r>
      <w:r w:rsidRPr="00097721" w:rsidR="00883D90">
        <w:t>:</w:t>
      </w:r>
    </w:p>
    <w:p w:rsidRPr="00097721" w:rsidR="00883D90" w:rsidRDefault="00883D90" w14:paraId="0EEB7F2B" w14:textId="72DE075C">
      <w:pPr>
        <w:pStyle w:val="Standard"/>
        <w:numPr>
          <w:ilvl w:val="0"/>
          <w:numId w:val="12"/>
        </w:numPr>
        <w:spacing w:after="120" w:line="240" w:lineRule="auto"/>
        <w:ind w:right="1440"/>
      </w:pPr>
      <w:r w:rsidRPr="00097721">
        <w:t>Develop and implement a reverse blind auction, called the RCA.</w:t>
      </w:r>
    </w:p>
    <w:p w:rsidRPr="00097721" w:rsidR="00883D90" w:rsidRDefault="00883D90" w14:paraId="1B8ED6E1" w14:textId="15CC9397">
      <w:pPr>
        <w:pStyle w:val="Standard"/>
        <w:numPr>
          <w:ilvl w:val="0"/>
          <w:numId w:val="12"/>
        </w:numPr>
        <w:spacing w:after="120" w:line="240" w:lineRule="auto"/>
        <w:ind w:right="1440"/>
      </w:pPr>
      <w:r w:rsidRPr="00097721">
        <w:t xml:space="preserve">The RCA </w:t>
      </w:r>
      <w:r w:rsidRPr="00097721" w:rsidR="00187AAB">
        <w:t>would</w:t>
      </w:r>
      <w:r w:rsidRPr="00097721">
        <w:t xml:space="preserve"> request system RA offers and procure up to the aggregate amount of LSE</w:t>
      </w:r>
      <w:r w:rsidRPr="00097721" w:rsidR="00B018EC">
        <w:t>s’</w:t>
      </w:r>
      <w:r w:rsidRPr="00097721">
        <w:t xml:space="preserve"> system RA deficiencies, select offers in the auction, and pay bidders the bid price.</w:t>
      </w:r>
    </w:p>
    <w:p w:rsidRPr="00097721" w:rsidR="00883D90" w:rsidRDefault="00883D90" w14:paraId="40B7610B" w14:textId="60CCEC81">
      <w:pPr>
        <w:pStyle w:val="Standard"/>
        <w:numPr>
          <w:ilvl w:val="0"/>
          <w:numId w:val="12"/>
        </w:numPr>
        <w:spacing w:after="120" w:line="240" w:lineRule="auto"/>
        <w:ind w:right="1440"/>
      </w:pPr>
      <w:r w:rsidRPr="00097721">
        <w:t>The Operator of the RCA (ORCA) will be the local RA CPE.</w:t>
      </w:r>
    </w:p>
    <w:p w:rsidRPr="00097721" w:rsidR="00883D90" w:rsidRDefault="00883D90" w14:paraId="260DFCEE" w14:textId="050C5723">
      <w:pPr>
        <w:pStyle w:val="Standard"/>
        <w:numPr>
          <w:ilvl w:val="0"/>
          <w:numId w:val="12"/>
        </w:numPr>
        <w:spacing w:after="120" w:line="240" w:lineRule="auto"/>
        <w:ind w:right="1440"/>
      </w:pPr>
      <w:r w:rsidRPr="00097721">
        <w:t>The ORCA will allocate system RA credits and costs to deficient LSEs.</w:t>
      </w:r>
    </w:p>
    <w:p w:rsidRPr="00097721" w:rsidR="00883D90" w:rsidRDefault="00883D90" w14:paraId="633DFAD9" w14:textId="660C0705">
      <w:pPr>
        <w:pStyle w:val="Standard"/>
        <w:numPr>
          <w:ilvl w:val="0"/>
          <w:numId w:val="12"/>
        </w:numPr>
        <w:spacing w:after="120" w:line="240" w:lineRule="auto"/>
        <w:ind w:right="1440"/>
      </w:pPr>
      <w:r w:rsidRPr="00097721">
        <w:t>The ORCA will remain the contractual counterparty and be responsible for submitting procured resources on RA supply plans to the Commission and CAISO.</w:t>
      </w:r>
    </w:p>
    <w:p w:rsidRPr="00097721" w:rsidR="00485600" w:rsidRDefault="00883D90" w14:paraId="26393244" w14:textId="3ADAB825">
      <w:pPr>
        <w:pStyle w:val="Standard"/>
        <w:numPr>
          <w:ilvl w:val="0"/>
          <w:numId w:val="12"/>
        </w:numPr>
        <w:spacing w:after="120" w:line="240" w:lineRule="auto"/>
        <w:ind w:right="1440"/>
      </w:pPr>
      <w:r w:rsidRPr="00097721">
        <w:t xml:space="preserve">A system waiver process for May-September </w:t>
      </w:r>
      <w:r w:rsidRPr="00097721" w:rsidR="0089628D">
        <w:t>would be</w:t>
      </w:r>
      <w:r w:rsidRPr="00097721">
        <w:t xml:space="preserve"> needed for LSEs to demonstrate good faith and commercial reasonable efforts.</w:t>
      </w:r>
    </w:p>
    <w:p w:rsidRPr="00097721" w:rsidR="005148CD" w:rsidP="00485600" w:rsidRDefault="005148CD" w14:paraId="2E356B13" w14:textId="344A383A">
      <w:pPr>
        <w:pStyle w:val="Standard"/>
      </w:pPr>
      <w:r w:rsidRPr="00097721">
        <w:t xml:space="preserve">Cal Advocates states that the RCA provides a venue </w:t>
      </w:r>
      <w:r w:rsidRPr="00097721" w:rsidR="000C10C7">
        <w:t>where</w:t>
      </w:r>
      <w:r w:rsidRPr="00097721">
        <w:t xml:space="preserve"> suppliers can submit reasonably priced bids</w:t>
      </w:r>
      <w:r w:rsidRPr="00097721" w:rsidR="000C10C7">
        <w:t xml:space="preserve"> to a single buyer,</w:t>
      </w:r>
      <w:r w:rsidRPr="00097721">
        <w:t xml:space="preserve"> if </w:t>
      </w:r>
      <w:r w:rsidRPr="00097721" w:rsidR="00E57767">
        <w:t>the</w:t>
      </w:r>
      <w:r w:rsidRPr="00097721">
        <w:t xml:space="preserve"> suppliers were unable to find buyers at higher </w:t>
      </w:r>
      <w:r w:rsidRPr="00097721" w:rsidR="00A552EB">
        <w:t xml:space="preserve">bids.  </w:t>
      </w:r>
      <w:r w:rsidRPr="00097721" w:rsidR="000776C7">
        <w:t xml:space="preserve">Cal </w:t>
      </w:r>
      <w:r w:rsidRPr="00097721" w:rsidR="00AF1FBF">
        <w:t>A</w:t>
      </w:r>
      <w:r w:rsidRPr="00097721" w:rsidR="000776C7">
        <w:t>dvocates states that where</w:t>
      </w:r>
      <w:r w:rsidRPr="00097721" w:rsidR="00A552EB">
        <w:t xml:space="preserve"> there is true </w:t>
      </w:r>
      <w:r w:rsidRPr="00097721" w:rsidR="001A2593">
        <w:t xml:space="preserve">market </w:t>
      </w:r>
      <w:r w:rsidRPr="00097721" w:rsidR="00A552EB">
        <w:t xml:space="preserve">scarcity, the RCA allows the Commission to weigh trade-offs between </w:t>
      </w:r>
      <w:r w:rsidRPr="00097721" w:rsidR="00F63B73">
        <w:t>very</w:t>
      </w:r>
      <w:r w:rsidRPr="00097721" w:rsidR="00A552EB">
        <w:t xml:space="preserve"> high procurement costs against non-compliance risks</w:t>
      </w:r>
      <w:r w:rsidRPr="00097721" w:rsidR="00733810">
        <w:t xml:space="preserve"> or alternative procurement</w:t>
      </w:r>
      <w:r w:rsidRPr="00097721" w:rsidR="000776C7">
        <w:t>, as LSEs currently have no ability of assessing trade-offs.</w:t>
      </w:r>
      <w:r w:rsidRPr="00097721" w:rsidR="00733810">
        <w:t xml:space="preserve"> </w:t>
      </w:r>
      <w:r w:rsidRPr="00097721" w:rsidR="00AE0FFA">
        <w:t xml:space="preserve"> </w:t>
      </w:r>
    </w:p>
    <w:p w:rsidRPr="00097721" w:rsidR="003C48EC" w:rsidP="003C48EC" w:rsidRDefault="003C48EC" w14:paraId="24BF8A45" w14:textId="05E373E5">
      <w:pPr>
        <w:pStyle w:val="Heading4"/>
      </w:pPr>
      <w:bookmarkStart w:name="_Toc166841749" w:id="41"/>
      <w:r w:rsidRPr="00097721">
        <w:t>Comments on Proposal</w:t>
      </w:r>
      <w:bookmarkEnd w:id="41"/>
    </w:p>
    <w:p w:rsidRPr="00097721" w:rsidR="00E412F7" w:rsidP="0071726C" w:rsidRDefault="00E412F7" w14:paraId="591CE9C0" w14:textId="6FE73A5D">
      <w:pPr>
        <w:pStyle w:val="Standard"/>
      </w:pPr>
      <w:r w:rsidRPr="00097721">
        <w:t xml:space="preserve">Numerous parties raise concerns about the RCA proposal. </w:t>
      </w:r>
      <w:r w:rsidRPr="00097721" w:rsidR="00C13AE3">
        <w:t xml:space="preserve"> </w:t>
      </w:r>
      <w:r w:rsidRPr="00097721" w:rsidR="003C48EC">
        <w:t xml:space="preserve">CalCCA </w:t>
      </w:r>
      <w:r w:rsidRPr="00097721">
        <w:t xml:space="preserve">and PG&amp;E </w:t>
      </w:r>
      <w:r w:rsidRPr="00097721" w:rsidR="00242E9F">
        <w:t>assert</w:t>
      </w:r>
      <w:r w:rsidRPr="00097721">
        <w:t xml:space="preserve"> that in order to</w:t>
      </w:r>
      <w:r w:rsidRPr="00097721" w:rsidR="003C48EC">
        <w:t xml:space="preserve"> take a position</w:t>
      </w:r>
      <w:r w:rsidRPr="00097721" w:rsidR="00242E9F">
        <w:t xml:space="preserve"> on the proposal</w:t>
      </w:r>
      <w:r w:rsidRPr="00097721" w:rsidR="003C48EC">
        <w:t>, there are many outstanding questions</w:t>
      </w:r>
      <w:r w:rsidRPr="00097721">
        <w:t xml:space="preserve"> and implementation </w:t>
      </w:r>
      <w:r w:rsidRPr="00097721" w:rsidR="003D6408">
        <w:t xml:space="preserve">details </w:t>
      </w:r>
      <w:r w:rsidRPr="00097721">
        <w:t>that need to be developed</w:t>
      </w:r>
      <w:r w:rsidRPr="00097721" w:rsidR="003C48EC">
        <w:t>.</w:t>
      </w:r>
      <w:r w:rsidRPr="00097721" w:rsidR="00C13AE3">
        <w:rPr>
          <w:rStyle w:val="FootnoteReference"/>
        </w:rPr>
        <w:footnoteReference w:id="61"/>
      </w:r>
      <w:r w:rsidRPr="00097721" w:rsidR="003C48EC">
        <w:t xml:space="preserve">  </w:t>
      </w:r>
      <w:r w:rsidRPr="00097721">
        <w:lastRenderedPageBreak/>
        <w:t xml:space="preserve">PG&amp;E and SVCE </w:t>
      </w:r>
      <w:r w:rsidRPr="00097721" w:rsidR="006F52DE">
        <w:t xml:space="preserve">generally </w:t>
      </w:r>
      <w:r w:rsidRPr="00097721">
        <w:t xml:space="preserve">state that it is </w:t>
      </w:r>
      <w:r w:rsidRPr="00097721" w:rsidR="003D6408">
        <w:t>un</w:t>
      </w:r>
      <w:r w:rsidRPr="00097721">
        <w:t xml:space="preserve">clear </w:t>
      </w:r>
      <w:r w:rsidRPr="00097721" w:rsidR="003D6408">
        <w:t xml:space="preserve">whether </w:t>
      </w:r>
      <w:r w:rsidRPr="00097721">
        <w:t xml:space="preserve">the proposal would be implementable by 2026, that a more immediate solution is needed, and that it is </w:t>
      </w:r>
      <w:r w:rsidRPr="00097721" w:rsidR="006C26AC">
        <w:t>un</w:t>
      </w:r>
      <w:r w:rsidRPr="00097721">
        <w:t>clear that the RCA would even be needed in 2026 and beyond due to the large volume of resources expected to come online through the IRP proceeding.</w:t>
      </w:r>
      <w:r w:rsidRPr="00097721">
        <w:rPr>
          <w:rStyle w:val="FootnoteReference"/>
        </w:rPr>
        <w:footnoteReference w:id="62"/>
      </w:r>
      <w:r w:rsidRPr="00097721">
        <w:t xml:space="preserve"> </w:t>
      </w:r>
      <w:r w:rsidRPr="00097721" w:rsidR="00070030">
        <w:t xml:space="preserve"> PG&amp;E and SVCE </w:t>
      </w:r>
      <w:r w:rsidRPr="00097721" w:rsidR="00EA7DDD">
        <w:t>also state</w:t>
      </w:r>
      <w:r w:rsidRPr="00097721" w:rsidR="00070030">
        <w:t xml:space="preserve"> that the RCA does not address compatibility and integration with the SOD program, such as how the ORCA would procure for deficiencies across slices of hours and multiple LSEs.  </w:t>
      </w:r>
    </w:p>
    <w:p w:rsidRPr="00097721" w:rsidR="00070030" w:rsidP="000E6A51" w:rsidRDefault="00070030" w14:paraId="4CE3D465" w14:textId="68079D07">
      <w:pPr>
        <w:pStyle w:val="Standard"/>
      </w:pPr>
      <w:r w:rsidRPr="00097721">
        <w:t>SVCE</w:t>
      </w:r>
      <w:r w:rsidRPr="00097721" w:rsidR="000E6A51">
        <w:t xml:space="preserve">, WPTF, and </w:t>
      </w:r>
      <w:r w:rsidRPr="00097721">
        <w:t>MRP question whether the proposal address</w:t>
      </w:r>
      <w:r w:rsidRPr="00097721" w:rsidR="000E6A51">
        <w:t>es</w:t>
      </w:r>
      <w:r w:rsidRPr="00097721">
        <w:t xml:space="preserve"> what may be the </w:t>
      </w:r>
      <w:r w:rsidRPr="00097721" w:rsidR="0054739A">
        <w:t xml:space="preserve">source of </w:t>
      </w:r>
      <w:r w:rsidRPr="00097721" w:rsidR="000E6A51">
        <w:t>problem</w:t>
      </w:r>
      <w:r w:rsidRPr="00097721" w:rsidR="0054739A">
        <w:t xml:space="preserve">s </w:t>
      </w:r>
      <w:r w:rsidRPr="00097721" w:rsidR="000E6A51">
        <w:t>in</w:t>
      </w:r>
      <w:r w:rsidRPr="00097721">
        <w:t xml:space="preserve"> the current RA market.</w:t>
      </w:r>
      <w:r w:rsidRPr="00097721">
        <w:rPr>
          <w:rStyle w:val="FootnoteReference"/>
        </w:rPr>
        <w:footnoteReference w:id="63"/>
      </w:r>
      <w:r w:rsidRPr="00097721">
        <w:t xml:space="preserve">  SVCE </w:t>
      </w:r>
      <w:r w:rsidRPr="00097721" w:rsidR="009F5837">
        <w:t>comments</w:t>
      </w:r>
      <w:r w:rsidRPr="00097721">
        <w:t xml:space="preserve"> that the proposal incorrectly asserts that market concentration is to blame for the current RA market, rather than tight supply, and </w:t>
      </w:r>
      <w:r w:rsidRPr="00097721" w:rsidR="00C54371">
        <w:t>that</w:t>
      </w:r>
      <w:r w:rsidRPr="00097721">
        <w:t xml:space="preserve"> the RCA may lead to </w:t>
      </w:r>
      <w:r w:rsidRPr="00097721" w:rsidR="000A0B9D">
        <w:t>more</w:t>
      </w:r>
      <w:r w:rsidRPr="00097721">
        <w:t xml:space="preserve"> market distortions due to LSE and marketer incentives.  MRP </w:t>
      </w:r>
      <w:r w:rsidRPr="00097721" w:rsidR="00353B52">
        <w:t>states</w:t>
      </w:r>
      <w:r w:rsidRPr="00097721">
        <w:t xml:space="preserve"> that the proposal relies on </w:t>
      </w:r>
      <w:r w:rsidRPr="00097721" w:rsidR="007602A3">
        <w:t>an</w:t>
      </w:r>
      <w:r w:rsidRPr="00097721">
        <w:t xml:space="preserve"> </w:t>
      </w:r>
      <w:r w:rsidRPr="00097721" w:rsidR="00D661BD">
        <w:t>assumption</w:t>
      </w:r>
      <w:r w:rsidRPr="00097721">
        <w:t xml:space="preserve"> that a seller that </w:t>
      </w:r>
      <w:r w:rsidRPr="00097721" w:rsidR="00B04557">
        <w:t xml:space="preserve">previously </w:t>
      </w:r>
      <w:r w:rsidRPr="00097721">
        <w:t xml:space="preserve">offered a price that an LSE </w:t>
      </w:r>
      <w:r w:rsidRPr="00097721" w:rsidR="00086F92">
        <w:t>found un</w:t>
      </w:r>
      <w:r w:rsidRPr="00097721">
        <w:t>reasonable</w:t>
      </w:r>
      <w:r w:rsidRPr="00097721" w:rsidR="00D30EB4">
        <w:t xml:space="preserve"> </w:t>
      </w:r>
      <w:r w:rsidRPr="00097721">
        <w:t xml:space="preserve">would offer a much lower price to the ORCA, which </w:t>
      </w:r>
      <w:r w:rsidRPr="00097721" w:rsidR="00EF7EA8">
        <w:t xml:space="preserve">MRP </w:t>
      </w:r>
      <w:r w:rsidRPr="00097721" w:rsidR="001C1CE4">
        <w:t>argues</w:t>
      </w:r>
      <w:r w:rsidRPr="00097721" w:rsidR="00EF7EA8">
        <w:t xml:space="preserve"> </w:t>
      </w:r>
      <w:r w:rsidRPr="00097721">
        <w:t xml:space="preserve">is </w:t>
      </w:r>
      <w:r w:rsidRPr="00097721" w:rsidR="006D2816">
        <w:t>contrary</w:t>
      </w:r>
      <w:r w:rsidRPr="00097721">
        <w:t xml:space="preserve"> to </w:t>
      </w:r>
      <w:r w:rsidRPr="00097721" w:rsidR="006D2816">
        <w:t>a rational seller’s</w:t>
      </w:r>
      <w:r w:rsidRPr="00097721">
        <w:t xml:space="preserve"> behavior in a tight market.  </w:t>
      </w:r>
      <w:r w:rsidRPr="00097721" w:rsidR="000E6A51">
        <w:t xml:space="preserve">WPTF </w:t>
      </w:r>
      <w:r w:rsidRPr="00097721" w:rsidR="006D7E39">
        <w:t>argues</w:t>
      </w:r>
      <w:r w:rsidRPr="00097721" w:rsidR="000E6A51">
        <w:t xml:space="preserve"> that the proposal </w:t>
      </w:r>
      <w:r w:rsidRPr="00097721" w:rsidR="00665E28">
        <w:t>will</w:t>
      </w:r>
      <w:r w:rsidRPr="00097721" w:rsidR="000E6A51">
        <w:t xml:space="preserve"> lead to LSEs deferring system RA procurement to the RCA, </w:t>
      </w:r>
      <w:r w:rsidRPr="00097721" w:rsidR="001F6BCB">
        <w:t xml:space="preserve">and </w:t>
      </w:r>
      <w:r w:rsidRPr="00097721" w:rsidR="000E6A51">
        <w:t>tha</w:t>
      </w:r>
      <w:r w:rsidRPr="00097721" w:rsidR="008A0C1A">
        <w:t xml:space="preserve">t it presents </w:t>
      </w:r>
      <w:r w:rsidRPr="00097721" w:rsidR="000E6A51">
        <w:t>a permanent solution for a temporary problem.</w:t>
      </w:r>
      <w:r w:rsidRPr="00097721" w:rsidR="000E6A51">
        <w:rPr>
          <w:rStyle w:val="FootnoteReference"/>
        </w:rPr>
        <w:t xml:space="preserve"> </w:t>
      </w:r>
    </w:p>
    <w:p w:rsidRPr="00097721" w:rsidR="00070030" w:rsidP="0071726C" w:rsidRDefault="00070030" w14:paraId="36DCBA4C" w14:textId="74EA38B0">
      <w:pPr>
        <w:pStyle w:val="Standard"/>
      </w:pPr>
      <w:r w:rsidRPr="00097721">
        <w:t xml:space="preserve">SVCE, Vistra, and </w:t>
      </w:r>
      <w:r w:rsidRPr="00097721" w:rsidR="00580FE5">
        <w:t>SCE</w:t>
      </w:r>
      <w:r w:rsidRPr="00097721">
        <w:t xml:space="preserve"> oppose </w:t>
      </w:r>
      <w:r w:rsidRPr="00097721" w:rsidR="00F40F3B">
        <w:t>expanding</w:t>
      </w:r>
      <w:r w:rsidRPr="00097721">
        <w:t xml:space="preserve"> the scope of the CPE</w:t>
      </w:r>
      <w:r w:rsidRPr="00097721" w:rsidR="000E6A51">
        <w:t>’s role</w:t>
      </w:r>
      <w:r w:rsidRPr="00097721">
        <w:t xml:space="preserve">, </w:t>
      </w:r>
      <w:r w:rsidRPr="00097721" w:rsidR="0056050C">
        <w:t>given that</w:t>
      </w:r>
      <w:r w:rsidRPr="00097721">
        <w:t xml:space="preserve"> the current </w:t>
      </w:r>
      <w:r w:rsidRPr="00097721" w:rsidR="00F622EA">
        <w:t xml:space="preserve">local </w:t>
      </w:r>
      <w:r w:rsidRPr="00097721">
        <w:t>CPE framework has experience</w:t>
      </w:r>
      <w:r w:rsidRPr="00097721" w:rsidR="007E2340">
        <w:t>d</w:t>
      </w:r>
      <w:r w:rsidRPr="00097721">
        <w:t xml:space="preserve"> challenge</w:t>
      </w:r>
      <w:r w:rsidRPr="00097721" w:rsidR="000E6A51">
        <w:t>s</w:t>
      </w:r>
      <w:r w:rsidRPr="00097721">
        <w:t xml:space="preserve"> </w:t>
      </w:r>
      <w:r w:rsidRPr="00097721" w:rsidR="00A60D67">
        <w:t>with</w:t>
      </w:r>
      <w:r w:rsidRPr="00097721">
        <w:t xml:space="preserve"> procurement obligations.</w:t>
      </w:r>
      <w:r w:rsidRPr="00097721">
        <w:rPr>
          <w:rStyle w:val="FootnoteReference"/>
        </w:rPr>
        <w:footnoteReference w:id="64"/>
      </w:r>
      <w:r w:rsidRPr="00097721">
        <w:t xml:space="preserve">  SCE states that </w:t>
      </w:r>
      <w:r w:rsidRPr="00097721" w:rsidR="00A1201B">
        <w:t>the proposal</w:t>
      </w:r>
      <w:r w:rsidRPr="00097721">
        <w:t xml:space="preserve"> will add significant </w:t>
      </w:r>
      <w:r w:rsidRPr="00097721">
        <w:lastRenderedPageBreak/>
        <w:t>administrative complexity to the RA program and the CPE</w:t>
      </w:r>
      <w:r w:rsidRPr="00097721" w:rsidR="003D5178">
        <w:t>’s role</w:t>
      </w:r>
      <w:r w:rsidRPr="00097721">
        <w:t xml:space="preserve">, which is </w:t>
      </w:r>
      <w:r w:rsidRPr="00097721" w:rsidR="00A1201B">
        <w:t>currently much more limited and less costly than the RCA proposal</w:t>
      </w:r>
      <w:r w:rsidRPr="00097721">
        <w:t>.</w:t>
      </w:r>
    </w:p>
    <w:p w:rsidRPr="00097721" w:rsidR="00F00417" w:rsidP="00F00417" w:rsidRDefault="00F00417" w14:paraId="3EFD2E5E" w14:textId="51EEE92F">
      <w:pPr>
        <w:pStyle w:val="Standard"/>
      </w:pPr>
      <w:r w:rsidRPr="00097721">
        <w:t>CAISO supports elements of the proposal, including limiting reliance on backstop procurement and that the proposal is not solely a waiver.</w:t>
      </w:r>
      <w:r w:rsidRPr="00097721">
        <w:rPr>
          <w:rStyle w:val="FootnoteReference"/>
        </w:rPr>
        <w:footnoteReference w:id="65"/>
      </w:r>
      <w:r w:rsidRPr="00097721">
        <w:t xml:space="preserve">  CAISO and SCE assert, however, that it will add significant work to an already compressed monthly showing timeline.</w:t>
      </w:r>
      <w:r w:rsidRPr="00097721">
        <w:rPr>
          <w:rStyle w:val="FootnoteReference"/>
        </w:rPr>
        <w:footnoteReference w:id="66"/>
      </w:r>
      <w:r w:rsidRPr="00097721">
        <w:t xml:space="preserve">  </w:t>
      </w:r>
      <w:r w:rsidRPr="00097721" w:rsidR="00300BC5">
        <w:t xml:space="preserve">PG&amp;E </w:t>
      </w:r>
      <w:r w:rsidRPr="00097721" w:rsidR="00997D55">
        <w:t>contends</w:t>
      </w:r>
      <w:r w:rsidRPr="00097721" w:rsidR="00300BC5">
        <w:t xml:space="preserve"> that allocati</w:t>
      </w:r>
      <w:r w:rsidRPr="00097721" w:rsidR="00997D55">
        <w:t>ng</w:t>
      </w:r>
      <w:r w:rsidRPr="00097721" w:rsidR="00300BC5">
        <w:t xml:space="preserve"> </w:t>
      </w:r>
      <w:r w:rsidRPr="00097721" w:rsidR="00DE28C7">
        <w:t xml:space="preserve">the ORCA’s </w:t>
      </w:r>
      <w:r w:rsidRPr="00097721" w:rsidR="00300BC5">
        <w:t>administrative costs to all LSEs regardless of whether they relied on the ORCA is inconsistent with c</w:t>
      </w:r>
      <w:r w:rsidRPr="00097721" w:rsidR="007E2340">
        <w:t>ost</w:t>
      </w:r>
      <w:r w:rsidRPr="00097721" w:rsidR="00300BC5">
        <w:t>-causation principles and inequitable to LSEs that did not use the ORCA.</w:t>
      </w:r>
      <w:r w:rsidRPr="00097721" w:rsidR="00E412F7">
        <w:rPr>
          <w:rStyle w:val="FootnoteReference"/>
        </w:rPr>
        <w:t xml:space="preserve"> </w:t>
      </w:r>
      <w:r w:rsidRPr="00097721" w:rsidR="00E412F7">
        <w:rPr>
          <w:rStyle w:val="FootnoteReference"/>
        </w:rPr>
        <w:footnoteReference w:id="67"/>
      </w:r>
      <w:r w:rsidRPr="00097721" w:rsidR="00300BC5">
        <w:t xml:space="preserve">  </w:t>
      </w:r>
      <w:r w:rsidRPr="00097721" w:rsidR="001F6BCB">
        <w:t xml:space="preserve">SCE </w:t>
      </w:r>
      <w:r w:rsidRPr="00097721" w:rsidR="00251A9F">
        <w:t xml:space="preserve">opposes giving </w:t>
      </w:r>
      <w:r w:rsidRPr="00097721" w:rsidR="001F6BCB">
        <w:t>LSEs a waiver due to excess</w:t>
      </w:r>
      <w:r w:rsidRPr="00097721" w:rsidR="007E2340">
        <w:t>ive</w:t>
      </w:r>
      <w:r w:rsidRPr="00097721" w:rsidR="001F6BCB">
        <w:t xml:space="preserve"> prices</w:t>
      </w:r>
      <w:r w:rsidRPr="00097721" w:rsidR="00251A9F">
        <w:t>, as it</w:t>
      </w:r>
      <w:r w:rsidRPr="00097721" w:rsidR="001F6BCB">
        <w:t xml:space="preserve"> would relieve</w:t>
      </w:r>
      <w:r w:rsidRPr="00097721" w:rsidR="00251A9F">
        <w:t xml:space="preserve"> LSEs</w:t>
      </w:r>
      <w:r w:rsidRPr="00097721" w:rsidR="001F6BCB">
        <w:t xml:space="preserve"> of their procurement obligations.</w:t>
      </w:r>
      <w:r w:rsidRPr="00097721" w:rsidR="001F6BCB">
        <w:rPr>
          <w:rStyle w:val="FootnoteReference"/>
        </w:rPr>
        <w:footnoteReference w:id="68"/>
      </w:r>
      <w:r w:rsidRPr="00097721" w:rsidR="001F6BCB">
        <w:t xml:space="preserve">  </w:t>
      </w:r>
    </w:p>
    <w:p w:rsidRPr="00097721" w:rsidR="00E412F7" w:rsidP="00F00417" w:rsidRDefault="000E6A51" w14:paraId="207CAF1F" w14:textId="29D3D773">
      <w:pPr>
        <w:pStyle w:val="Standard"/>
      </w:pPr>
      <w:r w:rsidRPr="00097721">
        <w:t>WPTF</w:t>
      </w:r>
      <w:r w:rsidRPr="00097721" w:rsidR="00811A5D">
        <w:t xml:space="preserve">, </w:t>
      </w:r>
      <w:r w:rsidRPr="00097721">
        <w:t>MRP</w:t>
      </w:r>
      <w:r w:rsidRPr="00097721" w:rsidR="00811A5D">
        <w:t>, and Vistra</w:t>
      </w:r>
      <w:r w:rsidRPr="00097721">
        <w:t xml:space="preserve"> </w:t>
      </w:r>
      <w:r w:rsidRPr="00097721" w:rsidR="001F6BCB">
        <w:t>argue</w:t>
      </w:r>
      <w:r w:rsidRPr="00097721">
        <w:t xml:space="preserve"> that the proposal is outside the scope of Track 1.</w:t>
      </w:r>
      <w:r w:rsidRPr="00097721">
        <w:rPr>
          <w:rStyle w:val="FootnoteReference"/>
        </w:rPr>
        <w:footnoteReference w:id="69"/>
      </w:r>
      <w:r w:rsidRPr="00097721">
        <w:t xml:space="preserve">  </w:t>
      </w:r>
    </w:p>
    <w:p w:rsidRPr="00097721" w:rsidR="004F1567" w:rsidP="004F1567" w:rsidRDefault="004F1567" w14:paraId="5303A1D2" w14:textId="6480F287">
      <w:pPr>
        <w:pStyle w:val="Heading4"/>
      </w:pPr>
      <w:bookmarkStart w:name="_Toc166841750" w:id="42"/>
      <w:r w:rsidRPr="00097721">
        <w:t>Discussion</w:t>
      </w:r>
      <w:bookmarkEnd w:id="42"/>
    </w:p>
    <w:p w:rsidRPr="00097721" w:rsidR="00D068E8" w:rsidP="0001353B" w:rsidRDefault="004F1567" w14:paraId="71CEA095" w14:textId="77777777">
      <w:pPr>
        <w:pStyle w:val="Standard"/>
      </w:pPr>
      <w:r w:rsidRPr="00097721">
        <w:t xml:space="preserve">The Commission appreciates Cal Advocates’ efforts to </w:t>
      </w:r>
      <w:r w:rsidRPr="00097721" w:rsidR="005470E9">
        <w:t>put forth</w:t>
      </w:r>
      <w:r w:rsidRPr="00097721">
        <w:t xml:space="preserve"> a creative proposal to address </w:t>
      </w:r>
      <w:r w:rsidRPr="00097721" w:rsidR="005470E9">
        <w:t xml:space="preserve">high prices in the RA market while </w:t>
      </w:r>
      <w:r w:rsidRPr="00097721" w:rsidR="00DE3CF9">
        <w:t>balancing</w:t>
      </w:r>
      <w:r w:rsidRPr="00097721" w:rsidR="005470E9">
        <w:t xml:space="preserve"> </w:t>
      </w:r>
      <w:r w:rsidRPr="00097721" w:rsidR="00DE3CF9">
        <w:t>a mechanism</w:t>
      </w:r>
      <w:r w:rsidRPr="00097721" w:rsidR="005470E9">
        <w:t xml:space="preserve"> to </w:t>
      </w:r>
      <w:r w:rsidRPr="00097721" w:rsidR="004021E1">
        <w:t>improve</w:t>
      </w:r>
      <w:r w:rsidRPr="00097721" w:rsidR="005470E9">
        <w:t xml:space="preserve"> grid reliability</w:t>
      </w:r>
      <w:r w:rsidRPr="00097721">
        <w:t>.</w:t>
      </w:r>
      <w:r w:rsidRPr="00097721" w:rsidR="001C0938">
        <w:t xml:space="preserve">  </w:t>
      </w:r>
      <w:r w:rsidRPr="00097721" w:rsidR="007B5D33">
        <w:t>A</w:t>
      </w:r>
      <w:r w:rsidRPr="00097721" w:rsidR="001C0938">
        <w:t xml:space="preserve"> </w:t>
      </w:r>
      <w:r w:rsidRPr="00097721" w:rsidR="007B5D33">
        <w:t>wide range of</w:t>
      </w:r>
      <w:r w:rsidRPr="00097721" w:rsidR="001C0938">
        <w:t xml:space="preserve"> parties</w:t>
      </w:r>
      <w:r w:rsidRPr="00097721" w:rsidR="007B5D33">
        <w:t>, however, express</w:t>
      </w:r>
      <w:r w:rsidRPr="00097721" w:rsidR="001C0938">
        <w:t xml:space="preserve"> </w:t>
      </w:r>
      <w:r w:rsidRPr="00097721" w:rsidR="007B5D33">
        <w:t>numerous</w:t>
      </w:r>
      <w:r w:rsidRPr="00097721" w:rsidR="001C0938">
        <w:t xml:space="preserve"> concerns with the </w:t>
      </w:r>
      <w:r w:rsidRPr="00097721" w:rsidR="00EC4022">
        <w:t xml:space="preserve">structure of the </w:t>
      </w:r>
      <w:r w:rsidRPr="00097721" w:rsidR="001C0938">
        <w:t>RCA proposal</w:t>
      </w:r>
      <w:r w:rsidRPr="00097721" w:rsidR="00E81E44">
        <w:t xml:space="preserve">, </w:t>
      </w:r>
      <w:r w:rsidRPr="00097721" w:rsidR="00EC4022">
        <w:t>as well as</w:t>
      </w:r>
      <w:r w:rsidRPr="00097721" w:rsidR="00E81E44">
        <w:t xml:space="preserve"> the amount of time and </w:t>
      </w:r>
      <w:r w:rsidRPr="00097721" w:rsidR="00E946AB">
        <w:t>work</w:t>
      </w:r>
      <w:r w:rsidRPr="00097721" w:rsidR="00E81E44">
        <w:t xml:space="preserve"> </w:t>
      </w:r>
      <w:r w:rsidRPr="00097721" w:rsidR="00675114">
        <w:t xml:space="preserve">that would be required </w:t>
      </w:r>
      <w:r w:rsidRPr="00097721" w:rsidR="00E81E44">
        <w:t xml:space="preserve">to further develop the proposal.  </w:t>
      </w:r>
    </w:p>
    <w:p w:rsidRPr="00097721" w:rsidR="005A124E" w:rsidP="00730B9C" w:rsidRDefault="00046A6B" w14:paraId="46CA9583" w14:textId="5FF19A6D">
      <w:pPr>
        <w:pStyle w:val="Standard"/>
      </w:pPr>
      <w:r w:rsidRPr="00097721">
        <w:t xml:space="preserve">The Commission finds that the proposal would require significant stakeholder discussion and development before it could be considered for </w:t>
      </w:r>
      <w:r w:rsidRPr="00097721">
        <w:lastRenderedPageBreak/>
        <w:t xml:space="preserve">implementation.  </w:t>
      </w:r>
      <w:r w:rsidRPr="00097721" w:rsidR="00555179">
        <w:t>In addition, a</w:t>
      </w:r>
      <w:r w:rsidRPr="00097721" w:rsidR="0016450A">
        <w:t>s parties have highlighted, the</w:t>
      </w:r>
      <w:r w:rsidRPr="00097721" w:rsidR="00D068E8">
        <w:t xml:space="preserve"> </w:t>
      </w:r>
      <w:r w:rsidRPr="00097721" w:rsidR="00C354D7">
        <w:t xml:space="preserve">current RA </w:t>
      </w:r>
      <w:r w:rsidRPr="00097721" w:rsidR="00D068E8">
        <w:t xml:space="preserve">compliance </w:t>
      </w:r>
      <w:r w:rsidRPr="00097721" w:rsidR="00C46332">
        <w:t xml:space="preserve">review </w:t>
      </w:r>
      <w:r w:rsidRPr="00097721" w:rsidR="00C354D7">
        <w:t>timeline</w:t>
      </w:r>
      <w:r w:rsidRPr="00097721" w:rsidR="0016450A">
        <w:t xml:space="preserve"> is very compact</w:t>
      </w:r>
      <w:r w:rsidRPr="00097721" w:rsidR="00BD5CA8">
        <w:t xml:space="preserve"> </w:t>
      </w:r>
      <w:r w:rsidRPr="00097721" w:rsidR="000206E5">
        <w:t>–</w:t>
      </w:r>
      <w:r w:rsidRPr="00097721" w:rsidR="00150ED2">
        <w:t xml:space="preserve"> </w:t>
      </w:r>
      <w:r w:rsidRPr="00097721" w:rsidR="00C354D7">
        <w:t>from LSEs</w:t>
      </w:r>
      <w:r w:rsidRPr="00097721" w:rsidR="00283459">
        <w:t>’</w:t>
      </w:r>
      <w:r w:rsidRPr="00097721" w:rsidR="00C354D7">
        <w:t xml:space="preserve"> </w:t>
      </w:r>
      <w:r w:rsidRPr="00097721" w:rsidR="00283459">
        <w:t>submission</w:t>
      </w:r>
      <w:r w:rsidRPr="00097721" w:rsidR="00C354D7">
        <w:t xml:space="preserve"> </w:t>
      </w:r>
      <w:r w:rsidRPr="00097721" w:rsidR="00283459">
        <w:t xml:space="preserve">of </w:t>
      </w:r>
      <w:r w:rsidRPr="00097721" w:rsidR="000000E5">
        <w:t xml:space="preserve">year-ahead </w:t>
      </w:r>
      <w:r w:rsidRPr="00097721" w:rsidR="00C354D7">
        <w:t>filings</w:t>
      </w:r>
      <w:r w:rsidRPr="00097721" w:rsidR="00EA03D8">
        <w:t xml:space="preserve"> </w:t>
      </w:r>
      <w:r w:rsidRPr="00097721" w:rsidR="00C354D7">
        <w:t>to Energy Division</w:t>
      </w:r>
      <w:r w:rsidRPr="00097721" w:rsidR="00675CFF">
        <w:t>’s</w:t>
      </w:r>
      <w:r w:rsidRPr="00097721" w:rsidR="00C354D7">
        <w:t xml:space="preserve"> review of filings </w:t>
      </w:r>
      <w:r w:rsidRPr="00097721" w:rsidR="00283459">
        <w:t xml:space="preserve">and </w:t>
      </w:r>
      <w:r w:rsidRPr="00097721" w:rsidR="00C354D7">
        <w:t>issuance of deficienc</w:t>
      </w:r>
      <w:r w:rsidRPr="00097721" w:rsidR="00283459">
        <w:t xml:space="preserve">y notices </w:t>
      </w:r>
      <w:r w:rsidRPr="00097721" w:rsidR="000000E5">
        <w:t xml:space="preserve">to </w:t>
      </w:r>
      <w:r w:rsidRPr="00097721" w:rsidR="00283459">
        <w:t>LSEs’</w:t>
      </w:r>
      <w:r w:rsidRPr="00097721" w:rsidR="000000E5">
        <w:t xml:space="preserve"> </w:t>
      </w:r>
      <w:r w:rsidRPr="00097721" w:rsidR="00283459">
        <w:t>submission of</w:t>
      </w:r>
      <w:r w:rsidRPr="00097721" w:rsidR="000000E5">
        <w:t xml:space="preserve"> month-ahead filings</w:t>
      </w:r>
      <w:r w:rsidRPr="00097721" w:rsidR="00C354D7">
        <w:t xml:space="preserve">.  </w:t>
      </w:r>
      <w:r w:rsidRPr="00097721" w:rsidR="00522162">
        <w:t>It</w:t>
      </w:r>
      <w:r w:rsidRPr="00097721" w:rsidR="00C354D7">
        <w:t xml:space="preserve"> </w:t>
      </w:r>
      <w:r w:rsidRPr="00097721" w:rsidR="00E470B4">
        <w:t>is unclear</w:t>
      </w:r>
      <w:r w:rsidRPr="00097721" w:rsidR="00C354D7">
        <w:t xml:space="preserve"> </w:t>
      </w:r>
      <w:r w:rsidRPr="00097721" w:rsidR="00E470B4">
        <w:t xml:space="preserve">how and whether a process </w:t>
      </w:r>
      <w:r w:rsidRPr="00097721" w:rsidR="004F452E">
        <w:t xml:space="preserve">as complex as the RCA proposal </w:t>
      </w:r>
      <w:r w:rsidRPr="00097721" w:rsidR="00E470B4">
        <w:t>could be layered into the current RA timeline</w:t>
      </w:r>
      <w:r w:rsidRPr="00097721" w:rsidR="00E81E44">
        <w:t>.  As such, we decline to adopt the RCA proposal.</w:t>
      </w:r>
    </w:p>
    <w:p w:rsidRPr="00097721" w:rsidR="0071726C" w:rsidP="0071726C" w:rsidRDefault="0071726C" w14:paraId="5FE9774D" w14:textId="5819ED59">
      <w:pPr>
        <w:pStyle w:val="Heading3"/>
      </w:pPr>
      <w:bookmarkStart w:name="_Toc166841751" w:id="43"/>
      <w:r w:rsidRPr="00097721">
        <w:t xml:space="preserve">Allocation of </w:t>
      </w:r>
      <w:r w:rsidRPr="00097721" w:rsidR="006C759F">
        <w:t>Effective PRM</w:t>
      </w:r>
      <w:r w:rsidRPr="00097721">
        <w:t xml:space="preserve"> or </w:t>
      </w:r>
      <w:r w:rsidRPr="00097721" w:rsidR="00293531">
        <w:t>Strategic Reliability Reserve</w:t>
      </w:r>
      <w:r w:rsidRPr="00097721">
        <w:t xml:space="preserve"> Capacity</w:t>
      </w:r>
      <w:bookmarkEnd w:id="43"/>
    </w:p>
    <w:p w:rsidRPr="00097721" w:rsidR="0071726C" w:rsidP="0071726C" w:rsidRDefault="0071726C" w14:paraId="1A92B6B7" w14:textId="793F0BEB">
      <w:pPr>
        <w:pStyle w:val="Standard"/>
      </w:pPr>
      <w:r w:rsidRPr="00097721">
        <w:t>AReM states that non-</w:t>
      </w:r>
      <w:r w:rsidRPr="00097721" w:rsidR="00CF6BD4">
        <w:t>investor-owned utility (IOU)</w:t>
      </w:r>
      <w:r w:rsidRPr="00097721">
        <w:t xml:space="preserve"> LSEs</w:t>
      </w:r>
      <w:r w:rsidRPr="00097721" w:rsidR="00CF6BD4">
        <w:t xml:space="preserve"> </w:t>
      </w:r>
      <w:r w:rsidRPr="00097721">
        <w:t xml:space="preserve">do not receive </w:t>
      </w:r>
      <w:r w:rsidRPr="00097721" w:rsidR="007E2340">
        <w:t>C</w:t>
      </w:r>
      <w:r w:rsidRPr="00097721">
        <w:t xml:space="preserve">ost </w:t>
      </w:r>
      <w:r w:rsidRPr="00097721" w:rsidR="007E2340">
        <w:t>A</w:t>
      </w:r>
      <w:r w:rsidRPr="00097721">
        <w:t xml:space="preserve">llocation </w:t>
      </w:r>
      <w:r w:rsidRPr="00097721" w:rsidR="007E2340">
        <w:t>M</w:t>
      </w:r>
      <w:r w:rsidRPr="00097721">
        <w:t>echanism (CAM) credits for resources procured by IOUs to meet effective PRM targets, although costs are covered from non-IOU LSE customers through the CAM.</w:t>
      </w:r>
      <w:r w:rsidRPr="00097721">
        <w:rPr>
          <w:rStyle w:val="FootnoteReference"/>
        </w:rPr>
        <w:footnoteReference w:id="70"/>
      </w:r>
      <w:r w:rsidRPr="00097721">
        <w:t xml:space="preserve">  AReM </w:t>
      </w:r>
      <w:r w:rsidRPr="00097721" w:rsidR="007068BB">
        <w:t>thus argues</w:t>
      </w:r>
      <w:r w:rsidRPr="00097721">
        <w:t xml:space="preserve"> that it is unfair </w:t>
      </w:r>
      <w:r w:rsidRPr="00097721" w:rsidR="00832663">
        <w:t>that</w:t>
      </w:r>
      <w:r w:rsidRPr="00097721">
        <w:t xml:space="preserve"> IOUs may show </w:t>
      </w:r>
      <w:r w:rsidRPr="00097721" w:rsidR="002732EE">
        <w:t>those</w:t>
      </w:r>
      <w:r w:rsidRPr="00097721">
        <w:t xml:space="preserve"> resources on </w:t>
      </w:r>
      <w:r w:rsidRPr="00097721" w:rsidR="002732EE">
        <w:t>C</w:t>
      </w:r>
      <w:r w:rsidRPr="00097721">
        <w:t xml:space="preserve">AISO supply plans while non-IOUs </w:t>
      </w:r>
      <w:r w:rsidRPr="00097721" w:rsidR="004E6488">
        <w:t>can</w:t>
      </w:r>
      <w:r w:rsidRPr="00097721">
        <w:t>not,</w:t>
      </w:r>
      <w:r w:rsidRPr="00097721" w:rsidR="00121188">
        <w:t xml:space="preserve"> potentially</w:t>
      </w:r>
      <w:r w:rsidRPr="00097721">
        <w:t xml:space="preserve"> </w:t>
      </w:r>
      <w:r w:rsidRPr="00097721" w:rsidR="00C26342">
        <w:t>resulting in</w:t>
      </w:r>
      <w:r w:rsidRPr="00097721">
        <w:t xml:space="preserve"> a cost shift </w:t>
      </w:r>
      <w:r w:rsidRPr="00097721" w:rsidR="00C03EFB">
        <w:t>where</w:t>
      </w:r>
      <w:r w:rsidRPr="00097721">
        <w:t xml:space="preserve"> non-IOU LSE customers double pay for RA resources when CPM costs are allocated.  AReM </w:t>
      </w:r>
      <w:r w:rsidRPr="00097721" w:rsidR="006B3CC1">
        <w:t>proposes that</w:t>
      </w:r>
      <w:r w:rsidRPr="00097721">
        <w:t xml:space="preserve"> the Commission issue LSEs’ allocations of “effective” capacity they may report on CAISO supply plans consistent with the CAM today.  AReM </w:t>
      </w:r>
      <w:r w:rsidRPr="00097721" w:rsidR="00C1775B">
        <w:t>notes</w:t>
      </w:r>
      <w:r w:rsidRPr="00097721">
        <w:t xml:space="preserve"> that this would only impact reporting of supply to CAISO.</w:t>
      </w:r>
    </w:p>
    <w:p w:rsidRPr="00097721" w:rsidR="0071726C" w:rsidP="0071726C" w:rsidRDefault="0071726C" w14:paraId="097859FC" w14:textId="22F1E071">
      <w:pPr>
        <w:pStyle w:val="Standard"/>
      </w:pPr>
      <w:r w:rsidRPr="00097721">
        <w:t xml:space="preserve">CalCCA supports this </w:t>
      </w:r>
      <w:r w:rsidRPr="00097721" w:rsidR="00540E29">
        <w:t xml:space="preserve">proposal, stating </w:t>
      </w:r>
      <w:r w:rsidRPr="00097721">
        <w:t>that allowing IOUs to mitigate risk of CPM costs</w:t>
      </w:r>
      <w:r w:rsidRPr="00097721" w:rsidR="009B287F">
        <w:t>,</w:t>
      </w:r>
      <w:r w:rsidRPr="00097721">
        <w:t xml:space="preserve"> even though all LSEs pay for effective PRM resources</w:t>
      </w:r>
      <w:r w:rsidRPr="00097721" w:rsidR="009B287F">
        <w:t>,</w:t>
      </w:r>
      <w:r w:rsidRPr="00097721">
        <w:t xml:space="preserve"> results in a cost shift to unbundled customers.</w:t>
      </w:r>
      <w:r w:rsidRPr="00097721">
        <w:rPr>
          <w:rStyle w:val="FootnoteReference"/>
        </w:rPr>
        <w:footnoteReference w:id="71"/>
      </w:r>
    </w:p>
    <w:p w:rsidRPr="00097721" w:rsidR="00506BFD" w:rsidP="0071726C" w:rsidRDefault="0071726C" w14:paraId="33C4EC7C" w14:textId="4C30F7B6">
      <w:pPr>
        <w:pStyle w:val="Standard"/>
      </w:pPr>
      <w:r w:rsidRPr="00097721">
        <w:t xml:space="preserve">In </w:t>
      </w:r>
      <w:r w:rsidRPr="00097721" w:rsidR="00646934">
        <w:t xml:space="preserve">opening </w:t>
      </w:r>
      <w:r w:rsidRPr="00097721">
        <w:t xml:space="preserve">comments, PG&amp;E recommends allocating capacity from Strategic Reliability Reserve (SRR)-procured resources </w:t>
      </w:r>
      <w:r w:rsidRPr="00097721" w:rsidR="00D73E87">
        <w:t>to</w:t>
      </w:r>
      <w:r w:rsidRPr="00097721">
        <w:t xml:space="preserve"> alleviate near-term </w:t>
      </w:r>
      <w:r w:rsidRPr="00097721">
        <w:lastRenderedPageBreak/>
        <w:t>tightness in the RA market.</w:t>
      </w:r>
      <w:r w:rsidRPr="00097721">
        <w:rPr>
          <w:rStyle w:val="FootnoteReference"/>
        </w:rPr>
        <w:footnoteReference w:id="72"/>
      </w:r>
      <w:r w:rsidRPr="00097721">
        <w:t xml:space="preserve">  PG&amp;E </w:t>
      </w:r>
      <w:r w:rsidRPr="00097721" w:rsidR="00096C67">
        <w:t>proposes</w:t>
      </w:r>
      <w:r w:rsidRPr="00097721">
        <w:t xml:space="preserve"> that the Commission coordinate with CAISO and the Department of Water Resources (DWR) to allocate 2,859 MW of capacity from once-through-cooling</w:t>
      </w:r>
      <w:r w:rsidRPr="00097721" w:rsidR="00155FA6">
        <w:t xml:space="preserve"> (OTC)</w:t>
      </w:r>
      <w:r w:rsidRPr="00097721">
        <w:t xml:space="preserve"> gas resources under contract with DWR to all LSEs to use towards RA requirements.  The allocation would focus on summer months of greatest concern (July-September) and apply through summer 2026 </w:t>
      </w:r>
      <w:r w:rsidRPr="00097721" w:rsidR="00405FD4">
        <w:t>as</w:t>
      </w:r>
      <w:r w:rsidRPr="00097721">
        <w:t xml:space="preserve"> DWR contracts are set to expire </w:t>
      </w:r>
      <w:r w:rsidRPr="00097721" w:rsidR="00405FD4">
        <w:t>in</w:t>
      </w:r>
      <w:r w:rsidRPr="00097721">
        <w:t xml:space="preserve"> Decembe</w:t>
      </w:r>
      <w:r w:rsidRPr="00097721" w:rsidR="00405FD4">
        <w:t>r</w:t>
      </w:r>
      <w:r w:rsidRPr="00097721">
        <w:t xml:space="preserve"> 2026.  </w:t>
      </w:r>
    </w:p>
    <w:p w:rsidRPr="00097721" w:rsidR="0071726C" w:rsidP="00506BFD" w:rsidRDefault="0071726C" w14:paraId="28A4C659" w14:textId="02B22991">
      <w:pPr>
        <w:pStyle w:val="Standard"/>
      </w:pPr>
      <w:r w:rsidRPr="00097721">
        <w:t xml:space="preserve">PG&amp;E recognizes </w:t>
      </w:r>
      <w:r w:rsidRPr="00097721" w:rsidR="00506BFD">
        <w:t>SRR</w:t>
      </w:r>
      <w:r w:rsidRPr="00097721">
        <w:t xml:space="preserve"> resources are not considered RA resources and are only to be “called upon to support grid operations during extreme” events</w:t>
      </w:r>
      <w:r w:rsidRPr="00097721" w:rsidR="00BB7FA5">
        <w:t xml:space="preserve">; however, PG&amp;E </w:t>
      </w:r>
      <w:r w:rsidRPr="00097721">
        <w:t xml:space="preserve">argues that this should not prevent the resources from being used towards RA requirements.  PG&amp;E </w:t>
      </w:r>
      <w:r w:rsidRPr="00097721" w:rsidR="00E42880">
        <w:t>points out</w:t>
      </w:r>
      <w:r w:rsidRPr="00097721">
        <w:t xml:space="preserve"> that the IOUs’ Base Interruptible Program (BIP) </w:t>
      </w:r>
      <w:r w:rsidRPr="00097721" w:rsidR="00675F0F">
        <w:t xml:space="preserve">resources </w:t>
      </w:r>
      <w:r w:rsidRPr="00097721">
        <w:t xml:space="preserve">are only called on during CAISO emergency events but are allowed to count towards LSEs’ RA requirements.  </w:t>
      </w:r>
      <w:r w:rsidRPr="00097721" w:rsidR="00675F0F">
        <w:t>Thus</w:t>
      </w:r>
      <w:r w:rsidRPr="00097721">
        <w:t xml:space="preserve">, PG&amp;E </w:t>
      </w:r>
      <w:r w:rsidRPr="00097721" w:rsidR="00E42880">
        <w:t>reasons</w:t>
      </w:r>
      <w:r w:rsidRPr="00097721">
        <w:t xml:space="preserve"> that SRR-procured resources could be </w:t>
      </w:r>
      <w:r w:rsidRPr="00097721" w:rsidR="008E47E2">
        <w:t>treated</w:t>
      </w:r>
      <w:r w:rsidRPr="00097721">
        <w:t xml:space="preserve"> similarly as BIP resources on an interim basis.  PG&amp;E </w:t>
      </w:r>
      <w:r w:rsidRPr="00097721" w:rsidR="005E04A3">
        <w:t>notes</w:t>
      </w:r>
      <w:r w:rsidRPr="00097721">
        <w:t xml:space="preserve"> that this would require </w:t>
      </w:r>
      <w:r w:rsidRPr="00097721" w:rsidR="00A12BAC">
        <w:t>expeditious</w:t>
      </w:r>
      <w:r w:rsidRPr="00097721">
        <w:t xml:space="preserve"> coordination between agencies and further development in Track 2.</w:t>
      </w:r>
    </w:p>
    <w:p w:rsidRPr="00097721" w:rsidR="0071726C" w:rsidP="00495849" w:rsidRDefault="00495849" w14:paraId="545A0538" w14:textId="1D8E76B1">
      <w:pPr>
        <w:pStyle w:val="Standard"/>
      </w:pPr>
      <w:r w:rsidRPr="00097721">
        <w:t>AReM, SCE, SDG&amp;E, and Shell Energy support further discussion of SRR allocation in Track 2.</w:t>
      </w:r>
      <w:r w:rsidRPr="00097721">
        <w:rPr>
          <w:rStyle w:val="FootnoteReference"/>
        </w:rPr>
        <w:footnoteReference w:id="73"/>
      </w:r>
      <w:r w:rsidRPr="00097721">
        <w:t xml:space="preserve">  AReM is concerned about the need to coordinate allocation with DWR and CAISO, which adds uncertainty that this would be feasible.  </w:t>
      </w:r>
      <w:r w:rsidRPr="00097721" w:rsidR="00474D49">
        <w:t>Sierra Club</w:t>
      </w:r>
      <w:r w:rsidRPr="00097721" w:rsidR="0071726C">
        <w:t>/CEJA support PG&amp;E’s proposal but state that credits should be allocated based on peak load share</w:t>
      </w:r>
      <w:r w:rsidRPr="00097721" w:rsidR="009E22E2">
        <w:t>,</w:t>
      </w:r>
      <w:r w:rsidRPr="00097721" w:rsidR="0071726C">
        <w:t xml:space="preserve"> as all Californians </w:t>
      </w:r>
      <w:r w:rsidRPr="00097721" w:rsidR="009E22E2">
        <w:t>(</w:t>
      </w:r>
      <w:r w:rsidRPr="00097721" w:rsidR="0071726C">
        <w:t>not just</w:t>
      </w:r>
      <w:r w:rsidRPr="00097721" w:rsidR="009E22E2">
        <w:t xml:space="preserve"> </w:t>
      </w:r>
      <w:r w:rsidRPr="00097721" w:rsidR="0071726C">
        <w:t>jurisdictional LSEs’ customers</w:t>
      </w:r>
      <w:r w:rsidRPr="00097721" w:rsidR="009E22E2">
        <w:t>)</w:t>
      </w:r>
      <w:r w:rsidRPr="00097721" w:rsidR="0071726C">
        <w:t xml:space="preserve"> pay for these resources.</w:t>
      </w:r>
      <w:r w:rsidRPr="00097721" w:rsidR="0071726C">
        <w:rPr>
          <w:rStyle w:val="FootnoteReference"/>
        </w:rPr>
        <w:footnoteReference w:id="74"/>
      </w:r>
      <w:r w:rsidRPr="00097721" w:rsidR="0071726C">
        <w:t xml:space="preserve">  </w:t>
      </w:r>
    </w:p>
    <w:p w:rsidRPr="00097721" w:rsidR="00D73F52" w:rsidP="0071726C" w:rsidRDefault="0071726C" w14:paraId="18570A3A" w14:textId="77777777">
      <w:pPr>
        <w:pStyle w:val="Standard"/>
      </w:pPr>
      <w:r w:rsidRPr="00097721">
        <w:lastRenderedPageBreak/>
        <w:t>CAISO, Calpine</w:t>
      </w:r>
      <w:r w:rsidRPr="00097721" w:rsidR="00EC1230">
        <w:t>,</w:t>
      </w:r>
      <w:r w:rsidRPr="00097721">
        <w:t xml:space="preserve"> and MRP oppose PG&amp;E’s proposal and generally state that SRR </w:t>
      </w:r>
      <w:r w:rsidRPr="00097721" w:rsidR="00EC1230">
        <w:t xml:space="preserve">resources were </w:t>
      </w:r>
      <w:r w:rsidRPr="00097721">
        <w:t xml:space="preserve">intended </w:t>
      </w:r>
      <w:r w:rsidRPr="00097721" w:rsidR="00EC1230">
        <w:t>for</w:t>
      </w:r>
      <w:r w:rsidRPr="00097721">
        <w:t xml:space="preserve"> “extreme events” and not </w:t>
      </w:r>
      <w:r w:rsidRPr="00097721" w:rsidR="00BF0EC3">
        <w:t>for use</w:t>
      </w:r>
      <w:r w:rsidRPr="00097721">
        <w:t xml:space="preserve"> as RA resources.</w:t>
      </w:r>
      <w:r w:rsidRPr="00097721">
        <w:rPr>
          <w:rStyle w:val="FootnoteReference"/>
        </w:rPr>
        <w:footnoteReference w:id="75"/>
      </w:r>
      <w:r w:rsidRPr="00097721">
        <w:t xml:space="preserve">  MRP </w:t>
      </w:r>
      <w:r w:rsidRPr="00097721" w:rsidR="00484066">
        <w:t>comments</w:t>
      </w:r>
      <w:r w:rsidRPr="00097721">
        <w:t xml:space="preserve"> that SRR resources are meant to be used sparingly and using the</w:t>
      </w:r>
      <w:r w:rsidRPr="00097721" w:rsidR="00172AB6">
        <w:t xml:space="preserve">m as RA </w:t>
      </w:r>
      <w:r w:rsidRPr="00097721">
        <w:t xml:space="preserve">resources would be double-counting and </w:t>
      </w:r>
      <w:r w:rsidRPr="00097721" w:rsidR="00380255">
        <w:t>result in</w:t>
      </w:r>
      <w:r w:rsidRPr="00097721">
        <w:t xml:space="preserve"> such resources </w:t>
      </w:r>
      <w:r w:rsidRPr="00097721" w:rsidR="00380255">
        <w:t xml:space="preserve">being </w:t>
      </w:r>
      <w:r w:rsidRPr="00097721">
        <w:t xml:space="preserve">unavailable </w:t>
      </w:r>
      <w:r w:rsidRPr="00097721" w:rsidR="00380255">
        <w:t>for</w:t>
      </w:r>
      <w:r w:rsidRPr="00097721">
        <w:t xml:space="preserve"> a 0.1 LOLE event.  Calpine </w:t>
      </w:r>
      <w:r w:rsidRPr="00097721" w:rsidR="00E50EDC">
        <w:t>argues</w:t>
      </w:r>
      <w:r w:rsidRPr="00097721">
        <w:t xml:space="preserve"> that counting SRR resources as RA resources is inconsistent with guidance from multiple agencies.  </w:t>
      </w:r>
    </w:p>
    <w:p w:rsidRPr="00097721" w:rsidR="0071726C" w:rsidP="0071726C" w:rsidRDefault="0071726C" w14:paraId="1C871AB9" w14:textId="02B921BF">
      <w:pPr>
        <w:pStyle w:val="Standard"/>
      </w:pPr>
      <w:r w:rsidRPr="00097721">
        <w:t xml:space="preserve">CAISO states that SRR </w:t>
      </w:r>
      <w:r w:rsidRPr="00097721" w:rsidR="00193FB5">
        <w:t>resources are</w:t>
      </w:r>
      <w:r w:rsidRPr="00097721">
        <w:t xml:space="preserve"> comprised of more than just OTC resources and </w:t>
      </w:r>
      <w:r w:rsidRPr="00097721" w:rsidR="00014302">
        <w:t>were</w:t>
      </w:r>
      <w:r w:rsidRPr="00097721">
        <w:t xml:space="preserve"> designed to </w:t>
      </w:r>
      <w:r w:rsidRPr="00097721" w:rsidR="00014302">
        <w:t>assist</w:t>
      </w:r>
      <w:r w:rsidRPr="00097721">
        <w:t xml:space="preserve"> with grid reliability beyond 1-in-10 events</w:t>
      </w:r>
      <w:r w:rsidRPr="00097721" w:rsidR="00990C60">
        <w:t>; therefore, the Commission should not use these resources to backfill LSE</w:t>
      </w:r>
      <w:r w:rsidRPr="00097721" w:rsidR="00375B38">
        <w:t>s’</w:t>
      </w:r>
      <w:r w:rsidRPr="00097721" w:rsidR="00990C60">
        <w:t xml:space="preserve"> RA requirements</w:t>
      </w:r>
      <w:r w:rsidRPr="00097721">
        <w:t xml:space="preserve">.  CAISO adds that because SRR </w:t>
      </w:r>
      <w:r w:rsidRPr="00097721" w:rsidR="00547481">
        <w:t>resources are</w:t>
      </w:r>
      <w:r w:rsidRPr="00097721">
        <w:t xml:space="preserve"> only called on in extreme events or grid emergencies, these resources do not regularly submit offers in the CAISO market and are not subject to the same availability rules as RA resources.  CAISO </w:t>
      </w:r>
      <w:r w:rsidRPr="00097721" w:rsidR="00BD4FFD">
        <w:t>asserts</w:t>
      </w:r>
      <w:r w:rsidRPr="00097721">
        <w:t xml:space="preserve"> that these resources should not be considered a substitute for RA capacity that is </w:t>
      </w:r>
      <w:r w:rsidRPr="00097721" w:rsidR="00920AE1">
        <w:t xml:space="preserve">generally </w:t>
      </w:r>
      <w:r w:rsidRPr="00097721">
        <w:t>available to support the grid year-round.</w:t>
      </w:r>
    </w:p>
    <w:p w:rsidRPr="00097721" w:rsidR="0071726C" w:rsidP="0071726C" w:rsidRDefault="0071726C" w14:paraId="0618FBD5" w14:textId="44E35EB4">
      <w:pPr>
        <w:pStyle w:val="Standard"/>
      </w:pPr>
      <w:r w:rsidRPr="00097721">
        <w:t xml:space="preserve">WPTF opposes PG&amp;E’s proposal as it was not submitted with other Track 1 proposals and not subject to </w:t>
      </w:r>
      <w:r w:rsidRPr="00097721" w:rsidR="00F8412F">
        <w:t>appropriate</w:t>
      </w:r>
      <w:r w:rsidRPr="00097721">
        <w:t xml:space="preserve"> vetting.</w:t>
      </w:r>
      <w:r w:rsidRPr="00097721">
        <w:rPr>
          <w:rStyle w:val="FootnoteReference"/>
        </w:rPr>
        <w:footnoteReference w:id="76"/>
      </w:r>
      <w:r w:rsidRPr="00097721">
        <w:t xml:space="preserve">  WPTF also </w:t>
      </w:r>
      <w:r w:rsidRPr="00097721" w:rsidR="008A6554">
        <w:t>argues that</w:t>
      </w:r>
      <w:r w:rsidRPr="00097721">
        <w:t xml:space="preserve"> affording special treatment to SRR resources would likely require significant changes to CAISO’s tariff and RA processes.  </w:t>
      </w:r>
    </w:p>
    <w:p w:rsidRPr="00097721" w:rsidR="0071726C" w:rsidP="0071726C" w:rsidRDefault="0071726C" w14:paraId="0781DEF1" w14:textId="77777777">
      <w:pPr>
        <w:pStyle w:val="Heading4"/>
      </w:pPr>
      <w:bookmarkStart w:name="_Toc166841752" w:id="44"/>
      <w:r w:rsidRPr="00097721">
        <w:t>Discussion</w:t>
      </w:r>
      <w:bookmarkEnd w:id="44"/>
    </w:p>
    <w:p w:rsidRPr="00097721" w:rsidR="004019AD" w:rsidP="004019AD" w:rsidRDefault="00CB6D6B" w14:paraId="0B8F7E91" w14:textId="13505B1B">
      <w:pPr>
        <w:pStyle w:val="Standard"/>
      </w:pPr>
      <w:r w:rsidRPr="00097721">
        <w:t>AReM</w:t>
      </w:r>
      <w:r w:rsidRPr="00097721" w:rsidR="009525F4">
        <w:t xml:space="preserve"> </w:t>
      </w:r>
      <w:r w:rsidRPr="00097721" w:rsidR="007816A0">
        <w:t>expresses</w:t>
      </w:r>
      <w:r w:rsidRPr="00097721" w:rsidR="009525F4">
        <w:t xml:space="preserve"> concern that</w:t>
      </w:r>
      <w:r w:rsidRPr="00097721">
        <w:t xml:space="preserve"> </w:t>
      </w:r>
      <w:r w:rsidRPr="00097721" w:rsidR="009525F4">
        <w:t xml:space="preserve">if CAISO makes a CPM designation and needs to allocate costs to LSEs, effective PRM supply is counted towards the </w:t>
      </w:r>
      <w:r w:rsidRPr="00097721" w:rsidR="009525F4">
        <w:lastRenderedPageBreak/>
        <w:t xml:space="preserve">IOUs’ RA requirements, but not towards non-IOUs’ requirements, which may result in a cost shift.  The Commission finds that AReM’s proposal is not implementable due to timing issues with CAISO’s processes and with the IOUs’ effective PRM resource submissions.  CAISO’s systems require Local Regulatory Authority credits </w:t>
      </w:r>
      <w:r w:rsidRPr="00097721" w:rsidR="007816A0">
        <w:t xml:space="preserve">to </w:t>
      </w:r>
      <w:r w:rsidRPr="00097721" w:rsidR="009525F4">
        <w:t>be provided to CAISO five business days prior to the T-45 showing deadline</w:t>
      </w:r>
      <w:r w:rsidRPr="00097721" w:rsidR="007816A0">
        <w:t>,</w:t>
      </w:r>
      <w:r w:rsidRPr="00097721" w:rsidR="009525F4">
        <w:t xml:space="preserve"> to be uploaded into the Customer Interface for Resource Adequacy (CIRA) system and count towards individual LSEs’ showings.  </w:t>
      </w:r>
      <w:r w:rsidRPr="00097721" w:rsidR="004019AD">
        <w:t>By contrast, t</w:t>
      </w:r>
      <w:r w:rsidRPr="00097721" w:rsidR="009525F4">
        <w:t xml:space="preserve">he </w:t>
      </w:r>
      <w:r w:rsidRPr="00097721">
        <w:t xml:space="preserve">IOUs </w:t>
      </w:r>
      <w:r w:rsidRPr="00097721" w:rsidR="009525F4">
        <w:t xml:space="preserve">currently provide effective PRM showings to Energy Division at T-45, and then again at T-30, </w:t>
      </w:r>
      <w:r w:rsidRPr="00097721" w:rsidR="001F57AC">
        <w:t xml:space="preserve">documenting </w:t>
      </w:r>
      <w:r w:rsidRPr="00097721" w:rsidR="00597CE3">
        <w:t>the</w:t>
      </w:r>
      <w:r w:rsidRPr="00097721" w:rsidR="001F57AC">
        <w:t xml:space="preserve"> available supply being provided to count towards the effective PRM.  </w:t>
      </w:r>
    </w:p>
    <w:p w:rsidRPr="00097721" w:rsidR="0071726C" w:rsidP="004019AD" w:rsidRDefault="004019AD" w14:paraId="1C527EBF" w14:textId="0BAA65BC">
      <w:pPr>
        <w:pStyle w:val="Standard"/>
      </w:pPr>
      <w:r w:rsidRPr="00097721">
        <w:t xml:space="preserve">AReM’s proposal would require </w:t>
      </w:r>
      <w:r w:rsidRPr="00097721" w:rsidR="007816A0">
        <w:t xml:space="preserve">Energy Division to provide </w:t>
      </w:r>
      <w:r w:rsidRPr="00097721">
        <w:t xml:space="preserve">effective PRM credits to CAISO ahead of </w:t>
      </w:r>
      <w:r w:rsidRPr="00097721" w:rsidR="007816A0">
        <w:t>the</w:t>
      </w:r>
      <w:r w:rsidRPr="00097721">
        <w:t xml:space="preserve"> monthly backstop process (which begins at T-30), which is not possible at this time given the timing of receiving effective PRM resource supply from the IOUs and the restrictions on sending CAISO supply credits for the CPM process.  </w:t>
      </w:r>
      <w:r w:rsidRPr="00097721" w:rsidR="000C5642">
        <w:t xml:space="preserve">As such, we </w:t>
      </w:r>
      <w:r w:rsidRPr="00097721" w:rsidR="0071726C">
        <w:t>decline to adopt AReM’s proposal</w:t>
      </w:r>
      <w:r w:rsidRPr="00097721" w:rsidR="0002669E">
        <w:t xml:space="preserve">.  </w:t>
      </w:r>
      <w:r w:rsidRPr="00097721" w:rsidR="001F57AC">
        <w:t>Energy Division is encouraged to coordinate with CAISO to look for potential solutions to address the current timing limitations of providing effective PRM supply credits to CAISO ahead of the monthly CPM process.</w:t>
      </w:r>
    </w:p>
    <w:p w:rsidRPr="00097721" w:rsidR="0071726C" w:rsidP="0071726C" w:rsidRDefault="0071726C" w14:paraId="4BE65F79" w14:textId="671EF6F5">
      <w:pPr>
        <w:pStyle w:val="Standard"/>
      </w:pPr>
      <w:r w:rsidRPr="00097721">
        <w:t>W</w:t>
      </w:r>
      <w:r w:rsidRPr="00097721" w:rsidR="00664F39">
        <w:t>ith respect to PG&amp;E’s proposal, the Commission</w:t>
      </w:r>
      <w:r w:rsidRPr="00097721">
        <w:t xml:space="preserve"> agree</w:t>
      </w:r>
      <w:r w:rsidRPr="00097721" w:rsidR="00664F39">
        <w:t>s</w:t>
      </w:r>
      <w:r w:rsidRPr="00097721">
        <w:t xml:space="preserve"> with parties that </w:t>
      </w:r>
      <w:r w:rsidRPr="00097721" w:rsidR="00664F39">
        <w:t>assert</w:t>
      </w:r>
      <w:r w:rsidRPr="00097721">
        <w:t xml:space="preserve"> that SRR resources are meant to address extreme events and not meant to backfill RA requirements.  We also agree with CAISO that SRR resources </w:t>
      </w:r>
      <w:r w:rsidRPr="00097721" w:rsidR="00AF1FBF">
        <w:t xml:space="preserve">are </w:t>
      </w:r>
      <w:r w:rsidRPr="00097721">
        <w:t>comprise</w:t>
      </w:r>
      <w:r w:rsidRPr="00097721" w:rsidR="00AF1FBF">
        <w:t>d</w:t>
      </w:r>
      <w:r w:rsidRPr="00097721">
        <w:t xml:space="preserve"> of more than OTC resources and such resources are not regularly offered to the </w:t>
      </w:r>
      <w:r w:rsidRPr="00097721" w:rsidR="00664F39">
        <w:t xml:space="preserve">CAISO </w:t>
      </w:r>
      <w:r w:rsidRPr="00097721">
        <w:t xml:space="preserve">market </w:t>
      </w:r>
      <w:r w:rsidRPr="00097721" w:rsidR="00664F39">
        <w:t xml:space="preserve">and are not </w:t>
      </w:r>
      <w:r w:rsidRPr="00097721">
        <w:t>subject to the availability rules of RA resources.</w:t>
      </w:r>
      <w:r w:rsidRPr="00097721" w:rsidR="000E4994">
        <w:t xml:space="preserve">  We decline to adopt PG&amp;E’s proposal.  </w:t>
      </w:r>
    </w:p>
    <w:p w:rsidRPr="00097721" w:rsidR="00CD6F57" w:rsidP="00485600" w:rsidRDefault="00C21AB3" w14:paraId="67210648" w14:textId="16BC5C43">
      <w:pPr>
        <w:pStyle w:val="Heading2"/>
      </w:pPr>
      <w:bookmarkStart w:name="_Toc166841753" w:id="45"/>
      <w:r w:rsidRPr="00097721">
        <w:lastRenderedPageBreak/>
        <w:t xml:space="preserve">Modifications to </w:t>
      </w:r>
      <w:r w:rsidRPr="00097721" w:rsidR="00A0776D">
        <w:t xml:space="preserve">Resource </w:t>
      </w:r>
      <w:r w:rsidRPr="00097721">
        <w:t>Counting Rules</w:t>
      </w:r>
      <w:bookmarkEnd w:id="45"/>
    </w:p>
    <w:p w:rsidRPr="00097721" w:rsidR="000C7F06" w:rsidP="00C21AB3" w:rsidRDefault="000C7F06" w14:paraId="71DD8F4B" w14:textId="280DAFCF">
      <w:pPr>
        <w:pStyle w:val="Heading3"/>
      </w:pPr>
      <w:bookmarkStart w:name="_Toc166841754" w:id="46"/>
      <w:r w:rsidRPr="00097721">
        <w:t>Hybrid and Co-Located Resource Counting</w:t>
      </w:r>
      <w:bookmarkEnd w:id="46"/>
    </w:p>
    <w:p w:rsidRPr="00097721" w:rsidR="000C7F06" w:rsidP="000C7F06" w:rsidRDefault="0055386A" w14:paraId="191591CF" w14:textId="0CC3CF90">
      <w:pPr>
        <w:pStyle w:val="Standard"/>
      </w:pPr>
      <w:r w:rsidRPr="00097721">
        <w:t xml:space="preserve">CESA </w:t>
      </w:r>
      <w:r w:rsidRPr="00097721" w:rsidR="00F754FD">
        <w:t xml:space="preserve">states that the current QC methodology for hybrid and co-located resources, </w:t>
      </w:r>
      <w:r w:rsidRPr="00097721" w:rsidR="008F3AA2">
        <w:t xml:space="preserve">as </w:t>
      </w:r>
      <w:r w:rsidRPr="00097721" w:rsidR="00F754FD">
        <w:t xml:space="preserve">adopted in D.20-06-031, applied different treatment for resources with </w:t>
      </w:r>
      <w:r w:rsidRPr="00097721" w:rsidR="008F3AA2">
        <w:t>and</w:t>
      </w:r>
      <w:r w:rsidRPr="00097721" w:rsidR="00F754FD">
        <w:t xml:space="preserve"> without grid-charging restrictions.</w:t>
      </w:r>
      <w:r w:rsidRPr="00097721" w:rsidR="00F754FD">
        <w:rPr>
          <w:rStyle w:val="FootnoteReference"/>
        </w:rPr>
        <w:footnoteReference w:id="77"/>
      </w:r>
      <w:r w:rsidRPr="00097721" w:rsidR="00F754FD">
        <w:t xml:space="preserve">  Under the current methodology, the renewable component of a grid-charging restricted resource is given a reduced </w:t>
      </w:r>
      <w:r w:rsidRPr="00097721" w:rsidR="000A44C5">
        <w:t>QC value</w:t>
      </w:r>
      <w:r w:rsidRPr="00097721" w:rsidR="00F754FD">
        <w:t xml:space="preserve"> to account for energy sufficiency of the storage component.  CESA </w:t>
      </w:r>
      <w:r w:rsidRPr="00097721" w:rsidR="002E3358">
        <w:t>points out</w:t>
      </w:r>
      <w:r w:rsidRPr="00097721" w:rsidR="00F754FD">
        <w:t xml:space="preserve"> that under the SOD framework, the storage charging sufficiency verification eliminates the need for the current QC calculation for hybrid and co-located resources with grid-charging restrictions.  CESA </w:t>
      </w:r>
      <w:r w:rsidRPr="00097721" w:rsidR="002E3358">
        <w:t>argues</w:t>
      </w:r>
      <w:r w:rsidRPr="00097721" w:rsidR="00F754FD">
        <w:t xml:space="preserve"> that it is no longer appropriate to reduce the QC of the renewable component because its energy is not restricted from serving onsite and offsite storage under the SOD framework.  CESA therefore proposes that the renewable component’s QC </w:t>
      </w:r>
      <w:r w:rsidRPr="00097721" w:rsidR="000A44C5">
        <w:t xml:space="preserve">should </w:t>
      </w:r>
      <w:r w:rsidRPr="00097721" w:rsidR="00F754FD">
        <w:t>be calculated the same as any other renewable resource</w:t>
      </w:r>
      <w:r w:rsidRPr="00097721" w:rsidR="005148E5">
        <w:t>’s</w:t>
      </w:r>
      <w:r w:rsidRPr="00097721" w:rsidR="00F754FD">
        <w:t xml:space="preserve"> QC, the energy storage component be calculated the same way as an</w:t>
      </w:r>
      <w:r w:rsidRPr="00097721" w:rsidR="005148E5">
        <w:t xml:space="preserve">y </w:t>
      </w:r>
      <w:r w:rsidRPr="00097721" w:rsidR="00F754FD">
        <w:t>other energy storage</w:t>
      </w:r>
      <w:r w:rsidRPr="00097721" w:rsidR="005148E5">
        <w:t>’s</w:t>
      </w:r>
      <w:r w:rsidRPr="00097721" w:rsidR="00F754FD">
        <w:t xml:space="preserve"> QC, and the total QC value of the resource </w:t>
      </w:r>
      <w:r w:rsidRPr="00097721" w:rsidR="005148E5">
        <w:t xml:space="preserve">should </w:t>
      </w:r>
      <w:r w:rsidRPr="00097721" w:rsidR="00F754FD">
        <w:t xml:space="preserve">be the sum of the two components limited by the Point-of-Interconnection (POI) limit. </w:t>
      </w:r>
    </w:p>
    <w:p w:rsidRPr="00097721" w:rsidR="00C14E2E" w:rsidP="003212FF" w:rsidRDefault="00302F35" w14:paraId="39B01C68" w14:textId="4DC6A276">
      <w:pPr>
        <w:pStyle w:val="Standard"/>
      </w:pPr>
      <w:r w:rsidRPr="00097721">
        <w:t xml:space="preserve">CalCCA, </w:t>
      </w:r>
      <w:r w:rsidRPr="00097721" w:rsidR="00C14E2E">
        <w:t>WPTF</w:t>
      </w:r>
      <w:r w:rsidRPr="00097721" w:rsidR="003F7645">
        <w:t xml:space="preserve">, </w:t>
      </w:r>
      <w:r w:rsidRPr="00097721" w:rsidR="003212FF">
        <w:t>Sierra Club</w:t>
      </w:r>
      <w:r w:rsidRPr="00097721" w:rsidR="003F7645">
        <w:t xml:space="preserve">/CEJA, and </w:t>
      </w:r>
      <w:r w:rsidRPr="00097721" w:rsidR="00C14E2E">
        <w:t>Terra-Gen support CESA’s proposal</w:t>
      </w:r>
      <w:r w:rsidRPr="00097721" w:rsidR="00646F8A">
        <w:t>.</w:t>
      </w:r>
      <w:r w:rsidRPr="00097721" w:rsidR="00646F8A">
        <w:rPr>
          <w:rStyle w:val="FootnoteReference"/>
        </w:rPr>
        <w:footnoteReference w:id="78"/>
      </w:r>
      <w:r w:rsidRPr="00097721" w:rsidR="006736A8">
        <w:t xml:space="preserve">  Cal Advocates opposes CESA’s proposal</w:t>
      </w:r>
      <w:r w:rsidRPr="00097721" w:rsidR="003212FF">
        <w:t>, stating</w:t>
      </w:r>
      <w:r w:rsidRPr="00097721" w:rsidR="006736A8">
        <w:t xml:space="preserve"> that the Commission addressed the methodology for hybrid and co-located resources in D.23-04-010.</w:t>
      </w:r>
      <w:r w:rsidRPr="00097721" w:rsidR="006736A8">
        <w:rPr>
          <w:rStyle w:val="FootnoteReference"/>
        </w:rPr>
        <w:footnoteReference w:id="79"/>
      </w:r>
      <w:r w:rsidRPr="00097721" w:rsidR="00070DA0">
        <w:t xml:space="preserve">  CESA disagrees with Cal Advocates and </w:t>
      </w:r>
      <w:r w:rsidRPr="00097721" w:rsidR="003212FF">
        <w:t>argues</w:t>
      </w:r>
      <w:r w:rsidRPr="00097721" w:rsidR="00070DA0">
        <w:t xml:space="preserve"> that D.23-04-010 </w:t>
      </w:r>
      <w:r w:rsidRPr="00097721" w:rsidR="00070DA0">
        <w:lastRenderedPageBreak/>
        <w:t xml:space="preserve">did not fully describe changes required </w:t>
      </w:r>
      <w:r w:rsidRPr="00097721" w:rsidR="003212FF">
        <w:t>for</w:t>
      </w:r>
      <w:r w:rsidRPr="00097721" w:rsidR="00070DA0">
        <w:t xml:space="preserve"> the QC methodology for hybrid and co-located resources to recognize the interactive effects </w:t>
      </w:r>
      <w:r w:rsidRPr="00097721" w:rsidR="00EB2D94">
        <w:t>of</w:t>
      </w:r>
      <w:r w:rsidRPr="00097721" w:rsidR="00070DA0">
        <w:t xml:space="preserve"> the SOD framework.</w:t>
      </w:r>
      <w:r w:rsidRPr="00097721" w:rsidR="00070DA0">
        <w:rPr>
          <w:rStyle w:val="FootnoteReference"/>
        </w:rPr>
        <w:footnoteReference w:id="80"/>
      </w:r>
    </w:p>
    <w:p w:rsidRPr="00097721" w:rsidR="000926C2" w:rsidP="00C3393C" w:rsidRDefault="000926C2" w14:paraId="6F5C7ADA" w14:textId="03181481">
      <w:pPr>
        <w:pStyle w:val="Standard"/>
      </w:pPr>
      <w:r w:rsidRPr="00097721">
        <w:t xml:space="preserve">The Commission agrees with CESA that </w:t>
      </w:r>
      <w:r w:rsidRPr="00097721" w:rsidR="00990C60">
        <w:t>derating the QC of hybrid and co-located resources based solely on grid</w:t>
      </w:r>
      <w:r w:rsidRPr="00097721" w:rsidR="006D529B">
        <w:t xml:space="preserve"> </w:t>
      </w:r>
      <w:r w:rsidRPr="00097721" w:rsidR="00990C60">
        <w:t xml:space="preserve">restrictions does not reflect the actual capabilities of many of these resources.  Further, if paired resources should be derated, </w:t>
      </w:r>
      <w:r w:rsidRPr="00097721" w:rsidR="001319F9">
        <w:t>the deration sh</w:t>
      </w:r>
      <w:r w:rsidRPr="00097721" w:rsidR="00990C60">
        <w:t xml:space="preserve">ould </w:t>
      </w:r>
      <w:r w:rsidRPr="00097721" w:rsidR="001319F9">
        <w:t xml:space="preserve">apply </w:t>
      </w:r>
      <w:r w:rsidRPr="00097721" w:rsidR="00990C60">
        <w:t xml:space="preserve">to </w:t>
      </w:r>
      <w:r w:rsidRPr="00097721" w:rsidR="001319F9">
        <w:t>the</w:t>
      </w:r>
      <w:r w:rsidRPr="00097721" w:rsidR="00990C60">
        <w:t xml:space="preserve"> </w:t>
      </w:r>
      <w:r w:rsidRPr="00097721" w:rsidR="001319F9">
        <w:t>storage resource</w:t>
      </w:r>
      <w:r w:rsidRPr="00097721" w:rsidR="00990C60">
        <w:t xml:space="preserve"> that is not </w:t>
      </w:r>
      <w:r w:rsidRPr="00097721" w:rsidR="001319F9">
        <w:t>fully</w:t>
      </w:r>
      <w:r w:rsidRPr="00097721" w:rsidR="00990C60">
        <w:t xml:space="preserve"> charged.  However, paired resources with grid-restricted charging are potentially less </w:t>
      </w:r>
      <w:r w:rsidRPr="00097721" w:rsidR="008703B3">
        <w:t>reliable</w:t>
      </w:r>
      <w:r w:rsidRPr="00097721" w:rsidR="00990C60">
        <w:t xml:space="preserve"> than paired resources </w:t>
      </w:r>
      <w:r w:rsidRPr="00097721" w:rsidR="001319F9">
        <w:t>which allow</w:t>
      </w:r>
      <w:r w:rsidRPr="00097721" w:rsidR="00990C60">
        <w:t xml:space="preserve"> grid</w:t>
      </w:r>
      <w:r w:rsidRPr="00097721" w:rsidR="001319F9">
        <w:t>-</w:t>
      </w:r>
      <w:r w:rsidRPr="00097721" w:rsidR="00990C60">
        <w:t xml:space="preserve">charging because grid-restricted resources may not have </w:t>
      </w:r>
      <w:r w:rsidRPr="00097721" w:rsidR="001319F9">
        <w:t>sufficient</w:t>
      </w:r>
      <w:r w:rsidRPr="00097721" w:rsidR="00990C60">
        <w:t xml:space="preserve"> charging capacity to fully charge the paired resource during certain months.  The grid charging restriction is being addressed as part of a state-of-charge test in the current SOD templates, which will ensure that paired </w:t>
      </w:r>
      <w:r w:rsidRPr="00097721" w:rsidR="001319F9">
        <w:t>storage resources</w:t>
      </w:r>
      <w:r w:rsidRPr="00097721" w:rsidR="00990C60">
        <w:t xml:space="preserve"> have enough energy to provide capacity from their paired resources.</w:t>
      </w:r>
      <w:r w:rsidRPr="00097721" w:rsidR="006D529B">
        <w:rPr>
          <w:rStyle w:val="FootnoteReference"/>
        </w:rPr>
        <w:footnoteReference w:id="81"/>
      </w:r>
      <w:r w:rsidRPr="00097721" w:rsidR="00990C60">
        <w:t xml:space="preserve">  Because the </w:t>
      </w:r>
      <w:r w:rsidRPr="00097721" w:rsidR="006D529B">
        <w:t xml:space="preserve">state-of-charge </w:t>
      </w:r>
      <w:r w:rsidRPr="00097721" w:rsidR="00990C60">
        <w:t>test address</w:t>
      </w:r>
      <w:r w:rsidRPr="00097721" w:rsidR="001319F9">
        <w:t>es</w:t>
      </w:r>
      <w:r w:rsidRPr="00097721" w:rsidR="00990C60">
        <w:t xml:space="preserve"> the paired resources’ grid-restricted charging limitations, there is no longer a need to derate the QC values of </w:t>
      </w:r>
      <w:r w:rsidRPr="00097721" w:rsidR="001319F9">
        <w:t xml:space="preserve">paired renewables in order to account for grid-charging restrictions on paired storage resources. </w:t>
      </w:r>
    </w:p>
    <w:p w:rsidRPr="00097721" w:rsidR="007A4B22" w:rsidP="00413738" w:rsidRDefault="00A62F64" w14:paraId="239A9190" w14:textId="56B281A0">
      <w:pPr>
        <w:pStyle w:val="Standard"/>
      </w:pPr>
      <w:r w:rsidRPr="00097721">
        <w:t>Accordingly, under the SOD framework, hybrid and co-located resources</w:t>
      </w:r>
      <w:r w:rsidRPr="00097721" w:rsidR="00177F52">
        <w:t>’</w:t>
      </w:r>
      <w:r w:rsidRPr="00097721">
        <w:t xml:space="preserve"> QC counting methodology will be as follows: </w:t>
      </w:r>
      <w:r w:rsidRPr="00097721" w:rsidR="00413738">
        <w:t>the</w:t>
      </w:r>
      <w:r w:rsidRPr="00097721">
        <w:t xml:space="preserve"> renewable component’s QC value will be calculated the same as other renewable resources</w:t>
      </w:r>
      <w:r w:rsidRPr="00097721" w:rsidR="000926C2">
        <w:t>’</w:t>
      </w:r>
      <w:r w:rsidRPr="00097721">
        <w:t xml:space="preserve"> QC value</w:t>
      </w:r>
      <w:r w:rsidRPr="00097721" w:rsidR="000926C2">
        <w:t>s</w:t>
      </w:r>
      <w:r w:rsidRPr="00097721">
        <w:t xml:space="preserve">, the storage component’s QC value will be calculated the same as other storage </w:t>
      </w:r>
      <w:r w:rsidRPr="00097721" w:rsidR="00413738">
        <w:t>resources</w:t>
      </w:r>
      <w:r w:rsidRPr="00097721" w:rsidR="000926C2">
        <w:t>’</w:t>
      </w:r>
      <w:r w:rsidRPr="00097721">
        <w:t xml:space="preserve"> QC value</w:t>
      </w:r>
      <w:r w:rsidRPr="00097721" w:rsidR="000926C2">
        <w:t>s</w:t>
      </w:r>
      <w:r w:rsidRPr="00097721">
        <w:t xml:space="preserve">, and the total QC value of the resource will be the sum of </w:t>
      </w:r>
      <w:r w:rsidRPr="00097721">
        <w:lastRenderedPageBreak/>
        <w:t>the two components limited by the POI limit</w:t>
      </w:r>
      <w:r w:rsidRPr="00097721" w:rsidR="007B48FE">
        <w:t xml:space="preserve"> and the compliance tool’s state-of-charge test</w:t>
      </w:r>
      <w:r w:rsidRPr="00097721">
        <w:t>.</w:t>
      </w:r>
      <w:r w:rsidRPr="00097721" w:rsidR="005F767B">
        <w:t xml:space="preserve">  This will be effective for the 2025 RA compliance year.</w:t>
      </w:r>
    </w:p>
    <w:p w:rsidRPr="00097721" w:rsidR="000B45B6" w:rsidP="000B45B6" w:rsidRDefault="000B45B6" w14:paraId="338097A8" w14:textId="77777777">
      <w:pPr>
        <w:pStyle w:val="Heading3"/>
      </w:pPr>
      <w:bookmarkStart w:name="_Toc164799672" w:id="47"/>
      <w:bookmarkStart w:name="_Toc166841755" w:id="48"/>
      <w:r w:rsidRPr="00097721">
        <w:t>Monthly Exceedance Levels</w:t>
      </w:r>
      <w:bookmarkEnd w:id="47"/>
      <w:bookmarkEnd w:id="48"/>
      <w:r w:rsidRPr="00097721">
        <w:t xml:space="preserve"> </w:t>
      </w:r>
    </w:p>
    <w:p w:rsidRPr="00097721" w:rsidR="00302C34" w:rsidP="00302C34" w:rsidRDefault="007B73AF" w14:paraId="6914D019" w14:textId="4EFE8CFF">
      <w:pPr>
        <w:pStyle w:val="Standard"/>
      </w:pPr>
      <w:r w:rsidRPr="00097721">
        <w:t xml:space="preserve">CalWEA proposes that exceedance levels </w:t>
      </w:r>
      <w:r w:rsidRPr="00097721" w:rsidR="005F767B">
        <w:t xml:space="preserve">under the SOD framework </w:t>
      </w:r>
      <w:r w:rsidRPr="00097721">
        <w:t>should be set on a monthly basis</w:t>
      </w:r>
      <w:r w:rsidRPr="00097721" w:rsidR="000926C2">
        <w:t xml:space="preserve">, rather than a seasonal basis, </w:t>
      </w:r>
      <w:r w:rsidRPr="00097721">
        <w:t>using the same mean-squared error approach</w:t>
      </w:r>
      <w:r w:rsidRPr="00097721" w:rsidR="000926C2">
        <w:t xml:space="preserve"> developed by Energy Division Staff in fall 2023</w:t>
      </w:r>
      <w:r w:rsidRPr="00097721">
        <w:t xml:space="preserve"> to calculate exceedance levels</w:t>
      </w:r>
      <w:r w:rsidRPr="00097721" w:rsidR="000926C2">
        <w:t xml:space="preserve"> in accordance with Ordering Paragraphs 5 and 6 of D.23-04-010</w:t>
      </w:r>
      <w:r w:rsidRPr="00097721">
        <w:t>.</w:t>
      </w:r>
      <w:r w:rsidRPr="00097721">
        <w:rPr>
          <w:rStyle w:val="FootnoteReference"/>
        </w:rPr>
        <w:footnoteReference w:id="82"/>
      </w:r>
      <w:r w:rsidRPr="00097721" w:rsidR="00E566E6">
        <w:t xml:space="preserve">  CalWEA </w:t>
      </w:r>
      <w:r w:rsidRPr="00097721" w:rsidR="00402D0F">
        <w:t>asserts</w:t>
      </w:r>
      <w:r w:rsidRPr="00097721" w:rsidR="00E566E6">
        <w:t xml:space="preserve"> that this approach is more precise, avoids the subjective determination of seasons</w:t>
      </w:r>
      <w:r w:rsidRPr="00097721" w:rsidR="0065411C">
        <w:t>,</w:t>
      </w:r>
      <w:r w:rsidRPr="00097721" w:rsidR="00E566E6">
        <w:t xml:space="preserve"> and conforms to the monthly RA requirements.  CalWEA also recommends that monthly exceedance number</w:t>
      </w:r>
      <w:r w:rsidRPr="00097721" w:rsidR="00402D0F">
        <w:t>s should</w:t>
      </w:r>
      <w:r w:rsidRPr="00097721" w:rsidR="00E566E6">
        <w:t xml:space="preserve"> be updated every five years</w:t>
      </w:r>
      <w:r w:rsidRPr="00097721" w:rsidR="00EB4FA4">
        <w:t xml:space="preserve">, </w:t>
      </w:r>
      <w:r w:rsidRPr="00097721" w:rsidR="0000117F">
        <w:t>rather than</w:t>
      </w:r>
      <w:r w:rsidRPr="00097721" w:rsidR="00EB4FA4">
        <w:t xml:space="preserve"> annually</w:t>
      </w:r>
      <w:r w:rsidRPr="00097721" w:rsidR="0000117F">
        <w:t xml:space="preserve">, </w:t>
      </w:r>
      <w:r w:rsidRPr="00097721" w:rsidR="00402D0F">
        <w:t>to provide</w:t>
      </w:r>
      <w:r w:rsidRPr="00097721" w:rsidR="00E566E6">
        <w:t xml:space="preserve"> stability and predictability</w:t>
      </w:r>
      <w:r w:rsidRPr="00097721" w:rsidR="0000117F">
        <w:t>,</w:t>
      </w:r>
      <w:r w:rsidRPr="00097721" w:rsidR="00402D0F">
        <w:t xml:space="preserve"> and recalculated in the event of a major change in circumstances (</w:t>
      </w:r>
      <w:r w:rsidRPr="00097721" w:rsidR="00402D0F">
        <w:rPr>
          <w:i/>
          <w:iCs/>
        </w:rPr>
        <w:t>e.g.</w:t>
      </w:r>
      <w:r w:rsidRPr="00097721" w:rsidR="00402D0F">
        <w:t>, substantial technology advancements).</w:t>
      </w:r>
    </w:p>
    <w:p w:rsidRPr="00097721" w:rsidR="00FF0C5D" w:rsidP="00FF0C5D" w:rsidRDefault="00EB4FA4" w14:paraId="1DB06E0C" w14:textId="14DAB3B0">
      <w:pPr>
        <w:pStyle w:val="Standard"/>
      </w:pPr>
      <w:r w:rsidRPr="00097721">
        <w:t>Cal Advocates</w:t>
      </w:r>
      <w:r w:rsidRPr="00097721" w:rsidR="00FF0C5D">
        <w:t xml:space="preserve">, </w:t>
      </w:r>
      <w:r w:rsidRPr="00097721" w:rsidR="009E584B">
        <w:t xml:space="preserve">MRP, </w:t>
      </w:r>
      <w:r w:rsidRPr="00097721" w:rsidR="00463751">
        <w:t>Sierra Club</w:t>
      </w:r>
      <w:r w:rsidRPr="00097721" w:rsidR="002D67A4">
        <w:t xml:space="preserve">/CEJA, </w:t>
      </w:r>
      <w:r w:rsidRPr="00097721" w:rsidR="00F50B2C">
        <w:t xml:space="preserve">and </w:t>
      </w:r>
      <w:r w:rsidRPr="00097721">
        <w:t>Terra-Gen</w:t>
      </w:r>
      <w:r w:rsidRPr="00097721" w:rsidR="00FF0C5D">
        <w:t xml:space="preserve"> </w:t>
      </w:r>
      <w:r w:rsidRPr="00097721">
        <w:t>support the proposal.</w:t>
      </w:r>
      <w:r w:rsidRPr="00097721" w:rsidR="000B2381">
        <w:rPr>
          <w:rStyle w:val="FootnoteReference"/>
        </w:rPr>
        <w:footnoteReference w:id="83"/>
      </w:r>
      <w:r w:rsidRPr="00097721">
        <w:t xml:space="preserve"> </w:t>
      </w:r>
      <w:r w:rsidRPr="00097721" w:rsidR="0060244C">
        <w:t xml:space="preserve"> Cal Advocates </w:t>
      </w:r>
      <w:r w:rsidRPr="00097721" w:rsidR="001142D8">
        <w:t>states</w:t>
      </w:r>
      <w:r w:rsidRPr="00097721" w:rsidR="0060244C">
        <w:t xml:space="preserve"> that monthly exceedance values would require little additional staff support and would ensure that wind and solar resources receive full value for their expected reliability contributions.  Terra-Gen </w:t>
      </w:r>
      <w:r w:rsidRPr="00097721" w:rsidR="003B22CF">
        <w:t>argues</w:t>
      </w:r>
      <w:r w:rsidRPr="00097721" w:rsidR="0060244C">
        <w:t xml:space="preserve"> that the benefits of improving accuracy for wind and solar </w:t>
      </w:r>
      <w:r w:rsidRPr="00097721" w:rsidR="0065411C">
        <w:t xml:space="preserve">resources </w:t>
      </w:r>
      <w:r w:rsidRPr="00097721" w:rsidR="0060244C">
        <w:t>outweigh the additional burden on staff resources.</w:t>
      </w:r>
      <w:r w:rsidRPr="00097721" w:rsidR="00FF0C5D">
        <w:t xml:space="preserve">  MRP supports CalWEA’s proposal but recommends the issue be taken up in Track 2.</w:t>
      </w:r>
    </w:p>
    <w:p w:rsidRPr="00097721" w:rsidR="0065411C" w:rsidP="00514D62" w:rsidRDefault="0065411C" w14:paraId="2EBD795F" w14:textId="7C03000B">
      <w:pPr>
        <w:pStyle w:val="Standard"/>
      </w:pPr>
      <w:r w:rsidRPr="00097721">
        <w:t xml:space="preserve">The Commission agrees that </w:t>
      </w:r>
      <w:r w:rsidRPr="00097721" w:rsidR="00514D62">
        <w:t xml:space="preserve">adjusting </w:t>
      </w:r>
      <w:r w:rsidRPr="00097721">
        <w:t xml:space="preserve">exceedance levels for wind and solar resources </w:t>
      </w:r>
      <w:r w:rsidRPr="00097721" w:rsidR="00514D62">
        <w:t xml:space="preserve">to a monthly level </w:t>
      </w:r>
      <w:r w:rsidRPr="00097721" w:rsidR="003E0C06">
        <w:t xml:space="preserve">from the current seasonal level </w:t>
      </w:r>
      <w:r w:rsidRPr="00097721" w:rsidR="00514D62">
        <w:t xml:space="preserve">would improve accuracy in exceedance levels and would not </w:t>
      </w:r>
      <w:r w:rsidRPr="00097721" w:rsidR="00E3093E">
        <w:t>be</w:t>
      </w:r>
      <w:r w:rsidRPr="00097721" w:rsidR="00514D62">
        <w:t xml:space="preserve"> </w:t>
      </w:r>
      <w:r w:rsidRPr="00097721" w:rsidR="00E3093E">
        <w:t>burdensome</w:t>
      </w:r>
      <w:r w:rsidRPr="00097721" w:rsidR="00514D62">
        <w:t xml:space="preserve"> on Commission </w:t>
      </w:r>
      <w:r w:rsidRPr="00097721" w:rsidR="00514D62">
        <w:lastRenderedPageBreak/>
        <w:t xml:space="preserve">Staff resources.  </w:t>
      </w:r>
      <w:r w:rsidRPr="00097721" w:rsidR="00AE0C02">
        <w:t>The Commission, however, finds that instead of an update every five years, a</w:t>
      </w:r>
      <w:r w:rsidRPr="00097721" w:rsidR="00F83F02">
        <w:t xml:space="preserve">n update </w:t>
      </w:r>
      <w:r w:rsidRPr="00097721" w:rsidR="00AE0C02">
        <w:t xml:space="preserve">every </w:t>
      </w:r>
      <w:r w:rsidRPr="00097721" w:rsidR="0084743F">
        <w:t>three</w:t>
      </w:r>
      <w:r w:rsidRPr="00097721" w:rsidR="000926C2">
        <w:t xml:space="preserve"> </w:t>
      </w:r>
      <w:r w:rsidRPr="00097721" w:rsidR="00AE0C02">
        <w:t xml:space="preserve">years </w:t>
      </w:r>
      <w:r w:rsidRPr="00097721" w:rsidR="000926C2">
        <w:t>strikes an</w:t>
      </w:r>
      <w:r w:rsidRPr="00097721" w:rsidR="00AE0C02">
        <w:t xml:space="preserve"> appropriate </w:t>
      </w:r>
      <w:r w:rsidRPr="00097721" w:rsidR="000926C2">
        <w:t>balance between stability of the exceedance values and inclusion of up-to-date data</w:t>
      </w:r>
      <w:r w:rsidRPr="00097721" w:rsidR="00AE0C02">
        <w:t>.</w:t>
      </w:r>
    </w:p>
    <w:p w:rsidRPr="00097721" w:rsidR="00110CF0" w:rsidP="00343951" w:rsidRDefault="003C33F4" w14:paraId="7E818D7D" w14:textId="057650D5">
      <w:pPr>
        <w:pStyle w:val="Standard"/>
      </w:pPr>
      <w:bookmarkStart w:name="_Hlk166685005" w:id="49"/>
      <w:r w:rsidRPr="00097721">
        <w:t>Accordingly, under the SOD framework</w:t>
      </w:r>
      <w:r w:rsidRPr="00097721" w:rsidR="001A0933">
        <w:t xml:space="preserve"> beginning with the 2025 RA compliance year</w:t>
      </w:r>
      <w:r w:rsidRPr="00097721">
        <w:t xml:space="preserve">, the exceedance levels for wind and solar resources will be adjusted to monthly levels, </w:t>
      </w:r>
      <w:r w:rsidRPr="00097721" w:rsidR="000926C2">
        <w:t xml:space="preserve">with the next update to occur in 2024 and subsequent updates </w:t>
      </w:r>
      <w:r w:rsidRPr="00097721">
        <w:t xml:space="preserve">every </w:t>
      </w:r>
      <w:r w:rsidRPr="00097721" w:rsidR="0084743F">
        <w:t>three</w:t>
      </w:r>
      <w:r w:rsidRPr="00097721">
        <w:t xml:space="preserve"> years</w:t>
      </w:r>
      <w:r w:rsidRPr="00097721" w:rsidR="000926C2">
        <w:t xml:space="preserve"> </w:t>
      </w:r>
      <w:r w:rsidRPr="00097721" w:rsidR="00343951">
        <w:t>thereafter.</w:t>
      </w:r>
      <w:r w:rsidRPr="00097721" w:rsidR="001319F9">
        <w:t xml:space="preserve">  Each refresh will also use the most up-to-date rolling six-year historical data points, consistent with the methodology adopted in D.23-04-010 (</w:t>
      </w:r>
      <w:r w:rsidRPr="00097721" w:rsidR="001319F9">
        <w:rPr>
          <w:i/>
          <w:iCs/>
        </w:rPr>
        <w:t>e.g</w:t>
      </w:r>
      <w:r w:rsidRPr="00097721" w:rsidR="001319F9">
        <w:t>., 2018-2023 for 2024 update, 2021-2026 for 2027 update).</w:t>
      </w:r>
    </w:p>
    <w:p w:rsidRPr="00097721" w:rsidR="006D32FE" w:rsidP="00193495" w:rsidRDefault="00C87A5C" w14:paraId="46402D56" w14:textId="4EBE17D7">
      <w:pPr>
        <w:pStyle w:val="Heading2"/>
      </w:pPr>
      <w:bookmarkStart w:name="_Toc166841756" w:id="50"/>
      <w:bookmarkEnd w:id="49"/>
      <w:r w:rsidRPr="00097721">
        <w:t xml:space="preserve">Modifications to </w:t>
      </w:r>
      <w:r w:rsidRPr="00097721" w:rsidR="000025DB">
        <w:t xml:space="preserve">the </w:t>
      </w:r>
      <w:r w:rsidRPr="00097721" w:rsidR="006D32FE">
        <w:t xml:space="preserve">Storage </w:t>
      </w:r>
      <w:r w:rsidRPr="00097721" w:rsidR="0059012F">
        <w:t>Charging Sufficiency Test</w:t>
      </w:r>
      <w:bookmarkEnd w:id="50"/>
    </w:p>
    <w:p w:rsidRPr="00097721" w:rsidR="0059012F" w:rsidP="0059012F" w:rsidRDefault="0059012F" w14:paraId="3838CF71" w14:textId="21489D02">
      <w:pPr>
        <w:pStyle w:val="Heading3"/>
      </w:pPr>
      <w:bookmarkStart w:name="_Toc166841757" w:id="51"/>
      <w:r w:rsidRPr="00097721">
        <w:t>System-Wide Charging Sufficiency Test</w:t>
      </w:r>
      <w:bookmarkEnd w:id="51"/>
    </w:p>
    <w:p w:rsidRPr="00097721" w:rsidR="0059012F" w:rsidP="0059012F" w:rsidRDefault="0059012F" w14:paraId="767AF298" w14:textId="13A734B4">
      <w:pPr>
        <w:pStyle w:val="Standard"/>
      </w:pPr>
      <w:r w:rsidRPr="00097721">
        <w:t xml:space="preserve">CESA proposes an initial system-wide storage charging sufficiency test before assessing </w:t>
      </w:r>
      <w:r w:rsidRPr="00097721" w:rsidR="004676DA">
        <w:t xml:space="preserve">sufficiency </w:t>
      </w:r>
      <w:r w:rsidRPr="00097721">
        <w:t>at the LSE level.</w:t>
      </w:r>
      <w:r w:rsidRPr="00097721">
        <w:rPr>
          <w:rStyle w:val="FootnoteReference"/>
        </w:rPr>
        <w:footnoteReference w:id="84"/>
      </w:r>
      <w:r w:rsidRPr="00097721">
        <w:t xml:space="preserve">  Energy Division would collect LSE</w:t>
      </w:r>
      <w:r w:rsidRPr="00097721" w:rsidR="003F0D63">
        <w:t>s’</w:t>
      </w:r>
      <w:r w:rsidRPr="00097721">
        <w:t xml:space="preserve"> RA plans, aggregate the shown deliverable resources, and determine if the aggregate excess energy is sufficient to meet the aggregate energy deficiency.  If the system is sufficient, individual LSEs would not be assessed for non-compliance with energy sufficiency requirements.  If the system has a charging deficiency, Energy Division would allocate any system-wide storage charging benefit to deficient LSEs before assessing penalties.</w:t>
      </w:r>
    </w:p>
    <w:p w:rsidRPr="00097721" w:rsidR="0059012F" w:rsidP="0059012F" w:rsidRDefault="0059012F" w14:paraId="65B9BB89" w14:textId="1F2F9019">
      <w:pPr>
        <w:pStyle w:val="Standard"/>
      </w:pPr>
      <w:r w:rsidRPr="00097721">
        <w:t>AES, Hydrostor, REV, and Terra-Gen support the proposal.</w:t>
      </w:r>
      <w:r w:rsidRPr="00097721">
        <w:rPr>
          <w:rStyle w:val="FootnoteReference"/>
        </w:rPr>
        <w:footnoteReference w:id="85"/>
      </w:r>
      <w:r w:rsidRPr="00097721">
        <w:t xml:space="preserve">  Terra-Gen states that the proposal is consistent with how the RA program avoid</w:t>
      </w:r>
      <w:r w:rsidRPr="00097721" w:rsidR="00CE0625">
        <w:t>s</w:t>
      </w:r>
      <w:r w:rsidRPr="00097721">
        <w:t xml:space="preserve"> </w:t>
      </w:r>
      <w:r w:rsidRPr="00097721">
        <w:lastRenderedPageBreak/>
        <w:t xml:space="preserve">prescribing how LSEs meet overall reliability needs </w:t>
      </w:r>
      <w:r w:rsidRPr="00097721" w:rsidR="00CE0625">
        <w:t>and</w:t>
      </w:r>
      <w:r w:rsidRPr="00097721">
        <w:t xml:space="preserve"> only sets minimum requirements.</w:t>
      </w:r>
    </w:p>
    <w:p w:rsidRPr="00097721" w:rsidR="00117D02" w:rsidP="00141C8C" w:rsidRDefault="00117D02" w14:paraId="6F8EECF3" w14:textId="59805C39">
      <w:pPr>
        <w:rPr>
          <w:rFonts w:eastAsia="Book Antiqua" w:cs="Book Antiqua"/>
          <w:szCs w:val="26"/>
        </w:rPr>
      </w:pPr>
      <w:r w:rsidRPr="00097721">
        <w:rPr>
          <w:rFonts w:eastAsia="Book Antiqua" w:cs="Book Antiqua"/>
          <w:szCs w:val="26"/>
        </w:rPr>
        <w:t>DMM recommends that the Commission ensure LSEs properly submit their grid-charging constraints into the RA showing template when considering CESA’s proposal.</w:t>
      </w:r>
      <w:r w:rsidRPr="00097721">
        <w:rPr>
          <w:rFonts w:eastAsia="Book Antiqua" w:cs="Book Antiqua"/>
          <w:szCs w:val="26"/>
          <w:vertAlign w:val="superscript"/>
        </w:rPr>
        <w:footnoteReference w:id="86"/>
      </w:r>
      <w:r w:rsidRPr="00097721">
        <w:rPr>
          <w:rFonts w:eastAsia="Book Antiqua" w:cs="Book Antiqua"/>
          <w:szCs w:val="26"/>
        </w:rPr>
        <w:t xml:space="preserve">  DMM states that co-located and hybrid resources typically have constraints that limit their ability to charge from the grid due to federal investment tax credit and local property tax exemptions that require the storage resource to charge from onsite renewable generation output.  DMM states that this negates the ability of these resources to benefit from excess system-wide energy generation for charging.</w:t>
      </w:r>
    </w:p>
    <w:p w:rsidRPr="00097721" w:rsidR="0059012F" w:rsidP="009B1E2C" w:rsidRDefault="0059012F" w14:paraId="6F592DA6" w14:textId="6FF08730">
      <w:pPr>
        <w:pStyle w:val="Standard"/>
      </w:pPr>
      <w:r w:rsidRPr="00097721">
        <w:t xml:space="preserve">Cal Advocates, </w:t>
      </w:r>
      <w:r w:rsidRPr="00097721" w:rsidR="007419D8">
        <w:t xml:space="preserve">MRP, </w:t>
      </w:r>
      <w:r w:rsidRPr="00097721">
        <w:t>and PG&amp;E oppose CESA’s proposal.</w:t>
      </w:r>
      <w:r w:rsidRPr="00097721" w:rsidR="009E28D1">
        <w:rPr>
          <w:rStyle w:val="FootnoteReference"/>
        </w:rPr>
        <w:footnoteReference w:id="87"/>
      </w:r>
      <w:r w:rsidRPr="00097721">
        <w:t xml:space="preserve">  These parties generally state that </w:t>
      </w:r>
      <w:r w:rsidRPr="00097721" w:rsidR="009E28D1">
        <w:t>the proposal</w:t>
      </w:r>
      <w:r w:rsidRPr="00097721">
        <w:t xml:space="preserve"> would allow LSEs to avoid penalties if they are deficient on </w:t>
      </w:r>
      <w:r w:rsidRPr="00097721" w:rsidR="00667F2F">
        <w:t>th</w:t>
      </w:r>
      <w:r w:rsidRPr="00097721" w:rsidR="00364309">
        <w:t>eir</w:t>
      </w:r>
      <w:r w:rsidRPr="00097721">
        <w:t xml:space="preserve"> energy sufficiency determination</w:t>
      </w:r>
      <w:r w:rsidRPr="00097721" w:rsidR="008224E0">
        <w:t>,</w:t>
      </w:r>
      <w:r w:rsidRPr="00097721">
        <w:t xml:space="preserve"> so long as all aggregate LSEs show enough charging sufficiency.  This would result in leaning on LSEs that have procured sufficient capacity, and would be contrary to the SOD structure’s intent that each LSE demonstrate sufficient capacity.  PG&amp;E states that the proposal remove</w:t>
      </w:r>
      <w:r w:rsidRPr="00097721" w:rsidR="006E2F5A">
        <w:t>s</w:t>
      </w:r>
      <w:r w:rsidRPr="00097721">
        <w:t xml:space="preserve"> incentives to meet requirements and could result in a cost shift.</w:t>
      </w:r>
      <w:r w:rsidRPr="00097721" w:rsidR="009B1E2C">
        <w:t xml:space="preserve">  </w:t>
      </w:r>
      <w:r w:rsidRPr="00097721">
        <w:t xml:space="preserve">MRP </w:t>
      </w:r>
      <w:r w:rsidRPr="00097721" w:rsidR="003D52A0">
        <w:t>counters</w:t>
      </w:r>
      <w:r w:rsidRPr="00097721">
        <w:t xml:space="preserve"> that if CESA is correct that sufficient capacity exists on an aggregate basis, </w:t>
      </w:r>
      <w:r w:rsidRPr="00097721" w:rsidR="00AD1908">
        <w:t>LSEs should not have</w:t>
      </w:r>
      <w:r w:rsidRPr="00097721">
        <w:t xml:space="preserve"> difficulty </w:t>
      </w:r>
      <w:r w:rsidRPr="00097721" w:rsidR="000871E8">
        <w:t>meet</w:t>
      </w:r>
      <w:r w:rsidRPr="00097721" w:rsidR="00AD1908">
        <w:t>ing</w:t>
      </w:r>
      <w:r w:rsidRPr="00097721" w:rsidR="00965039">
        <w:t xml:space="preserve"> their</w:t>
      </w:r>
      <w:r w:rsidRPr="00097721" w:rsidR="000871E8">
        <w:t xml:space="preserve"> requirements</w:t>
      </w:r>
      <w:r w:rsidRPr="00097721">
        <w:t xml:space="preserve">.  </w:t>
      </w:r>
      <w:r w:rsidRPr="00097721" w:rsidR="00CA100D">
        <w:t>I</w:t>
      </w:r>
      <w:r w:rsidRPr="00097721">
        <w:t xml:space="preserve">f an LSE does not have sufficient charging, </w:t>
      </w:r>
      <w:r w:rsidRPr="00097721" w:rsidR="00CA100D">
        <w:t xml:space="preserve">on the other hand, </w:t>
      </w:r>
      <w:r w:rsidRPr="00097721">
        <w:t xml:space="preserve">it can reduce the usage of storage to meet its RA requirements.  MRP adds that overall sufficient charging energy is reviewed in the IRP proceeding and </w:t>
      </w:r>
      <w:r w:rsidRPr="00097721" w:rsidR="0044218B">
        <w:t>therefore</w:t>
      </w:r>
      <w:r w:rsidRPr="00097721">
        <w:t xml:space="preserve">, should be </w:t>
      </w:r>
      <w:r w:rsidRPr="00097721">
        <w:lastRenderedPageBreak/>
        <w:t xml:space="preserve">reflected in the </w:t>
      </w:r>
      <w:r w:rsidRPr="00097721" w:rsidR="00E43058">
        <w:t>effective load carrying capacity (</w:t>
      </w:r>
      <w:r w:rsidRPr="00097721">
        <w:t>ELCC</w:t>
      </w:r>
      <w:r w:rsidRPr="00097721" w:rsidR="00E43058">
        <w:t>)</w:t>
      </w:r>
      <w:r w:rsidRPr="00097721">
        <w:t xml:space="preserve"> QC value of storage resources.  </w:t>
      </w:r>
    </w:p>
    <w:p w:rsidRPr="00097721" w:rsidR="0059012F" w:rsidP="0059012F" w:rsidRDefault="0059012F" w14:paraId="4B3931DD" w14:textId="130839C6">
      <w:pPr>
        <w:pStyle w:val="Standard"/>
      </w:pPr>
      <w:r w:rsidRPr="00097721">
        <w:t xml:space="preserve">The Commission agrees with those parties that </w:t>
      </w:r>
      <w:r w:rsidRPr="00097721" w:rsidR="00990FF1">
        <w:t>argue</w:t>
      </w:r>
      <w:r w:rsidRPr="00097721">
        <w:t xml:space="preserve"> that a system-wide charging sufficiency test would allow LSEs that have not </w:t>
      </w:r>
      <w:r w:rsidRPr="00097721" w:rsidR="004974C2">
        <w:t>met</w:t>
      </w:r>
      <w:r w:rsidRPr="00097721">
        <w:t xml:space="preserve"> their charging sufficiency requirement to lean on LSEs that have procured to meet </w:t>
      </w:r>
      <w:r w:rsidRPr="00097721" w:rsidR="00913AF2">
        <w:t xml:space="preserve">those </w:t>
      </w:r>
      <w:r w:rsidRPr="00097721">
        <w:t xml:space="preserve">requirements.  </w:t>
      </w:r>
      <w:r w:rsidRPr="00097721" w:rsidR="00017579">
        <w:t>We concur that this</w:t>
      </w:r>
      <w:r w:rsidRPr="00097721">
        <w:t xml:space="preserve"> would be contrary to the initial intent of the SOD framework</w:t>
      </w:r>
      <w:r w:rsidRPr="00097721" w:rsidR="005B3543">
        <w:t xml:space="preserve">, </w:t>
      </w:r>
      <w:r w:rsidRPr="00097721">
        <w:t>would eliminate incentives for LSEs to meet charging sufficiency requirements</w:t>
      </w:r>
      <w:r w:rsidRPr="00097721" w:rsidR="00B36FAF">
        <w:t>,</w:t>
      </w:r>
      <w:r w:rsidRPr="00097721">
        <w:t xml:space="preserve"> and </w:t>
      </w:r>
      <w:r w:rsidRPr="00097721" w:rsidR="00B36FAF">
        <w:t xml:space="preserve">would </w:t>
      </w:r>
      <w:r w:rsidRPr="00097721">
        <w:t xml:space="preserve">undermine the RA program’s LSE-based compliance program.  </w:t>
      </w:r>
      <w:r w:rsidRPr="00097721" w:rsidR="00B26655">
        <w:t>For these reasons, w</w:t>
      </w:r>
      <w:r w:rsidRPr="00097721">
        <w:t xml:space="preserve">e decline to adopt CESA’s proposal. </w:t>
      </w:r>
    </w:p>
    <w:p w:rsidRPr="00097721" w:rsidR="0059012F" w:rsidP="0059012F" w:rsidRDefault="0059012F" w14:paraId="74EA8DA4" w14:textId="1A0A5F2A">
      <w:pPr>
        <w:pStyle w:val="Heading3"/>
      </w:pPr>
      <w:bookmarkStart w:name="_Toc166841758" w:id="52"/>
      <w:r w:rsidRPr="00097721">
        <w:t>Initial State</w:t>
      </w:r>
      <w:r w:rsidRPr="00097721" w:rsidR="00850B1B">
        <w:t>-</w:t>
      </w:r>
      <w:r w:rsidRPr="00097721">
        <w:t>of</w:t>
      </w:r>
      <w:r w:rsidRPr="00097721" w:rsidR="00850B1B">
        <w:t>-</w:t>
      </w:r>
      <w:r w:rsidRPr="00097721">
        <w:t>Charge Modification</w:t>
      </w:r>
      <w:bookmarkEnd w:id="52"/>
    </w:p>
    <w:p w:rsidRPr="00097721" w:rsidR="0059012F" w:rsidP="0059012F" w:rsidRDefault="0059012F" w14:paraId="6548BADF" w14:textId="5E22C8A3">
      <w:pPr>
        <w:pStyle w:val="Standard"/>
      </w:pPr>
      <w:r w:rsidRPr="00097721">
        <w:t xml:space="preserve">CESA states that under the SOD framework, storage resources are considered as starting the “worst-day” at 0 </w:t>
      </w:r>
      <w:r w:rsidRPr="00097721" w:rsidR="00E97F65">
        <w:t>megawatt-hour (</w:t>
      </w:r>
      <w:r w:rsidRPr="00097721">
        <w:t>MWh</w:t>
      </w:r>
      <w:r w:rsidRPr="00097721" w:rsidR="00E97F65">
        <w:t>)</w:t>
      </w:r>
      <w:r w:rsidRPr="00097721">
        <w:t xml:space="preserve"> state-of-charge.</w:t>
      </w:r>
      <w:r w:rsidRPr="00097721">
        <w:rPr>
          <w:rStyle w:val="FootnoteReference"/>
        </w:rPr>
        <w:footnoteReference w:id="88"/>
      </w:r>
      <w:r w:rsidRPr="00097721">
        <w:t xml:space="preserve">  CESA states that this assumption does not reflect the actual reliability value that storage provides and is overly restrictive.  CESA </w:t>
      </w:r>
      <w:r w:rsidRPr="00097721" w:rsidR="00933ABA">
        <w:t xml:space="preserve">cites </w:t>
      </w:r>
      <w:r w:rsidRPr="00097721">
        <w:t>CAISO data indicat</w:t>
      </w:r>
      <w:r w:rsidRPr="00097721" w:rsidR="00905658">
        <w:t>ing</w:t>
      </w:r>
      <w:r w:rsidRPr="00097721">
        <w:t xml:space="preserve"> that storage enters each summer day with between 4,000 MWh–7,500 MWh state-of-charge.  CESA recommends that each resource’s initial state-of-charge be determined by conservatively considering two worst days in a row, as follows:</w:t>
      </w:r>
    </w:p>
    <w:p w:rsidRPr="00097721" w:rsidR="0059012F" w:rsidRDefault="0059012F" w14:paraId="58A82209" w14:textId="6325BD29">
      <w:pPr>
        <w:pStyle w:val="Standard"/>
        <w:numPr>
          <w:ilvl w:val="0"/>
          <w:numId w:val="10"/>
        </w:numPr>
        <w:spacing w:after="120" w:line="240" w:lineRule="auto"/>
        <w:ind w:right="1440"/>
      </w:pPr>
      <w:r w:rsidRPr="00097721">
        <w:t>First Day: an LSE first determines the maximum end-of-day state-of-charge that can be achieved while minimizing its 24-hour RA requirement deficiencies given its resource portfolio with a starting state-of-charge of 0 MWh.</w:t>
      </w:r>
    </w:p>
    <w:p w:rsidRPr="00097721" w:rsidR="0059012F" w:rsidRDefault="0059012F" w14:paraId="27FEE4CA" w14:textId="58004B25">
      <w:pPr>
        <w:pStyle w:val="Standard"/>
        <w:numPr>
          <w:ilvl w:val="0"/>
          <w:numId w:val="10"/>
        </w:numPr>
        <w:spacing w:after="120" w:line="240" w:lineRule="auto"/>
        <w:ind w:right="1440"/>
      </w:pPr>
      <w:r w:rsidRPr="00097721">
        <w:t>Compliance Day: an LSE maintains the resource’s First Day end-of-day state-of-charge as an initial state-of-charge value to be considered for compliance with the charging sufficiency test.</w:t>
      </w:r>
    </w:p>
    <w:p w:rsidRPr="00097721" w:rsidR="00117D02" w:rsidP="00791F82" w:rsidRDefault="0084743F" w14:paraId="735BD674" w14:textId="1A25A7B3">
      <w:pPr>
        <w:pStyle w:val="Standard"/>
      </w:pPr>
      <w:r w:rsidRPr="00097721">
        <w:lastRenderedPageBreak/>
        <w:t xml:space="preserve">DMM comments that RA ratings for storage resources should </w:t>
      </w:r>
      <w:r w:rsidRPr="00097721" w:rsidR="00117D02">
        <w:t xml:space="preserve">take </w:t>
      </w:r>
      <w:r w:rsidRPr="00097721">
        <w:t>actual availability of batteries into account</w:t>
      </w:r>
      <w:r w:rsidRPr="00097721" w:rsidR="00117D02">
        <w:t>, including</w:t>
      </w:r>
      <w:r w:rsidRPr="00097721">
        <w:t xml:space="preserve"> state-of-charge limitations and operational resource constraints.</w:t>
      </w:r>
      <w:r w:rsidRPr="00097721">
        <w:rPr>
          <w:rStyle w:val="FootnoteReference"/>
        </w:rPr>
        <w:footnoteReference w:id="89"/>
      </w:r>
      <w:r w:rsidRPr="00097721">
        <w:t xml:space="preserve">  DMM asserts that this means storage capacity availability has two dimensions: (1) resource availability after outages and derates, and (2) state-of-charge availability.  </w:t>
      </w:r>
    </w:p>
    <w:p w:rsidRPr="00097721" w:rsidR="004A7EFB" w:rsidP="00791F82" w:rsidRDefault="0059012F" w14:paraId="4B07317B" w14:textId="2C5ED558">
      <w:pPr>
        <w:pStyle w:val="Standard"/>
      </w:pPr>
      <w:r w:rsidRPr="00097721">
        <w:t xml:space="preserve">The Commission </w:t>
      </w:r>
      <w:r w:rsidRPr="00097721" w:rsidR="00F6491C">
        <w:t>observes</w:t>
      </w:r>
      <w:r w:rsidRPr="00097721" w:rsidR="005038EA">
        <w:t xml:space="preserve"> that Energy Division’s RA SOD Showing Template User’s Guide</w:t>
      </w:r>
      <w:r w:rsidRPr="00097721" w:rsidR="007240ED">
        <w:t xml:space="preserve"> provides that</w:t>
      </w:r>
      <w:r w:rsidRPr="00097721" w:rsidR="005038EA">
        <w:t xml:space="preserve"> </w:t>
      </w:r>
      <w:r w:rsidRPr="00097721" w:rsidR="00D00683">
        <w:t>“[a]n initial state-of-charge of 100% is assumed for all resources at the beginning of hour ending 1 of the first day….”</w:t>
      </w:r>
      <w:r w:rsidRPr="00097721" w:rsidR="00D00683">
        <w:rPr>
          <w:rStyle w:val="FootnoteReference"/>
        </w:rPr>
        <w:footnoteReference w:id="90"/>
      </w:r>
      <w:r w:rsidRPr="00097721" w:rsidR="007240ED">
        <w:t xml:space="preserve">  </w:t>
      </w:r>
      <w:r w:rsidRPr="00097721" w:rsidR="008D77CF">
        <w:t xml:space="preserve">CESA’s proposal may have been based on an earlier version of the SOD </w:t>
      </w:r>
      <w:r w:rsidRPr="00097721" w:rsidR="00E43058">
        <w:t>t</w:t>
      </w:r>
      <w:r w:rsidRPr="00097721" w:rsidR="008D77CF">
        <w:t xml:space="preserve">emplate.  </w:t>
      </w:r>
      <w:r w:rsidRPr="00097721" w:rsidR="00504BE2">
        <w:t xml:space="preserve">Because </w:t>
      </w:r>
      <w:r w:rsidRPr="00097721" w:rsidR="007240ED">
        <w:t>a 100</w:t>
      </w:r>
      <w:r w:rsidRPr="00097721" w:rsidR="00924D0B">
        <w:t xml:space="preserve"> percent</w:t>
      </w:r>
      <w:r w:rsidRPr="00097721" w:rsidR="007240ED">
        <w:t xml:space="preserve"> initial state-of-charge is assumed in the </w:t>
      </w:r>
      <w:r w:rsidRPr="00097721" w:rsidR="00117D02">
        <w:t xml:space="preserve">current version of the </w:t>
      </w:r>
      <w:r w:rsidRPr="00097721" w:rsidR="007240ED">
        <w:t xml:space="preserve">SOD template, we find CESA’s proposal to be </w:t>
      </w:r>
      <w:r w:rsidRPr="00097721" w:rsidR="00117D02">
        <w:t xml:space="preserve">moot </w:t>
      </w:r>
      <w:r w:rsidRPr="00097721" w:rsidR="001019C2">
        <w:t xml:space="preserve">and </w:t>
      </w:r>
      <w:r w:rsidRPr="00097721" w:rsidR="00CB5160">
        <w:t xml:space="preserve">we </w:t>
      </w:r>
      <w:r w:rsidRPr="00097721" w:rsidR="001019C2">
        <w:t>decline to adopt it</w:t>
      </w:r>
      <w:r w:rsidRPr="00097721" w:rsidR="007240ED">
        <w:t>.</w:t>
      </w:r>
      <w:r w:rsidRPr="00097721" w:rsidR="002406E6">
        <w:t xml:space="preserve">  For initial SOD implementation, the Commission finds that the state-of-charge assumptions in the SOD templates are sufficient.  We will continue to monitor this aspect of the SOD program and make adjustments to the state-of-charge assumptions as warranted. </w:t>
      </w:r>
    </w:p>
    <w:p w:rsidRPr="00097721" w:rsidR="0059012F" w:rsidP="0059012F" w:rsidRDefault="0059012F" w14:paraId="293200A4" w14:textId="6CB899F9">
      <w:pPr>
        <w:pStyle w:val="Heading3"/>
      </w:pPr>
      <w:bookmarkStart w:name="_Toc166841759" w:id="53"/>
      <w:r w:rsidRPr="00097721">
        <w:t>Energy-Only Resources for Charging Sufficiency Requirement</w:t>
      </w:r>
      <w:bookmarkEnd w:id="53"/>
    </w:p>
    <w:p w:rsidRPr="00097721" w:rsidR="0059012F" w:rsidP="0059012F" w:rsidRDefault="0059012F" w14:paraId="7E4F688B" w14:textId="4D2B5441">
      <w:pPr>
        <w:pStyle w:val="Standard"/>
      </w:pPr>
      <w:r w:rsidRPr="00097721">
        <w:t>SCE seeks clarification that energy-only</w:t>
      </w:r>
      <w:r w:rsidRPr="00097721" w:rsidR="00B12DAF">
        <w:t xml:space="preserve"> (EO)</w:t>
      </w:r>
      <w:r w:rsidRPr="00097721">
        <w:t xml:space="preserve"> resources can contribute to charging sufficiency for both co-located and hybrid storage resources.</w:t>
      </w:r>
      <w:r w:rsidRPr="00097721">
        <w:rPr>
          <w:rStyle w:val="FootnoteReference"/>
        </w:rPr>
        <w:footnoteReference w:id="91"/>
      </w:r>
      <w:r w:rsidRPr="00097721">
        <w:t xml:space="preserve">  In D.23-04-010, the Commission provided that “[a]n energy-only (EO) resource is eligible to count towards the storage charging sufficiency requirement if the EO </w:t>
      </w:r>
      <w:r w:rsidRPr="00097721" w:rsidR="008D7B4B">
        <w:t>r</w:t>
      </w:r>
      <w:r w:rsidRPr="00097721">
        <w:t xml:space="preserve">esource </w:t>
      </w:r>
      <w:r w:rsidRPr="00097721">
        <w:lastRenderedPageBreak/>
        <w:t>is charging exclusively on-site storage, regardless of whether the paired storage is able to charge from the grid.”</w:t>
      </w:r>
      <w:r w:rsidRPr="00097721">
        <w:rPr>
          <w:rStyle w:val="FootnoteReference"/>
        </w:rPr>
        <w:footnoteReference w:id="92"/>
      </w:r>
      <w:r w:rsidRPr="00097721">
        <w:t xml:space="preserve">  SCE states that while the </w:t>
      </w:r>
      <w:r w:rsidRPr="00097721" w:rsidR="00B12DAF">
        <w:t>record of the proceeding in R.21-10-002 and body</w:t>
      </w:r>
      <w:r w:rsidRPr="00097721">
        <w:t xml:space="preserve"> of the decision </w:t>
      </w:r>
      <w:r w:rsidRPr="00097721" w:rsidR="00B12DAF">
        <w:t>support</w:t>
      </w:r>
      <w:r w:rsidRPr="00097721">
        <w:t xml:space="preserve"> that EO resources </w:t>
      </w:r>
      <w:r w:rsidRPr="00097721" w:rsidR="00B12DAF">
        <w:t xml:space="preserve">may </w:t>
      </w:r>
      <w:r w:rsidRPr="00097721">
        <w:t>count towards the charging sufficiency requirement of co-located storage resources</w:t>
      </w:r>
      <w:r w:rsidRPr="00097721" w:rsidR="00B12DAF">
        <w:t xml:space="preserve"> behind the same POI</w:t>
      </w:r>
      <w:r w:rsidRPr="00097721">
        <w:t xml:space="preserve">, Ordering Paragraph 7 </w:t>
      </w:r>
      <w:r w:rsidRPr="00097721" w:rsidR="00280A31">
        <w:t>provides</w:t>
      </w:r>
      <w:r w:rsidRPr="00097721">
        <w:t xml:space="preserve"> that “the EO resource should exclusively charge on-site charge,” impl</w:t>
      </w:r>
      <w:r w:rsidRPr="00097721" w:rsidR="00280A31">
        <w:t>ying</w:t>
      </w:r>
      <w:r w:rsidRPr="00097721">
        <w:t xml:space="preserve"> that the Commission allows EO resources to provide charging sufficiency of paired storage resources in hybrid, but not co-located, configurations.  SCE seeks a correction to Ordering Paragraph 7 to say that the Commission treats hybrid and co-located resources the same on this issue.</w:t>
      </w:r>
    </w:p>
    <w:p w:rsidRPr="00097721" w:rsidR="0059012F" w:rsidP="0059012F" w:rsidRDefault="00AE30C5" w14:paraId="476A9BF3" w14:textId="71369847">
      <w:pPr>
        <w:pStyle w:val="Standard"/>
      </w:pPr>
      <w:r w:rsidRPr="00097721">
        <w:t xml:space="preserve">Ava, </w:t>
      </w:r>
      <w:r w:rsidRPr="00097721" w:rsidR="0059012F">
        <w:t>CESA, PG&amp;E</w:t>
      </w:r>
      <w:r w:rsidRPr="00097721" w:rsidR="007330EC">
        <w:t>, and Sierra Club/CEJA</w:t>
      </w:r>
      <w:r w:rsidRPr="00097721" w:rsidR="0059012F">
        <w:t xml:space="preserve"> support SCE’s clarification that EO resources contribute to charging sufficiency for both co-located and hybrid resources.</w:t>
      </w:r>
      <w:r w:rsidRPr="00097721" w:rsidR="0059012F">
        <w:rPr>
          <w:rStyle w:val="FootnoteReference"/>
        </w:rPr>
        <w:footnoteReference w:id="93"/>
      </w:r>
    </w:p>
    <w:p w:rsidRPr="00097721" w:rsidR="0059012F" w:rsidP="0059012F" w:rsidRDefault="0059012F" w14:paraId="5FED9211" w14:textId="3A1ECF35">
      <w:pPr>
        <w:pStyle w:val="Standard"/>
      </w:pPr>
      <w:r w:rsidRPr="00097721">
        <w:t xml:space="preserve">The Commission agrees with SCE’s clarification </w:t>
      </w:r>
      <w:r w:rsidRPr="00097721" w:rsidR="00882849">
        <w:t>that</w:t>
      </w:r>
      <w:r w:rsidRPr="00097721">
        <w:t xml:space="preserve"> the Commission’s intent </w:t>
      </w:r>
      <w:r w:rsidRPr="00097721" w:rsidR="00882849">
        <w:t>in</w:t>
      </w:r>
      <w:r w:rsidRPr="00097721">
        <w:t xml:space="preserve"> Ordering Paragraph 7</w:t>
      </w:r>
      <w:r w:rsidRPr="00097721" w:rsidR="00882849">
        <w:t xml:space="preserve"> of D.23-04-010 was to allow both EO resources to provide charging sufficiency of paired storage resources in hybrid and co-located configurations</w:t>
      </w:r>
      <w:r w:rsidRPr="00097721">
        <w:t xml:space="preserve">.  </w:t>
      </w:r>
      <w:r w:rsidRPr="00097721" w:rsidR="00CF38C8">
        <w:t>Accordingly</w:t>
      </w:r>
      <w:r w:rsidRPr="00097721">
        <w:t xml:space="preserve">, </w:t>
      </w:r>
      <w:r w:rsidRPr="00097721" w:rsidR="00882849">
        <w:t>the following is adopted</w:t>
      </w:r>
      <w:r w:rsidRPr="00097721" w:rsidR="00B12DAF">
        <w:t>:</w:t>
      </w:r>
    </w:p>
    <w:p w:rsidRPr="00097721" w:rsidR="0059012F" w:rsidP="00FA34E5" w:rsidRDefault="0059012F" w14:paraId="6D6EB506" w14:textId="4664950C">
      <w:pPr>
        <w:pStyle w:val="Standard"/>
        <w:spacing w:after="240" w:line="240" w:lineRule="auto"/>
        <w:ind w:left="720" w:right="1440" w:firstLine="0"/>
      </w:pPr>
      <w:r w:rsidRPr="00097721">
        <w:t xml:space="preserve">Paired </w:t>
      </w:r>
      <w:r w:rsidRPr="00097721" w:rsidR="00B12DAF">
        <w:t xml:space="preserve">storage </w:t>
      </w:r>
      <w:r w:rsidRPr="00097721">
        <w:t xml:space="preserve">resources will be characterized on the Master Resource Database (MRD) as either charging exclusively </w:t>
      </w:r>
      <w:r w:rsidRPr="00097721" w:rsidR="00B12DAF">
        <w:t xml:space="preserve">from paired resources </w:t>
      </w:r>
      <w:r w:rsidRPr="00097721">
        <w:t xml:space="preserve">or allowing grid charging. </w:t>
      </w:r>
      <w:r w:rsidRPr="00097721" w:rsidR="00CF38C8">
        <w:t xml:space="preserve"> </w:t>
      </w:r>
      <w:r w:rsidRPr="00097721">
        <w:t xml:space="preserve">An energy-only (EO) resource is eligible to count towards the storage charging sufficiency requirement if the EO resource is charging exclusively </w:t>
      </w:r>
      <w:r w:rsidRPr="00097721" w:rsidR="00F168A4">
        <w:t xml:space="preserve">paired </w:t>
      </w:r>
      <w:r w:rsidRPr="00097721">
        <w:t xml:space="preserve">storage, regardless of whether the paired storage is able to charge from the grid. The charging capacity of the renewable resource will be capped at the amount that can be used to charge the </w:t>
      </w:r>
      <w:r w:rsidRPr="00097721" w:rsidR="00B12DAF">
        <w:t>paired</w:t>
      </w:r>
      <w:r w:rsidRPr="00097721">
        <w:t xml:space="preserve"> storage and the storage will </w:t>
      </w:r>
      <w:r w:rsidRPr="00097721">
        <w:lastRenderedPageBreak/>
        <w:t xml:space="preserve">be capped at the interconnection limit. </w:t>
      </w:r>
      <w:r w:rsidRPr="00097721" w:rsidR="00E32A1A">
        <w:t xml:space="preserve"> </w:t>
      </w:r>
      <w:r w:rsidRPr="00097721">
        <w:t>Paired components will be shown as separate assets on the MRD and load-serving entities’ showings, and the total of the components must not exceed the interconnection amount in any hour.</w:t>
      </w:r>
    </w:p>
    <w:p w:rsidRPr="00097721" w:rsidR="00D246AA" w:rsidP="00B12DAF" w:rsidRDefault="00B12DAF" w14:paraId="41737D3D" w14:textId="160D6293">
      <w:pPr>
        <w:pStyle w:val="Standard"/>
      </w:pPr>
      <w:r w:rsidRPr="00097721">
        <w:t xml:space="preserve">SCE </w:t>
      </w:r>
      <w:r w:rsidRPr="00097721" w:rsidR="0012343F">
        <w:t>also</w:t>
      </w:r>
      <w:r w:rsidRPr="00097721">
        <w:t xml:space="preserve"> </w:t>
      </w:r>
      <w:r w:rsidRPr="00097721" w:rsidR="00D246AA">
        <w:t>seeks</w:t>
      </w:r>
      <w:r w:rsidRPr="00097721">
        <w:t xml:space="preserve"> clarification </w:t>
      </w:r>
      <w:r w:rsidRPr="00097721" w:rsidR="00D246AA">
        <w:t>as to</w:t>
      </w:r>
      <w:r w:rsidRPr="00097721">
        <w:t xml:space="preserve"> whether the off-taker of co-located storage resources must have off-take rights for the EO resources to allow counting towards charging sufficiency of the storage in SOD filings, but </w:t>
      </w:r>
      <w:r w:rsidRPr="00097721" w:rsidR="00D246AA">
        <w:t xml:space="preserve">SCE </w:t>
      </w:r>
      <w:r w:rsidRPr="00097721">
        <w:t xml:space="preserve">acknowledges that this </w:t>
      </w:r>
      <w:r w:rsidRPr="00097721" w:rsidR="00D246AA">
        <w:t>issue</w:t>
      </w:r>
      <w:r w:rsidRPr="00097721">
        <w:t xml:space="preserve"> requires </w:t>
      </w:r>
      <w:r w:rsidRPr="00097721" w:rsidR="00D246AA">
        <w:t>further</w:t>
      </w:r>
      <w:r w:rsidRPr="00097721">
        <w:t xml:space="preserve"> develop</w:t>
      </w:r>
      <w:r w:rsidRPr="00097721" w:rsidR="00D246AA">
        <w:t>ment</w:t>
      </w:r>
      <w:r w:rsidRPr="00097721">
        <w:t>.</w:t>
      </w:r>
      <w:r w:rsidRPr="00097721" w:rsidR="00D246AA">
        <w:rPr>
          <w:rStyle w:val="FootnoteReference"/>
        </w:rPr>
        <w:footnoteReference w:id="94"/>
      </w:r>
      <w:r w:rsidRPr="00097721">
        <w:t xml:space="preserve">  </w:t>
      </w:r>
      <w:r w:rsidRPr="00097721" w:rsidR="00D246AA">
        <w:t>F</w:t>
      </w:r>
      <w:r w:rsidRPr="00097721">
        <w:t xml:space="preserve">or early implementation, </w:t>
      </w:r>
      <w:r w:rsidRPr="00097721" w:rsidR="00D246AA">
        <w:t xml:space="preserve">therefore, </w:t>
      </w:r>
      <w:r w:rsidRPr="00097721">
        <w:t xml:space="preserve">SCE proposes that starting </w:t>
      </w:r>
      <w:r w:rsidRPr="00097721" w:rsidR="00D246AA">
        <w:t>in</w:t>
      </w:r>
      <w:r w:rsidRPr="00097721">
        <w:t xml:space="preserve"> 2025, energy sufficiency from EO resources be prorated to all paired storage resources based on the NQC of the storage resources.  </w:t>
      </w:r>
    </w:p>
    <w:p w:rsidRPr="00097721" w:rsidR="003B0C5D" w:rsidP="00B12DAF" w:rsidRDefault="00B12DAF" w14:paraId="067AB71E" w14:textId="01D72514">
      <w:pPr>
        <w:pStyle w:val="Standard"/>
      </w:pPr>
      <w:r w:rsidRPr="00097721">
        <w:t xml:space="preserve">The Commission finds this </w:t>
      </w:r>
      <w:r w:rsidRPr="00097721" w:rsidR="00D246AA">
        <w:t xml:space="preserve">to be </w:t>
      </w:r>
      <w:r w:rsidRPr="00097721">
        <w:t xml:space="preserve">reasonable as </w:t>
      </w:r>
      <w:r w:rsidRPr="00097721" w:rsidR="00117D02">
        <w:t xml:space="preserve">it </w:t>
      </w:r>
      <w:r w:rsidRPr="00097721">
        <w:t>allows the energy sufficiency benefit of the EO components to remain bundled with the storage components</w:t>
      </w:r>
      <w:r w:rsidRPr="00097721" w:rsidR="003B0C5D">
        <w:t>,</w:t>
      </w:r>
      <w:r w:rsidRPr="00097721">
        <w:t xml:space="preserve"> while </w:t>
      </w:r>
      <w:r w:rsidRPr="00097721" w:rsidR="00117D02">
        <w:t>allowing for further discussion</w:t>
      </w:r>
      <w:r w:rsidRPr="00097721" w:rsidR="003B0C5D">
        <w:t xml:space="preserve"> among stakeholders</w:t>
      </w:r>
      <w:r w:rsidRPr="00097721">
        <w:t>.</w:t>
      </w:r>
      <w:r w:rsidRPr="00097721" w:rsidR="00117D02">
        <w:t xml:space="preserve">  It should also be noted that SOD compliance largely depends on supply plan verification from CAISO.  </w:t>
      </w:r>
      <w:bookmarkStart w:name="_Hlk166685706" w:id="54"/>
      <w:r w:rsidRPr="00097721" w:rsidR="00117D02">
        <w:t xml:space="preserve">EO resources are not able to </w:t>
      </w:r>
      <w:r w:rsidRPr="00097721" w:rsidR="003B0C5D">
        <w:t xml:space="preserve">submit </w:t>
      </w:r>
      <w:r w:rsidRPr="00097721" w:rsidR="00117D02">
        <w:t xml:space="preserve">supply plans to CAISO to confirm off-take agreements.  </w:t>
      </w:r>
      <w:bookmarkEnd w:id="54"/>
      <w:r w:rsidRPr="00097721" w:rsidR="00117D02">
        <w:t>Bundling the EO attribute with the paired resource will help ensure that the energy sufficiency value can be confirmed for compliance.</w:t>
      </w:r>
      <w:r w:rsidRPr="00097721">
        <w:t xml:space="preserve">  </w:t>
      </w:r>
    </w:p>
    <w:p w:rsidRPr="00097721" w:rsidR="00B12DAF" w:rsidP="00B12DAF" w:rsidRDefault="00B12DAF" w14:paraId="289F46B3" w14:textId="03181663">
      <w:pPr>
        <w:pStyle w:val="Standard"/>
      </w:pPr>
      <w:r w:rsidRPr="00097721">
        <w:t xml:space="preserve">As such, beginning </w:t>
      </w:r>
      <w:r w:rsidRPr="00097721" w:rsidR="00117D02">
        <w:t xml:space="preserve">with the </w:t>
      </w:r>
      <w:r w:rsidRPr="00097721">
        <w:t>2025</w:t>
      </w:r>
      <w:r w:rsidRPr="00097721" w:rsidR="00117D02">
        <w:t xml:space="preserve"> compliance year</w:t>
      </w:r>
      <w:r w:rsidRPr="00097721">
        <w:t xml:space="preserve">, </w:t>
      </w:r>
      <w:r w:rsidRPr="00097721" w:rsidR="003B0C5D">
        <w:t xml:space="preserve">and on an interim basis, </w:t>
      </w:r>
      <w:r w:rsidRPr="00097721">
        <w:t xml:space="preserve">energy sufficiency from EO resources will be prorated to all paired storage resources based on the NQC of the storage resources.  </w:t>
      </w:r>
      <w:r w:rsidRPr="00097721" w:rsidR="0012343F">
        <w:t>For a</w:t>
      </w:r>
      <w:r w:rsidRPr="00097721">
        <w:t xml:space="preserve"> more permanent </w:t>
      </w:r>
      <w:r w:rsidRPr="00097721" w:rsidR="00D246AA">
        <w:t>solution</w:t>
      </w:r>
      <w:r w:rsidRPr="00097721">
        <w:t xml:space="preserve">, </w:t>
      </w:r>
      <w:r w:rsidRPr="00097721" w:rsidR="009D7C3B">
        <w:t>the issue of</w:t>
      </w:r>
      <w:r w:rsidRPr="00097721">
        <w:t xml:space="preserve"> off-taking rights for EO resources </w:t>
      </w:r>
      <w:r w:rsidRPr="00097721" w:rsidR="00D246AA">
        <w:t>should</w:t>
      </w:r>
      <w:r w:rsidRPr="00097721">
        <w:t xml:space="preserve"> be </w:t>
      </w:r>
      <w:r w:rsidRPr="00097721" w:rsidR="009D7C3B">
        <w:t>considered</w:t>
      </w:r>
      <w:r w:rsidRPr="00097721">
        <w:t xml:space="preserve"> in a later track of this proceeding.</w:t>
      </w:r>
      <w:r w:rsidRPr="00097721" w:rsidDel="0065616C">
        <w:t xml:space="preserve"> </w:t>
      </w:r>
    </w:p>
    <w:p w:rsidRPr="00097721" w:rsidR="00302C34" w:rsidP="006D32FE" w:rsidRDefault="00302C34" w14:paraId="2C35A919" w14:textId="76618522">
      <w:pPr>
        <w:pStyle w:val="Heading3"/>
      </w:pPr>
      <w:bookmarkStart w:name="_Toc166841760" w:id="55"/>
      <w:r w:rsidRPr="00097721">
        <w:lastRenderedPageBreak/>
        <w:t>Multi-Day Storage Facilities</w:t>
      </w:r>
      <w:bookmarkEnd w:id="55"/>
    </w:p>
    <w:p w:rsidRPr="00097721" w:rsidR="006D32FE" w:rsidP="00362932" w:rsidRDefault="00EC60E6" w14:paraId="4FCCEA2C" w14:textId="0FA3D4EF">
      <w:pPr>
        <w:pStyle w:val="Standard"/>
      </w:pPr>
      <w:r w:rsidRPr="00097721">
        <w:t>Form Energy states that under the SOD framework, multi-day storage (MDS) systems should not be required to demonstrate that energy storage resources are fully recharged within the same 24-hour period.</w:t>
      </w:r>
      <w:r w:rsidRPr="00097721">
        <w:rPr>
          <w:rStyle w:val="FootnoteReference"/>
        </w:rPr>
        <w:footnoteReference w:id="95"/>
      </w:r>
      <w:r w:rsidRPr="00097721">
        <w:t xml:space="preserve">  Form Energy </w:t>
      </w:r>
      <w:r w:rsidRPr="00097721" w:rsidR="0039557D">
        <w:t>contends</w:t>
      </w:r>
      <w:r w:rsidRPr="00097721">
        <w:t xml:space="preserve"> that this requirement is not reasonable as applied to MDS </w:t>
      </w:r>
      <w:r w:rsidRPr="00097721" w:rsidR="0002163D">
        <w:t>system</w:t>
      </w:r>
      <w:r w:rsidRPr="00097721" w:rsidR="00A31E64">
        <w:t>s</w:t>
      </w:r>
      <w:r w:rsidRPr="00097721" w:rsidR="0002163D">
        <w:t xml:space="preserve">, like Form Energy’s 100-hour battery, because they are able to discharge continuously well over </w:t>
      </w:r>
      <w:r w:rsidRPr="00097721" w:rsidR="00A31E64">
        <w:t>a</w:t>
      </w:r>
      <w:r w:rsidRPr="00097721" w:rsidR="0002163D">
        <w:t xml:space="preserve"> 24-hour period without recharging.  Form Energy also states that a MDS system typically operates by charging and shifting excess renewable energy across many days and weeks to integrate renewable resources over longer periods.</w:t>
      </w:r>
      <w:r w:rsidRPr="00097721" w:rsidR="00C909A1">
        <w:t xml:space="preserve">  </w:t>
      </w:r>
      <w:r w:rsidRPr="00097721" w:rsidR="006D32FE">
        <w:t xml:space="preserve">Form Energy </w:t>
      </w:r>
      <w:r w:rsidRPr="00097721" w:rsidR="00A61B37">
        <w:t>asserts</w:t>
      </w:r>
      <w:r w:rsidRPr="00097721" w:rsidR="006D32FE">
        <w:t xml:space="preserve"> that its proposal is consistent with hydroelectric resources (such as pumped storage hydro) </w:t>
      </w:r>
      <w:r w:rsidRPr="00097721" w:rsidR="0014717A">
        <w:t xml:space="preserve">that </w:t>
      </w:r>
      <w:r w:rsidRPr="00097721" w:rsidR="006D32FE">
        <w:t xml:space="preserve">are eligible to be shown as firm 24-hour resources at their monthly QC, regardless of duration limitations.  Form Energy </w:t>
      </w:r>
      <w:r w:rsidRPr="00097721" w:rsidR="00D539C5">
        <w:t>states</w:t>
      </w:r>
      <w:r w:rsidRPr="00097721" w:rsidR="006D32FE">
        <w:t xml:space="preserve"> that 100 hours is within the range of existing pumped storage hydro duration capabilities and that the “recharge” from stream flows is conceptually </w:t>
      </w:r>
      <w:r w:rsidRPr="00097721" w:rsidR="0050243F">
        <w:t xml:space="preserve">not </w:t>
      </w:r>
      <w:r w:rsidRPr="00097721" w:rsidR="006D32FE">
        <w:t>different from partial recharge that would likely occur for a MDS dispatch.</w:t>
      </w:r>
      <w:r w:rsidRPr="00097721" w:rsidR="00A30D07">
        <w:t xml:space="preserve">  Form Energy </w:t>
      </w:r>
      <w:r w:rsidRPr="00097721" w:rsidR="009417D3">
        <w:t xml:space="preserve">thus </w:t>
      </w:r>
      <w:r w:rsidRPr="00097721" w:rsidR="00A30D07">
        <w:t xml:space="preserve">proposes that MDS resources that can dispatch over multiple days should be treated as firm resources on an interim basis, until the Commission can further determine how MDS </w:t>
      </w:r>
      <w:r w:rsidRPr="00097721" w:rsidR="00326F29">
        <w:t>resources</w:t>
      </w:r>
      <w:r w:rsidRPr="00097721" w:rsidR="00A30D07">
        <w:t xml:space="preserve"> should be treated.</w:t>
      </w:r>
    </w:p>
    <w:p w:rsidRPr="00097721" w:rsidR="009C2FBD" w:rsidP="00362932" w:rsidRDefault="00BD5777" w14:paraId="2A749F6D" w14:textId="4E00D547">
      <w:pPr>
        <w:pStyle w:val="Standard"/>
      </w:pPr>
      <w:r w:rsidRPr="00097721">
        <w:t xml:space="preserve">CESA </w:t>
      </w:r>
      <w:r w:rsidRPr="00097721" w:rsidR="00E156ED">
        <w:t>and Hyd</w:t>
      </w:r>
      <w:r w:rsidRPr="00097721" w:rsidR="00235C12">
        <w:t>r</w:t>
      </w:r>
      <w:r w:rsidRPr="00097721" w:rsidR="00E156ED">
        <w:t xml:space="preserve">ostor </w:t>
      </w:r>
      <w:r w:rsidRPr="00097721">
        <w:t>support this proposal.</w:t>
      </w:r>
      <w:r w:rsidRPr="00097721">
        <w:rPr>
          <w:rStyle w:val="FootnoteReference"/>
        </w:rPr>
        <w:footnoteReference w:id="96"/>
      </w:r>
      <w:r w:rsidRPr="00097721" w:rsidR="00235C12">
        <w:t xml:space="preserve">  Hydrostor states that the RA program must distinguish between long-duration energy storage’s (LDES) continuous discharge capabilities and shorter duration resources, to avoid over-reliance on single-technology storage.</w:t>
      </w:r>
      <w:r w:rsidRPr="00097721" w:rsidR="00DD0FDF">
        <w:t xml:space="preserve">  </w:t>
      </w:r>
    </w:p>
    <w:p w:rsidRPr="00097721" w:rsidR="00BD5777" w:rsidP="00362932" w:rsidRDefault="00DD0FDF" w14:paraId="0767B9C8" w14:textId="3ED1FEEC">
      <w:pPr>
        <w:pStyle w:val="Standard"/>
      </w:pPr>
      <w:r w:rsidRPr="00097721">
        <w:lastRenderedPageBreak/>
        <w:t xml:space="preserve">Cal Advocates </w:t>
      </w:r>
      <w:r w:rsidRPr="00097721" w:rsidR="00682225">
        <w:t>opposes the proposal</w:t>
      </w:r>
      <w:r w:rsidRPr="00097721" w:rsidR="00A55F3E">
        <w:t xml:space="preserve">, arguing </w:t>
      </w:r>
      <w:r w:rsidRPr="00097721">
        <w:t xml:space="preserve">that it not clear that </w:t>
      </w:r>
      <w:r w:rsidRPr="00097721" w:rsidR="00657FA1">
        <w:t xml:space="preserve">the </w:t>
      </w:r>
      <w:r w:rsidRPr="00097721">
        <w:t>100-hour battery would have sufficient state-of-charge in each month of the 24-hour showing to provide firm 24-hour capacity.</w:t>
      </w:r>
      <w:r w:rsidRPr="00097721" w:rsidR="009C2FBD">
        <w:rPr>
          <w:rStyle w:val="FootnoteReference"/>
        </w:rPr>
        <w:footnoteReference w:id="97"/>
      </w:r>
      <w:r w:rsidRPr="00097721" w:rsidR="009C2FBD">
        <w:t xml:space="preserve">  Cal Advocates </w:t>
      </w:r>
      <w:r w:rsidRPr="00097721" w:rsidR="00A95699">
        <w:t>notes</w:t>
      </w:r>
      <w:r w:rsidRPr="00097721" w:rsidR="009C2FBD">
        <w:t xml:space="preserve"> that Form Energy states </w:t>
      </w:r>
      <w:r w:rsidRPr="00097721" w:rsidR="00140B76">
        <w:t xml:space="preserve">that </w:t>
      </w:r>
      <w:r w:rsidRPr="00097721" w:rsidR="005B7D6E">
        <w:t>its battery</w:t>
      </w:r>
      <w:r w:rsidRPr="00097721" w:rsidR="009C2FBD">
        <w:t xml:space="preserve"> has an expected annual dispatch profile where the state-of-charge ranges between 0 to 10</w:t>
      </w:r>
      <w:r w:rsidRPr="00097721" w:rsidR="00BB612A">
        <w:t xml:space="preserve"> percent</w:t>
      </w:r>
      <w:r w:rsidRPr="00097721" w:rsidR="009C2FBD">
        <w:t xml:space="preserve"> in certain months, which would only provide between 0 to 10 hours of dispatch at its QC value, not 24 hours.</w:t>
      </w:r>
      <w:r w:rsidRPr="00097721" w:rsidR="00682225">
        <w:t xml:space="preserve">  Cal Advocates also states </w:t>
      </w:r>
      <w:r w:rsidRPr="00097721" w:rsidR="00282791">
        <w:t>that</w:t>
      </w:r>
      <w:r w:rsidRPr="00097721" w:rsidR="0068439F">
        <w:t xml:space="preserve"> exempt</w:t>
      </w:r>
      <w:r w:rsidRPr="00097721" w:rsidR="00282791">
        <w:t>ing</w:t>
      </w:r>
      <w:r w:rsidRPr="00097721" w:rsidR="0068439F">
        <w:t xml:space="preserve"> </w:t>
      </w:r>
      <w:r w:rsidRPr="00097721" w:rsidR="00E91BD2">
        <w:t>a</w:t>
      </w:r>
      <w:r w:rsidRPr="00097721" w:rsidR="00282791">
        <w:t xml:space="preserve"> 100-hour</w:t>
      </w:r>
      <w:r w:rsidRPr="00097721" w:rsidR="0068439F">
        <w:t xml:space="preserve"> battery from the energy sufficiency test is problematic due to the battery’s low round</w:t>
      </w:r>
      <w:r w:rsidRPr="00097721" w:rsidR="00920011">
        <w:t>-</w:t>
      </w:r>
      <w:r w:rsidRPr="00097721" w:rsidR="0068439F">
        <w:t>trip efficiency of 50-55</w:t>
      </w:r>
      <w:r w:rsidRPr="00097721" w:rsidR="00F4718E">
        <w:t xml:space="preserve"> percent</w:t>
      </w:r>
      <w:r w:rsidRPr="00097721" w:rsidR="00CF7BF5">
        <w:t>.  Cal Advocates state</w:t>
      </w:r>
      <w:r w:rsidRPr="00097721" w:rsidR="00753BD6">
        <w:t>s</w:t>
      </w:r>
      <w:r w:rsidRPr="00097721" w:rsidR="00CF7BF5">
        <w:t xml:space="preserve"> </w:t>
      </w:r>
      <w:r w:rsidRPr="00097721" w:rsidR="00682225">
        <w:t>that in certain months of low state-of-charge, Form Energy’s battery would require double the energy to charge tha</w:t>
      </w:r>
      <w:r w:rsidRPr="00097721" w:rsidR="00E42E3A">
        <w:t>n</w:t>
      </w:r>
      <w:r w:rsidRPr="00097721" w:rsidR="00682225">
        <w:t xml:space="preserve"> it would to discharge, and there is no guarantee of energy sufficiency.</w:t>
      </w:r>
    </w:p>
    <w:p w:rsidRPr="00097721" w:rsidR="006D32FE" w:rsidP="004E062F" w:rsidRDefault="002C3A7E" w14:paraId="1F1C48AC" w14:textId="1974C568">
      <w:pPr>
        <w:pStyle w:val="Standard"/>
      </w:pPr>
      <w:r w:rsidRPr="00097721">
        <w:t>As the Commission stated in D.23-04-010, “ensuring LDES resources are properly valued across the SOD framework is critical to the durability and success of the SOD framework.”</w:t>
      </w:r>
      <w:r w:rsidRPr="00097721">
        <w:rPr>
          <w:rStyle w:val="FootnoteReference"/>
        </w:rPr>
        <w:footnoteReference w:id="98"/>
      </w:r>
      <w:r w:rsidRPr="00097721" w:rsidR="005323AE">
        <w:t xml:space="preserve"> </w:t>
      </w:r>
      <w:r w:rsidRPr="00097721">
        <w:t xml:space="preserve"> In that decision</w:t>
      </w:r>
      <w:r w:rsidRPr="00097721" w:rsidR="00E51E5C">
        <w:t>,</w:t>
      </w:r>
      <w:r w:rsidRPr="00097721">
        <w:t xml:space="preserve"> we </w:t>
      </w:r>
      <w:r w:rsidRPr="00097721" w:rsidR="00773845">
        <w:t>concluded</w:t>
      </w:r>
      <w:r w:rsidRPr="00097721">
        <w:t xml:space="preserve"> that a MDS counting methodology was not ready for adoption and “[a]dditional discussion on this issue should be undertaken after the initial implementation of the SOD </w:t>
      </w:r>
      <w:r w:rsidRPr="00097721" w:rsidR="004C064F">
        <w:t>framework</w:t>
      </w:r>
      <w:r w:rsidRPr="00097721">
        <w:t>.”</w:t>
      </w:r>
      <w:r w:rsidRPr="00097721" w:rsidR="004C064F">
        <w:rPr>
          <w:rStyle w:val="FootnoteReference"/>
        </w:rPr>
        <w:footnoteReference w:id="99"/>
      </w:r>
      <w:r w:rsidRPr="00097721">
        <w:t xml:space="preserve">  </w:t>
      </w:r>
      <w:r w:rsidRPr="00097721" w:rsidR="00D00ED1">
        <w:t xml:space="preserve">The Commission finds </w:t>
      </w:r>
      <w:r w:rsidRPr="00097721" w:rsidR="00663F98">
        <w:t xml:space="preserve">that </w:t>
      </w:r>
      <w:r w:rsidRPr="00097721" w:rsidR="001B0951">
        <w:t>Form</w:t>
      </w:r>
      <w:r w:rsidRPr="00097721" w:rsidR="008A5D9D">
        <w:t xml:space="preserve"> Energy</w:t>
      </w:r>
      <w:r w:rsidRPr="00097721" w:rsidR="001B0951">
        <w:t xml:space="preserve">’s proposal lacks sufficient record support, and </w:t>
      </w:r>
      <w:r w:rsidRPr="00097721" w:rsidR="00E51E5C">
        <w:t xml:space="preserve">that </w:t>
      </w:r>
      <w:r w:rsidRPr="00097721" w:rsidR="001B0951">
        <w:t>Cal Advocates raises valid concerns that should be addressed.</w:t>
      </w:r>
      <w:r w:rsidRPr="00097721" w:rsidR="00F945E6">
        <w:t xml:space="preserve">  The</w:t>
      </w:r>
      <w:r w:rsidRPr="00097721" w:rsidR="00D00ED1">
        <w:t xml:space="preserve"> Commission </w:t>
      </w:r>
      <w:r w:rsidRPr="00097721" w:rsidR="001B0951">
        <w:t xml:space="preserve">deems that additional development is still required to inform a MDS counting methodology and </w:t>
      </w:r>
      <w:r w:rsidRPr="00097721" w:rsidR="00D00ED1">
        <w:t xml:space="preserve">encourages parties to </w:t>
      </w:r>
      <w:r w:rsidRPr="00097721" w:rsidR="008E1453">
        <w:t xml:space="preserve">coordinate to </w:t>
      </w:r>
      <w:r w:rsidRPr="00097721" w:rsidR="00D00ED1">
        <w:t>d</w:t>
      </w:r>
      <w:r w:rsidRPr="00097721" w:rsidR="008E1453">
        <w:t>evelop</w:t>
      </w:r>
      <w:r w:rsidRPr="00097721" w:rsidR="00D00ED1">
        <w:t xml:space="preserve"> </w:t>
      </w:r>
      <w:r w:rsidRPr="00097721" w:rsidR="008E1453">
        <w:t xml:space="preserve">an implementable solution in Track 3 of this proceeding, for application in the 2026 RA compliance year. </w:t>
      </w:r>
    </w:p>
    <w:p w:rsidRPr="00097721" w:rsidR="00F95372" w:rsidP="008F624B" w:rsidRDefault="00691C26" w14:paraId="716B8AC3" w14:textId="467FE530">
      <w:pPr>
        <w:pStyle w:val="Heading2"/>
        <w:tabs>
          <w:tab w:val="clear" w:pos="1080"/>
        </w:tabs>
        <w:ind w:left="1440"/>
      </w:pPr>
      <w:bookmarkStart w:name="_Toc166841761" w:id="56"/>
      <w:r w:rsidRPr="00097721">
        <w:lastRenderedPageBreak/>
        <w:t xml:space="preserve">RA </w:t>
      </w:r>
      <w:r w:rsidRPr="00097721" w:rsidR="00913584">
        <w:t xml:space="preserve">Import </w:t>
      </w:r>
      <w:r w:rsidRPr="00097721" w:rsidR="00320C76">
        <w:t>Requirements</w:t>
      </w:r>
      <w:bookmarkEnd w:id="56"/>
      <w:r w:rsidRPr="00097721" w:rsidR="00F95372">
        <w:t xml:space="preserve"> </w:t>
      </w:r>
    </w:p>
    <w:p w:rsidRPr="00097721" w:rsidR="00913584" w:rsidP="00901FF0" w:rsidRDefault="00C27DB5" w14:paraId="30405A42" w14:textId="0991D732">
      <w:pPr>
        <w:pStyle w:val="Heading3"/>
        <w:tabs>
          <w:tab w:val="clear" w:pos="1656"/>
          <w:tab w:val="num" w:pos="1800"/>
        </w:tabs>
        <w:ind w:hanging="576"/>
      </w:pPr>
      <w:bookmarkStart w:name="_Toc166841762" w:id="57"/>
      <w:r w:rsidRPr="00097721">
        <w:t xml:space="preserve">Import </w:t>
      </w:r>
      <w:r w:rsidRPr="00097721" w:rsidR="00913584">
        <w:t>Allocation Rights</w:t>
      </w:r>
      <w:bookmarkEnd w:id="57"/>
      <w:r w:rsidRPr="00097721" w:rsidR="00913584">
        <w:t xml:space="preserve"> </w:t>
      </w:r>
    </w:p>
    <w:p w:rsidRPr="00097721" w:rsidR="00C80B99" w:rsidP="00D47825" w:rsidRDefault="0047588F" w14:paraId="51C77539" w14:textId="01611C52">
      <w:pPr>
        <w:pStyle w:val="Standard"/>
      </w:pPr>
      <w:r w:rsidRPr="00097721">
        <w:t>In</w:t>
      </w:r>
      <w:r w:rsidRPr="00097721" w:rsidR="000E6466">
        <w:t xml:space="preserve"> D.05-10-042, </w:t>
      </w:r>
      <w:r w:rsidRPr="00097721" w:rsidR="008149A1">
        <w:t xml:space="preserve">the Commission adopted </w:t>
      </w:r>
      <w:r w:rsidRPr="00097721" w:rsidR="000E6466">
        <w:t xml:space="preserve">a requirement </w:t>
      </w:r>
      <w:r w:rsidRPr="00097721" w:rsidR="00C56BB2">
        <w:t>that</w:t>
      </w:r>
      <w:r w:rsidRPr="00097721" w:rsidR="000E6466">
        <w:t xml:space="preserve"> resource-specific and/or non-resource-specific import energy contracts </w:t>
      </w:r>
      <w:r w:rsidRPr="00097721" w:rsidR="00C56BB2">
        <w:t xml:space="preserve">must </w:t>
      </w:r>
      <w:r w:rsidRPr="00097721" w:rsidR="000E6466">
        <w:t>be paired with an import allocation right to count towards RA requirements.</w:t>
      </w:r>
      <w:r w:rsidRPr="00097721" w:rsidR="0035248A">
        <w:rPr>
          <w:rStyle w:val="FootnoteReference"/>
        </w:rPr>
        <w:footnoteReference w:id="100"/>
      </w:r>
      <w:r w:rsidRPr="00097721" w:rsidR="000E6466">
        <w:t xml:space="preserve">  </w:t>
      </w:r>
      <w:r w:rsidRPr="00097721" w:rsidR="000E0130">
        <w:t xml:space="preserve">PG&amp;E states that </w:t>
      </w:r>
      <w:r w:rsidRPr="00097721" w:rsidR="00196F66">
        <w:t xml:space="preserve">under the SOD framework, </w:t>
      </w:r>
      <w:r w:rsidRPr="00097721" w:rsidR="000E0130">
        <w:t>a resource-specific import that has solar technology would have NQC values that differ across the 24-hour time period for RA compliance</w:t>
      </w:r>
      <w:r w:rsidRPr="00097721" w:rsidR="00C27DB5">
        <w:t>.</w:t>
      </w:r>
      <w:r w:rsidRPr="00097721" w:rsidR="0035248A">
        <w:rPr>
          <w:rStyle w:val="FootnoteReference"/>
        </w:rPr>
        <w:footnoteReference w:id="101"/>
      </w:r>
      <w:r w:rsidRPr="00097721" w:rsidR="00C27DB5">
        <w:t xml:space="preserve">  </w:t>
      </w:r>
      <w:r w:rsidRPr="00097721" w:rsidR="005B57B1">
        <w:t>PG&amp;E states that</w:t>
      </w:r>
      <w:r w:rsidRPr="00097721" w:rsidR="000E0130">
        <w:t xml:space="preserve"> in D.23-04-010,</w:t>
      </w:r>
      <w:r w:rsidRPr="00097721" w:rsidR="005B57B1">
        <w:t xml:space="preserve"> however,</w:t>
      </w:r>
      <w:r w:rsidRPr="00097721" w:rsidR="000E0130">
        <w:t xml:space="preserve"> the Commission stated that </w:t>
      </w:r>
      <w:r w:rsidRPr="00097721" w:rsidR="00C27DB5">
        <w:t xml:space="preserve">it would provide </w:t>
      </w:r>
      <w:r w:rsidRPr="00097721" w:rsidR="000E0130">
        <w:t xml:space="preserve">CAISO </w:t>
      </w:r>
      <w:r w:rsidRPr="00097721" w:rsidR="00C27DB5">
        <w:t xml:space="preserve">with “the greater of the peak hour value and a very small non-zero value (e.g., 0.01 MW) if the minimum value is zero” such that CAISO </w:t>
      </w:r>
      <w:r w:rsidRPr="00097721" w:rsidR="000E0130">
        <w:t>would use a single NQC value to evaluate compliance with the RA program.</w:t>
      </w:r>
      <w:r w:rsidRPr="00097721" w:rsidR="00E01A20">
        <w:rPr>
          <w:rStyle w:val="FootnoteReference"/>
        </w:rPr>
        <w:footnoteReference w:id="102"/>
      </w:r>
      <w:r w:rsidRPr="00097721" w:rsidR="001D10B9">
        <w:t xml:space="preserve">  PG&amp;E seeks clarification on how </w:t>
      </w:r>
      <w:r w:rsidRPr="00097721" w:rsidR="00B372F6">
        <w:t>many</w:t>
      </w:r>
      <w:r w:rsidRPr="00097721" w:rsidR="001D10B9">
        <w:t xml:space="preserve"> import allocation rights must be paired with resource-specific solar and wind resources that are also import energy contracts, and whether the amount is based on the value used by CAISO or another value </w:t>
      </w:r>
      <w:r w:rsidRPr="00097721" w:rsidR="005F7ACE">
        <w:t xml:space="preserve">used </w:t>
      </w:r>
      <w:r w:rsidRPr="00097721" w:rsidR="001D10B9">
        <w:t xml:space="preserve">by the Commission. </w:t>
      </w:r>
      <w:r w:rsidRPr="00097721" w:rsidR="00C27DB5">
        <w:t xml:space="preserve"> PG&amp;E states that clarification is needed because the annual import allocation process is expected to begin in summer 2024.</w:t>
      </w:r>
    </w:p>
    <w:p w:rsidRPr="00097721" w:rsidR="00C27DB5" w:rsidP="00C80B99" w:rsidRDefault="00C27DB5" w14:paraId="6AA7EB6F" w14:textId="124C1FCD">
      <w:pPr>
        <w:pStyle w:val="Standard"/>
      </w:pPr>
      <w:r w:rsidRPr="00097721">
        <w:t xml:space="preserve">Cal Advocates </w:t>
      </w:r>
      <w:r w:rsidRPr="00097721" w:rsidR="00E66B42">
        <w:t>agrees that</w:t>
      </w:r>
      <w:r w:rsidRPr="00097721">
        <w:t xml:space="preserve"> </w:t>
      </w:r>
      <w:r w:rsidRPr="00097721" w:rsidR="00B372F6">
        <w:t>clarification</w:t>
      </w:r>
      <w:r w:rsidRPr="00097721">
        <w:t xml:space="preserve"> </w:t>
      </w:r>
      <w:r w:rsidRPr="00097721" w:rsidR="00E66B42">
        <w:t xml:space="preserve">is needed </w:t>
      </w:r>
      <w:r w:rsidRPr="00097721">
        <w:t xml:space="preserve">and states that CAISO and Energy Division have stated that imported </w:t>
      </w:r>
      <w:r w:rsidRPr="00097721" w:rsidR="00B372F6">
        <w:t>variable energy resources would need import allocation rights equivalent to the QC shown but did not clarify whether the rights must be shown equal to the RA value CAISO assigns or th</w:t>
      </w:r>
      <w:r w:rsidRPr="00097721" w:rsidR="00E47AA3">
        <w:t>e RA value</w:t>
      </w:r>
      <w:r w:rsidRPr="00097721" w:rsidR="00B372F6">
        <w:t xml:space="preserve"> an LSE shows to the Commission for peak hour.</w:t>
      </w:r>
      <w:r w:rsidRPr="00097721" w:rsidR="00B372F6">
        <w:rPr>
          <w:rStyle w:val="FootnoteReference"/>
        </w:rPr>
        <w:footnoteReference w:id="103"/>
      </w:r>
    </w:p>
    <w:p w:rsidRPr="00097721" w:rsidR="002722BA" w:rsidP="00C80B99" w:rsidRDefault="002722BA" w14:paraId="4DEFF26B" w14:textId="58AE6E74">
      <w:pPr>
        <w:pStyle w:val="Standard"/>
      </w:pPr>
      <w:r w:rsidRPr="00097721">
        <w:lastRenderedPageBreak/>
        <w:t xml:space="preserve">The Commission </w:t>
      </w:r>
      <w:r w:rsidRPr="00097721" w:rsidR="00750EB2">
        <w:t xml:space="preserve">agrees that clarification is needed.  </w:t>
      </w:r>
      <w:bookmarkStart w:name="_Hlk166685926" w:id="58"/>
      <w:r w:rsidRPr="00097721" w:rsidR="00750EB2">
        <w:t xml:space="preserve">Accordingly, </w:t>
      </w:r>
      <w:r w:rsidRPr="00097721" w:rsidR="00917647">
        <w:t>beginning with the 2025 RA compliance year, for resource-specific solar and wind import resources,</w:t>
      </w:r>
      <w:r w:rsidRPr="00097721" w:rsidR="008F2B49">
        <w:t xml:space="preserve"> </w:t>
      </w:r>
      <w:r w:rsidRPr="00097721">
        <w:t xml:space="preserve">an LSE </w:t>
      </w:r>
      <w:r w:rsidRPr="00097721" w:rsidR="00750EB2">
        <w:t xml:space="preserve">must </w:t>
      </w:r>
      <w:r w:rsidRPr="00097721" w:rsidR="00917647">
        <w:t xml:space="preserve">have import allocation rights equal to </w:t>
      </w:r>
      <w:r w:rsidRPr="00097721">
        <w:t>the RA value shown to the Commission at the peak hour of the month</w:t>
      </w:r>
      <w:r w:rsidRPr="00097721" w:rsidR="00917647">
        <w:t xml:space="preserve">, unless the value at the peak hour is zero, in which case the LSE should have import allocation rights equal to the minimum value of 0.1.  </w:t>
      </w:r>
    </w:p>
    <w:p w:rsidRPr="00097721" w:rsidR="00F95372" w:rsidP="00901FF0" w:rsidRDefault="00F95372" w14:paraId="6C89F65F" w14:textId="77777777">
      <w:pPr>
        <w:pStyle w:val="Heading3"/>
        <w:tabs>
          <w:tab w:val="clear" w:pos="1656"/>
          <w:tab w:val="num" w:pos="1800"/>
        </w:tabs>
        <w:ind w:hanging="576"/>
      </w:pPr>
      <w:bookmarkStart w:name="_Toc166841763" w:id="59"/>
      <w:bookmarkEnd w:id="58"/>
      <w:r w:rsidRPr="00097721">
        <w:t>Off-Peak Import Energy</w:t>
      </w:r>
      <w:bookmarkEnd w:id="59"/>
      <w:r w:rsidRPr="00097721">
        <w:t xml:space="preserve"> </w:t>
      </w:r>
    </w:p>
    <w:p w:rsidRPr="00097721" w:rsidR="00F95372" w:rsidP="00F95372" w:rsidRDefault="00AA1310" w14:paraId="03BD7F85" w14:textId="4BD8FC62">
      <w:pPr>
        <w:pStyle w:val="Standard"/>
      </w:pPr>
      <w:r w:rsidRPr="00097721">
        <w:t>I</w:t>
      </w:r>
      <w:r w:rsidRPr="00097721" w:rsidR="00F95372">
        <w:t>n D.23-04-010, the Commission determined that for the SOD framework, a non-resource-specific import can count towards the RA requirements if certain requirements are met.</w:t>
      </w:r>
      <w:r w:rsidRPr="00097721" w:rsidR="00F95372">
        <w:rPr>
          <w:rStyle w:val="FootnoteReference"/>
        </w:rPr>
        <w:footnoteReference w:id="104"/>
      </w:r>
      <w:r w:rsidRPr="00097721" w:rsidR="00F95372">
        <w:t xml:space="preserve">  One requirement is that: </w:t>
      </w:r>
    </w:p>
    <w:p w:rsidRPr="00097721" w:rsidR="00F95372" w:rsidP="00FA34E5" w:rsidRDefault="00F95372" w14:paraId="649CFB3F" w14:textId="1BB6D571">
      <w:pPr>
        <w:pStyle w:val="Standard"/>
        <w:spacing w:after="240" w:line="240" w:lineRule="auto"/>
        <w:ind w:left="720" w:right="1440" w:firstLine="0"/>
      </w:pPr>
      <w:r w:rsidRPr="00097721">
        <w:t>T</w:t>
      </w:r>
      <w:r w:rsidRPr="00097721">
        <w:rPr>
          <w:rFonts w:cs="TimesNewRomanPSMT"/>
          <w:szCs w:val="26"/>
        </w:rPr>
        <w:t xml:space="preserve">he energy must self-schedule (or in the alternative, bid in at a level between negative $150/MWh and $0/MWh) into the California Independent System Operator day-ahead and real-time markets at least during the Availability Assessment Hours every Monday - Saturday </w:t>
      </w:r>
      <w:r w:rsidRPr="00097721">
        <w:rPr>
          <w:rFonts w:cs="TimesNewRomanPS-BoldMT"/>
          <w:szCs w:val="26"/>
        </w:rPr>
        <w:t>excluding North American Electric Reliability Corporation holidays</w:t>
      </w:r>
      <w:r w:rsidRPr="00097721">
        <w:rPr>
          <w:rFonts w:cs="TimesNewRomanPS-BoldMT"/>
          <w:b/>
          <w:bCs/>
          <w:szCs w:val="26"/>
        </w:rPr>
        <w:t xml:space="preserve"> </w:t>
      </w:r>
      <w:r w:rsidRPr="00097721">
        <w:rPr>
          <w:rFonts w:cs="TimesNewRomanPSMT"/>
          <w:szCs w:val="26"/>
        </w:rPr>
        <w:t>throughout the RA compliance month.</w:t>
      </w:r>
    </w:p>
    <w:p w:rsidRPr="00097721" w:rsidR="00F95372" w:rsidP="00F95372" w:rsidRDefault="00F95372" w14:paraId="755F7F91" w14:textId="48BD04CA">
      <w:pPr>
        <w:pStyle w:val="Standard"/>
      </w:pPr>
      <w:r w:rsidRPr="00097721">
        <w:t xml:space="preserve">SCE </w:t>
      </w:r>
      <w:r w:rsidRPr="00097721" w:rsidR="00096003">
        <w:t>proposes that</w:t>
      </w:r>
      <w:r w:rsidRPr="00097721">
        <w:t xml:space="preserve"> LSEs </w:t>
      </w:r>
      <w:r w:rsidRPr="00097721" w:rsidR="00631313">
        <w:t xml:space="preserve">should </w:t>
      </w:r>
      <w:r w:rsidRPr="00097721" w:rsidR="00096003">
        <w:t>be allowed to</w:t>
      </w:r>
      <w:r w:rsidRPr="00097721">
        <w:t xml:space="preserve"> count off-peak import</w:t>
      </w:r>
      <w:r w:rsidRPr="00097721" w:rsidR="00205270">
        <w:t xml:space="preserve"> energy</w:t>
      </w:r>
      <w:r w:rsidRPr="00097721">
        <w:t xml:space="preserve"> that </w:t>
      </w:r>
      <w:r w:rsidRPr="00097721" w:rsidR="00205270">
        <w:t>is</w:t>
      </w:r>
      <w:r w:rsidRPr="00097721">
        <w:t xml:space="preserve"> not available during the </w:t>
      </w:r>
      <w:r w:rsidRPr="00097721" w:rsidR="00D42C3A">
        <w:t>Availability Assessment Hours (</w:t>
      </w:r>
      <w:r w:rsidRPr="00097721">
        <w:t>AAH</w:t>
      </w:r>
      <w:r w:rsidRPr="00097721" w:rsidR="00D42C3A">
        <w:t>)</w:t>
      </w:r>
      <w:r w:rsidRPr="00097721">
        <w:t xml:space="preserve"> toward meeting RA requirements under the SOD framework</w:t>
      </w:r>
      <w:r w:rsidRPr="00097721" w:rsidR="004C3CF7">
        <w:t xml:space="preserve">, regardless of whether the import is paired with the on-peak import on a specific branch group, </w:t>
      </w:r>
      <w:r w:rsidRPr="00097721" w:rsidR="00C17407">
        <w:t>so</w:t>
      </w:r>
      <w:r w:rsidRPr="00097721" w:rsidR="004C3CF7">
        <w:t xml:space="preserve"> long as the import adheres to the existing import requirements</w:t>
      </w:r>
      <w:r w:rsidRPr="00097721">
        <w:t>.</w:t>
      </w:r>
      <w:r w:rsidRPr="00097721" w:rsidR="008C0BEB">
        <w:rPr>
          <w:rStyle w:val="FootnoteReference"/>
        </w:rPr>
        <w:footnoteReference w:id="105"/>
      </w:r>
      <w:r w:rsidRPr="00097721">
        <w:t xml:space="preserve">  SCE argues that it is critical for LSEs to procure and count off-peak imports along with on-peak imports to meet RA requirements but also to provide excess deliverable energy to provide energy sufficiency for storage.</w:t>
      </w:r>
    </w:p>
    <w:p w:rsidRPr="00097721" w:rsidR="00276329" w:rsidP="00276329" w:rsidRDefault="00F95372" w14:paraId="5CCD89CE" w14:textId="66BCC70C">
      <w:pPr>
        <w:pStyle w:val="Standard"/>
      </w:pPr>
      <w:r w:rsidRPr="00097721">
        <w:lastRenderedPageBreak/>
        <w:t>AReM supports SCE’s proposal as a helpful clarification to allow off-peak imports for off-peak slice compliance, and agrees that this would provide another tool for LSEs to meet battery charging sufficiency requirements and to meet non-coincident peak demands in off-peak hours.</w:t>
      </w:r>
      <w:r w:rsidRPr="00097721">
        <w:rPr>
          <w:rStyle w:val="FootnoteReference"/>
        </w:rPr>
        <w:footnoteReference w:id="106"/>
      </w:r>
      <w:r w:rsidRPr="00097721">
        <w:t xml:space="preserve">  Cal Advocates </w:t>
      </w:r>
      <w:r w:rsidRPr="00097721" w:rsidR="00237D2E">
        <w:t xml:space="preserve">also </w:t>
      </w:r>
      <w:r w:rsidRPr="00097721">
        <w:t>supports SCE’s proposal</w:t>
      </w:r>
      <w:r w:rsidRPr="00097721" w:rsidR="00C23F77">
        <w:t xml:space="preserve">, stating </w:t>
      </w:r>
      <w:r w:rsidRPr="00097721">
        <w:t>that it would increase the RA-eligible supply</w:t>
      </w:r>
      <w:r w:rsidRPr="00097721" w:rsidR="001F66B2">
        <w:t xml:space="preserve">, which </w:t>
      </w:r>
      <w:r w:rsidRPr="00097721" w:rsidR="00BA0B57">
        <w:t>would</w:t>
      </w:r>
      <w:r w:rsidRPr="00097721">
        <w:t xml:space="preserve"> likely be at lower prices compared to other imports.</w:t>
      </w:r>
      <w:r w:rsidRPr="00097721">
        <w:rPr>
          <w:rStyle w:val="FootnoteReference"/>
        </w:rPr>
        <w:footnoteReference w:id="107"/>
      </w:r>
      <w:r w:rsidRPr="00097721">
        <w:t xml:space="preserve">  Cal Advocates states that a non-resource-specific off-peak import should still be subject to the other import rules</w:t>
      </w:r>
      <w:r w:rsidRPr="00097721" w:rsidR="00E42C64">
        <w:t>,</w:t>
      </w:r>
      <w:r w:rsidRPr="00097721">
        <w:t xml:space="preserve"> other than the AAH availability and bid requirement. </w:t>
      </w:r>
      <w:r w:rsidRPr="00097721" w:rsidR="00E42C64">
        <w:t xml:space="preserve"> </w:t>
      </w:r>
    </w:p>
    <w:p w:rsidRPr="00097721" w:rsidR="00F95372" w:rsidP="00C72361" w:rsidRDefault="006C7ED4" w14:paraId="5A1CD25F" w14:textId="70611A14">
      <w:pPr>
        <w:pStyle w:val="Standard"/>
      </w:pPr>
      <w:r w:rsidRPr="00097721">
        <w:t>In comments on the proposed decision, SCE recommends adopting a validation process to verify the MOO to CAISO’s energy markets</w:t>
      </w:r>
      <w:r w:rsidRPr="00097721" w:rsidR="00D850D1">
        <w:t xml:space="preserve"> for off-peak energy resources</w:t>
      </w:r>
      <w:r w:rsidRPr="00097721">
        <w:t xml:space="preserve">, </w:t>
      </w:r>
      <w:r w:rsidRPr="00097721" w:rsidR="00D850D1">
        <w:t>similar to the process currently used to validate new resources and on-peak energy</w:t>
      </w:r>
      <w:r w:rsidRPr="00097721">
        <w:t>.</w:t>
      </w:r>
      <w:r w:rsidRPr="00097721">
        <w:rPr>
          <w:rStyle w:val="FootnoteReference"/>
        </w:rPr>
        <w:footnoteReference w:id="108"/>
      </w:r>
      <w:r w:rsidRPr="00097721">
        <w:t xml:space="preserve">  SCE also recommends</w:t>
      </w:r>
      <w:r w:rsidRPr="00097721" w:rsidR="00C822A6">
        <w:t xml:space="preserve"> that</w:t>
      </w:r>
      <w:r w:rsidRPr="00097721">
        <w:t xml:space="preserve"> an interim rule </w:t>
      </w:r>
      <w:r w:rsidRPr="00097721" w:rsidR="00C822A6">
        <w:t xml:space="preserve">should </w:t>
      </w:r>
      <w:r w:rsidRPr="00097721">
        <w:t xml:space="preserve">apply to Q3 2025 only until a full solution is developed.  The Commission finds that </w:t>
      </w:r>
      <w:r w:rsidRPr="00097721" w:rsidR="00037A2D">
        <w:t>SCE’s proposal</w:t>
      </w:r>
      <w:r w:rsidRPr="00097721">
        <w:t xml:space="preserve">, with modifications </w:t>
      </w:r>
      <w:r w:rsidRPr="00097721" w:rsidR="00B15B6F">
        <w:t>raised in</w:t>
      </w:r>
      <w:r w:rsidRPr="00097721">
        <w:t xml:space="preserve"> comments to the proposed decision,</w:t>
      </w:r>
      <w:r w:rsidRPr="00097721" w:rsidR="00037A2D">
        <w:t xml:space="preserve"> has merit.  </w:t>
      </w:r>
      <w:r w:rsidRPr="00097721">
        <w:t xml:space="preserve">Accordingly, for Q3 2025, an LSE may count off-peak import energy that is not available during the AAH window towards meeting </w:t>
      </w:r>
      <w:r w:rsidRPr="00097721" w:rsidR="00C822A6">
        <w:t xml:space="preserve">its </w:t>
      </w:r>
      <w:r w:rsidRPr="00097721">
        <w:t xml:space="preserve">RA requirements under the SOD framework, regardless of whether the import is paired with the on-peak import on a specific branch group, so long as the </w:t>
      </w:r>
      <w:r w:rsidRPr="00097721" w:rsidR="00C822A6">
        <w:t xml:space="preserve">off-peak </w:t>
      </w:r>
      <w:r w:rsidRPr="00097721">
        <w:t xml:space="preserve">import </w:t>
      </w:r>
      <w:r w:rsidRPr="00097721" w:rsidR="00C822A6">
        <w:t xml:space="preserve">energy </w:t>
      </w:r>
      <w:r w:rsidRPr="00097721">
        <w:t xml:space="preserve">adheres to the </w:t>
      </w:r>
      <w:r w:rsidRPr="00097721" w:rsidR="009B6E8B">
        <w:t xml:space="preserve">other </w:t>
      </w:r>
      <w:r w:rsidRPr="00097721">
        <w:t xml:space="preserve">existing import requirements.  The LSE must provide Energy Division with proof demonstrating: (1) the availability of import allocation rights, and (2) if there is an associated on-peak import on the </w:t>
      </w:r>
      <w:r w:rsidRPr="00097721">
        <w:lastRenderedPageBreak/>
        <w:t>branch group</w:t>
      </w:r>
      <w:r w:rsidRPr="00097721" w:rsidR="00C822A6">
        <w:t>,</w:t>
      </w:r>
      <w:r w:rsidRPr="00097721">
        <w:t xml:space="preserve"> to avoid over and under accounting of import allocation right availability. </w:t>
      </w:r>
    </w:p>
    <w:p w:rsidRPr="00097721" w:rsidR="00D22FEE" w:rsidP="00901FF0" w:rsidRDefault="006C7813" w14:paraId="78746C7C" w14:textId="65B2DD32">
      <w:pPr>
        <w:pStyle w:val="Heading3"/>
        <w:tabs>
          <w:tab w:val="clear" w:pos="1656"/>
          <w:tab w:val="num" w:pos="1800"/>
        </w:tabs>
        <w:ind w:hanging="576"/>
      </w:pPr>
      <w:bookmarkStart w:name="_Toc166841764" w:id="60"/>
      <w:r w:rsidRPr="00097721">
        <w:t>Other Modifications</w:t>
      </w:r>
      <w:r w:rsidRPr="00097721" w:rsidR="00D22FEE">
        <w:t xml:space="preserve"> to Imports Rules</w:t>
      </w:r>
      <w:bookmarkEnd w:id="60"/>
    </w:p>
    <w:p w:rsidRPr="00097721" w:rsidR="00D22FEE" w:rsidP="00095F6D" w:rsidRDefault="008573D3" w14:paraId="3064DCF7" w14:textId="7A8854DD">
      <w:pPr>
        <w:pStyle w:val="Standard"/>
      </w:pPr>
      <w:r w:rsidRPr="00097721">
        <w:t xml:space="preserve">BPA and CalCCA </w:t>
      </w:r>
      <w:r w:rsidRPr="00097721" w:rsidR="00D52B03">
        <w:t xml:space="preserve">submit proposals </w:t>
      </w:r>
      <w:r w:rsidRPr="00097721">
        <w:t xml:space="preserve">regarding modifications to the import RA </w:t>
      </w:r>
      <w:r w:rsidRPr="00097721" w:rsidR="00BC4845">
        <w:t>rules.</w:t>
      </w:r>
      <w:r w:rsidRPr="00097721" w:rsidR="00095F6D">
        <w:t xml:space="preserve">  </w:t>
      </w:r>
      <w:r w:rsidRPr="00097721" w:rsidR="00D22FEE">
        <w:t>BPA</w:t>
      </w:r>
      <w:r w:rsidRPr="00097721" w:rsidR="009B7769">
        <w:t xml:space="preserve"> states that under the current rules, </w:t>
      </w:r>
      <w:bookmarkStart w:name="_Hlk164413118" w:id="61"/>
      <w:r w:rsidRPr="00097721" w:rsidR="009B7769">
        <w:t xml:space="preserve">offers from out-of-state generators must be associated with a specific generator pseudo-tied into a California balancing </w:t>
      </w:r>
      <w:r w:rsidRPr="00097721" w:rsidR="006978F4">
        <w:t xml:space="preserve">area </w:t>
      </w:r>
      <w:r w:rsidRPr="00097721" w:rsidR="009B7769">
        <w:t>authority</w:t>
      </w:r>
      <w:r w:rsidRPr="00097721" w:rsidR="001B3918">
        <w:t xml:space="preserve"> (BAA)</w:t>
      </w:r>
      <w:r w:rsidRPr="00097721" w:rsidR="009B7769">
        <w:t>.</w:t>
      </w:r>
      <w:bookmarkEnd w:id="61"/>
      <w:r w:rsidRPr="00097721" w:rsidR="009B7769">
        <w:rPr>
          <w:rStyle w:val="FootnoteReference"/>
        </w:rPr>
        <w:footnoteReference w:id="109"/>
      </w:r>
      <w:r w:rsidRPr="00097721" w:rsidR="009B7769">
        <w:t xml:space="preserve"> </w:t>
      </w:r>
      <w:r w:rsidRPr="00097721" w:rsidR="00D22FEE">
        <w:t xml:space="preserve"> </w:t>
      </w:r>
      <w:r w:rsidRPr="00097721" w:rsidR="00163CCC">
        <w:t xml:space="preserve">BPA states that </w:t>
      </w:r>
      <w:r w:rsidRPr="00097721" w:rsidR="004C7074">
        <w:t>this</w:t>
      </w:r>
      <w:r w:rsidRPr="00097721" w:rsidR="00163CCC">
        <w:t xml:space="preserve"> limits economic bids from out-of-state generators to single generators registered with CAISO and controlled for dispatch by a California </w:t>
      </w:r>
      <w:r w:rsidRPr="00097721" w:rsidR="001B3918">
        <w:t>BAA</w:t>
      </w:r>
      <w:r w:rsidRPr="00097721" w:rsidR="00163CCC">
        <w:t xml:space="preserve">, which prevents marketers that operate coordinated systems for multiple hydro generators from making economic bids into California. </w:t>
      </w:r>
      <w:r w:rsidRPr="00097721" w:rsidR="007155BC">
        <w:t xml:space="preserve"> </w:t>
      </w:r>
      <w:r w:rsidRPr="00097721" w:rsidR="00163CCC">
        <w:t xml:space="preserve">BPA </w:t>
      </w:r>
      <w:r w:rsidRPr="00097721" w:rsidR="00D22FEE">
        <w:t xml:space="preserve">recommends allowing an exception </w:t>
      </w:r>
      <w:r w:rsidRPr="00097721" w:rsidR="00523FCC">
        <w:t xml:space="preserve">for generation similarly situated to BPA’s.  That is, </w:t>
      </w:r>
      <w:r w:rsidRPr="00097721" w:rsidR="003B0C5D">
        <w:t xml:space="preserve">BPA proposes that </w:t>
      </w:r>
      <w:r w:rsidRPr="00097721" w:rsidR="00523FCC">
        <w:t>a group of generators that have attested to unencumbered capacity and have firm transmission should be allowed to bid economically</w:t>
      </w:r>
      <w:r w:rsidRPr="00097721" w:rsidR="00D22FEE">
        <w:t>.</w:t>
      </w:r>
      <w:r w:rsidRPr="00097721" w:rsidR="00163CCC">
        <w:t xml:space="preserve">  BPA argues that this proposal would incentivize more participation from out-of-state hydro resources into California.</w:t>
      </w:r>
    </w:p>
    <w:p w:rsidRPr="00097721" w:rsidR="00964F06" w:rsidP="00964F06" w:rsidRDefault="00763995" w14:paraId="4713A766" w14:textId="50D1CF8A">
      <w:pPr>
        <w:pStyle w:val="Standard"/>
      </w:pPr>
      <w:r w:rsidRPr="00097721">
        <w:t xml:space="preserve">CAISO, CEERT, Microsoft, MRP, PG&amp;E, SCE, </w:t>
      </w:r>
      <w:r w:rsidRPr="00097721" w:rsidR="00AA019B">
        <w:t xml:space="preserve">and </w:t>
      </w:r>
      <w:r w:rsidRPr="00097721">
        <w:t xml:space="preserve">WPTF </w:t>
      </w:r>
      <w:r w:rsidRPr="00097721" w:rsidR="008573D3">
        <w:t>support BPA’s proposal.</w:t>
      </w:r>
      <w:r w:rsidRPr="00097721" w:rsidR="008573D3">
        <w:rPr>
          <w:rStyle w:val="FootnoteReference"/>
        </w:rPr>
        <w:footnoteReference w:id="110"/>
      </w:r>
      <w:r w:rsidRPr="00097721" w:rsidR="008573D3">
        <w:t xml:space="preserve">  WPTF states that the proposal removes a significant impediment </w:t>
      </w:r>
      <w:r w:rsidRPr="00097721" w:rsidR="007E0A8F">
        <w:t xml:space="preserve">for import suppliers </w:t>
      </w:r>
      <w:r w:rsidRPr="00097721" w:rsidR="008573D3">
        <w:t>to participat</w:t>
      </w:r>
      <w:r w:rsidRPr="00097721" w:rsidR="007E0A8F">
        <w:t>e</w:t>
      </w:r>
      <w:r w:rsidRPr="00097721" w:rsidR="008573D3">
        <w:t xml:space="preserve"> in the California market and potentially increases the availability of imports to California LSEs, while </w:t>
      </w:r>
      <w:r w:rsidRPr="00097721" w:rsidR="003818C5">
        <w:t>still addressing concerns about speculative supply by requiring</w:t>
      </w:r>
      <w:r w:rsidRPr="00097721" w:rsidR="008573D3">
        <w:t xml:space="preserve"> imports to be backed by physical capacity and have firm transmission rights.</w:t>
      </w:r>
      <w:r w:rsidRPr="00097721" w:rsidR="00964F06">
        <w:t xml:space="preserve">  CAISO states that BPA’s proposal is </w:t>
      </w:r>
      <w:r w:rsidRPr="00097721" w:rsidR="00964F06">
        <w:lastRenderedPageBreak/>
        <w:t>implementable in the near-term and will help unlock additional reliable, firm RA supply.</w:t>
      </w:r>
      <w:r w:rsidRPr="00097721" w:rsidR="005F46B5">
        <w:t xml:space="preserve">  PG&amp;E </w:t>
      </w:r>
      <w:r w:rsidRPr="00097721" w:rsidR="008A57C5">
        <w:t>agrees</w:t>
      </w:r>
      <w:r w:rsidRPr="00097721" w:rsidR="005F46B5">
        <w:t xml:space="preserve"> that existing import rules prevent highly reliable resources </w:t>
      </w:r>
      <w:r w:rsidRPr="00097721" w:rsidR="008A57C5">
        <w:t xml:space="preserve">from participating due to </w:t>
      </w:r>
      <w:r w:rsidRPr="00097721" w:rsidR="005F46B5">
        <w:t>onerous requirements designed to address speculative import supply.</w:t>
      </w:r>
    </w:p>
    <w:p w:rsidRPr="00097721" w:rsidR="006657E8" w:rsidP="00D22FEE" w:rsidRDefault="006657E8" w14:paraId="3501AF1E" w14:textId="1DA0A17E">
      <w:pPr>
        <w:pStyle w:val="Standard"/>
      </w:pPr>
      <w:r w:rsidRPr="00097721">
        <w:t>CalCCA re-submits its previous proposal from R.21-1</w:t>
      </w:r>
      <w:r w:rsidRPr="00097721" w:rsidR="00DC6614">
        <w:t>0</w:t>
      </w:r>
      <w:r w:rsidRPr="00097721">
        <w:t xml:space="preserve">-002 to allow non-resource-specific imports to be bid up to </w:t>
      </w:r>
      <w:r w:rsidRPr="00097721" w:rsidR="000D33AC">
        <w:t xml:space="preserve">a </w:t>
      </w:r>
      <w:r w:rsidRPr="00097721">
        <w:t>maximum price based on estimated costs of a typical marginal resource</w:t>
      </w:r>
      <w:r w:rsidRPr="00097721" w:rsidR="00523FCC">
        <w:t xml:space="preserve"> within CAISO</w:t>
      </w:r>
      <w:r w:rsidRPr="00097721">
        <w:t>.</w:t>
      </w:r>
      <w:r w:rsidRPr="00097721">
        <w:rPr>
          <w:rStyle w:val="FootnoteReference"/>
        </w:rPr>
        <w:footnoteReference w:id="111"/>
      </w:r>
      <w:r w:rsidRPr="00097721">
        <w:t xml:space="preserve">  CalCCA </w:t>
      </w:r>
      <w:r w:rsidRPr="00097721" w:rsidR="009B6FE9">
        <w:t>cites</w:t>
      </w:r>
      <w:r w:rsidRPr="00097721">
        <w:t xml:space="preserve"> </w:t>
      </w:r>
      <w:r w:rsidRPr="00097721" w:rsidR="00AE7C27">
        <w:t>data</w:t>
      </w:r>
      <w:r w:rsidRPr="00097721">
        <w:t xml:space="preserve"> show</w:t>
      </w:r>
      <w:r w:rsidRPr="00097721" w:rsidR="00472526">
        <w:t>ing</w:t>
      </w:r>
      <w:r w:rsidRPr="00097721">
        <w:t xml:space="preserve"> </w:t>
      </w:r>
      <w:r w:rsidRPr="00097721" w:rsidR="00E255FE">
        <w:t xml:space="preserve">that </w:t>
      </w:r>
      <w:r w:rsidRPr="00097721">
        <w:t>year-ahead RA imports and bids have steadily declined since the current rules were adopted in 2020</w:t>
      </w:r>
      <w:r w:rsidRPr="00097721" w:rsidR="00AE7C27">
        <w:t>, and that</w:t>
      </w:r>
      <w:r w:rsidRPr="00097721" w:rsidR="002E3AD7">
        <w:t xml:space="preserve"> </w:t>
      </w:r>
      <w:r w:rsidRPr="00097721">
        <w:t xml:space="preserve">LSEs </w:t>
      </w:r>
      <w:r w:rsidRPr="00097721" w:rsidR="002A36C8">
        <w:t xml:space="preserve">that </w:t>
      </w:r>
      <w:r w:rsidRPr="00097721">
        <w:t xml:space="preserve">have expressed </w:t>
      </w:r>
      <w:r w:rsidRPr="00097721" w:rsidR="00821D36">
        <w:t xml:space="preserve">that </w:t>
      </w:r>
      <w:r w:rsidRPr="00097721">
        <w:t xml:space="preserve">suppliers are unwilling to transact under the current rules.  CalCCA </w:t>
      </w:r>
      <w:r w:rsidRPr="00097721" w:rsidR="006C1441">
        <w:t xml:space="preserve">further </w:t>
      </w:r>
      <w:r w:rsidRPr="00097721" w:rsidR="006B32CB">
        <w:t>cites</w:t>
      </w:r>
      <w:r w:rsidRPr="00097721">
        <w:t xml:space="preserve"> analysis that Combustion Turbines (CT) bidding $0 during </w:t>
      </w:r>
      <w:r w:rsidRPr="00097721" w:rsidR="00B463B1">
        <w:t xml:space="preserve">the </w:t>
      </w:r>
      <w:r w:rsidRPr="00097721">
        <w:t>AAHs have an operational cost greater than the maximum bid price of $0/MWh.</w:t>
      </w:r>
    </w:p>
    <w:p w:rsidRPr="00097721" w:rsidR="008F5295" w:rsidP="00F6535A" w:rsidRDefault="006657E8" w14:paraId="0BED5427" w14:textId="19ED6308">
      <w:pPr>
        <w:pStyle w:val="Standard"/>
      </w:pPr>
      <w:r w:rsidRPr="00097721">
        <w:t xml:space="preserve">CalCCA </w:t>
      </w:r>
      <w:r w:rsidRPr="00097721" w:rsidR="00EA51F0">
        <w:t>proposes</w:t>
      </w:r>
      <w:r w:rsidRPr="00097721">
        <w:t xml:space="preserve"> that a new maximum non-resource-specific RA import bid price should be set based on the </w:t>
      </w:r>
      <w:r w:rsidRPr="00097721" w:rsidR="003F3F9C">
        <w:t>typical</w:t>
      </w:r>
      <w:r w:rsidRPr="00097721">
        <w:t xml:space="preserve"> marginal resource’s</w:t>
      </w:r>
      <w:r w:rsidRPr="00097721" w:rsidR="003F3F9C">
        <w:t xml:space="preserve"> (the CT</w:t>
      </w:r>
      <w:r w:rsidRPr="00097721" w:rsidR="00D42C3A">
        <w:t>’s</w:t>
      </w:r>
      <w:r w:rsidRPr="00097721" w:rsidR="003F3F9C">
        <w:t xml:space="preserve">) estimated </w:t>
      </w:r>
      <w:r w:rsidRPr="00097721">
        <w:t xml:space="preserve">cost based on heat rate, natural gas prices and penalties, variable </w:t>
      </w:r>
      <w:r w:rsidRPr="00097721" w:rsidR="003B4F68">
        <w:t>operations and maintenance</w:t>
      </w:r>
      <w:r w:rsidRPr="00097721">
        <w:t xml:space="preserve">, and </w:t>
      </w:r>
      <w:r w:rsidRPr="00097721" w:rsidR="00395A2E">
        <w:t>greenhouse gas</w:t>
      </w:r>
      <w:r w:rsidRPr="00097721" w:rsidR="000A290C">
        <w:t xml:space="preserve"> </w:t>
      </w:r>
      <w:r w:rsidRPr="00097721" w:rsidR="00412ED8">
        <w:t>data</w:t>
      </w:r>
      <w:r w:rsidRPr="00097721">
        <w:t>.  CalCCA proposes three tiers based on</w:t>
      </w:r>
      <w:r w:rsidRPr="00097721" w:rsidR="00EA51F0">
        <w:t xml:space="preserve"> natural</w:t>
      </w:r>
      <w:r w:rsidRPr="00097721">
        <w:t xml:space="preserve"> gas prices up to $10, $20, and $30 per MMBtu</w:t>
      </w:r>
      <w:r w:rsidRPr="00097721" w:rsidR="00EA51F0">
        <w:t xml:space="preserve">, </w:t>
      </w:r>
      <w:r w:rsidRPr="00097721" w:rsidR="00321AE3">
        <w:t>with</w:t>
      </w:r>
      <w:r w:rsidRPr="00097721" w:rsidR="00EA51F0">
        <w:t xml:space="preserve"> the Commission determin</w:t>
      </w:r>
      <w:r w:rsidRPr="00097721" w:rsidR="00167907">
        <w:t>ing</w:t>
      </w:r>
      <w:r w:rsidRPr="00097721" w:rsidR="00EA51F0">
        <w:t xml:space="preserve"> which tier </w:t>
      </w:r>
      <w:r w:rsidRPr="00097721" w:rsidR="00523FCC">
        <w:t>is applicable</w:t>
      </w:r>
      <w:r w:rsidRPr="00097721" w:rsidR="00D84654">
        <w:t xml:space="preserve"> </w:t>
      </w:r>
      <w:r w:rsidRPr="00097721" w:rsidR="00EA51F0">
        <w:t>each month.</w:t>
      </w:r>
      <w:r w:rsidRPr="00097721" w:rsidR="00F6535A">
        <w:t xml:space="preserve">  </w:t>
      </w:r>
    </w:p>
    <w:p w:rsidRPr="00097721" w:rsidR="00066D7D" w:rsidP="00C04FEE" w:rsidRDefault="00C53793" w14:paraId="3228D52A" w14:textId="77777777">
      <w:pPr>
        <w:pStyle w:val="Standard"/>
      </w:pPr>
      <w:r w:rsidRPr="00097721">
        <w:t xml:space="preserve">AReM, CEERT, MRP, Microsoft, SCE, Shell Energy, and WPTF </w:t>
      </w:r>
      <w:r w:rsidRPr="00097721" w:rsidR="00326C55">
        <w:t>support CalCCA’s proposal.</w:t>
      </w:r>
      <w:r w:rsidRPr="00097721" w:rsidR="00A367B6">
        <w:rPr>
          <w:rStyle w:val="FootnoteReference"/>
        </w:rPr>
        <w:footnoteReference w:id="112"/>
      </w:r>
      <w:r w:rsidRPr="00097721" w:rsidR="00326C55">
        <w:t xml:space="preserve">  </w:t>
      </w:r>
      <w:r w:rsidRPr="00097721" w:rsidR="00CA2DEB">
        <w:t xml:space="preserve">SCE states that </w:t>
      </w:r>
      <w:r w:rsidRPr="00097721" w:rsidR="009B6056">
        <w:t>the</w:t>
      </w:r>
      <w:r w:rsidRPr="00097721" w:rsidR="00CA2DEB">
        <w:t xml:space="preserve"> proposal addresses the Commission’s past concern that some imports were bid at the cap, while still allowing imports to avoid bid</w:t>
      </w:r>
      <w:r w:rsidRPr="00097721" w:rsidR="00785A13">
        <w:t>ding</w:t>
      </w:r>
      <w:r w:rsidRPr="00097721" w:rsidR="00CA2DEB">
        <w:t xml:space="preserve"> at negative prices.  </w:t>
      </w:r>
      <w:r w:rsidRPr="00097721" w:rsidR="00AA3374">
        <w:t xml:space="preserve">SCE states that </w:t>
      </w:r>
      <w:r w:rsidRPr="00097721" w:rsidR="00FC1C20">
        <w:t xml:space="preserve">the </w:t>
      </w:r>
      <w:r w:rsidRPr="00097721" w:rsidR="00507F16">
        <w:t xml:space="preserve">current </w:t>
      </w:r>
      <w:r w:rsidRPr="00097721" w:rsidR="00FC1C20">
        <w:t xml:space="preserve">bidding rules do </w:t>
      </w:r>
      <w:r w:rsidRPr="00097721" w:rsidR="00FC1C20">
        <w:lastRenderedPageBreak/>
        <w:t xml:space="preserve">not increase CAISO’s access to generation capacity but rather, increase costs of the RA program.  </w:t>
      </w:r>
      <w:r w:rsidRPr="00097721" w:rsidR="00BD34E1">
        <w:t xml:space="preserve">WPTF </w:t>
      </w:r>
      <w:r w:rsidRPr="00097721" w:rsidR="00C04FEE">
        <w:t xml:space="preserve">and MRP generally </w:t>
      </w:r>
      <w:r w:rsidRPr="00097721" w:rsidR="00BD34E1">
        <w:t>state that the proposal would incentivize out-of-state suppliers with operating costs higher than the current maximum bid price to sell import RA to California.</w:t>
      </w:r>
      <w:r w:rsidRPr="00097721" w:rsidR="00CA2DEB">
        <w:t xml:space="preserve">  </w:t>
      </w:r>
      <w:r w:rsidRPr="00097721" w:rsidR="00277176">
        <w:t xml:space="preserve">AReM </w:t>
      </w:r>
      <w:r w:rsidRPr="00097721" w:rsidR="00AB761D">
        <w:t>states that</w:t>
      </w:r>
      <w:r w:rsidRPr="00097721" w:rsidR="00277176">
        <w:t xml:space="preserve"> </w:t>
      </w:r>
      <w:r w:rsidRPr="00097721" w:rsidR="00DE4495">
        <w:t>the</w:t>
      </w:r>
      <w:r w:rsidRPr="00097721" w:rsidR="00277176">
        <w:t xml:space="preserve"> proposal </w:t>
      </w:r>
      <w:r w:rsidRPr="00097721" w:rsidR="00AB761D">
        <w:t>may</w:t>
      </w:r>
      <w:r w:rsidRPr="00097721" w:rsidR="00277176">
        <w:t xml:space="preserve"> broaden </w:t>
      </w:r>
      <w:r w:rsidRPr="00097721" w:rsidR="007E24B0">
        <w:t xml:space="preserve">import </w:t>
      </w:r>
      <w:r w:rsidRPr="00097721" w:rsidR="00277176">
        <w:t xml:space="preserve">access in a tight RA market by allowing generators to sell RA without requiring them to operate at a loss.  </w:t>
      </w:r>
    </w:p>
    <w:p w:rsidRPr="00097721" w:rsidR="006859E1" w:rsidP="00C04FEE" w:rsidRDefault="006859E1" w14:paraId="10A15671" w14:textId="16A9B2C1">
      <w:pPr>
        <w:pStyle w:val="Standard"/>
      </w:pPr>
      <w:r w:rsidRPr="00097721">
        <w:t xml:space="preserve">BPA states that from </w:t>
      </w:r>
      <w:r w:rsidRPr="00097721" w:rsidR="00D31F53">
        <w:t>a supplier’s</w:t>
      </w:r>
      <w:r w:rsidRPr="00097721">
        <w:t xml:space="preserve"> perspective, it continues to see opportunities to offer resources to California entities </w:t>
      </w:r>
      <w:r w:rsidRPr="00097721" w:rsidR="005951CF">
        <w:t>but does not view its proposal as incompatible with</w:t>
      </w:r>
      <w:r w:rsidRPr="00097721">
        <w:t xml:space="preserve"> CalCCA’</w:t>
      </w:r>
      <w:r w:rsidRPr="00097721" w:rsidR="005951CF">
        <w:t>s proposal</w:t>
      </w:r>
      <w:r w:rsidRPr="00097721">
        <w:t>.</w:t>
      </w:r>
      <w:r w:rsidRPr="00097721" w:rsidR="004913E3">
        <w:rPr>
          <w:rStyle w:val="FootnoteReference"/>
        </w:rPr>
        <w:footnoteReference w:id="113"/>
      </w:r>
    </w:p>
    <w:p w:rsidRPr="00097721" w:rsidR="006859E1" w:rsidP="008F624B" w:rsidRDefault="00BC4845" w14:paraId="107849BA" w14:textId="71A50B87">
      <w:pPr>
        <w:pStyle w:val="Heading4"/>
        <w:tabs>
          <w:tab w:val="clear" w:pos="2232"/>
        </w:tabs>
      </w:pPr>
      <w:bookmarkStart w:name="_Toc166841765" w:id="62"/>
      <w:r w:rsidRPr="00097721">
        <w:t>Discussion</w:t>
      </w:r>
      <w:bookmarkEnd w:id="62"/>
    </w:p>
    <w:p w:rsidRPr="00097721" w:rsidR="00E053CB" w:rsidP="00D22FEE" w:rsidRDefault="00FE7F9B" w14:paraId="3D315224" w14:textId="25F10EF3">
      <w:pPr>
        <w:pStyle w:val="Standard"/>
      </w:pPr>
      <w:r w:rsidRPr="00097721">
        <w:t xml:space="preserve">The Commission </w:t>
      </w:r>
      <w:r w:rsidRPr="00097721" w:rsidR="00E60399">
        <w:t>acknowledges the broad interest among parties to increase the availability of</w:t>
      </w:r>
      <w:r w:rsidRPr="00097721" w:rsidR="00474D1C">
        <w:t xml:space="preserve"> reliable</w:t>
      </w:r>
      <w:r w:rsidRPr="00097721" w:rsidR="00E60399">
        <w:t xml:space="preserve"> RA imports to California</w:t>
      </w:r>
      <w:r w:rsidRPr="00097721" w:rsidR="00474D1C">
        <w:t xml:space="preserve">.  </w:t>
      </w:r>
      <w:r w:rsidRPr="00097721" w:rsidR="00A02629">
        <w:t>Currently, an aggregation of physically linked resources</w:t>
      </w:r>
      <w:r w:rsidRPr="00097721" w:rsidR="003B0C5D">
        <w:t>,</w:t>
      </w:r>
      <w:r w:rsidRPr="00097721" w:rsidR="00A02629">
        <w:t xml:space="preserve"> such as those owned by BPA</w:t>
      </w:r>
      <w:r w:rsidRPr="00097721" w:rsidR="003B0C5D">
        <w:t>,</w:t>
      </w:r>
      <w:r w:rsidRPr="00097721" w:rsidR="00A02629">
        <w:t xml:space="preserve"> would be subject to the rules for non-resource</w:t>
      </w:r>
      <w:r w:rsidRPr="00097721" w:rsidR="00A504F8">
        <w:t>-</w:t>
      </w:r>
      <w:r w:rsidRPr="00097721" w:rsidR="00A02629">
        <w:t>specific imports set forth in D.20-06-028.</w:t>
      </w:r>
      <w:r w:rsidRPr="00097721" w:rsidR="00A02629">
        <w:rPr>
          <w:rStyle w:val="FootnoteReference"/>
        </w:rPr>
        <w:footnoteReference w:id="114"/>
      </w:r>
      <w:r w:rsidRPr="00097721" w:rsidR="00A02629">
        <w:t xml:space="preserve">  </w:t>
      </w:r>
      <w:r w:rsidRPr="00097721" w:rsidR="003B0C5D">
        <w:t>The Commission</w:t>
      </w:r>
      <w:r w:rsidRPr="00097721" w:rsidR="00E053CB">
        <w:t xml:space="preserve"> understand</w:t>
      </w:r>
      <w:r w:rsidRPr="00097721" w:rsidR="003B0C5D">
        <w:t>s</w:t>
      </w:r>
      <w:r w:rsidRPr="00097721" w:rsidR="00E053CB">
        <w:t xml:space="preserve"> </w:t>
      </w:r>
      <w:r w:rsidRPr="00097721" w:rsidR="003B0C5D">
        <w:t xml:space="preserve">that </w:t>
      </w:r>
      <w:r w:rsidRPr="00097721" w:rsidR="00E053CB">
        <w:t xml:space="preserve">BPA is proposing an exception to the </w:t>
      </w:r>
      <w:r w:rsidRPr="00097721" w:rsidR="003B0C5D">
        <w:t xml:space="preserve">non-resource-specific </w:t>
      </w:r>
      <w:r w:rsidRPr="00097721" w:rsidR="00E053CB">
        <w:t>import bidding rules, if the non-resource</w:t>
      </w:r>
      <w:r w:rsidRPr="00097721" w:rsidR="003B0C5D">
        <w:t>-</w:t>
      </w:r>
      <w:r w:rsidRPr="00097721" w:rsidR="00E053CB">
        <w:t>specific import meets the following criteria:</w:t>
      </w:r>
    </w:p>
    <w:p w:rsidRPr="00097721" w:rsidR="00E053CB" w:rsidP="00FA34E5" w:rsidRDefault="003B0C5D" w14:paraId="0C8F27FD" w14:textId="3C2C7003">
      <w:pPr>
        <w:pStyle w:val="Standard"/>
        <w:numPr>
          <w:ilvl w:val="0"/>
          <w:numId w:val="13"/>
        </w:numPr>
        <w:spacing w:line="240" w:lineRule="auto"/>
        <w:ind w:right="1440"/>
      </w:pPr>
      <w:r w:rsidRPr="00097721">
        <w:t>The import is</w:t>
      </w:r>
      <w:r w:rsidRPr="00097721" w:rsidR="00E053CB">
        <w:t xml:space="preserve"> an aggregation of physically-linked resources.</w:t>
      </w:r>
    </w:p>
    <w:p w:rsidRPr="00097721" w:rsidR="003B0C5D" w:rsidP="00FA34E5" w:rsidRDefault="003B0C5D" w14:paraId="71ECA27F" w14:textId="77777777">
      <w:pPr>
        <w:pStyle w:val="Standard"/>
        <w:spacing w:line="240" w:lineRule="auto"/>
        <w:ind w:left="1080" w:right="1440" w:firstLine="0"/>
      </w:pPr>
    </w:p>
    <w:p w:rsidRPr="00097721" w:rsidR="00E053CB" w:rsidP="00FA34E5" w:rsidRDefault="003B0C5D" w14:paraId="3EF64DD8" w14:textId="2361EF32">
      <w:pPr>
        <w:pStyle w:val="Standard"/>
        <w:numPr>
          <w:ilvl w:val="0"/>
          <w:numId w:val="13"/>
        </w:numPr>
        <w:spacing w:line="240" w:lineRule="auto"/>
        <w:ind w:right="1440"/>
      </w:pPr>
      <w:r w:rsidRPr="00097721">
        <w:t>The import</w:t>
      </w:r>
      <w:r w:rsidRPr="00097721" w:rsidR="00E053CB">
        <w:t xml:space="preserve"> </w:t>
      </w:r>
      <w:r w:rsidRPr="00097721">
        <w:t>is o</w:t>
      </w:r>
      <w:r w:rsidRPr="00097721" w:rsidR="00E053CB">
        <w:t xml:space="preserve">wned by the contracting party providing the import RA to the CAISO </w:t>
      </w:r>
      <w:r w:rsidRPr="00097721">
        <w:t>BAA</w:t>
      </w:r>
      <w:r w:rsidRPr="00097721" w:rsidR="00E053CB">
        <w:t>, where</w:t>
      </w:r>
      <w:r w:rsidRPr="00097721">
        <w:t xml:space="preserve"> import capacity</w:t>
      </w:r>
      <w:r w:rsidRPr="00097721" w:rsidR="00E053CB">
        <w:t>:</w:t>
      </w:r>
    </w:p>
    <w:p w:rsidRPr="00097721" w:rsidR="003B0C5D" w:rsidP="00FA34E5" w:rsidRDefault="003B0C5D" w14:paraId="2E70F1C6" w14:textId="77777777">
      <w:pPr>
        <w:pStyle w:val="Standard"/>
        <w:spacing w:line="240" w:lineRule="auto"/>
        <w:ind w:right="1440" w:firstLine="0"/>
      </w:pPr>
    </w:p>
    <w:p w:rsidRPr="00097721" w:rsidR="00E053CB" w:rsidP="00FA34E5" w:rsidRDefault="003B0C5D" w14:paraId="770942C7" w14:textId="5BE8EF05">
      <w:pPr>
        <w:pStyle w:val="Standard"/>
        <w:numPr>
          <w:ilvl w:val="1"/>
          <w:numId w:val="13"/>
        </w:numPr>
        <w:spacing w:line="240" w:lineRule="auto"/>
        <w:ind w:right="1440"/>
      </w:pPr>
      <w:r w:rsidRPr="00097721">
        <w:t>I</w:t>
      </w:r>
      <w:r w:rsidRPr="00097721" w:rsidR="00E053CB">
        <w:t xml:space="preserve">s unencumbered, with an accompanying attestation; </w:t>
      </w:r>
      <w:r w:rsidRPr="00097721">
        <w:t>and</w:t>
      </w:r>
    </w:p>
    <w:p w:rsidRPr="00097721" w:rsidR="003B0C5D" w:rsidP="00FA34E5" w:rsidRDefault="003B0C5D" w14:paraId="77B8A0BE" w14:textId="77777777">
      <w:pPr>
        <w:pStyle w:val="Standard"/>
        <w:spacing w:line="240" w:lineRule="auto"/>
        <w:ind w:left="1800" w:right="1440" w:firstLine="0"/>
      </w:pPr>
    </w:p>
    <w:p w:rsidRPr="00097721" w:rsidR="00E053CB" w:rsidP="00FA34E5" w:rsidRDefault="00E053CB" w14:paraId="7FCB3823" w14:textId="2F3555DE">
      <w:pPr>
        <w:pStyle w:val="Standard"/>
        <w:numPr>
          <w:ilvl w:val="1"/>
          <w:numId w:val="13"/>
        </w:numPr>
        <w:spacing w:line="240" w:lineRule="auto"/>
        <w:ind w:right="1440"/>
      </w:pPr>
      <w:r w:rsidRPr="00097721">
        <w:t>Has firm transmission to the CAISO BAA.</w:t>
      </w:r>
    </w:p>
    <w:p w:rsidRPr="00097721" w:rsidR="003B0C5D" w:rsidP="002F3D4E" w:rsidRDefault="003B0C5D" w14:paraId="476DDB9E" w14:textId="77777777">
      <w:pPr>
        <w:pStyle w:val="Standard"/>
        <w:spacing w:line="240" w:lineRule="auto"/>
        <w:ind w:firstLine="0"/>
      </w:pPr>
    </w:p>
    <w:p w:rsidRPr="00097721" w:rsidR="00E053CB" w:rsidP="00D22FEE" w:rsidRDefault="00474D1C" w14:paraId="55816318" w14:textId="7E0647D9">
      <w:pPr>
        <w:pStyle w:val="Standard"/>
      </w:pPr>
      <w:r w:rsidRPr="00097721">
        <w:t xml:space="preserve">We agree with parties that </w:t>
      </w:r>
      <w:r w:rsidRPr="00097721" w:rsidR="00FE7F9B">
        <w:t>BPA’s proposal</w:t>
      </w:r>
      <w:r w:rsidRPr="00097721">
        <w:t>, with some modifications,</w:t>
      </w:r>
      <w:r w:rsidRPr="00097721" w:rsidR="00FE7F9B">
        <w:t xml:space="preserve"> </w:t>
      </w:r>
      <w:r w:rsidRPr="00097721">
        <w:t>would remove a</w:t>
      </w:r>
      <w:r w:rsidRPr="00097721" w:rsidR="005951CF">
        <w:t xml:space="preserve"> barrier </w:t>
      </w:r>
      <w:r w:rsidRPr="00097721">
        <w:t xml:space="preserve">for out-of-state suppliers </w:t>
      </w:r>
      <w:r w:rsidRPr="00097721" w:rsidR="00896FDC">
        <w:t xml:space="preserve">that would incentivize suppliers to sell </w:t>
      </w:r>
      <w:r w:rsidRPr="00097721" w:rsidR="00037D4B">
        <w:t xml:space="preserve">RA </w:t>
      </w:r>
      <w:r w:rsidRPr="00097721" w:rsidR="00896FDC">
        <w:t>imports to</w:t>
      </w:r>
      <w:r w:rsidRPr="00097721">
        <w:t xml:space="preserve"> California LSEs.  We also find that requiring imports to have firm transmission rights and </w:t>
      </w:r>
      <w:r w:rsidRPr="00097721" w:rsidR="00E053CB">
        <w:t xml:space="preserve">requiring an attestation that confirms the import </w:t>
      </w:r>
      <w:r w:rsidRPr="00097721" w:rsidR="003B0C5D">
        <w:t>is</w:t>
      </w:r>
      <w:r w:rsidRPr="00097721" w:rsidR="00E053CB">
        <w:t xml:space="preserve"> </w:t>
      </w:r>
      <w:r w:rsidRPr="00097721">
        <w:t>backed by physical capacity</w:t>
      </w:r>
      <w:r w:rsidRPr="00097721" w:rsidR="00AF7A16">
        <w:t xml:space="preserve"> </w:t>
      </w:r>
      <w:r w:rsidRPr="00097721" w:rsidR="00E053CB">
        <w:t xml:space="preserve">not committed to </w:t>
      </w:r>
      <w:r w:rsidRPr="00097721" w:rsidR="003B0C5D">
        <w:t>an</w:t>
      </w:r>
      <w:r w:rsidRPr="00097721" w:rsidR="00E053CB">
        <w:t xml:space="preserve">other entity </w:t>
      </w:r>
      <w:r w:rsidRPr="00097721" w:rsidR="00AF7A16">
        <w:t xml:space="preserve">will </w:t>
      </w:r>
      <w:r w:rsidRPr="00097721" w:rsidR="00E053CB">
        <w:t>help</w:t>
      </w:r>
      <w:r w:rsidRPr="00097721">
        <w:t xml:space="preserve"> </w:t>
      </w:r>
      <w:r w:rsidRPr="00097721" w:rsidR="00AF7A16">
        <w:t>address</w:t>
      </w:r>
      <w:r w:rsidRPr="00097721" w:rsidR="00EC76EF">
        <w:t xml:space="preserve"> the Commission’s</w:t>
      </w:r>
      <w:r w:rsidRPr="00097721">
        <w:t xml:space="preserve"> </w:t>
      </w:r>
      <w:r w:rsidRPr="00097721" w:rsidR="003B0C5D">
        <w:t xml:space="preserve">past </w:t>
      </w:r>
      <w:r w:rsidRPr="00097721">
        <w:t xml:space="preserve">concerns about speculative RA imports.  </w:t>
      </w:r>
    </w:p>
    <w:p w:rsidRPr="00097721" w:rsidR="00E053CB" w:rsidP="003B0C5D" w:rsidRDefault="00474D1C" w14:paraId="3E65C2D1" w14:textId="58326661">
      <w:pPr>
        <w:pStyle w:val="Standard"/>
      </w:pPr>
      <w:r w:rsidRPr="00097721">
        <w:t xml:space="preserve">As such, the Commission </w:t>
      </w:r>
      <w:r w:rsidRPr="00097721" w:rsidR="003B0C5D">
        <w:t xml:space="preserve">finds it reasonable to </w:t>
      </w:r>
      <w:r w:rsidRPr="00097721">
        <w:t>adopt the following</w:t>
      </w:r>
      <w:r w:rsidRPr="00097721" w:rsidR="00E053CB">
        <w:t xml:space="preserve"> </w:t>
      </w:r>
      <w:r w:rsidRPr="00097721" w:rsidR="00A504F8">
        <w:t>exemption</w:t>
      </w:r>
      <w:r w:rsidRPr="00097721" w:rsidR="00E053CB">
        <w:t>, on an interim basis</w:t>
      </w:r>
      <w:r w:rsidRPr="00097721" w:rsidR="003B0C5D">
        <w:t xml:space="preserve">.  </w:t>
      </w:r>
      <w:r w:rsidRPr="00097721" w:rsidR="00E053CB">
        <w:t>Non-resource</w:t>
      </w:r>
      <w:r w:rsidRPr="00097721" w:rsidR="003B0C5D">
        <w:t>-</w:t>
      </w:r>
      <w:r w:rsidRPr="00097721" w:rsidR="00E053CB">
        <w:t xml:space="preserve">specific imports </w:t>
      </w:r>
      <w:r w:rsidRPr="00097721" w:rsidR="003B0C5D">
        <w:t>may</w:t>
      </w:r>
      <w:r w:rsidRPr="00097721" w:rsidR="00E053CB">
        <w:t xml:space="preserve"> be exempt from the </w:t>
      </w:r>
      <w:r w:rsidRPr="00097721" w:rsidR="003B0C5D">
        <w:t>non-resource-</w:t>
      </w:r>
      <w:r w:rsidRPr="00097721" w:rsidR="00E053CB">
        <w:t>specific</w:t>
      </w:r>
      <w:r w:rsidRPr="00097721" w:rsidR="003B0C5D">
        <w:t xml:space="preserve"> </w:t>
      </w:r>
      <w:r w:rsidRPr="00097721" w:rsidR="00E053CB">
        <w:t>import bidding r</w:t>
      </w:r>
      <w:r w:rsidRPr="00097721" w:rsidR="003B0C5D">
        <w:t>equirements</w:t>
      </w:r>
      <w:r w:rsidRPr="00097721" w:rsidR="00E053CB">
        <w:t xml:space="preserve">, provided that the LSE submit with its RA filing an </w:t>
      </w:r>
      <w:r w:rsidRPr="00097721" w:rsidR="001F0F6C">
        <w:t xml:space="preserve">attestation </w:t>
      </w:r>
      <w:r w:rsidRPr="00097721" w:rsidR="00E053CB">
        <w:t>from the import provider attesting that the following conditions apply to the non-resource</w:t>
      </w:r>
      <w:r w:rsidRPr="00097721" w:rsidR="003B0C5D">
        <w:t>-</w:t>
      </w:r>
      <w:r w:rsidRPr="00097721" w:rsidR="00E053CB">
        <w:t>specific import:</w:t>
      </w:r>
    </w:p>
    <w:p w:rsidRPr="00097721" w:rsidR="00E053CB" w:rsidP="00FA34E5" w:rsidRDefault="00E053CB" w14:paraId="647FE157" w14:textId="02DD763A">
      <w:pPr>
        <w:pStyle w:val="Standard"/>
        <w:numPr>
          <w:ilvl w:val="0"/>
          <w:numId w:val="14"/>
        </w:numPr>
        <w:spacing w:line="240" w:lineRule="auto"/>
        <w:ind w:right="1440"/>
      </w:pPr>
      <w:r w:rsidRPr="00097721">
        <w:t>That the import provider owns the energy resources providing the contracted capacity.</w:t>
      </w:r>
    </w:p>
    <w:p w:rsidRPr="00097721" w:rsidR="003B0C5D" w:rsidP="00FA34E5" w:rsidRDefault="003B0C5D" w14:paraId="1220556E" w14:textId="77777777">
      <w:pPr>
        <w:pStyle w:val="Standard"/>
        <w:spacing w:line="240" w:lineRule="auto"/>
        <w:ind w:left="1080" w:right="1440" w:firstLine="0"/>
      </w:pPr>
    </w:p>
    <w:p w:rsidRPr="00097721" w:rsidR="00E053CB" w:rsidP="00FA34E5" w:rsidRDefault="00E053CB" w14:paraId="3023F207" w14:textId="7EC6D2B0">
      <w:pPr>
        <w:pStyle w:val="Standard"/>
        <w:numPr>
          <w:ilvl w:val="0"/>
          <w:numId w:val="14"/>
        </w:numPr>
        <w:spacing w:line="240" w:lineRule="auto"/>
        <w:ind w:right="1440"/>
      </w:pPr>
      <w:r w:rsidRPr="00097721">
        <w:t>That the resources are an aggregation of physically linked resources.</w:t>
      </w:r>
    </w:p>
    <w:p w:rsidRPr="00097721" w:rsidR="00D045B5" w:rsidP="00FA34E5" w:rsidRDefault="00D045B5" w14:paraId="5C60A961" w14:textId="77777777">
      <w:pPr>
        <w:pStyle w:val="Standard"/>
        <w:spacing w:line="240" w:lineRule="auto"/>
        <w:ind w:right="1440" w:firstLine="0"/>
      </w:pPr>
    </w:p>
    <w:p w:rsidRPr="00097721" w:rsidR="00E053CB" w:rsidP="00FA34E5" w:rsidRDefault="00E053CB" w14:paraId="21098D7D" w14:textId="22174FFF">
      <w:pPr>
        <w:pStyle w:val="Standard"/>
        <w:numPr>
          <w:ilvl w:val="0"/>
          <w:numId w:val="14"/>
        </w:numPr>
        <w:spacing w:line="240" w:lineRule="auto"/>
        <w:ind w:right="1440"/>
      </w:pPr>
      <w:r w:rsidRPr="00097721">
        <w:t xml:space="preserve">That the capacity from the resources </w:t>
      </w:r>
      <w:r w:rsidRPr="00097721" w:rsidR="00D045B5">
        <w:t>is</w:t>
      </w:r>
      <w:r w:rsidRPr="00097721">
        <w:t xml:space="preserve"> not otherwise encumbered or sold to another party.</w:t>
      </w:r>
    </w:p>
    <w:p w:rsidRPr="00097721" w:rsidR="00D045B5" w:rsidP="00FA34E5" w:rsidRDefault="00D045B5" w14:paraId="3C970073" w14:textId="77777777">
      <w:pPr>
        <w:pStyle w:val="Standard"/>
        <w:spacing w:line="240" w:lineRule="auto"/>
        <w:ind w:right="1440" w:firstLine="0"/>
      </w:pPr>
    </w:p>
    <w:p w:rsidRPr="00097721" w:rsidR="00E053CB" w:rsidP="00FA34E5" w:rsidRDefault="00E053CB" w14:paraId="6FF52DA6" w14:textId="05F90756">
      <w:pPr>
        <w:pStyle w:val="Standard"/>
        <w:numPr>
          <w:ilvl w:val="0"/>
          <w:numId w:val="14"/>
        </w:numPr>
        <w:spacing w:line="240" w:lineRule="auto"/>
        <w:ind w:right="1440"/>
      </w:pPr>
      <w:r w:rsidRPr="00097721">
        <w:t xml:space="preserve">That the import provider has firm transmission to the CAISO BAA for the full amount under contract and that </w:t>
      </w:r>
      <w:r w:rsidRPr="00097721" w:rsidR="00D045B5">
        <w:t xml:space="preserve">it </w:t>
      </w:r>
      <w:r w:rsidRPr="00097721">
        <w:t>is backed by operating reserves.</w:t>
      </w:r>
    </w:p>
    <w:p w:rsidRPr="00097721" w:rsidR="00D045B5" w:rsidP="00FA34E5" w:rsidRDefault="00D045B5" w14:paraId="4BF8FF69" w14:textId="77777777">
      <w:pPr>
        <w:pStyle w:val="Standard"/>
        <w:spacing w:line="240" w:lineRule="auto"/>
        <w:ind w:right="1440" w:firstLine="0"/>
      </w:pPr>
    </w:p>
    <w:p w:rsidRPr="00097721" w:rsidR="00E053CB" w:rsidP="00FA34E5" w:rsidRDefault="00E053CB" w14:paraId="3849F624" w14:textId="23DF3ED4">
      <w:pPr>
        <w:pStyle w:val="Standard"/>
        <w:numPr>
          <w:ilvl w:val="0"/>
          <w:numId w:val="14"/>
        </w:numPr>
        <w:spacing w:line="240" w:lineRule="auto"/>
        <w:ind w:right="1440"/>
      </w:pPr>
      <w:r w:rsidRPr="00097721">
        <w:t xml:space="preserve">That the energy will be economically bid into the CAISO day-ahead and real-time markets </w:t>
      </w:r>
      <w:r w:rsidRPr="00097721" w:rsidR="00FE04A4">
        <w:t>in alignment with CAISO must-offer obligation rules for resource-specific imports</w:t>
      </w:r>
      <w:r w:rsidRPr="00097721">
        <w:t>.</w:t>
      </w:r>
    </w:p>
    <w:p w:rsidRPr="00097721" w:rsidR="00D045B5" w:rsidP="00FA34E5" w:rsidRDefault="00D045B5" w14:paraId="43C11C6F" w14:textId="77777777">
      <w:pPr>
        <w:pStyle w:val="Standard"/>
        <w:spacing w:line="240" w:lineRule="auto"/>
        <w:ind w:right="1440" w:firstLine="0"/>
      </w:pPr>
    </w:p>
    <w:p w:rsidRPr="00097721" w:rsidR="00E053CB" w:rsidP="00FA34E5" w:rsidRDefault="00E053CB" w14:paraId="57C2EFE4" w14:textId="3E1E899D">
      <w:pPr>
        <w:pStyle w:val="Standard"/>
        <w:numPr>
          <w:ilvl w:val="0"/>
          <w:numId w:val="14"/>
        </w:numPr>
        <w:spacing w:line="240" w:lineRule="auto"/>
        <w:ind w:right="1440"/>
      </w:pPr>
      <w:r w:rsidRPr="00097721">
        <w:t xml:space="preserve">That should the resource receive a dispatch from the CAISO market, the energy and transmission will be firm and given priority equal to the LSEs’ native load (i.e., that </w:t>
      </w:r>
      <w:r w:rsidRPr="00097721">
        <w:lastRenderedPageBreak/>
        <w:t>the energy will not be curtailed, except when the LSE is curtailing its own native load) and will not be curtailed for economic or reliability reasons, except under the circumstances noted above.</w:t>
      </w:r>
    </w:p>
    <w:p w:rsidRPr="00097721" w:rsidR="00D045B5" w:rsidP="009734AD" w:rsidRDefault="00D045B5" w14:paraId="41470CBB" w14:textId="77777777">
      <w:pPr>
        <w:pStyle w:val="Standard"/>
        <w:spacing w:line="240" w:lineRule="auto"/>
        <w:ind w:firstLine="0"/>
      </w:pPr>
    </w:p>
    <w:p w:rsidRPr="00097721" w:rsidR="0071671B" w:rsidP="0071671B" w:rsidRDefault="00E053CB" w14:paraId="0B747580" w14:textId="78B0C902">
      <w:pPr>
        <w:pStyle w:val="Standard"/>
      </w:pPr>
      <w:r w:rsidRPr="00097721">
        <w:t xml:space="preserve">If the </w:t>
      </w:r>
      <w:r w:rsidRPr="00097721" w:rsidR="00D045B5">
        <w:t>non-resource-</w:t>
      </w:r>
      <w:r w:rsidRPr="00097721">
        <w:t>specif</w:t>
      </w:r>
      <w:r w:rsidRPr="00097721" w:rsidR="00D045B5">
        <w:t>ic</w:t>
      </w:r>
      <w:r w:rsidRPr="00097721">
        <w:t xml:space="preserve"> import meets these requirements, it will be exempt from the current non-</w:t>
      </w:r>
      <w:r w:rsidRPr="00097721" w:rsidR="00D045B5">
        <w:t>resource-</w:t>
      </w:r>
      <w:r w:rsidRPr="00097721">
        <w:t>specific import bidding requirements.</w:t>
      </w:r>
      <w:r w:rsidRPr="00097721" w:rsidR="00311DC9">
        <w:t xml:space="preserve"> </w:t>
      </w:r>
      <w:r w:rsidRPr="00097721" w:rsidR="0071671B">
        <w:t xml:space="preserve"> </w:t>
      </w:r>
      <w:r w:rsidRPr="00097721">
        <w:t xml:space="preserve">The </w:t>
      </w:r>
      <w:r w:rsidRPr="00097721" w:rsidR="001F0F6C">
        <w:t>attestation affirming</w:t>
      </w:r>
      <w:r w:rsidRPr="00097721">
        <w:t xml:space="preserve"> the conditions required above must be included </w:t>
      </w:r>
      <w:r w:rsidRPr="00097721" w:rsidR="00D045B5">
        <w:t>with</w:t>
      </w:r>
      <w:r w:rsidRPr="00097721">
        <w:t xml:space="preserve"> the LSE’s RA filing to Energy Division.  </w:t>
      </w:r>
      <w:r w:rsidRPr="00097721" w:rsidR="0071671B">
        <w:t>This will be effective upon the issuance of this decision.</w:t>
      </w:r>
    </w:p>
    <w:p w:rsidRPr="00097721" w:rsidR="00D67643" w:rsidP="003E58A9" w:rsidRDefault="00E053CB" w14:paraId="7AB4EBB6" w14:textId="0F9E0A3E">
      <w:pPr>
        <w:pStyle w:val="Standard"/>
      </w:pPr>
      <w:r w:rsidRPr="00097721">
        <w:t xml:space="preserve">Energy Division is authorized to monitor the bidding behavior of these resources regularly to ascertain issues of speculative supply.  This monitoring will help inform the Commission’s determination on </w:t>
      </w:r>
      <w:r w:rsidRPr="00097721" w:rsidR="00D045B5">
        <w:t xml:space="preserve">whether to </w:t>
      </w:r>
      <w:r w:rsidRPr="00097721">
        <w:t>continu</w:t>
      </w:r>
      <w:r w:rsidRPr="00097721" w:rsidR="00D045B5">
        <w:t>e</w:t>
      </w:r>
      <w:r w:rsidRPr="00097721">
        <w:t xml:space="preserve"> this exemption.  </w:t>
      </w:r>
    </w:p>
    <w:p w:rsidRPr="00097721" w:rsidR="00264469" w:rsidP="0071671B" w:rsidRDefault="00046080" w14:paraId="5E2E6032" w14:textId="7B92B1A4">
      <w:pPr>
        <w:pStyle w:val="Standard"/>
      </w:pPr>
      <w:r w:rsidRPr="00097721">
        <w:t>Regarding</w:t>
      </w:r>
      <w:r w:rsidRPr="00097721" w:rsidR="00FE7F9B">
        <w:t xml:space="preserve"> CalCCA’s</w:t>
      </w:r>
      <w:r w:rsidRPr="00097721" w:rsidR="00EA51F0">
        <w:t xml:space="preserve"> proposal</w:t>
      </w:r>
      <w:r w:rsidRPr="00097721" w:rsidR="00FE7F9B">
        <w:t xml:space="preserve">, </w:t>
      </w:r>
      <w:r w:rsidRPr="00097721" w:rsidR="00E96BB6">
        <w:t xml:space="preserve">the Commission finds that </w:t>
      </w:r>
      <w:r w:rsidRPr="00097721" w:rsidR="00845F18">
        <w:t>the proposal</w:t>
      </w:r>
      <w:r w:rsidRPr="00097721" w:rsidR="00E96BB6">
        <w:t xml:space="preserve"> </w:t>
      </w:r>
      <w:r w:rsidRPr="00097721" w:rsidR="00845F18">
        <w:t>is</w:t>
      </w:r>
      <w:r w:rsidRPr="00097721" w:rsidR="00E96BB6">
        <w:t xml:space="preserve"> administratively complex</w:t>
      </w:r>
      <w:r w:rsidRPr="00097721" w:rsidR="00094197">
        <w:t xml:space="preserve"> and burdensome</w:t>
      </w:r>
      <w:r w:rsidRPr="00097721" w:rsidR="00E96BB6">
        <w:t xml:space="preserve"> to implement.</w:t>
      </w:r>
      <w:r w:rsidRPr="00097721" w:rsidR="0071671B">
        <w:t xml:space="preserve">  The proposal requires a</w:t>
      </w:r>
      <w:r w:rsidRPr="00097721" w:rsidR="00280DB7">
        <w:t xml:space="preserve"> complex </w:t>
      </w:r>
      <w:r w:rsidRPr="00097721" w:rsidR="0071671B">
        <w:t xml:space="preserve">multi-stage </w:t>
      </w:r>
      <w:r w:rsidRPr="00097721" w:rsidR="00280DB7">
        <w:t xml:space="preserve">calculation based on CalCCA’s assumption that the marginal CT costs and heat rate within CAISO would set an appropriate price for import energy from outside CAISO, which is primarily composed of hydroelectric, wind, and solar imports.  </w:t>
      </w:r>
      <w:r w:rsidRPr="00097721" w:rsidR="00ED7FC4">
        <w:t>In addition</w:t>
      </w:r>
      <w:r w:rsidRPr="00097721" w:rsidR="00280DB7">
        <w:t>, heat rates and costs put forward by CalCCA</w:t>
      </w:r>
      <w:r w:rsidRPr="00097721" w:rsidR="0071671B">
        <w:t xml:space="preserve"> would require additional investigation, and there </w:t>
      </w:r>
      <w:r w:rsidRPr="00097721" w:rsidR="00602879">
        <w:t>is</w:t>
      </w:r>
      <w:r w:rsidRPr="00097721" w:rsidR="0071671B">
        <w:t xml:space="preserve"> no evidence that this calculation </w:t>
      </w:r>
      <w:r w:rsidRPr="00097721" w:rsidR="00280DB7">
        <w:t xml:space="preserve">would result in the best outcome in the RA market or for ratepayers.  </w:t>
      </w:r>
      <w:r w:rsidRPr="00097721" w:rsidR="00F3279C">
        <w:t>For these reasons, we decline to adopt this proposal.</w:t>
      </w:r>
    </w:p>
    <w:p w:rsidRPr="00097721" w:rsidR="00B133FF" w:rsidP="00901FF0" w:rsidRDefault="005325D7" w14:paraId="0EB93E8B" w14:textId="4573DED1">
      <w:pPr>
        <w:pStyle w:val="Heading2"/>
        <w:tabs>
          <w:tab w:val="clear" w:pos="1080"/>
          <w:tab w:val="num" w:pos="1170"/>
        </w:tabs>
      </w:pPr>
      <w:bookmarkStart w:name="_Toc166841766" w:id="63"/>
      <w:r w:rsidRPr="00097721">
        <w:t xml:space="preserve">Unforced Capacity </w:t>
      </w:r>
      <w:r w:rsidRPr="00097721" w:rsidR="00AF41A3">
        <w:t>Evaluation</w:t>
      </w:r>
      <w:bookmarkEnd w:id="63"/>
    </w:p>
    <w:p w:rsidRPr="00097721" w:rsidR="00AF41A3" w:rsidP="001B5E2F" w:rsidRDefault="00AF41A3" w14:paraId="40FF00B2" w14:textId="3294194E">
      <w:pPr>
        <w:pStyle w:val="Standard"/>
      </w:pPr>
      <w:r w:rsidRPr="00097721">
        <w:t xml:space="preserve">Energy Division, PG&amp;E and SCE </w:t>
      </w:r>
      <w:r w:rsidRPr="00097721" w:rsidR="00F25415">
        <w:t xml:space="preserve">recommend the following </w:t>
      </w:r>
      <w:r w:rsidRPr="00097721">
        <w:t xml:space="preserve">proposals </w:t>
      </w:r>
      <w:r w:rsidRPr="00097721" w:rsidR="00844EB0">
        <w:t>related to</w:t>
      </w:r>
      <w:r w:rsidRPr="00097721">
        <w:t xml:space="preserve"> a UCAP mechanism.  Energy Division </w:t>
      </w:r>
      <w:r w:rsidRPr="00097721" w:rsidR="00722D02">
        <w:t xml:space="preserve">recommends using a class average UCAP framework to discount the NQC of affected generators for </w:t>
      </w:r>
      <w:r w:rsidRPr="00097721" w:rsidR="00722D02">
        <w:lastRenderedPageBreak/>
        <w:t>monthly SOD counting in the MRD.</w:t>
      </w:r>
      <w:r w:rsidRPr="00097721" w:rsidR="00722D02">
        <w:rPr>
          <w:rStyle w:val="FootnoteReference"/>
        </w:rPr>
        <w:footnoteReference w:id="115"/>
      </w:r>
      <w:r w:rsidRPr="00097721" w:rsidR="00722D02">
        <w:t xml:space="preserve">  Energy Division states that the </w:t>
      </w:r>
      <w:r w:rsidRPr="00097721" w:rsidR="00844EB0">
        <w:t>derate</w:t>
      </w:r>
      <w:r w:rsidRPr="00097721" w:rsidR="00722D02">
        <w:t xml:space="preserve"> would be a combination of Equivalent Demand Forced Outage Rate (EFORd) and ambient derate to effectively replicate the LOLE effects resulting from the forced outage distributions and heat derate profiles using the IRP and RA modeling.</w:t>
      </w:r>
      <w:r w:rsidRPr="00097721" w:rsidR="00FC2551">
        <w:t xml:space="preserve">  </w:t>
      </w:r>
      <w:r w:rsidRPr="00097721" w:rsidR="00844EB0">
        <w:t>M</w:t>
      </w:r>
      <w:r w:rsidRPr="00097721" w:rsidR="00FC2551">
        <w:t>onthly factors would be calculated for</w:t>
      </w:r>
      <w:r w:rsidRPr="00097721" w:rsidR="00844EB0">
        <w:t xml:space="preserve"> both</w:t>
      </w:r>
      <w:r w:rsidRPr="00097721" w:rsidR="00FC2551">
        <w:t xml:space="preserve"> </w:t>
      </w:r>
      <w:r w:rsidRPr="00097721" w:rsidR="00BB4722">
        <w:t>thermal power plants and battery energy storage systems</w:t>
      </w:r>
      <w:r w:rsidRPr="00097721" w:rsidR="00FC2551">
        <w:t xml:space="preserve">, </w:t>
      </w:r>
      <w:r w:rsidRPr="00097721" w:rsidR="00BB4722">
        <w:t xml:space="preserve">and </w:t>
      </w:r>
      <w:r w:rsidRPr="00097721" w:rsidR="00FC2551">
        <w:t xml:space="preserve">separated into </w:t>
      </w:r>
      <w:r w:rsidRPr="00097721" w:rsidR="00BB4722">
        <w:t>three categories (</w:t>
      </w:r>
      <w:r w:rsidRPr="00097721" w:rsidR="00FC2551">
        <w:t>high, mid and low</w:t>
      </w:r>
      <w:r w:rsidRPr="00097721" w:rsidR="00BB4722">
        <w:t>)</w:t>
      </w:r>
      <w:r w:rsidRPr="00097721" w:rsidR="00FC2551">
        <w:t>.  The resource categor</w:t>
      </w:r>
      <w:r w:rsidRPr="00097721" w:rsidR="00BB4722">
        <w:t>ies</w:t>
      </w:r>
      <w:r w:rsidRPr="00097721" w:rsidR="00FC2551">
        <w:t xml:space="preserve"> would also be separated into classes based on location. </w:t>
      </w:r>
    </w:p>
    <w:p w:rsidRPr="00097721" w:rsidR="00EF66AA" w:rsidP="00486F8E" w:rsidRDefault="00BB4722" w14:paraId="40AB18ED" w14:textId="7A37878D">
      <w:pPr>
        <w:pStyle w:val="Standard"/>
      </w:pPr>
      <w:r w:rsidRPr="00097721">
        <w:t xml:space="preserve">Energy Division </w:t>
      </w:r>
      <w:r w:rsidRPr="00097721" w:rsidR="00844EB0">
        <w:t>states that</w:t>
      </w:r>
      <w:r w:rsidRPr="00097721">
        <w:t xml:space="preserve"> a revised version of the ambient thermal derate model </w:t>
      </w:r>
      <w:r w:rsidRPr="00097721" w:rsidR="00614A62">
        <w:t xml:space="preserve">that was </w:t>
      </w:r>
      <w:r w:rsidRPr="00097721">
        <w:t xml:space="preserve">presented to stakeholders in 2023 </w:t>
      </w:r>
      <w:r w:rsidRPr="00097721" w:rsidR="00844EB0">
        <w:t>would be applied to</w:t>
      </w:r>
      <w:r w:rsidRPr="00097721">
        <w:t xml:space="preserve"> the LOLE modeling </w:t>
      </w:r>
      <w:r w:rsidRPr="00097721" w:rsidR="0019426B">
        <w:t>and would</w:t>
      </w:r>
      <w:r w:rsidRPr="00097721" w:rsidR="00486F8E">
        <w:t xml:space="preserve"> be combined </w:t>
      </w:r>
      <w:r w:rsidRPr="00097721">
        <w:t>with the EFORd data to create class-specific monthly derate factors.  A generator’s UCAP value w</w:t>
      </w:r>
      <w:r w:rsidRPr="00097721" w:rsidR="00486F8E">
        <w:t xml:space="preserve">ould </w:t>
      </w:r>
      <w:r w:rsidRPr="00097721">
        <w:t>be posted to the MRD</w:t>
      </w:r>
      <w:r w:rsidRPr="00097721" w:rsidR="00486F8E">
        <w:t xml:space="preserve">, would </w:t>
      </w:r>
      <w:r w:rsidRPr="00097721">
        <w:t>be applicable in the SOD tool and the RA compliance program,</w:t>
      </w:r>
      <w:r w:rsidRPr="00097721" w:rsidR="00486F8E">
        <w:t xml:space="preserve"> and would </w:t>
      </w:r>
      <w:r w:rsidRPr="00097721">
        <w:t xml:space="preserve">be part of the LOLE model to create RA obligations.  </w:t>
      </w:r>
      <w:r w:rsidRPr="00097721" w:rsidR="00EF66AA">
        <w:t xml:space="preserve">Energy Division </w:t>
      </w:r>
      <w:r w:rsidRPr="00097721" w:rsidR="00F25415">
        <w:t>contends</w:t>
      </w:r>
      <w:r w:rsidRPr="00097721" w:rsidR="00EF66AA">
        <w:t xml:space="preserve"> that the proposal </w:t>
      </w:r>
      <w:r w:rsidRPr="00097721" w:rsidR="00486F8E">
        <w:t>would</w:t>
      </w:r>
      <w:r w:rsidRPr="00097721" w:rsidR="00EF66AA">
        <w:t xml:space="preserve"> result in a consistent</w:t>
      </w:r>
      <w:r w:rsidRPr="00097721" w:rsidR="00486F8E">
        <w:t xml:space="preserve"> </w:t>
      </w:r>
      <w:r w:rsidRPr="00097721" w:rsidR="00EF66AA">
        <w:t>process for derating resources by passing appropriate availability incentives to resources through QC derates</w:t>
      </w:r>
      <w:r w:rsidRPr="00097721" w:rsidR="00C86067">
        <w:t xml:space="preserve">, as well </w:t>
      </w:r>
      <w:r w:rsidRPr="00097721" w:rsidR="00116E99">
        <w:t xml:space="preserve">as </w:t>
      </w:r>
      <w:r w:rsidRPr="00097721" w:rsidR="00F25415">
        <w:t>result in</w:t>
      </w:r>
      <w:r w:rsidRPr="00097721" w:rsidR="00C86067">
        <w:t xml:space="preserve"> plan</w:t>
      </w:r>
      <w:r w:rsidRPr="00097721" w:rsidR="00F25415">
        <w:t>ning</w:t>
      </w:r>
      <w:r w:rsidRPr="00097721" w:rsidR="00C86067">
        <w:t xml:space="preserve"> for reliability impacts of ambient temperatures and seasonal changes.  </w:t>
      </w:r>
      <w:r w:rsidRPr="00097721" w:rsidR="00486F8E">
        <w:t xml:space="preserve">Energy Division </w:t>
      </w:r>
      <w:r w:rsidRPr="00097721" w:rsidR="00F25415">
        <w:t xml:space="preserve">also </w:t>
      </w:r>
      <w:r w:rsidRPr="00097721" w:rsidR="00486F8E">
        <w:t xml:space="preserve">recommends coordinating with CAISO on refinements to the Resource Adequacy Availability Incentive Mechanism (RAAIM) to ensure incentives and penalties are compatible with the proposed UCAP framework.  </w:t>
      </w:r>
    </w:p>
    <w:p w:rsidRPr="00097721" w:rsidR="005325D7" w:rsidP="005325D7" w:rsidRDefault="009B2340" w14:paraId="40AE2E5F" w14:textId="60ED9881">
      <w:pPr>
        <w:pStyle w:val="Standard"/>
      </w:pPr>
      <w:r w:rsidRPr="00097721">
        <w:t xml:space="preserve">PG&amp;E </w:t>
      </w:r>
      <w:r w:rsidRPr="00097721" w:rsidR="00F25415">
        <w:t>submits</w:t>
      </w:r>
      <w:r w:rsidRPr="00097721">
        <w:t xml:space="preserve"> proposed principles that should be reflected in a viable UCAP methodology.</w:t>
      </w:r>
      <w:r w:rsidRPr="00097721">
        <w:rPr>
          <w:rStyle w:val="FootnoteReference"/>
        </w:rPr>
        <w:footnoteReference w:id="116"/>
      </w:r>
      <w:r w:rsidRPr="00097721">
        <w:t xml:space="preserve">  The principles are that </w:t>
      </w:r>
      <w:r w:rsidRPr="00097721" w:rsidR="00F25415">
        <w:t>a</w:t>
      </w:r>
      <w:r w:rsidRPr="00097721">
        <w:t xml:space="preserve"> final methodology should: (1) </w:t>
      </w:r>
      <w:r w:rsidRPr="00097721">
        <w:lastRenderedPageBreak/>
        <w:t>be implemented simultaneously by CAISO to avoid</w:t>
      </w:r>
      <w:r w:rsidRPr="00097721" w:rsidR="00F25415">
        <w:t xml:space="preserve"> complications that would stem from</w:t>
      </w:r>
      <w:r w:rsidRPr="00097721">
        <w:t xml:space="preserve"> significantly different QC values between the Commission and CAISO; (2) be adopted in tandem with adjustments to the PRM to reflect the shift of resource outage uncertainty from the PRM to the QC value; (3) be adopted with changes to CAISO’s RAAIM; (4) be at the resource-specific level to avoid QC distortions that are inevitable </w:t>
      </w:r>
      <w:r w:rsidRPr="00097721" w:rsidR="00F25415">
        <w:t>in</w:t>
      </w:r>
      <w:r w:rsidRPr="00097721">
        <w:t xml:space="preserve"> an average-based approach; (5) use public data so resource owners can reasonably calculate a QC value; and (6) feature reasonable timing for implementation.</w:t>
      </w:r>
    </w:p>
    <w:p w:rsidRPr="00097721" w:rsidR="007B1B23" w:rsidP="005325D7" w:rsidRDefault="007B1B23" w14:paraId="4A2E0179" w14:textId="76B70E02">
      <w:pPr>
        <w:pStyle w:val="Standard"/>
      </w:pPr>
      <w:r w:rsidRPr="00097721">
        <w:t>SCE recommends that UCAP-based QC adjustments should be based on historical outage performance for existing resources and expected outage performance for new resources.</w:t>
      </w:r>
      <w:r w:rsidRPr="00097721" w:rsidR="00887E6A">
        <w:rPr>
          <w:rStyle w:val="FootnoteReference"/>
        </w:rPr>
        <w:footnoteReference w:id="117"/>
      </w:r>
      <w:r w:rsidRPr="00097721" w:rsidR="00CC2AE5">
        <w:t xml:space="preserve">  SCE </w:t>
      </w:r>
      <w:r w:rsidRPr="00097721" w:rsidR="005A00AC">
        <w:t>reasons</w:t>
      </w:r>
      <w:r w:rsidRPr="00097721" w:rsidR="00CC2AE5">
        <w:t xml:space="preserve"> that as forced outage performance of new resources becomes known, performance should be blended with the technology’s expected performance until the historical period requirements for individual resource UCAP-based QC adjustments have been met.  SCE recommends a three-year </w:t>
      </w:r>
      <w:r w:rsidRPr="00097721" w:rsidR="005A00AC">
        <w:t xml:space="preserve">look-back </w:t>
      </w:r>
      <w:r w:rsidRPr="00097721" w:rsidR="00CC2AE5">
        <w:t xml:space="preserve">performance </w:t>
      </w:r>
      <w:r w:rsidRPr="00097721" w:rsidR="005A00AC">
        <w:t>period</w:t>
      </w:r>
      <w:r w:rsidRPr="00097721" w:rsidR="00CC2AE5">
        <w:t xml:space="preserve"> consistent with the periods for geothermal and biomass resources.</w:t>
      </w:r>
      <w:r w:rsidRPr="00097721" w:rsidR="0038314B">
        <w:t xml:space="preserve">  </w:t>
      </w:r>
    </w:p>
    <w:p w:rsidRPr="00097721" w:rsidR="00AF269B" w:rsidP="00901FF0" w:rsidRDefault="00AF269B" w14:paraId="527C98AF" w14:textId="356DFCDB">
      <w:pPr>
        <w:pStyle w:val="Heading3"/>
        <w:tabs>
          <w:tab w:val="clear" w:pos="1656"/>
          <w:tab w:val="num" w:pos="1800"/>
        </w:tabs>
        <w:ind w:left="1980" w:hanging="900"/>
      </w:pPr>
      <w:bookmarkStart w:name="_Toc166841767" w:id="64"/>
      <w:r w:rsidRPr="00097721">
        <w:t>Comments on Proposals</w:t>
      </w:r>
      <w:bookmarkEnd w:id="64"/>
    </w:p>
    <w:p w:rsidRPr="00097721" w:rsidR="00211F95" w:rsidP="00525FFC" w:rsidRDefault="00AF269B" w14:paraId="646F03BD" w14:textId="45B5E43A">
      <w:pPr>
        <w:pStyle w:val="Standard"/>
      </w:pPr>
      <w:r w:rsidRPr="00097721">
        <w:t>CalCCA</w:t>
      </w:r>
      <w:r w:rsidRPr="00097721" w:rsidR="001B451B">
        <w:t>,</w:t>
      </w:r>
      <w:r w:rsidRPr="00097721" w:rsidR="007816CF">
        <w:t xml:space="preserve"> Cal Advocates</w:t>
      </w:r>
      <w:r w:rsidRPr="00097721" w:rsidR="001B451B">
        <w:t>, and DMM</w:t>
      </w:r>
      <w:r w:rsidRPr="00097721" w:rsidR="007816CF">
        <w:t xml:space="preserve"> </w:t>
      </w:r>
      <w:r w:rsidRPr="00097721" w:rsidR="00525FFC">
        <w:t xml:space="preserve">support </w:t>
      </w:r>
      <w:r w:rsidRPr="00097721" w:rsidR="00925F88">
        <w:t>a</w:t>
      </w:r>
      <w:r w:rsidRPr="00097721" w:rsidR="00525FFC">
        <w:t xml:space="preserve"> UCAP framework but </w:t>
      </w:r>
      <w:r w:rsidRPr="00097721" w:rsidR="007816CF">
        <w:t>recommend</w:t>
      </w:r>
      <w:r w:rsidRPr="00097721">
        <w:t xml:space="preserve"> </w:t>
      </w:r>
      <w:r w:rsidRPr="00097721" w:rsidR="005C2974">
        <w:t>developing</w:t>
      </w:r>
      <w:r w:rsidRPr="00097721" w:rsidR="001B451B">
        <w:t xml:space="preserve"> resource-level</w:t>
      </w:r>
      <w:r w:rsidRPr="00097721">
        <w:t xml:space="preserve"> UCAP values</w:t>
      </w:r>
      <w:r w:rsidRPr="00097721" w:rsidR="005C2974">
        <w:t>,</w:t>
      </w:r>
      <w:r w:rsidRPr="00097721" w:rsidR="00925F88">
        <w:t xml:space="preserve"> as opposed to Energy Division’s class average.  These parties</w:t>
      </w:r>
      <w:r w:rsidRPr="00097721" w:rsidR="005B32C3">
        <w:t xml:space="preserve"> </w:t>
      </w:r>
      <w:r w:rsidRPr="00097721" w:rsidR="00525FFC">
        <w:t>generally</w:t>
      </w:r>
      <w:r w:rsidRPr="00097721" w:rsidR="007816CF">
        <w:t xml:space="preserve"> </w:t>
      </w:r>
      <w:r w:rsidRPr="00097721" w:rsidR="00525FFC">
        <w:t>state</w:t>
      </w:r>
      <w:r w:rsidRPr="00097721" w:rsidR="0084393C">
        <w:t xml:space="preserve"> </w:t>
      </w:r>
      <w:r w:rsidRPr="00097721" w:rsidR="00925F88">
        <w:t>that resource-</w:t>
      </w:r>
      <w:r w:rsidRPr="00097721" w:rsidR="005C2974">
        <w:t>specific</w:t>
      </w:r>
      <w:r w:rsidRPr="00097721" w:rsidR="00925F88">
        <w:t xml:space="preserve"> values are</w:t>
      </w:r>
      <w:r w:rsidRPr="00097721" w:rsidR="005B32C3">
        <w:t xml:space="preserve"> necessary </w:t>
      </w:r>
      <w:r w:rsidRPr="00097721" w:rsidR="0084393C">
        <w:t>to</w:t>
      </w:r>
      <w:r w:rsidRPr="00097721" w:rsidR="005B32C3">
        <w:t xml:space="preserve"> incentiv</w:t>
      </w:r>
      <w:r w:rsidRPr="00097721" w:rsidR="0084393C">
        <w:t>ize</w:t>
      </w:r>
      <w:r w:rsidRPr="00097721" w:rsidR="005B32C3">
        <w:t xml:space="preserve"> units to be available to the CAISO market and </w:t>
      </w:r>
      <w:r w:rsidRPr="00097721" w:rsidR="005C2974">
        <w:t xml:space="preserve">to </w:t>
      </w:r>
      <w:r w:rsidRPr="00097721" w:rsidR="005B32C3">
        <w:t>minimize forced outages</w:t>
      </w:r>
      <w:r w:rsidRPr="00097721" w:rsidR="001B451B">
        <w:t>, rather than a derate that affects a group of resources.</w:t>
      </w:r>
      <w:r w:rsidRPr="00097721" w:rsidR="005C2974">
        <w:rPr>
          <w:rStyle w:val="FootnoteReference"/>
        </w:rPr>
        <w:footnoteReference w:id="118"/>
      </w:r>
      <w:r w:rsidRPr="00097721" w:rsidR="009B2FBE">
        <w:t xml:space="preserve">  </w:t>
      </w:r>
      <w:r w:rsidRPr="00097721" w:rsidR="001B451B">
        <w:t xml:space="preserve">DMM states that forced outages should be separated into two </w:t>
      </w:r>
      <w:r w:rsidRPr="00097721" w:rsidR="001B451B">
        <w:lastRenderedPageBreak/>
        <w:t xml:space="preserve">categories: those </w:t>
      </w:r>
      <w:r w:rsidRPr="00097721" w:rsidR="00F777CB">
        <w:t xml:space="preserve">within </w:t>
      </w:r>
      <w:r w:rsidRPr="00097721" w:rsidR="001B451B">
        <w:t xml:space="preserve">the control of the scheduling coordinator and asset owner, and those </w:t>
      </w:r>
      <w:r w:rsidRPr="00097721" w:rsidR="00F777CB">
        <w:t>outside of their</w:t>
      </w:r>
      <w:r w:rsidRPr="00097721" w:rsidR="001B451B">
        <w:t xml:space="preserve"> control. </w:t>
      </w:r>
      <w:r w:rsidRPr="00097721" w:rsidR="00525FFC">
        <w:t xml:space="preserve"> </w:t>
      </w:r>
      <w:r w:rsidRPr="00097721" w:rsidR="009B2FBE">
        <w:t xml:space="preserve">CalCCA </w:t>
      </w:r>
      <w:r w:rsidRPr="00097721" w:rsidR="00466570">
        <w:t>recommends</w:t>
      </w:r>
      <w:r w:rsidRPr="00097721" w:rsidR="009B2FBE">
        <w:t xml:space="preserve"> develop</w:t>
      </w:r>
      <w:r w:rsidRPr="00097721" w:rsidR="00C3689F">
        <w:t>ing</w:t>
      </w:r>
      <w:r w:rsidRPr="00097721" w:rsidR="009B2FBE">
        <w:t xml:space="preserve"> </w:t>
      </w:r>
      <w:r w:rsidRPr="00097721" w:rsidR="009B0836">
        <w:t xml:space="preserve">public </w:t>
      </w:r>
      <w:r w:rsidRPr="00097721" w:rsidR="009B2FBE">
        <w:t xml:space="preserve">UCAP values </w:t>
      </w:r>
      <w:r w:rsidRPr="00097721" w:rsidR="009B0836">
        <w:t>using</w:t>
      </w:r>
      <w:r w:rsidRPr="00097721" w:rsidR="0084393C">
        <w:t xml:space="preserve"> the</w:t>
      </w:r>
      <w:r w:rsidRPr="00097721" w:rsidR="009B0836">
        <w:t xml:space="preserve"> Outage Management System </w:t>
      </w:r>
      <w:r w:rsidRPr="00097721" w:rsidR="00211F95">
        <w:t>(OMS)</w:t>
      </w:r>
      <w:r w:rsidRPr="00097721" w:rsidR="001B451B">
        <w:t xml:space="preserve">, and DMM recommends </w:t>
      </w:r>
      <w:r w:rsidRPr="00097721" w:rsidR="005C2974">
        <w:t>using</w:t>
      </w:r>
      <w:r w:rsidRPr="00097721" w:rsidR="001B451B">
        <w:t xml:space="preserve"> public</w:t>
      </w:r>
      <w:r w:rsidRPr="00097721" w:rsidR="004F4DEF">
        <w:t xml:space="preserve"> </w:t>
      </w:r>
      <w:r w:rsidRPr="00097721" w:rsidR="001B451B">
        <w:t xml:space="preserve">outage data </w:t>
      </w:r>
      <w:r w:rsidRPr="00097721" w:rsidR="008342EF">
        <w:t>to</w:t>
      </w:r>
      <w:r w:rsidRPr="00097721" w:rsidR="005C2974">
        <w:t xml:space="preserve"> allow for</w:t>
      </w:r>
      <w:r w:rsidRPr="00097721" w:rsidR="00E45588">
        <w:t xml:space="preserve"> transparency and</w:t>
      </w:r>
      <w:r w:rsidRPr="00097721" w:rsidR="005C2974">
        <w:t xml:space="preserve"> unit-level UCAP values</w:t>
      </w:r>
      <w:r w:rsidRPr="00097721" w:rsidR="001B451B">
        <w:t xml:space="preserve">. </w:t>
      </w:r>
      <w:r w:rsidRPr="00097721" w:rsidR="00DC7D80">
        <w:t xml:space="preserve"> </w:t>
      </w:r>
      <w:r w:rsidRPr="00097721" w:rsidR="00211F95">
        <w:t xml:space="preserve">Cal Advocates </w:t>
      </w:r>
      <w:r w:rsidRPr="00097721" w:rsidR="0084393C">
        <w:t>recommends Energy Division coordinate with CAISO to harmonize outages reported via the Generator Availability Data System with CAISO’s OMS</w:t>
      </w:r>
      <w:r w:rsidRPr="00097721" w:rsidR="00211F95">
        <w:t>.</w:t>
      </w:r>
      <w:r w:rsidRPr="00097721" w:rsidR="00211F95">
        <w:rPr>
          <w:rStyle w:val="FootnoteReference"/>
        </w:rPr>
        <w:footnoteReference w:id="119"/>
      </w:r>
      <w:r w:rsidRPr="00097721" w:rsidR="00211F95">
        <w:t xml:space="preserve">  </w:t>
      </w:r>
    </w:p>
    <w:p w:rsidRPr="00097721" w:rsidR="000C35E8" w:rsidP="000C35E8" w:rsidRDefault="001B451B" w14:paraId="3BE6C0A6" w14:textId="32FD47BC">
      <w:pPr>
        <w:pStyle w:val="Standard"/>
      </w:pPr>
      <w:r w:rsidRPr="00097721">
        <w:t>Microsoft</w:t>
      </w:r>
      <w:r w:rsidRPr="00097721" w:rsidR="000C35E8">
        <w:t xml:space="preserve">, </w:t>
      </w:r>
      <w:r w:rsidRPr="00097721">
        <w:t xml:space="preserve">Calpine </w:t>
      </w:r>
      <w:r w:rsidRPr="00097721" w:rsidR="000C35E8">
        <w:t xml:space="preserve">and SDG&amp;E </w:t>
      </w:r>
      <w:r w:rsidRPr="00097721">
        <w:t>support several of PG&amp;E’s proposed principles, including the focus on resource-specific UCAP values and coordination between the Commission and CAISO.</w:t>
      </w:r>
      <w:r w:rsidRPr="00097721">
        <w:rPr>
          <w:rStyle w:val="FootnoteReference"/>
        </w:rPr>
        <w:footnoteReference w:id="120"/>
      </w:r>
      <w:r w:rsidRPr="00097721">
        <w:t xml:space="preserve">  </w:t>
      </w:r>
      <w:r w:rsidRPr="00097721" w:rsidR="0016769A">
        <w:t xml:space="preserve">Calpine </w:t>
      </w:r>
      <w:r w:rsidRPr="00097721">
        <w:t>adds</w:t>
      </w:r>
      <w:r w:rsidRPr="00097721" w:rsidR="0016769A">
        <w:t xml:space="preserve"> that any UCAP methodology should allow suppliers to appeal </w:t>
      </w:r>
      <w:r w:rsidRPr="00097721">
        <w:t xml:space="preserve">assessed </w:t>
      </w:r>
      <w:r w:rsidRPr="00097721" w:rsidR="0016769A">
        <w:t xml:space="preserve">UCAP values </w:t>
      </w:r>
      <w:r w:rsidRPr="00097721">
        <w:t>and</w:t>
      </w:r>
      <w:r w:rsidRPr="00097721" w:rsidR="0016769A">
        <w:t xml:space="preserve"> avoid locking units into historical performance when resources are modified.</w:t>
      </w:r>
    </w:p>
    <w:p w:rsidRPr="00097721" w:rsidR="003368ED" w:rsidP="000C35E8" w:rsidRDefault="008140D1" w14:paraId="272127BE" w14:textId="2D2D2E24">
      <w:pPr>
        <w:pStyle w:val="Standard"/>
      </w:pPr>
      <w:r w:rsidRPr="00097721">
        <w:t xml:space="preserve">CAISO, </w:t>
      </w:r>
      <w:r w:rsidRPr="00097721" w:rsidR="003368ED">
        <w:t xml:space="preserve">PG&amp;E, </w:t>
      </w:r>
      <w:r w:rsidRPr="00097721">
        <w:t>SDG&amp;E,</w:t>
      </w:r>
      <w:r w:rsidRPr="00097721" w:rsidR="003368ED">
        <w:t xml:space="preserve"> </w:t>
      </w:r>
      <w:r w:rsidRPr="00097721">
        <w:t xml:space="preserve">Vistra </w:t>
      </w:r>
      <w:r w:rsidRPr="00097721" w:rsidR="000C35E8">
        <w:t xml:space="preserve">and </w:t>
      </w:r>
      <w:r w:rsidRPr="00097721" w:rsidR="003368ED">
        <w:t>WPTF</w:t>
      </w:r>
      <w:r w:rsidRPr="00097721" w:rsidR="000C35E8">
        <w:t xml:space="preserve"> </w:t>
      </w:r>
      <w:r w:rsidRPr="00097721" w:rsidR="00AD71E0">
        <w:t xml:space="preserve">oppose </w:t>
      </w:r>
      <w:r w:rsidRPr="00097721" w:rsidR="003368ED">
        <w:t xml:space="preserve">adopting </w:t>
      </w:r>
      <w:r w:rsidRPr="00097721" w:rsidR="00AD71E0">
        <w:t xml:space="preserve">a UCAP methodology at this time </w:t>
      </w:r>
      <w:r w:rsidRPr="00097721" w:rsidR="00444EE8">
        <w:t>as</w:t>
      </w:r>
      <w:r w:rsidRPr="00097721" w:rsidR="00AD71E0">
        <w:t xml:space="preserve"> discussion is </w:t>
      </w:r>
      <w:r w:rsidRPr="00097721">
        <w:t>needed</w:t>
      </w:r>
      <w:r w:rsidRPr="00097721" w:rsidR="003368ED">
        <w:t xml:space="preserve"> to address outstanding issues.</w:t>
      </w:r>
      <w:r w:rsidRPr="00097721">
        <w:rPr>
          <w:rStyle w:val="FootnoteReference"/>
        </w:rPr>
        <w:footnoteReference w:id="121"/>
      </w:r>
      <w:r w:rsidRPr="00097721" w:rsidR="00AD71E0">
        <w:t xml:space="preserve"> </w:t>
      </w:r>
      <w:r w:rsidRPr="00097721" w:rsidR="000C35E8">
        <w:t xml:space="preserve"> </w:t>
      </w:r>
      <w:r w:rsidRPr="00097721" w:rsidR="00AD71E0">
        <w:t xml:space="preserve">PG&amp;E supports deferring </w:t>
      </w:r>
      <w:r w:rsidRPr="00097721" w:rsidR="003368ED">
        <w:t>a</w:t>
      </w:r>
      <w:r w:rsidRPr="00097721" w:rsidR="00AD71E0">
        <w:t xml:space="preserve"> UCAP </w:t>
      </w:r>
      <w:r w:rsidRPr="00097721" w:rsidR="003368ED">
        <w:t>methodology</w:t>
      </w:r>
      <w:r w:rsidRPr="00097721">
        <w:t xml:space="preserve"> as </w:t>
      </w:r>
      <w:r w:rsidRPr="00097721" w:rsidR="00AD71E0">
        <w:t>Energy Division’s proposal would reduc</w:t>
      </w:r>
      <w:r w:rsidRPr="00097721" w:rsidR="003368ED">
        <w:t>e</w:t>
      </w:r>
      <w:r w:rsidRPr="00097721" w:rsidR="00AD71E0">
        <w:t xml:space="preserve"> RA capacity from thermal plants and potentially tighten market conditions</w:t>
      </w:r>
      <w:r w:rsidRPr="00097721" w:rsidR="00454F9E">
        <w:t xml:space="preserve"> further</w:t>
      </w:r>
      <w:r w:rsidRPr="00097721" w:rsidR="00AD71E0">
        <w:t xml:space="preserve">.  PG&amp;E </w:t>
      </w:r>
      <w:r w:rsidRPr="00097721" w:rsidR="006E0510">
        <w:t xml:space="preserve">also </w:t>
      </w:r>
      <w:r w:rsidRPr="00097721" w:rsidR="001D530E">
        <w:t>states</w:t>
      </w:r>
      <w:r w:rsidRPr="00097721" w:rsidR="00AD71E0">
        <w:t xml:space="preserve"> that Energy Division’s proposal does not explain how the PRM would be adjusted since the current PRM includes </w:t>
      </w:r>
      <w:r w:rsidRPr="00097721" w:rsidR="003368ED">
        <w:t>some</w:t>
      </w:r>
      <w:r w:rsidRPr="00097721" w:rsidR="00AD71E0">
        <w:t xml:space="preserve"> forced outage risk.</w:t>
      </w:r>
      <w:r w:rsidRPr="00097721" w:rsidR="003368ED">
        <w:t xml:space="preserve">  </w:t>
      </w:r>
      <w:r w:rsidRPr="00097721" w:rsidR="000C35E8">
        <w:t xml:space="preserve">SDG&amp;E states that adopting a UCAP methodology would result in different counting between CAISO and the Commission, causing confusion and further divergence between the two RA </w:t>
      </w:r>
      <w:r w:rsidRPr="00097721" w:rsidR="000C35E8">
        <w:lastRenderedPageBreak/>
        <w:t xml:space="preserve">programs.  </w:t>
      </w:r>
      <w:r w:rsidRPr="00097721" w:rsidR="00326B0B">
        <w:t xml:space="preserve">Vistra </w:t>
      </w:r>
      <w:r w:rsidRPr="00097721" w:rsidR="003368ED">
        <w:t>advocates for</w:t>
      </w:r>
      <w:r w:rsidRPr="00097721" w:rsidR="00326B0B">
        <w:t xml:space="preserve"> a UCAP working group to </w:t>
      </w:r>
      <w:r w:rsidRPr="00097721" w:rsidR="003368ED">
        <w:t>develop</w:t>
      </w:r>
      <w:r w:rsidRPr="00097721" w:rsidR="00326B0B">
        <w:t xml:space="preserve"> a robust methodology.</w:t>
      </w:r>
      <w:r w:rsidRPr="00097721" w:rsidR="003368ED">
        <w:t xml:space="preserve">  </w:t>
      </w:r>
    </w:p>
    <w:p w:rsidRPr="00097721" w:rsidR="00BE6CED" w:rsidP="00AF269B" w:rsidRDefault="00F5614F" w14:paraId="00B352EC" w14:textId="2741CCE2">
      <w:pPr>
        <w:pStyle w:val="Standard"/>
      </w:pPr>
      <w:r w:rsidRPr="00097721">
        <w:t xml:space="preserve">While </w:t>
      </w:r>
      <w:r w:rsidRPr="00097721" w:rsidR="00BE6CED">
        <w:t xml:space="preserve">CAISO </w:t>
      </w:r>
      <w:r w:rsidRPr="00097721" w:rsidR="000C35E8">
        <w:t>appreciates</w:t>
      </w:r>
      <w:r w:rsidRPr="00097721" w:rsidR="00BE6CED">
        <w:t xml:space="preserve"> Energy Division’s commitment to coordinating </w:t>
      </w:r>
      <w:r w:rsidRPr="00097721" w:rsidR="000C35E8">
        <w:t>with CAISO on</w:t>
      </w:r>
      <w:r w:rsidRPr="00097721" w:rsidR="00D9504E">
        <w:t xml:space="preserve"> UCAP</w:t>
      </w:r>
      <w:r w:rsidRPr="00097721" w:rsidR="000C35E8">
        <w:t xml:space="preserve">, </w:t>
      </w:r>
      <w:r w:rsidRPr="00097721" w:rsidR="008140D1">
        <w:t>CAISO</w:t>
      </w:r>
      <w:r w:rsidRPr="00097721" w:rsidR="000C35E8">
        <w:t xml:space="preserve"> </w:t>
      </w:r>
      <w:r w:rsidRPr="00097721" w:rsidR="00D9504E">
        <w:t>continues to vet components of a proposal in working groups</w:t>
      </w:r>
      <w:r w:rsidRPr="00097721" w:rsidR="000C35E8">
        <w:t xml:space="preserve"> and identifies areas for </w:t>
      </w:r>
      <w:r w:rsidRPr="00097721" w:rsidR="00CA750B">
        <w:t>more</w:t>
      </w:r>
      <w:r w:rsidRPr="00097721" w:rsidR="000C35E8">
        <w:t xml:space="preserve"> discussion between CAISO and the Commission:</w:t>
      </w:r>
      <w:r w:rsidRPr="00097721" w:rsidR="00D9504E">
        <w:t xml:space="preserve">  (1) whether the CAISO or Commission should develop </w:t>
      </w:r>
      <w:r w:rsidRPr="00097721" w:rsidR="00D429CE">
        <w:t>a UCAP mechanism and/or application of ambient derates; (2) to strengthen availability incentives, whether a UCAP mechanism and/or ambient derates should be applied on a resource-specific basis versus class average; and (3) if a resource-specific approach is favorable, what data sources are required.</w:t>
      </w:r>
    </w:p>
    <w:p w:rsidRPr="00097721" w:rsidR="00CF5AA7" w:rsidP="00CF5AA7" w:rsidRDefault="00B826AC" w14:paraId="7C0DA976" w14:textId="7E87EE61">
      <w:pPr>
        <w:pStyle w:val="Standard"/>
      </w:pPr>
      <w:r w:rsidRPr="00097721">
        <w:t xml:space="preserve">ACP-CA, </w:t>
      </w:r>
      <w:r w:rsidRPr="00097721" w:rsidR="00E9024F">
        <w:t xml:space="preserve">AES, </w:t>
      </w:r>
      <w:r w:rsidRPr="00097721">
        <w:t>CESA</w:t>
      </w:r>
      <w:r w:rsidRPr="00097721" w:rsidR="00364122">
        <w:t xml:space="preserve">, Hydrostor, </w:t>
      </w:r>
      <w:r w:rsidRPr="00097721">
        <w:t xml:space="preserve">REV, and </w:t>
      </w:r>
      <w:r w:rsidRPr="00097721" w:rsidR="00253D30">
        <w:t>Terra-Gen</w:t>
      </w:r>
      <w:r w:rsidRPr="00097721" w:rsidR="00364122">
        <w:t xml:space="preserve"> oppose </w:t>
      </w:r>
      <w:r w:rsidRPr="00097721" w:rsidR="000C35E8">
        <w:t xml:space="preserve">applying </w:t>
      </w:r>
      <w:r w:rsidRPr="00097721" w:rsidR="00364122">
        <w:t>Energy Division’s proposal to storage resources at this time.</w:t>
      </w:r>
      <w:r w:rsidRPr="00097721" w:rsidR="006658DD">
        <w:rPr>
          <w:rStyle w:val="FootnoteReference"/>
        </w:rPr>
        <w:footnoteReference w:id="122"/>
      </w:r>
      <w:r w:rsidRPr="00097721" w:rsidR="00364122">
        <w:t xml:space="preserve">  </w:t>
      </w:r>
      <w:r w:rsidRPr="00097721" w:rsidR="000C35E8">
        <w:t>These parties generally</w:t>
      </w:r>
      <w:r w:rsidRPr="00097721" w:rsidR="00364122">
        <w:t xml:space="preserve"> state that </w:t>
      </w:r>
      <w:r w:rsidRPr="00097721" w:rsidR="000C35E8">
        <w:t>outstanding</w:t>
      </w:r>
      <w:r w:rsidRPr="00097721" w:rsidR="00F02095">
        <w:t xml:space="preserve"> issues</w:t>
      </w:r>
      <w:r w:rsidRPr="00097721" w:rsidR="000C35E8">
        <w:t xml:space="preserve"> need to be discussed</w:t>
      </w:r>
      <w:r w:rsidRPr="00097721" w:rsidR="00F02095">
        <w:t xml:space="preserve">, including </w:t>
      </w:r>
      <w:r w:rsidRPr="00097721" w:rsidR="000C35E8">
        <w:t xml:space="preserve">how to accurately apply outage data to the unique characteristics of storage </w:t>
      </w:r>
      <w:r w:rsidRPr="00097721" w:rsidR="00F02095">
        <w:t>and</w:t>
      </w:r>
      <w:r w:rsidRPr="00097721" w:rsidR="000C35E8">
        <w:t xml:space="preserve"> </w:t>
      </w:r>
      <w:r w:rsidRPr="00097721" w:rsidR="003719BB">
        <w:t>t</w:t>
      </w:r>
      <w:r w:rsidRPr="00097721" w:rsidR="000C35E8">
        <w:t>o consider</w:t>
      </w:r>
      <w:r w:rsidRPr="00097721" w:rsidR="00F02095">
        <w:t xml:space="preserve"> unknown implications for storage in the SOD framework. </w:t>
      </w:r>
      <w:r w:rsidRPr="00097721" w:rsidR="00CF5AA7">
        <w:t xml:space="preserve"> </w:t>
      </w:r>
    </w:p>
    <w:p w:rsidRPr="00097721" w:rsidR="00B826AC" w:rsidP="00901FF0" w:rsidRDefault="00B826AC" w14:paraId="7B0FBE08" w14:textId="4957ABEE">
      <w:pPr>
        <w:pStyle w:val="Heading3"/>
        <w:tabs>
          <w:tab w:val="clear" w:pos="1656"/>
          <w:tab w:val="num" w:pos="2070"/>
        </w:tabs>
        <w:ind w:left="1980" w:hanging="900"/>
      </w:pPr>
      <w:bookmarkStart w:name="_Toc166841768" w:id="65"/>
      <w:r w:rsidRPr="00097721">
        <w:t>Discussion</w:t>
      </w:r>
      <w:bookmarkEnd w:id="65"/>
    </w:p>
    <w:p w:rsidRPr="00097721" w:rsidR="00752951" w:rsidP="002B29D0" w:rsidRDefault="00EF2933" w14:paraId="0ADCE329" w14:textId="10724A71">
      <w:pPr>
        <w:pStyle w:val="Standard"/>
      </w:pPr>
      <w:r w:rsidRPr="00097721">
        <w:t>As the Commission stated in D.23-06-029, we “support incorporating outages, including ambient derates, into a thermal resource’s QC value and deem such work as critical to enhancing reliability.”</w:t>
      </w:r>
      <w:r w:rsidRPr="00097721">
        <w:rPr>
          <w:rStyle w:val="FootnoteReference"/>
        </w:rPr>
        <w:footnoteReference w:id="123"/>
      </w:r>
      <w:r w:rsidRPr="00097721">
        <w:t xml:space="preserve">  </w:t>
      </w:r>
      <w:r w:rsidRPr="00097721" w:rsidR="00512693">
        <w:t>The</w:t>
      </w:r>
      <w:r w:rsidRPr="00097721">
        <w:t xml:space="preserve"> Commission </w:t>
      </w:r>
      <w:r w:rsidRPr="00097721" w:rsidR="001913D7">
        <w:t>observes</w:t>
      </w:r>
      <w:r w:rsidRPr="00097721">
        <w:t xml:space="preserve"> that </w:t>
      </w:r>
      <w:r w:rsidRPr="00097721" w:rsidR="00274BB7">
        <w:t>a broad range of</w:t>
      </w:r>
      <w:r w:rsidRPr="00097721">
        <w:t xml:space="preserve"> parties agree that further discussion is </w:t>
      </w:r>
      <w:r w:rsidRPr="00097721" w:rsidR="00F73C85">
        <w:t>needed</w:t>
      </w:r>
      <w:r w:rsidRPr="00097721">
        <w:t xml:space="preserve"> to develop a UCAP methodology for thermal and storage resources.  </w:t>
      </w:r>
      <w:r w:rsidRPr="00097721" w:rsidR="001913D7">
        <w:t xml:space="preserve">As such, we decline to adopt a UCAP methodology </w:t>
      </w:r>
      <w:r w:rsidRPr="00097721" w:rsidR="0004224D">
        <w:t>at this time</w:t>
      </w:r>
      <w:r w:rsidRPr="00097721" w:rsidR="001913D7">
        <w:t>.</w:t>
      </w:r>
      <w:bookmarkStart w:name="_Hlk164428418" w:id="66"/>
      <w:r w:rsidRPr="00097721" w:rsidR="002B29D0">
        <w:t xml:space="preserve">  We note </w:t>
      </w:r>
      <w:r w:rsidRPr="00097721" w:rsidR="00752951">
        <w:t>the</w:t>
      </w:r>
      <w:r w:rsidRPr="00097721" w:rsidR="001913D7">
        <w:t xml:space="preserve"> UCAP </w:t>
      </w:r>
      <w:r w:rsidRPr="00097721" w:rsidR="001913D7">
        <w:lastRenderedPageBreak/>
        <w:t xml:space="preserve">framework is being further developed in Track 2, </w:t>
      </w:r>
      <w:r w:rsidRPr="00097721" w:rsidR="00D84654">
        <w:t xml:space="preserve">as a UCAP framework is intended to be used for 2026 RA LOLE modeling efforts and for developing forced and ambient outage derates for the 2026 compliance year at the earliest.  </w:t>
      </w:r>
      <w:r w:rsidRPr="00097721" w:rsidR="00752951">
        <w:t>Parties are encouraged to discuss the UCAP framework in Track 2 workshops.</w:t>
      </w:r>
    </w:p>
    <w:p w:rsidRPr="00097721" w:rsidR="00082EE9" w:rsidP="00C72361" w:rsidRDefault="0016362E" w14:paraId="424B79B4" w14:textId="5BA43F82">
      <w:pPr>
        <w:pStyle w:val="Heading2"/>
        <w:tabs>
          <w:tab w:val="clear" w:pos="1080"/>
          <w:tab w:val="num" w:pos="1350"/>
        </w:tabs>
        <w:ind w:left="1440"/>
      </w:pPr>
      <w:bookmarkStart w:name="_Toc166841769" w:id="67"/>
      <w:bookmarkStart w:name="_Toc8123724" w:id="68"/>
      <w:bookmarkStart w:name="_Toc134018798" w:id="69"/>
      <w:bookmarkEnd w:id="66"/>
      <w:r w:rsidRPr="00097721">
        <w:t>Demand Response Load Impact Protocols</w:t>
      </w:r>
      <w:r w:rsidRPr="00097721" w:rsidR="00082EE9">
        <w:t xml:space="preserve"> Working Group</w:t>
      </w:r>
      <w:bookmarkEnd w:id="67"/>
    </w:p>
    <w:p w:rsidRPr="00097721" w:rsidR="0016362E" w:rsidP="00D520F6" w:rsidRDefault="0016362E" w14:paraId="4ACF1042" w14:textId="708779C1">
      <w:pPr>
        <w:pStyle w:val="Standard"/>
      </w:pPr>
      <w:r w:rsidRPr="00097721">
        <w:t>In D.23-06-029, the Commission authorized Energy Division to pursue simplification of the current LIPs requirements using a stakeholder process.</w:t>
      </w:r>
      <w:r w:rsidRPr="00097721">
        <w:rPr>
          <w:rStyle w:val="FootnoteReference"/>
        </w:rPr>
        <w:footnoteReference w:id="124"/>
      </w:r>
      <w:r w:rsidRPr="00097721">
        <w:t xml:space="preserve">  Energy Division and </w:t>
      </w:r>
      <w:r w:rsidRPr="00097721" w:rsidR="00D520F6">
        <w:t>multiple</w:t>
      </w:r>
      <w:r w:rsidRPr="00097721">
        <w:t xml:space="preserve"> parties undertook a Working Group process to develop simplifications for the LIPs process and requirements.</w:t>
      </w:r>
      <w:r w:rsidRPr="00097721" w:rsidR="00113737">
        <w:t xml:space="preserve">  On January 19, 2024, the LIP Simplification Working Group submitted its LIP Working Group Report.</w:t>
      </w:r>
      <w:r w:rsidRPr="00097721" w:rsidR="006422F1">
        <w:t xml:space="preserve">  No </w:t>
      </w:r>
      <w:r w:rsidRPr="00097721" w:rsidR="00D520F6">
        <w:t>party</w:t>
      </w:r>
      <w:r w:rsidRPr="00097721" w:rsidR="006422F1">
        <w:t xml:space="preserve"> commented on the LIP Working Group Report.</w:t>
      </w:r>
    </w:p>
    <w:p w:rsidRPr="00097721" w:rsidR="006422F1" w:rsidP="00D520F6" w:rsidRDefault="00D520F6" w14:paraId="4B314C33" w14:textId="02D70B6E">
      <w:pPr>
        <w:pStyle w:val="Standard"/>
      </w:pPr>
      <w:r w:rsidRPr="00097721">
        <w:t>The Commission needs additional time to consider the LIP Working Group Report’s recommendations and will address this issue in Track 2 of the proceeding.  We encourage parties to review and comment on the LIP Working Group Report in Track 2 as well.</w:t>
      </w:r>
    </w:p>
    <w:p w:rsidRPr="00097721" w:rsidR="00F7405E" w:rsidP="00C72361" w:rsidRDefault="00C20F2D" w14:paraId="12ED29FF" w14:textId="351F0672">
      <w:pPr>
        <w:pStyle w:val="Heading2"/>
        <w:tabs>
          <w:tab w:val="clear" w:pos="1080"/>
          <w:tab w:val="num" w:pos="1440"/>
        </w:tabs>
        <w:ind w:left="1440"/>
      </w:pPr>
      <w:bookmarkStart w:name="_Toc166841770" w:id="70"/>
      <w:r w:rsidRPr="00097721">
        <w:t>Other Proposals</w:t>
      </w:r>
      <w:bookmarkEnd w:id="70"/>
    </w:p>
    <w:p w:rsidRPr="00097721" w:rsidR="00913584" w:rsidP="00C72361" w:rsidRDefault="00913584" w14:paraId="3B5AE860" w14:textId="13CE0CFA">
      <w:pPr>
        <w:pStyle w:val="Heading3"/>
        <w:tabs>
          <w:tab w:val="clear" w:pos="1656"/>
          <w:tab w:val="num" w:pos="1890"/>
        </w:tabs>
        <w:ind w:left="2070" w:hanging="990"/>
      </w:pPr>
      <w:bookmarkStart w:name="_Toc166841771" w:id="71"/>
      <w:r w:rsidRPr="00097721">
        <w:t>Diablo Canyon Extension</w:t>
      </w:r>
      <w:bookmarkEnd w:id="71"/>
    </w:p>
    <w:p w:rsidRPr="00097721" w:rsidR="00B91B05" w:rsidP="00523686" w:rsidRDefault="00904742" w14:paraId="08BD658D" w14:textId="3091C8DD">
      <w:pPr>
        <w:pStyle w:val="Standard"/>
      </w:pPr>
      <w:r w:rsidRPr="00097721">
        <w:t>I</w:t>
      </w:r>
      <w:r w:rsidRPr="00097721" w:rsidR="00233E42">
        <w:t>n D.23-12-036, the Commission determined that the statutorily defined costs of extended operations for the Diablo Canyon Power Plant (DCPP) should be allocated among the three large electrical corporations</w:t>
      </w:r>
      <w:r w:rsidRPr="00097721" w:rsidR="00DE35B5">
        <w:t>, using a process that mirrors the CAM</w:t>
      </w:r>
      <w:r w:rsidRPr="00097721" w:rsidR="00233E42">
        <w:t>.</w:t>
      </w:r>
      <w:r w:rsidRPr="00097721" w:rsidR="00233E42">
        <w:rPr>
          <w:rStyle w:val="FootnoteReference"/>
        </w:rPr>
        <w:footnoteReference w:id="125"/>
      </w:r>
      <w:r w:rsidRPr="00097721" w:rsidR="00233E42">
        <w:t xml:space="preserve">  </w:t>
      </w:r>
      <w:r w:rsidRPr="00097721" w:rsidR="00DE35B5">
        <w:t>In D.23-12-036, the Commission also opted to utilize the existing CAM process to allocate RA benefits of DCPP</w:t>
      </w:r>
      <w:r w:rsidRPr="00097721" w:rsidR="006576BB">
        <w:t xml:space="preserve"> to all LSEs in each </w:t>
      </w:r>
      <w:r w:rsidRPr="00097721" w:rsidR="00233E42">
        <w:t xml:space="preserve">IOU’s </w:t>
      </w:r>
      <w:r w:rsidRPr="00097721" w:rsidR="00233E42">
        <w:lastRenderedPageBreak/>
        <w:t xml:space="preserve">service territory.  </w:t>
      </w:r>
      <w:r w:rsidRPr="00097721" w:rsidR="004E1189">
        <w:t>This process requires the allocation of RA credits to non-IOU LSEs, and RA debits (negative values) to IOUs (an addition to the IOU’s RA obligation) equal to the amount of CAM credits provided to non-</w:t>
      </w:r>
      <w:r w:rsidRPr="00097721" w:rsidR="00091417">
        <w:t xml:space="preserve">IOU </w:t>
      </w:r>
      <w:r w:rsidRPr="00097721" w:rsidR="004E1189">
        <w:t xml:space="preserve">utility LSEs serving load in each </w:t>
      </w:r>
      <w:r w:rsidRPr="00097721" w:rsidR="00B1786B">
        <w:t>transmission access charge</w:t>
      </w:r>
      <w:r w:rsidRPr="00097721" w:rsidR="004E1189">
        <w:t xml:space="preserve"> area.  In exchange for the RA debit, the IOU can show the entire CAM resource on its RA plans.  In the case of DCPP, credits will be allocated to all LSEs in each IOU</w:t>
      </w:r>
      <w:r w:rsidRPr="00097721" w:rsidR="00181C12">
        <w:t>’</w:t>
      </w:r>
      <w:r w:rsidRPr="00097721" w:rsidR="004E1189">
        <w:t>s service area</w:t>
      </w:r>
      <w:r w:rsidRPr="00097721" w:rsidR="00253A40">
        <w:t>, including to non-PG&amp;E IOUs for their bundled customer RA requirements,</w:t>
      </w:r>
      <w:r w:rsidRPr="00097721" w:rsidR="004E1189">
        <w:t xml:space="preserve"> and the debit will only be provided to PG&amp;E, as </w:t>
      </w:r>
      <w:r w:rsidRPr="00097721" w:rsidR="00181C12">
        <w:t>PG&amp;E is</w:t>
      </w:r>
      <w:r w:rsidRPr="00097721" w:rsidR="004E1189">
        <w:t xml:space="preserve"> the IOU managing the resource.  The CAM also provides </w:t>
      </w:r>
      <w:r w:rsidRPr="00097721" w:rsidR="00253A40">
        <w:t>an IOU authority</w:t>
      </w:r>
      <w:r w:rsidRPr="00097721" w:rsidR="004E1189">
        <w:t xml:space="preserve"> for cost recovery of </w:t>
      </w:r>
      <w:r w:rsidRPr="00097721" w:rsidR="00253A40">
        <w:t xml:space="preserve">replacement resources needed to manage </w:t>
      </w:r>
      <w:r w:rsidRPr="00097721" w:rsidR="004E1189">
        <w:t xml:space="preserve">scheduled outages when the IOU is acting as the scheduling coordinator for the CAM resource.  </w:t>
      </w:r>
      <w:r w:rsidRPr="00097721" w:rsidR="00233E42">
        <w:t xml:space="preserve">In the event of an unplanned outage that results in PG&amp;E’s inability to meet its system RA obligations, </w:t>
      </w:r>
      <w:r w:rsidRPr="00097721" w:rsidR="00B91B05">
        <w:t xml:space="preserve">D.23-12-036 states that this may be considered in the RA proceeding. </w:t>
      </w:r>
    </w:p>
    <w:p w:rsidRPr="00097721" w:rsidR="00944616" w:rsidP="00944616" w:rsidRDefault="00233E42" w14:paraId="3DA72ABB" w14:textId="3F581AAB">
      <w:pPr>
        <w:pStyle w:val="Standard"/>
      </w:pPr>
      <w:r w:rsidRPr="00097721">
        <w:t xml:space="preserve">Energy Division </w:t>
      </w:r>
      <w:r w:rsidRPr="00097721" w:rsidR="00B91B05">
        <w:t>states that consistent with D.23-12-036, it will allocate the RA benefits of the DC</w:t>
      </w:r>
      <w:r w:rsidRPr="00097721" w:rsidR="0069618D">
        <w:t>P</w:t>
      </w:r>
      <w:r w:rsidRPr="00097721" w:rsidR="00B91B05">
        <w:t>P to all LSEs within each IOUs’ service territory using the CAM.</w:t>
      </w:r>
      <w:r w:rsidRPr="00097721" w:rsidR="00F256F7">
        <w:rPr>
          <w:rStyle w:val="FootnoteReference"/>
        </w:rPr>
        <w:footnoteReference w:id="126"/>
      </w:r>
      <w:r w:rsidRPr="00097721">
        <w:t xml:space="preserve"> </w:t>
      </w:r>
      <w:r w:rsidRPr="00097721" w:rsidR="00F256F7">
        <w:t xml:space="preserve"> </w:t>
      </w:r>
      <w:r w:rsidRPr="00097721" w:rsidR="00B91B05">
        <w:t>In the event of an unplanned outage that results in PG&amp;E’s inability to meet its system RA obligations, Energy Division proposes that</w:t>
      </w:r>
      <w:r w:rsidRPr="00097721">
        <w:t xml:space="preserve"> PG&amp;E be allowed to file a system waiver similar to the </w:t>
      </w:r>
      <w:r w:rsidRPr="00097721" w:rsidR="00EF067C">
        <w:t xml:space="preserve">system waiver for the </w:t>
      </w:r>
      <w:r w:rsidRPr="00097721">
        <w:t>Provider of Last Resort (POLR) adopted in D.20-06-031.</w:t>
      </w:r>
      <w:r w:rsidRPr="00097721" w:rsidR="00E04D0F">
        <w:t xml:space="preserve">  Specifically, PG&amp;E could file a Tier 2 Advice Letter outlining the reason for its deficiency in meeting its RA requirement due to the unplanned outage of the DCPP, and demonstrate it made every reasonable effort to procure replacement capacity to mitigate the unplanned outage</w:t>
      </w:r>
      <w:r w:rsidRPr="00097721" w:rsidR="005F0DC1">
        <w:t>.</w:t>
      </w:r>
    </w:p>
    <w:p w:rsidRPr="00097721" w:rsidR="00233E42" w:rsidP="00523686" w:rsidRDefault="00E04D0F" w14:paraId="4C9E5F17" w14:textId="01B5AAAD">
      <w:pPr>
        <w:pStyle w:val="Standard"/>
      </w:pPr>
      <w:r w:rsidRPr="00097721">
        <w:lastRenderedPageBreak/>
        <w:t>AReM and SDG&amp;E support Energy Division’s proposal.</w:t>
      </w:r>
      <w:r w:rsidRPr="00097721">
        <w:rPr>
          <w:rStyle w:val="FootnoteReference"/>
        </w:rPr>
        <w:footnoteReference w:id="127"/>
      </w:r>
      <w:r w:rsidRPr="00097721">
        <w:t xml:space="preserve">  SDG&amp;E encourages the Commission to provide the 2025 allocations as soon as possible as this will help LSEs understand preliminary 2025 positions and adjust procurement as needed.</w:t>
      </w:r>
      <w:r w:rsidRPr="00097721" w:rsidR="0061174E">
        <w:t xml:space="preserve">  Vistra seeks clarification</w:t>
      </w:r>
      <w:r w:rsidRPr="00097721" w:rsidR="00483F8C">
        <w:t xml:space="preserve"> that the Commission did not intend that</w:t>
      </w:r>
      <w:r w:rsidRPr="00097721" w:rsidR="0061174E">
        <w:t xml:space="preserve"> PG&amp;E </w:t>
      </w:r>
      <w:r w:rsidRPr="00097721" w:rsidR="00483F8C">
        <w:t>could</w:t>
      </w:r>
      <w:r w:rsidRPr="00097721" w:rsidR="0061174E">
        <w:t xml:space="preserve"> show the entire DCPP on its RA showing</w:t>
      </w:r>
      <w:r w:rsidRPr="00097721" w:rsidR="00483F8C">
        <w:t xml:space="preserve">, </w:t>
      </w:r>
      <w:r w:rsidRPr="00097721" w:rsidR="0061174E">
        <w:t>since a share of DCPP is being provided to all other LSEs as an RA credit.</w:t>
      </w:r>
      <w:r w:rsidRPr="00097721" w:rsidR="0061174E">
        <w:rPr>
          <w:rStyle w:val="FootnoteReference"/>
        </w:rPr>
        <w:footnoteReference w:id="128"/>
      </w:r>
      <w:r w:rsidRPr="00097721" w:rsidR="00077ADA">
        <w:t xml:space="preserve">  </w:t>
      </w:r>
    </w:p>
    <w:p w:rsidRPr="00097721" w:rsidR="0030668C" w:rsidP="0030668C" w:rsidRDefault="00F15260" w14:paraId="71E827D4" w14:textId="5911B268">
      <w:pPr>
        <w:pStyle w:val="Standard"/>
      </w:pPr>
      <w:r w:rsidRPr="00097721">
        <w:t xml:space="preserve">The Commission finds Energy Division’s proposal for allocating credits from </w:t>
      </w:r>
      <w:r w:rsidRPr="00097721" w:rsidR="00C50E2F">
        <w:t xml:space="preserve">the </w:t>
      </w:r>
      <w:r w:rsidRPr="00097721">
        <w:t>Diablo Canyon Power Plan</w:t>
      </w:r>
      <w:r w:rsidRPr="00097721" w:rsidR="0069618D">
        <w:t>t</w:t>
      </w:r>
      <w:r w:rsidRPr="00097721">
        <w:t xml:space="preserve"> to all LSEs to be reasonable.  We also find it reasonable that in the event of an unplanned outage at DCPP that results in PG&amp;E’s inability to meet its system RA obligations, a system waiver process will be adopted, similar to the waiver process for the POLR adopted in D.20-06-031.  </w:t>
      </w:r>
    </w:p>
    <w:p w:rsidRPr="00097721" w:rsidR="0030668C" w:rsidP="008F29B6" w:rsidRDefault="0030668C" w14:paraId="5C0E9797" w14:textId="3203E212">
      <w:pPr>
        <w:pStyle w:val="Standard"/>
      </w:pPr>
      <w:r w:rsidRPr="00097721">
        <w:t>Accordingly, consistent with D.23-12-036, Energy Division will allocate the RA benefits of the DC</w:t>
      </w:r>
      <w:r w:rsidRPr="00097721" w:rsidR="0069618D">
        <w:t>P</w:t>
      </w:r>
      <w:r w:rsidRPr="00097721">
        <w:t xml:space="preserve">P to all LSEs within each IOUs’ service territory using the CAM.  In the event of an unplanned outage that results in PG&amp;E’s inability to meet its system RA obligations, PG&amp;E </w:t>
      </w:r>
      <w:r w:rsidRPr="00097721" w:rsidR="00040F6E">
        <w:t>is</w:t>
      </w:r>
      <w:r w:rsidRPr="00097721">
        <w:t xml:space="preserve"> eligible for a limited system waiver.  The waiver request shall be submitted through a Tier 2 Advice Letter </w:t>
      </w:r>
      <w:r w:rsidRPr="00097721" w:rsidR="00E5442C">
        <w:t xml:space="preserve">that </w:t>
      </w:r>
      <w:r w:rsidRPr="00097721">
        <w:t>provide</w:t>
      </w:r>
      <w:r w:rsidRPr="00097721" w:rsidR="00E5442C">
        <w:t>s</w:t>
      </w:r>
      <w:r w:rsidRPr="00097721">
        <w:t>: (1) the reason for PG&amp;E’s deficiency in meeting the RA requirement due to the unplanned outage of the DCPP, and (2) a demonstration that PG&amp;E made every reasonable effort to procure replacement capacity to mitigate the unplanned outage.</w:t>
      </w:r>
      <w:r w:rsidRPr="00097721" w:rsidR="00BA10A5">
        <w:t xml:space="preserve">  This is effective upon the issuance of this decision</w:t>
      </w:r>
      <w:r w:rsidRPr="00097721" w:rsidR="001142D4">
        <w:t>, commencing with the extended operating periods of DCPP Units 1 and 2</w:t>
      </w:r>
      <w:r w:rsidRPr="00097721" w:rsidR="00BA10A5">
        <w:t>.</w:t>
      </w:r>
    </w:p>
    <w:p w:rsidRPr="00097721" w:rsidR="005F0DC1" w:rsidP="00A0662A" w:rsidRDefault="001142D4" w14:paraId="653AC0E0" w14:textId="6893E84D">
      <w:pPr>
        <w:pStyle w:val="Standard"/>
      </w:pPr>
      <w:r w:rsidRPr="00097721">
        <w:lastRenderedPageBreak/>
        <w:t>Consistent with the current CAM mechanism, w</w:t>
      </w:r>
      <w:r w:rsidRPr="00097721" w:rsidR="005F0DC1">
        <w:t xml:space="preserve">e also clarify that PG&amp;E </w:t>
      </w:r>
      <w:r w:rsidRPr="00097721">
        <w:t xml:space="preserve">will get a RA debit equal to the amount of credits allocated to all other LSEs and in exchange, </w:t>
      </w:r>
      <w:r w:rsidRPr="00097721" w:rsidR="005F0DC1">
        <w:t xml:space="preserve">is permitted to show the entire DCPP on its RA showing.  </w:t>
      </w:r>
    </w:p>
    <w:p w:rsidRPr="00097721" w:rsidR="00465048" w:rsidP="00C72361" w:rsidRDefault="00944616" w14:paraId="785121CD" w14:textId="53273FA7">
      <w:pPr>
        <w:pStyle w:val="Heading3"/>
        <w:tabs>
          <w:tab w:val="clear" w:pos="1656"/>
          <w:tab w:val="num" w:pos="2160"/>
        </w:tabs>
        <w:ind w:left="1980" w:hanging="900"/>
      </w:pPr>
      <w:bookmarkStart w:name="_Toc166841772" w:id="72"/>
      <w:r w:rsidRPr="00097721">
        <w:t>Substitution Capacity Costs for CAM Resources</w:t>
      </w:r>
      <w:bookmarkEnd w:id="72"/>
    </w:p>
    <w:p w:rsidRPr="00097721" w:rsidR="00944616" w:rsidP="00944616" w:rsidRDefault="00944616" w14:paraId="33E433D8" w14:textId="72F67064">
      <w:pPr>
        <w:pStyle w:val="Standard"/>
      </w:pPr>
      <w:r w:rsidRPr="00097721">
        <w:t>PG&amp;E states that based on D.14-06-050, it currently manages CAM-eligible resources on behalf of all customers in its service territory and is responsible for providing substitution capacity to the CAISO when the resource is on an outage.</w:t>
      </w:r>
      <w:r w:rsidRPr="00097721">
        <w:rPr>
          <w:rStyle w:val="FootnoteReference"/>
        </w:rPr>
        <w:footnoteReference w:id="129"/>
      </w:r>
      <w:r w:rsidRPr="00097721">
        <w:t xml:space="preserve">  PG&amp;E states that in some cases, the calculation of these substitution capacity costs are based on a different benchmark price than the benchmark price that is used to provide substitution capacity from resources within PG&amp;E’s portfolio.  This difference can result in cost-shifting between bundled customers and departed load customers.</w:t>
      </w:r>
    </w:p>
    <w:p w:rsidRPr="00097721" w:rsidR="00944616" w:rsidP="00944616" w:rsidRDefault="00944616" w14:paraId="5A20E87F" w14:textId="3101ACA4">
      <w:pPr>
        <w:pStyle w:val="Standard"/>
      </w:pPr>
      <w:r w:rsidRPr="00097721">
        <w:t xml:space="preserve">To address this difference, PG&amp;E recommends using the </w:t>
      </w:r>
      <w:r w:rsidRPr="00097721" w:rsidR="00FB41FD">
        <w:t>Power Charge Indifference Adjustment (</w:t>
      </w:r>
      <w:r w:rsidRPr="00097721">
        <w:t>PCIA</w:t>
      </w:r>
      <w:r w:rsidRPr="00097721" w:rsidR="00FB41FD">
        <w:t>)</w:t>
      </w:r>
      <w:r w:rsidRPr="00097721">
        <w:t xml:space="preserve"> market price benchmark to determine substitution capacity costs when using resources from its PCIA-eligible portfolio, rather than the weighted average RA capacity price fr</w:t>
      </w:r>
      <w:r w:rsidRPr="00097721" w:rsidR="00BA10A5">
        <w:t>o</w:t>
      </w:r>
      <w:r w:rsidRPr="00097721">
        <w:t>m the most recent Energy Division RA Report.</w:t>
      </w:r>
      <w:r w:rsidRPr="00097721" w:rsidR="00B04ED4">
        <w:t xml:space="preserve">  PG&amp;E states that this would eliminate the existing cost shift and ensure the appropriate set of customers are paying their proportional share of costs.</w:t>
      </w:r>
    </w:p>
    <w:p w:rsidRPr="00097721" w:rsidR="006A1147" w:rsidP="006A1147" w:rsidRDefault="001274F8" w14:paraId="758A7693" w14:textId="77777777">
      <w:pPr>
        <w:pStyle w:val="Standard"/>
      </w:pPr>
      <w:r w:rsidRPr="00097721">
        <w:t>SDG&amp;E and Cal Advocates support PG&amp;E’s proposal.</w:t>
      </w:r>
      <w:r w:rsidRPr="00097721" w:rsidR="00FD69ED">
        <w:rPr>
          <w:rStyle w:val="FootnoteReference"/>
        </w:rPr>
        <w:footnoteReference w:id="130"/>
      </w:r>
      <w:r w:rsidRPr="00097721">
        <w:t xml:space="preserve"> </w:t>
      </w:r>
      <w:r w:rsidRPr="00097721" w:rsidR="00FD69ED">
        <w:t xml:space="preserve"> SDG&amp;E states that the PCIA benchmark is a more current reflection of market prices and differentiates between system, local, and flexible RA products, and </w:t>
      </w:r>
      <w:r w:rsidRPr="00097721" w:rsidR="00C60274">
        <w:t>thus</w:t>
      </w:r>
      <w:r w:rsidRPr="00097721" w:rsidR="00FD69ED">
        <w:t>, is a more accurate benchmark that minimize</w:t>
      </w:r>
      <w:r w:rsidRPr="00097721" w:rsidR="004C70B7">
        <w:t>s</w:t>
      </w:r>
      <w:r w:rsidRPr="00097721" w:rsidR="00FD69ED">
        <w:t xml:space="preserve"> cost-shifting.</w:t>
      </w:r>
      <w:r w:rsidRPr="00097721" w:rsidR="00AB285C">
        <w:t xml:space="preserve">  Cal Advocates </w:t>
      </w:r>
      <w:r w:rsidRPr="00097721" w:rsidR="001F32BA">
        <w:t xml:space="preserve">agrees </w:t>
      </w:r>
      <w:r w:rsidRPr="00097721" w:rsidR="001F32BA">
        <w:lastRenderedPageBreak/>
        <w:t>that the PCIA benchmark is preferred as it better represents current RA market conditions and better reflects the alternative to procuring substitut</w:t>
      </w:r>
      <w:r w:rsidRPr="00097721" w:rsidR="00040F6E">
        <w:t>e</w:t>
      </w:r>
      <w:r w:rsidRPr="00097721" w:rsidR="001F32BA">
        <w:t xml:space="preserve"> RA from the market through a solicitation or broker market.</w:t>
      </w:r>
    </w:p>
    <w:p w:rsidRPr="00097721" w:rsidR="00C50E2F" w:rsidP="00BA10A5" w:rsidRDefault="001F32BA" w14:paraId="0ED862BD" w14:textId="07B3EE61">
      <w:pPr>
        <w:pStyle w:val="Standard"/>
      </w:pPr>
      <w:r w:rsidRPr="00097721">
        <w:t xml:space="preserve">The Commission </w:t>
      </w:r>
      <w:r w:rsidRPr="00097721" w:rsidR="004431CE">
        <w:t>finds PG&amp;E’s proposal to use the PCIA market price benchmark to determine substitution capacity costs to be reasonable</w:t>
      </w:r>
      <w:r w:rsidRPr="00097721" w:rsidR="00245D8E">
        <w:t xml:space="preserve"> </w:t>
      </w:r>
      <w:r w:rsidRPr="00097721" w:rsidR="00040F6E">
        <w:t>because it would minimize cost shifting between bundled customers and departing load.</w:t>
      </w:r>
      <w:r w:rsidRPr="00097721" w:rsidR="00BA10A5">
        <w:t xml:space="preserve">  Accordingly, when </w:t>
      </w:r>
      <w:r w:rsidRPr="00097721" w:rsidR="00527BA6">
        <w:t xml:space="preserve">an IOU </w:t>
      </w:r>
      <w:r w:rsidRPr="00097721" w:rsidR="00BA10A5">
        <w:t>us</w:t>
      </w:r>
      <w:r w:rsidRPr="00097721" w:rsidR="00527BA6">
        <w:t>es</w:t>
      </w:r>
      <w:r w:rsidRPr="00097721" w:rsidR="00BA10A5">
        <w:t xml:space="preserve"> resources from an IOU’s PCIA-eligible portfolio, the IOU may use the PCIA market price benchmark to determine substitution capacity costs</w:t>
      </w:r>
      <w:r w:rsidRPr="00097721" w:rsidR="00C50E2F">
        <w:t xml:space="preserve"> for CAM resources</w:t>
      </w:r>
      <w:r w:rsidRPr="00097721" w:rsidR="00BA10A5">
        <w:t>.  This is effective upon the issuance of the decision.</w:t>
      </w:r>
    </w:p>
    <w:p w:rsidRPr="00097721" w:rsidR="00C2112B" w:rsidP="00C2112B" w:rsidRDefault="00C2112B" w14:paraId="5A3CFD59" w14:textId="55382BE6">
      <w:pPr>
        <w:pStyle w:val="Heading3"/>
      </w:pPr>
      <w:bookmarkStart w:name="_Toc166841773" w:id="73"/>
      <w:r w:rsidRPr="00097721">
        <w:t>Deliverable Resources Shown to CAISO</w:t>
      </w:r>
      <w:bookmarkEnd w:id="73"/>
    </w:p>
    <w:p w:rsidRPr="00097721" w:rsidR="00C2112B" w:rsidP="00C50E2F" w:rsidRDefault="00C2112B" w14:paraId="08A594F1" w14:textId="7ACC3838">
      <w:r w:rsidRPr="00097721">
        <w:t>CAISO proposes a rule that LSEs must show CAISO all deliverable resources on SOD RA plans (i.e., resources with full or partial deliverability status, not EO resources).</w:t>
      </w:r>
      <w:r w:rsidRPr="00097721">
        <w:rPr>
          <w:rStyle w:val="FootnoteReference"/>
        </w:rPr>
        <w:footnoteReference w:id="131"/>
      </w:r>
      <w:r w:rsidRPr="00097721">
        <w:t xml:space="preserve">  CAISO proposes that LSEs show these deliverable resources to CAISO regardless of what hour the resources are shown to the Commission in SOD showings.  This rule would ensure deliverable resources shown to the Commission are shown to CAISO to correctly flag RA resources in CAISO’s systems and processes, to ensure resources are subject to CAISO</w:t>
      </w:r>
      <w:r w:rsidRPr="00097721" w:rsidR="00C50E2F">
        <w:t>’s</w:t>
      </w:r>
      <w:r w:rsidRPr="00097721">
        <w:t xml:space="preserve"> RA rules, and so that CAISO accounts for these resources for RA compliance.  CAISO notes that this rule would prevent CAISO from labeling these resources as eligible for other designations, such as the CPM.</w:t>
      </w:r>
    </w:p>
    <w:p w:rsidRPr="00097721" w:rsidR="00C2112B" w:rsidP="00C2112B" w:rsidRDefault="00C2112B" w14:paraId="4C24C72B" w14:textId="701F8F59">
      <w:r w:rsidRPr="00097721">
        <w:t>No party commented on this proposal.</w:t>
      </w:r>
    </w:p>
    <w:p w:rsidRPr="00097721" w:rsidR="004069C1" w:rsidP="004069C1" w:rsidRDefault="00C2112B" w14:paraId="3294D347" w14:textId="4D3DEBBD">
      <w:r w:rsidRPr="00097721">
        <w:t xml:space="preserve">The Commission finds the proposal to be reasonable in order to ensure that all SOD resources are flagged as such in CAISO’s systems and processes, </w:t>
      </w:r>
      <w:r w:rsidRPr="00097721">
        <w:lastRenderedPageBreak/>
        <w:t>and so that these resources will be subject to CAISO’s RA rules, such as the MOO requirement.  Accordingly, LSEs must show all deliverable resources on SOD RA plans to CAISO</w:t>
      </w:r>
      <w:r w:rsidRPr="00097721" w:rsidR="00C822A6">
        <w:t>,</w:t>
      </w:r>
      <w:r w:rsidRPr="00097721" w:rsidR="004069C1">
        <w:t xml:space="preserve"> with the exception of </w:t>
      </w:r>
      <w:r w:rsidRPr="00097721" w:rsidR="002B1E8E">
        <w:t xml:space="preserve">Q3 2025 </w:t>
      </w:r>
      <w:r w:rsidRPr="00097721" w:rsidR="004069C1">
        <w:t xml:space="preserve">off-peak imports that are being shown only to the Commission to meet requirements under </w:t>
      </w:r>
      <w:r w:rsidRPr="00097721" w:rsidR="00C822A6">
        <w:t xml:space="preserve">the </w:t>
      </w:r>
      <w:r w:rsidRPr="00097721" w:rsidR="004069C1">
        <w:t>SOD</w:t>
      </w:r>
      <w:r w:rsidRPr="00097721" w:rsidR="00C822A6">
        <w:t xml:space="preserve"> framework</w:t>
      </w:r>
      <w:r w:rsidRPr="00097721">
        <w:t xml:space="preserve">. </w:t>
      </w:r>
      <w:r w:rsidRPr="00097721" w:rsidR="005F1F85">
        <w:t xml:space="preserve"> This is effective </w:t>
      </w:r>
      <w:r w:rsidRPr="00097721" w:rsidR="00CF2E53">
        <w:t>for the 2025 RA compliance year</w:t>
      </w:r>
      <w:r w:rsidRPr="00097721" w:rsidR="005F1F85">
        <w:t>.</w:t>
      </w:r>
    </w:p>
    <w:p w:rsidRPr="00097721" w:rsidR="00603F08" w:rsidP="009A48DA" w:rsidRDefault="00603F08" w14:paraId="1C142F7E" w14:textId="084FA940">
      <w:pPr>
        <w:pStyle w:val="Heading1"/>
      </w:pPr>
      <w:bookmarkStart w:name="_Toc166841774" w:id="74"/>
      <w:r w:rsidRPr="00097721">
        <w:t>Comments on Proposed Decision</w:t>
      </w:r>
      <w:bookmarkEnd w:id="74"/>
    </w:p>
    <w:p w:rsidRPr="00097721" w:rsidR="00905BB5" w:rsidP="004C0FEE" w:rsidRDefault="004C0FEE" w14:paraId="1D952CB2" w14:textId="6049E762">
      <w:pPr>
        <w:pStyle w:val="Standard"/>
      </w:pPr>
      <w:r w:rsidRPr="00097721">
        <w:t>The proposed decision of ALJ Chiv in this matter was mailed to the parties in accordance with Section 311 of the Public Utilities Code and comments were allowed under Rule 14.3 of the Commission’s Rules of Practice and Procedure.</w:t>
      </w:r>
      <w:r w:rsidRPr="00097721" w:rsidR="00905BB5">
        <w:t xml:space="preserve">  Comments were filed by June 6, 2023 by: ACP-CA; AES; AReM</w:t>
      </w:r>
      <w:r w:rsidRPr="00097721" w:rsidR="000D4E4B">
        <w:t xml:space="preserve"> and the Regents of the University of California (</w:t>
      </w:r>
      <w:r w:rsidRPr="00097721" w:rsidR="006E05E3">
        <w:t xml:space="preserve">jointly, </w:t>
      </w:r>
      <w:r w:rsidRPr="00097721" w:rsidR="000D4E4B">
        <w:t>AReM/UC)</w:t>
      </w:r>
      <w:r w:rsidRPr="00097721" w:rsidR="00905BB5">
        <w:t xml:space="preserve">; BPA; </w:t>
      </w:r>
      <w:r w:rsidRPr="00097721" w:rsidR="00993714">
        <w:t xml:space="preserve">CAISO; </w:t>
      </w:r>
      <w:r w:rsidRPr="00097721" w:rsidR="00905BB5">
        <w:t>CalCCA; CEJA; Central Coast Community Energy (3CE); CESA; Council, Leapfrog Power, Inc., and OhmConnect, Inc. (collectively, Joint DR Parties); DMM; Form Energy; Hydrostor, Large-Scale Solar Association (LSA); Microsoft; MRP; Peninsula Clean Energy (PCE); PG&amp;E; SCE; Shell Energy; Terra</w:t>
      </w:r>
      <w:r w:rsidRPr="00097721" w:rsidR="00627B00">
        <w:t>-</w:t>
      </w:r>
      <w:r w:rsidRPr="00097721" w:rsidR="00905BB5">
        <w:t>Gen; and WPTF.</w:t>
      </w:r>
      <w:r w:rsidRPr="00097721" w:rsidR="00627B00">
        <w:t xml:space="preserve">  Reply comments were filed on June 11, 2024 by: </w:t>
      </w:r>
      <w:r w:rsidRPr="00097721" w:rsidR="0030117C">
        <w:t>ACP-CA, AReM/UC, Cal Advocates, CAISO, CalCCA, CESA, Hydrostor, Joint DR Parties, MRP, PG&amp;E, SCE, SDG&amp;E, Shell Energy, SJCE, and WPTF.</w:t>
      </w:r>
    </w:p>
    <w:p w:rsidRPr="00097721" w:rsidR="00A91744" w:rsidP="00D2269A" w:rsidRDefault="00905BB5" w14:paraId="2CA3CF2C" w14:textId="6A8DF260">
      <w:pPr>
        <w:pStyle w:val="Standard"/>
        <w:rPr>
          <w:szCs w:val="26"/>
        </w:rPr>
      </w:pPr>
      <w:r w:rsidRPr="00097721">
        <w:t xml:space="preserve">All comments have been carefully considered.  </w:t>
      </w:r>
      <w:r w:rsidRPr="00097721" w:rsidR="00743274">
        <w:t>Portions</w:t>
      </w:r>
      <w:r w:rsidRPr="00097721">
        <w:t xml:space="preserve"> of the proposed decision that have been revised in light of comments are mentioned in this section.  We do not summarize every comment but focus on major arguments made in which the Commission did or did not make revisions in response to party input.  </w:t>
      </w:r>
      <w:r w:rsidRPr="00097721">
        <w:rPr>
          <w:szCs w:val="26"/>
        </w:rPr>
        <w:t>We remind parties that under Rule 14.3(c), comments on a proposed decision must focus on factual, legal, or technical errors in the proposed decision; comments that fail to meet the requirements will be accorded no weight.</w:t>
      </w:r>
    </w:p>
    <w:p w:rsidRPr="00097721" w:rsidR="001366FD" w:rsidP="00D2269A" w:rsidRDefault="001F72F2" w14:paraId="3DEEDF57" w14:textId="2A49814C">
      <w:pPr>
        <w:pStyle w:val="Standard"/>
        <w:rPr>
          <w:szCs w:val="26"/>
        </w:rPr>
      </w:pPr>
      <w:r w:rsidRPr="00097721">
        <w:rPr>
          <w:szCs w:val="26"/>
        </w:rPr>
        <w:lastRenderedPageBreak/>
        <w:t>Some parties</w:t>
      </w:r>
      <w:r w:rsidRPr="00097721" w:rsidR="00782420">
        <w:rPr>
          <w:szCs w:val="26"/>
        </w:rPr>
        <w:t xml:space="preserve"> </w:t>
      </w:r>
      <w:r w:rsidRPr="00097721" w:rsidR="00B9072A">
        <w:rPr>
          <w:szCs w:val="26"/>
        </w:rPr>
        <w:t>reiterate arguments</w:t>
      </w:r>
      <w:r w:rsidRPr="00097721" w:rsidR="00782420">
        <w:rPr>
          <w:szCs w:val="26"/>
        </w:rPr>
        <w:t xml:space="preserve"> that implementation </w:t>
      </w:r>
      <w:r w:rsidRPr="00097721" w:rsidR="00C822A6">
        <w:rPr>
          <w:szCs w:val="26"/>
        </w:rPr>
        <w:t xml:space="preserve">of the SOD framework </w:t>
      </w:r>
      <w:r w:rsidRPr="00097721" w:rsidR="00782420">
        <w:rPr>
          <w:szCs w:val="26"/>
        </w:rPr>
        <w:t>should be delayed</w:t>
      </w:r>
      <w:r w:rsidRPr="00097721" w:rsidR="00C822A6">
        <w:rPr>
          <w:szCs w:val="26"/>
        </w:rPr>
        <w:t xml:space="preserve"> past 2025</w:t>
      </w:r>
      <w:r w:rsidRPr="00097721" w:rsidR="00782420">
        <w:rPr>
          <w:szCs w:val="26"/>
        </w:rPr>
        <w:t>, or that additional flexibility should be adopted i</w:t>
      </w:r>
      <w:r w:rsidRPr="00097721" w:rsidR="00C822A6">
        <w:rPr>
          <w:szCs w:val="26"/>
        </w:rPr>
        <w:t>f</w:t>
      </w:r>
      <w:r w:rsidRPr="00097721" w:rsidR="00782420">
        <w:rPr>
          <w:szCs w:val="26"/>
        </w:rPr>
        <w:t xml:space="preserve"> moving forward with SOD implementation,</w:t>
      </w:r>
      <w:r w:rsidRPr="00097721">
        <w:rPr>
          <w:szCs w:val="26"/>
        </w:rPr>
        <w:t xml:space="preserve"> including </w:t>
      </w:r>
      <w:r w:rsidRPr="00097721" w:rsidR="004F0AA4">
        <w:rPr>
          <w:szCs w:val="26"/>
        </w:rPr>
        <w:t xml:space="preserve">ACP-CA, </w:t>
      </w:r>
      <w:r w:rsidRPr="00097721">
        <w:rPr>
          <w:szCs w:val="26"/>
        </w:rPr>
        <w:t>AReM/UC, CalCCA, CESA, and Hydrostor</w:t>
      </w:r>
      <w:r w:rsidRPr="00097721" w:rsidR="00782420">
        <w:rPr>
          <w:szCs w:val="26"/>
        </w:rPr>
        <w:t>.</w:t>
      </w:r>
      <w:r w:rsidRPr="00097721" w:rsidR="00782420">
        <w:rPr>
          <w:rStyle w:val="FootnoteReference"/>
          <w:szCs w:val="26"/>
        </w:rPr>
        <w:footnoteReference w:id="132"/>
      </w:r>
      <w:r w:rsidRPr="00097721" w:rsidR="00B9072A">
        <w:rPr>
          <w:szCs w:val="26"/>
        </w:rPr>
        <w:t xml:space="preserve">  </w:t>
      </w:r>
      <w:r w:rsidRPr="00097721" w:rsidR="001366FD">
        <w:rPr>
          <w:szCs w:val="26"/>
        </w:rPr>
        <w:t>MRP, PG&amp;E</w:t>
      </w:r>
      <w:r w:rsidRPr="00097721" w:rsidR="00314783">
        <w:rPr>
          <w:szCs w:val="26"/>
        </w:rPr>
        <w:t>, and Shell Energy</w:t>
      </w:r>
      <w:r w:rsidRPr="00097721" w:rsidR="001366FD">
        <w:rPr>
          <w:szCs w:val="26"/>
        </w:rPr>
        <w:t xml:space="preserve"> support moving forward with SOD implementation</w:t>
      </w:r>
      <w:r w:rsidRPr="00097721" w:rsidR="00804CE7">
        <w:rPr>
          <w:szCs w:val="26"/>
        </w:rPr>
        <w:t xml:space="preserve"> for 2025</w:t>
      </w:r>
      <w:r w:rsidRPr="00097721" w:rsidR="001366FD">
        <w:rPr>
          <w:szCs w:val="26"/>
        </w:rPr>
        <w:t>.</w:t>
      </w:r>
      <w:r w:rsidRPr="00097721" w:rsidR="001366FD">
        <w:rPr>
          <w:rStyle w:val="FootnoteReference"/>
          <w:szCs w:val="26"/>
        </w:rPr>
        <w:footnoteReference w:id="133"/>
      </w:r>
      <w:r w:rsidRPr="00097721" w:rsidR="001366FD">
        <w:rPr>
          <w:szCs w:val="26"/>
        </w:rPr>
        <w:t xml:space="preserve"> </w:t>
      </w:r>
      <w:r w:rsidRPr="00097721" w:rsidR="00281849">
        <w:rPr>
          <w:szCs w:val="26"/>
        </w:rPr>
        <w:t xml:space="preserve"> SDG&amp;E states that if SOD implementation is not delayed, LSEs should be provided their 2025 allocations as soon as reasonably possible.</w:t>
      </w:r>
      <w:r w:rsidRPr="00097721" w:rsidR="00F05C00">
        <w:rPr>
          <w:rStyle w:val="FootnoteReference"/>
          <w:szCs w:val="26"/>
        </w:rPr>
        <w:footnoteReference w:id="134"/>
      </w:r>
      <w:r w:rsidRPr="00097721" w:rsidR="00281849">
        <w:rPr>
          <w:szCs w:val="26"/>
        </w:rPr>
        <w:t xml:space="preserve"> </w:t>
      </w:r>
    </w:p>
    <w:p w:rsidRPr="00097721" w:rsidR="00EA02C5" w:rsidP="000C34EB" w:rsidRDefault="00B9072A" w14:paraId="3D175BBD" w14:textId="6143A843">
      <w:pPr>
        <w:pStyle w:val="Standard"/>
      </w:pPr>
      <w:r w:rsidRPr="00097721">
        <w:rPr>
          <w:szCs w:val="26"/>
        </w:rPr>
        <w:t xml:space="preserve">The Commission </w:t>
      </w:r>
      <w:r w:rsidRPr="00097721" w:rsidR="009057D7">
        <w:rPr>
          <w:szCs w:val="26"/>
        </w:rPr>
        <w:t>maintains its rationale for moving forward with</w:t>
      </w:r>
      <w:r w:rsidRPr="00097721">
        <w:rPr>
          <w:szCs w:val="26"/>
        </w:rPr>
        <w:t xml:space="preserve"> SOD implementation</w:t>
      </w:r>
      <w:r w:rsidRPr="00097721" w:rsidR="009057D7">
        <w:rPr>
          <w:szCs w:val="26"/>
        </w:rPr>
        <w:t xml:space="preserve"> for the 2025 RA compliance year</w:t>
      </w:r>
      <w:r w:rsidRPr="00097721">
        <w:rPr>
          <w:szCs w:val="26"/>
        </w:rPr>
        <w:t>.  As stated in the decision, “[t]</w:t>
      </w:r>
      <w:r w:rsidRPr="00097721">
        <w:t xml:space="preserve">he Commission will continue to monitor the readiness of the SOD showing tools throughout 2024 and monitor LSEs’ compliance with the SOD requirements in 2025 and will consider adjustments to the program as needed.”  </w:t>
      </w:r>
      <w:r w:rsidRPr="00097721" w:rsidR="000C34EB">
        <w:t>In addition to program adjustments</w:t>
      </w:r>
      <w:r w:rsidRPr="00097721">
        <w:t>, the Commission may consider extenuating circumstances in enforcing the RA requirements for the first year of the SOD program, which may include</w:t>
      </w:r>
      <w:r w:rsidRPr="00097721" w:rsidR="000C34EB">
        <w:t xml:space="preserve"> directing</w:t>
      </w:r>
      <w:r w:rsidRPr="00097721">
        <w:t xml:space="preserve"> Energy Division </w:t>
      </w:r>
      <w:r w:rsidRPr="00097721" w:rsidR="000C34EB">
        <w:t>to delay</w:t>
      </w:r>
      <w:r w:rsidRPr="00097721">
        <w:t xml:space="preserve"> the issuance of deficiency notices</w:t>
      </w:r>
      <w:r w:rsidRPr="00097721" w:rsidR="00D2269A">
        <w:t xml:space="preserve"> to LSEs to allow </w:t>
      </w:r>
      <w:r w:rsidRPr="00097721" w:rsidR="000C34EB">
        <w:t xml:space="preserve">time </w:t>
      </w:r>
      <w:r w:rsidRPr="00097721" w:rsidR="00D2269A">
        <w:t>for additional procurement</w:t>
      </w:r>
      <w:r w:rsidRPr="00097721" w:rsidR="000C34EB">
        <w:t>, as we have previously ordered.</w:t>
      </w:r>
      <w:r w:rsidRPr="00097721" w:rsidR="000C34EB">
        <w:rPr>
          <w:rStyle w:val="FootnoteReference"/>
        </w:rPr>
        <w:footnoteReference w:id="135"/>
      </w:r>
      <w:r w:rsidRPr="00097721" w:rsidR="000C34EB">
        <w:t xml:space="preserve">  The Commission appreciates </w:t>
      </w:r>
      <w:r w:rsidRPr="00097721" w:rsidR="00D2269A">
        <w:t xml:space="preserve">that some LSEs have been actively engaging with Energy Division to </w:t>
      </w:r>
      <w:r w:rsidRPr="00097721" w:rsidR="000C34EB">
        <w:t xml:space="preserve">identify and correct </w:t>
      </w:r>
      <w:r w:rsidRPr="00097721" w:rsidR="00D2269A">
        <w:t xml:space="preserve">issues with the SOD </w:t>
      </w:r>
      <w:r w:rsidRPr="00097721" w:rsidR="00B86E3F">
        <w:t>showing tools</w:t>
      </w:r>
      <w:r w:rsidRPr="00097721" w:rsidR="00D2269A">
        <w:t xml:space="preserve">.  To ensure the SOD </w:t>
      </w:r>
      <w:r w:rsidRPr="00097721" w:rsidR="00B86E3F">
        <w:t>showing tools</w:t>
      </w:r>
      <w:r w:rsidRPr="00097721" w:rsidR="00D2269A">
        <w:t xml:space="preserve"> are ready for</w:t>
      </w:r>
      <w:r w:rsidRPr="00097721" w:rsidR="000C34EB">
        <w:t xml:space="preserve"> 2025</w:t>
      </w:r>
      <w:r w:rsidRPr="00097721" w:rsidR="00D2269A">
        <w:t xml:space="preserve"> </w:t>
      </w:r>
      <w:r w:rsidRPr="00097721" w:rsidR="00D2269A">
        <w:lastRenderedPageBreak/>
        <w:t>implementation, we encourage other LSEs to actively engage with Energy Division in this effort.</w:t>
      </w:r>
    </w:p>
    <w:p w:rsidRPr="00097721" w:rsidR="00D16544" w:rsidP="002A2325" w:rsidRDefault="00775FA4" w14:paraId="7D369FCA" w14:textId="14102787">
      <w:pPr>
        <w:pStyle w:val="Standard"/>
        <w:rPr>
          <w:szCs w:val="26"/>
        </w:rPr>
      </w:pPr>
      <w:r w:rsidRPr="00097721">
        <w:rPr>
          <w:szCs w:val="26"/>
        </w:rPr>
        <w:t>CAISO</w:t>
      </w:r>
      <w:r w:rsidRPr="00097721" w:rsidR="002A2325">
        <w:rPr>
          <w:szCs w:val="26"/>
        </w:rPr>
        <w:t xml:space="preserve">, </w:t>
      </w:r>
      <w:r w:rsidRPr="00097721">
        <w:rPr>
          <w:szCs w:val="26"/>
        </w:rPr>
        <w:t>Microsoft</w:t>
      </w:r>
      <w:r w:rsidRPr="00097721" w:rsidR="002A2325">
        <w:rPr>
          <w:szCs w:val="26"/>
        </w:rPr>
        <w:t>, and MRP</w:t>
      </w:r>
      <w:r w:rsidRPr="00097721">
        <w:rPr>
          <w:szCs w:val="26"/>
        </w:rPr>
        <w:t xml:space="preserve"> support </w:t>
      </w:r>
      <w:r w:rsidRPr="00097721" w:rsidR="000C339D">
        <w:rPr>
          <w:szCs w:val="26"/>
        </w:rPr>
        <w:t xml:space="preserve">the decision to retain </w:t>
      </w:r>
      <w:r w:rsidRPr="00097721">
        <w:rPr>
          <w:szCs w:val="26"/>
        </w:rPr>
        <w:t>the 17 percent PRM for 2025</w:t>
      </w:r>
      <w:r w:rsidRPr="00097721" w:rsidR="00D16544">
        <w:rPr>
          <w:szCs w:val="26"/>
        </w:rPr>
        <w:t xml:space="preserve">, rather than </w:t>
      </w:r>
      <w:r w:rsidRPr="00097721" w:rsidR="000C339D">
        <w:rPr>
          <w:szCs w:val="26"/>
        </w:rPr>
        <w:t>reduce</w:t>
      </w:r>
      <w:r w:rsidRPr="00097721" w:rsidR="00D16544">
        <w:rPr>
          <w:szCs w:val="26"/>
        </w:rPr>
        <w:t xml:space="preserve"> the PR</w:t>
      </w:r>
      <w:r w:rsidRPr="00097721" w:rsidR="002A2325">
        <w:rPr>
          <w:szCs w:val="26"/>
        </w:rPr>
        <w:t>M.</w:t>
      </w:r>
      <w:r w:rsidRPr="00097721" w:rsidR="002A2325">
        <w:rPr>
          <w:rStyle w:val="FootnoteReference"/>
          <w:szCs w:val="26"/>
        </w:rPr>
        <w:footnoteReference w:id="136"/>
      </w:r>
      <w:r w:rsidRPr="00097721" w:rsidR="00D16544">
        <w:rPr>
          <w:szCs w:val="26"/>
        </w:rPr>
        <w:t xml:space="preserve"> </w:t>
      </w:r>
      <w:r w:rsidRPr="00097721" w:rsidR="002A2325">
        <w:rPr>
          <w:szCs w:val="26"/>
        </w:rPr>
        <w:t xml:space="preserve"> CAISO and Microsoft comment that </w:t>
      </w:r>
      <w:r w:rsidRPr="00097721" w:rsidR="00803070">
        <w:rPr>
          <w:szCs w:val="26"/>
        </w:rPr>
        <w:t>retaining the</w:t>
      </w:r>
      <w:r w:rsidRPr="00097721" w:rsidR="00D2269A">
        <w:rPr>
          <w:szCs w:val="26"/>
        </w:rPr>
        <w:t xml:space="preserve"> PRM </w:t>
      </w:r>
      <w:r w:rsidRPr="00097721" w:rsidR="00803070">
        <w:rPr>
          <w:szCs w:val="26"/>
        </w:rPr>
        <w:t>can help offset uncertainty with</w:t>
      </w:r>
      <w:r w:rsidRPr="00097721" w:rsidR="00D2269A">
        <w:rPr>
          <w:szCs w:val="26"/>
        </w:rPr>
        <w:t xml:space="preserve"> the decreased load forecast and </w:t>
      </w:r>
      <w:r w:rsidRPr="00097721" w:rsidR="00D16544">
        <w:rPr>
          <w:szCs w:val="26"/>
        </w:rPr>
        <w:t xml:space="preserve">changing peak loads. </w:t>
      </w:r>
      <w:r w:rsidRPr="00097721" w:rsidR="00E25F58">
        <w:rPr>
          <w:szCs w:val="26"/>
        </w:rPr>
        <w:t xml:space="preserve"> </w:t>
      </w:r>
      <w:r w:rsidRPr="00097721" w:rsidR="002A2325">
        <w:rPr>
          <w:szCs w:val="26"/>
        </w:rPr>
        <w:t xml:space="preserve">MRP comments that </w:t>
      </w:r>
      <w:r w:rsidRPr="00097721" w:rsidR="000C339D">
        <w:rPr>
          <w:szCs w:val="26"/>
        </w:rPr>
        <w:t>a</w:t>
      </w:r>
      <w:r w:rsidRPr="00097721" w:rsidR="002A2325">
        <w:rPr>
          <w:szCs w:val="26"/>
        </w:rPr>
        <w:t xml:space="preserve"> 17 percent PRM has not been shown to achieve the target LOLE and that Energy Division should be ordered to perform monthly stress testing.  </w:t>
      </w:r>
      <w:r w:rsidRPr="00097721" w:rsidR="00E25F58">
        <w:rPr>
          <w:szCs w:val="26"/>
        </w:rPr>
        <w:t>CAISO states that the Commission should clarify that the effective PRM adopted in D.23-06-029 will continue to apply for 2025.</w:t>
      </w:r>
      <w:r w:rsidRPr="00097721" w:rsidR="003263F8">
        <w:rPr>
          <w:szCs w:val="26"/>
        </w:rPr>
        <w:t xml:space="preserve">  </w:t>
      </w:r>
    </w:p>
    <w:p w:rsidRPr="00097721" w:rsidR="00113511" w:rsidP="00905BB5" w:rsidRDefault="00A3655D" w14:paraId="418E3927" w14:textId="57B8A2BA">
      <w:pPr>
        <w:pStyle w:val="Standard"/>
        <w:rPr>
          <w:szCs w:val="26"/>
        </w:rPr>
      </w:pPr>
      <w:r w:rsidRPr="00097721">
        <w:rPr>
          <w:szCs w:val="26"/>
        </w:rPr>
        <w:t xml:space="preserve">ACP-CA, </w:t>
      </w:r>
      <w:r w:rsidRPr="00097721" w:rsidR="004E7A28">
        <w:rPr>
          <w:szCs w:val="26"/>
        </w:rPr>
        <w:t xml:space="preserve">CalCCA, </w:t>
      </w:r>
      <w:r w:rsidRPr="00097721">
        <w:rPr>
          <w:szCs w:val="26"/>
        </w:rPr>
        <w:t>CEJA</w:t>
      </w:r>
      <w:r w:rsidRPr="00097721" w:rsidR="00731CE1">
        <w:rPr>
          <w:szCs w:val="26"/>
        </w:rPr>
        <w:t>, and SCE</w:t>
      </w:r>
      <w:r w:rsidRPr="00097721">
        <w:rPr>
          <w:szCs w:val="26"/>
        </w:rPr>
        <w:t xml:space="preserve"> oppose </w:t>
      </w:r>
      <w:r w:rsidRPr="00097721" w:rsidR="004E7A28">
        <w:rPr>
          <w:szCs w:val="26"/>
        </w:rPr>
        <w:t>a</w:t>
      </w:r>
      <w:r w:rsidRPr="00097721">
        <w:rPr>
          <w:szCs w:val="26"/>
        </w:rPr>
        <w:t xml:space="preserve"> 17 percent PRM for 2025.</w:t>
      </w:r>
      <w:r w:rsidRPr="00097721">
        <w:rPr>
          <w:rStyle w:val="FootnoteReference"/>
          <w:szCs w:val="26"/>
        </w:rPr>
        <w:footnoteReference w:id="137"/>
      </w:r>
      <w:r w:rsidRPr="00097721" w:rsidR="00113511">
        <w:rPr>
          <w:szCs w:val="26"/>
        </w:rPr>
        <w:t xml:space="preserve"> </w:t>
      </w:r>
      <w:r w:rsidRPr="00097721">
        <w:rPr>
          <w:szCs w:val="26"/>
        </w:rPr>
        <w:t xml:space="preserve"> CalCCA </w:t>
      </w:r>
      <w:r w:rsidRPr="00097721" w:rsidR="00113511">
        <w:rPr>
          <w:szCs w:val="26"/>
        </w:rPr>
        <w:t xml:space="preserve">states that </w:t>
      </w:r>
      <w:r w:rsidRPr="00097721" w:rsidR="002A2325">
        <w:rPr>
          <w:szCs w:val="26"/>
        </w:rPr>
        <w:t>a</w:t>
      </w:r>
      <w:r w:rsidRPr="00097721" w:rsidR="00113511">
        <w:rPr>
          <w:szCs w:val="26"/>
        </w:rPr>
        <w:t xml:space="preserve"> 17 percent PRM fails to account for differences in the existing RA framework and SOD framework, and </w:t>
      </w:r>
      <w:r w:rsidRPr="00097721" w:rsidR="002768C6">
        <w:rPr>
          <w:szCs w:val="26"/>
        </w:rPr>
        <w:t xml:space="preserve">the Commission should </w:t>
      </w:r>
      <w:r w:rsidRPr="00097721" w:rsidR="00E56C65">
        <w:rPr>
          <w:szCs w:val="26"/>
        </w:rPr>
        <w:t xml:space="preserve">instead </w:t>
      </w:r>
      <w:r w:rsidRPr="00097721" w:rsidR="002768C6">
        <w:rPr>
          <w:szCs w:val="26"/>
        </w:rPr>
        <w:t xml:space="preserve">work with the CEC and stakeholders to </w:t>
      </w:r>
      <w:r w:rsidRPr="00097721" w:rsidR="004E7A28">
        <w:rPr>
          <w:szCs w:val="26"/>
        </w:rPr>
        <w:t>assess</w:t>
      </w:r>
      <w:r w:rsidRPr="00097721" w:rsidR="002768C6">
        <w:rPr>
          <w:szCs w:val="26"/>
        </w:rPr>
        <w:t xml:space="preserve"> the accuracy of the IEPR forecast.</w:t>
      </w:r>
      <w:r w:rsidRPr="00097721" w:rsidR="000D41D6">
        <w:rPr>
          <w:szCs w:val="26"/>
        </w:rPr>
        <w:t xml:space="preserve">  CEJA </w:t>
      </w:r>
      <w:r w:rsidRPr="00097721" w:rsidR="00D5526F">
        <w:rPr>
          <w:szCs w:val="26"/>
        </w:rPr>
        <w:t>argues</w:t>
      </w:r>
      <w:r w:rsidRPr="00097721" w:rsidR="000D41D6">
        <w:rPr>
          <w:szCs w:val="26"/>
        </w:rPr>
        <w:t xml:space="preserve"> that the </w:t>
      </w:r>
      <w:r w:rsidRPr="00097721" w:rsidR="00CA4E6B">
        <w:rPr>
          <w:szCs w:val="26"/>
        </w:rPr>
        <w:t>PRM should be reduced</w:t>
      </w:r>
      <w:r w:rsidRPr="00097721" w:rsidR="002A2325">
        <w:rPr>
          <w:szCs w:val="26"/>
        </w:rPr>
        <w:t xml:space="preserve">, </w:t>
      </w:r>
      <w:r w:rsidRPr="00097721" w:rsidR="00CA4E6B">
        <w:rPr>
          <w:szCs w:val="26"/>
        </w:rPr>
        <w:t xml:space="preserve">that a </w:t>
      </w:r>
      <w:r w:rsidRPr="00097721" w:rsidR="000D41D6">
        <w:rPr>
          <w:szCs w:val="26"/>
        </w:rPr>
        <w:t>decreased demand forecast is not a justification for an increased PRM</w:t>
      </w:r>
      <w:r w:rsidRPr="00097721" w:rsidR="002A2325">
        <w:rPr>
          <w:szCs w:val="26"/>
        </w:rPr>
        <w:t>,</w:t>
      </w:r>
      <w:r w:rsidRPr="00097721" w:rsidR="000723FC">
        <w:rPr>
          <w:szCs w:val="26"/>
        </w:rPr>
        <w:t xml:space="preserve"> and that a 17 percent PRM </w:t>
      </w:r>
      <w:r w:rsidRPr="00097721" w:rsidR="008903FB">
        <w:rPr>
          <w:szCs w:val="26"/>
        </w:rPr>
        <w:t>will</w:t>
      </w:r>
      <w:r w:rsidRPr="00097721" w:rsidR="000723FC">
        <w:rPr>
          <w:szCs w:val="26"/>
        </w:rPr>
        <w:t xml:space="preserve"> lead to overinvestment in reliability resources</w:t>
      </w:r>
      <w:r w:rsidRPr="00097721" w:rsidR="000D41D6">
        <w:rPr>
          <w:szCs w:val="26"/>
        </w:rPr>
        <w:t>.</w:t>
      </w:r>
      <w:r w:rsidRPr="00097721" w:rsidR="0059529A">
        <w:rPr>
          <w:szCs w:val="26"/>
        </w:rPr>
        <w:t xml:space="preserve">  ACP-CA states that 17 percent is not supported by the record and may not meet the 0.1 LOLE standard.</w:t>
      </w:r>
      <w:r w:rsidRPr="00097721" w:rsidR="00731CE1">
        <w:rPr>
          <w:szCs w:val="26"/>
        </w:rPr>
        <w:t xml:space="preserve">  SCE recommends </w:t>
      </w:r>
      <w:r w:rsidRPr="00097721" w:rsidR="002A2325">
        <w:rPr>
          <w:szCs w:val="26"/>
        </w:rPr>
        <w:t xml:space="preserve">its </w:t>
      </w:r>
      <w:r w:rsidRPr="00097721" w:rsidR="00DD1143">
        <w:rPr>
          <w:szCs w:val="26"/>
        </w:rPr>
        <w:t xml:space="preserve">previous </w:t>
      </w:r>
      <w:r w:rsidRPr="00097721" w:rsidR="00731CE1">
        <w:rPr>
          <w:szCs w:val="26"/>
        </w:rPr>
        <w:t xml:space="preserve">proposal to create a proxy portfolio to </w:t>
      </w:r>
      <w:r w:rsidRPr="00097721" w:rsidR="001A2D46">
        <w:rPr>
          <w:szCs w:val="26"/>
        </w:rPr>
        <w:t>establish</w:t>
      </w:r>
      <w:r w:rsidRPr="00097721" w:rsidR="00731CE1">
        <w:rPr>
          <w:szCs w:val="26"/>
        </w:rPr>
        <w:t xml:space="preserve"> a SOD PRM</w:t>
      </w:r>
      <w:r w:rsidRPr="00097721" w:rsidR="00DD1143">
        <w:rPr>
          <w:szCs w:val="26"/>
        </w:rPr>
        <w:t>,</w:t>
      </w:r>
      <w:r w:rsidRPr="00097721" w:rsidR="000A0AE2">
        <w:rPr>
          <w:szCs w:val="26"/>
        </w:rPr>
        <w:t xml:space="preserve"> or if </w:t>
      </w:r>
      <w:r w:rsidRPr="00097721" w:rsidR="00743274">
        <w:rPr>
          <w:szCs w:val="26"/>
        </w:rPr>
        <w:t>the</w:t>
      </w:r>
      <w:r w:rsidRPr="00097721" w:rsidR="000A0AE2">
        <w:rPr>
          <w:szCs w:val="26"/>
        </w:rPr>
        <w:t xml:space="preserve"> 17 percent</w:t>
      </w:r>
      <w:r w:rsidRPr="00097721" w:rsidR="001A2D46">
        <w:rPr>
          <w:szCs w:val="26"/>
        </w:rPr>
        <w:t xml:space="preserve"> is maintained</w:t>
      </w:r>
      <w:r w:rsidRPr="00097721" w:rsidR="000A0AE2">
        <w:rPr>
          <w:szCs w:val="26"/>
        </w:rPr>
        <w:t>, then remove the effective PRM</w:t>
      </w:r>
      <w:r w:rsidRPr="00097721" w:rsidR="00731CE1">
        <w:rPr>
          <w:szCs w:val="26"/>
        </w:rPr>
        <w:t>.</w:t>
      </w:r>
    </w:p>
    <w:p w:rsidRPr="00097721" w:rsidR="00E25F58" w:rsidP="00E56C65" w:rsidRDefault="00023206" w14:paraId="20ACB602" w14:textId="51146EA1">
      <w:pPr>
        <w:pStyle w:val="Standard"/>
      </w:pPr>
      <w:r w:rsidRPr="00097721">
        <w:rPr>
          <w:szCs w:val="26"/>
        </w:rPr>
        <w:t xml:space="preserve">The Commission maintains its rationale </w:t>
      </w:r>
      <w:r w:rsidRPr="00097721" w:rsidR="00EE01D9">
        <w:rPr>
          <w:szCs w:val="26"/>
        </w:rPr>
        <w:t>for adopting</w:t>
      </w:r>
      <w:r w:rsidRPr="00097721" w:rsidR="00E56C65">
        <w:rPr>
          <w:szCs w:val="26"/>
        </w:rPr>
        <w:t xml:space="preserve"> a 17 percent SOD PRM </w:t>
      </w:r>
      <w:r w:rsidRPr="00097721" w:rsidR="00EE01D9">
        <w:rPr>
          <w:szCs w:val="26"/>
        </w:rPr>
        <w:t>for 2025 as</w:t>
      </w:r>
      <w:r w:rsidRPr="00097721" w:rsidR="00E56C65">
        <w:rPr>
          <w:szCs w:val="26"/>
        </w:rPr>
        <w:t xml:space="preserve"> </w:t>
      </w:r>
      <w:r w:rsidRPr="00097721" w:rsidR="00E56C65">
        <w:t xml:space="preserve">a more prudent approach </w:t>
      </w:r>
      <w:r w:rsidRPr="00097721" w:rsidR="00743274">
        <w:t>to</w:t>
      </w:r>
      <w:r w:rsidRPr="00097721" w:rsidR="00E56C65">
        <w:t xml:space="preserve"> help offset uncertainty with the </w:t>
      </w:r>
      <w:r w:rsidRPr="00097721" w:rsidR="00E56C65">
        <w:lastRenderedPageBreak/>
        <w:t xml:space="preserve">decreased load forecast.  As stated in the decision, the Commission will consider a revised LOLE study and PRM for the 2026 and 2027 compliance years in Track 2 of this proceeding and look forward to parties’ participation in that phase.  </w:t>
      </w:r>
      <w:r w:rsidRPr="00097721" w:rsidR="00E25F58">
        <w:rPr>
          <w:szCs w:val="26"/>
        </w:rPr>
        <w:t xml:space="preserve">The Commission clarifies that the decision does not </w:t>
      </w:r>
      <w:r w:rsidRPr="00097721" w:rsidR="00E56C65">
        <w:rPr>
          <w:szCs w:val="26"/>
        </w:rPr>
        <w:t>modify</w:t>
      </w:r>
      <w:r w:rsidRPr="00097721" w:rsidR="00E25F58">
        <w:rPr>
          <w:szCs w:val="26"/>
        </w:rPr>
        <w:t xml:space="preserve"> the effective PRM adopted in D.23-0</w:t>
      </w:r>
      <w:r w:rsidRPr="00097721" w:rsidR="00743274">
        <w:rPr>
          <w:szCs w:val="26"/>
        </w:rPr>
        <w:t>6</w:t>
      </w:r>
      <w:r w:rsidRPr="00097721" w:rsidR="00E25F58">
        <w:rPr>
          <w:szCs w:val="26"/>
        </w:rPr>
        <w:t>-029</w:t>
      </w:r>
      <w:r w:rsidRPr="00097721" w:rsidR="00E56C65">
        <w:rPr>
          <w:szCs w:val="26"/>
        </w:rPr>
        <w:t>, which will remain in place</w:t>
      </w:r>
      <w:r w:rsidRPr="00097721" w:rsidR="00E25F58">
        <w:rPr>
          <w:szCs w:val="26"/>
        </w:rPr>
        <w:t xml:space="preserve"> for 2025.</w:t>
      </w:r>
      <w:r w:rsidRPr="00097721" w:rsidR="00D9501D">
        <w:rPr>
          <w:szCs w:val="26"/>
        </w:rPr>
        <w:t xml:space="preserve"> </w:t>
      </w:r>
    </w:p>
    <w:p w:rsidRPr="00097721" w:rsidR="00993714" w:rsidP="00905BB5" w:rsidRDefault="00993714" w14:paraId="4F7D67D8" w14:textId="350F4EA1">
      <w:pPr>
        <w:pStyle w:val="Standard"/>
        <w:rPr>
          <w:szCs w:val="26"/>
        </w:rPr>
      </w:pPr>
      <w:r w:rsidRPr="00097721">
        <w:rPr>
          <w:szCs w:val="26"/>
        </w:rPr>
        <w:t xml:space="preserve">Several parties, including </w:t>
      </w:r>
      <w:r w:rsidRPr="00097721" w:rsidR="00746265">
        <w:rPr>
          <w:szCs w:val="26"/>
        </w:rPr>
        <w:t>AReM/UC</w:t>
      </w:r>
      <w:r w:rsidRPr="00097721" w:rsidR="009A666A">
        <w:rPr>
          <w:szCs w:val="26"/>
        </w:rPr>
        <w:t>, CalCCA,</w:t>
      </w:r>
      <w:r w:rsidRPr="00097721">
        <w:rPr>
          <w:szCs w:val="26"/>
        </w:rPr>
        <w:t xml:space="preserve"> </w:t>
      </w:r>
      <w:r w:rsidRPr="00097721" w:rsidR="005C5639">
        <w:rPr>
          <w:szCs w:val="26"/>
        </w:rPr>
        <w:t xml:space="preserve">Microsoft, </w:t>
      </w:r>
      <w:r w:rsidRPr="00097721" w:rsidR="00EA3C8A">
        <w:rPr>
          <w:szCs w:val="26"/>
        </w:rPr>
        <w:t>PCE</w:t>
      </w:r>
      <w:r w:rsidRPr="00097721" w:rsidR="00D9501D">
        <w:rPr>
          <w:szCs w:val="26"/>
        </w:rPr>
        <w:t>, Shell</w:t>
      </w:r>
      <w:r w:rsidRPr="00097721" w:rsidR="00743274">
        <w:rPr>
          <w:szCs w:val="26"/>
        </w:rPr>
        <w:t xml:space="preserve"> Energy</w:t>
      </w:r>
      <w:r w:rsidRPr="00097721" w:rsidR="000138FD">
        <w:rPr>
          <w:szCs w:val="26"/>
        </w:rPr>
        <w:t>,</w:t>
      </w:r>
      <w:r w:rsidRPr="00097721" w:rsidR="00D9501D">
        <w:rPr>
          <w:szCs w:val="26"/>
        </w:rPr>
        <w:t xml:space="preserve"> and 3CE</w:t>
      </w:r>
      <w:r w:rsidRPr="00097721" w:rsidR="00EA3C8A">
        <w:rPr>
          <w:szCs w:val="26"/>
        </w:rPr>
        <w:t xml:space="preserve">, </w:t>
      </w:r>
      <w:r w:rsidRPr="00097721">
        <w:rPr>
          <w:szCs w:val="26"/>
        </w:rPr>
        <w:t xml:space="preserve">comment that the decision </w:t>
      </w:r>
      <w:r w:rsidRPr="00097721" w:rsidR="00CE6E2E">
        <w:rPr>
          <w:szCs w:val="26"/>
        </w:rPr>
        <w:t>should address and adopt</w:t>
      </w:r>
      <w:r w:rsidRPr="00097721">
        <w:rPr>
          <w:szCs w:val="26"/>
        </w:rPr>
        <w:t xml:space="preserve"> CalCCA’s hourly load obligation trading proposal</w:t>
      </w:r>
      <w:r w:rsidRPr="00097721" w:rsidR="00CE6E2E">
        <w:rPr>
          <w:szCs w:val="26"/>
        </w:rPr>
        <w:t xml:space="preserve"> prior to SOD implementation.</w:t>
      </w:r>
      <w:r w:rsidRPr="00097721" w:rsidR="00746265">
        <w:rPr>
          <w:rStyle w:val="FootnoteReference"/>
          <w:szCs w:val="26"/>
        </w:rPr>
        <w:footnoteReference w:id="138"/>
      </w:r>
      <w:r w:rsidRPr="00097721" w:rsidR="00CE6E2E">
        <w:rPr>
          <w:szCs w:val="26"/>
        </w:rPr>
        <w:t xml:space="preserve">  </w:t>
      </w:r>
      <w:r w:rsidRPr="00097721" w:rsidR="00300AA1">
        <w:rPr>
          <w:szCs w:val="26"/>
        </w:rPr>
        <w:t xml:space="preserve">These </w:t>
      </w:r>
      <w:r w:rsidRPr="00097721" w:rsidR="00CE6E2E">
        <w:rPr>
          <w:szCs w:val="26"/>
        </w:rPr>
        <w:t>parties comment that Energy Division’s Report on SOD Implementation and Year</w:t>
      </w:r>
      <w:r w:rsidRPr="00097721" w:rsidR="00CD5167">
        <w:rPr>
          <w:szCs w:val="26"/>
        </w:rPr>
        <w:t xml:space="preserve"> </w:t>
      </w:r>
      <w:r w:rsidRPr="00097721" w:rsidR="00CE6E2E">
        <w:rPr>
          <w:szCs w:val="26"/>
        </w:rPr>
        <w:t>Ahea</w:t>
      </w:r>
      <w:r w:rsidRPr="00097721" w:rsidR="00113511">
        <w:rPr>
          <w:szCs w:val="26"/>
        </w:rPr>
        <w:t>d</w:t>
      </w:r>
      <w:r w:rsidRPr="00097721" w:rsidR="00CE6E2E">
        <w:rPr>
          <w:szCs w:val="26"/>
        </w:rPr>
        <w:t xml:space="preserve"> Showings, issued February </w:t>
      </w:r>
      <w:r w:rsidRPr="00097721" w:rsidR="00113511">
        <w:rPr>
          <w:szCs w:val="26"/>
        </w:rPr>
        <w:t>5</w:t>
      </w:r>
      <w:r w:rsidRPr="00097721" w:rsidR="00CE6E2E">
        <w:rPr>
          <w:szCs w:val="26"/>
        </w:rPr>
        <w:t>, 2024, indicates that more LSEs were non-compliant under the SOD framework tha</w:t>
      </w:r>
      <w:r w:rsidRPr="00097721" w:rsidR="00743274">
        <w:rPr>
          <w:szCs w:val="26"/>
        </w:rPr>
        <w:t>n</w:t>
      </w:r>
      <w:r w:rsidRPr="00097721" w:rsidR="00CE6E2E">
        <w:rPr>
          <w:szCs w:val="26"/>
        </w:rPr>
        <w:t xml:space="preserve"> the current </w:t>
      </w:r>
      <w:r w:rsidRPr="00097721" w:rsidR="00743274">
        <w:rPr>
          <w:szCs w:val="26"/>
        </w:rPr>
        <w:t xml:space="preserve">RA </w:t>
      </w:r>
      <w:r w:rsidRPr="00097721" w:rsidR="00CE6E2E">
        <w:rPr>
          <w:szCs w:val="26"/>
        </w:rPr>
        <w:t>framework</w:t>
      </w:r>
      <w:r w:rsidRPr="00097721" w:rsidR="00113511">
        <w:rPr>
          <w:szCs w:val="26"/>
        </w:rPr>
        <w:t xml:space="preserve"> and that hourly trading would have increased compliance in the test year</w:t>
      </w:r>
      <w:r w:rsidRPr="00097721" w:rsidR="00CE6E2E">
        <w:rPr>
          <w:szCs w:val="26"/>
        </w:rPr>
        <w:t>.</w:t>
      </w:r>
    </w:p>
    <w:p w:rsidRPr="00097721" w:rsidR="007102B2" w:rsidP="00905BB5" w:rsidRDefault="007102B2" w14:paraId="4BD65988" w14:textId="66816D6D">
      <w:pPr>
        <w:pStyle w:val="Standard"/>
        <w:rPr>
          <w:szCs w:val="26"/>
        </w:rPr>
      </w:pPr>
      <w:r w:rsidRPr="00097721">
        <w:rPr>
          <w:szCs w:val="26"/>
        </w:rPr>
        <w:t>MRP</w:t>
      </w:r>
      <w:r w:rsidRPr="00097721" w:rsidR="0047380A">
        <w:rPr>
          <w:szCs w:val="26"/>
        </w:rPr>
        <w:t xml:space="preserve">, </w:t>
      </w:r>
      <w:r w:rsidRPr="00097721" w:rsidR="00956EC6">
        <w:rPr>
          <w:szCs w:val="26"/>
        </w:rPr>
        <w:t>PG&amp;E</w:t>
      </w:r>
      <w:r w:rsidRPr="00097721" w:rsidR="0047380A">
        <w:rPr>
          <w:szCs w:val="26"/>
        </w:rPr>
        <w:t>, and SDG&amp;E</w:t>
      </w:r>
      <w:r w:rsidRPr="00097721">
        <w:rPr>
          <w:szCs w:val="26"/>
        </w:rPr>
        <w:t xml:space="preserve"> comment that hourly transactability should not be adopted at this time</w:t>
      </w:r>
      <w:r w:rsidRPr="00097721" w:rsidR="007A286D">
        <w:rPr>
          <w:szCs w:val="26"/>
        </w:rPr>
        <w:t>, pointing</w:t>
      </w:r>
      <w:r w:rsidRPr="00097721">
        <w:rPr>
          <w:szCs w:val="26"/>
        </w:rPr>
        <w:t xml:space="preserve"> to past Commission decisions </w:t>
      </w:r>
      <w:r w:rsidRPr="00097721" w:rsidR="007A286D">
        <w:rPr>
          <w:szCs w:val="26"/>
        </w:rPr>
        <w:t xml:space="preserve">in which the Commission </w:t>
      </w:r>
      <w:r w:rsidRPr="00097721">
        <w:rPr>
          <w:szCs w:val="26"/>
        </w:rPr>
        <w:t>declin</w:t>
      </w:r>
      <w:r w:rsidRPr="00097721" w:rsidR="007A286D">
        <w:rPr>
          <w:szCs w:val="26"/>
        </w:rPr>
        <w:t>ed</w:t>
      </w:r>
      <w:r w:rsidRPr="00097721">
        <w:rPr>
          <w:szCs w:val="26"/>
        </w:rPr>
        <w:t xml:space="preserve"> to consider hourly transactability until after</w:t>
      </w:r>
      <w:r w:rsidRPr="00097721" w:rsidR="00CD5167">
        <w:rPr>
          <w:szCs w:val="26"/>
        </w:rPr>
        <w:t xml:space="preserve"> </w:t>
      </w:r>
      <w:r w:rsidRPr="00097721">
        <w:rPr>
          <w:szCs w:val="26"/>
        </w:rPr>
        <w:t>implementation</w:t>
      </w:r>
      <w:r w:rsidRPr="00097721" w:rsidR="00CD5167">
        <w:rPr>
          <w:szCs w:val="26"/>
        </w:rPr>
        <w:t xml:space="preserve"> of the SOD framework</w:t>
      </w:r>
      <w:r w:rsidRPr="00097721">
        <w:rPr>
          <w:szCs w:val="26"/>
        </w:rPr>
        <w:t>.</w:t>
      </w:r>
      <w:r w:rsidRPr="00097721">
        <w:rPr>
          <w:rStyle w:val="FootnoteReference"/>
          <w:szCs w:val="26"/>
        </w:rPr>
        <w:footnoteReference w:id="139"/>
      </w:r>
      <w:r w:rsidRPr="00097721">
        <w:rPr>
          <w:szCs w:val="26"/>
        </w:rPr>
        <w:t xml:space="preserve">  MRP states that while test year deficiencies could indicate a need to revise SOD tools</w:t>
      </w:r>
      <w:r w:rsidRPr="00097721" w:rsidR="007A286D">
        <w:rPr>
          <w:szCs w:val="26"/>
        </w:rPr>
        <w:t xml:space="preserve"> or </w:t>
      </w:r>
      <w:r w:rsidRPr="00097721">
        <w:rPr>
          <w:szCs w:val="26"/>
        </w:rPr>
        <w:t xml:space="preserve">rules, the deficiencies could also indicate </w:t>
      </w:r>
      <w:r w:rsidRPr="00097721" w:rsidR="007A286D">
        <w:rPr>
          <w:szCs w:val="26"/>
        </w:rPr>
        <w:t xml:space="preserve">that </w:t>
      </w:r>
      <w:r w:rsidRPr="00097721">
        <w:rPr>
          <w:szCs w:val="26"/>
        </w:rPr>
        <w:t xml:space="preserve">LSEs have not sufficiently revised procurement practices for SOD implementation.  MRP </w:t>
      </w:r>
      <w:r w:rsidRPr="00097721" w:rsidR="00E601C0">
        <w:rPr>
          <w:szCs w:val="26"/>
        </w:rPr>
        <w:t xml:space="preserve">and PG&amp;E </w:t>
      </w:r>
      <w:r w:rsidRPr="00097721">
        <w:rPr>
          <w:szCs w:val="26"/>
        </w:rPr>
        <w:t xml:space="preserve">state that the Commission should wait until clear evidence </w:t>
      </w:r>
      <w:r w:rsidRPr="00097721" w:rsidR="007A286D">
        <w:rPr>
          <w:szCs w:val="26"/>
        </w:rPr>
        <w:t xml:space="preserve">emerges </w:t>
      </w:r>
      <w:r w:rsidRPr="00097721">
        <w:rPr>
          <w:szCs w:val="26"/>
        </w:rPr>
        <w:t>that hourly transactability is needed.</w:t>
      </w:r>
      <w:r w:rsidRPr="00097721" w:rsidR="00E601C0">
        <w:rPr>
          <w:szCs w:val="26"/>
        </w:rPr>
        <w:t xml:space="preserve">  </w:t>
      </w:r>
    </w:p>
    <w:p w:rsidRPr="00097721" w:rsidR="00FE51FC" w:rsidP="00D425EB" w:rsidRDefault="00D9501D" w14:paraId="7DFC872F" w14:textId="3ABD1DB8">
      <w:pPr>
        <w:pStyle w:val="Standard"/>
        <w:rPr>
          <w:szCs w:val="26"/>
        </w:rPr>
      </w:pPr>
      <w:r w:rsidRPr="00097721">
        <w:rPr>
          <w:szCs w:val="26"/>
        </w:rPr>
        <w:lastRenderedPageBreak/>
        <w:t xml:space="preserve">The Commission </w:t>
      </w:r>
      <w:r w:rsidRPr="00097721" w:rsidR="007A286D">
        <w:rPr>
          <w:szCs w:val="26"/>
        </w:rPr>
        <w:t>notes that proponents of the hourly load transactability proposal</w:t>
      </w:r>
      <w:r w:rsidRPr="00097721">
        <w:rPr>
          <w:szCs w:val="26"/>
        </w:rPr>
        <w:t xml:space="preserve"> </w:t>
      </w:r>
      <w:r w:rsidRPr="00097721" w:rsidR="00113511">
        <w:rPr>
          <w:szCs w:val="26"/>
        </w:rPr>
        <w:t>fail to mention</w:t>
      </w:r>
      <w:r w:rsidRPr="00097721" w:rsidR="00A848CB">
        <w:rPr>
          <w:szCs w:val="26"/>
        </w:rPr>
        <w:t xml:space="preserve"> the Commission’s recent </w:t>
      </w:r>
      <w:r w:rsidRPr="00097721" w:rsidR="007A286D">
        <w:rPr>
          <w:szCs w:val="26"/>
        </w:rPr>
        <w:t>decisions</w:t>
      </w:r>
      <w:r w:rsidRPr="00097721" w:rsidR="00FE51FC">
        <w:rPr>
          <w:szCs w:val="26"/>
        </w:rPr>
        <w:t xml:space="preserve"> </w:t>
      </w:r>
      <w:r w:rsidRPr="00097721">
        <w:rPr>
          <w:szCs w:val="26"/>
        </w:rPr>
        <w:t>addressing</w:t>
      </w:r>
      <w:r w:rsidRPr="00097721" w:rsidR="00B62751">
        <w:rPr>
          <w:szCs w:val="26"/>
        </w:rPr>
        <w:t xml:space="preserve"> </w:t>
      </w:r>
      <w:r w:rsidRPr="00097721" w:rsidR="007A286D">
        <w:rPr>
          <w:szCs w:val="26"/>
        </w:rPr>
        <w:t xml:space="preserve">such </w:t>
      </w:r>
      <w:r w:rsidRPr="00097721">
        <w:rPr>
          <w:szCs w:val="26"/>
        </w:rPr>
        <w:t>proposals over the past two years</w:t>
      </w:r>
      <w:r w:rsidRPr="00097721" w:rsidR="00A848CB">
        <w:rPr>
          <w:szCs w:val="26"/>
        </w:rPr>
        <w:t xml:space="preserve">.  </w:t>
      </w:r>
      <w:r w:rsidRPr="00097721" w:rsidR="00F90E4B">
        <w:rPr>
          <w:szCs w:val="26"/>
        </w:rPr>
        <w:t xml:space="preserve">In D.22-06-050, the Commission </w:t>
      </w:r>
      <w:r w:rsidRPr="00097721" w:rsidR="00A848CB">
        <w:rPr>
          <w:szCs w:val="26"/>
        </w:rPr>
        <w:t xml:space="preserve">considered load obligation trading </w:t>
      </w:r>
      <w:r w:rsidRPr="00097721">
        <w:rPr>
          <w:szCs w:val="26"/>
        </w:rPr>
        <w:t xml:space="preserve">proposals </w:t>
      </w:r>
      <w:r w:rsidRPr="00097721" w:rsidR="00A848CB">
        <w:rPr>
          <w:szCs w:val="26"/>
        </w:rPr>
        <w:t xml:space="preserve">and outlined numerous issues that would need to be addressed </w:t>
      </w:r>
      <w:r w:rsidRPr="00097721" w:rsidR="00743274">
        <w:rPr>
          <w:szCs w:val="26"/>
        </w:rPr>
        <w:t>before</w:t>
      </w:r>
      <w:r w:rsidRPr="00097721" w:rsidR="00A848CB">
        <w:rPr>
          <w:szCs w:val="26"/>
        </w:rPr>
        <w:t xml:space="preserve"> consider</w:t>
      </w:r>
      <w:r w:rsidRPr="00097721" w:rsidR="00743274">
        <w:rPr>
          <w:szCs w:val="26"/>
        </w:rPr>
        <w:t>ing</w:t>
      </w:r>
      <w:r w:rsidRPr="00097721" w:rsidR="00A848CB">
        <w:rPr>
          <w:szCs w:val="26"/>
        </w:rPr>
        <w:t xml:space="preserve"> such</w:t>
      </w:r>
      <w:r w:rsidRPr="00097721">
        <w:rPr>
          <w:szCs w:val="26"/>
        </w:rPr>
        <w:t xml:space="preserve"> </w:t>
      </w:r>
      <w:r w:rsidRPr="00097721" w:rsidR="00A848CB">
        <w:rPr>
          <w:szCs w:val="26"/>
        </w:rPr>
        <w:t>proposal</w:t>
      </w:r>
      <w:r w:rsidRPr="00097721">
        <w:rPr>
          <w:szCs w:val="26"/>
        </w:rPr>
        <w:t>s</w:t>
      </w:r>
      <w:r w:rsidRPr="00097721" w:rsidR="00A848CB">
        <w:rPr>
          <w:szCs w:val="26"/>
        </w:rPr>
        <w:t>, including “impacts on outage substitution, cost allocation, backstop procurement, and implementation….”</w:t>
      </w:r>
      <w:r w:rsidRPr="00097721" w:rsidR="00A848CB">
        <w:rPr>
          <w:rStyle w:val="FootnoteReference"/>
          <w:szCs w:val="26"/>
        </w:rPr>
        <w:footnoteReference w:id="140"/>
      </w:r>
      <w:r w:rsidRPr="00097721" w:rsidR="00A848CB">
        <w:rPr>
          <w:szCs w:val="26"/>
        </w:rPr>
        <w:t xml:space="preserve">  </w:t>
      </w:r>
      <w:r w:rsidRPr="00097721">
        <w:rPr>
          <w:szCs w:val="26"/>
        </w:rPr>
        <w:t>We</w:t>
      </w:r>
      <w:r w:rsidRPr="00097721" w:rsidR="00A848CB">
        <w:rPr>
          <w:szCs w:val="26"/>
        </w:rPr>
        <w:t xml:space="preserve"> stated</w:t>
      </w:r>
      <w:r w:rsidRPr="00097721" w:rsidR="00F90E4B">
        <w:rPr>
          <w:szCs w:val="26"/>
        </w:rPr>
        <w:t xml:space="preserve"> that “we decline to consider hourly resource or load obligation trading for inclusion in the 24-hour framework at this time.  However, if transactability and inefficiency concerns arise once the new 24-hour framework is implemented, the Commission may consider proposals to include hourly obligation trading.”</w:t>
      </w:r>
      <w:r w:rsidRPr="00097721" w:rsidR="00F90E4B">
        <w:rPr>
          <w:rStyle w:val="FootnoteReference"/>
          <w:szCs w:val="26"/>
        </w:rPr>
        <w:footnoteReference w:id="141"/>
      </w:r>
      <w:r w:rsidRPr="00097721" w:rsidR="00D425EB">
        <w:rPr>
          <w:szCs w:val="26"/>
        </w:rPr>
        <w:t xml:space="preserve">  </w:t>
      </w:r>
    </w:p>
    <w:p w:rsidRPr="00097721" w:rsidR="00F90E4B" w:rsidP="00D425EB" w:rsidRDefault="00113511" w14:paraId="25582041" w14:textId="1D2FCC1F">
      <w:pPr>
        <w:pStyle w:val="Standard"/>
        <w:rPr>
          <w:szCs w:val="26"/>
        </w:rPr>
      </w:pPr>
      <w:r w:rsidRPr="00097721">
        <w:rPr>
          <w:szCs w:val="26"/>
        </w:rPr>
        <w:t>Then</w:t>
      </w:r>
      <w:r w:rsidRPr="00097721" w:rsidR="00D9501D">
        <w:rPr>
          <w:szCs w:val="26"/>
        </w:rPr>
        <w:t>,</w:t>
      </w:r>
      <w:r w:rsidRPr="00097721" w:rsidR="00FE51FC">
        <w:rPr>
          <w:szCs w:val="26"/>
        </w:rPr>
        <w:t xml:space="preserve"> in</w:t>
      </w:r>
      <w:r w:rsidRPr="00097721" w:rsidR="00F90E4B">
        <w:rPr>
          <w:szCs w:val="26"/>
        </w:rPr>
        <w:t xml:space="preserve"> D.23-0</w:t>
      </w:r>
      <w:r w:rsidRPr="00097721" w:rsidR="007A286D">
        <w:rPr>
          <w:szCs w:val="26"/>
        </w:rPr>
        <w:t>4</w:t>
      </w:r>
      <w:r w:rsidRPr="00097721" w:rsidR="00F90E4B">
        <w:rPr>
          <w:szCs w:val="26"/>
        </w:rPr>
        <w:t>-0</w:t>
      </w:r>
      <w:r w:rsidRPr="00097721" w:rsidR="007A286D">
        <w:rPr>
          <w:szCs w:val="26"/>
        </w:rPr>
        <w:t>10</w:t>
      </w:r>
      <w:r w:rsidRPr="00097721" w:rsidR="00F90E4B">
        <w:rPr>
          <w:szCs w:val="26"/>
        </w:rPr>
        <w:t>,</w:t>
      </w:r>
      <w:r w:rsidRPr="00097721" w:rsidR="00D425EB">
        <w:rPr>
          <w:szCs w:val="26"/>
        </w:rPr>
        <w:t xml:space="preserve"> the Commission </w:t>
      </w:r>
      <w:r w:rsidRPr="00097721" w:rsidR="007A286D">
        <w:rPr>
          <w:szCs w:val="26"/>
        </w:rPr>
        <w:t xml:space="preserve">again </w:t>
      </w:r>
      <w:r w:rsidRPr="00097721" w:rsidR="00D425EB">
        <w:rPr>
          <w:szCs w:val="26"/>
        </w:rPr>
        <w:t xml:space="preserve">considered proposals </w:t>
      </w:r>
      <w:r w:rsidRPr="00097721" w:rsidR="00FE51FC">
        <w:rPr>
          <w:szCs w:val="26"/>
        </w:rPr>
        <w:t>to assess</w:t>
      </w:r>
      <w:r w:rsidRPr="00097721" w:rsidR="00D425EB">
        <w:rPr>
          <w:szCs w:val="26"/>
        </w:rPr>
        <w:t xml:space="preserve"> hourly transactability </w:t>
      </w:r>
      <w:r w:rsidRPr="00097721" w:rsidR="00FE51FC">
        <w:rPr>
          <w:szCs w:val="26"/>
        </w:rPr>
        <w:t xml:space="preserve">during the test year and affirmed our rationale </w:t>
      </w:r>
      <w:r w:rsidRPr="00097721" w:rsidR="007A286D">
        <w:rPr>
          <w:szCs w:val="26"/>
        </w:rPr>
        <w:t>from</w:t>
      </w:r>
      <w:r w:rsidRPr="00097721" w:rsidR="00FE51FC">
        <w:rPr>
          <w:szCs w:val="26"/>
        </w:rPr>
        <w:t xml:space="preserve"> D.22-06-050, declining to consider a test year </w:t>
      </w:r>
      <w:r w:rsidRPr="00097721" w:rsidR="006C1A0B">
        <w:rPr>
          <w:szCs w:val="26"/>
        </w:rPr>
        <w:t>evaluation</w:t>
      </w:r>
      <w:r w:rsidRPr="00097721" w:rsidR="00FE51FC">
        <w:rPr>
          <w:szCs w:val="26"/>
        </w:rPr>
        <w:t xml:space="preserve"> of inter-LSE hourly transactability.  In D.23-</w:t>
      </w:r>
      <w:r w:rsidRPr="00097721" w:rsidR="007A286D">
        <w:rPr>
          <w:szCs w:val="26"/>
        </w:rPr>
        <w:t>04-010</w:t>
      </w:r>
      <w:r w:rsidRPr="00097721" w:rsidR="00FE51FC">
        <w:rPr>
          <w:szCs w:val="26"/>
        </w:rPr>
        <w:t xml:space="preserve">, we </w:t>
      </w:r>
      <w:r w:rsidRPr="00097721" w:rsidR="00743274">
        <w:rPr>
          <w:szCs w:val="26"/>
        </w:rPr>
        <w:t>reiterated</w:t>
      </w:r>
      <w:r w:rsidRPr="00097721" w:rsidR="00FE51FC">
        <w:rPr>
          <w:szCs w:val="26"/>
        </w:rPr>
        <w:t>, that “should these concerns arise once the SOD framework is implemented – after the test year- the Commission may consider such proposals.”</w:t>
      </w:r>
      <w:r w:rsidRPr="00097721" w:rsidR="00FE51FC">
        <w:rPr>
          <w:rStyle w:val="FootnoteReference"/>
          <w:szCs w:val="26"/>
        </w:rPr>
        <w:footnoteReference w:id="142"/>
      </w:r>
      <w:r w:rsidRPr="00097721" w:rsidR="00FE51FC">
        <w:rPr>
          <w:szCs w:val="26"/>
        </w:rPr>
        <w:t xml:space="preserve">  </w:t>
      </w:r>
    </w:p>
    <w:p w:rsidRPr="00097721" w:rsidR="00DF5D78" w:rsidP="000C34EB" w:rsidRDefault="00CD5167" w14:paraId="21E9DA96" w14:textId="0775832C">
      <w:pPr>
        <w:pStyle w:val="Standard"/>
        <w:rPr>
          <w:szCs w:val="26"/>
        </w:rPr>
      </w:pPr>
      <w:r w:rsidRPr="00097721">
        <w:rPr>
          <w:szCs w:val="26"/>
        </w:rPr>
        <w:t>As we stated in</w:t>
      </w:r>
      <w:r w:rsidRPr="00097721" w:rsidR="00FE51FC">
        <w:rPr>
          <w:szCs w:val="26"/>
        </w:rPr>
        <w:t xml:space="preserve"> </w:t>
      </w:r>
      <w:r w:rsidRPr="00097721" w:rsidR="007A286D">
        <w:rPr>
          <w:szCs w:val="26"/>
        </w:rPr>
        <w:t xml:space="preserve">both </w:t>
      </w:r>
      <w:r w:rsidRPr="00097721" w:rsidR="00FE51FC">
        <w:rPr>
          <w:szCs w:val="26"/>
        </w:rPr>
        <w:t>D.22-06-050 and D.23-0</w:t>
      </w:r>
      <w:r w:rsidRPr="00097721" w:rsidR="00743274">
        <w:rPr>
          <w:szCs w:val="26"/>
        </w:rPr>
        <w:t>4-010</w:t>
      </w:r>
      <w:r w:rsidRPr="00097721">
        <w:rPr>
          <w:szCs w:val="26"/>
        </w:rPr>
        <w:t xml:space="preserve">, </w:t>
      </w:r>
      <w:r w:rsidRPr="00097721" w:rsidR="006C1A0B">
        <w:rPr>
          <w:szCs w:val="26"/>
        </w:rPr>
        <w:t xml:space="preserve">once the SOD program is implemented, the Commission will consider </w:t>
      </w:r>
      <w:r w:rsidRPr="00097721" w:rsidR="00A07032">
        <w:rPr>
          <w:szCs w:val="26"/>
        </w:rPr>
        <w:t>hourly transactability</w:t>
      </w:r>
      <w:r w:rsidRPr="00097721" w:rsidR="006C1A0B">
        <w:rPr>
          <w:szCs w:val="26"/>
        </w:rPr>
        <w:t xml:space="preserve"> proposals only </w:t>
      </w:r>
      <w:r w:rsidRPr="00097721" w:rsidR="00113511">
        <w:rPr>
          <w:szCs w:val="26"/>
        </w:rPr>
        <w:t>“</w:t>
      </w:r>
      <w:r w:rsidRPr="00097721" w:rsidR="006C1A0B">
        <w:rPr>
          <w:szCs w:val="26"/>
        </w:rPr>
        <w:t>if</w:t>
      </w:r>
      <w:r w:rsidRPr="00097721" w:rsidR="00113511">
        <w:rPr>
          <w:szCs w:val="26"/>
        </w:rPr>
        <w:t xml:space="preserve"> transactability and inefficiency concerns arise</w:t>
      </w:r>
      <w:r w:rsidRPr="00097721" w:rsidR="006C1A0B">
        <w:rPr>
          <w:szCs w:val="26"/>
        </w:rPr>
        <w:t>.</w:t>
      </w:r>
      <w:r w:rsidRPr="00097721" w:rsidR="00113511">
        <w:rPr>
          <w:szCs w:val="26"/>
        </w:rPr>
        <w:t>”</w:t>
      </w:r>
      <w:r w:rsidRPr="00097721" w:rsidR="00FE51FC">
        <w:rPr>
          <w:szCs w:val="26"/>
        </w:rPr>
        <w:t xml:space="preserve">  </w:t>
      </w:r>
      <w:r w:rsidRPr="00097721" w:rsidR="00113511">
        <w:rPr>
          <w:szCs w:val="26"/>
        </w:rPr>
        <w:t xml:space="preserve">While parties point to the results of LSEs’ test year filings as evidence </w:t>
      </w:r>
      <w:r w:rsidRPr="00097721" w:rsidR="00A07032">
        <w:rPr>
          <w:szCs w:val="26"/>
        </w:rPr>
        <w:t>for</w:t>
      </w:r>
      <w:r w:rsidRPr="00097721" w:rsidR="00113511">
        <w:rPr>
          <w:szCs w:val="26"/>
        </w:rPr>
        <w:t xml:space="preserve"> the need for hourly </w:t>
      </w:r>
      <w:r w:rsidRPr="00097721" w:rsidR="00A07032">
        <w:rPr>
          <w:szCs w:val="26"/>
        </w:rPr>
        <w:t>transactability</w:t>
      </w:r>
      <w:r w:rsidRPr="00097721" w:rsidR="00113511">
        <w:rPr>
          <w:szCs w:val="26"/>
        </w:rPr>
        <w:t xml:space="preserve">, we </w:t>
      </w:r>
      <w:r w:rsidRPr="00097721" w:rsidR="00743274">
        <w:rPr>
          <w:szCs w:val="26"/>
        </w:rPr>
        <w:t>emphasize</w:t>
      </w:r>
      <w:r w:rsidRPr="00097721" w:rsidR="00113511">
        <w:rPr>
          <w:szCs w:val="26"/>
        </w:rPr>
        <w:t xml:space="preserve"> our statement </w:t>
      </w:r>
      <w:r w:rsidRPr="00097721" w:rsidR="00A07032">
        <w:rPr>
          <w:szCs w:val="26"/>
        </w:rPr>
        <w:t>from</w:t>
      </w:r>
      <w:r w:rsidRPr="00097721" w:rsidR="00113511">
        <w:rPr>
          <w:szCs w:val="26"/>
        </w:rPr>
        <w:t xml:space="preserve"> D.23-0</w:t>
      </w:r>
      <w:r w:rsidRPr="00097721" w:rsidR="00A07032">
        <w:rPr>
          <w:szCs w:val="26"/>
        </w:rPr>
        <w:t>4-010</w:t>
      </w:r>
      <w:r w:rsidRPr="00097721" w:rsidR="00113511">
        <w:rPr>
          <w:szCs w:val="26"/>
        </w:rPr>
        <w:t xml:space="preserve"> that “[a]s LSEs are not required to meet their hourly RA requirements and compliance penalties are </w:t>
      </w:r>
      <w:r w:rsidRPr="00097721" w:rsidR="00113511">
        <w:rPr>
          <w:szCs w:val="26"/>
        </w:rPr>
        <w:lastRenderedPageBreak/>
        <w:t>not imposed for the test year, deficiencies during the test year are plausible.”</w:t>
      </w:r>
      <w:r w:rsidRPr="00097721" w:rsidR="00113511">
        <w:rPr>
          <w:rStyle w:val="FootnoteReference"/>
          <w:szCs w:val="26"/>
        </w:rPr>
        <w:footnoteReference w:id="143"/>
      </w:r>
      <w:r w:rsidRPr="00097721" w:rsidR="00113511">
        <w:rPr>
          <w:szCs w:val="26"/>
        </w:rPr>
        <w:t xml:space="preserve">  </w:t>
      </w:r>
      <w:r w:rsidRPr="00097721" w:rsidR="002C485E">
        <w:rPr>
          <w:szCs w:val="26"/>
        </w:rPr>
        <w:t xml:space="preserve">Once the SOD framework is implemented, and LSEs’ RA </w:t>
      </w:r>
      <w:r w:rsidRPr="00097721" w:rsidR="006C1A0B">
        <w:rPr>
          <w:szCs w:val="26"/>
        </w:rPr>
        <w:t>showings</w:t>
      </w:r>
      <w:r w:rsidRPr="00097721" w:rsidR="002C485E">
        <w:rPr>
          <w:szCs w:val="26"/>
        </w:rPr>
        <w:t xml:space="preserve"> are binding, the Commission can evaluate whether transactability concerns exist.  </w:t>
      </w:r>
      <w:r w:rsidRPr="00097721" w:rsidR="00113511">
        <w:rPr>
          <w:szCs w:val="26"/>
        </w:rPr>
        <w:t xml:space="preserve">As such, we decline to consider CalCCA’s proposal </w:t>
      </w:r>
      <w:r w:rsidRPr="00097721" w:rsidR="006C1A0B">
        <w:rPr>
          <w:szCs w:val="26"/>
        </w:rPr>
        <w:t>in this decision</w:t>
      </w:r>
      <w:r w:rsidRPr="00097721" w:rsidR="00113511">
        <w:rPr>
          <w:szCs w:val="26"/>
        </w:rPr>
        <w:t>.</w:t>
      </w:r>
    </w:p>
    <w:p w:rsidRPr="00097721" w:rsidR="000C34EB" w:rsidP="000C34EB" w:rsidRDefault="009E0F07" w14:paraId="0B93FF00" w14:textId="671AC3FD">
      <w:pPr>
        <w:pStyle w:val="Standard"/>
        <w:rPr>
          <w:szCs w:val="26"/>
        </w:rPr>
      </w:pPr>
      <w:r w:rsidRPr="00097721">
        <w:rPr>
          <w:szCs w:val="26"/>
        </w:rPr>
        <w:t xml:space="preserve">AReM/UC, </w:t>
      </w:r>
      <w:r w:rsidRPr="00097721" w:rsidR="00A22DC3">
        <w:rPr>
          <w:szCs w:val="26"/>
        </w:rPr>
        <w:t>AES</w:t>
      </w:r>
      <w:r w:rsidRPr="00097721" w:rsidR="0059529A">
        <w:rPr>
          <w:szCs w:val="26"/>
        </w:rPr>
        <w:t>, CESA,</w:t>
      </w:r>
      <w:r w:rsidRPr="00097721" w:rsidR="00A22DC3">
        <w:rPr>
          <w:szCs w:val="26"/>
        </w:rPr>
        <w:t xml:space="preserve"> </w:t>
      </w:r>
      <w:r w:rsidRPr="00097721">
        <w:rPr>
          <w:szCs w:val="26"/>
        </w:rPr>
        <w:t xml:space="preserve">Microsoft, </w:t>
      </w:r>
      <w:r w:rsidRPr="00097721" w:rsidR="001E78AE">
        <w:rPr>
          <w:szCs w:val="26"/>
        </w:rPr>
        <w:t xml:space="preserve">Shell Energy, </w:t>
      </w:r>
      <w:r w:rsidRPr="00097721" w:rsidR="00705485">
        <w:rPr>
          <w:szCs w:val="26"/>
        </w:rPr>
        <w:t xml:space="preserve">SCE, </w:t>
      </w:r>
      <w:r w:rsidRPr="00097721">
        <w:rPr>
          <w:szCs w:val="26"/>
        </w:rPr>
        <w:t xml:space="preserve">and </w:t>
      </w:r>
      <w:r w:rsidRPr="00097721" w:rsidR="0010191A">
        <w:rPr>
          <w:szCs w:val="26"/>
        </w:rPr>
        <w:t xml:space="preserve">SDG&amp;E </w:t>
      </w:r>
      <w:r w:rsidRPr="00097721" w:rsidR="00705485">
        <w:rPr>
          <w:szCs w:val="26"/>
        </w:rPr>
        <w:t>support</w:t>
      </w:r>
      <w:r w:rsidRPr="00097721" w:rsidR="00A22DC3">
        <w:rPr>
          <w:szCs w:val="26"/>
        </w:rPr>
        <w:t xml:space="preserve"> the</w:t>
      </w:r>
      <w:r w:rsidRPr="00097721" w:rsidR="00E56C65">
        <w:rPr>
          <w:szCs w:val="26"/>
        </w:rPr>
        <w:t xml:space="preserve"> extended </w:t>
      </w:r>
      <w:r w:rsidRPr="00097721" w:rsidR="00A22DC3">
        <w:rPr>
          <w:szCs w:val="26"/>
        </w:rPr>
        <w:t>cure period for new resources with a COD after T-30 and before the start of the RA compliance month</w:t>
      </w:r>
      <w:r w:rsidRPr="00097721" w:rsidR="00743274">
        <w:rPr>
          <w:szCs w:val="26"/>
        </w:rPr>
        <w:t>,</w:t>
      </w:r>
      <w:r w:rsidRPr="00097721" w:rsidR="00A22DC3">
        <w:rPr>
          <w:szCs w:val="26"/>
        </w:rPr>
        <w:t xml:space="preserve"> </w:t>
      </w:r>
      <w:r w:rsidRPr="00097721" w:rsidR="00705485">
        <w:rPr>
          <w:szCs w:val="26"/>
        </w:rPr>
        <w:t>but with modifications.</w:t>
      </w:r>
      <w:r w:rsidRPr="00097721" w:rsidR="00705485">
        <w:rPr>
          <w:rStyle w:val="FootnoteReference"/>
          <w:szCs w:val="26"/>
        </w:rPr>
        <w:footnoteReference w:id="144"/>
      </w:r>
      <w:r w:rsidRPr="00097721" w:rsidR="00397A41">
        <w:rPr>
          <w:szCs w:val="26"/>
        </w:rPr>
        <w:t xml:space="preserve"> </w:t>
      </w:r>
      <w:r w:rsidRPr="00097721" w:rsidR="00705485">
        <w:rPr>
          <w:szCs w:val="26"/>
        </w:rPr>
        <w:t xml:space="preserve"> Some parties comment that the rule should </w:t>
      </w:r>
      <w:r w:rsidRPr="00097721" w:rsidR="00397A41">
        <w:rPr>
          <w:szCs w:val="26"/>
        </w:rPr>
        <w:t>not be limited</w:t>
      </w:r>
      <w:r w:rsidRPr="00097721" w:rsidR="00A22DC3">
        <w:rPr>
          <w:szCs w:val="26"/>
        </w:rPr>
        <w:t xml:space="preserve"> to specific months</w:t>
      </w:r>
      <w:r w:rsidRPr="00097721" w:rsidR="00397A41">
        <w:rPr>
          <w:szCs w:val="26"/>
        </w:rPr>
        <w:t xml:space="preserve"> but apply to all months or months with a last-minute template change.</w:t>
      </w:r>
      <w:r w:rsidRPr="00097721" w:rsidR="0059529A">
        <w:rPr>
          <w:szCs w:val="26"/>
        </w:rPr>
        <w:t xml:space="preserve">  </w:t>
      </w:r>
      <w:r w:rsidRPr="00097721" w:rsidR="00705485">
        <w:rPr>
          <w:szCs w:val="26"/>
        </w:rPr>
        <w:t>Shell Energy states that the cure period should apply to June compliance as well, as MTR procurement requires additional capacity to come online by June 1</w:t>
      </w:r>
      <w:r w:rsidRPr="00097721" w:rsidR="00743274">
        <w:rPr>
          <w:szCs w:val="26"/>
        </w:rPr>
        <w:t>.</w:t>
      </w:r>
      <w:r w:rsidRPr="00097721" w:rsidR="000B77FB">
        <w:rPr>
          <w:szCs w:val="26"/>
        </w:rPr>
        <w:t xml:space="preserve"> </w:t>
      </w:r>
      <w:r w:rsidRPr="00097721" w:rsidR="00743274">
        <w:rPr>
          <w:szCs w:val="26"/>
        </w:rPr>
        <w:t xml:space="preserve"> </w:t>
      </w:r>
      <w:r w:rsidRPr="00097721" w:rsidR="000B77FB">
        <w:rPr>
          <w:szCs w:val="26"/>
        </w:rPr>
        <w:t xml:space="preserve">Cal Advocates supports </w:t>
      </w:r>
      <w:r w:rsidRPr="00097721" w:rsidR="00743274">
        <w:rPr>
          <w:szCs w:val="26"/>
        </w:rPr>
        <w:t xml:space="preserve">Shell Energy’s </w:t>
      </w:r>
      <w:r w:rsidRPr="00097721" w:rsidR="00E87A93">
        <w:rPr>
          <w:szCs w:val="26"/>
        </w:rPr>
        <w:t>modification</w:t>
      </w:r>
      <w:r w:rsidRPr="00097721" w:rsidR="000B77FB">
        <w:rPr>
          <w:szCs w:val="26"/>
        </w:rPr>
        <w:t>.</w:t>
      </w:r>
      <w:r w:rsidRPr="00097721" w:rsidR="000C34EB">
        <w:rPr>
          <w:rStyle w:val="FootnoteReference"/>
          <w:szCs w:val="26"/>
        </w:rPr>
        <w:footnoteReference w:id="145"/>
      </w:r>
      <w:r w:rsidRPr="00097721" w:rsidR="000C34EB">
        <w:rPr>
          <w:szCs w:val="26"/>
        </w:rPr>
        <w:t xml:space="preserve">  </w:t>
      </w:r>
    </w:p>
    <w:p w:rsidRPr="00097721" w:rsidR="00E56C65" w:rsidP="004A0F31" w:rsidRDefault="00386116" w14:paraId="283246F5" w14:textId="1ADAAC93">
      <w:pPr>
        <w:pStyle w:val="Standard"/>
        <w:rPr>
          <w:szCs w:val="26"/>
        </w:rPr>
      </w:pPr>
      <w:r w:rsidRPr="00097721">
        <w:rPr>
          <w:szCs w:val="26"/>
        </w:rPr>
        <w:t>SCE seeks clarification that if a deficiency is cured by the T-1 deadline, the Commission will not levy penalties</w:t>
      </w:r>
      <w:r w:rsidRPr="00097721" w:rsidR="004A0F31">
        <w:rPr>
          <w:szCs w:val="26"/>
        </w:rPr>
        <w:t xml:space="preserve">, stating </w:t>
      </w:r>
      <w:r w:rsidRPr="00097721">
        <w:rPr>
          <w:szCs w:val="26"/>
        </w:rPr>
        <w:t xml:space="preserve">that the penalty structure </w:t>
      </w:r>
      <w:r w:rsidRPr="00097721" w:rsidR="004A0F31">
        <w:rPr>
          <w:szCs w:val="26"/>
        </w:rPr>
        <w:t>provides</w:t>
      </w:r>
      <w:r w:rsidRPr="00097721">
        <w:rPr>
          <w:szCs w:val="26"/>
        </w:rPr>
        <w:t xml:space="preserve"> that deficiencies cured within five business days may incur penalties based on the MW deficiency and the number of occurrences. </w:t>
      </w:r>
      <w:r w:rsidRPr="00097721" w:rsidR="00AD61B3">
        <w:rPr>
          <w:szCs w:val="26"/>
        </w:rPr>
        <w:t xml:space="preserve"> PG&amp;E comments that new resources would not be subject to CAISO’s tariff, including the must-offer obligation, and </w:t>
      </w:r>
      <w:r w:rsidRPr="00097721" w:rsidR="004A0F31">
        <w:rPr>
          <w:szCs w:val="26"/>
        </w:rPr>
        <w:t xml:space="preserve">recommends an after-the-fact review by Energy Division to ensure resource performance, rather than </w:t>
      </w:r>
      <w:r w:rsidRPr="00097721" w:rsidR="00AD61B3">
        <w:rPr>
          <w:szCs w:val="26"/>
        </w:rPr>
        <w:t xml:space="preserve">the contractual requirement </w:t>
      </w:r>
      <w:r w:rsidRPr="00097721" w:rsidR="004A0F31">
        <w:rPr>
          <w:szCs w:val="26"/>
        </w:rPr>
        <w:t>which may</w:t>
      </w:r>
      <w:r w:rsidRPr="00097721" w:rsidR="00AD61B3">
        <w:rPr>
          <w:szCs w:val="26"/>
        </w:rPr>
        <w:t xml:space="preserve"> not have consistent enforceability.</w:t>
      </w:r>
      <w:r w:rsidRPr="00097721" w:rsidR="00AD61B3">
        <w:rPr>
          <w:rStyle w:val="FootnoteReference"/>
          <w:szCs w:val="26"/>
        </w:rPr>
        <w:footnoteReference w:id="146"/>
      </w:r>
      <w:r w:rsidRPr="00097721" w:rsidR="00AD61B3">
        <w:rPr>
          <w:szCs w:val="26"/>
        </w:rPr>
        <w:t xml:space="preserve">  </w:t>
      </w:r>
    </w:p>
    <w:p w:rsidRPr="00097721" w:rsidR="00A16329" w:rsidP="0083406E" w:rsidRDefault="00E56C65" w14:paraId="556024A6" w14:textId="7BAD4603">
      <w:pPr>
        <w:pStyle w:val="Standard"/>
      </w:pPr>
      <w:r w:rsidRPr="00097721">
        <w:lastRenderedPageBreak/>
        <w:t xml:space="preserve">The Commission </w:t>
      </w:r>
      <w:r w:rsidRPr="00097721" w:rsidR="00F42B03">
        <w:t>agrees with Shell Energy and Cal Advocates</w:t>
      </w:r>
      <w:r w:rsidRPr="00097721">
        <w:t xml:space="preserve"> that </w:t>
      </w:r>
      <w:r w:rsidRPr="00097721" w:rsidR="00900046">
        <w:t xml:space="preserve">it is </w:t>
      </w:r>
      <w:r w:rsidRPr="00097721" w:rsidR="00E87A93">
        <w:t>reasonable</w:t>
      </w:r>
      <w:r w:rsidRPr="00097721" w:rsidR="00900046">
        <w:t xml:space="preserve"> to apply </w:t>
      </w:r>
      <w:r w:rsidRPr="00097721" w:rsidR="00F42B03">
        <w:t>the extended cure period to June,</w:t>
      </w:r>
      <w:r w:rsidRPr="00097721">
        <w:t xml:space="preserve"> </w:t>
      </w:r>
      <w:r w:rsidRPr="00097721" w:rsidR="00F42B03">
        <w:t>given that mid-term reliability procurement is required to come online by June 1</w:t>
      </w:r>
      <w:r w:rsidRPr="00097721">
        <w:t xml:space="preserve">.  </w:t>
      </w:r>
      <w:r w:rsidRPr="00097721" w:rsidR="00F42B03">
        <w:t xml:space="preserve">Accordingly, the decision is modified to include June compliance.  </w:t>
      </w:r>
      <w:r w:rsidRPr="00097721" w:rsidR="0083406E">
        <w:t xml:space="preserve">With respect to SCE’s comments, we clarify that </w:t>
      </w:r>
      <w:r w:rsidRPr="00097721" w:rsidR="00B15B6F">
        <w:t>in adopting the</w:t>
      </w:r>
      <w:r w:rsidRPr="00097721" w:rsidR="0083406E">
        <w:t xml:space="preserve"> extended cure period </w:t>
      </w:r>
      <w:r w:rsidRPr="00097721" w:rsidR="002D262A">
        <w:t>for new resources</w:t>
      </w:r>
      <w:r w:rsidRPr="00097721" w:rsidR="00B15B6F">
        <w:t xml:space="preserve">, we did not </w:t>
      </w:r>
      <w:r w:rsidRPr="00097721" w:rsidR="002D262A">
        <w:t xml:space="preserve">intend to </w:t>
      </w:r>
      <w:r w:rsidRPr="00097721" w:rsidR="0083406E">
        <w:t xml:space="preserve">modify the current penalty structure </w:t>
      </w:r>
      <w:r w:rsidRPr="00097721" w:rsidR="002D262A">
        <w:t xml:space="preserve">whereby </w:t>
      </w:r>
      <w:r w:rsidRPr="00097721" w:rsidR="009B31DA">
        <w:t xml:space="preserve">for deficiencies cured within five business days, </w:t>
      </w:r>
      <w:r w:rsidRPr="00097721" w:rsidR="0083406E">
        <w:t>LSEs can incur penalties ranging from $5,000 to $20,000 based on the MW deficiency and number of occurrences.</w:t>
      </w:r>
      <w:r w:rsidRPr="00097721" w:rsidR="003542D6">
        <w:t xml:space="preserve">  We decline to make further modifications to the new extended cure period rule at this time.</w:t>
      </w:r>
    </w:p>
    <w:p w:rsidRPr="00097721" w:rsidR="002D383F" w:rsidP="00AF2327" w:rsidRDefault="00A16329" w14:paraId="0E2F8BF6" w14:textId="33C3C264">
      <w:pPr>
        <w:pStyle w:val="Standard"/>
        <w:rPr>
          <w:szCs w:val="26"/>
        </w:rPr>
      </w:pPr>
      <w:r w:rsidRPr="00097721">
        <w:rPr>
          <w:szCs w:val="26"/>
        </w:rPr>
        <w:t xml:space="preserve">BPA </w:t>
      </w:r>
      <w:r w:rsidRPr="00097721" w:rsidR="003D4D80">
        <w:rPr>
          <w:szCs w:val="26"/>
        </w:rPr>
        <w:t>supports the exemption for</w:t>
      </w:r>
      <w:r w:rsidRPr="00097721">
        <w:rPr>
          <w:szCs w:val="26"/>
        </w:rPr>
        <w:t xml:space="preserve"> non-resource-specific imports </w:t>
      </w:r>
      <w:r w:rsidRPr="00097721" w:rsidR="003D4D80">
        <w:rPr>
          <w:szCs w:val="26"/>
        </w:rPr>
        <w:t>as</w:t>
      </w:r>
      <w:r w:rsidRPr="00097721">
        <w:rPr>
          <w:szCs w:val="26"/>
        </w:rPr>
        <w:t xml:space="preserve"> consistent with its </w:t>
      </w:r>
      <w:r w:rsidRPr="00097721" w:rsidR="009B31DA">
        <w:rPr>
          <w:szCs w:val="26"/>
        </w:rPr>
        <w:t>proposal</w:t>
      </w:r>
      <w:r w:rsidRPr="00097721" w:rsidR="003D4D80">
        <w:rPr>
          <w:szCs w:val="26"/>
        </w:rPr>
        <w:t xml:space="preserve">, and </w:t>
      </w:r>
      <w:r w:rsidRPr="00097721" w:rsidR="00AF2327">
        <w:rPr>
          <w:szCs w:val="26"/>
        </w:rPr>
        <w:t xml:space="preserve">AReM/UC, </w:t>
      </w:r>
      <w:r w:rsidRPr="00097721" w:rsidR="003D4D80">
        <w:rPr>
          <w:szCs w:val="26"/>
        </w:rPr>
        <w:t>CAISO, DMM, PG&amp;E, Shell Energy, WPTF, and Microsoft support the exemption</w:t>
      </w:r>
      <w:r w:rsidRPr="00097721">
        <w:rPr>
          <w:szCs w:val="26"/>
        </w:rPr>
        <w:t>.</w:t>
      </w:r>
      <w:r w:rsidRPr="00097721">
        <w:rPr>
          <w:rStyle w:val="FootnoteReference"/>
          <w:szCs w:val="26"/>
        </w:rPr>
        <w:footnoteReference w:id="147"/>
      </w:r>
      <w:r w:rsidRPr="00097721" w:rsidR="006F44E9">
        <w:rPr>
          <w:szCs w:val="26"/>
        </w:rPr>
        <w:t xml:space="preserve"> </w:t>
      </w:r>
      <w:r w:rsidRPr="00097721" w:rsidR="003D4D80">
        <w:rPr>
          <w:szCs w:val="26"/>
        </w:rPr>
        <w:t xml:space="preserve"> </w:t>
      </w:r>
      <w:r w:rsidRPr="00097721" w:rsidR="00C1750F">
        <w:rPr>
          <w:szCs w:val="26"/>
        </w:rPr>
        <w:t xml:space="preserve">DMM comments that while CAISO market data is </w:t>
      </w:r>
      <w:r w:rsidRPr="00097721" w:rsidR="003D4D80">
        <w:rPr>
          <w:szCs w:val="26"/>
        </w:rPr>
        <w:t>in</w:t>
      </w:r>
      <w:r w:rsidRPr="00097721" w:rsidR="00C1750F">
        <w:rPr>
          <w:szCs w:val="26"/>
        </w:rPr>
        <w:t xml:space="preserve">sufficient to ensure precise monitoring of the requirements, DMM can work with the Commission to identify conditions </w:t>
      </w:r>
      <w:r w:rsidRPr="00097721" w:rsidR="00E87A93">
        <w:rPr>
          <w:szCs w:val="26"/>
        </w:rPr>
        <w:t>under</w:t>
      </w:r>
      <w:r w:rsidRPr="00097721" w:rsidR="00C1750F">
        <w:rPr>
          <w:szCs w:val="26"/>
        </w:rPr>
        <w:t xml:space="preserve"> which the requirements may be violated and </w:t>
      </w:r>
      <w:r w:rsidRPr="00097721" w:rsidR="00DF4EF5">
        <w:rPr>
          <w:szCs w:val="26"/>
        </w:rPr>
        <w:t xml:space="preserve">may </w:t>
      </w:r>
      <w:r w:rsidRPr="00097721" w:rsidR="00C1750F">
        <w:rPr>
          <w:szCs w:val="26"/>
        </w:rPr>
        <w:t>merit further investigation.</w:t>
      </w:r>
      <w:r w:rsidRPr="00097721" w:rsidR="00AF2327">
        <w:rPr>
          <w:szCs w:val="26"/>
        </w:rPr>
        <w:t xml:space="preserve">  </w:t>
      </w:r>
      <w:r w:rsidRPr="00097721" w:rsidR="00E56462">
        <w:rPr>
          <w:szCs w:val="26"/>
        </w:rPr>
        <w:t xml:space="preserve">WPTF seeks clarification </w:t>
      </w:r>
      <w:r w:rsidRPr="00097721" w:rsidR="00AD61B3">
        <w:rPr>
          <w:szCs w:val="26"/>
        </w:rPr>
        <w:t>of whether</w:t>
      </w:r>
      <w:r w:rsidRPr="00097721" w:rsidR="00E56462">
        <w:rPr>
          <w:szCs w:val="26"/>
        </w:rPr>
        <w:t xml:space="preserve"> “physically linked” refers to resources </w:t>
      </w:r>
      <w:r w:rsidRPr="00097721" w:rsidR="003D4D80">
        <w:rPr>
          <w:szCs w:val="26"/>
        </w:rPr>
        <w:t>l</w:t>
      </w:r>
      <w:r w:rsidRPr="00097721" w:rsidR="00E56462">
        <w:rPr>
          <w:szCs w:val="26"/>
        </w:rPr>
        <w:t xml:space="preserve">inked by transmission </w:t>
      </w:r>
      <w:r w:rsidRPr="00097721" w:rsidR="00AD61B3">
        <w:rPr>
          <w:szCs w:val="26"/>
        </w:rPr>
        <w:t>to</w:t>
      </w:r>
      <w:r w:rsidRPr="00097721" w:rsidR="00E56462">
        <w:rPr>
          <w:szCs w:val="26"/>
        </w:rPr>
        <w:t xml:space="preserve"> enable the resource to be operated as a single system </w:t>
      </w:r>
      <w:r w:rsidRPr="00097721" w:rsidR="00AF2327">
        <w:rPr>
          <w:szCs w:val="26"/>
        </w:rPr>
        <w:t>to</w:t>
      </w:r>
      <w:r w:rsidRPr="00097721" w:rsidR="00E56462">
        <w:rPr>
          <w:szCs w:val="26"/>
        </w:rPr>
        <w:t xml:space="preserve"> meet </w:t>
      </w:r>
      <w:r w:rsidRPr="00097721" w:rsidR="003D4D80">
        <w:rPr>
          <w:szCs w:val="26"/>
        </w:rPr>
        <w:t xml:space="preserve">an </w:t>
      </w:r>
      <w:r w:rsidRPr="00097721" w:rsidR="00E56462">
        <w:rPr>
          <w:szCs w:val="26"/>
        </w:rPr>
        <w:t>import provider’s obligations.  WPTF</w:t>
      </w:r>
      <w:r w:rsidRPr="00097721" w:rsidR="002B4925">
        <w:rPr>
          <w:szCs w:val="26"/>
        </w:rPr>
        <w:t xml:space="preserve">, AReM/UC, and Shell Energy </w:t>
      </w:r>
      <w:r w:rsidRPr="00097721" w:rsidR="00AF2327">
        <w:rPr>
          <w:szCs w:val="26"/>
        </w:rPr>
        <w:t>recommend</w:t>
      </w:r>
      <w:r w:rsidRPr="00097721" w:rsidR="00E56462">
        <w:rPr>
          <w:szCs w:val="26"/>
        </w:rPr>
        <w:t xml:space="preserve"> that </w:t>
      </w:r>
      <w:r w:rsidRPr="00097721" w:rsidR="002B4925">
        <w:rPr>
          <w:szCs w:val="26"/>
        </w:rPr>
        <w:t>the exemption should apply</w:t>
      </w:r>
      <w:r w:rsidRPr="00097721" w:rsidR="00AF2327">
        <w:rPr>
          <w:szCs w:val="26"/>
        </w:rPr>
        <w:t xml:space="preserve"> not just</w:t>
      </w:r>
      <w:r w:rsidRPr="00097721" w:rsidR="002B4925">
        <w:rPr>
          <w:szCs w:val="26"/>
        </w:rPr>
        <w:t xml:space="preserve"> to import “owners” but those that have the right to market or sell the product</w:t>
      </w:r>
      <w:r w:rsidRPr="00097721" w:rsidR="00AF2327">
        <w:rPr>
          <w:szCs w:val="26"/>
        </w:rPr>
        <w:t xml:space="preserve"> as well</w:t>
      </w:r>
      <w:r w:rsidRPr="00097721" w:rsidR="002B4925">
        <w:rPr>
          <w:szCs w:val="26"/>
        </w:rPr>
        <w:t xml:space="preserve">.  </w:t>
      </w:r>
    </w:p>
    <w:p w:rsidRPr="00097721" w:rsidR="00397A41" w:rsidP="00AF2327" w:rsidRDefault="000A4D7E" w14:paraId="6E62EF6A" w14:textId="6D22C1B9">
      <w:pPr>
        <w:pStyle w:val="Standard"/>
        <w:rPr>
          <w:szCs w:val="26"/>
        </w:rPr>
      </w:pPr>
      <w:r w:rsidRPr="00097721">
        <w:rPr>
          <w:szCs w:val="26"/>
        </w:rPr>
        <w:lastRenderedPageBreak/>
        <w:t xml:space="preserve">CAISO </w:t>
      </w:r>
      <w:r w:rsidRPr="00097721" w:rsidR="00F50B4C">
        <w:rPr>
          <w:szCs w:val="26"/>
        </w:rPr>
        <w:t>requests the Commission clarify</w:t>
      </w:r>
      <w:r w:rsidRPr="00097721" w:rsidR="002D383F">
        <w:rPr>
          <w:szCs w:val="26"/>
        </w:rPr>
        <w:t xml:space="preserve"> </w:t>
      </w:r>
      <w:r w:rsidRPr="00097721">
        <w:rPr>
          <w:szCs w:val="26"/>
        </w:rPr>
        <w:t xml:space="preserve">that LSEs must economically bid the energy in alignment with CAISO must-offer obligation rules for resource-specific imports.  PG&amp;E states that the exemption should </w:t>
      </w:r>
      <w:r w:rsidRPr="00097721" w:rsidR="00E87A93">
        <w:rPr>
          <w:szCs w:val="26"/>
        </w:rPr>
        <w:t xml:space="preserve">be corrected to </w:t>
      </w:r>
      <w:r w:rsidRPr="00097721">
        <w:rPr>
          <w:szCs w:val="26"/>
        </w:rPr>
        <w:t>require LSEs to submit an attestation, rather than an affidavit, as this is what BPA proposed</w:t>
      </w:r>
      <w:r w:rsidRPr="00097721" w:rsidR="00E87A93">
        <w:rPr>
          <w:szCs w:val="26"/>
        </w:rPr>
        <w:t xml:space="preserve"> and </w:t>
      </w:r>
      <w:r w:rsidRPr="00097721">
        <w:rPr>
          <w:szCs w:val="26"/>
        </w:rPr>
        <w:t xml:space="preserve">attestations are used for other import requirements in D.20-06-028.  </w:t>
      </w:r>
    </w:p>
    <w:p w:rsidRPr="00097721" w:rsidR="00BC3A83" w:rsidP="000A4D7E" w:rsidRDefault="00D34132" w14:paraId="0DBF1ECD" w14:textId="2BFA826F">
      <w:pPr>
        <w:pStyle w:val="Standard"/>
        <w:rPr>
          <w:szCs w:val="26"/>
        </w:rPr>
      </w:pPr>
      <w:r w:rsidRPr="00097721">
        <w:rPr>
          <w:szCs w:val="26"/>
        </w:rPr>
        <w:t>We find CAISO’s clarification that LSEs should economically bid the energy in alignment with CAISO MOO rules to be reasonable, in order to ensure that these imports have the same bidding obligation</w:t>
      </w:r>
      <w:r w:rsidRPr="00097721" w:rsidR="002710E4">
        <w:rPr>
          <w:szCs w:val="26"/>
        </w:rPr>
        <w:t>s</w:t>
      </w:r>
      <w:r w:rsidRPr="00097721">
        <w:rPr>
          <w:szCs w:val="26"/>
        </w:rPr>
        <w:t xml:space="preserve"> as resource-specific imports.</w:t>
      </w:r>
      <w:r w:rsidRPr="00097721" w:rsidR="000A4D7E">
        <w:rPr>
          <w:szCs w:val="26"/>
        </w:rPr>
        <w:t xml:space="preserve">  The decision is modified to include this.  </w:t>
      </w:r>
      <w:r w:rsidRPr="00097721" w:rsidR="00C90AC3">
        <w:rPr>
          <w:szCs w:val="26"/>
        </w:rPr>
        <w:t xml:space="preserve">The Commission </w:t>
      </w:r>
      <w:r w:rsidRPr="00097721" w:rsidR="000A4D7E">
        <w:rPr>
          <w:szCs w:val="26"/>
        </w:rPr>
        <w:t xml:space="preserve">also </w:t>
      </w:r>
      <w:r w:rsidRPr="00097721" w:rsidR="00C90AC3">
        <w:rPr>
          <w:szCs w:val="26"/>
        </w:rPr>
        <w:t xml:space="preserve">agrees </w:t>
      </w:r>
      <w:r w:rsidRPr="00097721" w:rsidR="000A4D7E">
        <w:rPr>
          <w:szCs w:val="26"/>
        </w:rPr>
        <w:t>with PG&amp;E</w:t>
      </w:r>
      <w:r w:rsidRPr="00097721" w:rsidR="00C90AC3">
        <w:rPr>
          <w:szCs w:val="26"/>
        </w:rPr>
        <w:t xml:space="preserve"> </w:t>
      </w:r>
      <w:r w:rsidRPr="00097721" w:rsidR="000A4D7E">
        <w:rPr>
          <w:szCs w:val="26"/>
        </w:rPr>
        <w:t>that it</w:t>
      </w:r>
      <w:r w:rsidRPr="00097721" w:rsidR="00C90AC3">
        <w:rPr>
          <w:szCs w:val="26"/>
        </w:rPr>
        <w:t xml:space="preserve"> was an </w:t>
      </w:r>
      <w:r w:rsidRPr="00097721" w:rsidR="000A4D7E">
        <w:rPr>
          <w:szCs w:val="26"/>
        </w:rPr>
        <w:t xml:space="preserve">error to </w:t>
      </w:r>
      <w:r w:rsidRPr="00097721" w:rsidR="002710E4">
        <w:rPr>
          <w:szCs w:val="26"/>
        </w:rPr>
        <w:t>use</w:t>
      </w:r>
      <w:r w:rsidRPr="00097721" w:rsidR="000A4D7E">
        <w:rPr>
          <w:szCs w:val="26"/>
        </w:rPr>
        <w:t xml:space="preserve"> the term “affidavit” rather than “attestation,”</w:t>
      </w:r>
      <w:r w:rsidRPr="00097721" w:rsidR="00C90AC3">
        <w:rPr>
          <w:szCs w:val="26"/>
        </w:rPr>
        <w:t xml:space="preserve"> and the decision </w:t>
      </w:r>
      <w:r w:rsidRPr="00097721" w:rsidR="00B4093C">
        <w:rPr>
          <w:szCs w:val="26"/>
        </w:rPr>
        <w:t>is modified to</w:t>
      </w:r>
      <w:r w:rsidRPr="00097721" w:rsidR="00C90AC3">
        <w:rPr>
          <w:szCs w:val="26"/>
        </w:rPr>
        <w:t xml:space="preserve"> replace “affidavit” with “attestation.”</w:t>
      </w:r>
      <w:r w:rsidRPr="00097721" w:rsidR="001C532D">
        <w:rPr>
          <w:szCs w:val="26"/>
        </w:rPr>
        <w:t xml:space="preserve">  We decline to include further modifications to the import </w:t>
      </w:r>
      <w:r w:rsidRPr="00097721" w:rsidR="009B31DA">
        <w:rPr>
          <w:szCs w:val="26"/>
        </w:rPr>
        <w:t>exemption</w:t>
      </w:r>
      <w:r w:rsidRPr="00097721" w:rsidR="001C532D">
        <w:rPr>
          <w:szCs w:val="26"/>
        </w:rPr>
        <w:t xml:space="preserve">, as the other </w:t>
      </w:r>
      <w:r w:rsidRPr="00097721" w:rsidR="003A301D">
        <w:rPr>
          <w:szCs w:val="26"/>
        </w:rPr>
        <w:t xml:space="preserve">proposed </w:t>
      </w:r>
      <w:r w:rsidRPr="00097721" w:rsidR="001C532D">
        <w:rPr>
          <w:szCs w:val="26"/>
        </w:rPr>
        <w:t xml:space="preserve">modifications </w:t>
      </w:r>
      <w:r w:rsidRPr="00097721" w:rsidR="003A301D">
        <w:rPr>
          <w:szCs w:val="26"/>
        </w:rPr>
        <w:t xml:space="preserve">extend </w:t>
      </w:r>
      <w:r w:rsidRPr="00097721" w:rsidR="001C532D">
        <w:rPr>
          <w:szCs w:val="26"/>
        </w:rPr>
        <w:t>beyond the original intent in adopting the rule.</w:t>
      </w:r>
    </w:p>
    <w:p w:rsidRPr="00097721" w:rsidR="00673A9B" w:rsidP="009B6E8B" w:rsidRDefault="00B75571" w14:paraId="412F8FAF" w14:textId="609AD2BA">
      <w:pPr>
        <w:pStyle w:val="Standard"/>
        <w:rPr>
          <w:szCs w:val="26"/>
        </w:rPr>
      </w:pPr>
      <w:r w:rsidRPr="00097721">
        <w:rPr>
          <w:szCs w:val="26"/>
        </w:rPr>
        <w:t xml:space="preserve">With respect to requiring LSEs to have import allocation rights equal to the RA capacity shown, </w:t>
      </w:r>
      <w:r w:rsidRPr="00097721" w:rsidR="00DB7543">
        <w:rPr>
          <w:szCs w:val="26"/>
        </w:rPr>
        <w:t xml:space="preserve">CAISO </w:t>
      </w:r>
      <w:r w:rsidRPr="00097721" w:rsidR="001960E6">
        <w:rPr>
          <w:szCs w:val="26"/>
        </w:rPr>
        <w:t>comments</w:t>
      </w:r>
      <w:r w:rsidRPr="00097721" w:rsidR="00DB7543">
        <w:rPr>
          <w:szCs w:val="26"/>
        </w:rPr>
        <w:t xml:space="preserve"> that the </w:t>
      </w:r>
      <w:r w:rsidRPr="00097721" w:rsidR="001960E6">
        <w:rPr>
          <w:szCs w:val="26"/>
        </w:rPr>
        <w:t>decision</w:t>
      </w:r>
      <w:r w:rsidRPr="00097721" w:rsidR="00DB7543">
        <w:rPr>
          <w:szCs w:val="26"/>
        </w:rPr>
        <w:t xml:space="preserve"> should clarify that LSEs should have import allocation rights equal to their RA showing value for a specific resource.</w:t>
      </w:r>
      <w:r w:rsidRPr="00097721" w:rsidR="00DB7543">
        <w:rPr>
          <w:rStyle w:val="FootnoteReference"/>
          <w:szCs w:val="26"/>
        </w:rPr>
        <w:footnoteReference w:id="148"/>
      </w:r>
      <w:r w:rsidRPr="00097721" w:rsidR="00DB7543">
        <w:rPr>
          <w:szCs w:val="26"/>
        </w:rPr>
        <w:t xml:space="preserve">  CAISO </w:t>
      </w:r>
      <w:r w:rsidRPr="00097721">
        <w:rPr>
          <w:szCs w:val="26"/>
        </w:rPr>
        <w:t xml:space="preserve">also </w:t>
      </w:r>
      <w:r w:rsidRPr="00097721" w:rsidR="00DB7543">
        <w:rPr>
          <w:szCs w:val="26"/>
        </w:rPr>
        <w:t>seeks clarification that</w:t>
      </w:r>
      <w:r w:rsidRPr="00097721">
        <w:rPr>
          <w:szCs w:val="26"/>
        </w:rPr>
        <w:t xml:space="preserve"> consistent with CAISO’s guidance from earlier this year,</w:t>
      </w:r>
      <w:r w:rsidRPr="00097721" w:rsidR="00DB7543">
        <w:rPr>
          <w:szCs w:val="26"/>
        </w:rPr>
        <w:t xml:space="preserve"> “[i]f the monthly coincident peak hour exceedance value is zero, then the QC value passed to the CAISO is 0.1 MW (greater of monthly coincident peak value and 0.1 MW).”  CAISO states that if the LSE shows the full resource, in this example, the LSE should have import allocation rights equal to 0.1 MW.</w:t>
      </w:r>
      <w:r w:rsidRPr="00097721" w:rsidR="008434EB">
        <w:rPr>
          <w:szCs w:val="26"/>
        </w:rPr>
        <w:t xml:space="preserve"> </w:t>
      </w:r>
      <w:r w:rsidRPr="00097721" w:rsidR="00B4093C">
        <w:rPr>
          <w:szCs w:val="26"/>
        </w:rPr>
        <w:t xml:space="preserve"> </w:t>
      </w:r>
      <w:r w:rsidRPr="00097721" w:rsidR="00673A9B">
        <w:rPr>
          <w:szCs w:val="26"/>
        </w:rPr>
        <w:t xml:space="preserve">We agree with CAISO and clarify that in cases </w:t>
      </w:r>
      <w:r w:rsidRPr="00097721" w:rsidR="00673A9B">
        <w:rPr>
          <w:szCs w:val="26"/>
        </w:rPr>
        <w:lastRenderedPageBreak/>
        <w:t xml:space="preserve">where the peak </w:t>
      </w:r>
      <w:r w:rsidRPr="00097721" w:rsidR="00B15B6F">
        <w:rPr>
          <w:szCs w:val="26"/>
        </w:rPr>
        <w:t xml:space="preserve">hour </w:t>
      </w:r>
      <w:r w:rsidRPr="00097721" w:rsidR="00673A9B">
        <w:rPr>
          <w:szCs w:val="26"/>
        </w:rPr>
        <w:t xml:space="preserve">value is zero, the </w:t>
      </w:r>
      <w:r w:rsidRPr="00097721" w:rsidR="00B15B6F">
        <w:rPr>
          <w:szCs w:val="26"/>
        </w:rPr>
        <w:t>import allocation right</w:t>
      </w:r>
      <w:r w:rsidRPr="00097721" w:rsidR="00673A9B">
        <w:rPr>
          <w:szCs w:val="26"/>
        </w:rPr>
        <w:t xml:space="preserve"> should be </w:t>
      </w:r>
      <w:r w:rsidRPr="00097721" w:rsidR="00B15B6F">
        <w:rPr>
          <w:szCs w:val="26"/>
        </w:rPr>
        <w:t xml:space="preserve">equal to </w:t>
      </w:r>
      <w:r w:rsidRPr="00097721" w:rsidR="00673A9B">
        <w:rPr>
          <w:szCs w:val="26"/>
        </w:rPr>
        <w:t>0.1</w:t>
      </w:r>
      <w:r w:rsidRPr="00097721" w:rsidR="00B15B6F">
        <w:rPr>
          <w:szCs w:val="26"/>
        </w:rPr>
        <w:t xml:space="preserve"> MW</w:t>
      </w:r>
      <w:r w:rsidRPr="00097721" w:rsidR="00673A9B">
        <w:rPr>
          <w:szCs w:val="26"/>
        </w:rPr>
        <w:t xml:space="preserve">, consistent with the NQC value.  The decision is modified to reflect this.  </w:t>
      </w:r>
    </w:p>
    <w:p w:rsidRPr="00097721" w:rsidR="00541131" w:rsidP="00B75571" w:rsidRDefault="00615A72" w14:paraId="454163D4" w14:textId="2B017192">
      <w:pPr>
        <w:pStyle w:val="Standard"/>
        <w:rPr>
          <w:szCs w:val="26"/>
        </w:rPr>
      </w:pPr>
      <w:r w:rsidRPr="00097721">
        <w:rPr>
          <w:szCs w:val="26"/>
        </w:rPr>
        <w:t xml:space="preserve">SCE </w:t>
      </w:r>
      <w:r w:rsidRPr="00097721" w:rsidR="004E5DDB">
        <w:rPr>
          <w:szCs w:val="26"/>
        </w:rPr>
        <w:t xml:space="preserve">comments that the decision should count off-peak import energy that is not available during the AAH </w:t>
      </w:r>
      <w:r w:rsidRPr="00097721" w:rsidR="0002037D">
        <w:rPr>
          <w:szCs w:val="26"/>
        </w:rPr>
        <w:t xml:space="preserve">window </w:t>
      </w:r>
      <w:r w:rsidRPr="00097721" w:rsidR="004E5DDB">
        <w:rPr>
          <w:szCs w:val="26"/>
        </w:rPr>
        <w:t>towards RA requirements, as the Commission can validate the MOO by requiring LSEs to, for example, provide the contract and/or attestation for the product.</w:t>
      </w:r>
      <w:r w:rsidRPr="00097721" w:rsidR="004E5DDB">
        <w:rPr>
          <w:rStyle w:val="FootnoteReference"/>
          <w:szCs w:val="26"/>
        </w:rPr>
        <w:footnoteReference w:id="149"/>
      </w:r>
      <w:r w:rsidRPr="00097721" w:rsidR="004E5DDB">
        <w:rPr>
          <w:szCs w:val="26"/>
        </w:rPr>
        <w:t xml:space="preserve">  SCE </w:t>
      </w:r>
      <w:r w:rsidRPr="00097721" w:rsidR="003622F4">
        <w:rPr>
          <w:szCs w:val="26"/>
        </w:rPr>
        <w:t>recommends</w:t>
      </w:r>
      <w:r w:rsidRPr="00097721" w:rsidR="004E5DDB">
        <w:rPr>
          <w:szCs w:val="26"/>
        </w:rPr>
        <w:t xml:space="preserve"> adopt</w:t>
      </w:r>
      <w:r w:rsidRPr="00097721" w:rsidR="00F50FFE">
        <w:rPr>
          <w:szCs w:val="26"/>
        </w:rPr>
        <w:t>ing</w:t>
      </w:r>
      <w:r w:rsidRPr="00097721" w:rsidR="004E5DDB">
        <w:rPr>
          <w:szCs w:val="26"/>
        </w:rPr>
        <w:t xml:space="preserve"> an interim solution for Q3 2025 only and require LSEs to provide proof showing (1) the availability of </w:t>
      </w:r>
      <w:r w:rsidRPr="00097721" w:rsidR="00F50FFE">
        <w:rPr>
          <w:szCs w:val="26"/>
        </w:rPr>
        <w:t>import allocation rights</w:t>
      </w:r>
      <w:r w:rsidRPr="00097721" w:rsidR="004E5DDB">
        <w:rPr>
          <w:szCs w:val="26"/>
        </w:rPr>
        <w:t xml:space="preserve"> and (2) if there is an associated on-peak import on the branch group</w:t>
      </w:r>
      <w:r w:rsidRPr="00097721" w:rsidR="007B3044">
        <w:rPr>
          <w:szCs w:val="26"/>
        </w:rPr>
        <w:t>,</w:t>
      </w:r>
      <w:r w:rsidRPr="00097721" w:rsidR="004E5DDB">
        <w:rPr>
          <w:szCs w:val="26"/>
        </w:rPr>
        <w:t xml:space="preserve"> to avoid over and under counting of </w:t>
      </w:r>
      <w:r w:rsidRPr="00097721" w:rsidR="00F50FFE">
        <w:rPr>
          <w:szCs w:val="26"/>
        </w:rPr>
        <w:t>import allocation right</w:t>
      </w:r>
      <w:r w:rsidRPr="00097721" w:rsidR="007B3044">
        <w:rPr>
          <w:szCs w:val="26"/>
        </w:rPr>
        <w:t>s</w:t>
      </w:r>
      <w:r w:rsidRPr="00097721" w:rsidR="004E5DDB">
        <w:rPr>
          <w:szCs w:val="26"/>
        </w:rPr>
        <w:t xml:space="preserve"> availability</w:t>
      </w:r>
      <w:r w:rsidRPr="00097721" w:rsidR="00541131">
        <w:rPr>
          <w:szCs w:val="26"/>
        </w:rPr>
        <w:t>.</w:t>
      </w:r>
      <w:r w:rsidRPr="00097721" w:rsidR="00B75571">
        <w:rPr>
          <w:szCs w:val="26"/>
        </w:rPr>
        <w:t xml:space="preserve">  </w:t>
      </w:r>
      <w:r w:rsidRPr="00097721" w:rsidR="00F50FFE">
        <w:rPr>
          <w:szCs w:val="26"/>
        </w:rPr>
        <w:t xml:space="preserve">CAISO supports the </w:t>
      </w:r>
      <w:r w:rsidRPr="00097721" w:rsidR="007B3044">
        <w:rPr>
          <w:szCs w:val="26"/>
        </w:rPr>
        <w:t xml:space="preserve">proposed </w:t>
      </w:r>
      <w:r w:rsidRPr="00097721" w:rsidR="001F0434">
        <w:rPr>
          <w:szCs w:val="26"/>
        </w:rPr>
        <w:t>decision</w:t>
      </w:r>
      <w:r w:rsidRPr="00097721" w:rsidR="00F50FFE">
        <w:rPr>
          <w:szCs w:val="26"/>
        </w:rPr>
        <w:t xml:space="preserve"> </w:t>
      </w:r>
      <w:r w:rsidRPr="00097721" w:rsidR="001F0434">
        <w:rPr>
          <w:szCs w:val="26"/>
        </w:rPr>
        <w:t xml:space="preserve">declining </w:t>
      </w:r>
      <w:r w:rsidRPr="00097721" w:rsidR="00F50FFE">
        <w:rPr>
          <w:szCs w:val="26"/>
        </w:rPr>
        <w:t xml:space="preserve">to adopt SCE’s proposal </w:t>
      </w:r>
      <w:r w:rsidRPr="00097721" w:rsidR="001F0434">
        <w:rPr>
          <w:szCs w:val="26"/>
        </w:rPr>
        <w:t>and</w:t>
      </w:r>
      <w:r w:rsidRPr="00097721" w:rsidR="00F50FFE">
        <w:rPr>
          <w:szCs w:val="26"/>
        </w:rPr>
        <w:t xml:space="preserve"> stat</w:t>
      </w:r>
      <w:r w:rsidRPr="00097721" w:rsidR="001F0434">
        <w:rPr>
          <w:szCs w:val="26"/>
        </w:rPr>
        <w:t>es</w:t>
      </w:r>
      <w:r w:rsidRPr="00097721" w:rsidR="00F50FFE">
        <w:rPr>
          <w:szCs w:val="26"/>
        </w:rPr>
        <w:t xml:space="preserve"> that it is unclear how an off-peak product would interact with existing RA rules</w:t>
      </w:r>
      <w:r w:rsidRPr="00097721" w:rsidR="001F0434">
        <w:rPr>
          <w:szCs w:val="26"/>
        </w:rPr>
        <w:t>.</w:t>
      </w:r>
      <w:r w:rsidRPr="00097721" w:rsidR="001F0434">
        <w:rPr>
          <w:rStyle w:val="FootnoteReference"/>
          <w:szCs w:val="26"/>
        </w:rPr>
        <w:t xml:space="preserve"> </w:t>
      </w:r>
      <w:r w:rsidRPr="00097721" w:rsidR="001F0434">
        <w:rPr>
          <w:rStyle w:val="FootnoteReference"/>
          <w:szCs w:val="26"/>
        </w:rPr>
        <w:footnoteReference w:id="150"/>
      </w:r>
      <w:r w:rsidRPr="00097721" w:rsidR="00F50FFE">
        <w:rPr>
          <w:szCs w:val="26"/>
        </w:rPr>
        <w:t xml:space="preserve"> </w:t>
      </w:r>
      <w:r w:rsidRPr="00097721" w:rsidR="001F0434">
        <w:rPr>
          <w:szCs w:val="26"/>
        </w:rPr>
        <w:t xml:space="preserve"> CAISO </w:t>
      </w:r>
      <w:r w:rsidRPr="00097721" w:rsidR="00F50FFE">
        <w:rPr>
          <w:szCs w:val="26"/>
        </w:rPr>
        <w:t xml:space="preserve">affirms that under CAISO’s RA rules, RA resources are subject to a </w:t>
      </w:r>
      <w:r w:rsidRPr="00097721" w:rsidR="00E81685">
        <w:rPr>
          <w:szCs w:val="26"/>
        </w:rPr>
        <w:t>MOO</w:t>
      </w:r>
      <w:r w:rsidRPr="00097721" w:rsidR="00F50FFE">
        <w:rPr>
          <w:szCs w:val="26"/>
        </w:rPr>
        <w:t xml:space="preserve"> and if resources do not submit bids to CAISO, they may be subject to bid insertion.  CAISO </w:t>
      </w:r>
      <w:r w:rsidRPr="00097721" w:rsidR="00536A5F">
        <w:rPr>
          <w:szCs w:val="26"/>
        </w:rPr>
        <w:t>adds</w:t>
      </w:r>
      <w:r w:rsidRPr="00097721" w:rsidR="00F50FFE">
        <w:rPr>
          <w:szCs w:val="26"/>
        </w:rPr>
        <w:t xml:space="preserve"> that for imports to count as RA capacity, imports must be paired with maximum import capability.</w:t>
      </w:r>
      <w:r w:rsidRPr="00097721" w:rsidR="00541131">
        <w:rPr>
          <w:szCs w:val="26"/>
        </w:rPr>
        <w:t xml:space="preserve">  </w:t>
      </w:r>
    </w:p>
    <w:p w:rsidRPr="00097721" w:rsidR="00E0720E" w:rsidP="00541131" w:rsidRDefault="00541131" w14:paraId="530BF795" w14:textId="75A211E0">
      <w:pPr>
        <w:pStyle w:val="Standard"/>
        <w:rPr>
          <w:szCs w:val="26"/>
        </w:rPr>
      </w:pPr>
      <w:r w:rsidRPr="00097721">
        <w:rPr>
          <w:szCs w:val="26"/>
        </w:rPr>
        <w:t>To respond to CAISO’s concerns, SCE states that there is an existing process that the Commission uses for non-resource-specific on-peak import energy that can be used to verify off-peak import energy.</w:t>
      </w:r>
      <w:r w:rsidRPr="00097721">
        <w:rPr>
          <w:rStyle w:val="FootnoteReference"/>
          <w:szCs w:val="26"/>
        </w:rPr>
        <w:footnoteReference w:id="151"/>
      </w:r>
      <w:r w:rsidRPr="00097721">
        <w:rPr>
          <w:szCs w:val="26"/>
        </w:rPr>
        <w:t xml:space="preserve">  SCE </w:t>
      </w:r>
      <w:r w:rsidRPr="00097721" w:rsidR="00C71359">
        <w:rPr>
          <w:szCs w:val="26"/>
        </w:rPr>
        <w:t>states</w:t>
      </w:r>
      <w:r w:rsidRPr="00097721">
        <w:rPr>
          <w:szCs w:val="26"/>
        </w:rPr>
        <w:t xml:space="preserve"> that the contracting LSE can attest to a MOO to CAISO</w:t>
      </w:r>
      <w:r w:rsidRPr="00097721" w:rsidR="007B3044">
        <w:rPr>
          <w:szCs w:val="26"/>
        </w:rPr>
        <w:t>,</w:t>
      </w:r>
      <w:r w:rsidRPr="00097721">
        <w:rPr>
          <w:szCs w:val="26"/>
        </w:rPr>
        <w:t xml:space="preserve"> and for MIC pairing the SOD template can be updated to validate and confirm MIC availability and non-</w:t>
      </w:r>
      <w:r w:rsidRPr="00097721">
        <w:rPr>
          <w:szCs w:val="26"/>
        </w:rPr>
        <w:lastRenderedPageBreak/>
        <w:t>overlapping use.  AReM/UC, SDG&amp;E, Shell Energy, and PG&amp;E support SCE’s proposal and state that this could ease SOD implementation.</w:t>
      </w:r>
      <w:r w:rsidRPr="00097721">
        <w:rPr>
          <w:rStyle w:val="FootnoteReference"/>
          <w:szCs w:val="26"/>
        </w:rPr>
        <w:footnoteReference w:id="152"/>
      </w:r>
    </w:p>
    <w:p w:rsidRPr="00097721" w:rsidR="001D0D29" w:rsidP="00B75571" w:rsidRDefault="00B15B6F" w14:paraId="33F0B97C" w14:textId="18C5FCC1">
      <w:pPr>
        <w:pStyle w:val="Standard"/>
        <w:rPr>
          <w:szCs w:val="26"/>
        </w:rPr>
      </w:pPr>
      <w:r w:rsidRPr="00097721">
        <w:rPr>
          <w:szCs w:val="26"/>
        </w:rPr>
        <w:t>In</w:t>
      </w:r>
      <w:r w:rsidRPr="00097721" w:rsidR="006E0542">
        <w:rPr>
          <w:szCs w:val="26"/>
        </w:rPr>
        <w:t xml:space="preserve"> the proposed decision</w:t>
      </w:r>
      <w:r w:rsidRPr="00097721">
        <w:rPr>
          <w:szCs w:val="26"/>
        </w:rPr>
        <w:t>, we stated</w:t>
      </w:r>
      <w:r w:rsidRPr="00097721" w:rsidR="006E0542">
        <w:rPr>
          <w:szCs w:val="26"/>
        </w:rPr>
        <w:t xml:space="preserve"> that SCE’s </w:t>
      </w:r>
      <w:r w:rsidRPr="00097721" w:rsidR="00DF7664">
        <w:rPr>
          <w:szCs w:val="26"/>
        </w:rPr>
        <w:t xml:space="preserve">original </w:t>
      </w:r>
      <w:r w:rsidRPr="00097721" w:rsidR="006E0542">
        <w:rPr>
          <w:szCs w:val="26"/>
        </w:rPr>
        <w:t xml:space="preserve">proposal to count off-peak import energy </w:t>
      </w:r>
      <w:r w:rsidRPr="00097721" w:rsidR="00363A93">
        <w:rPr>
          <w:szCs w:val="26"/>
        </w:rPr>
        <w:t xml:space="preserve">towards RA requirements </w:t>
      </w:r>
      <w:r w:rsidRPr="00097721" w:rsidR="006E0542">
        <w:rPr>
          <w:szCs w:val="26"/>
        </w:rPr>
        <w:t>ha</w:t>
      </w:r>
      <w:r w:rsidRPr="00097721" w:rsidR="00363A93">
        <w:rPr>
          <w:szCs w:val="26"/>
        </w:rPr>
        <w:t>d</w:t>
      </w:r>
      <w:r w:rsidRPr="00097721" w:rsidR="006E0542">
        <w:rPr>
          <w:szCs w:val="26"/>
        </w:rPr>
        <w:t xml:space="preserve"> merit but raise</w:t>
      </w:r>
      <w:r w:rsidRPr="00097721" w:rsidR="00363A93">
        <w:rPr>
          <w:szCs w:val="26"/>
        </w:rPr>
        <w:t>d</w:t>
      </w:r>
      <w:r w:rsidRPr="00097721" w:rsidR="006E0542">
        <w:rPr>
          <w:szCs w:val="26"/>
        </w:rPr>
        <w:t xml:space="preserve"> concerns about </w:t>
      </w:r>
      <w:r w:rsidRPr="00097721" w:rsidR="00DF7664">
        <w:rPr>
          <w:szCs w:val="26"/>
        </w:rPr>
        <w:t>the interactions</w:t>
      </w:r>
      <w:r w:rsidRPr="00097721" w:rsidR="006E0542">
        <w:rPr>
          <w:szCs w:val="26"/>
        </w:rPr>
        <w:t xml:space="preserve"> with CAISO’s RA rules.  </w:t>
      </w:r>
      <w:r w:rsidRPr="00097721" w:rsidR="00541131">
        <w:rPr>
          <w:szCs w:val="26"/>
        </w:rPr>
        <w:t xml:space="preserve">The Commission finds SCE’s </w:t>
      </w:r>
      <w:r w:rsidRPr="00097721" w:rsidR="00BD2788">
        <w:rPr>
          <w:szCs w:val="26"/>
        </w:rPr>
        <w:t>modification to its proposal</w:t>
      </w:r>
      <w:r w:rsidRPr="00097721" w:rsidR="00541131">
        <w:rPr>
          <w:szCs w:val="26"/>
        </w:rPr>
        <w:t xml:space="preserve"> </w:t>
      </w:r>
      <w:r w:rsidRPr="00097721" w:rsidR="00BD2788">
        <w:rPr>
          <w:szCs w:val="26"/>
        </w:rPr>
        <w:t>to verify</w:t>
      </w:r>
      <w:r w:rsidRPr="00097721" w:rsidR="00541131">
        <w:rPr>
          <w:szCs w:val="26"/>
        </w:rPr>
        <w:t xml:space="preserve"> </w:t>
      </w:r>
      <w:r w:rsidRPr="00097721" w:rsidR="00BD2788">
        <w:rPr>
          <w:szCs w:val="26"/>
        </w:rPr>
        <w:t xml:space="preserve">the MOO for </w:t>
      </w:r>
      <w:r w:rsidRPr="00097721" w:rsidR="00541131">
        <w:rPr>
          <w:szCs w:val="26"/>
        </w:rPr>
        <w:t xml:space="preserve">off-peak import energy </w:t>
      </w:r>
      <w:r w:rsidRPr="00097721" w:rsidR="00BD2788">
        <w:rPr>
          <w:szCs w:val="26"/>
        </w:rPr>
        <w:t>to be</w:t>
      </w:r>
      <w:r w:rsidRPr="00097721" w:rsidR="00541131">
        <w:rPr>
          <w:szCs w:val="26"/>
        </w:rPr>
        <w:t xml:space="preserve"> reasonable in addressing the Commission’s previous concerns.  </w:t>
      </w:r>
      <w:r w:rsidRPr="00097721" w:rsidR="00BD2788">
        <w:rPr>
          <w:szCs w:val="26"/>
        </w:rPr>
        <w:t xml:space="preserve">SCE’s </w:t>
      </w:r>
      <w:r w:rsidRPr="00097721" w:rsidR="00541131">
        <w:rPr>
          <w:szCs w:val="26"/>
        </w:rPr>
        <w:t xml:space="preserve">proposal is also narrowly applied to Q3 2025.  </w:t>
      </w:r>
      <w:r w:rsidRPr="00097721" w:rsidR="00C92D12">
        <w:rPr>
          <w:szCs w:val="26"/>
        </w:rPr>
        <w:t>Therefore</w:t>
      </w:r>
      <w:r w:rsidRPr="00097721" w:rsidR="00541131">
        <w:rPr>
          <w:szCs w:val="26"/>
        </w:rPr>
        <w:t xml:space="preserve">, </w:t>
      </w:r>
      <w:r w:rsidRPr="00097721" w:rsidR="001D0D29">
        <w:rPr>
          <w:szCs w:val="26"/>
        </w:rPr>
        <w:t>we modify the</w:t>
      </w:r>
      <w:r w:rsidRPr="00097721" w:rsidR="00541131">
        <w:rPr>
          <w:szCs w:val="26"/>
        </w:rPr>
        <w:t xml:space="preserve"> decision to </w:t>
      </w:r>
      <w:r w:rsidRPr="00097721" w:rsidR="007B3044">
        <w:rPr>
          <w:szCs w:val="26"/>
        </w:rPr>
        <w:t>apply</w:t>
      </w:r>
      <w:r w:rsidRPr="00097721" w:rsidR="00541131">
        <w:rPr>
          <w:szCs w:val="26"/>
        </w:rPr>
        <w:t xml:space="preserve"> SCE’s </w:t>
      </w:r>
      <w:r w:rsidRPr="00097721" w:rsidR="007B3044">
        <w:rPr>
          <w:szCs w:val="26"/>
        </w:rPr>
        <w:t>proposed rule</w:t>
      </w:r>
      <w:r w:rsidRPr="00097721" w:rsidR="00541131">
        <w:rPr>
          <w:szCs w:val="26"/>
        </w:rPr>
        <w:t xml:space="preserve"> for Q3 2025 only.</w:t>
      </w:r>
      <w:r w:rsidRPr="00097721" w:rsidR="001D0D29">
        <w:rPr>
          <w:szCs w:val="26"/>
        </w:rPr>
        <w:t xml:space="preserve">  However, this decision also adopts a requirement that LSEs must show all deliverable resources on SOD RA plans to CAISO.  As such, we also </w:t>
      </w:r>
      <w:r w:rsidRPr="00097721" w:rsidR="00D85237">
        <w:rPr>
          <w:szCs w:val="26"/>
        </w:rPr>
        <w:t>add</w:t>
      </w:r>
      <w:r w:rsidRPr="00097721" w:rsidR="001D0D29">
        <w:rPr>
          <w:szCs w:val="26"/>
        </w:rPr>
        <w:t xml:space="preserve"> an exemption to that rule, stating that </w:t>
      </w:r>
      <w:r w:rsidRPr="00097721" w:rsidR="001D0D29">
        <w:t xml:space="preserve">LSEs must show all deliverable resources on SOD RA plans to the CAISO, with the exception of off-peak imports that are being shown only to the Commission to meet requirements under </w:t>
      </w:r>
      <w:r w:rsidRPr="00097721" w:rsidR="007B3044">
        <w:t xml:space="preserve">the </w:t>
      </w:r>
      <w:r w:rsidRPr="00097721" w:rsidR="001D0D29">
        <w:t>SOD</w:t>
      </w:r>
      <w:r w:rsidRPr="00097721" w:rsidR="007B3044">
        <w:t xml:space="preserve"> framework</w:t>
      </w:r>
      <w:r w:rsidRPr="00097721" w:rsidR="001D0D29">
        <w:t>.  The decision is modified to reflect this.</w:t>
      </w:r>
    </w:p>
    <w:p w:rsidRPr="00097721" w:rsidR="004F0AA4" w:rsidP="00955765" w:rsidRDefault="00B308B1" w14:paraId="59077B23" w14:textId="495DAF6A">
      <w:pPr>
        <w:pStyle w:val="Standard"/>
      </w:pPr>
      <w:r w:rsidRPr="00097721">
        <w:rPr>
          <w:szCs w:val="26"/>
        </w:rPr>
        <w:t xml:space="preserve">LSA </w:t>
      </w:r>
      <w:r w:rsidRPr="00097721" w:rsidR="008D1EFF">
        <w:rPr>
          <w:szCs w:val="26"/>
        </w:rPr>
        <w:t xml:space="preserve">and Terra-Gen </w:t>
      </w:r>
      <w:r w:rsidRPr="00097721" w:rsidR="00803CF2">
        <w:rPr>
          <w:szCs w:val="26"/>
        </w:rPr>
        <w:t>state that</w:t>
      </w:r>
      <w:r w:rsidRPr="00097721">
        <w:rPr>
          <w:szCs w:val="26"/>
        </w:rPr>
        <w:t xml:space="preserve"> </w:t>
      </w:r>
      <w:r w:rsidRPr="00097721" w:rsidR="00803CF2">
        <w:rPr>
          <w:szCs w:val="26"/>
        </w:rPr>
        <w:t xml:space="preserve">by </w:t>
      </w:r>
      <w:r w:rsidRPr="00097721" w:rsidR="008D1EFF">
        <w:rPr>
          <w:szCs w:val="26"/>
        </w:rPr>
        <w:t>allowing</w:t>
      </w:r>
      <w:r w:rsidRPr="00097721">
        <w:rPr>
          <w:szCs w:val="26"/>
        </w:rPr>
        <w:t xml:space="preserve"> EO resources </w:t>
      </w:r>
      <w:r w:rsidRPr="00097721" w:rsidR="008D1EFF">
        <w:rPr>
          <w:szCs w:val="26"/>
        </w:rPr>
        <w:t>to</w:t>
      </w:r>
      <w:r w:rsidRPr="00097721">
        <w:rPr>
          <w:szCs w:val="26"/>
        </w:rPr>
        <w:t xml:space="preserve"> contribute to resource sufficiency requirements for co-located and hybrid configurations, </w:t>
      </w:r>
      <w:r w:rsidRPr="00097721" w:rsidR="008D1EFF">
        <w:rPr>
          <w:szCs w:val="26"/>
        </w:rPr>
        <w:t>a modification should be considered for projects in development that may have existing contracts regarding charging sufficiency.</w:t>
      </w:r>
      <w:r w:rsidRPr="00097721" w:rsidR="008D1EFF">
        <w:rPr>
          <w:rStyle w:val="FootnoteReference"/>
          <w:szCs w:val="26"/>
        </w:rPr>
        <w:footnoteReference w:id="153"/>
      </w:r>
      <w:r w:rsidRPr="00097721" w:rsidR="008D1EFF">
        <w:rPr>
          <w:szCs w:val="26"/>
        </w:rPr>
        <w:t xml:space="preserve">  LSA and Terra-Gen recommend exempting the proration rule for existing contracts that specify the allocation of rights to associated charging energy sufficiency</w:t>
      </w:r>
      <w:r w:rsidRPr="00097721">
        <w:rPr>
          <w:szCs w:val="26"/>
        </w:rPr>
        <w:t>.</w:t>
      </w:r>
      <w:r w:rsidRPr="00097721" w:rsidR="00E85D50">
        <w:t xml:space="preserve">  </w:t>
      </w:r>
      <w:r w:rsidRPr="00097721" w:rsidR="004F0AA4">
        <w:t>AReM/UC</w:t>
      </w:r>
      <w:r w:rsidRPr="00097721" w:rsidR="00634063">
        <w:t xml:space="preserve">, </w:t>
      </w:r>
      <w:r w:rsidRPr="00097721" w:rsidR="0011558A">
        <w:t>CESA</w:t>
      </w:r>
      <w:r w:rsidRPr="00097721" w:rsidR="00634063">
        <w:t xml:space="preserve">, </w:t>
      </w:r>
      <w:r w:rsidRPr="00097721" w:rsidR="00634063">
        <w:lastRenderedPageBreak/>
        <w:t>and SJCE</w:t>
      </w:r>
      <w:r w:rsidRPr="00097721" w:rsidR="0011558A">
        <w:t xml:space="preserve"> </w:t>
      </w:r>
      <w:r w:rsidRPr="00097721" w:rsidR="004F0AA4">
        <w:t xml:space="preserve">support LSA and Terra-Gen’s </w:t>
      </w:r>
      <w:r w:rsidRPr="00097721" w:rsidR="008D1EFF">
        <w:t>modification</w:t>
      </w:r>
      <w:r w:rsidRPr="00097721" w:rsidR="004F0AA4">
        <w:t>.</w:t>
      </w:r>
      <w:r w:rsidRPr="00097721" w:rsidR="004F0AA4">
        <w:rPr>
          <w:rStyle w:val="FootnoteReference"/>
        </w:rPr>
        <w:footnoteReference w:id="154"/>
      </w:r>
      <w:r w:rsidRPr="00097721" w:rsidR="00F60C44">
        <w:t xml:space="preserve">  SCE </w:t>
      </w:r>
      <w:r w:rsidRPr="00097721" w:rsidR="008D1EFF">
        <w:t>comments</w:t>
      </w:r>
      <w:r w:rsidRPr="00097721" w:rsidR="00F60C44">
        <w:t xml:space="preserve"> that LSA</w:t>
      </w:r>
      <w:r w:rsidRPr="00097721" w:rsidR="008D1EFF">
        <w:t xml:space="preserve"> and </w:t>
      </w:r>
      <w:r w:rsidRPr="00097721" w:rsidR="00F60C44">
        <w:t xml:space="preserve">Terra-Gen’s </w:t>
      </w:r>
      <w:r w:rsidRPr="00097721" w:rsidR="008D1EFF">
        <w:t xml:space="preserve">proposal </w:t>
      </w:r>
      <w:r w:rsidRPr="00097721" w:rsidR="00F60C44">
        <w:t xml:space="preserve">may </w:t>
      </w:r>
      <w:r w:rsidRPr="00097721" w:rsidR="008D1EFF">
        <w:t>warrant</w:t>
      </w:r>
      <w:r w:rsidRPr="00097721" w:rsidR="00F60C44">
        <w:t xml:space="preserve"> further consideration but should be considered after SOD implementation.</w:t>
      </w:r>
      <w:r w:rsidRPr="00097721" w:rsidR="00F60C44">
        <w:rPr>
          <w:rStyle w:val="FootnoteReference"/>
        </w:rPr>
        <w:footnoteReference w:id="155"/>
      </w:r>
    </w:p>
    <w:p w:rsidRPr="00097721" w:rsidR="00B308B1" w:rsidP="00482729" w:rsidRDefault="008D1EFF" w14:paraId="0A4DA5E6" w14:textId="1628305B">
      <w:pPr>
        <w:pStyle w:val="Standard"/>
      </w:pPr>
      <w:r w:rsidRPr="00097721">
        <w:t>The Commission finds that LSA</w:t>
      </w:r>
      <w:r w:rsidRPr="00097721" w:rsidR="007B35B4">
        <w:t>’s</w:t>
      </w:r>
      <w:r w:rsidRPr="00097721">
        <w:t xml:space="preserve"> and Terra-Gen’s proposal may have merit but there are outstanding issues that </w:t>
      </w:r>
      <w:r w:rsidRPr="00097721" w:rsidR="00F0250B">
        <w:t>need to</w:t>
      </w:r>
      <w:r w:rsidRPr="00097721">
        <w:t xml:space="preserve"> be </w:t>
      </w:r>
      <w:r w:rsidRPr="00097721" w:rsidR="00482729">
        <w:t xml:space="preserve">addressed, including but not limited to, how the existing contracts would be factored into the SOD templates and how the Commission would verify the contractual obligations.  </w:t>
      </w:r>
      <w:r w:rsidRPr="00097721" w:rsidR="007B35B4">
        <w:t xml:space="preserve">As such, we decline to consider </w:t>
      </w:r>
      <w:r w:rsidRPr="00097721" w:rsidR="00C20472">
        <w:t>the proposal</w:t>
      </w:r>
      <w:r w:rsidRPr="00097721" w:rsidR="007B35B4">
        <w:t xml:space="preserve"> at this time and may consider this in Track 3 of this proceeding after </w:t>
      </w:r>
      <w:r w:rsidRPr="00097721" w:rsidR="00B90B67">
        <w:t xml:space="preserve">initial </w:t>
      </w:r>
      <w:r w:rsidRPr="00097721" w:rsidR="007B35B4">
        <w:t>implementation of the SOD framework.</w:t>
      </w:r>
    </w:p>
    <w:p w:rsidRPr="00097721" w:rsidR="00B15B6F" w:rsidP="00E45833" w:rsidRDefault="00C27880" w14:paraId="32B38297" w14:textId="77777777">
      <w:pPr>
        <w:pStyle w:val="Standard"/>
        <w:rPr>
          <w:szCs w:val="26"/>
        </w:rPr>
      </w:pPr>
      <w:r w:rsidRPr="00097721">
        <w:rPr>
          <w:szCs w:val="26"/>
        </w:rPr>
        <w:t xml:space="preserve">SCE supports monthly exceedance levels but not for the 2025 RA year </w:t>
      </w:r>
      <w:r w:rsidRPr="00097721" w:rsidR="00BE7352">
        <w:rPr>
          <w:szCs w:val="26"/>
        </w:rPr>
        <w:t>as it states that</w:t>
      </w:r>
      <w:r w:rsidRPr="00097721">
        <w:rPr>
          <w:szCs w:val="26"/>
        </w:rPr>
        <w:t xml:space="preserve"> LSEs have already requested </w:t>
      </w:r>
      <w:r w:rsidRPr="00097721" w:rsidR="00BE7352">
        <w:rPr>
          <w:szCs w:val="26"/>
        </w:rPr>
        <w:t>i</w:t>
      </w:r>
      <w:r w:rsidRPr="00097721">
        <w:rPr>
          <w:szCs w:val="26"/>
        </w:rPr>
        <w:t xml:space="preserve">mport </w:t>
      </w:r>
      <w:r w:rsidRPr="00097721" w:rsidR="00BE7352">
        <w:rPr>
          <w:szCs w:val="26"/>
        </w:rPr>
        <w:t>a</w:t>
      </w:r>
      <w:r w:rsidRPr="00097721">
        <w:rPr>
          <w:szCs w:val="26"/>
        </w:rPr>
        <w:t xml:space="preserve">llocation </w:t>
      </w:r>
      <w:r w:rsidRPr="00097721" w:rsidR="00BE7352">
        <w:rPr>
          <w:szCs w:val="26"/>
        </w:rPr>
        <w:t>r</w:t>
      </w:r>
      <w:r w:rsidRPr="00097721">
        <w:rPr>
          <w:szCs w:val="26"/>
        </w:rPr>
        <w:t>ights for wind and solar imports using a previously published exceedance profile.</w:t>
      </w:r>
      <w:r w:rsidRPr="00097721">
        <w:rPr>
          <w:rStyle w:val="FootnoteReference"/>
          <w:szCs w:val="26"/>
        </w:rPr>
        <w:footnoteReference w:id="156"/>
      </w:r>
      <w:r w:rsidRPr="00097721" w:rsidR="0045201C">
        <w:rPr>
          <w:szCs w:val="26"/>
        </w:rPr>
        <w:t xml:space="preserve">  SCE </w:t>
      </w:r>
      <w:r w:rsidRPr="00097721" w:rsidR="00453FD8">
        <w:rPr>
          <w:szCs w:val="26"/>
        </w:rPr>
        <w:t xml:space="preserve">also </w:t>
      </w:r>
      <w:r w:rsidRPr="00097721" w:rsidR="0045201C">
        <w:rPr>
          <w:szCs w:val="26"/>
        </w:rPr>
        <w:t xml:space="preserve">comments that there are flaws in the methodology </w:t>
      </w:r>
      <w:r w:rsidRPr="00097721" w:rsidR="00453FD8">
        <w:rPr>
          <w:szCs w:val="26"/>
        </w:rPr>
        <w:t xml:space="preserve">with regards to inconsistent resource performance datasets between RA and IRP/Renewables Portfolio Standard </w:t>
      </w:r>
      <w:r w:rsidRPr="00097721" w:rsidR="0045201C">
        <w:rPr>
          <w:szCs w:val="26"/>
        </w:rPr>
        <w:t xml:space="preserve">that should </w:t>
      </w:r>
      <w:r w:rsidRPr="00097721" w:rsidR="00770BFD">
        <w:rPr>
          <w:szCs w:val="26"/>
        </w:rPr>
        <w:t xml:space="preserve">be </w:t>
      </w:r>
      <w:r w:rsidRPr="00097721" w:rsidR="0045201C">
        <w:rPr>
          <w:szCs w:val="26"/>
        </w:rPr>
        <w:t>correct</w:t>
      </w:r>
      <w:r w:rsidRPr="00097721" w:rsidR="00770BFD">
        <w:rPr>
          <w:szCs w:val="26"/>
        </w:rPr>
        <w:t>ed</w:t>
      </w:r>
      <w:r w:rsidRPr="00097721" w:rsidR="0045201C">
        <w:rPr>
          <w:szCs w:val="26"/>
        </w:rPr>
        <w:t xml:space="preserve"> before using monthly exceedance levels </w:t>
      </w:r>
      <w:r w:rsidRPr="00097721" w:rsidR="00BE7352">
        <w:rPr>
          <w:szCs w:val="26"/>
        </w:rPr>
        <w:t>for compliance</w:t>
      </w:r>
      <w:r w:rsidRPr="00097721" w:rsidR="0045201C">
        <w:rPr>
          <w:szCs w:val="26"/>
        </w:rPr>
        <w:t xml:space="preserve">.  </w:t>
      </w:r>
    </w:p>
    <w:p w:rsidRPr="00097721" w:rsidR="00E45833" w:rsidP="00E45833" w:rsidRDefault="0054328F" w14:paraId="365084FE" w14:textId="65650B0C">
      <w:pPr>
        <w:pStyle w:val="Standard"/>
        <w:rPr>
          <w:szCs w:val="26"/>
        </w:rPr>
      </w:pPr>
      <w:r w:rsidRPr="00097721">
        <w:rPr>
          <w:szCs w:val="26"/>
        </w:rPr>
        <w:t>The Commission</w:t>
      </w:r>
      <w:r w:rsidRPr="00097721" w:rsidR="00E45833">
        <w:rPr>
          <w:szCs w:val="26"/>
        </w:rPr>
        <w:t xml:space="preserve"> note</w:t>
      </w:r>
      <w:r w:rsidRPr="00097721">
        <w:rPr>
          <w:szCs w:val="26"/>
        </w:rPr>
        <w:t>s</w:t>
      </w:r>
      <w:r w:rsidRPr="00097721" w:rsidR="00E45833">
        <w:rPr>
          <w:szCs w:val="26"/>
        </w:rPr>
        <w:t xml:space="preserve"> that SCE appears to misunderstand CAISO’s </w:t>
      </w:r>
      <w:r w:rsidRPr="00097721" w:rsidR="00453FD8">
        <w:rPr>
          <w:szCs w:val="26"/>
        </w:rPr>
        <w:t>MIC allocation process</w:t>
      </w:r>
      <w:r w:rsidRPr="00097721" w:rsidR="00E45833">
        <w:rPr>
          <w:szCs w:val="26"/>
        </w:rPr>
        <w:t>, as CAISO Tariff Section 40.4.6.2 provides that changes to Q</w:t>
      </w:r>
      <w:r w:rsidRPr="00097721" w:rsidR="00453FD8">
        <w:rPr>
          <w:szCs w:val="26"/>
        </w:rPr>
        <w:t>C</w:t>
      </w:r>
      <w:r w:rsidRPr="00097721" w:rsidR="00E45833">
        <w:rPr>
          <w:szCs w:val="26"/>
        </w:rPr>
        <w:t xml:space="preserve"> methodologies are accounted for in the MIC allocation process.</w:t>
      </w:r>
      <w:r w:rsidRPr="00097721" w:rsidR="00BE7352">
        <w:rPr>
          <w:szCs w:val="26"/>
        </w:rPr>
        <w:t xml:space="preserve"> </w:t>
      </w:r>
      <w:r w:rsidRPr="00097721" w:rsidR="00E45833">
        <w:rPr>
          <w:szCs w:val="26"/>
        </w:rPr>
        <w:t xml:space="preserve"> </w:t>
      </w:r>
      <w:r w:rsidRPr="00097721" w:rsidR="00453FD8">
        <w:rPr>
          <w:szCs w:val="26"/>
        </w:rPr>
        <w:t xml:space="preserve">Further, while the datasets that SCE refers to are already used in the 2024 QC valuations and 2025 update, the transition to monthly exceedance levels is expected to </w:t>
      </w:r>
      <w:r w:rsidRPr="00097721" w:rsidR="00B15B6F">
        <w:rPr>
          <w:szCs w:val="26"/>
        </w:rPr>
        <w:t>add</w:t>
      </w:r>
      <w:r w:rsidRPr="00097721" w:rsidR="00453FD8">
        <w:rPr>
          <w:szCs w:val="26"/>
        </w:rPr>
        <w:t xml:space="preserve"> more </w:t>
      </w:r>
      <w:r w:rsidRPr="00097721" w:rsidR="00B15B6F">
        <w:rPr>
          <w:szCs w:val="26"/>
        </w:rPr>
        <w:t xml:space="preserve">available </w:t>
      </w:r>
      <w:r w:rsidRPr="00097721" w:rsidR="00453FD8">
        <w:rPr>
          <w:szCs w:val="26"/>
        </w:rPr>
        <w:t xml:space="preserve">capacity to the grid.  Modifications to the methodology regarding </w:t>
      </w:r>
      <w:r w:rsidRPr="00097721" w:rsidR="00453FD8">
        <w:rPr>
          <w:szCs w:val="26"/>
        </w:rPr>
        <w:lastRenderedPageBreak/>
        <w:t xml:space="preserve">resource performance datasets may be considered in the future.  </w:t>
      </w:r>
      <w:r w:rsidRPr="00097721" w:rsidR="00E45833">
        <w:rPr>
          <w:szCs w:val="26"/>
        </w:rPr>
        <w:t>We decline to modify the decision.</w:t>
      </w:r>
    </w:p>
    <w:p w:rsidRPr="00097721" w:rsidR="0007615B" w:rsidP="0007615B" w:rsidRDefault="00DE2733" w14:paraId="1F084F63" w14:textId="259433D0">
      <w:pPr>
        <w:pStyle w:val="Standard"/>
        <w:ind w:firstLine="0"/>
        <w:rPr>
          <w:szCs w:val="26"/>
        </w:rPr>
      </w:pPr>
      <w:r w:rsidRPr="00097721">
        <w:rPr>
          <w:szCs w:val="26"/>
        </w:rPr>
        <w:t xml:space="preserve">MRP </w:t>
      </w:r>
      <w:r w:rsidRPr="00097721" w:rsidR="00BE7352">
        <w:rPr>
          <w:szCs w:val="26"/>
        </w:rPr>
        <w:t>comments that it</w:t>
      </w:r>
      <w:r w:rsidRPr="00097721">
        <w:rPr>
          <w:szCs w:val="26"/>
        </w:rPr>
        <w:t xml:space="preserve"> interprets the Advice Letter requirement </w:t>
      </w:r>
      <w:r w:rsidRPr="00097721" w:rsidR="00BE7352">
        <w:rPr>
          <w:szCs w:val="26"/>
        </w:rPr>
        <w:t xml:space="preserve">for the DCPP limited waiver process </w:t>
      </w:r>
      <w:r w:rsidRPr="00097721">
        <w:rPr>
          <w:szCs w:val="26"/>
        </w:rPr>
        <w:t xml:space="preserve">to apply to each month in which </w:t>
      </w:r>
      <w:r w:rsidRPr="00097721" w:rsidR="00996E7A">
        <w:rPr>
          <w:szCs w:val="26"/>
        </w:rPr>
        <w:t>a</w:t>
      </w:r>
      <w:r w:rsidRPr="00097721">
        <w:rPr>
          <w:szCs w:val="26"/>
        </w:rPr>
        <w:t xml:space="preserve"> forced outage would impact PG&amp;E’s ability to meet its monthly RA obligations and </w:t>
      </w:r>
      <w:r w:rsidRPr="00097721" w:rsidR="00B90B67">
        <w:rPr>
          <w:szCs w:val="26"/>
        </w:rPr>
        <w:t>thus</w:t>
      </w:r>
      <w:r w:rsidRPr="00097721">
        <w:rPr>
          <w:szCs w:val="26"/>
        </w:rPr>
        <w:t>, PG&amp;E would be required to submit a new Tier 2 Advice Letter for each compliance month.</w:t>
      </w:r>
      <w:r w:rsidRPr="00097721" w:rsidR="00BE7352">
        <w:rPr>
          <w:rStyle w:val="FootnoteReference"/>
          <w:szCs w:val="26"/>
        </w:rPr>
        <w:footnoteReference w:id="157"/>
      </w:r>
      <w:r w:rsidRPr="00097721">
        <w:rPr>
          <w:szCs w:val="26"/>
        </w:rPr>
        <w:t xml:space="preserve"> </w:t>
      </w:r>
      <w:r w:rsidRPr="00097721" w:rsidR="00BE7352">
        <w:rPr>
          <w:szCs w:val="26"/>
        </w:rPr>
        <w:t xml:space="preserve"> The Commission </w:t>
      </w:r>
      <w:r w:rsidRPr="00097721" w:rsidR="00BC5E61">
        <w:t>clarif</w:t>
      </w:r>
      <w:r w:rsidRPr="00097721" w:rsidR="00BE7352">
        <w:t>ies</w:t>
      </w:r>
      <w:r w:rsidRPr="00097721" w:rsidR="00BC5E61">
        <w:t xml:space="preserve"> that PG&amp;E need only submit a Tier 2 Advice Letter for </w:t>
      </w:r>
      <w:r w:rsidRPr="00097721" w:rsidR="0072201E">
        <w:t>any</w:t>
      </w:r>
      <w:r w:rsidRPr="00097721" w:rsidR="00BC5E61">
        <w:t xml:space="preserve"> compliance month in which it has a deficiency</w:t>
      </w:r>
      <w:r w:rsidRPr="00097721" w:rsidR="0072201E">
        <w:t xml:space="preserve"> due to a DCPP forced outage</w:t>
      </w:r>
      <w:r w:rsidRPr="00097721" w:rsidR="00BC5E61">
        <w:t>.</w:t>
      </w:r>
    </w:p>
    <w:p w:rsidRPr="00097721" w:rsidR="00996E7A" w:rsidP="00996E7A" w:rsidRDefault="00996E7A" w14:paraId="6AEFDB80" w14:textId="32F0A780">
      <w:pPr>
        <w:pStyle w:val="Standard"/>
        <w:rPr>
          <w:szCs w:val="26"/>
        </w:rPr>
      </w:pPr>
      <w:r w:rsidRPr="00097721">
        <w:rPr>
          <w:szCs w:val="26"/>
        </w:rPr>
        <w:t>Joint DR Parties, PG&amp;E, SDG&amp;E and SCE comment that the proposed decision should adopt the recommended LIP revisions from the LIP Working Group Report.</w:t>
      </w:r>
      <w:r w:rsidRPr="00097721">
        <w:rPr>
          <w:rStyle w:val="FootnoteReference"/>
          <w:szCs w:val="26"/>
        </w:rPr>
        <w:footnoteReference w:id="158"/>
      </w:r>
      <w:r w:rsidRPr="00097721">
        <w:rPr>
          <w:szCs w:val="26"/>
        </w:rPr>
        <w:t xml:space="preserve">  SCE states that it did not comment on the Report because its positions were captured in the survey and that if the recommendations are not adopted, a process should be established to provide comments on the Report.  PG&amp;E comments that the Report was based on consensus recommendations and the</w:t>
      </w:r>
      <w:r w:rsidRPr="00097721" w:rsidR="00D85237">
        <w:rPr>
          <w:szCs w:val="26"/>
        </w:rPr>
        <w:t xml:space="preserve"> </w:t>
      </w:r>
      <w:r w:rsidRPr="00097721">
        <w:rPr>
          <w:szCs w:val="26"/>
        </w:rPr>
        <w:t xml:space="preserve">failure to submit comments on the Report should not be a reason to defer adoption.  Joint DR Parties comment that the Working Group was highly collaborative and that the Report was so uncontroversial </w:t>
      </w:r>
      <w:r w:rsidRPr="00097721" w:rsidR="00B90B67">
        <w:rPr>
          <w:szCs w:val="26"/>
        </w:rPr>
        <w:t xml:space="preserve">that </w:t>
      </w:r>
      <w:r w:rsidRPr="00097721">
        <w:rPr>
          <w:szCs w:val="26"/>
        </w:rPr>
        <w:t xml:space="preserve">parties likely did not see a need to submit comments.  </w:t>
      </w:r>
    </w:p>
    <w:p w:rsidRPr="00097721" w:rsidR="004F0AA4" w:rsidP="00AF39F0" w:rsidRDefault="00996E7A" w14:paraId="46968764" w14:textId="13B9FBCF">
      <w:pPr>
        <w:pStyle w:val="Standard"/>
        <w:rPr>
          <w:szCs w:val="26"/>
        </w:rPr>
      </w:pPr>
      <w:r w:rsidRPr="00097721">
        <w:rPr>
          <w:szCs w:val="26"/>
        </w:rPr>
        <w:t>The Commission appreciates parties commenting that consensus was reached in the Working Group process; however, the Report did not indicate that consensus was reached</w:t>
      </w:r>
      <w:r w:rsidRPr="00097721" w:rsidR="00124782">
        <w:rPr>
          <w:szCs w:val="26"/>
        </w:rPr>
        <w:t>,</w:t>
      </w:r>
      <w:r w:rsidRPr="00097721">
        <w:rPr>
          <w:szCs w:val="26"/>
        </w:rPr>
        <w:t xml:space="preserve"> and no party submitted comments on the Report prior to </w:t>
      </w:r>
      <w:r w:rsidRPr="00097721">
        <w:rPr>
          <w:szCs w:val="26"/>
        </w:rPr>
        <w:lastRenderedPageBreak/>
        <w:t xml:space="preserve">the submission of the record.  The Report’s survey results </w:t>
      </w:r>
      <w:r w:rsidRPr="00097721" w:rsidR="00B90B67">
        <w:rPr>
          <w:szCs w:val="26"/>
        </w:rPr>
        <w:t xml:space="preserve">also </w:t>
      </w:r>
      <w:r w:rsidRPr="00097721">
        <w:rPr>
          <w:szCs w:val="26"/>
        </w:rPr>
        <w:t xml:space="preserve">did not reflect a consensus view, nor did it identify </w:t>
      </w:r>
      <w:r w:rsidRPr="00097721" w:rsidR="00D85237">
        <w:rPr>
          <w:szCs w:val="26"/>
        </w:rPr>
        <w:t>stakeholder</w:t>
      </w:r>
      <w:r w:rsidRPr="00097721">
        <w:rPr>
          <w:szCs w:val="26"/>
        </w:rPr>
        <w:t xml:space="preserve"> positions.  The Commission does not necessarily track each Working Group process and relies on a Working Group Report to summarize the culmination of the process.  The Commission therefore could not adequately assess parties’ views of the recommendations in time to consider them for this decision.  The Commission will consider the Working Group Report</w:t>
      </w:r>
      <w:r w:rsidRPr="00097721" w:rsidR="00D85237">
        <w:rPr>
          <w:szCs w:val="26"/>
        </w:rPr>
        <w:t xml:space="preserve">’s recommendations </w:t>
      </w:r>
      <w:r w:rsidRPr="00097721">
        <w:rPr>
          <w:szCs w:val="26"/>
        </w:rPr>
        <w:t>in Track 2 and parties should submit comments on the Report at the same time as comments on all Track 2 proposals, currently scheduled for July 29 and August 12, 2024.</w:t>
      </w:r>
    </w:p>
    <w:p w:rsidRPr="00097721" w:rsidR="00B133FF" w:rsidP="009A48DA" w:rsidRDefault="00B133FF" w14:paraId="50CBE395" w14:textId="5CD615EE">
      <w:pPr>
        <w:pStyle w:val="Heading1"/>
      </w:pPr>
      <w:bookmarkStart w:name="_Toc166841775" w:id="75"/>
      <w:r w:rsidRPr="00097721">
        <w:t>Assignment of Proceeding</w:t>
      </w:r>
      <w:bookmarkEnd w:id="68"/>
      <w:bookmarkEnd w:id="69"/>
      <w:bookmarkEnd w:id="75"/>
    </w:p>
    <w:p w:rsidRPr="00097721" w:rsidR="00B133FF" w:rsidP="009A48DA" w:rsidRDefault="00B133FF" w14:paraId="38E6AD96" w14:textId="0A724BCB">
      <w:pPr>
        <w:pStyle w:val="Standard"/>
      </w:pPr>
      <w:bookmarkStart w:name="_Toc8123725" w:id="76"/>
      <w:r w:rsidRPr="00097721">
        <w:t xml:space="preserve">Alice Reynolds is the assigned Commissioner and Debbie Chiv </w:t>
      </w:r>
      <w:r w:rsidRPr="00097721" w:rsidR="00690B45">
        <w:t xml:space="preserve">is </w:t>
      </w:r>
      <w:r w:rsidRPr="00097721">
        <w:t>the assigned ALJ in this proceeding.</w:t>
      </w:r>
    </w:p>
    <w:p w:rsidRPr="00097721" w:rsidR="00B133FF" w:rsidP="009A48DA" w:rsidRDefault="00B133FF" w14:paraId="049E20E6" w14:textId="77777777">
      <w:pPr>
        <w:pStyle w:val="Dummy"/>
      </w:pPr>
      <w:bookmarkStart w:name="_Toc134018799" w:id="77"/>
      <w:bookmarkStart w:name="_Toc166841776" w:id="78"/>
      <w:r w:rsidRPr="00097721">
        <w:t>Findings of Fact</w:t>
      </w:r>
      <w:bookmarkEnd w:id="76"/>
      <w:bookmarkEnd w:id="77"/>
      <w:bookmarkEnd w:id="78"/>
    </w:p>
    <w:p w:rsidRPr="00097721" w:rsidR="00B133FF" w:rsidP="009A48DA" w:rsidRDefault="00B133FF" w14:paraId="4160BD05" w14:textId="1C567C22">
      <w:pPr>
        <w:pStyle w:val="FoF"/>
      </w:pPr>
      <w:r w:rsidRPr="00097721">
        <w:t xml:space="preserve">CAISO recommended that the existing capacity needed for all local areas is </w:t>
      </w:r>
      <w:r w:rsidRPr="00097721" w:rsidR="004E1189">
        <w:t>22,782</w:t>
      </w:r>
      <w:r w:rsidRPr="00097721">
        <w:t xml:space="preserve"> MWs for 202</w:t>
      </w:r>
      <w:r w:rsidRPr="00097721" w:rsidR="00F60834">
        <w:t>5</w:t>
      </w:r>
      <w:r w:rsidRPr="00097721">
        <w:t xml:space="preserve">, </w:t>
      </w:r>
      <w:r w:rsidRPr="00097721" w:rsidR="004E1189">
        <w:t>23,093</w:t>
      </w:r>
      <w:r w:rsidRPr="00097721">
        <w:t xml:space="preserve"> MWs for 202</w:t>
      </w:r>
      <w:r w:rsidRPr="00097721" w:rsidR="00F60834">
        <w:t>6</w:t>
      </w:r>
      <w:r w:rsidRPr="00097721">
        <w:t xml:space="preserve">, and </w:t>
      </w:r>
      <w:r w:rsidRPr="00097721" w:rsidR="004E1189">
        <w:t>23,547</w:t>
      </w:r>
      <w:r w:rsidRPr="00097721">
        <w:t xml:space="preserve"> MWs for 202</w:t>
      </w:r>
      <w:r w:rsidRPr="00097721" w:rsidR="00F60834">
        <w:t>7</w:t>
      </w:r>
      <w:r w:rsidRPr="00097721">
        <w:t>.</w:t>
      </w:r>
    </w:p>
    <w:p w:rsidRPr="00097721" w:rsidR="00B133FF" w:rsidP="009A48DA" w:rsidRDefault="00B133FF" w14:paraId="37403BC3" w14:textId="494B1AFB">
      <w:pPr>
        <w:pStyle w:val="FoF"/>
      </w:pPr>
      <w:r w:rsidRPr="00097721">
        <w:t xml:space="preserve">CAISO recommended system-wide Flexible Capacity Requirements that range from </w:t>
      </w:r>
      <w:r w:rsidRPr="00097721" w:rsidR="00EB6F25">
        <w:t>27,010</w:t>
      </w:r>
      <w:r w:rsidRPr="00097721">
        <w:t xml:space="preserve"> MWs in </w:t>
      </w:r>
      <w:r w:rsidRPr="00097721" w:rsidR="00EB6F25">
        <w:t>September</w:t>
      </w:r>
      <w:r w:rsidRPr="00097721" w:rsidR="009524C9">
        <w:t xml:space="preserve"> </w:t>
      </w:r>
      <w:r w:rsidRPr="00097721">
        <w:t xml:space="preserve">to </w:t>
      </w:r>
      <w:r w:rsidRPr="00097721" w:rsidR="00EB6F25">
        <w:t>20,533</w:t>
      </w:r>
      <w:r w:rsidRPr="00097721">
        <w:t xml:space="preserve"> MWs in </w:t>
      </w:r>
      <w:r w:rsidRPr="00097721" w:rsidR="00EB6F25">
        <w:t>March</w:t>
      </w:r>
      <w:r w:rsidRPr="00097721">
        <w:t>.</w:t>
      </w:r>
    </w:p>
    <w:p w:rsidRPr="00097721" w:rsidR="00E428AB" w:rsidP="00CB0DA3" w:rsidRDefault="00E428AB" w14:paraId="0D34A48C" w14:textId="24C820A1">
      <w:pPr>
        <w:pStyle w:val="FoF"/>
      </w:pPr>
      <w:r w:rsidRPr="00097721">
        <w:t xml:space="preserve">In D.22-06-050 (and reaffirmed in D.23-04-010), the Commission determined that a single PRM will apply to all hours of the year for initial implementation of the SOD framework. </w:t>
      </w:r>
      <w:r w:rsidRPr="00097721" w:rsidR="00CB0DA3">
        <w:t xml:space="preserve"> </w:t>
      </w:r>
      <w:r w:rsidRPr="00097721">
        <w:t>In Track 1 of this proceeding, the Scoping Memo provided that the Commission will consider the translation of the adopted 17 percent PRM for the 2025 RA compliance year to the SOD framework.</w:t>
      </w:r>
    </w:p>
    <w:p w:rsidRPr="00097721" w:rsidR="00CB0DA3" w:rsidP="009A48DA" w:rsidRDefault="00CB0DA3" w14:paraId="38F0B302" w14:textId="24F8C8BA">
      <w:pPr>
        <w:pStyle w:val="FoF"/>
      </w:pPr>
      <w:r w:rsidRPr="00097721">
        <w:t xml:space="preserve">The Commission is concerned that the reduced demand and shift in peak to July, as reflected in the CEC’s 2023 IEPR demand forecast, may result in a restrictively lower PRM for procurement purposes.  Applying a 17 percent SOD </w:t>
      </w:r>
      <w:r w:rsidRPr="00097721">
        <w:lastRenderedPageBreak/>
        <w:t>PRM for 2025 is a more prudent approach that would help offset uncertainty with the decreased load forecast.</w:t>
      </w:r>
    </w:p>
    <w:p w:rsidRPr="00097721" w:rsidR="007955F1" w:rsidP="007955F1" w:rsidRDefault="007955F1" w14:paraId="4DCBE91F" w14:textId="7EB963BA">
      <w:pPr>
        <w:pStyle w:val="FoF"/>
      </w:pPr>
      <w:r w:rsidRPr="00097721">
        <w:t>Allowing new resources with a COD after T-30 and before the start of the RA compliance month to count towards that month’s RA compliance increase</w:t>
      </w:r>
      <w:r w:rsidRPr="00097721" w:rsidR="003811F7">
        <w:t>s</w:t>
      </w:r>
      <w:r w:rsidRPr="00097721">
        <w:t xml:space="preserve"> the number of resources an LSE can count towards its RA obligations and increase</w:t>
      </w:r>
      <w:r w:rsidRPr="00097721" w:rsidR="003811F7">
        <w:t>s</w:t>
      </w:r>
      <w:r w:rsidRPr="00097721">
        <w:t xml:space="preserve"> the amount of resources with a must-offer obligation that are available to CAISO’s markets to enhance grid reliability.  </w:t>
      </w:r>
    </w:p>
    <w:p w:rsidRPr="00097721" w:rsidR="007955F1" w:rsidP="009A48DA" w:rsidRDefault="00AB2DC4" w14:paraId="455A0C44" w14:textId="6CBC2B52">
      <w:pPr>
        <w:pStyle w:val="FoF"/>
      </w:pPr>
      <w:r w:rsidRPr="00097721">
        <w:t>The grid charging restriction is being addressed as part of a state-of-charge test in the current SOD templates, which will ensure that paired batteries have enough energy to provide capacity from their paired resources.</w:t>
      </w:r>
    </w:p>
    <w:p w:rsidRPr="00097721" w:rsidR="00946261" w:rsidP="009A48DA" w:rsidRDefault="00946261" w14:paraId="3B751A93" w14:textId="4205DB3B">
      <w:pPr>
        <w:pStyle w:val="FoF"/>
      </w:pPr>
      <w:r w:rsidRPr="00097721">
        <w:t>Adjusting exceedance levels for wind and solar resources to a monthly level from the current seasonal level improve</w:t>
      </w:r>
      <w:r w:rsidRPr="00097721" w:rsidR="003811F7">
        <w:t>s</w:t>
      </w:r>
      <w:r w:rsidRPr="00097721">
        <w:t xml:space="preserve"> accuracy in exceedance levels and would not be burdensome on Commission Staff resources.  </w:t>
      </w:r>
    </w:p>
    <w:p w:rsidRPr="00097721" w:rsidR="00D66DAA" w:rsidP="001F1C4C" w:rsidRDefault="00D66DAA" w14:paraId="3E010E20" w14:textId="5D4EB532">
      <w:pPr>
        <w:pStyle w:val="FoF"/>
      </w:pPr>
      <w:r w:rsidRPr="00097721">
        <w:t xml:space="preserve">Allowing energy sufficiency from EO resources to be prorated to all paired storage resources based on the NQC of the storage resources allows the sufficiency benefit of the EO components to remain bundled with the storage, while allowing for further discussion among stakeholders.  </w:t>
      </w:r>
    </w:p>
    <w:p w:rsidRPr="00097721" w:rsidR="0069656D" w:rsidP="001C55A2" w:rsidRDefault="0069656D" w14:paraId="5B2F017B" w14:textId="3A32D73A">
      <w:pPr>
        <w:pStyle w:val="FoF"/>
        <w:rPr>
          <w:rStyle w:val="CommentReference"/>
          <w:sz w:val="26"/>
          <w:szCs w:val="22"/>
        </w:rPr>
      </w:pPr>
      <w:r w:rsidRPr="00097721">
        <w:t xml:space="preserve">For resource-specific solar and wind import resources, </w:t>
      </w:r>
      <w:r w:rsidRPr="00097721" w:rsidR="00776A46">
        <w:t>it is reasonable that an LSE has import allocation rights equal to the RA value shown to the Commission at the peak hour of the month.</w:t>
      </w:r>
    </w:p>
    <w:p w:rsidRPr="00097721" w:rsidR="00D66DAA" w:rsidP="009A48DA" w:rsidRDefault="008755B1" w14:paraId="42C956DD" w14:textId="52D76492">
      <w:pPr>
        <w:pStyle w:val="FoF"/>
      </w:pPr>
      <w:r w:rsidRPr="00097721">
        <w:t>BPA’s proposal for an exemption to the non-resource-specific import requirements, with some modifications, remove</w:t>
      </w:r>
      <w:r w:rsidRPr="00097721" w:rsidR="003811F7">
        <w:t>s</w:t>
      </w:r>
      <w:r w:rsidRPr="00097721">
        <w:t xml:space="preserve"> a barrier for out-of-state suppliers </w:t>
      </w:r>
      <w:r w:rsidRPr="00097721" w:rsidR="003811F7">
        <w:t>and</w:t>
      </w:r>
      <w:r w:rsidRPr="00097721">
        <w:t xml:space="preserve"> incentivize</w:t>
      </w:r>
      <w:r w:rsidRPr="00097721" w:rsidR="003811F7">
        <w:t>s</w:t>
      </w:r>
      <w:r w:rsidRPr="00097721">
        <w:t xml:space="preserve"> suppliers to sell RA imports to California LSEs.  </w:t>
      </w:r>
    </w:p>
    <w:p w:rsidRPr="00097721" w:rsidR="00993A19" w:rsidP="00993A19" w:rsidRDefault="00522901" w14:paraId="7F1E881C" w14:textId="4EC95F02">
      <w:pPr>
        <w:pStyle w:val="FoF"/>
      </w:pPr>
      <w:r w:rsidRPr="00097721">
        <w:t xml:space="preserve">In D.23-12-036, the Commission provided that an unplanned outage at DCPP that results in PG&amp;E’s inability to meet its system RA obligations may be considered in the RA proceeding. </w:t>
      </w:r>
    </w:p>
    <w:p w:rsidRPr="00097721" w:rsidR="004459FE" w:rsidP="004459FE" w:rsidRDefault="004459FE" w14:paraId="1DD2E89E" w14:textId="4C4FFFE3">
      <w:pPr>
        <w:pStyle w:val="FoF"/>
      </w:pPr>
      <w:r w:rsidRPr="00097721">
        <w:lastRenderedPageBreak/>
        <w:t>Allowing the IOUs to use the PCIA market price benchmark to determine substitution capacity costs minimize</w:t>
      </w:r>
      <w:r w:rsidRPr="00097721" w:rsidR="003811F7">
        <w:t>s</w:t>
      </w:r>
      <w:r w:rsidRPr="00097721">
        <w:t xml:space="preserve"> cost shifting between bundled customers and departing load.  </w:t>
      </w:r>
    </w:p>
    <w:p w:rsidRPr="00097721" w:rsidR="00FC3665" w:rsidP="00FC3665" w:rsidRDefault="00993A19" w14:paraId="24AB0A32" w14:textId="7D5D37C1">
      <w:pPr>
        <w:pStyle w:val="FoF"/>
      </w:pPr>
      <w:bookmarkStart w:name="_Hlk165890564" w:id="79"/>
      <w:r w:rsidRPr="00097721">
        <w:t>To ensure that all SOD resources are flagged as such in CAISO’s systems and processes, and subject to CAISO’s RA rules, deliverable resources on SOD RA plans need to be shown to CAISO</w:t>
      </w:r>
      <w:r w:rsidRPr="00097721" w:rsidR="00AD7339">
        <w:t>,</w:t>
      </w:r>
      <w:r w:rsidRPr="00097721" w:rsidR="00FC3665">
        <w:t xml:space="preserve"> with the exception of </w:t>
      </w:r>
      <w:r w:rsidRPr="00097721" w:rsidR="00124782">
        <w:t xml:space="preserve">Q3 2025 </w:t>
      </w:r>
      <w:r w:rsidRPr="00097721" w:rsidR="00FC3665">
        <w:t xml:space="preserve">off-peak imports that are being shown </w:t>
      </w:r>
      <w:r w:rsidRPr="00097721" w:rsidR="00AD7339">
        <w:t xml:space="preserve">only </w:t>
      </w:r>
      <w:r w:rsidRPr="00097721" w:rsidR="00FC3665">
        <w:t>to the Commission to meet SOD requirements</w:t>
      </w:r>
      <w:r w:rsidRPr="00097721">
        <w:t xml:space="preserve">.  </w:t>
      </w:r>
    </w:p>
    <w:p w:rsidRPr="00097721" w:rsidR="00B133FF" w:rsidP="009A48DA" w:rsidRDefault="00B133FF" w14:paraId="12124735" w14:textId="77777777">
      <w:pPr>
        <w:pStyle w:val="Dummy"/>
      </w:pPr>
      <w:bookmarkStart w:name="_Toc8123726" w:id="80"/>
      <w:bookmarkStart w:name="_Toc134018800" w:id="81"/>
      <w:bookmarkStart w:name="_Toc166841777" w:id="82"/>
      <w:bookmarkEnd w:id="79"/>
      <w:r w:rsidRPr="00097721">
        <w:t>Conclusions of Law</w:t>
      </w:r>
      <w:bookmarkEnd w:id="80"/>
      <w:bookmarkEnd w:id="81"/>
      <w:bookmarkEnd w:id="82"/>
    </w:p>
    <w:p w:rsidRPr="00097721" w:rsidR="00B133FF" w:rsidP="009A48DA" w:rsidRDefault="00B133FF" w14:paraId="62427AE4" w14:textId="2F3545D0">
      <w:pPr>
        <w:pStyle w:val="CoL"/>
      </w:pPr>
      <w:r w:rsidRPr="00097721">
        <w:t>CAISO’s recommended LCR study results for 202</w:t>
      </w:r>
      <w:r w:rsidRPr="00097721" w:rsidR="00451246">
        <w:t>5</w:t>
      </w:r>
      <w:r w:rsidRPr="00097721">
        <w:t>-202</w:t>
      </w:r>
      <w:r w:rsidRPr="00097721" w:rsidR="00451246">
        <w:t>7</w:t>
      </w:r>
      <w:r w:rsidRPr="00097721">
        <w:t xml:space="preserve"> are reasonable and should be adopted.</w:t>
      </w:r>
    </w:p>
    <w:p w:rsidRPr="00097721" w:rsidR="00B133FF" w:rsidP="009A48DA" w:rsidRDefault="00B133FF" w14:paraId="2B717756" w14:textId="654D7A38">
      <w:pPr>
        <w:pStyle w:val="CoL"/>
      </w:pPr>
      <w:r w:rsidRPr="00097721">
        <w:t xml:space="preserve">CAISO’s recommended systemwide FCR figures for </w:t>
      </w:r>
      <w:r w:rsidRPr="00097721" w:rsidR="00451246">
        <w:t>2025</w:t>
      </w:r>
      <w:r w:rsidRPr="00097721">
        <w:t xml:space="preserve"> are reasonable and should be adopted.</w:t>
      </w:r>
    </w:p>
    <w:p w:rsidRPr="00097721" w:rsidR="00CB0DA3" w:rsidP="00CB0DA3" w:rsidRDefault="00CB0DA3" w14:paraId="526DCF6E" w14:textId="5DEEADCF">
      <w:pPr>
        <w:pStyle w:val="CoL"/>
      </w:pPr>
      <w:r w:rsidRPr="00097721">
        <w:t xml:space="preserve">Considering the 2023 IEPR demand forecast, a 17 percent PRM is a more appropriate PRM to be applied to the SOD framework for the 2025 RA compliance year.  </w:t>
      </w:r>
    </w:p>
    <w:p w:rsidRPr="00097721" w:rsidR="00CB0DA3" w:rsidP="009A48DA" w:rsidRDefault="007955F1" w14:paraId="0B69D089" w14:textId="5D54E33F">
      <w:pPr>
        <w:pStyle w:val="CoL"/>
      </w:pPr>
      <w:r w:rsidRPr="00097721">
        <w:t>On an interim basis and limited to Ju</w:t>
      </w:r>
      <w:r w:rsidRPr="00097721" w:rsidR="00C666F2">
        <w:t>ne</w:t>
      </w:r>
      <w:r w:rsidRPr="00097721">
        <w:t xml:space="preserve">-September month-ahead filings, it is reasonable to allow new resources with a COD after T-30 and before the start of the RA compliance month (T-1) to count towards that month’s RA compliance.  </w:t>
      </w:r>
    </w:p>
    <w:p w:rsidRPr="00097721" w:rsidR="00AB2DC4" w:rsidP="009A48DA" w:rsidRDefault="00AB2DC4" w14:paraId="795252E6" w14:textId="36DB6F2F">
      <w:pPr>
        <w:pStyle w:val="CoL"/>
      </w:pPr>
      <w:r w:rsidRPr="00097721">
        <w:t xml:space="preserve">As the state-of-charge test </w:t>
      </w:r>
      <w:r w:rsidRPr="00097721" w:rsidR="00B43610">
        <w:t>i</w:t>
      </w:r>
      <w:r w:rsidRPr="00097721">
        <w:t xml:space="preserve">n the SOD template </w:t>
      </w:r>
      <w:r w:rsidRPr="00097721" w:rsidR="00B43610">
        <w:t>is</w:t>
      </w:r>
      <w:r w:rsidRPr="00097721">
        <w:t xml:space="preserve"> addressing the paired resources’ grid-restricted charging limitations, there is no longer a need to derate the QC values of grid-restricted charging resources.  </w:t>
      </w:r>
    </w:p>
    <w:p w:rsidRPr="00097721" w:rsidR="00946261" w:rsidP="009A48DA" w:rsidRDefault="00946261" w14:paraId="7C655C20" w14:textId="62CA7820">
      <w:pPr>
        <w:pStyle w:val="CoL"/>
      </w:pPr>
      <w:r w:rsidRPr="00097721">
        <w:t>Exceedance levels for wind and solar resources should be adjusted to monthly levels under the SOD framework, with updates occurring every three years to balance stability of exceedance values and inclusion of updated data.</w:t>
      </w:r>
    </w:p>
    <w:p w:rsidRPr="00097721" w:rsidR="00F049C8" w:rsidP="009A48DA" w:rsidRDefault="00F049C8" w14:paraId="2FB44795" w14:textId="446F39E5">
      <w:pPr>
        <w:pStyle w:val="CoL"/>
      </w:pPr>
      <w:r w:rsidRPr="00097721">
        <w:lastRenderedPageBreak/>
        <w:t xml:space="preserve">SCE’s clarification to D.23-04-010, Ordering Paragraph 7, is reasonable and was the Commission’s intent in adopting this requirement.  </w:t>
      </w:r>
    </w:p>
    <w:p w:rsidRPr="00097721" w:rsidR="00D66DAA" w:rsidP="00D71F54" w:rsidRDefault="00D66DAA" w14:paraId="0EA90EE3" w14:textId="797CF41C">
      <w:pPr>
        <w:pStyle w:val="CoL"/>
      </w:pPr>
      <w:r w:rsidRPr="00097721">
        <w:t xml:space="preserve">It is reasonable to allow energy sufficiency from EO resources to be prorated to all paired storage resources based on the NQC of the storage resources. </w:t>
      </w:r>
    </w:p>
    <w:p w:rsidRPr="00097721" w:rsidR="0069656D" w:rsidP="0069656D" w:rsidRDefault="0069656D" w14:paraId="007DD877" w14:textId="3BDEDE87">
      <w:pPr>
        <w:pStyle w:val="CoL"/>
      </w:pPr>
      <w:r w:rsidRPr="00097721">
        <w:t xml:space="preserve">For resource-specific solar and wind import resources, an LSE </w:t>
      </w:r>
      <w:r w:rsidRPr="00097721" w:rsidR="00DC0302">
        <w:t xml:space="preserve">should </w:t>
      </w:r>
      <w:r w:rsidRPr="00097721" w:rsidR="00B43610">
        <w:t>ha</w:t>
      </w:r>
      <w:r w:rsidRPr="00097721" w:rsidR="00DC0302">
        <w:t>ve</w:t>
      </w:r>
      <w:r w:rsidRPr="00097721">
        <w:t xml:space="preserve"> import allocation rights equal to the </w:t>
      </w:r>
      <w:r w:rsidRPr="00097721" w:rsidR="002B2B60">
        <w:t>RA value shown to the Commission at the peak hour of the month</w:t>
      </w:r>
      <w:r w:rsidRPr="00097721">
        <w:t>.</w:t>
      </w:r>
      <w:r w:rsidRPr="00097721">
        <w:rPr>
          <w:rStyle w:val="CommentReference"/>
        </w:rPr>
        <w:t xml:space="preserve"> </w:t>
      </w:r>
    </w:p>
    <w:p w:rsidRPr="00097721" w:rsidR="009771AD" w:rsidP="006369C2" w:rsidRDefault="009771AD" w14:paraId="6F91E1DF" w14:textId="1010A5CC">
      <w:pPr>
        <w:pStyle w:val="CoL"/>
      </w:pPr>
      <w:r w:rsidRPr="00097721">
        <w:t>SCE’s proposal to allow off-peak import energy to count towards meeting RA requirements under the SOD framework is reasonable with some modifications and for Q3 2025 only.</w:t>
      </w:r>
    </w:p>
    <w:p w:rsidRPr="00097721" w:rsidR="006369C2" w:rsidP="006369C2" w:rsidRDefault="006369C2" w14:paraId="6AA0A77E" w14:textId="79AFFD35">
      <w:pPr>
        <w:pStyle w:val="CoL"/>
      </w:pPr>
      <w:r w:rsidRPr="00097721">
        <w:t>BPA’s proposal for an exemption to the non-resource-specific import requirements is reasonable with some modifications</w:t>
      </w:r>
      <w:r w:rsidRPr="00097721" w:rsidR="002F3497">
        <w:t xml:space="preserve"> and on an interim basis</w:t>
      </w:r>
      <w:r w:rsidRPr="00097721">
        <w:t xml:space="preserve">.  </w:t>
      </w:r>
    </w:p>
    <w:p w:rsidRPr="00097721" w:rsidR="00D66DAA" w:rsidP="005C0C6C" w:rsidRDefault="005C0C6C" w14:paraId="04C55E7C" w14:textId="53E507AA">
      <w:pPr>
        <w:pStyle w:val="CoL"/>
      </w:pPr>
      <w:r w:rsidRPr="00097721">
        <w:t>It is reasonable and consistent with D.23-12-036 for Energy Division to allocat</w:t>
      </w:r>
      <w:r w:rsidRPr="00097721" w:rsidR="006E06AB">
        <w:t>e</w:t>
      </w:r>
      <w:r w:rsidRPr="00097721">
        <w:t xml:space="preserve"> credits from DCPP to all LSEs.  It is reasonable that in the event of an unplanned outage at DCPP that results in PG&amp;E’s inability to meet its system RA obligations, a limited system waiver process should be adopted, similar to the waiver process for the POLR.  </w:t>
      </w:r>
    </w:p>
    <w:p w:rsidRPr="00097721" w:rsidR="004459FE" w:rsidP="004459FE" w:rsidRDefault="004459FE" w14:paraId="705A2E03" w14:textId="452B01F8">
      <w:pPr>
        <w:pStyle w:val="CoL"/>
      </w:pPr>
      <w:r w:rsidRPr="00097721">
        <w:t xml:space="preserve">It is reasonable to allow an IOU that uses resources from </w:t>
      </w:r>
      <w:r w:rsidRPr="00097721" w:rsidR="00B43610">
        <w:t>its</w:t>
      </w:r>
      <w:r w:rsidRPr="00097721">
        <w:t xml:space="preserve"> PCIA-eligible portfolio to use the PCIA market price benchmark to determine substitution capacity costs</w:t>
      </w:r>
      <w:r w:rsidRPr="00097721" w:rsidR="00B43610">
        <w:t xml:space="preserve"> for CAM resources</w:t>
      </w:r>
      <w:r w:rsidRPr="00097721">
        <w:t xml:space="preserve">.  </w:t>
      </w:r>
    </w:p>
    <w:p w:rsidRPr="00097721" w:rsidR="00FC3665" w:rsidP="00FC3665" w:rsidRDefault="00F73E09" w14:paraId="4A385D7A" w14:textId="0E0F3FF9">
      <w:pPr>
        <w:pStyle w:val="CoL"/>
      </w:pPr>
      <w:r w:rsidRPr="00097721">
        <w:t>It is reasonable that all deliverable resources on SOD RA plans be shown to CAISO</w:t>
      </w:r>
      <w:r w:rsidRPr="00097721" w:rsidR="00FC3665">
        <w:t xml:space="preserve"> with the exception of </w:t>
      </w:r>
      <w:r w:rsidRPr="00097721" w:rsidR="00124782">
        <w:t xml:space="preserve">Q3 2025 </w:t>
      </w:r>
      <w:r w:rsidRPr="00097721" w:rsidR="00FC3665">
        <w:t xml:space="preserve">off-peak imports that are being shown only to the Commission to meet requirements under </w:t>
      </w:r>
      <w:r w:rsidRPr="00097721" w:rsidR="004D6817">
        <w:t xml:space="preserve">the </w:t>
      </w:r>
      <w:r w:rsidRPr="00097721" w:rsidR="00FC3665">
        <w:t>SOD</w:t>
      </w:r>
      <w:r w:rsidRPr="00097721" w:rsidR="004D6817">
        <w:t xml:space="preserve"> framework</w:t>
      </w:r>
      <w:r w:rsidRPr="00097721">
        <w:t xml:space="preserve">.  </w:t>
      </w:r>
    </w:p>
    <w:p w:rsidRPr="00097721" w:rsidR="00B133FF" w:rsidP="004D6403" w:rsidRDefault="00B133FF" w14:paraId="06CA19AA" w14:textId="77777777">
      <w:pPr>
        <w:pStyle w:val="Mainex"/>
      </w:pPr>
      <w:bookmarkStart w:name="_Toc134018801" w:id="83"/>
      <w:bookmarkStart w:name="_Toc166841778" w:id="84"/>
      <w:r w:rsidRPr="00097721">
        <w:t>ORDER</w:t>
      </w:r>
      <w:bookmarkEnd w:id="83"/>
      <w:bookmarkEnd w:id="84"/>
    </w:p>
    <w:p w:rsidRPr="00097721" w:rsidR="00B133FF" w:rsidP="00683A67" w:rsidRDefault="00B133FF" w14:paraId="12474097" w14:textId="38465C45">
      <w:pPr>
        <w:tabs>
          <w:tab w:val="left" w:pos="8105"/>
        </w:tabs>
      </w:pPr>
      <w:r w:rsidRPr="00097721">
        <w:rPr>
          <w:b/>
          <w:bCs/>
        </w:rPr>
        <w:t>IT IS ORDERED</w:t>
      </w:r>
      <w:r w:rsidRPr="00097721">
        <w:t xml:space="preserve"> that:</w:t>
      </w:r>
      <w:r w:rsidRPr="00097721" w:rsidR="00683A67">
        <w:tab/>
      </w:r>
    </w:p>
    <w:p w:rsidRPr="00097721" w:rsidR="00B133FF" w:rsidRDefault="00B133FF" w14:paraId="52858C50" w14:textId="3BB5941F">
      <w:pPr>
        <w:pStyle w:val="OP"/>
        <w:numPr>
          <w:ilvl w:val="0"/>
          <w:numId w:val="9"/>
        </w:numPr>
      </w:pPr>
      <w:r w:rsidRPr="00097721">
        <w:lastRenderedPageBreak/>
        <w:t xml:space="preserve">The Commission approves </w:t>
      </w:r>
      <w:r w:rsidRPr="00097721" w:rsidR="00C14DCC">
        <w:t>22,782</w:t>
      </w:r>
      <w:r w:rsidRPr="00097721">
        <w:t xml:space="preserve"> megawatts as the existing capacity needed for the Local Capacity Requirement for </w:t>
      </w:r>
      <w:r w:rsidRPr="00097721" w:rsidR="00F60834">
        <w:t>2025</w:t>
      </w:r>
      <w:r w:rsidRPr="00097721">
        <w:t>.</w:t>
      </w:r>
    </w:p>
    <w:p w:rsidRPr="00097721" w:rsidR="00B133FF" w:rsidP="004D6403" w:rsidRDefault="00B133FF" w14:paraId="6864C063" w14:textId="34BE7B1D">
      <w:pPr>
        <w:pStyle w:val="OP"/>
      </w:pPr>
      <w:r w:rsidRPr="00097721">
        <w:t xml:space="preserve">The Commission approves </w:t>
      </w:r>
      <w:r w:rsidRPr="00097721" w:rsidR="00C14DCC">
        <w:t>23,093</w:t>
      </w:r>
      <w:r w:rsidRPr="00097721">
        <w:t xml:space="preserve"> megawatts as the existing capacity needed for the Local Capacity Requirement for 202</w:t>
      </w:r>
      <w:r w:rsidRPr="00097721" w:rsidR="00F60834">
        <w:t>6</w:t>
      </w:r>
      <w:r w:rsidRPr="00097721">
        <w:t>.</w:t>
      </w:r>
    </w:p>
    <w:p w:rsidRPr="00097721" w:rsidR="00B133FF" w:rsidP="004D6403" w:rsidRDefault="00B133FF" w14:paraId="7C35824F" w14:textId="4B974365">
      <w:pPr>
        <w:pStyle w:val="OP"/>
      </w:pPr>
      <w:r w:rsidRPr="00097721">
        <w:t xml:space="preserve">The Commission approves </w:t>
      </w:r>
      <w:r w:rsidRPr="00097721" w:rsidR="00C14DCC">
        <w:t>23,547</w:t>
      </w:r>
      <w:r w:rsidRPr="00097721">
        <w:t xml:space="preserve"> megawatts as the existing capacity needed for the Local Capacity Requirement for 202</w:t>
      </w:r>
      <w:r w:rsidRPr="00097721" w:rsidR="00F60834">
        <w:t>7</w:t>
      </w:r>
      <w:r w:rsidRPr="00097721">
        <w:t>.</w:t>
      </w:r>
    </w:p>
    <w:p w:rsidRPr="00097721" w:rsidR="00B133FF" w:rsidP="004D6403" w:rsidRDefault="00B133FF" w14:paraId="2BD50391" w14:textId="6F8A03B2">
      <w:pPr>
        <w:pStyle w:val="OP"/>
      </w:pPr>
      <w:r w:rsidRPr="00097721">
        <w:t xml:space="preserve">The California Independent System Operator’s recommended Flexible Capacity Requirements for </w:t>
      </w:r>
      <w:r w:rsidRPr="00097721" w:rsidR="00F60834">
        <w:t>2025</w:t>
      </w:r>
      <w:r w:rsidRPr="00097721">
        <w:t xml:space="preserve"> are adopted. </w:t>
      </w:r>
    </w:p>
    <w:p w:rsidRPr="00097721" w:rsidR="00CB0DA3" w:rsidP="004D6403" w:rsidRDefault="00CB0DA3" w14:paraId="2713D128" w14:textId="394064DC">
      <w:pPr>
        <w:pStyle w:val="OP"/>
      </w:pPr>
      <w:r w:rsidRPr="00097721">
        <w:t>Beginning with the 2025 Resource Adequacy year, a 17 percent planning reserve margin is adopted to apply to the Slice of Day framework</w:t>
      </w:r>
      <w:r w:rsidRPr="00097721" w:rsidR="007955F1">
        <w:t>.</w:t>
      </w:r>
    </w:p>
    <w:p w:rsidRPr="00097721" w:rsidR="007955F1" w:rsidP="007955F1" w:rsidRDefault="007955F1" w14:paraId="1ADB47D2" w14:textId="1C9EDE6D">
      <w:pPr>
        <w:pStyle w:val="OP"/>
      </w:pPr>
      <w:r w:rsidRPr="00097721">
        <w:t>For Ju</w:t>
      </w:r>
      <w:r w:rsidRPr="00097721" w:rsidR="00C666F2">
        <w:t>ne</w:t>
      </w:r>
      <w:r w:rsidRPr="00097721">
        <w:t xml:space="preserve">-September month-ahead Resource Adequacy (RA) filings, new resources with a commercial operation date (COD) after T-30 and before the start of a load-serving entity’s (LSE) RA compliance month (T-1) may count towards curing an LSE’s identified RA deficiencies for that compliance month, provided that the LSE submits the following documentation to Energy Division:  </w:t>
      </w:r>
    </w:p>
    <w:p w:rsidRPr="00097721" w:rsidR="007955F1" w:rsidRDefault="007955F1" w14:paraId="6AD6AB9C" w14:textId="3663506E">
      <w:pPr>
        <w:pStyle w:val="OP"/>
        <w:numPr>
          <w:ilvl w:val="1"/>
          <w:numId w:val="4"/>
        </w:numPr>
        <w:spacing w:line="240" w:lineRule="auto"/>
        <w:ind w:right="1440"/>
      </w:pPr>
      <w:r w:rsidRPr="00097721">
        <w:t xml:space="preserve">The new resource contract verifying that the resource will be providing a must-offer obligation into the California Independent System Operator’s (CAISO) energy markets consistent with an RA product, and </w:t>
      </w:r>
    </w:p>
    <w:p w:rsidRPr="00097721" w:rsidR="00DE6344" w:rsidP="00141C8C" w:rsidRDefault="00DE6344" w14:paraId="72809FDC" w14:textId="77777777">
      <w:pPr>
        <w:pStyle w:val="OP"/>
        <w:numPr>
          <w:ilvl w:val="0"/>
          <w:numId w:val="0"/>
        </w:numPr>
        <w:spacing w:line="240" w:lineRule="auto"/>
        <w:ind w:left="1152" w:right="1440"/>
      </w:pPr>
    </w:p>
    <w:p w:rsidRPr="00097721" w:rsidR="007955F1" w:rsidP="00141C8C" w:rsidRDefault="007955F1" w14:paraId="7A675FEF" w14:textId="77777777">
      <w:pPr>
        <w:pStyle w:val="OP"/>
        <w:numPr>
          <w:ilvl w:val="1"/>
          <w:numId w:val="4"/>
        </w:numPr>
        <w:spacing w:line="240" w:lineRule="auto"/>
        <w:ind w:right="1440"/>
      </w:pPr>
      <w:r w:rsidRPr="00097721">
        <w:t xml:space="preserve">A COD notice that confirms the resource was online and deliverable before the start of the compliance month (T-1).  </w:t>
      </w:r>
    </w:p>
    <w:p w:rsidRPr="00097721" w:rsidR="007955F1" w:rsidP="00141C8C" w:rsidRDefault="007955F1" w14:paraId="69C4BFF2" w14:textId="77777777">
      <w:pPr>
        <w:pStyle w:val="OP"/>
        <w:numPr>
          <w:ilvl w:val="0"/>
          <w:numId w:val="0"/>
        </w:numPr>
        <w:spacing w:line="240" w:lineRule="auto"/>
        <w:ind w:left="1152"/>
      </w:pPr>
    </w:p>
    <w:p w:rsidRPr="00097721" w:rsidR="00AB2DC4" w:rsidP="00AB2DC4" w:rsidRDefault="007955F1" w14:paraId="7EF6696D" w14:textId="77777777">
      <w:pPr>
        <w:pStyle w:val="ListParagraph"/>
        <w:ind w:left="0" w:firstLine="540"/>
        <w:contextualSpacing w:val="0"/>
      </w:pPr>
      <w:r w:rsidRPr="00097721">
        <w:t xml:space="preserve">The megawatts associated with the identified resource must not accept any CAISO Capacity Procurement Mechanism designation for the associated compliance month.    </w:t>
      </w:r>
    </w:p>
    <w:p w:rsidRPr="00097721" w:rsidR="00AB2DC4" w:rsidP="00141C8C" w:rsidRDefault="00AB2DC4" w14:paraId="68FBAE9F" w14:textId="2309CE01">
      <w:pPr>
        <w:pStyle w:val="ListParagraph"/>
        <w:ind w:left="0" w:firstLine="540"/>
        <w:contextualSpacing w:val="0"/>
      </w:pPr>
      <w:r w:rsidRPr="00097721">
        <w:t xml:space="preserve">To implement the adopted extended cure period, Energy Division will continue to issue deficiency notices prior to T-30.  If an LSE meets the above requirements, after the RA compliance month, Energy Division will refer any </w:t>
      </w:r>
      <w:r w:rsidRPr="00097721">
        <w:lastRenderedPageBreak/>
        <w:t xml:space="preserve">remaining deficiency to the Consumer Protection </w:t>
      </w:r>
      <w:r w:rsidRPr="00097721" w:rsidR="0018029E">
        <w:t xml:space="preserve">and </w:t>
      </w:r>
      <w:r w:rsidRPr="00097721">
        <w:t xml:space="preserve">Enforcement Division.  If the LSE’s new resource cures the LSE’s deficiencies, the LSE’s deficiencies will be considered cured within five business days.  This rule is effective upon the issuance of this decision and may be utilized by LSEs for compliance beginning with the July 2024 month-ahead showing.  </w:t>
      </w:r>
    </w:p>
    <w:p w:rsidRPr="00097721" w:rsidR="00AB2DC4" w:rsidP="00AB2DC4" w:rsidRDefault="00AB2DC4" w14:paraId="5AFA0ED1" w14:textId="759AA2FF">
      <w:pPr>
        <w:pStyle w:val="OP"/>
      </w:pPr>
      <w:r w:rsidRPr="00097721">
        <w:t xml:space="preserve">Under the Slice of Day (SOD) framework, a hybrid and co-located resource’s qualifying capacity (QC) counting methodology will be as follows: the renewable component’s QC value will be calculated the same as other renewable resources’ QC values, the storage component’s QC value will be calculated the same as other storage resources’ QC values, and the total QC value of the resource will be the sum of the two components limited by the Point-of-Interconnection limit and the SOD compliance tool’s state-of-charge test.  This </w:t>
      </w:r>
      <w:r w:rsidRPr="00097721" w:rsidR="00B04B25">
        <w:t>is</w:t>
      </w:r>
      <w:r w:rsidRPr="00097721">
        <w:t xml:space="preserve"> effective for the 2025 Resource Adequacy compliance year.</w:t>
      </w:r>
    </w:p>
    <w:p w:rsidRPr="00097721" w:rsidR="00B04B25" w:rsidP="00177F52" w:rsidRDefault="00B04B25" w14:paraId="1CC0DED7" w14:textId="23B80CAC">
      <w:pPr>
        <w:pStyle w:val="OP"/>
      </w:pPr>
      <w:r w:rsidRPr="00097721">
        <w:t>Under the Slice of Day (SOD) framework, the exceedance levels for wind and solar resources will be adjusted to monthly levels, with the next update to occur in 2024 and subsequent updates every three years thereafter.  This is effective for the 2025 Resource Adequacy compliance year.</w:t>
      </w:r>
    </w:p>
    <w:p w:rsidRPr="00097721" w:rsidR="00F049C8" w:rsidP="00141C8C" w:rsidRDefault="00F049C8" w14:paraId="54197ADE" w14:textId="6586A0BA">
      <w:pPr>
        <w:pStyle w:val="OP"/>
      </w:pPr>
      <w:r w:rsidRPr="00097721">
        <w:t xml:space="preserve">Paired storage resources will be characterized on the Master Resource Database (MRD) as either charging exclusively from paired resources or allowing grid charging.  An energy-only (EO) resource is eligible to count towards the storage charging sufficiency requirement if the EO resource is charging exclusively paired storage, regardless of whether the paired storage is able to charge from the grid.  The charging capacity of the renewable resource will be capped at the amount that can be used to charge the paired storage and the storage will be capped at the interconnection limit.  Paired components will be shown as separate assets on the MRD and load-serving entities’ showings, and </w:t>
      </w:r>
      <w:r w:rsidRPr="00097721">
        <w:lastRenderedPageBreak/>
        <w:t>the total of the components must not exceed the interconnection amount in any hour.</w:t>
      </w:r>
      <w:r w:rsidRPr="00097721" w:rsidR="00425082">
        <w:t xml:space="preserve">  </w:t>
      </w:r>
      <w:r w:rsidRPr="00097721" w:rsidR="00D05A6B">
        <w:t>This is effective upon the issuance of the decision.</w:t>
      </w:r>
    </w:p>
    <w:p w:rsidRPr="00097721" w:rsidR="007955F1" w:rsidP="004D6403" w:rsidRDefault="00593716" w14:paraId="2E9B767D" w14:textId="4A30CCE9">
      <w:pPr>
        <w:pStyle w:val="OP"/>
      </w:pPr>
      <w:r w:rsidRPr="00097721">
        <w:t xml:space="preserve">Beginning with the 2025 Resource Adequacy compliance year, and on an interim basis, energy sufficiency from energy-only resources will be prorated to all paired storage resources based on the net qualifying capacity of the storage resources.  </w:t>
      </w:r>
    </w:p>
    <w:p w:rsidRPr="00097721" w:rsidR="002F3497" w:rsidP="002F3497" w:rsidRDefault="0069656D" w14:paraId="728A7F6E" w14:textId="15C7BCB7">
      <w:pPr>
        <w:pStyle w:val="OP"/>
      </w:pPr>
      <w:r w:rsidRPr="00097721">
        <w:t xml:space="preserve">Beginning with the 2025 Resource Adequacy (RA) compliance year, for resource-specific solar and wind import resources, a load-serving entity (LSE) must have import allocation rights equal to the RA value shown to the Commission at the peak hour of the month, unless the value at the peak hour is zero, in which case the LSE should have import allocation rights equal to the minimum value of 0.1.  </w:t>
      </w:r>
    </w:p>
    <w:p w:rsidRPr="00097721" w:rsidR="0053761F" w:rsidP="002F3497" w:rsidRDefault="0053761F" w14:paraId="71C9852C" w14:textId="43786F16">
      <w:pPr>
        <w:pStyle w:val="OP"/>
      </w:pPr>
      <w:r w:rsidRPr="00097721">
        <w:t>For the 3</w:t>
      </w:r>
      <w:r w:rsidRPr="00097721">
        <w:rPr>
          <w:vertAlign w:val="superscript"/>
        </w:rPr>
        <w:t>rd</w:t>
      </w:r>
      <w:r w:rsidRPr="00097721">
        <w:t xml:space="preserve"> Quarter of 2025, a load-serving entity (LSE) may count off-peak import energy that is not available during the Availability Assessment Hours towards meeting </w:t>
      </w:r>
      <w:r w:rsidRPr="00097721" w:rsidR="004D6817">
        <w:t xml:space="preserve">its </w:t>
      </w:r>
      <w:r w:rsidRPr="00097721">
        <w:t xml:space="preserve">Resource Adequacy requirements under the Slice of Day framework, regardless of whether the import is paired with the on-peak import on a specific branch group, so long as the </w:t>
      </w:r>
      <w:r w:rsidRPr="00097721" w:rsidR="004D6817">
        <w:t xml:space="preserve">off-peak </w:t>
      </w:r>
      <w:r w:rsidRPr="00097721">
        <w:t>import adheres to the</w:t>
      </w:r>
      <w:r w:rsidRPr="00097721" w:rsidR="00482729">
        <w:t xml:space="preserve"> other</w:t>
      </w:r>
      <w:r w:rsidRPr="00097721">
        <w:t xml:space="preserve"> existing import requirements.  To validate that the off-peak energy resource provides </w:t>
      </w:r>
      <w:r w:rsidRPr="00097721" w:rsidR="004D6817">
        <w:t>a</w:t>
      </w:r>
      <w:r w:rsidRPr="00097721">
        <w:t xml:space="preserve"> must-offer obligation to the California Independent System Operator’s markets, the LSE must provide Energy Division with proof demonstrating: (1) the availability of import allocation rights, and (2) if there is an associated on-peak import on the branch group</w:t>
      </w:r>
      <w:r w:rsidRPr="00097721" w:rsidR="004D6817">
        <w:t>,</w:t>
      </w:r>
      <w:r w:rsidRPr="00097721">
        <w:t xml:space="preserve"> to avoid over and under accounting of import allocation right</w:t>
      </w:r>
      <w:r w:rsidRPr="00097721" w:rsidR="004D6817">
        <w:t>s</w:t>
      </w:r>
      <w:r w:rsidRPr="00097721">
        <w:t xml:space="preserve"> availability.</w:t>
      </w:r>
      <w:r w:rsidRPr="00097721" w:rsidR="00124782">
        <w:t xml:space="preserve">  </w:t>
      </w:r>
    </w:p>
    <w:p w:rsidRPr="00097721" w:rsidR="002F3497" w:rsidP="00141C8C" w:rsidRDefault="002F3497" w14:paraId="78D234CB" w14:textId="2A9F660A">
      <w:pPr>
        <w:pStyle w:val="OP"/>
      </w:pPr>
      <w:r w:rsidRPr="00097721">
        <w:t xml:space="preserve">On an interim basis, non-resource-specific imports may be exempt from the non-resource-specific import bidding requirements, provided that the load-serving entity (LSE) submit with its Resource Adequacy (RA) filing an </w:t>
      </w:r>
      <w:r w:rsidRPr="00097721" w:rsidR="001F0F6C">
        <w:t xml:space="preserve">attestation </w:t>
      </w:r>
      <w:r w:rsidRPr="00097721">
        <w:lastRenderedPageBreak/>
        <w:t>from the import provider attesting that the following conditions apply to the non-resource-specific import:</w:t>
      </w:r>
    </w:p>
    <w:p w:rsidRPr="00097721" w:rsidR="003811F7" w:rsidP="00F95CAE" w:rsidRDefault="002F3497" w14:paraId="35A9943A" w14:textId="77777777">
      <w:pPr>
        <w:pStyle w:val="Standard"/>
        <w:numPr>
          <w:ilvl w:val="1"/>
          <w:numId w:val="4"/>
        </w:numPr>
        <w:spacing w:line="240" w:lineRule="auto"/>
      </w:pPr>
      <w:r w:rsidRPr="00097721">
        <w:t>That the import provider owns the energy resources providing the contracted capacity.</w:t>
      </w:r>
    </w:p>
    <w:p w:rsidRPr="00097721" w:rsidR="003811F7" w:rsidP="00F95CAE" w:rsidRDefault="003811F7" w14:paraId="6172BA26" w14:textId="77777777">
      <w:pPr>
        <w:pStyle w:val="Standard"/>
        <w:spacing w:line="240" w:lineRule="auto"/>
        <w:ind w:left="1152" w:firstLine="0"/>
      </w:pPr>
    </w:p>
    <w:p w:rsidRPr="00097721" w:rsidR="003811F7" w:rsidP="00F95CAE" w:rsidRDefault="002F3497" w14:paraId="71269D61" w14:textId="77777777">
      <w:pPr>
        <w:pStyle w:val="Standard"/>
        <w:numPr>
          <w:ilvl w:val="1"/>
          <w:numId w:val="4"/>
        </w:numPr>
        <w:spacing w:line="240" w:lineRule="auto"/>
      </w:pPr>
      <w:r w:rsidRPr="00097721">
        <w:t>That the resources are an aggregation of physically linked resources.</w:t>
      </w:r>
    </w:p>
    <w:p w:rsidRPr="00097721" w:rsidR="003811F7" w:rsidP="00F95CAE" w:rsidRDefault="003811F7" w14:paraId="71708A58" w14:textId="77777777">
      <w:pPr>
        <w:pStyle w:val="ListParagraph"/>
        <w:spacing w:line="240" w:lineRule="auto"/>
      </w:pPr>
    </w:p>
    <w:p w:rsidRPr="00097721" w:rsidR="003811F7" w:rsidP="00F95CAE" w:rsidRDefault="002F3497" w14:paraId="0522C30C" w14:textId="77777777">
      <w:pPr>
        <w:pStyle w:val="Standard"/>
        <w:numPr>
          <w:ilvl w:val="1"/>
          <w:numId w:val="4"/>
        </w:numPr>
        <w:spacing w:line="240" w:lineRule="auto"/>
      </w:pPr>
      <w:r w:rsidRPr="00097721">
        <w:t>That the capacity from the resources is not otherwise encumbered or sold to another party.</w:t>
      </w:r>
    </w:p>
    <w:p w:rsidRPr="00097721" w:rsidR="003811F7" w:rsidP="00F95CAE" w:rsidRDefault="003811F7" w14:paraId="21A1441B" w14:textId="77777777">
      <w:pPr>
        <w:pStyle w:val="ListParagraph"/>
        <w:spacing w:line="240" w:lineRule="auto"/>
      </w:pPr>
    </w:p>
    <w:p w:rsidRPr="00097721" w:rsidR="003811F7" w:rsidP="00F95CAE" w:rsidRDefault="002F3497" w14:paraId="6924D38E" w14:textId="4D31EA99">
      <w:pPr>
        <w:pStyle w:val="Standard"/>
        <w:numPr>
          <w:ilvl w:val="1"/>
          <w:numId w:val="4"/>
        </w:numPr>
        <w:spacing w:line="240" w:lineRule="auto"/>
      </w:pPr>
      <w:r w:rsidRPr="00097721">
        <w:t>That the import provider has firm transmission to the California Independent System Operator (CAISO) balancing authority area for the full amount under contract and that it is backed by operating reserves.</w:t>
      </w:r>
    </w:p>
    <w:p w:rsidRPr="00097721" w:rsidR="003811F7" w:rsidP="00F95CAE" w:rsidRDefault="003811F7" w14:paraId="44D4CBDF" w14:textId="77777777">
      <w:pPr>
        <w:pStyle w:val="ListParagraph"/>
        <w:spacing w:line="240" w:lineRule="auto"/>
      </w:pPr>
    </w:p>
    <w:p w:rsidRPr="00097721" w:rsidR="003811F7" w:rsidP="00F95CAE" w:rsidRDefault="002F3497" w14:paraId="56BF2D94" w14:textId="401A51E5">
      <w:pPr>
        <w:pStyle w:val="Standard"/>
        <w:numPr>
          <w:ilvl w:val="1"/>
          <w:numId w:val="4"/>
        </w:numPr>
        <w:spacing w:line="240" w:lineRule="auto"/>
      </w:pPr>
      <w:r w:rsidRPr="00097721">
        <w:t xml:space="preserve">That the energy will be economically bid into the CAISO day-ahead and real-time markets </w:t>
      </w:r>
      <w:r w:rsidRPr="00097721" w:rsidR="00FE04A4">
        <w:t>in alignment with CAISO must-offer obligation rules for resource-specific imports</w:t>
      </w:r>
      <w:r w:rsidRPr="00097721">
        <w:t>.</w:t>
      </w:r>
    </w:p>
    <w:p w:rsidRPr="00097721" w:rsidR="003811F7" w:rsidP="00F95CAE" w:rsidRDefault="003811F7" w14:paraId="7F447522" w14:textId="77777777">
      <w:pPr>
        <w:pStyle w:val="ListParagraph"/>
        <w:spacing w:line="240" w:lineRule="auto"/>
      </w:pPr>
    </w:p>
    <w:p w:rsidRPr="00097721" w:rsidR="002F3497" w:rsidP="00F95CAE" w:rsidRDefault="002F3497" w14:paraId="713A9835" w14:textId="7E7A155C">
      <w:pPr>
        <w:pStyle w:val="Standard"/>
        <w:numPr>
          <w:ilvl w:val="1"/>
          <w:numId w:val="4"/>
        </w:numPr>
        <w:spacing w:line="240" w:lineRule="auto"/>
      </w:pPr>
      <w:r w:rsidRPr="00097721">
        <w:t>That should the resource</w:t>
      </w:r>
      <w:r w:rsidRPr="00097721" w:rsidR="0018029E">
        <w:t>s</w:t>
      </w:r>
      <w:r w:rsidRPr="00097721">
        <w:t xml:space="preserve"> receive a dispatch from the CAISO market, the energy and transmission will be firm and given priority equal to the LSEs’ native load (i.e., that the energy will not be curtailed, except when the LSE is curtailing its own native load) and will not be curtailed for economic or reliability reasons, except under the circumstances noted above.</w:t>
      </w:r>
    </w:p>
    <w:p w:rsidRPr="00097721" w:rsidR="002F3497" w:rsidP="002F3497" w:rsidRDefault="002F3497" w14:paraId="6FEE0EB4" w14:textId="77777777">
      <w:pPr>
        <w:pStyle w:val="Standard"/>
        <w:spacing w:line="240" w:lineRule="auto"/>
        <w:ind w:firstLine="0"/>
      </w:pPr>
    </w:p>
    <w:p w:rsidRPr="00097721" w:rsidR="00DC6614" w:rsidP="00DC6614" w:rsidRDefault="002F3497" w14:paraId="02696528" w14:textId="2A03FF5E">
      <w:pPr>
        <w:pStyle w:val="Standard"/>
      </w:pPr>
      <w:r w:rsidRPr="00097721">
        <w:t>If the non-resource-specific import meets these requirements, it will be exempt from the current non-resource-specific import bidding requirements.</w:t>
      </w:r>
      <w:r w:rsidRPr="00097721" w:rsidR="00DC6614">
        <w:t xml:space="preserve">  </w:t>
      </w:r>
      <w:r w:rsidRPr="00097721">
        <w:t xml:space="preserve">The </w:t>
      </w:r>
      <w:r w:rsidRPr="00097721" w:rsidR="001F0F6C">
        <w:t>attestation affirming</w:t>
      </w:r>
      <w:r w:rsidRPr="00097721">
        <w:t xml:space="preserve"> the conditions required above must be included with the LSE’s RA filing to Energy Division.  </w:t>
      </w:r>
      <w:r w:rsidRPr="00097721" w:rsidR="00DC6614">
        <w:t>This is effective upon the issuance of the decision.</w:t>
      </w:r>
    </w:p>
    <w:p w:rsidRPr="00097721" w:rsidR="002F3497" w:rsidP="00DC6614" w:rsidRDefault="002F3497" w14:paraId="00CA4E27" w14:textId="63DBCD8C">
      <w:pPr>
        <w:pStyle w:val="Standard"/>
      </w:pPr>
      <w:r w:rsidRPr="00097721">
        <w:t xml:space="preserve">Energy Division is authorized to monitor the bidding behavior of these resources regularly to ascertain issues of speculative supply.  </w:t>
      </w:r>
    </w:p>
    <w:p w:rsidRPr="00097721" w:rsidR="005C0C6C" w:rsidP="005C0C6C" w:rsidRDefault="005C0C6C" w14:paraId="43E5EE68" w14:textId="299A32D7">
      <w:pPr>
        <w:pStyle w:val="OP"/>
      </w:pPr>
      <w:r w:rsidRPr="00097721">
        <w:lastRenderedPageBreak/>
        <w:t>Energy Division will allocate the Resource Adequacy (RA) benefits of the Diablo Canyon Power Plant (DCPP) to all load-serving entities within each investor-owned utilities’ service territory using the Cost Allocation Mechanism.  In the event of an unplanned outage that results in Pacific Gas and Electric Company’s (PG&amp;E) inability to meet its system RA obligations, PG&amp;E is eligible for a limited system waiver.  The waiver request shall be submitted through a Tier 2 Advice Letter that provides: (1) the reason for PG&amp;E’s deficiency in meeting the RA requirement due to the unplanned outage of the DCPP, and (2) a demonstration that PG&amp;E made every reasonable effort to procure replacement capacity to mitigate the unplanned outage.  This is effective upon the issuance of this decision</w:t>
      </w:r>
      <w:r w:rsidRPr="00097721" w:rsidR="00314544">
        <w:t>, commencing with the extended operating periods of DCPP Units 1 and 2.</w:t>
      </w:r>
    </w:p>
    <w:p w:rsidRPr="00097721" w:rsidR="00006B2C" w:rsidP="00006B2C" w:rsidRDefault="00006B2C" w14:paraId="723851BE" w14:textId="0709367D">
      <w:pPr>
        <w:pStyle w:val="OP"/>
      </w:pPr>
      <w:r w:rsidRPr="00097721">
        <w:t>If an investor-owned utility (IOU) uses resources from an IOU’s Power Charge Indifference Adjustment (PCIA)-eligible portfolio, the IOU may use the PCIA market price benchmark to determine substitution capacity costs</w:t>
      </w:r>
      <w:r w:rsidRPr="00097721" w:rsidR="00974913">
        <w:t xml:space="preserve"> for Cost Allocation Mechanism resources</w:t>
      </w:r>
      <w:r w:rsidRPr="00097721">
        <w:t>.  This is effective upon the issuance of the decision.</w:t>
      </w:r>
    </w:p>
    <w:p w:rsidRPr="00097721" w:rsidR="0069656D" w:rsidP="004D6403" w:rsidRDefault="00993A19" w14:paraId="11E75884" w14:textId="642F6254">
      <w:pPr>
        <w:pStyle w:val="OP"/>
      </w:pPr>
      <w:r w:rsidRPr="00097721">
        <w:t xml:space="preserve">Load-serving entities must show all deliverable resources on Slice of Day </w:t>
      </w:r>
      <w:r w:rsidRPr="00097721" w:rsidR="00FC3665">
        <w:t xml:space="preserve">(SOD) </w:t>
      </w:r>
      <w:r w:rsidRPr="00097721">
        <w:t xml:space="preserve">Resource Adequacy </w:t>
      </w:r>
      <w:r w:rsidRPr="00097721" w:rsidR="008C2414">
        <w:t xml:space="preserve">(RA) </w:t>
      </w:r>
      <w:r w:rsidRPr="00097721">
        <w:t>plans to the California Independent System Operator</w:t>
      </w:r>
      <w:r w:rsidRPr="00097721" w:rsidR="00FB0C74">
        <w:t>,</w:t>
      </w:r>
      <w:r w:rsidRPr="00097721" w:rsidR="00FC3665">
        <w:t xml:space="preserve"> with the exception of </w:t>
      </w:r>
      <w:r w:rsidRPr="00097721" w:rsidR="00124782">
        <w:t xml:space="preserve">Q3 2025 </w:t>
      </w:r>
      <w:r w:rsidRPr="00097721" w:rsidR="00FC3665">
        <w:t>off-peak imports that are being shown only to the Commission to meet requirements under the SOD framework</w:t>
      </w:r>
      <w:r w:rsidRPr="00097721">
        <w:t xml:space="preserve">.  This is effective </w:t>
      </w:r>
      <w:r w:rsidRPr="00097721" w:rsidR="008C2414">
        <w:t>for the 2025 RA compliance year</w:t>
      </w:r>
      <w:r w:rsidRPr="00097721">
        <w:t>.</w:t>
      </w:r>
    </w:p>
    <w:p w:rsidRPr="00097721" w:rsidR="00B133FF" w:rsidP="002D4445" w:rsidRDefault="00B133FF" w14:paraId="211D3B76" w14:textId="05014C57">
      <w:pPr>
        <w:pStyle w:val="OP"/>
      </w:pPr>
      <w:r w:rsidRPr="00097721">
        <w:t xml:space="preserve">Rulemaking </w:t>
      </w:r>
      <w:r w:rsidRPr="00097721" w:rsidR="00D222E9">
        <w:t>23-10-</w:t>
      </w:r>
      <w:r w:rsidRPr="00097721" w:rsidR="00E16DC2">
        <w:t xml:space="preserve">011 </w:t>
      </w:r>
      <w:r w:rsidRPr="00097721" w:rsidR="00D222E9">
        <w:t>remains</w:t>
      </w:r>
      <w:r w:rsidRPr="00097721">
        <w:t xml:space="preserve"> </w:t>
      </w:r>
      <w:r w:rsidRPr="00097721" w:rsidR="00D222E9">
        <w:t>open</w:t>
      </w:r>
      <w:r w:rsidRPr="00097721">
        <w:t>.</w:t>
      </w:r>
    </w:p>
    <w:p w:rsidRPr="00097721" w:rsidR="00B133FF" w:rsidP="002D4445" w:rsidRDefault="00B133FF" w14:paraId="797EE56C" w14:textId="77777777">
      <w:pPr>
        <w:pStyle w:val="Standard"/>
      </w:pPr>
      <w:r w:rsidRPr="00097721">
        <w:t>This order is effective today.</w:t>
      </w:r>
    </w:p>
    <w:p w:rsidRPr="00097721" w:rsidR="00D664A9" w:rsidP="00C72361" w:rsidRDefault="00B133FF" w14:paraId="4E929E1D" w14:textId="01808A8A">
      <w:pPr>
        <w:pStyle w:val="Standard"/>
      </w:pPr>
      <w:r w:rsidRPr="00097721">
        <w:t xml:space="preserve">Dated </w:t>
      </w:r>
      <w:r w:rsidRPr="00097721" w:rsidR="00C72361">
        <w:t>______</w:t>
      </w:r>
      <w:r w:rsidRPr="00097721">
        <w:t xml:space="preserve">, at </w:t>
      </w:r>
      <w:r w:rsidRPr="00097721" w:rsidR="00C72361">
        <w:t>_______</w:t>
      </w:r>
      <w:r w:rsidRPr="00097721">
        <w:t>, California.</w:t>
      </w:r>
      <w:bookmarkEnd w:id="0"/>
      <w:r w:rsidRPr="00097721" w:rsidR="00C72361">
        <w:t xml:space="preserve"> </w:t>
      </w:r>
    </w:p>
    <w:p w:rsidRPr="00097721" w:rsidR="00FC3665" w:rsidP="00C72361" w:rsidRDefault="00FC3665" w14:paraId="3708CFF5" w14:textId="77777777">
      <w:pPr>
        <w:pStyle w:val="Standard"/>
      </w:pPr>
    </w:p>
    <w:sectPr w:rsidRPr="00097721" w:rsidR="00FC3665" w:rsidSect="00F14A89">
      <w:headerReference w:type="default" r:id="rId11"/>
      <w:footerReference w:type="default" r:id="rId12"/>
      <w:pgSz w:w="12240" w:h="15840"/>
      <w:pgMar w:top="1728" w:right="1440" w:bottom="1440" w:left="1440" w:header="720" w:footer="720" w:gutter="0"/>
      <w:pgNumType w:start="2"/>
      <w:cols w:space="720"/>
      <w:docGrid w:linePitch="360"/>
    </w:sectPr>
    <w:p>
      <w:r>
        <w:t xml:space="preserve"/>
      </w:r>
    </w:p>
    <w:p>
      <w:r>
        <w:t xml:space="preserve">Attachment 1: </w:t>
      </w:r>
    </w:p>
    <w:p>
      <w:hyperlink w:history="true" r:id="R11ef9afabc054b0b">
        <w:r w:rsidRPr="00CB1292">
          <w:rPr>
            <w:rStyle w:val="Hyperlink"/>
            <w:color w:val="2E74B5" w:themeColor="accent1" w:themeShade="BF"/>
            <w:u w:val="single"/>
          </w:rPr>
          <w:t>Redline (Rev. 1) R.23-10-011 ADOPTING LOCAL CAPACITY OBLIGATIONS.pdf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D4F77" w14:textId="77777777" w:rsidR="004577C1" w:rsidRDefault="004577C1" w:rsidP="0098138E">
      <w:pPr>
        <w:spacing w:line="240" w:lineRule="auto"/>
      </w:pPr>
      <w:r>
        <w:separator/>
      </w:r>
    </w:p>
  </w:endnote>
  <w:endnote w:type="continuationSeparator" w:id="0">
    <w:p w14:paraId="44E93D4E" w14:textId="77777777" w:rsidR="004577C1" w:rsidRDefault="004577C1"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A4C0E" w14:textId="27740D22" w:rsidR="0060258D" w:rsidRDefault="00C25E6F" w:rsidP="007E0FEE">
    <w:pPr>
      <w:tabs>
        <w:tab w:val="center" w:pos="4680"/>
      </w:tabs>
      <w:ind w:firstLine="0"/>
      <w:rPr>
        <w:noProof/>
      </w:rPr>
    </w:pPr>
    <w:r w:rsidRPr="00C25E6F">
      <w:rPr>
        <w:sz w:val="16"/>
        <w:szCs w:val="16"/>
      </w:rPr>
      <w:t>534037558</w:t>
    </w:r>
    <w:sdt>
      <w:sdtPr>
        <w:id w:val="-1642422035"/>
        <w:docPartObj>
          <w:docPartGallery w:val="Page Numbers (Bottom of Page)"/>
          <w:docPartUnique/>
        </w:docPartObj>
      </w:sdtPr>
      <w:sdtEndPr>
        <w:rPr>
          <w:noProof/>
        </w:rPr>
      </w:sdtEndPr>
      <w:sdtContent>
        <w:r w:rsidR="0060258D">
          <w:rPr>
            <w:rFonts w:ascii="Arial" w:hAnsi="Arial" w:cs="Arial"/>
            <w:sz w:val="16"/>
            <w:szCs w:val="16"/>
          </w:rPr>
          <w:tab/>
        </w:r>
        <w:r w:rsidR="0060258D">
          <w:t xml:space="preserve">- </w:t>
        </w:r>
        <w:r w:rsidR="0060258D">
          <w:fldChar w:fldCharType="begin"/>
        </w:r>
        <w:r w:rsidR="0060258D">
          <w:instrText xml:space="preserve"> PAGE   \* MERGEFORMAT </w:instrText>
        </w:r>
        <w:r w:rsidR="0060258D">
          <w:fldChar w:fldCharType="separate"/>
        </w:r>
        <w:r w:rsidR="0060258D">
          <w:rPr>
            <w:noProof/>
          </w:rPr>
          <w:t>2</w:t>
        </w:r>
        <w:r w:rsidR="0060258D">
          <w:rPr>
            <w:noProof/>
          </w:rPr>
          <w:fldChar w:fldCharType="end"/>
        </w:r>
      </w:sdtContent>
    </w:sdt>
    <w:r w:rsidR="0060258D">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39544"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8D7D1" w14:textId="4F518D07" w:rsidR="00EB4480" w:rsidRPr="00EB4480" w:rsidRDefault="0000618D" w:rsidP="0000618D">
    <w:pPr>
      <w:pStyle w:val="Footer"/>
      <w:ind w:firstLine="0"/>
      <w:jc w:val="center"/>
    </w:pPr>
    <w:r>
      <w:t xml:space="preserve">- </w:t>
    </w:r>
    <w:sdt>
      <w:sdtPr>
        <w:id w:val="-10567665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66862" w14:textId="77777777" w:rsidR="004577C1" w:rsidRDefault="004577C1" w:rsidP="00DF58E7">
      <w:pPr>
        <w:spacing w:line="240" w:lineRule="auto"/>
        <w:ind w:firstLine="0"/>
      </w:pPr>
      <w:r>
        <w:separator/>
      </w:r>
    </w:p>
  </w:footnote>
  <w:footnote w:type="continuationSeparator" w:id="0">
    <w:p w14:paraId="683467F6" w14:textId="77777777" w:rsidR="004577C1" w:rsidRDefault="004577C1" w:rsidP="00DF58E7">
      <w:pPr>
        <w:spacing w:line="240" w:lineRule="auto"/>
        <w:ind w:firstLine="0"/>
      </w:pPr>
      <w:r>
        <w:continuationSeparator/>
      </w:r>
    </w:p>
  </w:footnote>
  <w:footnote w:type="continuationNotice" w:id="1">
    <w:p w14:paraId="386CB231" w14:textId="77777777" w:rsidR="004577C1" w:rsidRPr="00DF58E7" w:rsidRDefault="004577C1" w:rsidP="00DF58E7">
      <w:pPr>
        <w:spacing w:line="240" w:lineRule="auto"/>
        <w:ind w:firstLine="0"/>
        <w:jc w:val="right"/>
        <w:rPr>
          <w:i/>
          <w:sz w:val="22"/>
        </w:rPr>
      </w:pPr>
    </w:p>
  </w:footnote>
  <w:footnote w:id="2">
    <w:p w14:paraId="07F927ED" w14:textId="47ABC820" w:rsidR="00B133FF" w:rsidRPr="00ED5B0E" w:rsidRDefault="00B133FF" w:rsidP="00A14C57">
      <w:pPr>
        <w:pStyle w:val="FootnoteText"/>
        <w:ind w:left="288" w:hanging="288"/>
        <w:rPr>
          <w:szCs w:val="22"/>
        </w:rPr>
      </w:pPr>
      <w:r w:rsidRPr="00ED5B0E">
        <w:rPr>
          <w:rStyle w:val="FootnoteReference"/>
          <w:szCs w:val="22"/>
        </w:rPr>
        <w:footnoteRef/>
      </w:r>
      <w:r w:rsidR="008B07DF">
        <w:rPr>
          <w:szCs w:val="22"/>
        </w:rPr>
        <w:t xml:space="preserve"> </w:t>
      </w:r>
      <w:r w:rsidR="00685BDB">
        <w:rPr>
          <w:szCs w:val="22"/>
        </w:rPr>
        <w:tab/>
      </w:r>
      <w:r w:rsidRPr="00ED5B0E">
        <w:rPr>
          <w:szCs w:val="22"/>
        </w:rPr>
        <w:t xml:space="preserve">D.06-06-064 at 17.  </w:t>
      </w:r>
    </w:p>
  </w:footnote>
  <w:footnote w:id="3">
    <w:p w14:paraId="5DD08313" w14:textId="4AD8EC1D" w:rsidR="00D411B9" w:rsidRPr="00D411B9" w:rsidRDefault="00D411B9">
      <w:pPr>
        <w:pStyle w:val="FootnoteText"/>
        <w:rPr>
          <w:lang w:val="en-ZW"/>
        </w:rPr>
      </w:pPr>
      <w:r>
        <w:rPr>
          <w:rStyle w:val="FootnoteReference"/>
        </w:rPr>
        <w:footnoteRef/>
      </w:r>
      <w:r>
        <w:t xml:space="preserve"> </w:t>
      </w:r>
      <w:r>
        <w:rPr>
          <w:lang w:val="en-ZW"/>
        </w:rPr>
        <w:t>PCF Comments on CAISO Final LCR Report at 3.</w:t>
      </w:r>
    </w:p>
  </w:footnote>
  <w:footnote w:id="4">
    <w:p w14:paraId="14065219" w14:textId="50B9A4CF" w:rsidR="00D411B9" w:rsidRPr="00D411B9" w:rsidRDefault="00D411B9">
      <w:pPr>
        <w:pStyle w:val="FootnoteText"/>
        <w:rPr>
          <w:lang w:val="en-ZW"/>
        </w:rPr>
      </w:pPr>
      <w:r>
        <w:rPr>
          <w:rStyle w:val="FootnoteReference"/>
        </w:rPr>
        <w:footnoteRef/>
      </w:r>
      <w:r>
        <w:t xml:space="preserve"> </w:t>
      </w:r>
      <w:r>
        <w:rPr>
          <w:lang w:val="en-ZW"/>
        </w:rPr>
        <w:t>CAISO Reply Comments on CAISO Final LCR Report at 2.</w:t>
      </w:r>
    </w:p>
  </w:footnote>
  <w:footnote w:id="5">
    <w:p w14:paraId="7C7D6BB6" w14:textId="3FC38428" w:rsidR="00B133FF" w:rsidRPr="00ED5B0E" w:rsidRDefault="00B133FF" w:rsidP="00A14C57">
      <w:pPr>
        <w:pStyle w:val="FootnoteText"/>
        <w:ind w:left="288" w:hanging="288"/>
        <w:rPr>
          <w:szCs w:val="22"/>
        </w:rPr>
      </w:pPr>
      <w:r w:rsidRPr="00ED5B0E">
        <w:rPr>
          <w:rStyle w:val="FootnoteReference"/>
          <w:szCs w:val="22"/>
        </w:rPr>
        <w:footnoteRef/>
      </w:r>
      <w:r w:rsidR="0096557C">
        <w:rPr>
          <w:szCs w:val="22"/>
        </w:rPr>
        <w:t xml:space="preserve"> </w:t>
      </w:r>
      <w:r w:rsidR="00685BDB">
        <w:rPr>
          <w:szCs w:val="22"/>
        </w:rPr>
        <w:tab/>
      </w:r>
      <w:r w:rsidRPr="00ED5B0E">
        <w:rPr>
          <w:szCs w:val="22"/>
        </w:rPr>
        <w:t>D.13</w:t>
      </w:r>
      <w:r w:rsidRPr="00ED5B0E">
        <w:rPr>
          <w:szCs w:val="22"/>
        </w:rPr>
        <w:noBreakHyphen/>
        <w:t>06</w:t>
      </w:r>
      <w:r w:rsidRPr="00ED5B0E">
        <w:rPr>
          <w:szCs w:val="22"/>
        </w:rPr>
        <w:noBreakHyphen/>
        <w:t>024 at 2.</w:t>
      </w:r>
    </w:p>
  </w:footnote>
  <w:footnote w:id="6">
    <w:p w14:paraId="099BB348" w14:textId="3AD9C84A" w:rsidR="00A36FE7" w:rsidRPr="001364EC" w:rsidRDefault="00A36FE7" w:rsidP="00141C8C">
      <w:pPr>
        <w:pStyle w:val="FootnoteText"/>
        <w:ind w:left="288" w:hanging="288"/>
        <w:rPr>
          <w:lang w:val="en-ZW"/>
        </w:rPr>
      </w:pPr>
      <w:r>
        <w:rPr>
          <w:rStyle w:val="FootnoteReference"/>
        </w:rPr>
        <w:footnoteRef/>
      </w:r>
      <w:r>
        <w:t xml:space="preserve"> </w:t>
      </w:r>
      <w:r w:rsidR="00685BDB">
        <w:tab/>
      </w:r>
      <w:r>
        <w:rPr>
          <w:lang w:val="en-ZW"/>
        </w:rPr>
        <w:t>D.22-06-050 at O</w:t>
      </w:r>
      <w:r w:rsidR="00AA377D">
        <w:rPr>
          <w:lang w:val="en-ZW"/>
        </w:rPr>
        <w:t xml:space="preserve">rdering </w:t>
      </w:r>
      <w:r>
        <w:rPr>
          <w:lang w:val="en-ZW"/>
        </w:rPr>
        <w:t>P</w:t>
      </w:r>
      <w:r w:rsidR="00AA377D">
        <w:rPr>
          <w:lang w:val="en-ZW"/>
        </w:rPr>
        <w:t>aragraph (OP)</w:t>
      </w:r>
      <w:r>
        <w:rPr>
          <w:lang w:val="en-ZW"/>
        </w:rPr>
        <w:t xml:space="preserve"> 15.</w:t>
      </w:r>
    </w:p>
  </w:footnote>
  <w:footnote w:id="7">
    <w:p w14:paraId="3539895A" w14:textId="3D553486" w:rsidR="00A36FE7" w:rsidRPr="001364EC" w:rsidRDefault="00A36FE7" w:rsidP="00141C8C">
      <w:pPr>
        <w:pStyle w:val="FootnoteText"/>
        <w:ind w:left="288" w:hanging="288"/>
        <w:rPr>
          <w:lang w:val="en-ZW"/>
        </w:rPr>
      </w:pPr>
      <w:r>
        <w:rPr>
          <w:rStyle w:val="FootnoteReference"/>
        </w:rPr>
        <w:footnoteRef/>
      </w:r>
      <w:r>
        <w:t xml:space="preserve"> </w:t>
      </w:r>
      <w:r w:rsidR="00685BDB">
        <w:tab/>
      </w:r>
      <w:r>
        <w:rPr>
          <w:lang w:val="en-ZW"/>
        </w:rPr>
        <w:t>D.23-04-010 at 73.</w:t>
      </w:r>
    </w:p>
  </w:footnote>
  <w:footnote w:id="8">
    <w:p w14:paraId="7B57245F" w14:textId="75625878" w:rsidR="00A36FE7" w:rsidRPr="00B11EFC" w:rsidRDefault="00A36FE7" w:rsidP="00141C8C">
      <w:pPr>
        <w:pStyle w:val="FootnoteText"/>
        <w:ind w:left="288" w:hanging="288"/>
        <w:rPr>
          <w:lang w:val="en-ZW"/>
        </w:rPr>
      </w:pPr>
      <w:r>
        <w:rPr>
          <w:rStyle w:val="FootnoteReference"/>
        </w:rPr>
        <w:footnoteRef/>
      </w:r>
      <w:r>
        <w:t xml:space="preserve"> </w:t>
      </w:r>
      <w:r w:rsidR="00685BDB">
        <w:tab/>
      </w:r>
      <w:r>
        <w:rPr>
          <w:lang w:val="en-ZW"/>
        </w:rPr>
        <w:t>AReM Revised Proposal at 5.</w:t>
      </w:r>
    </w:p>
  </w:footnote>
  <w:footnote w:id="9">
    <w:p w14:paraId="6F7BC533" w14:textId="04511C53" w:rsidR="00A36FE7" w:rsidRPr="0019622B" w:rsidRDefault="00A36FE7" w:rsidP="00141C8C">
      <w:pPr>
        <w:pStyle w:val="FootnoteText"/>
        <w:ind w:left="288" w:hanging="288"/>
        <w:rPr>
          <w:lang w:val="en-ZW"/>
        </w:rPr>
      </w:pPr>
      <w:r>
        <w:rPr>
          <w:rStyle w:val="FootnoteReference"/>
        </w:rPr>
        <w:footnoteRef/>
      </w:r>
      <w:r>
        <w:t xml:space="preserve"> </w:t>
      </w:r>
      <w:r w:rsidR="00685BDB">
        <w:tab/>
      </w:r>
      <w:r>
        <w:rPr>
          <w:lang w:val="en-ZW"/>
        </w:rPr>
        <w:t>CalCCA Revised Proposal at 9.</w:t>
      </w:r>
    </w:p>
  </w:footnote>
  <w:footnote w:id="10">
    <w:p w14:paraId="7A492E15" w14:textId="65F5BC2A" w:rsidR="00A36FE7" w:rsidRPr="00317464" w:rsidRDefault="00A36FE7" w:rsidP="00141C8C">
      <w:pPr>
        <w:pStyle w:val="FootnoteText"/>
        <w:ind w:left="288" w:hanging="288"/>
        <w:rPr>
          <w:lang w:val="en-ZW"/>
        </w:rPr>
      </w:pPr>
      <w:r>
        <w:rPr>
          <w:rStyle w:val="FootnoteReference"/>
        </w:rPr>
        <w:footnoteRef/>
      </w:r>
      <w:r>
        <w:t xml:space="preserve"> </w:t>
      </w:r>
      <w:r w:rsidR="00685BDB">
        <w:tab/>
      </w:r>
      <w:r>
        <w:rPr>
          <w:lang w:val="en-ZW"/>
        </w:rPr>
        <w:t xml:space="preserve">CAISO </w:t>
      </w:r>
      <w:r w:rsidR="006B7076">
        <w:rPr>
          <w:lang w:val="en-ZW"/>
        </w:rPr>
        <w:t xml:space="preserve">Opening </w:t>
      </w:r>
      <w:r>
        <w:rPr>
          <w:lang w:val="en-ZW"/>
        </w:rPr>
        <w:t>Comments at 7</w:t>
      </w:r>
      <w:r w:rsidR="00876599">
        <w:rPr>
          <w:lang w:val="en-ZW"/>
        </w:rPr>
        <w:t xml:space="preserve">, </w:t>
      </w:r>
      <w:r>
        <w:rPr>
          <w:lang w:val="en-ZW"/>
        </w:rPr>
        <w:t xml:space="preserve">CalWEA Reply Comments at 2, Calpine </w:t>
      </w:r>
      <w:r w:rsidR="00EF5B18">
        <w:rPr>
          <w:lang w:val="en-ZW"/>
        </w:rPr>
        <w:t xml:space="preserve">Opening </w:t>
      </w:r>
      <w:r>
        <w:rPr>
          <w:lang w:val="en-ZW"/>
        </w:rPr>
        <w:t xml:space="preserve">Comments at 3, REV </w:t>
      </w:r>
      <w:r w:rsidR="00A057DF">
        <w:rPr>
          <w:lang w:val="en-ZW"/>
        </w:rPr>
        <w:t xml:space="preserve">Opening </w:t>
      </w:r>
      <w:r>
        <w:rPr>
          <w:lang w:val="en-ZW"/>
        </w:rPr>
        <w:t xml:space="preserve">Comments at 7, SDG&amp;E </w:t>
      </w:r>
      <w:r w:rsidR="004F4E09">
        <w:rPr>
          <w:lang w:val="en-ZW"/>
        </w:rPr>
        <w:t xml:space="preserve">Opening </w:t>
      </w:r>
      <w:r>
        <w:rPr>
          <w:lang w:val="en-ZW"/>
        </w:rPr>
        <w:t>Comments at 2</w:t>
      </w:r>
      <w:r w:rsidR="007460C1">
        <w:rPr>
          <w:lang w:val="en-ZW"/>
        </w:rPr>
        <w:t>,</w:t>
      </w:r>
      <w:r w:rsidRPr="005A3943">
        <w:rPr>
          <w:lang w:val="en-ZW"/>
        </w:rPr>
        <w:t xml:space="preserve"> </w:t>
      </w:r>
      <w:r>
        <w:rPr>
          <w:lang w:val="en-ZW"/>
        </w:rPr>
        <w:t xml:space="preserve">SCE </w:t>
      </w:r>
      <w:r w:rsidR="007460C1">
        <w:rPr>
          <w:lang w:val="en-ZW"/>
        </w:rPr>
        <w:t xml:space="preserve">Opening </w:t>
      </w:r>
      <w:r>
        <w:rPr>
          <w:lang w:val="en-ZW"/>
        </w:rPr>
        <w:t>Comments at 3</w:t>
      </w:r>
      <w:r w:rsidR="007460C1">
        <w:rPr>
          <w:lang w:val="en-ZW"/>
        </w:rPr>
        <w:t>,</w:t>
      </w:r>
      <w:r w:rsidRPr="005A3943">
        <w:rPr>
          <w:lang w:val="en-ZW"/>
        </w:rPr>
        <w:t xml:space="preserve"> </w:t>
      </w:r>
      <w:r>
        <w:rPr>
          <w:lang w:val="en-ZW"/>
        </w:rPr>
        <w:t xml:space="preserve">SVCE </w:t>
      </w:r>
      <w:r w:rsidR="007460C1">
        <w:rPr>
          <w:lang w:val="en-ZW"/>
        </w:rPr>
        <w:t xml:space="preserve">Opening </w:t>
      </w:r>
      <w:r>
        <w:rPr>
          <w:lang w:val="en-ZW"/>
        </w:rPr>
        <w:t>Comments at 4.</w:t>
      </w:r>
    </w:p>
  </w:footnote>
  <w:footnote w:id="11">
    <w:p w14:paraId="6479E5DF" w14:textId="76E69CCC" w:rsidR="00A36FE7" w:rsidRPr="004F2374" w:rsidRDefault="00A36FE7" w:rsidP="00141C8C">
      <w:pPr>
        <w:pStyle w:val="FootnoteText"/>
        <w:tabs>
          <w:tab w:val="left" w:pos="2964"/>
        </w:tabs>
        <w:ind w:left="288" w:hanging="288"/>
        <w:rPr>
          <w:lang w:val="en-ZW"/>
        </w:rPr>
      </w:pPr>
      <w:r>
        <w:rPr>
          <w:rStyle w:val="FootnoteReference"/>
        </w:rPr>
        <w:footnoteRef/>
      </w:r>
      <w:r>
        <w:t xml:space="preserve"> </w:t>
      </w:r>
      <w:r w:rsidR="00685BDB">
        <w:tab/>
      </w:r>
      <w:r>
        <w:rPr>
          <w:lang w:val="en-ZW"/>
        </w:rPr>
        <w:t xml:space="preserve">SCE </w:t>
      </w:r>
      <w:r w:rsidR="00BF5563">
        <w:rPr>
          <w:lang w:val="en-ZW"/>
        </w:rPr>
        <w:t xml:space="preserve">Opening </w:t>
      </w:r>
      <w:r>
        <w:rPr>
          <w:lang w:val="en-ZW"/>
        </w:rPr>
        <w:t>Comments at 3.</w:t>
      </w:r>
      <w:r>
        <w:rPr>
          <w:lang w:val="en-ZW"/>
        </w:rPr>
        <w:tab/>
      </w:r>
    </w:p>
  </w:footnote>
  <w:footnote w:id="12">
    <w:p w14:paraId="33747ACC" w14:textId="71C875BA" w:rsidR="00A36FE7" w:rsidRPr="00606225" w:rsidRDefault="00A36FE7" w:rsidP="00141C8C">
      <w:pPr>
        <w:pStyle w:val="FootnoteText"/>
        <w:ind w:left="288" w:hanging="288"/>
        <w:rPr>
          <w:lang w:val="en-ZW"/>
        </w:rPr>
      </w:pPr>
      <w:r>
        <w:rPr>
          <w:rStyle w:val="FootnoteReference"/>
        </w:rPr>
        <w:footnoteRef/>
      </w:r>
      <w:r>
        <w:t xml:space="preserve"> </w:t>
      </w:r>
      <w:r w:rsidR="00685BDB">
        <w:tab/>
      </w:r>
      <w:r>
        <w:rPr>
          <w:lang w:val="en-ZW"/>
        </w:rPr>
        <w:t>CalCCA Opening</w:t>
      </w:r>
      <w:r w:rsidR="00AF428B">
        <w:rPr>
          <w:lang w:val="en-ZW"/>
        </w:rPr>
        <w:t xml:space="preserve"> Comments</w:t>
      </w:r>
      <w:r>
        <w:rPr>
          <w:lang w:val="en-ZW"/>
        </w:rPr>
        <w:t xml:space="preserve"> at 16.</w:t>
      </w:r>
    </w:p>
  </w:footnote>
  <w:footnote w:id="13">
    <w:p w14:paraId="1697B556" w14:textId="58682B93" w:rsidR="00A36FE7" w:rsidRPr="00784DE2" w:rsidRDefault="00A36FE7" w:rsidP="00141C8C">
      <w:pPr>
        <w:pStyle w:val="FootnoteText"/>
        <w:ind w:left="288" w:hanging="288"/>
        <w:rPr>
          <w:lang w:val="en-ZW"/>
        </w:rPr>
      </w:pPr>
      <w:r>
        <w:rPr>
          <w:rStyle w:val="FootnoteReference"/>
        </w:rPr>
        <w:footnoteRef/>
      </w:r>
      <w:r>
        <w:t xml:space="preserve"> </w:t>
      </w:r>
      <w:r w:rsidR="00685BDB">
        <w:tab/>
      </w:r>
      <w:r>
        <w:rPr>
          <w:lang w:val="en-ZW"/>
        </w:rPr>
        <w:t xml:space="preserve">PG&amp;E Opening </w:t>
      </w:r>
      <w:r w:rsidR="008A25EF">
        <w:rPr>
          <w:lang w:val="en-ZW"/>
        </w:rPr>
        <w:t xml:space="preserve">Comments </w:t>
      </w:r>
      <w:r>
        <w:rPr>
          <w:lang w:val="en-ZW"/>
        </w:rPr>
        <w:t>at 14.</w:t>
      </w:r>
    </w:p>
  </w:footnote>
  <w:footnote w:id="14">
    <w:p w14:paraId="551453D2" w14:textId="4BDF2546" w:rsidR="00A36FE7" w:rsidRPr="00192987" w:rsidRDefault="00A36FE7" w:rsidP="00141C8C">
      <w:pPr>
        <w:pStyle w:val="FootnoteText"/>
        <w:ind w:left="288" w:hanging="288"/>
        <w:rPr>
          <w:lang w:val="en-ZW"/>
        </w:rPr>
      </w:pPr>
      <w:r>
        <w:rPr>
          <w:rStyle w:val="FootnoteReference"/>
        </w:rPr>
        <w:footnoteRef/>
      </w:r>
      <w:r>
        <w:t xml:space="preserve"> </w:t>
      </w:r>
      <w:r w:rsidR="00685BDB">
        <w:tab/>
      </w:r>
      <w:r>
        <w:rPr>
          <w:lang w:val="en-ZW"/>
        </w:rPr>
        <w:t>PG&amp;E Reply Comments at 3.</w:t>
      </w:r>
    </w:p>
  </w:footnote>
  <w:footnote w:id="15">
    <w:p w14:paraId="07E0863F" w14:textId="6BAAF63F" w:rsidR="00A36FE7" w:rsidRPr="005D7C78" w:rsidRDefault="00A36FE7" w:rsidP="00141C8C">
      <w:pPr>
        <w:pStyle w:val="FootnoteText"/>
        <w:ind w:left="288" w:hanging="288"/>
        <w:rPr>
          <w:lang w:val="en-ZW"/>
        </w:rPr>
      </w:pPr>
      <w:r>
        <w:rPr>
          <w:rStyle w:val="FootnoteReference"/>
        </w:rPr>
        <w:footnoteRef/>
      </w:r>
      <w:r>
        <w:t xml:space="preserve"> </w:t>
      </w:r>
      <w:r w:rsidR="00685BDB">
        <w:tab/>
      </w:r>
      <w:r>
        <w:rPr>
          <w:lang w:val="en-ZW"/>
        </w:rPr>
        <w:t xml:space="preserve">MRP Opening </w:t>
      </w:r>
      <w:r w:rsidR="007A2BCD">
        <w:rPr>
          <w:lang w:val="en-ZW"/>
        </w:rPr>
        <w:t xml:space="preserve">Comments </w:t>
      </w:r>
      <w:r>
        <w:rPr>
          <w:lang w:val="en-ZW"/>
        </w:rPr>
        <w:t>at 13.</w:t>
      </w:r>
    </w:p>
  </w:footnote>
  <w:footnote w:id="16">
    <w:p w14:paraId="4B8AC207" w14:textId="236CDED0" w:rsidR="00A36FE7" w:rsidRPr="00127ED1" w:rsidRDefault="00A36FE7" w:rsidP="00141C8C">
      <w:pPr>
        <w:pStyle w:val="FootnoteText"/>
        <w:ind w:left="288" w:hanging="288"/>
        <w:rPr>
          <w:lang w:val="en-ZW"/>
        </w:rPr>
      </w:pPr>
      <w:r>
        <w:rPr>
          <w:rStyle w:val="FootnoteReference"/>
        </w:rPr>
        <w:footnoteRef/>
      </w:r>
      <w:r>
        <w:t xml:space="preserve"> </w:t>
      </w:r>
      <w:r w:rsidR="00685BDB">
        <w:tab/>
      </w:r>
      <w:r>
        <w:rPr>
          <w:lang w:val="en-ZW"/>
        </w:rPr>
        <w:t xml:space="preserve">Shell </w:t>
      </w:r>
      <w:r w:rsidR="002E19A7">
        <w:rPr>
          <w:lang w:val="en-ZW"/>
        </w:rPr>
        <w:t xml:space="preserve">Energy </w:t>
      </w:r>
      <w:r>
        <w:rPr>
          <w:lang w:val="en-ZW"/>
        </w:rPr>
        <w:t>Opening Comments at 3.</w:t>
      </w:r>
    </w:p>
  </w:footnote>
  <w:footnote w:id="17">
    <w:p w14:paraId="254267A7" w14:textId="1C2DAC9F" w:rsidR="00A36FE7" w:rsidRPr="00155899" w:rsidRDefault="00A36FE7" w:rsidP="00141C8C">
      <w:pPr>
        <w:pStyle w:val="FootnoteText"/>
        <w:ind w:left="288" w:hanging="288"/>
        <w:rPr>
          <w:lang w:val="en-ZW"/>
        </w:rPr>
      </w:pPr>
      <w:r>
        <w:rPr>
          <w:rStyle w:val="FootnoteReference"/>
        </w:rPr>
        <w:footnoteRef/>
      </w:r>
      <w:r>
        <w:t xml:space="preserve"> </w:t>
      </w:r>
      <w:r w:rsidR="00685BDB">
        <w:tab/>
      </w:r>
      <w:r w:rsidR="009804FF">
        <w:rPr>
          <w:lang w:val="en-ZW"/>
        </w:rPr>
        <w:t>Sierra C</w:t>
      </w:r>
      <w:r w:rsidR="00B14E40">
        <w:rPr>
          <w:lang w:val="en-ZW"/>
        </w:rPr>
        <w:t>l</w:t>
      </w:r>
      <w:r w:rsidR="009804FF">
        <w:rPr>
          <w:lang w:val="en-ZW"/>
        </w:rPr>
        <w:t>ub</w:t>
      </w:r>
      <w:r>
        <w:rPr>
          <w:lang w:val="en-ZW"/>
        </w:rPr>
        <w:t>/CEJA Reply Comments at 7.</w:t>
      </w:r>
    </w:p>
  </w:footnote>
  <w:footnote w:id="18">
    <w:p w14:paraId="7F8F34BA" w14:textId="041655B7" w:rsidR="00A36FE7" w:rsidRPr="00DB4274" w:rsidRDefault="00A36FE7" w:rsidP="00141C8C">
      <w:pPr>
        <w:pStyle w:val="FootnoteText"/>
        <w:ind w:left="288" w:hanging="288"/>
        <w:rPr>
          <w:lang w:val="en-ZW"/>
        </w:rPr>
      </w:pPr>
      <w:r>
        <w:rPr>
          <w:rStyle w:val="FootnoteReference"/>
        </w:rPr>
        <w:footnoteRef/>
      </w:r>
      <w:r>
        <w:t xml:space="preserve"> </w:t>
      </w:r>
      <w:r w:rsidR="00685BDB">
        <w:tab/>
      </w:r>
      <w:r>
        <w:rPr>
          <w:lang w:val="en-ZW"/>
        </w:rPr>
        <w:t>D.23-04-010 at 71.</w:t>
      </w:r>
    </w:p>
  </w:footnote>
  <w:footnote w:id="19">
    <w:p w14:paraId="33E6B337" w14:textId="569A7775" w:rsidR="00A36FE7" w:rsidRPr="0033359A" w:rsidRDefault="00A36FE7" w:rsidP="00141C8C">
      <w:pPr>
        <w:pStyle w:val="FootnoteText"/>
        <w:ind w:left="288" w:hanging="288"/>
        <w:rPr>
          <w:lang w:val="en-ZW"/>
        </w:rPr>
      </w:pPr>
      <w:r>
        <w:rPr>
          <w:rStyle w:val="FootnoteReference"/>
        </w:rPr>
        <w:footnoteRef/>
      </w:r>
      <w:r>
        <w:t xml:space="preserve"> </w:t>
      </w:r>
      <w:r w:rsidR="00685BDB">
        <w:tab/>
      </w:r>
      <w:r w:rsidR="004B2D42" w:rsidRPr="004B2D42">
        <w:rPr>
          <w:i/>
          <w:iCs/>
          <w:lang w:val="en-ZW"/>
        </w:rPr>
        <w:t>Id</w:t>
      </w:r>
      <w:r>
        <w:rPr>
          <w:lang w:val="en-ZW"/>
        </w:rPr>
        <w:t>.</w:t>
      </w:r>
    </w:p>
  </w:footnote>
  <w:footnote w:id="20">
    <w:p w14:paraId="11D29AC9" w14:textId="74B42CE0" w:rsidR="001D4487" w:rsidRPr="00A14C57" w:rsidRDefault="001D4487" w:rsidP="00141C8C">
      <w:pPr>
        <w:pStyle w:val="FootnoteText"/>
        <w:ind w:left="288" w:hanging="288"/>
        <w:rPr>
          <w:lang w:val="en-ZW"/>
        </w:rPr>
      </w:pPr>
      <w:r>
        <w:rPr>
          <w:rStyle w:val="FootnoteReference"/>
        </w:rPr>
        <w:footnoteRef/>
      </w:r>
      <w:r>
        <w:t xml:space="preserve"> </w:t>
      </w:r>
      <w:r w:rsidR="00A14C57">
        <w:tab/>
      </w:r>
      <w:r>
        <w:t>Energy Division Study for Proceeding R.21-10-002, Loss of Load Expectation and Slice of Day Tool Analysis for 2024, issued January 20, 2023</w:t>
      </w:r>
      <w:r w:rsidR="0034187C">
        <w:t xml:space="preserve"> (January 2023 LOLE Study)</w:t>
      </w:r>
      <w:r>
        <w:t xml:space="preserve">, available at: </w:t>
      </w:r>
      <w:hyperlink r:id="rId1" w:history="1">
        <w:r>
          <w:rPr>
            <w:rStyle w:val="Hyperlink"/>
          </w:rPr>
          <w:t>3_study-for-ra-proposals-2023.pdf (ca.gov)</w:t>
        </w:r>
      </w:hyperlink>
      <w:r>
        <w:t>.</w:t>
      </w:r>
    </w:p>
  </w:footnote>
  <w:footnote w:id="21">
    <w:p w14:paraId="35B3C8CE" w14:textId="5201B683" w:rsidR="00BC7BF0" w:rsidRPr="00FB731B" w:rsidRDefault="00BC7BF0" w:rsidP="00141C8C">
      <w:pPr>
        <w:pStyle w:val="FootnoteText"/>
        <w:ind w:left="288" w:hanging="288"/>
        <w:rPr>
          <w:lang w:val="en-ZW"/>
        </w:rPr>
      </w:pPr>
      <w:r>
        <w:rPr>
          <w:rStyle w:val="FootnoteReference"/>
        </w:rPr>
        <w:footnoteRef/>
      </w:r>
      <w:r>
        <w:t xml:space="preserve"> </w:t>
      </w:r>
      <w:r w:rsidR="00685BDB">
        <w:tab/>
      </w:r>
      <w:r>
        <w:rPr>
          <w:lang w:val="en-ZW"/>
        </w:rPr>
        <w:t xml:space="preserve">D.23-06-029 at </w:t>
      </w:r>
      <w:r w:rsidR="00E33A58">
        <w:rPr>
          <w:lang w:val="en-ZW"/>
        </w:rPr>
        <w:t>Finding of Fact 4</w:t>
      </w:r>
      <w:r>
        <w:rPr>
          <w:lang w:val="en-ZW"/>
        </w:rPr>
        <w:t>.</w:t>
      </w:r>
    </w:p>
  </w:footnote>
  <w:footnote w:id="22">
    <w:p w14:paraId="5AC27873" w14:textId="5FEFD58D" w:rsidR="00FD48FD" w:rsidRPr="00D140A1" w:rsidRDefault="00FD48FD" w:rsidP="00141C8C">
      <w:pPr>
        <w:pStyle w:val="FootnoteText"/>
        <w:ind w:left="288" w:hanging="288"/>
        <w:rPr>
          <w:lang w:val="en-ZW"/>
        </w:rPr>
      </w:pPr>
      <w:r>
        <w:rPr>
          <w:rStyle w:val="FootnoteReference"/>
        </w:rPr>
        <w:footnoteRef/>
      </w:r>
      <w:r>
        <w:t xml:space="preserve"> </w:t>
      </w:r>
      <w:r>
        <w:tab/>
      </w:r>
      <w:r>
        <w:rPr>
          <w:lang w:val="en-ZW"/>
        </w:rPr>
        <w:t>D.22-06-050 at OP 27; D.23-04-010 at 59.</w:t>
      </w:r>
    </w:p>
  </w:footnote>
  <w:footnote w:id="23">
    <w:p w14:paraId="4D2B65EB" w14:textId="741528EC" w:rsidR="00BC7BF0" w:rsidRPr="00C21AB3" w:rsidRDefault="00BC7BF0" w:rsidP="00141C8C">
      <w:pPr>
        <w:pStyle w:val="FootnoteText"/>
        <w:ind w:left="288" w:hanging="288"/>
        <w:rPr>
          <w:lang w:val="en-ZW"/>
        </w:rPr>
      </w:pPr>
      <w:r>
        <w:rPr>
          <w:rStyle w:val="FootnoteReference"/>
        </w:rPr>
        <w:footnoteRef/>
      </w:r>
      <w:r>
        <w:t xml:space="preserve"> </w:t>
      </w:r>
      <w:r w:rsidR="00685BDB">
        <w:tab/>
      </w:r>
      <w:r>
        <w:rPr>
          <w:lang w:val="en-ZW"/>
        </w:rPr>
        <w:t xml:space="preserve">Scoping Memo at </w:t>
      </w:r>
      <w:r w:rsidR="00C35AB3">
        <w:rPr>
          <w:lang w:val="en-ZW"/>
        </w:rPr>
        <w:t>4.</w:t>
      </w:r>
    </w:p>
  </w:footnote>
  <w:footnote w:id="24">
    <w:p w14:paraId="1D2F92A4" w14:textId="576FEA45" w:rsidR="00D232B0" w:rsidRPr="00D232B0" w:rsidRDefault="00D232B0" w:rsidP="00141C8C">
      <w:pPr>
        <w:pStyle w:val="FootnoteText"/>
        <w:ind w:left="288" w:hanging="288"/>
        <w:rPr>
          <w:lang w:val="en-ZW"/>
        </w:rPr>
      </w:pPr>
      <w:r>
        <w:rPr>
          <w:rStyle w:val="FootnoteReference"/>
        </w:rPr>
        <w:footnoteRef/>
      </w:r>
      <w:r>
        <w:t xml:space="preserve"> </w:t>
      </w:r>
      <w:r w:rsidR="00685BDB">
        <w:tab/>
      </w:r>
      <w:r w:rsidR="00DF1482">
        <w:rPr>
          <w:lang w:val="en-ZW"/>
        </w:rPr>
        <w:t>Energy Division</w:t>
      </w:r>
      <w:r>
        <w:rPr>
          <w:lang w:val="en-ZW"/>
        </w:rPr>
        <w:t xml:space="preserve"> Proposal at 3.</w:t>
      </w:r>
    </w:p>
  </w:footnote>
  <w:footnote w:id="25">
    <w:p w14:paraId="581AABC2" w14:textId="1C170558" w:rsidR="00AD539C" w:rsidRPr="00375B38" w:rsidRDefault="00AD539C" w:rsidP="00141C8C">
      <w:pPr>
        <w:pStyle w:val="FootnoteText"/>
        <w:ind w:left="288" w:hanging="288"/>
        <w:rPr>
          <w:lang w:val="en-ZW"/>
        </w:rPr>
      </w:pPr>
      <w:r>
        <w:rPr>
          <w:rStyle w:val="FootnoteReference"/>
        </w:rPr>
        <w:footnoteRef/>
      </w:r>
      <w:r>
        <w:t xml:space="preserve"> </w:t>
      </w:r>
      <w:r w:rsidR="00375B38">
        <w:tab/>
      </w:r>
      <w:r>
        <w:t>The SOD PRM derived from the January 2023 LOLE study used the 202</w:t>
      </w:r>
      <w:r w:rsidR="006E49A8">
        <w:t>1</w:t>
      </w:r>
      <w:r>
        <w:t xml:space="preserve"> IEPR forecast. </w:t>
      </w:r>
      <w:r w:rsidRPr="00375B38">
        <w:rPr>
          <w:i/>
          <w:iCs/>
        </w:rPr>
        <w:t>See</w:t>
      </w:r>
      <w:r>
        <w:t xml:space="preserve"> Energy Division January 2023 LOLE Study.</w:t>
      </w:r>
    </w:p>
  </w:footnote>
  <w:footnote w:id="26">
    <w:p w14:paraId="639D961E" w14:textId="54098806" w:rsidR="006B5D8F" w:rsidRPr="006B5D8F" w:rsidRDefault="006B5D8F" w:rsidP="00141C8C">
      <w:pPr>
        <w:pStyle w:val="FootnoteText"/>
        <w:ind w:left="288" w:hanging="288"/>
        <w:rPr>
          <w:lang w:val="en-ZW"/>
        </w:rPr>
      </w:pPr>
      <w:r>
        <w:rPr>
          <w:rStyle w:val="FootnoteReference"/>
        </w:rPr>
        <w:footnoteRef/>
      </w:r>
      <w:r>
        <w:t xml:space="preserve"> </w:t>
      </w:r>
      <w:r w:rsidR="00685BDB">
        <w:tab/>
      </w:r>
      <w:r w:rsidR="00821A0B">
        <w:rPr>
          <w:lang w:val="en-ZW"/>
        </w:rPr>
        <w:t>Energy Division</w:t>
      </w:r>
      <w:r>
        <w:rPr>
          <w:lang w:val="en-ZW"/>
        </w:rPr>
        <w:t xml:space="preserve"> Proposal at 10.</w:t>
      </w:r>
    </w:p>
  </w:footnote>
  <w:footnote w:id="27">
    <w:p w14:paraId="4674D0DF" w14:textId="59F6172B" w:rsidR="00E028DF" w:rsidRPr="00081E70" w:rsidRDefault="00E028DF" w:rsidP="00141C8C">
      <w:pPr>
        <w:pStyle w:val="FootnoteText"/>
        <w:ind w:left="288" w:hanging="288"/>
        <w:rPr>
          <w:lang w:val="en-ZW"/>
        </w:rPr>
      </w:pPr>
      <w:r>
        <w:rPr>
          <w:rStyle w:val="FootnoteReference"/>
        </w:rPr>
        <w:footnoteRef/>
      </w:r>
      <w:r>
        <w:t xml:space="preserve"> </w:t>
      </w:r>
      <w:r w:rsidR="00685BDB">
        <w:tab/>
      </w:r>
      <w:r>
        <w:rPr>
          <w:lang w:val="en-ZW"/>
        </w:rPr>
        <w:t xml:space="preserve">Ava </w:t>
      </w:r>
      <w:r w:rsidR="00821A0B">
        <w:rPr>
          <w:lang w:val="en-ZW"/>
        </w:rPr>
        <w:t xml:space="preserve">Opening </w:t>
      </w:r>
      <w:r>
        <w:rPr>
          <w:lang w:val="en-ZW"/>
        </w:rPr>
        <w:t>Comments at 4</w:t>
      </w:r>
      <w:r w:rsidR="00821A0B">
        <w:rPr>
          <w:lang w:val="en-ZW"/>
        </w:rPr>
        <w:t>,</w:t>
      </w:r>
      <w:r w:rsidRPr="00E028DF">
        <w:rPr>
          <w:lang w:val="en-ZW"/>
        </w:rPr>
        <w:t xml:space="preserve"> </w:t>
      </w:r>
      <w:r>
        <w:rPr>
          <w:lang w:val="en-ZW"/>
        </w:rPr>
        <w:t xml:space="preserve">CalCCA </w:t>
      </w:r>
      <w:r w:rsidR="00821A0B">
        <w:rPr>
          <w:lang w:val="en-ZW"/>
        </w:rPr>
        <w:t xml:space="preserve">Opening </w:t>
      </w:r>
      <w:r>
        <w:rPr>
          <w:lang w:val="en-ZW"/>
        </w:rPr>
        <w:t>Comments at 18</w:t>
      </w:r>
      <w:r w:rsidR="00821A0B">
        <w:rPr>
          <w:lang w:val="en-ZW"/>
        </w:rPr>
        <w:t>,</w:t>
      </w:r>
      <w:r w:rsidR="00C7620A" w:rsidRPr="00C7620A">
        <w:rPr>
          <w:lang w:val="en-ZW"/>
        </w:rPr>
        <w:t xml:space="preserve"> </w:t>
      </w:r>
      <w:r w:rsidR="00C7620A">
        <w:rPr>
          <w:lang w:val="en-ZW"/>
        </w:rPr>
        <w:t xml:space="preserve">PG&amp;E </w:t>
      </w:r>
      <w:r w:rsidR="00821A0B">
        <w:rPr>
          <w:lang w:val="en-ZW"/>
        </w:rPr>
        <w:t xml:space="preserve">Opening </w:t>
      </w:r>
      <w:r w:rsidR="00C7620A">
        <w:rPr>
          <w:lang w:val="en-ZW"/>
        </w:rPr>
        <w:t>Comments at 11.</w:t>
      </w:r>
    </w:p>
  </w:footnote>
  <w:footnote w:id="28">
    <w:p w14:paraId="21D10D40" w14:textId="0041B346" w:rsidR="00D27FEB" w:rsidRPr="00081E70" w:rsidRDefault="00D27FEB" w:rsidP="00141C8C">
      <w:pPr>
        <w:pStyle w:val="FootnoteText"/>
        <w:ind w:left="288" w:hanging="288"/>
        <w:rPr>
          <w:lang w:val="en-ZW"/>
        </w:rPr>
      </w:pPr>
      <w:r>
        <w:rPr>
          <w:rStyle w:val="FootnoteReference"/>
        </w:rPr>
        <w:footnoteRef/>
      </w:r>
      <w:r>
        <w:t xml:space="preserve"> </w:t>
      </w:r>
      <w:r w:rsidR="00685BDB">
        <w:tab/>
      </w:r>
      <w:r>
        <w:rPr>
          <w:lang w:val="en-ZW"/>
        </w:rPr>
        <w:t>Microsoft</w:t>
      </w:r>
      <w:r w:rsidR="0076667A">
        <w:rPr>
          <w:lang w:val="en-ZW"/>
        </w:rPr>
        <w:t xml:space="preserve"> Opening</w:t>
      </w:r>
      <w:r>
        <w:rPr>
          <w:lang w:val="en-ZW"/>
        </w:rPr>
        <w:t xml:space="preserve"> Comments at 5.</w:t>
      </w:r>
    </w:p>
  </w:footnote>
  <w:footnote w:id="29">
    <w:p w14:paraId="1A00B2DF" w14:textId="52C4F7AF" w:rsidR="00D27FEB" w:rsidRPr="00081E70" w:rsidRDefault="00D27FEB" w:rsidP="00141C8C">
      <w:pPr>
        <w:pStyle w:val="FootnoteText"/>
        <w:ind w:left="288" w:hanging="288"/>
        <w:rPr>
          <w:lang w:val="en-ZW"/>
        </w:rPr>
      </w:pPr>
      <w:r>
        <w:rPr>
          <w:rStyle w:val="FootnoteReference"/>
        </w:rPr>
        <w:footnoteRef/>
      </w:r>
      <w:r>
        <w:t xml:space="preserve"> </w:t>
      </w:r>
      <w:r w:rsidR="00685BDB">
        <w:tab/>
      </w:r>
      <w:r>
        <w:rPr>
          <w:lang w:val="en-ZW"/>
        </w:rPr>
        <w:t xml:space="preserve">Vistra </w:t>
      </w:r>
      <w:r w:rsidR="007E1434">
        <w:rPr>
          <w:lang w:val="en-ZW"/>
        </w:rPr>
        <w:t xml:space="preserve">Opening </w:t>
      </w:r>
      <w:r>
        <w:rPr>
          <w:lang w:val="en-ZW"/>
        </w:rPr>
        <w:t>Comments at 4.</w:t>
      </w:r>
    </w:p>
  </w:footnote>
  <w:footnote w:id="30">
    <w:p w14:paraId="2C8C4CDC" w14:textId="761AE4F7" w:rsidR="00DD26DA" w:rsidRPr="00B86148" w:rsidRDefault="00DD26DA" w:rsidP="00141C8C">
      <w:pPr>
        <w:pStyle w:val="FootnoteText"/>
        <w:ind w:left="288" w:hanging="288"/>
        <w:rPr>
          <w:lang w:val="en-ZW"/>
        </w:rPr>
      </w:pPr>
      <w:r>
        <w:rPr>
          <w:rStyle w:val="FootnoteReference"/>
        </w:rPr>
        <w:footnoteRef/>
      </w:r>
      <w:r>
        <w:t xml:space="preserve"> </w:t>
      </w:r>
      <w:r w:rsidR="00685BDB">
        <w:tab/>
      </w:r>
      <w:r>
        <w:rPr>
          <w:lang w:val="en-ZW"/>
        </w:rPr>
        <w:t xml:space="preserve">CAISO </w:t>
      </w:r>
      <w:r w:rsidR="00F66DA5">
        <w:rPr>
          <w:lang w:val="en-ZW"/>
        </w:rPr>
        <w:t xml:space="preserve">Opening </w:t>
      </w:r>
      <w:r>
        <w:rPr>
          <w:lang w:val="en-ZW"/>
        </w:rPr>
        <w:t>Comments at 3.</w:t>
      </w:r>
    </w:p>
  </w:footnote>
  <w:footnote w:id="31">
    <w:p w14:paraId="050DFD95" w14:textId="3F208EE3" w:rsidR="00DD26DA" w:rsidRPr="00515835" w:rsidRDefault="00DD26DA" w:rsidP="00141C8C">
      <w:pPr>
        <w:pStyle w:val="FootnoteText"/>
        <w:ind w:left="288" w:hanging="288"/>
        <w:rPr>
          <w:lang w:val="en-ZW"/>
        </w:rPr>
      </w:pPr>
      <w:r>
        <w:rPr>
          <w:rStyle w:val="FootnoteReference"/>
        </w:rPr>
        <w:footnoteRef/>
      </w:r>
      <w:r>
        <w:t xml:space="preserve"> </w:t>
      </w:r>
      <w:r w:rsidR="00685BDB">
        <w:tab/>
      </w:r>
      <w:r>
        <w:rPr>
          <w:lang w:val="en-ZW"/>
        </w:rPr>
        <w:t>SCE Reply Comments at 4.</w:t>
      </w:r>
    </w:p>
  </w:footnote>
  <w:footnote w:id="32">
    <w:p w14:paraId="441838D4" w14:textId="704DCDD6" w:rsidR="00CF2E98" w:rsidRPr="00DD26DA" w:rsidRDefault="00CF2E98" w:rsidP="00141C8C">
      <w:pPr>
        <w:pStyle w:val="FootnoteText"/>
        <w:ind w:left="288" w:hanging="288"/>
        <w:rPr>
          <w:lang w:val="en-ZW"/>
        </w:rPr>
      </w:pPr>
      <w:r>
        <w:rPr>
          <w:rStyle w:val="FootnoteReference"/>
        </w:rPr>
        <w:footnoteRef/>
      </w:r>
      <w:r>
        <w:t xml:space="preserve"> </w:t>
      </w:r>
      <w:r w:rsidR="00685BDB">
        <w:tab/>
      </w:r>
      <w:r>
        <w:rPr>
          <w:lang w:val="en-ZW"/>
        </w:rPr>
        <w:t>SCE Opening Comments at 5, WPTF Opening Comments at 3,</w:t>
      </w:r>
      <w:r w:rsidR="004A123B" w:rsidRPr="004A123B">
        <w:rPr>
          <w:lang w:val="en-ZW"/>
        </w:rPr>
        <w:t xml:space="preserve"> </w:t>
      </w:r>
      <w:r w:rsidR="004A123B">
        <w:rPr>
          <w:lang w:val="en-ZW"/>
        </w:rPr>
        <w:t>MRP Opening Comments at 5.</w:t>
      </w:r>
    </w:p>
  </w:footnote>
  <w:footnote w:id="33">
    <w:p w14:paraId="09BBC649" w14:textId="48EFE8BD" w:rsidR="005A5431" w:rsidRPr="005A5431" w:rsidRDefault="005A5431" w:rsidP="00141C8C">
      <w:pPr>
        <w:pStyle w:val="FootnoteText"/>
        <w:ind w:left="288" w:hanging="288"/>
        <w:rPr>
          <w:lang w:val="en-ZW"/>
        </w:rPr>
      </w:pPr>
      <w:r>
        <w:rPr>
          <w:rStyle w:val="FootnoteReference"/>
        </w:rPr>
        <w:footnoteRef/>
      </w:r>
      <w:r>
        <w:t xml:space="preserve"> </w:t>
      </w:r>
      <w:r w:rsidR="00685BDB">
        <w:tab/>
      </w:r>
      <w:r>
        <w:rPr>
          <w:lang w:val="en-ZW"/>
        </w:rPr>
        <w:t>PG&amp;E Reply Comments at 5.</w:t>
      </w:r>
    </w:p>
  </w:footnote>
  <w:footnote w:id="34">
    <w:p w14:paraId="1A9A859D" w14:textId="28B4CD07" w:rsidR="00DD1C78" w:rsidRPr="009F3188" w:rsidRDefault="00DD1C78" w:rsidP="00141C8C">
      <w:pPr>
        <w:pStyle w:val="FootnoteText"/>
        <w:ind w:left="288" w:hanging="288"/>
        <w:rPr>
          <w:lang w:val="en-ZW"/>
        </w:rPr>
      </w:pPr>
      <w:r>
        <w:rPr>
          <w:rStyle w:val="FootnoteReference"/>
        </w:rPr>
        <w:footnoteRef/>
      </w:r>
      <w:r>
        <w:t xml:space="preserve"> </w:t>
      </w:r>
      <w:r w:rsidR="00685BDB">
        <w:tab/>
      </w:r>
      <w:r>
        <w:rPr>
          <w:lang w:val="en-ZW"/>
        </w:rPr>
        <w:t>Calpine Reply Comments at 3.</w:t>
      </w:r>
    </w:p>
  </w:footnote>
  <w:footnote w:id="35">
    <w:p w14:paraId="5FC86359" w14:textId="730382CF" w:rsidR="003840B1" w:rsidRPr="003840B1" w:rsidRDefault="003840B1" w:rsidP="00141C8C">
      <w:pPr>
        <w:pStyle w:val="FootnoteText"/>
        <w:ind w:left="288" w:hanging="288"/>
        <w:rPr>
          <w:lang w:val="en-ZW"/>
        </w:rPr>
      </w:pPr>
      <w:r>
        <w:rPr>
          <w:rStyle w:val="FootnoteReference"/>
        </w:rPr>
        <w:footnoteRef/>
      </w:r>
      <w:r>
        <w:t xml:space="preserve"> </w:t>
      </w:r>
      <w:r w:rsidR="00685BDB">
        <w:tab/>
      </w:r>
      <w:r>
        <w:rPr>
          <w:lang w:val="en-ZW"/>
        </w:rPr>
        <w:t>CEERT Reply Comments at 4.</w:t>
      </w:r>
    </w:p>
  </w:footnote>
  <w:footnote w:id="36">
    <w:p w14:paraId="434D6170" w14:textId="74C9CFE4" w:rsidR="00354E0A" w:rsidRPr="00354E0A" w:rsidRDefault="00354E0A" w:rsidP="00141C8C">
      <w:pPr>
        <w:pStyle w:val="FootnoteText"/>
        <w:ind w:left="288" w:hanging="288"/>
        <w:rPr>
          <w:lang w:val="en-ZW"/>
        </w:rPr>
      </w:pPr>
      <w:r>
        <w:rPr>
          <w:rStyle w:val="FootnoteReference"/>
        </w:rPr>
        <w:footnoteRef/>
      </w:r>
      <w:r>
        <w:t xml:space="preserve"> </w:t>
      </w:r>
      <w:r w:rsidR="00685BDB">
        <w:tab/>
      </w:r>
      <w:r>
        <w:rPr>
          <w:lang w:val="en-ZW"/>
        </w:rPr>
        <w:t>Scoping Memo at 4.</w:t>
      </w:r>
    </w:p>
  </w:footnote>
  <w:footnote w:id="37">
    <w:p w14:paraId="3DE6EEC6" w14:textId="03B0045E" w:rsidR="00B442E4" w:rsidRPr="00B442E4" w:rsidRDefault="00B442E4" w:rsidP="00141C8C">
      <w:pPr>
        <w:pStyle w:val="FootnoteText"/>
        <w:ind w:left="288" w:hanging="288"/>
        <w:rPr>
          <w:lang w:val="en-ZW"/>
        </w:rPr>
      </w:pPr>
      <w:r>
        <w:rPr>
          <w:rStyle w:val="FootnoteReference"/>
        </w:rPr>
        <w:footnoteRef/>
      </w:r>
      <w:r>
        <w:t xml:space="preserve"> </w:t>
      </w:r>
      <w:r w:rsidR="00685BDB">
        <w:tab/>
      </w:r>
      <w:r>
        <w:rPr>
          <w:lang w:val="en-ZW"/>
        </w:rPr>
        <w:t>Energy Division Proposal at 4.</w:t>
      </w:r>
    </w:p>
  </w:footnote>
  <w:footnote w:id="38">
    <w:p w14:paraId="1488D9DC" w14:textId="472BC8D0" w:rsidR="00A0725E" w:rsidRPr="00585A45" w:rsidRDefault="00A0725E" w:rsidP="00141C8C">
      <w:pPr>
        <w:pStyle w:val="FootnoteText"/>
        <w:ind w:left="288" w:hanging="288"/>
        <w:rPr>
          <w:lang w:val="en-ZW"/>
        </w:rPr>
      </w:pPr>
      <w:r>
        <w:rPr>
          <w:rStyle w:val="FootnoteReference"/>
        </w:rPr>
        <w:footnoteRef/>
      </w:r>
      <w:r>
        <w:t xml:space="preserve"> </w:t>
      </w:r>
      <w:r w:rsidR="00685BDB">
        <w:tab/>
      </w:r>
      <w:r>
        <w:rPr>
          <w:lang w:val="en-ZW"/>
        </w:rPr>
        <w:t xml:space="preserve">SDG&amp;E </w:t>
      </w:r>
      <w:r w:rsidR="00920D4D">
        <w:rPr>
          <w:lang w:val="en-ZW"/>
        </w:rPr>
        <w:t xml:space="preserve">Opening </w:t>
      </w:r>
      <w:r>
        <w:rPr>
          <w:lang w:val="en-ZW"/>
        </w:rPr>
        <w:t>Comments at 10</w:t>
      </w:r>
      <w:r w:rsidR="00920D4D">
        <w:rPr>
          <w:lang w:val="en-ZW"/>
        </w:rPr>
        <w:t>,</w:t>
      </w:r>
      <w:r>
        <w:rPr>
          <w:lang w:val="en-ZW"/>
        </w:rPr>
        <w:t xml:space="preserve"> Microsoft </w:t>
      </w:r>
      <w:r w:rsidR="00920D4D">
        <w:rPr>
          <w:lang w:val="en-ZW"/>
        </w:rPr>
        <w:t xml:space="preserve">Opening </w:t>
      </w:r>
      <w:r>
        <w:rPr>
          <w:lang w:val="en-ZW"/>
        </w:rPr>
        <w:t>Comments at 8</w:t>
      </w:r>
      <w:r w:rsidR="00920D4D">
        <w:rPr>
          <w:lang w:val="en-ZW"/>
        </w:rPr>
        <w:t>,</w:t>
      </w:r>
      <w:r w:rsidR="00D86231">
        <w:rPr>
          <w:lang w:val="en-ZW"/>
        </w:rPr>
        <w:t xml:space="preserve"> Cal Advocates Reply Comments at 3.</w:t>
      </w:r>
    </w:p>
  </w:footnote>
  <w:footnote w:id="39">
    <w:p w14:paraId="6AB89E4E" w14:textId="45548058" w:rsidR="004B7355" w:rsidRPr="004B7355" w:rsidRDefault="004B7355" w:rsidP="00141C8C">
      <w:pPr>
        <w:pStyle w:val="FootnoteText"/>
        <w:ind w:left="288" w:hanging="288"/>
        <w:rPr>
          <w:lang w:val="en-ZW"/>
        </w:rPr>
      </w:pPr>
      <w:r>
        <w:rPr>
          <w:rStyle w:val="FootnoteReference"/>
        </w:rPr>
        <w:footnoteRef/>
      </w:r>
      <w:r>
        <w:t xml:space="preserve"> </w:t>
      </w:r>
      <w:r w:rsidR="00685BDB">
        <w:tab/>
      </w:r>
      <w:r>
        <w:rPr>
          <w:lang w:val="en-ZW"/>
        </w:rPr>
        <w:t>Scoping Memo at 4.</w:t>
      </w:r>
    </w:p>
  </w:footnote>
  <w:footnote w:id="40">
    <w:p w14:paraId="16BE43FB" w14:textId="72B8FF65" w:rsidR="007C184B" w:rsidRPr="007C184B" w:rsidRDefault="007C184B" w:rsidP="00141C8C">
      <w:pPr>
        <w:pStyle w:val="FootnoteText"/>
        <w:ind w:left="288" w:hanging="288"/>
        <w:rPr>
          <w:lang w:val="en-ZW"/>
        </w:rPr>
      </w:pPr>
      <w:r>
        <w:rPr>
          <w:rStyle w:val="FootnoteReference"/>
        </w:rPr>
        <w:footnoteRef/>
      </w:r>
      <w:r>
        <w:t xml:space="preserve"> </w:t>
      </w:r>
      <w:r w:rsidR="00685BDB">
        <w:tab/>
      </w:r>
      <w:r>
        <w:rPr>
          <w:lang w:val="en-ZW"/>
        </w:rPr>
        <w:t>CalCCA Proposal at 9.</w:t>
      </w:r>
    </w:p>
  </w:footnote>
  <w:footnote w:id="41">
    <w:p w14:paraId="03EE24F3" w14:textId="28A949A1" w:rsidR="0014150F" w:rsidRPr="0014150F" w:rsidRDefault="0014150F" w:rsidP="00141C8C">
      <w:pPr>
        <w:pStyle w:val="FootnoteText"/>
        <w:ind w:left="288" w:hanging="288"/>
        <w:rPr>
          <w:lang w:val="en-ZW"/>
        </w:rPr>
      </w:pPr>
      <w:r>
        <w:rPr>
          <w:rStyle w:val="FootnoteReference"/>
        </w:rPr>
        <w:footnoteRef/>
      </w:r>
      <w:r>
        <w:t xml:space="preserve"> </w:t>
      </w:r>
      <w:r w:rsidR="00A0662A">
        <w:tab/>
      </w:r>
      <w:r>
        <w:rPr>
          <w:lang w:val="en-ZW"/>
        </w:rPr>
        <w:t>SCE Proposal at 2.</w:t>
      </w:r>
    </w:p>
  </w:footnote>
  <w:footnote w:id="42">
    <w:p w14:paraId="0AEBC4FA" w14:textId="017A79C9" w:rsidR="00E53DB5" w:rsidRPr="00E53DB5" w:rsidRDefault="00E53DB5" w:rsidP="00141C8C">
      <w:pPr>
        <w:pStyle w:val="FootnoteText"/>
        <w:ind w:left="288" w:hanging="288"/>
        <w:rPr>
          <w:lang w:val="en-ZW"/>
        </w:rPr>
      </w:pPr>
      <w:r>
        <w:rPr>
          <w:rStyle w:val="FootnoteReference"/>
        </w:rPr>
        <w:footnoteRef/>
      </w:r>
      <w:r>
        <w:t xml:space="preserve"> </w:t>
      </w:r>
      <w:r w:rsidR="00A0662A">
        <w:tab/>
      </w:r>
      <w:r>
        <w:rPr>
          <w:lang w:val="en-ZW"/>
        </w:rPr>
        <w:t xml:space="preserve">ACP-CA Proposal at </w:t>
      </w:r>
      <w:r w:rsidR="00F244E0">
        <w:rPr>
          <w:lang w:val="en-ZW"/>
        </w:rPr>
        <w:t>11.</w:t>
      </w:r>
    </w:p>
  </w:footnote>
  <w:footnote w:id="43">
    <w:p w14:paraId="0D4FC2A2" w14:textId="035432A0" w:rsidR="007A23EE" w:rsidRPr="008031E1" w:rsidRDefault="007A23EE" w:rsidP="00141C8C">
      <w:pPr>
        <w:pStyle w:val="FootnoteText"/>
        <w:ind w:left="288" w:hanging="288"/>
        <w:rPr>
          <w:lang w:val="en-ZW"/>
        </w:rPr>
      </w:pPr>
      <w:r>
        <w:rPr>
          <w:rStyle w:val="FootnoteReference"/>
        </w:rPr>
        <w:footnoteRef/>
      </w:r>
      <w:r>
        <w:t xml:space="preserve"> </w:t>
      </w:r>
      <w:r w:rsidR="00685BDB">
        <w:tab/>
      </w:r>
      <w:r w:rsidR="001E2D57">
        <w:rPr>
          <w:lang w:val="en-ZW"/>
        </w:rPr>
        <w:t>ACP-CA Revised Proposal at 10</w:t>
      </w:r>
      <w:r w:rsidR="00654F67">
        <w:rPr>
          <w:lang w:val="en-ZW"/>
        </w:rPr>
        <w:t xml:space="preserve">, </w:t>
      </w:r>
      <w:r w:rsidR="001E2D57">
        <w:rPr>
          <w:lang w:val="en-ZW"/>
        </w:rPr>
        <w:t xml:space="preserve">REV </w:t>
      </w:r>
      <w:r w:rsidR="00654F67">
        <w:rPr>
          <w:lang w:val="en-ZW"/>
        </w:rPr>
        <w:t xml:space="preserve">Opening </w:t>
      </w:r>
      <w:r w:rsidR="001E2D57">
        <w:rPr>
          <w:lang w:val="en-ZW"/>
        </w:rPr>
        <w:t>Comments at 6</w:t>
      </w:r>
      <w:r w:rsidR="00654F67">
        <w:rPr>
          <w:lang w:val="en-ZW"/>
        </w:rPr>
        <w:t>,</w:t>
      </w:r>
      <w:r w:rsidR="001E2D57">
        <w:rPr>
          <w:lang w:val="en-ZW"/>
        </w:rPr>
        <w:t xml:space="preserve"> Shell </w:t>
      </w:r>
      <w:r w:rsidR="00654F67">
        <w:rPr>
          <w:lang w:val="en-ZW"/>
        </w:rPr>
        <w:t xml:space="preserve">Energy </w:t>
      </w:r>
      <w:r w:rsidR="001E2D57">
        <w:rPr>
          <w:lang w:val="en-ZW"/>
        </w:rPr>
        <w:t>Comments at 1</w:t>
      </w:r>
      <w:r w:rsidR="00654F67">
        <w:rPr>
          <w:lang w:val="en-ZW"/>
        </w:rPr>
        <w:t>,</w:t>
      </w:r>
      <w:r w:rsidR="001E2D57">
        <w:rPr>
          <w:lang w:val="en-ZW"/>
        </w:rPr>
        <w:t xml:space="preserve"> </w:t>
      </w:r>
      <w:r>
        <w:rPr>
          <w:lang w:val="en-ZW"/>
        </w:rPr>
        <w:t>SJCE Proposal at 3</w:t>
      </w:r>
      <w:r w:rsidR="00F54C40">
        <w:rPr>
          <w:lang w:val="en-ZW"/>
        </w:rPr>
        <w:t>,</w:t>
      </w:r>
      <w:r w:rsidRPr="007A23EE">
        <w:rPr>
          <w:lang w:val="en-ZW"/>
        </w:rPr>
        <w:t xml:space="preserve"> </w:t>
      </w:r>
      <w:r w:rsidR="00153A4B">
        <w:rPr>
          <w:lang w:val="en-ZW"/>
        </w:rPr>
        <w:t>SVCE Proposal at 2.</w:t>
      </w:r>
    </w:p>
  </w:footnote>
  <w:footnote w:id="44">
    <w:p w14:paraId="6002F707" w14:textId="090C2B10" w:rsidR="00E402E5" w:rsidRPr="00FF11FE" w:rsidRDefault="00E402E5" w:rsidP="00141C8C">
      <w:pPr>
        <w:pStyle w:val="FootnoteText"/>
        <w:ind w:left="288" w:hanging="288"/>
        <w:rPr>
          <w:lang w:val="en-ZW"/>
        </w:rPr>
      </w:pPr>
      <w:r>
        <w:rPr>
          <w:rStyle w:val="FootnoteReference"/>
        </w:rPr>
        <w:footnoteRef/>
      </w:r>
      <w:r>
        <w:t xml:space="preserve"> </w:t>
      </w:r>
      <w:r w:rsidR="00685BDB">
        <w:tab/>
      </w:r>
      <w:r>
        <w:rPr>
          <w:lang w:val="en-ZW"/>
        </w:rPr>
        <w:t xml:space="preserve">SCE </w:t>
      </w:r>
      <w:r w:rsidR="000F212E">
        <w:rPr>
          <w:lang w:val="en-ZW"/>
        </w:rPr>
        <w:t xml:space="preserve">Opening </w:t>
      </w:r>
      <w:r>
        <w:rPr>
          <w:lang w:val="en-ZW"/>
        </w:rPr>
        <w:t>Comments at 3.</w:t>
      </w:r>
    </w:p>
  </w:footnote>
  <w:footnote w:id="45">
    <w:p w14:paraId="3B99550A" w14:textId="72120043" w:rsidR="008370EE" w:rsidRPr="00D62D86" w:rsidRDefault="008370EE" w:rsidP="00141C8C">
      <w:pPr>
        <w:pStyle w:val="FootnoteText"/>
        <w:ind w:left="288" w:hanging="288"/>
        <w:rPr>
          <w:lang w:val="en-ZW"/>
        </w:rPr>
      </w:pPr>
      <w:r>
        <w:rPr>
          <w:rStyle w:val="FootnoteReference"/>
        </w:rPr>
        <w:footnoteRef/>
      </w:r>
      <w:r>
        <w:t xml:space="preserve"> </w:t>
      </w:r>
      <w:r w:rsidR="00685BDB">
        <w:tab/>
      </w:r>
      <w:r>
        <w:rPr>
          <w:lang w:val="en-ZW"/>
        </w:rPr>
        <w:t>Calpine</w:t>
      </w:r>
      <w:r w:rsidR="00153460">
        <w:rPr>
          <w:lang w:val="en-ZW"/>
        </w:rPr>
        <w:t xml:space="preserve"> Opening</w:t>
      </w:r>
      <w:r>
        <w:rPr>
          <w:lang w:val="en-ZW"/>
        </w:rPr>
        <w:t xml:space="preserve"> Comments at 3.</w:t>
      </w:r>
    </w:p>
  </w:footnote>
  <w:footnote w:id="46">
    <w:p w14:paraId="0B319E39" w14:textId="6D1FCB0F" w:rsidR="00DE423E" w:rsidRPr="00DE423E" w:rsidRDefault="00DE423E" w:rsidP="00141C8C">
      <w:pPr>
        <w:pStyle w:val="FootnoteText"/>
        <w:ind w:left="288" w:hanging="288"/>
        <w:rPr>
          <w:lang w:val="en-ZW"/>
        </w:rPr>
      </w:pPr>
      <w:r>
        <w:rPr>
          <w:rStyle w:val="FootnoteReference"/>
        </w:rPr>
        <w:footnoteRef/>
      </w:r>
      <w:r>
        <w:t xml:space="preserve"> </w:t>
      </w:r>
      <w:r w:rsidR="00685BDB">
        <w:tab/>
      </w:r>
      <w:r>
        <w:rPr>
          <w:lang w:val="en-ZW"/>
        </w:rPr>
        <w:t xml:space="preserve">AReM </w:t>
      </w:r>
      <w:r w:rsidR="00C42E28">
        <w:rPr>
          <w:lang w:val="en-ZW"/>
        </w:rPr>
        <w:t xml:space="preserve">Opening </w:t>
      </w:r>
      <w:r>
        <w:rPr>
          <w:lang w:val="en-ZW"/>
        </w:rPr>
        <w:t xml:space="preserve">Comments at </w:t>
      </w:r>
      <w:r w:rsidR="00303885">
        <w:rPr>
          <w:lang w:val="en-ZW"/>
        </w:rPr>
        <w:t>13.</w:t>
      </w:r>
    </w:p>
  </w:footnote>
  <w:footnote w:id="47">
    <w:p w14:paraId="15DAD4BB" w14:textId="5FE0A8D0" w:rsidR="007936D5" w:rsidRPr="00464182" w:rsidRDefault="007936D5" w:rsidP="00141C8C">
      <w:pPr>
        <w:pStyle w:val="FootnoteText"/>
        <w:ind w:left="288" w:hanging="288"/>
        <w:rPr>
          <w:lang w:val="en-ZW"/>
        </w:rPr>
      </w:pPr>
      <w:r>
        <w:rPr>
          <w:rStyle w:val="FootnoteReference"/>
        </w:rPr>
        <w:footnoteRef/>
      </w:r>
      <w:r>
        <w:t xml:space="preserve"> </w:t>
      </w:r>
      <w:r w:rsidR="00685BDB">
        <w:tab/>
      </w:r>
      <w:r>
        <w:rPr>
          <w:lang w:val="en-ZW"/>
        </w:rPr>
        <w:t>MRP</w:t>
      </w:r>
      <w:r w:rsidR="00CE0F12">
        <w:rPr>
          <w:lang w:val="en-ZW"/>
        </w:rPr>
        <w:t xml:space="preserve"> Opening</w:t>
      </w:r>
      <w:r>
        <w:rPr>
          <w:lang w:val="en-ZW"/>
        </w:rPr>
        <w:t xml:space="preserve"> Comments at 10</w:t>
      </w:r>
      <w:r w:rsidR="00CE0F12">
        <w:rPr>
          <w:lang w:val="en-ZW"/>
        </w:rPr>
        <w:t>,</w:t>
      </w:r>
      <w:r w:rsidRPr="007936D5">
        <w:rPr>
          <w:lang w:val="en-ZW"/>
        </w:rPr>
        <w:t xml:space="preserve"> </w:t>
      </w:r>
      <w:r>
        <w:rPr>
          <w:lang w:val="en-ZW"/>
        </w:rPr>
        <w:t xml:space="preserve">PG&amp;E </w:t>
      </w:r>
      <w:r w:rsidR="00CE0F12">
        <w:rPr>
          <w:lang w:val="en-ZW"/>
        </w:rPr>
        <w:t xml:space="preserve">Opening </w:t>
      </w:r>
      <w:r>
        <w:rPr>
          <w:lang w:val="en-ZW"/>
        </w:rPr>
        <w:t>Comments at 5.</w:t>
      </w:r>
    </w:p>
  </w:footnote>
  <w:footnote w:id="48">
    <w:p w14:paraId="77573FC0" w14:textId="5C47AB45" w:rsidR="008C044F" w:rsidRPr="008C044F" w:rsidRDefault="008C044F" w:rsidP="00141C8C">
      <w:pPr>
        <w:pStyle w:val="FootnoteText"/>
        <w:ind w:left="288" w:hanging="288"/>
        <w:rPr>
          <w:lang w:val="en-ZW"/>
        </w:rPr>
      </w:pPr>
      <w:r>
        <w:rPr>
          <w:rStyle w:val="FootnoteReference"/>
        </w:rPr>
        <w:footnoteRef/>
      </w:r>
      <w:r>
        <w:t xml:space="preserve"> </w:t>
      </w:r>
      <w:r w:rsidR="00685BDB">
        <w:tab/>
      </w:r>
      <w:r>
        <w:rPr>
          <w:lang w:val="en-ZW"/>
        </w:rPr>
        <w:t xml:space="preserve">PG&amp;E </w:t>
      </w:r>
      <w:r w:rsidR="00C607CC">
        <w:rPr>
          <w:lang w:val="en-ZW"/>
        </w:rPr>
        <w:t xml:space="preserve">Opening </w:t>
      </w:r>
      <w:r>
        <w:rPr>
          <w:lang w:val="en-ZW"/>
        </w:rPr>
        <w:t>Comments at 7.</w:t>
      </w:r>
    </w:p>
  </w:footnote>
  <w:footnote w:id="49">
    <w:p w14:paraId="63A31CD6" w14:textId="339BD6AB" w:rsidR="008803FD" w:rsidRPr="008803FD" w:rsidRDefault="008803FD" w:rsidP="00141C8C">
      <w:pPr>
        <w:pStyle w:val="FootnoteText"/>
        <w:ind w:left="288" w:hanging="288"/>
        <w:rPr>
          <w:lang w:val="en-ZW"/>
        </w:rPr>
      </w:pPr>
      <w:r>
        <w:rPr>
          <w:rStyle w:val="FootnoteReference"/>
        </w:rPr>
        <w:footnoteRef/>
      </w:r>
      <w:r>
        <w:t xml:space="preserve"> </w:t>
      </w:r>
      <w:r w:rsidR="00685BDB">
        <w:tab/>
      </w:r>
      <w:r>
        <w:rPr>
          <w:lang w:val="en-ZW"/>
        </w:rPr>
        <w:t>D.19-06-02</w:t>
      </w:r>
      <w:r w:rsidR="00EF25A2">
        <w:rPr>
          <w:lang w:val="en-ZW"/>
        </w:rPr>
        <w:t>6</w:t>
      </w:r>
      <w:r>
        <w:rPr>
          <w:lang w:val="en-ZW"/>
        </w:rPr>
        <w:t xml:space="preserve"> at 18.</w:t>
      </w:r>
    </w:p>
  </w:footnote>
  <w:footnote w:id="50">
    <w:p w14:paraId="4113E42B" w14:textId="63618F4B" w:rsidR="00EF25A2" w:rsidRPr="00EF25A2" w:rsidRDefault="00EF25A2" w:rsidP="00141C8C">
      <w:pPr>
        <w:pStyle w:val="FootnoteText"/>
        <w:ind w:left="288" w:hanging="288"/>
        <w:rPr>
          <w:lang w:val="en-ZW"/>
        </w:rPr>
      </w:pPr>
      <w:r>
        <w:rPr>
          <w:rStyle w:val="FootnoteReference"/>
        </w:rPr>
        <w:footnoteRef/>
      </w:r>
      <w:r>
        <w:t xml:space="preserve"> </w:t>
      </w:r>
      <w:r w:rsidR="00685BDB">
        <w:tab/>
      </w:r>
      <w:r>
        <w:rPr>
          <w:lang w:val="en-ZW"/>
        </w:rPr>
        <w:t>D.20-06-031 at 59.</w:t>
      </w:r>
    </w:p>
  </w:footnote>
  <w:footnote w:id="51">
    <w:p w14:paraId="1B0966E1" w14:textId="16BE0881" w:rsidR="00F806B1" w:rsidRPr="00644FA4" w:rsidRDefault="00F806B1" w:rsidP="00141C8C">
      <w:pPr>
        <w:pStyle w:val="FootnoteText"/>
        <w:ind w:left="288" w:hanging="288"/>
        <w:rPr>
          <w:lang w:val="en-ZW"/>
        </w:rPr>
      </w:pPr>
      <w:r>
        <w:rPr>
          <w:rStyle w:val="FootnoteReference"/>
        </w:rPr>
        <w:footnoteRef/>
      </w:r>
      <w:r>
        <w:t xml:space="preserve"> </w:t>
      </w:r>
      <w:r w:rsidR="00685BDB">
        <w:tab/>
      </w:r>
      <w:r w:rsidRPr="007A0DF8">
        <w:rPr>
          <w:i/>
          <w:iCs/>
          <w:lang w:val="en-ZW"/>
        </w:rPr>
        <w:t>See</w:t>
      </w:r>
      <w:r>
        <w:rPr>
          <w:lang w:val="en-ZW"/>
        </w:rPr>
        <w:t xml:space="preserve"> D.23-06-029 at 23.</w:t>
      </w:r>
    </w:p>
  </w:footnote>
  <w:footnote w:id="52">
    <w:p w14:paraId="48DEB12A" w14:textId="40080342" w:rsidR="004932B3" w:rsidRPr="00841918" w:rsidRDefault="004932B3" w:rsidP="00141C8C">
      <w:pPr>
        <w:pStyle w:val="FootnoteText"/>
        <w:ind w:left="288" w:hanging="288"/>
        <w:rPr>
          <w:lang w:val="en-ZW"/>
        </w:rPr>
      </w:pPr>
      <w:r>
        <w:rPr>
          <w:rStyle w:val="FootnoteReference"/>
        </w:rPr>
        <w:footnoteRef/>
      </w:r>
      <w:r>
        <w:t xml:space="preserve"> </w:t>
      </w:r>
      <w:r w:rsidR="00685BDB">
        <w:tab/>
      </w:r>
      <w:r>
        <w:rPr>
          <w:lang w:val="en-ZW"/>
        </w:rPr>
        <w:t>CalCCA Proposal at 8.</w:t>
      </w:r>
    </w:p>
  </w:footnote>
  <w:footnote w:id="53">
    <w:p w14:paraId="2014F72A" w14:textId="039191A1" w:rsidR="008C63ED" w:rsidRPr="00C376E3" w:rsidRDefault="008C63ED" w:rsidP="00141C8C">
      <w:pPr>
        <w:pStyle w:val="FootnoteText"/>
        <w:ind w:left="288" w:hanging="288"/>
        <w:rPr>
          <w:lang w:val="en-ZW"/>
        </w:rPr>
      </w:pPr>
      <w:r>
        <w:rPr>
          <w:rStyle w:val="FootnoteReference"/>
        </w:rPr>
        <w:footnoteRef/>
      </w:r>
      <w:r>
        <w:t xml:space="preserve"> </w:t>
      </w:r>
      <w:r w:rsidR="00685BDB">
        <w:tab/>
      </w:r>
      <w:r>
        <w:rPr>
          <w:lang w:val="en-ZW"/>
        </w:rPr>
        <w:t>SCE Proposal at 5.</w:t>
      </w:r>
    </w:p>
  </w:footnote>
  <w:footnote w:id="54">
    <w:p w14:paraId="5F5ABA42" w14:textId="59B8AA6C" w:rsidR="008C63ED" w:rsidRPr="00B72065" w:rsidRDefault="008C63ED" w:rsidP="00141C8C">
      <w:pPr>
        <w:pStyle w:val="FootnoteText"/>
        <w:ind w:left="288" w:hanging="288"/>
        <w:rPr>
          <w:lang w:val="en-ZW"/>
        </w:rPr>
      </w:pPr>
      <w:r>
        <w:rPr>
          <w:rStyle w:val="FootnoteReference"/>
        </w:rPr>
        <w:footnoteRef/>
      </w:r>
      <w:r>
        <w:t xml:space="preserve"> </w:t>
      </w:r>
      <w:r w:rsidR="00685BDB">
        <w:tab/>
      </w:r>
      <w:r>
        <w:rPr>
          <w:lang w:val="en-ZW"/>
        </w:rPr>
        <w:t>CESA Proposal at 6.</w:t>
      </w:r>
    </w:p>
  </w:footnote>
  <w:footnote w:id="55">
    <w:p w14:paraId="0633AA83" w14:textId="5A1822A0" w:rsidR="001C5921" w:rsidRPr="001C5921" w:rsidRDefault="001C5921" w:rsidP="00141C8C">
      <w:pPr>
        <w:pStyle w:val="FootnoteText"/>
        <w:ind w:left="288" w:hanging="288"/>
        <w:rPr>
          <w:lang w:val="en-ZW"/>
        </w:rPr>
      </w:pPr>
      <w:r>
        <w:rPr>
          <w:rStyle w:val="FootnoteReference"/>
        </w:rPr>
        <w:footnoteRef/>
      </w:r>
      <w:r>
        <w:t xml:space="preserve"> </w:t>
      </w:r>
      <w:r w:rsidR="00685BDB">
        <w:tab/>
      </w:r>
      <w:r>
        <w:rPr>
          <w:lang w:val="en-ZW"/>
        </w:rPr>
        <w:t xml:space="preserve">CESA Revised Proposal at </w:t>
      </w:r>
      <w:r w:rsidR="006934C8">
        <w:rPr>
          <w:lang w:val="en-ZW"/>
        </w:rPr>
        <w:t>7.</w:t>
      </w:r>
    </w:p>
  </w:footnote>
  <w:footnote w:id="56">
    <w:p w14:paraId="6B3BFB65" w14:textId="4A47D18E" w:rsidR="0071487D" w:rsidRPr="0071487D" w:rsidRDefault="0071487D" w:rsidP="00141C8C">
      <w:pPr>
        <w:pStyle w:val="FootnoteText"/>
        <w:ind w:left="288" w:hanging="288"/>
        <w:rPr>
          <w:lang w:val="en-ZW"/>
        </w:rPr>
      </w:pPr>
      <w:r>
        <w:rPr>
          <w:rStyle w:val="FootnoteReference"/>
        </w:rPr>
        <w:footnoteRef/>
      </w:r>
      <w:r>
        <w:t xml:space="preserve"> </w:t>
      </w:r>
      <w:r w:rsidR="00685BDB">
        <w:tab/>
      </w:r>
      <w:r w:rsidR="00685ABC">
        <w:rPr>
          <w:lang w:val="en-ZW"/>
        </w:rPr>
        <w:t xml:space="preserve">Ava </w:t>
      </w:r>
      <w:r w:rsidR="00F47168">
        <w:rPr>
          <w:lang w:val="en-ZW"/>
        </w:rPr>
        <w:t xml:space="preserve">Opening </w:t>
      </w:r>
      <w:r w:rsidR="00685ABC">
        <w:rPr>
          <w:lang w:val="en-ZW"/>
        </w:rPr>
        <w:t>Comments at 5</w:t>
      </w:r>
      <w:r w:rsidR="00F47168">
        <w:rPr>
          <w:lang w:val="en-ZW"/>
        </w:rPr>
        <w:t xml:space="preserve">, </w:t>
      </w:r>
      <w:r w:rsidR="00685ABC">
        <w:rPr>
          <w:lang w:val="en-ZW"/>
        </w:rPr>
        <w:t xml:space="preserve">AReM </w:t>
      </w:r>
      <w:r w:rsidR="00F47168">
        <w:rPr>
          <w:lang w:val="en-ZW"/>
        </w:rPr>
        <w:t xml:space="preserve">Opening </w:t>
      </w:r>
      <w:r w:rsidR="00685ABC">
        <w:rPr>
          <w:lang w:val="en-ZW"/>
        </w:rPr>
        <w:t>Comments at 10</w:t>
      </w:r>
      <w:r w:rsidR="00F47168">
        <w:rPr>
          <w:lang w:val="en-ZW"/>
        </w:rPr>
        <w:t>,</w:t>
      </w:r>
      <w:r w:rsidR="00685ABC" w:rsidRPr="0071487D">
        <w:rPr>
          <w:lang w:val="en-ZW"/>
        </w:rPr>
        <w:t xml:space="preserve"> </w:t>
      </w:r>
      <w:r w:rsidR="00685ABC">
        <w:rPr>
          <w:lang w:val="en-ZW"/>
        </w:rPr>
        <w:t xml:space="preserve">PG&amp;E </w:t>
      </w:r>
      <w:r w:rsidR="00F47168">
        <w:rPr>
          <w:lang w:val="en-ZW"/>
        </w:rPr>
        <w:t xml:space="preserve">Opening </w:t>
      </w:r>
      <w:r w:rsidR="00685ABC">
        <w:rPr>
          <w:lang w:val="en-ZW"/>
        </w:rPr>
        <w:t>Comments at 9</w:t>
      </w:r>
      <w:r w:rsidR="00F47168">
        <w:rPr>
          <w:lang w:val="en-ZW"/>
        </w:rPr>
        <w:t xml:space="preserve">, </w:t>
      </w:r>
      <w:r>
        <w:rPr>
          <w:lang w:val="en-ZW"/>
        </w:rPr>
        <w:t xml:space="preserve">CESA </w:t>
      </w:r>
      <w:r w:rsidR="00F47168">
        <w:rPr>
          <w:lang w:val="en-ZW"/>
        </w:rPr>
        <w:t xml:space="preserve">Opening </w:t>
      </w:r>
      <w:r>
        <w:rPr>
          <w:lang w:val="en-ZW"/>
        </w:rPr>
        <w:t>C</w:t>
      </w:r>
      <w:r w:rsidR="00735035">
        <w:rPr>
          <w:lang w:val="en-ZW"/>
        </w:rPr>
        <w:t>o</w:t>
      </w:r>
      <w:r>
        <w:rPr>
          <w:lang w:val="en-ZW"/>
        </w:rPr>
        <w:t>mments</w:t>
      </w:r>
      <w:r w:rsidR="00735035">
        <w:rPr>
          <w:lang w:val="en-ZW"/>
        </w:rPr>
        <w:t xml:space="preserve"> </w:t>
      </w:r>
      <w:r>
        <w:rPr>
          <w:lang w:val="en-ZW"/>
        </w:rPr>
        <w:t>at 3</w:t>
      </w:r>
      <w:r w:rsidR="00F47168">
        <w:rPr>
          <w:lang w:val="en-ZW"/>
        </w:rPr>
        <w:t>,</w:t>
      </w:r>
      <w:r w:rsidRPr="0071487D">
        <w:rPr>
          <w:lang w:val="en-ZW"/>
        </w:rPr>
        <w:t xml:space="preserve"> </w:t>
      </w:r>
      <w:r w:rsidR="00E21802">
        <w:rPr>
          <w:lang w:val="en-ZW"/>
        </w:rPr>
        <w:t xml:space="preserve">Vistra </w:t>
      </w:r>
      <w:r w:rsidR="00F47168">
        <w:rPr>
          <w:lang w:val="en-ZW"/>
        </w:rPr>
        <w:t xml:space="preserve">Opening </w:t>
      </w:r>
      <w:r w:rsidR="00E21802">
        <w:rPr>
          <w:lang w:val="en-ZW"/>
        </w:rPr>
        <w:t>Comments at 11.</w:t>
      </w:r>
      <w:r w:rsidR="00073D89">
        <w:rPr>
          <w:lang w:val="en-ZW"/>
        </w:rPr>
        <w:t xml:space="preserve"> </w:t>
      </w:r>
    </w:p>
  </w:footnote>
  <w:footnote w:id="57">
    <w:p w14:paraId="50C6783D" w14:textId="7EE59EEA" w:rsidR="00891E75" w:rsidRPr="002762A5" w:rsidRDefault="00891E75" w:rsidP="00141C8C">
      <w:pPr>
        <w:pStyle w:val="FootnoteText"/>
        <w:ind w:left="288" w:hanging="288"/>
        <w:rPr>
          <w:lang w:val="en-ZW"/>
        </w:rPr>
      </w:pPr>
      <w:r>
        <w:rPr>
          <w:rStyle w:val="FootnoteReference"/>
        </w:rPr>
        <w:footnoteRef/>
      </w:r>
      <w:r>
        <w:t xml:space="preserve"> </w:t>
      </w:r>
      <w:r w:rsidR="00685BDB">
        <w:tab/>
      </w:r>
      <w:r>
        <w:rPr>
          <w:lang w:val="en-ZW"/>
        </w:rPr>
        <w:t xml:space="preserve">AES </w:t>
      </w:r>
      <w:r w:rsidR="00F75CE7">
        <w:rPr>
          <w:lang w:val="en-ZW"/>
        </w:rPr>
        <w:t xml:space="preserve">Opening </w:t>
      </w:r>
      <w:r>
        <w:rPr>
          <w:lang w:val="en-ZW"/>
        </w:rPr>
        <w:t>Comments at 2</w:t>
      </w:r>
      <w:r w:rsidR="00F75CE7">
        <w:rPr>
          <w:lang w:val="en-ZW"/>
        </w:rPr>
        <w:t>,</w:t>
      </w:r>
      <w:r w:rsidRPr="00F03145">
        <w:rPr>
          <w:lang w:val="en-ZW"/>
        </w:rPr>
        <w:t xml:space="preserve"> </w:t>
      </w:r>
      <w:r>
        <w:rPr>
          <w:lang w:val="en-ZW"/>
        </w:rPr>
        <w:t xml:space="preserve">AReM </w:t>
      </w:r>
      <w:r w:rsidR="00F75CE7">
        <w:rPr>
          <w:lang w:val="en-ZW"/>
        </w:rPr>
        <w:t xml:space="preserve">Opening </w:t>
      </w:r>
      <w:r>
        <w:rPr>
          <w:lang w:val="en-ZW"/>
        </w:rPr>
        <w:t>Comments at 18</w:t>
      </w:r>
      <w:r w:rsidR="00F75CE7">
        <w:rPr>
          <w:lang w:val="en-ZW"/>
        </w:rPr>
        <w:t>,</w:t>
      </w:r>
      <w:r w:rsidRPr="00626772">
        <w:rPr>
          <w:lang w:val="en-ZW"/>
        </w:rPr>
        <w:t xml:space="preserve"> </w:t>
      </w:r>
      <w:r>
        <w:rPr>
          <w:lang w:val="en-ZW"/>
        </w:rPr>
        <w:t xml:space="preserve">Ava </w:t>
      </w:r>
      <w:r w:rsidR="00F75CE7">
        <w:rPr>
          <w:lang w:val="en-ZW"/>
        </w:rPr>
        <w:t xml:space="preserve">Opening </w:t>
      </w:r>
      <w:r>
        <w:rPr>
          <w:lang w:val="en-ZW"/>
        </w:rPr>
        <w:t>Comments at 5</w:t>
      </w:r>
      <w:r w:rsidR="00F75CE7">
        <w:rPr>
          <w:lang w:val="en-ZW"/>
        </w:rPr>
        <w:t>,</w:t>
      </w:r>
      <w:r w:rsidRPr="00F03145">
        <w:rPr>
          <w:lang w:val="en-ZW"/>
        </w:rPr>
        <w:t xml:space="preserve"> </w:t>
      </w:r>
      <w:r>
        <w:rPr>
          <w:lang w:val="en-ZW"/>
        </w:rPr>
        <w:t xml:space="preserve">Hydrostor </w:t>
      </w:r>
      <w:r w:rsidR="00F75CE7">
        <w:rPr>
          <w:lang w:val="en-ZW"/>
        </w:rPr>
        <w:t xml:space="preserve">Opening </w:t>
      </w:r>
      <w:r>
        <w:rPr>
          <w:lang w:val="en-ZW"/>
        </w:rPr>
        <w:t>Comments at 2</w:t>
      </w:r>
      <w:r w:rsidR="00F75CE7">
        <w:rPr>
          <w:lang w:val="en-ZW"/>
        </w:rPr>
        <w:t>,</w:t>
      </w:r>
      <w:r>
        <w:rPr>
          <w:lang w:val="en-ZW"/>
        </w:rPr>
        <w:t xml:space="preserve"> Microsoft </w:t>
      </w:r>
      <w:r w:rsidR="00F75CE7">
        <w:rPr>
          <w:lang w:val="en-ZW"/>
        </w:rPr>
        <w:t xml:space="preserve">Opening </w:t>
      </w:r>
      <w:r>
        <w:rPr>
          <w:lang w:val="en-ZW"/>
        </w:rPr>
        <w:t>Comments at 12</w:t>
      </w:r>
      <w:r w:rsidR="00F75CE7">
        <w:rPr>
          <w:lang w:val="en-ZW"/>
        </w:rPr>
        <w:t>,</w:t>
      </w:r>
      <w:r w:rsidRPr="00626772">
        <w:rPr>
          <w:lang w:val="en-ZW"/>
        </w:rPr>
        <w:t xml:space="preserve"> </w:t>
      </w:r>
      <w:r w:rsidRPr="00891E75">
        <w:rPr>
          <w:lang w:val="en-ZW"/>
        </w:rPr>
        <w:t xml:space="preserve">REV </w:t>
      </w:r>
      <w:r w:rsidR="00F75CE7">
        <w:rPr>
          <w:lang w:val="en-ZW"/>
        </w:rPr>
        <w:t xml:space="preserve">Opening </w:t>
      </w:r>
      <w:r w:rsidRPr="00891E75">
        <w:rPr>
          <w:lang w:val="en-ZW"/>
        </w:rPr>
        <w:t>Comments at 4</w:t>
      </w:r>
      <w:r w:rsidR="00F75CE7">
        <w:rPr>
          <w:lang w:val="en-ZW"/>
        </w:rPr>
        <w:t xml:space="preserve">, </w:t>
      </w:r>
      <w:r>
        <w:rPr>
          <w:lang w:val="en-ZW"/>
        </w:rPr>
        <w:t xml:space="preserve">Vistra </w:t>
      </w:r>
      <w:r w:rsidR="00F75CE7">
        <w:rPr>
          <w:lang w:val="en-ZW"/>
        </w:rPr>
        <w:t xml:space="preserve">Opening </w:t>
      </w:r>
      <w:r>
        <w:rPr>
          <w:lang w:val="en-ZW"/>
        </w:rPr>
        <w:t>Comments at 11.</w:t>
      </w:r>
      <w:r w:rsidRPr="00626772">
        <w:rPr>
          <w:lang w:val="en-ZW"/>
        </w:rPr>
        <w:t xml:space="preserve"> </w:t>
      </w:r>
    </w:p>
  </w:footnote>
  <w:footnote w:id="58">
    <w:p w14:paraId="4DDBDB3B" w14:textId="7DDB5327" w:rsidR="00967079" w:rsidRPr="00967079" w:rsidRDefault="00967079" w:rsidP="00141C8C">
      <w:pPr>
        <w:pStyle w:val="FootnoteText"/>
        <w:ind w:left="288" w:hanging="288"/>
        <w:rPr>
          <w:lang w:val="en-ZW"/>
        </w:rPr>
      </w:pPr>
      <w:r>
        <w:rPr>
          <w:rStyle w:val="FootnoteReference"/>
        </w:rPr>
        <w:footnoteRef/>
      </w:r>
      <w:r>
        <w:t xml:space="preserve"> </w:t>
      </w:r>
      <w:r w:rsidR="00685BDB">
        <w:tab/>
      </w:r>
      <w:r>
        <w:rPr>
          <w:lang w:val="en-ZW"/>
        </w:rPr>
        <w:t>CAISO Opening Comments at 8.</w:t>
      </w:r>
    </w:p>
  </w:footnote>
  <w:footnote w:id="59">
    <w:p w14:paraId="40F4DF33" w14:textId="21946D20" w:rsidR="00654981" w:rsidRPr="00654981" w:rsidRDefault="00654981" w:rsidP="00141C8C">
      <w:pPr>
        <w:pStyle w:val="FootnoteText"/>
        <w:ind w:left="288" w:hanging="288"/>
        <w:rPr>
          <w:lang w:val="en-ZW"/>
        </w:rPr>
      </w:pPr>
      <w:r>
        <w:rPr>
          <w:rStyle w:val="FootnoteReference"/>
        </w:rPr>
        <w:footnoteRef/>
      </w:r>
      <w:r>
        <w:t xml:space="preserve"> </w:t>
      </w:r>
      <w:r w:rsidR="00685BDB">
        <w:tab/>
      </w:r>
      <w:r>
        <w:rPr>
          <w:lang w:val="en-ZW"/>
        </w:rPr>
        <w:t>D.23-06-029 at 23.</w:t>
      </w:r>
    </w:p>
  </w:footnote>
  <w:footnote w:id="60">
    <w:p w14:paraId="02B22C3B" w14:textId="2EAEC3DB" w:rsidR="003976B4" w:rsidRPr="003976B4" w:rsidRDefault="003976B4" w:rsidP="00141C8C">
      <w:pPr>
        <w:pStyle w:val="FootnoteText"/>
        <w:ind w:left="288" w:hanging="288"/>
        <w:rPr>
          <w:lang w:val="en-ZW"/>
        </w:rPr>
      </w:pPr>
      <w:r>
        <w:rPr>
          <w:rStyle w:val="FootnoteReference"/>
        </w:rPr>
        <w:footnoteRef/>
      </w:r>
      <w:r>
        <w:t xml:space="preserve"> </w:t>
      </w:r>
      <w:r w:rsidR="00685BDB">
        <w:tab/>
      </w:r>
      <w:r>
        <w:rPr>
          <w:lang w:val="en-ZW"/>
        </w:rPr>
        <w:t xml:space="preserve">Cal Advocates RCA Proposal at 4. </w:t>
      </w:r>
    </w:p>
  </w:footnote>
  <w:footnote w:id="61">
    <w:p w14:paraId="6F8F0CD2" w14:textId="4A0E67ED" w:rsidR="00C13AE3" w:rsidRPr="003C48EC" w:rsidRDefault="00C13AE3" w:rsidP="00141C8C">
      <w:pPr>
        <w:pStyle w:val="FootnoteText"/>
        <w:ind w:left="288" w:hanging="288"/>
        <w:rPr>
          <w:lang w:val="en-ZW"/>
        </w:rPr>
      </w:pPr>
      <w:r>
        <w:rPr>
          <w:rStyle w:val="FootnoteReference"/>
        </w:rPr>
        <w:footnoteRef/>
      </w:r>
      <w:r>
        <w:t xml:space="preserve"> </w:t>
      </w:r>
      <w:r w:rsidR="00685BDB">
        <w:tab/>
      </w:r>
      <w:r>
        <w:rPr>
          <w:lang w:val="en-ZW"/>
        </w:rPr>
        <w:t xml:space="preserve">CalCCA </w:t>
      </w:r>
      <w:r w:rsidR="001D75EE">
        <w:rPr>
          <w:lang w:val="en-ZW"/>
        </w:rPr>
        <w:t xml:space="preserve">Opening </w:t>
      </w:r>
      <w:r>
        <w:rPr>
          <w:lang w:val="en-ZW"/>
        </w:rPr>
        <w:t>Comments at 22</w:t>
      </w:r>
      <w:r w:rsidR="0033458D">
        <w:rPr>
          <w:lang w:val="en-ZW"/>
        </w:rPr>
        <w:t xml:space="preserve">, </w:t>
      </w:r>
      <w:r>
        <w:rPr>
          <w:lang w:val="en-ZW"/>
        </w:rPr>
        <w:t xml:space="preserve">PG&amp;E </w:t>
      </w:r>
      <w:r w:rsidR="00C11189">
        <w:rPr>
          <w:lang w:val="en-ZW"/>
        </w:rPr>
        <w:t xml:space="preserve">Opening </w:t>
      </w:r>
      <w:r>
        <w:rPr>
          <w:lang w:val="en-ZW"/>
        </w:rPr>
        <w:t>Comments at 20</w:t>
      </w:r>
      <w:r w:rsidR="004B2D42">
        <w:rPr>
          <w:lang w:val="en-ZW"/>
        </w:rPr>
        <w:t>.</w:t>
      </w:r>
    </w:p>
  </w:footnote>
  <w:footnote w:id="62">
    <w:p w14:paraId="4D942687" w14:textId="21B2237D" w:rsidR="00E412F7" w:rsidRPr="006B7BDB" w:rsidRDefault="00E412F7" w:rsidP="00141C8C">
      <w:pPr>
        <w:pStyle w:val="FootnoteText"/>
        <w:ind w:left="288" w:hanging="288"/>
        <w:rPr>
          <w:lang w:val="en-ZW"/>
        </w:rPr>
      </w:pPr>
      <w:r>
        <w:rPr>
          <w:rStyle w:val="FootnoteReference"/>
        </w:rPr>
        <w:footnoteRef/>
      </w:r>
      <w:r>
        <w:t xml:space="preserve"> </w:t>
      </w:r>
      <w:r w:rsidR="00685BDB">
        <w:tab/>
      </w:r>
      <w:r>
        <w:rPr>
          <w:lang w:val="en-ZW"/>
        </w:rPr>
        <w:t xml:space="preserve">SVCE </w:t>
      </w:r>
      <w:r w:rsidR="009C57F5">
        <w:rPr>
          <w:lang w:val="en-ZW"/>
        </w:rPr>
        <w:t xml:space="preserve">Opening </w:t>
      </w:r>
      <w:r>
        <w:rPr>
          <w:lang w:val="en-ZW"/>
        </w:rPr>
        <w:t>Comments at 7</w:t>
      </w:r>
      <w:r w:rsidR="009C57F5">
        <w:rPr>
          <w:lang w:val="en-ZW"/>
        </w:rPr>
        <w:t xml:space="preserve">, </w:t>
      </w:r>
      <w:r>
        <w:rPr>
          <w:lang w:val="en-ZW"/>
        </w:rPr>
        <w:t xml:space="preserve">PG&amp;E </w:t>
      </w:r>
      <w:r w:rsidR="004F0CD8">
        <w:rPr>
          <w:lang w:val="en-ZW"/>
        </w:rPr>
        <w:t xml:space="preserve">Opening </w:t>
      </w:r>
      <w:r>
        <w:rPr>
          <w:lang w:val="en-ZW"/>
        </w:rPr>
        <w:t>Comments at 20.</w:t>
      </w:r>
    </w:p>
  </w:footnote>
  <w:footnote w:id="63">
    <w:p w14:paraId="5B57F7EA" w14:textId="5DD1DBFE" w:rsidR="00070030" w:rsidRPr="003A0DB0" w:rsidRDefault="00070030" w:rsidP="00141C8C">
      <w:pPr>
        <w:pStyle w:val="FootnoteText"/>
        <w:ind w:left="288" w:hanging="288"/>
        <w:rPr>
          <w:lang w:val="en-ZW"/>
        </w:rPr>
      </w:pPr>
      <w:r>
        <w:rPr>
          <w:rStyle w:val="FootnoteReference"/>
        </w:rPr>
        <w:footnoteRef/>
      </w:r>
      <w:r>
        <w:t xml:space="preserve"> </w:t>
      </w:r>
      <w:r w:rsidR="00685BDB">
        <w:tab/>
      </w:r>
      <w:r>
        <w:rPr>
          <w:lang w:val="en-ZW"/>
        </w:rPr>
        <w:t xml:space="preserve">SVCE </w:t>
      </w:r>
      <w:r w:rsidR="006565B6">
        <w:rPr>
          <w:lang w:val="en-ZW"/>
        </w:rPr>
        <w:t xml:space="preserve">Opening </w:t>
      </w:r>
      <w:r>
        <w:rPr>
          <w:lang w:val="en-ZW"/>
        </w:rPr>
        <w:t>Comments at 5</w:t>
      </w:r>
      <w:r w:rsidR="006565B6">
        <w:rPr>
          <w:lang w:val="en-ZW"/>
        </w:rPr>
        <w:t xml:space="preserve">, </w:t>
      </w:r>
      <w:r>
        <w:rPr>
          <w:lang w:val="en-ZW"/>
        </w:rPr>
        <w:t xml:space="preserve">MRP </w:t>
      </w:r>
      <w:r w:rsidR="006565B6">
        <w:rPr>
          <w:lang w:val="en-ZW"/>
        </w:rPr>
        <w:t xml:space="preserve">Opening </w:t>
      </w:r>
      <w:r>
        <w:rPr>
          <w:lang w:val="en-ZW"/>
        </w:rPr>
        <w:t>Comments at 14</w:t>
      </w:r>
      <w:r w:rsidR="006565B6">
        <w:rPr>
          <w:lang w:val="en-ZW"/>
        </w:rPr>
        <w:t>,</w:t>
      </w:r>
      <w:r w:rsidR="000E6A51" w:rsidRPr="000E6A51">
        <w:rPr>
          <w:lang w:val="en-ZW"/>
        </w:rPr>
        <w:t xml:space="preserve"> </w:t>
      </w:r>
      <w:r w:rsidR="000E6A51">
        <w:rPr>
          <w:lang w:val="en-ZW"/>
        </w:rPr>
        <w:t xml:space="preserve">WPTF </w:t>
      </w:r>
      <w:r w:rsidR="006565B6">
        <w:rPr>
          <w:lang w:val="en-ZW"/>
        </w:rPr>
        <w:t xml:space="preserve">Opening </w:t>
      </w:r>
      <w:r w:rsidR="000E6A51">
        <w:rPr>
          <w:lang w:val="en-ZW"/>
        </w:rPr>
        <w:t>Comments at 10.</w:t>
      </w:r>
    </w:p>
  </w:footnote>
  <w:footnote w:id="64">
    <w:p w14:paraId="2ADFA60C" w14:textId="1453A975" w:rsidR="00070030" w:rsidRPr="006B7BDB" w:rsidRDefault="00070030" w:rsidP="00141C8C">
      <w:pPr>
        <w:pStyle w:val="FootnoteText"/>
        <w:ind w:left="288" w:hanging="288"/>
        <w:rPr>
          <w:lang w:val="en-ZW"/>
        </w:rPr>
      </w:pPr>
      <w:r>
        <w:rPr>
          <w:rStyle w:val="FootnoteReference"/>
        </w:rPr>
        <w:footnoteRef/>
      </w:r>
      <w:r>
        <w:t xml:space="preserve"> </w:t>
      </w:r>
      <w:r w:rsidR="00685BDB">
        <w:tab/>
      </w:r>
      <w:r>
        <w:rPr>
          <w:lang w:val="en-ZW"/>
        </w:rPr>
        <w:t xml:space="preserve">Vistra </w:t>
      </w:r>
      <w:r w:rsidR="00DA154D">
        <w:rPr>
          <w:lang w:val="en-ZW"/>
        </w:rPr>
        <w:t xml:space="preserve">Opening </w:t>
      </w:r>
      <w:r>
        <w:rPr>
          <w:lang w:val="en-ZW"/>
        </w:rPr>
        <w:t>Comments at 12</w:t>
      </w:r>
      <w:r w:rsidR="00DA154D">
        <w:rPr>
          <w:lang w:val="en-ZW"/>
        </w:rPr>
        <w:t>,</w:t>
      </w:r>
      <w:r w:rsidRPr="00E412F7">
        <w:rPr>
          <w:lang w:val="en-ZW"/>
        </w:rPr>
        <w:t xml:space="preserve"> </w:t>
      </w:r>
      <w:r>
        <w:rPr>
          <w:lang w:val="en-ZW"/>
        </w:rPr>
        <w:t xml:space="preserve">SCE </w:t>
      </w:r>
      <w:r w:rsidR="00DA154D">
        <w:rPr>
          <w:lang w:val="en-ZW"/>
        </w:rPr>
        <w:t xml:space="preserve">Opening </w:t>
      </w:r>
      <w:r>
        <w:rPr>
          <w:lang w:val="en-ZW"/>
        </w:rPr>
        <w:t>Comments at 8</w:t>
      </w:r>
      <w:r w:rsidR="00DA154D">
        <w:rPr>
          <w:lang w:val="en-ZW"/>
        </w:rPr>
        <w:t>,</w:t>
      </w:r>
      <w:r w:rsidRPr="00E412F7">
        <w:rPr>
          <w:lang w:val="en-ZW"/>
        </w:rPr>
        <w:t xml:space="preserve"> </w:t>
      </w:r>
      <w:r>
        <w:rPr>
          <w:lang w:val="en-ZW"/>
        </w:rPr>
        <w:t xml:space="preserve">SVCE </w:t>
      </w:r>
      <w:r w:rsidR="00DA154D">
        <w:rPr>
          <w:lang w:val="en-ZW"/>
        </w:rPr>
        <w:t xml:space="preserve">Opening </w:t>
      </w:r>
      <w:r>
        <w:rPr>
          <w:lang w:val="en-ZW"/>
        </w:rPr>
        <w:t>Comments at 5.</w:t>
      </w:r>
    </w:p>
  </w:footnote>
  <w:footnote w:id="65">
    <w:p w14:paraId="52CE3C80" w14:textId="04602B79" w:rsidR="00F00417" w:rsidRPr="00830B7F" w:rsidRDefault="00F00417" w:rsidP="00141C8C">
      <w:pPr>
        <w:pStyle w:val="FootnoteText"/>
        <w:ind w:left="288" w:hanging="288"/>
        <w:rPr>
          <w:lang w:val="en-ZW"/>
        </w:rPr>
      </w:pPr>
      <w:r>
        <w:rPr>
          <w:rStyle w:val="FootnoteReference"/>
        </w:rPr>
        <w:footnoteRef/>
      </w:r>
      <w:r>
        <w:t xml:space="preserve"> </w:t>
      </w:r>
      <w:r w:rsidR="00685BDB">
        <w:tab/>
      </w:r>
      <w:r>
        <w:t xml:space="preserve">CAISO </w:t>
      </w:r>
      <w:r w:rsidR="0022462F">
        <w:rPr>
          <w:lang w:val="en-ZW"/>
        </w:rPr>
        <w:t xml:space="preserve">Opening </w:t>
      </w:r>
      <w:r>
        <w:t>Comments at 8</w:t>
      </w:r>
      <w:r w:rsidR="004C6085">
        <w:t>.</w:t>
      </w:r>
    </w:p>
  </w:footnote>
  <w:footnote w:id="66">
    <w:p w14:paraId="4CF3D636" w14:textId="44F58ECF" w:rsidR="00F00417" w:rsidRPr="00830B7F" w:rsidRDefault="00F00417" w:rsidP="00141C8C">
      <w:pPr>
        <w:pStyle w:val="FootnoteText"/>
        <w:ind w:left="288" w:hanging="288"/>
        <w:rPr>
          <w:lang w:val="en-ZW"/>
        </w:rPr>
      </w:pPr>
      <w:r>
        <w:rPr>
          <w:rStyle w:val="FootnoteReference"/>
        </w:rPr>
        <w:footnoteRef/>
      </w:r>
      <w:r>
        <w:t xml:space="preserve"> </w:t>
      </w:r>
      <w:r w:rsidR="00685BDB">
        <w:tab/>
      </w:r>
      <w:r w:rsidR="00BF5FD4">
        <w:rPr>
          <w:lang w:val="en-ZW"/>
        </w:rPr>
        <w:t>CAISO</w:t>
      </w:r>
      <w:r w:rsidR="00BF5FD4" w:rsidRPr="00BF5FD4">
        <w:rPr>
          <w:lang w:val="en-ZW"/>
        </w:rPr>
        <w:t xml:space="preserve"> </w:t>
      </w:r>
      <w:r w:rsidR="00BF5FD4">
        <w:rPr>
          <w:lang w:val="en-ZW"/>
        </w:rPr>
        <w:t xml:space="preserve">Opening Comments at 8, </w:t>
      </w:r>
      <w:r>
        <w:rPr>
          <w:lang w:val="en-ZW"/>
        </w:rPr>
        <w:t xml:space="preserve">SCE </w:t>
      </w:r>
      <w:r w:rsidR="00BF5FD4">
        <w:rPr>
          <w:lang w:val="en-ZW"/>
        </w:rPr>
        <w:t xml:space="preserve">Opening </w:t>
      </w:r>
      <w:r>
        <w:rPr>
          <w:lang w:val="en-ZW"/>
        </w:rPr>
        <w:t>Comments at 8</w:t>
      </w:r>
      <w:r w:rsidR="004C6085">
        <w:rPr>
          <w:lang w:val="en-ZW"/>
        </w:rPr>
        <w:t>.</w:t>
      </w:r>
    </w:p>
  </w:footnote>
  <w:footnote w:id="67">
    <w:p w14:paraId="5DE8F91E" w14:textId="519B04DB" w:rsidR="00E412F7" w:rsidRPr="00300BC5" w:rsidRDefault="00E412F7" w:rsidP="00141C8C">
      <w:pPr>
        <w:pStyle w:val="FootnoteText"/>
        <w:ind w:left="288" w:hanging="288"/>
        <w:rPr>
          <w:lang w:val="en-ZW"/>
        </w:rPr>
      </w:pPr>
      <w:r>
        <w:rPr>
          <w:rStyle w:val="FootnoteReference"/>
        </w:rPr>
        <w:footnoteRef/>
      </w:r>
      <w:r>
        <w:t xml:space="preserve"> </w:t>
      </w:r>
      <w:r w:rsidR="00685BDB">
        <w:tab/>
      </w:r>
      <w:r>
        <w:rPr>
          <w:lang w:val="en-ZW"/>
        </w:rPr>
        <w:t xml:space="preserve">PG&amp;E </w:t>
      </w:r>
      <w:r w:rsidR="000A2A7C">
        <w:rPr>
          <w:lang w:val="en-ZW"/>
        </w:rPr>
        <w:t xml:space="preserve">Opening </w:t>
      </w:r>
      <w:r>
        <w:rPr>
          <w:lang w:val="en-ZW"/>
        </w:rPr>
        <w:t>Comments at 20.</w:t>
      </w:r>
    </w:p>
  </w:footnote>
  <w:footnote w:id="68">
    <w:p w14:paraId="64D88E57" w14:textId="6CF37DB6" w:rsidR="001F6BCB" w:rsidRPr="001F6BCB" w:rsidRDefault="001F6BCB" w:rsidP="00141C8C">
      <w:pPr>
        <w:pStyle w:val="FootnoteText"/>
        <w:ind w:left="288" w:hanging="288"/>
        <w:rPr>
          <w:lang w:val="en-ZW"/>
        </w:rPr>
      </w:pPr>
      <w:r>
        <w:rPr>
          <w:rStyle w:val="FootnoteReference"/>
        </w:rPr>
        <w:footnoteRef/>
      </w:r>
      <w:r>
        <w:t xml:space="preserve"> </w:t>
      </w:r>
      <w:r w:rsidR="00685BDB">
        <w:tab/>
      </w:r>
      <w:r>
        <w:rPr>
          <w:lang w:val="en-ZW"/>
        </w:rPr>
        <w:t xml:space="preserve">SCE </w:t>
      </w:r>
      <w:r w:rsidR="000A2A7C">
        <w:rPr>
          <w:lang w:val="en-ZW"/>
        </w:rPr>
        <w:t xml:space="preserve">Opening </w:t>
      </w:r>
      <w:r>
        <w:rPr>
          <w:lang w:val="en-ZW"/>
        </w:rPr>
        <w:t>Comments at 8.</w:t>
      </w:r>
    </w:p>
  </w:footnote>
  <w:footnote w:id="69">
    <w:p w14:paraId="325B2E4F" w14:textId="6290FEBD" w:rsidR="000E6A51" w:rsidRPr="009A313C" w:rsidRDefault="000E6A51" w:rsidP="00141C8C">
      <w:pPr>
        <w:pStyle w:val="FootnoteText"/>
        <w:ind w:left="288" w:hanging="288"/>
        <w:rPr>
          <w:lang w:val="en-ZW"/>
        </w:rPr>
      </w:pPr>
      <w:r>
        <w:rPr>
          <w:rStyle w:val="FootnoteReference"/>
        </w:rPr>
        <w:footnoteRef/>
      </w:r>
      <w:r>
        <w:t xml:space="preserve"> </w:t>
      </w:r>
      <w:r w:rsidR="00685BDB">
        <w:tab/>
      </w:r>
      <w:r>
        <w:rPr>
          <w:lang w:val="en-ZW"/>
        </w:rPr>
        <w:t>WPTF</w:t>
      </w:r>
      <w:r w:rsidR="000A2A7C">
        <w:rPr>
          <w:lang w:val="en-ZW"/>
        </w:rPr>
        <w:t xml:space="preserve"> Opening</w:t>
      </w:r>
      <w:r>
        <w:rPr>
          <w:lang w:val="en-ZW"/>
        </w:rPr>
        <w:t xml:space="preserve"> Comments at 10, MRP </w:t>
      </w:r>
      <w:r w:rsidR="000A2A7C">
        <w:rPr>
          <w:lang w:val="en-ZW"/>
        </w:rPr>
        <w:t xml:space="preserve">Opening </w:t>
      </w:r>
      <w:r>
        <w:rPr>
          <w:lang w:val="en-ZW"/>
        </w:rPr>
        <w:t>Comments at 14</w:t>
      </w:r>
      <w:r w:rsidR="005518C0">
        <w:rPr>
          <w:lang w:val="en-ZW"/>
        </w:rPr>
        <w:t>,</w:t>
      </w:r>
      <w:r w:rsidR="00811A5D">
        <w:rPr>
          <w:lang w:val="en-ZW"/>
        </w:rPr>
        <w:t xml:space="preserve"> Vistra </w:t>
      </w:r>
      <w:r w:rsidR="000A2A7C">
        <w:rPr>
          <w:lang w:val="en-ZW"/>
        </w:rPr>
        <w:t xml:space="preserve">Opening </w:t>
      </w:r>
      <w:r w:rsidR="00811A5D">
        <w:rPr>
          <w:lang w:val="en-ZW"/>
        </w:rPr>
        <w:t>Comments at 12.</w:t>
      </w:r>
    </w:p>
  </w:footnote>
  <w:footnote w:id="70">
    <w:p w14:paraId="4401C71C" w14:textId="6E2BE277" w:rsidR="0071726C" w:rsidRPr="007E2953" w:rsidRDefault="0071726C" w:rsidP="00141C8C">
      <w:pPr>
        <w:pStyle w:val="FootnoteText"/>
        <w:ind w:left="288" w:hanging="288"/>
        <w:rPr>
          <w:lang w:val="en-ZW"/>
        </w:rPr>
      </w:pPr>
      <w:r>
        <w:rPr>
          <w:rStyle w:val="FootnoteReference"/>
        </w:rPr>
        <w:footnoteRef/>
      </w:r>
      <w:r>
        <w:t xml:space="preserve"> </w:t>
      </w:r>
      <w:r w:rsidR="00685BDB">
        <w:tab/>
      </w:r>
      <w:r>
        <w:rPr>
          <w:lang w:val="en-ZW"/>
        </w:rPr>
        <w:t>AReM Proposal at 3.</w:t>
      </w:r>
    </w:p>
  </w:footnote>
  <w:footnote w:id="71">
    <w:p w14:paraId="13404BA0" w14:textId="2E40D051" w:rsidR="0071726C" w:rsidRPr="003E1235" w:rsidRDefault="0071726C" w:rsidP="00141C8C">
      <w:pPr>
        <w:pStyle w:val="FootnoteText"/>
        <w:ind w:left="288" w:hanging="288"/>
        <w:rPr>
          <w:lang w:val="en-ZW"/>
        </w:rPr>
      </w:pPr>
      <w:r>
        <w:rPr>
          <w:rStyle w:val="FootnoteReference"/>
        </w:rPr>
        <w:footnoteRef/>
      </w:r>
      <w:r>
        <w:t xml:space="preserve"> </w:t>
      </w:r>
      <w:r w:rsidR="00685BDB">
        <w:tab/>
      </w:r>
      <w:r>
        <w:rPr>
          <w:lang w:val="en-ZW"/>
        </w:rPr>
        <w:t xml:space="preserve">CalCCA </w:t>
      </w:r>
      <w:r w:rsidR="00463BE4">
        <w:rPr>
          <w:lang w:val="en-ZW"/>
        </w:rPr>
        <w:t xml:space="preserve">Opening </w:t>
      </w:r>
      <w:r>
        <w:rPr>
          <w:lang w:val="en-ZW"/>
        </w:rPr>
        <w:t>Comments at 21.</w:t>
      </w:r>
    </w:p>
  </w:footnote>
  <w:footnote w:id="72">
    <w:p w14:paraId="24A1F36C" w14:textId="6526BF72" w:rsidR="0071726C" w:rsidRPr="00DD5476" w:rsidRDefault="0071726C" w:rsidP="00141C8C">
      <w:pPr>
        <w:pStyle w:val="FootnoteText"/>
        <w:ind w:left="288" w:hanging="288"/>
        <w:rPr>
          <w:lang w:val="en-ZW"/>
        </w:rPr>
      </w:pPr>
      <w:r>
        <w:rPr>
          <w:rStyle w:val="FootnoteReference"/>
        </w:rPr>
        <w:footnoteRef/>
      </w:r>
      <w:r>
        <w:t xml:space="preserve"> </w:t>
      </w:r>
      <w:r w:rsidR="00685BDB">
        <w:tab/>
      </w:r>
      <w:r>
        <w:rPr>
          <w:lang w:val="en-ZW"/>
        </w:rPr>
        <w:t xml:space="preserve">PG&amp;E </w:t>
      </w:r>
      <w:r w:rsidR="004212DF">
        <w:rPr>
          <w:lang w:val="en-ZW"/>
        </w:rPr>
        <w:t xml:space="preserve">Opening </w:t>
      </w:r>
      <w:r>
        <w:rPr>
          <w:lang w:val="en-ZW"/>
        </w:rPr>
        <w:t>Comments at 12.</w:t>
      </w:r>
    </w:p>
  </w:footnote>
  <w:footnote w:id="73">
    <w:p w14:paraId="4DA4D425" w14:textId="1A50743F" w:rsidR="00495849" w:rsidRPr="00CE6E76" w:rsidRDefault="00495849" w:rsidP="00141C8C">
      <w:pPr>
        <w:pStyle w:val="FootnoteText"/>
        <w:ind w:left="288" w:hanging="288"/>
        <w:rPr>
          <w:lang w:val="en-ZW"/>
        </w:rPr>
      </w:pPr>
      <w:r>
        <w:rPr>
          <w:rStyle w:val="FootnoteReference"/>
        </w:rPr>
        <w:footnoteRef/>
      </w:r>
      <w:r>
        <w:t xml:space="preserve"> </w:t>
      </w:r>
      <w:r w:rsidR="00685BDB">
        <w:tab/>
      </w:r>
      <w:r>
        <w:rPr>
          <w:lang w:val="en-ZW"/>
        </w:rPr>
        <w:t>AReM Reply Comments at 12</w:t>
      </w:r>
      <w:r w:rsidR="00E126FC">
        <w:rPr>
          <w:lang w:val="en-ZW"/>
        </w:rPr>
        <w:t xml:space="preserve">, </w:t>
      </w:r>
      <w:r>
        <w:rPr>
          <w:lang w:val="en-ZW"/>
        </w:rPr>
        <w:t>SDG&amp;E Reply</w:t>
      </w:r>
      <w:r w:rsidR="00E126FC">
        <w:rPr>
          <w:lang w:val="en-ZW"/>
        </w:rPr>
        <w:t xml:space="preserve"> Comments</w:t>
      </w:r>
      <w:r>
        <w:rPr>
          <w:lang w:val="en-ZW"/>
        </w:rPr>
        <w:t xml:space="preserve"> at 6</w:t>
      </w:r>
      <w:r w:rsidR="00E126FC">
        <w:rPr>
          <w:lang w:val="en-ZW"/>
        </w:rPr>
        <w:t>,</w:t>
      </w:r>
      <w:r w:rsidRPr="00AA0942">
        <w:rPr>
          <w:lang w:val="en-ZW"/>
        </w:rPr>
        <w:t xml:space="preserve"> </w:t>
      </w:r>
      <w:r>
        <w:rPr>
          <w:lang w:val="en-ZW"/>
        </w:rPr>
        <w:t xml:space="preserve">SCE Reply </w:t>
      </w:r>
      <w:r w:rsidR="00E126FC">
        <w:rPr>
          <w:lang w:val="en-ZW"/>
        </w:rPr>
        <w:t xml:space="preserve">Comments </w:t>
      </w:r>
      <w:r>
        <w:rPr>
          <w:lang w:val="en-ZW"/>
        </w:rPr>
        <w:t>at 2</w:t>
      </w:r>
      <w:r w:rsidR="00E126FC">
        <w:rPr>
          <w:lang w:val="en-ZW"/>
        </w:rPr>
        <w:t>,</w:t>
      </w:r>
      <w:r w:rsidRPr="00AA0942">
        <w:rPr>
          <w:lang w:val="en-ZW"/>
        </w:rPr>
        <w:t xml:space="preserve"> </w:t>
      </w:r>
      <w:r>
        <w:rPr>
          <w:lang w:val="en-ZW"/>
        </w:rPr>
        <w:t>Shell</w:t>
      </w:r>
      <w:r w:rsidR="00E126FC">
        <w:rPr>
          <w:lang w:val="en-ZW"/>
        </w:rPr>
        <w:t xml:space="preserve"> Energy</w:t>
      </w:r>
      <w:r>
        <w:rPr>
          <w:lang w:val="en-ZW"/>
        </w:rPr>
        <w:t xml:space="preserve"> Reply </w:t>
      </w:r>
      <w:r w:rsidR="00E126FC">
        <w:rPr>
          <w:lang w:val="en-ZW"/>
        </w:rPr>
        <w:t xml:space="preserve">Comments </w:t>
      </w:r>
      <w:r>
        <w:rPr>
          <w:lang w:val="en-ZW"/>
        </w:rPr>
        <w:t>at 7</w:t>
      </w:r>
      <w:r w:rsidR="00E126FC">
        <w:rPr>
          <w:lang w:val="en-ZW"/>
        </w:rPr>
        <w:t>.</w:t>
      </w:r>
      <w:r w:rsidRPr="00DB2202">
        <w:rPr>
          <w:lang w:val="en-ZW"/>
        </w:rPr>
        <w:t xml:space="preserve"> </w:t>
      </w:r>
    </w:p>
  </w:footnote>
  <w:footnote w:id="74">
    <w:p w14:paraId="740435D8" w14:textId="506DBB80" w:rsidR="0071726C" w:rsidRPr="00716F84" w:rsidRDefault="0071726C" w:rsidP="00141C8C">
      <w:pPr>
        <w:pStyle w:val="FootnoteText"/>
        <w:ind w:left="288" w:hanging="288"/>
        <w:rPr>
          <w:lang w:val="en-ZW"/>
        </w:rPr>
      </w:pPr>
      <w:r>
        <w:rPr>
          <w:rStyle w:val="FootnoteReference"/>
        </w:rPr>
        <w:footnoteRef/>
      </w:r>
      <w:r>
        <w:t xml:space="preserve"> </w:t>
      </w:r>
      <w:r w:rsidR="00685BDB">
        <w:tab/>
      </w:r>
      <w:r w:rsidR="00D0420D">
        <w:t>Sierra Club</w:t>
      </w:r>
      <w:r>
        <w:t xml:space="preserve">/CEJA </w:t>
      </w:r>
      <w:r>
        <w:rPr>
          <w:lang w:val="en-ZW"/>
        </w:rPr>
        <w:t>Reply Comments at 6.</w:t>
      </w:r>
    </w:p>
  </w:footnote>
  <w:footnote w:id="75">
    <w:p w14:paraId="753DAD0F" w14:textId="596B5C0B" w:rsidR="0071726C" w:rsidRPr="00A04BC8" w:rsidRDefault="0071726C" w:rsidP="00141C8C">
      <w:pPr>
        <w:pStyle w:val="FootnoteText"/>
        <w:ind w:left="288" w:hanging="288"/>
        <w:rPr>
          <w:lang w:val="en-ZW"/>
        </w:rPr>
      </w:pPr>
      <w:r>
        <w:rPr>
          <w:rStyle w:val="FootnoteReference"/>
        </w:rPr>
        <w:footnoteRef/>
      </w:r>
      <w:r>
        <w:t xml:space="preserve"> </w:t>
      </w:r>
      <w:r w:rsidR="00685BDB">
        <w:tab/>
      </w:r>
      <w:r>
        <w:rPr>
          <w:lang w:val="en-ZW"/>
        </w:rPr>
        <w:t>CAISO Reply</w:t>
      </w:r>
      <w:r w:rsidR="007620E4">
        <w:rPr>
          <w:lang w:val="en-ZW"/>
        </w:rPr>
        <w:t xml:space="preserve"> Comments</w:t>
      </w:r>
      <w:r>
        <w:rPr>
          <w:lang w:val="en-ZW"/>
        </w:rPr>
        <w:t xml:space="preserve"> at 5</w:t>
      </w:r>
      <w:r w:rsidR="007620E4">
        <w:rPr>
          <w:lang w:val="en-ZW"/>
        </w:rPr>
        <w:t>,</w:t>
      </w:r>
      <w:r w:rsidRPr="00AA0942">
        <w:rPr>
          <w:lang w:val="en-ZW"/>
        </w:rPr>
        <w:t xml:space="preserve"> </w:t>
      </w:r>
      <w:r>
        <w:rPr>
          <w:lang w:val="en-ZW"/>
        </w:rPr>
        <w:t>Calpine Reply</w:t>
      </w:r>
      <w:r w:rsidR="00245941">
        <w:rPr>
          <w:lang w:val="en-ZW"/>
        </w:rPr>
        <w:t xml:space="preserve"> Comments</w:t>
      </w:r>
      <w:r>
        <w:rPr>
          <w:lang w:val="en-ZW"/>
        </w:rPr>
        <w:t xml:space="preserve"> at 1</w:t>
      </w:r>
      <w:r w:rsidR="00B2440D">
        <w:rPr>
          <w:lang w:val="en-ZW"/>
        </w:rPr>
        <w:t xml:space="preserve">, </w:t>
      </w:r>
      <w:r>
        <w:rPr>
          <w:lang w:val="en-ZW"/>
        </w:rPr>
        <w:t xml:space="preserve">MRP Reply </w:t>
      </w:r>
      <w:r w:rsidR="002032F9">
        <w:rPr>
          <w:lang w:val="en-ZW"/>
        </w:rPr>
        <w:t xml:space="preserve">Comments </w:t>
      </w:r>
      <w:r>
        <w:rPr>
          <w:lang w:val="en-ZW"/>
        </w:rPr>
        <w:t>at 7.</w:t>
      </w:r>
    </w:p>
  </w:footnote>
  <w:footnote w:id="76">
    <w:p w14:paraId="5A24FD00" w14:textId="6CB782DA" w:rsidR="0071726C" w:rsidRPr="00D030F2" w:rsidRDefault="0071726C" w:rsidP="00141C8C">
      <w:pPr>
        <w:pStyle w:val="FootnoteText"/>
        <w:ind w:left="288" w:hanging="288"/>
        <w:rPr>
          <w:lang w:val="en-ZW"/>
        </w:rPr>
      </w:pPr>
      <w:r>
        <w:rPr>
          <w:rStyle w:val="FootnoteReference"/>
        </w:rPr>
        <w:footnoteRef/>
      </w:r>
      <w:r>
        <w:t xml:space="preserve"> </w:t>
      </w:r>
      <w:r w:rsidR="00685BDB">
        <w:tab/>
      </w:r>
      <w:r>
        <w:rPr>
          <w:lang w:val="en-ZW"/>
        </w:rPr>
        <w:t xml:space="preserve">WPTF Reply </w:t>
      </w:r>
      <w:r w:rsidR="00755BD7">
        <w:rPr>
          <w:lang w:val="en-ZW"/>
        </w:rPr>
        <w:t xml:space="preserve">Comments </w:t>
      </w:r>
      <w:r>
        <w:rPr>
          <w:lang w:val="en-ZW"/>
        </w:rPr>
        <w:t xml:space="preserve">at </w:t>
      </w:r>
      <w:r w:rsidR="00AF46AB">
        <w:rPr>
          <w:lang w:val="en-ZW"/>
        </w:rPr>
        <w:t>1.</w:t>
      </w:r>
    </w:p>
  </w:footnote>
  <w:footnote w:id="77">
    <w:p w14:paraId="1B3598B9" w14:textId="0C84DF15" w:rsidR="00F754FD" w:rsidRPr="00F754FD" w:rsidRDefault="00F754FD" w:rsidP="00141C8C">
      <w:pPr>
        <w:pStyle w:val="FootnoteText"/>
        <w:ind w:left="288" w:hanging="288"/>
        <w:rPr>
          <w:lang w:val="en-ZW"/>
        </w:rPr>
      </w:pPr>
      <w:r>
        <w:rPr>
          <w:rStyle w:val="FootnoteReference"/>
        </w:rPr>
        <w:footnoteRef/>
      </w:r>
      <w:r>
        <w:t xml:space="preserve"> </w:t>
      </w:r>
      <w:r w:rsidR="00685BDB">
        <w:tab/>
      </w:r>
      <w:r>
        <w:rPr>
          <w:lang w:val="en-ZW"/>
        </w:rPr>
        <w:t>CESA Proposal at 12.</w:t>
      </w:r>
    </w:p>
  </w:footnote>
  <w:footnote w:id="78">
    <w:p w14:paraId="052FB8F1" w14:textId="369018AF" w:rsidR="00646F8A" w:rsidRPr="00646F8A" w:rsidRDefault="00646F8A" w:rsidP="00141C8C">
      <w:pPr>
        <w:pStyle w:val="FootnoteText"/>
        <w:ind w:left="288" w:hanging="288"/>
        <w:rPr>
          <w:lang w:val="en-ZW"/>
        </w:rPr>
      </w:pPr>
      <w:r>
        <w:rPr>
          <w:rStyle w:val="FootnoteReference"/>
        </w:rPr>
        <w:footnoteRef/>
      </w:r>
      <w:r>
        <w:t xml:space="preserve"> </w:t>
      </w:r>
      <w:r w:rsidR="00685BDB">
        <w:tab/>
      </w:r>
      <w:r w:rsidR="00800C60">
        <w:rPr>
          <w:lang w:val="en-ZW"/>
        </w:rPr>
        <w:t xml:space="preserve">CalCCA Reply Comments at 17, </w:t>
      </w:r>
      <w:r>
        <w:rPr>
          <w:lang w:val="en-ZW"/>
        </w:rPr>
        <w:t xml:space="preserve">WPTF </w:t>
      </w:r>
      <w:r w:rsidR="008F23CC">
        <w:rPr>
          <w:lang w:val="en-ZW"/>
        </w:rPr>
        <w:t xml:space="preserve">Opening </w:t>
      </w:r>
      <w:r>
        <w:rPr>
          <w:lang w:val="en-ZW"/>
        </w:rPr>
        <w:t>Comments at 8</w:t>
      </w:r>
      <w:r w:rsidR="008F23CC">
        <w:rPr>
          <w:lang w:val="en-ZW"/>
        </w:rPr>
        <w:t>,</w:t>
      </w:r>
      <w:r w:rsidR="003F7645">
        <w:rPr>
          <w:lang w:val="en-ZW"/>
        </w:rPr>
        <w:t xml:space="preserve"> S</w:t>
      </w:r>
      <w:r w:rsidR="003212FF">
        <w:rPr>
          <w:lang w:val="en-ZW"/>
        </w:rPr>
        <w:t xml:space="preserve">ierra </w:t>
      </w:r>
      <w:r w:rsidR="003F7645">
        <w:rPr>
          <w:lang w:val="en-ZW"/>
        </w:rPr>
        <w:t>C</w:t>
      </w:r>
      <w:r w:rsidR="003212FF">
        <w:rPr>
          <w:lang w:val="en-ZW"/>
        </w:rPr>
        <w:t>lub</w:t>
      </w:r>
      <w:r w:rsidR="003F7645">
        <w:rPr>
          <w:lang w:val="en-ZW"/>
        </w:rPr>
        <w:t>/CEJA Reply Comments at 3</w:t>
      </w:r>
      <w:r w:rsidR="008F23CC">
        <w:rPr>
          <w:lang w:val="en-ZW"/>
        </w:rPr>
        <w:t>,</w:t>
      </w:r>
      <w:r w:rsidR="00302F35">
        <w:rPr>
          <w:lang w:val="en-ZW"/>
        </w:rPr>
        <w:t xml:space="preserve"> </w:t>
      </w:r>
      <w:r w:rsidR="00800C60">
        <w:rPr>
          <w:lang w:val="en-ZW"/>
        </w:rPr>
        <w:t>Terra-Gen Opening Comments at 3.</w:t>
      </w:r>
    </w:p>
  </w:footnote>
  <w:footnote w:id="79">
    <w:p w14:paraId="2C599337" w14:textId="0F7E356D" w:rsidR="006736A8" w:rsidRPr="006736A8" w:rsidRDefault="006736A8" w:rsidP="00141C8C">
      <w:pPr>
        <w:pStyle w:val="FootnoteText"/>
        <w:ind w:left="288" w:hanging="288"/>
        <w:rPr>
          <w:lang w:val="en-ZW"/>
        </w:rPr>
      </w:pPr>
      <w:r>
        <w:rPr>
          <w:rStyle w:val="FootnoteReference"/>
        </w:rPr>
        <w:footnoteRef/>
      </w:r>
      <w:r>
        <w:t xml:space="preserve"> </w:t>
      </w:r>
      <w:r w:rsidR="00685BDB">
        <w:tab/>
      </w:r>
      <w:r>
        <w:rPr>
          <w:lang w:val="en-ZW"/>
        </w:rPr>
        <w:t xml:space="preserve">Cal Advocates </w:t>
      </w:r>
      <w:r w:rsidR="002638AE">
        <w:rPr>
          <w:lang w:val="en-ZW"/>
        </w:rPr>
        <w:t xml:space="preserve">Opening </w:t>
      </w:r>
      <w:r>
        <w:rPr>
          <w:lang w:val="en-ZW"/>
        </w:rPr>
        <w:t>Comment</w:t>
      </w:r>
      <w:r w:rsidR="00C549C5">
        <w:rPr>
          <w:lang w:val="en-ZW"/>
        </w:rPr>
        <w:t>s</w:t>
      </w:r>
      <w:r>
        <w:rPr>
          <w:lang w:val="en-ZW"/>
        </w:rPr>
        <w:t xml:space="preserve"> at 14.</w:t>
      </w:r>
    </w:p>
  </w:footnote>
  <w:footnote w:id="80">
    <w:p w14:paraId="09014F31" w14:textId="2177875B" w:rsidR="00070DA0" w:rsidRPr="00070DA0" w:rsidRDefault="00070DA0" w:rsidP="00141C8C">
      <w:pPr>
        <w:pStyle w:val="FootnoteText"/>
        <w:ind w:left="288" w:hanging="288"/>
        <w:rPr>
          <w:lang w:val="en-ZW"/>
        </w:rPr>
      </w:pPr>
      <w:r>
        <w:rPr>
          <w:rStyle w:val="FootnoteReference"/>
        </w:rPr>
        <w:footnoteRef/>
      </w:r>
      <w:r>
        <w:t xml:space="preserve"> </w:t>
      </w:r>
      <w:r w:rsidR="00685BDB">
        <w:tab/>
      </w:r>
      <w:r>
        <w:rPr>
          <w:lang w:val="en-ZW"/>
        </w:rPr>
        <w:t xml:space="preserve">CESA Reply </w:t>
      </w:r>
      <w:r w:rsidR="006369DD">
        <w:rPr>
          <w:lang w:val="en-ZW"/>
        </w:rPr>
        <w:t xml:space="preserve">Comments </w:t>
      </w:r>
      <w:r>
        <w:rPr>
          <w:lang w:val="en-ZW"/>
        </w:rPr>
        <w:t>at 8.</w:t>
      </w:r>
    </w:p>
  </w:footnote>
  <w:footnote w:id="81">
    <w:p w14:paraId="693C4B32" w14:textId="1F88D80F" w:rsidR="006D529B" w:rsidRPr="00141C8C" w:rsidRDefault="006D529B" w:rsidP="00141C8C">
      <w:pPr>
        <w:pStyle w:val="FootnoteText"/>
        <w:ind w:left="288" w:hanging="288"/>
        <w:rPr>
          <w:lang w:val="en-ZW"/>
        </w:rPr>
      </w:pPr>
      <w:r>
        <w:rPr>
          <w:rStyle w:val="FootnoteReference"/>
        </w:rPr>
        <w:footnoteRef/>
      </w:r>
      <w:r>
        <w:t xml:space="preserve"> </w:t>
      </w:r>
      <w:r w:rsidR="003B27A7">
        <w:tab/>
      </w:r>
      <w:r w:rsidRPr="00EB7CC4">
        <w:rPr>
          <w:i/>
          <w:iCs/>
        </w:rPr>
        <w:t>See</w:t>
      </w:r>
      <w:r>
        <w:t xml:space="preserve"> </w:t>
      </w:r>
      <w:r w:rsidRPr="00141C8C">
        <w:rPr>
          <w:i/>
          <w:iCs/>
        </w:rPr>
        <w:t>e.g.</w:t>
      </w:r>
      <w:r>
        <w:t xml:space="preserve">, RA SOD Showing Template User’s Guide at 19, available at: </w:t>
      </w:r>
      <w:hyperlink r:id="rId2" w:history="1">
        <w:r w:rsidRPr="00D00683">
          <w:t>https://www.cpuc.ca.gov/-/media/cpuc-website/divisions/energy-division/documents/resource-adequacy-homepage/resource-adequacy-compliance-materials/slice-of-day-compliance-materials/rashowing_template_usersguide_rev27.docx</w:t>
        </w:r>
      </w:hyperlink>
      <w:r>
        <w:t>.</w:t>
      </w:r>
    </w:p>
  </w:footnote>
  <w:footnote w:id="82">
    <w:p w14:paraId="1382303C" w14:textId="393DEE15" w:rsidR="007B73AF" w:rsidRPr="007B73AF" w:rsidRDefault="007B73AF" w:rsidP="00141C8C">
      <w:pPr>
        <w:pStyle w:val="FootnoteText"/>
        <w:ind w:left="288" w:hanging="288"/>
        <w:rPr>
          <w:lang w:val="en-ZW"/>
        </w:rPr>
      </w:pPr>
      <w:r>
        <w:rPr>
          <w:rStyle w:val="FootnoteReference"/>
        </w:rPr>
        <w:footnoteRef/>
      </w:r>
      <w:r>
        <w:t xml:space="preserve"> </w:t>
      </w:r>
      <w:r w:rsidR="00685BDB">
        <w:tab/>
      </w:r>
      <w:r>
        <w:rPr>
          <w:lang w:val="en-ZW"/>
        </w:rPr>
        <w:t xml:space="preserve">CalWEA </w:t>
      </w:r>
      <w:r w:rsidR="00E566E6">
        <w:rPr>
          <w:lang w:val="en-ZW"/>
        </w:rPr>
        <w:t xml:space="preserve">Revised </w:t>
      </w:r>
      <w:r>
        <w:rPr>
          <w:lang w:val="en-ZW"/>
        </w:rPr>
        <w:t>Proposal at 2.</w:t>
      </w:r>
    </w:p>
  </w:footnote>
  <w:footnote w:id="83">
    <w:p w14:paraId="5BF7550A" w14:textId="64F4155A" w:rsidR="000B2381" w:rsidRPr="000B2381" w:rsidRDefault="000B2381" w:rsidP="00141C8C">
      <w:pPr>
        <w:pStyle w:val="FootnoteText"/>
        <w:ind w:left="288" w:hanging="288"/>
        <w:rPr>
          <w:lang w:val="en-ZW"/>
        </w:rPr>
      </w:pPr>
      <w:r>
        <w:rPr>
          <w:rStyle w:val="FootnoteReference"/>
        </w:rPr>
        <w:footnoteRef/>
      </w:r>
      <w:r>
        <w:t xml:space="preserve"> </w:t>
      </w:r>
      <w:r w:rsidR="00685BDB">
        <w:tab/>
      </w:r>
      <w:r>
        <w:rPr>
          <w:lang w:val="en-ZW"/>
        </w:rPr>
        <w:t xml:space="preserve">Cal Advocates </w:t>
      </w:r>
      <w:r w:rsidR="009E584B">
        <w:rPr>
          <w:lang w:val="en-ZW"/>
        </w:rPr>
        <w:t xml:space="preserve">Opening </w:t>
      </w:r>
      <w:r>
        <w:rPr>
          <w:lang w:val="en-ZW"/>
        </w:rPr>
        <w:t>Comments at 2</w:t>
      </w:r>
      <w:r w:rsidR="00406E15">
        <w:rPr>
          <w:lang w:val="en-ZW"/>
        </w:rPr>
        <w:t xml:space="preserve">, </w:t>
      </w:r>
      <w:r w:rsidR="00FF0C5D">
        <w:rPr>
          <w:lang w:val="en-ZW"/>
        </w:rPr>
        <w:t xml:space="preserve">MRP </w:t>
      </w:r>
      <w:r w:rsidR="00406E15">
        <w:rPr>
          <w:lang w:val="en-ZW"/>
        </w:rPr>
        <w:t xml:space="preserve">Opening </w:t>
      </w:r>
      <w:r w:rsidR="00FF0C5D">
        <w:rPr>
          <w:lang w:val="en-ZW"/>
        </w:rPr>
        <w:t>Comments at 17</w:t>
      </w:r>
      <w:r w:rsidR="00406E15">
        <w:rPr>
          <w:lang w:val="en-ZW"/>
        </w:rPr>
        <w:t xml:space="preserve">, </w:t>
      </w:r>
      <w:r w:rsidR="002D67A4">
        <w:rPr>
          <w:lang w:val="en-ZW"/>
        </w:rPr>
        <w:t>S</w:t>
      </w:r>
      <w:r w:rsidR="00406E15">
        <w:rPr>
          <w:lang w:val="en-ZW"/>
        </w:rPr>
        <w:t>ierra Club</w:t>
      </w:r>
      <w:r w:rsidR="002D67A4">
        <w:rPr>
          <w:lang w:val="en-ZW"/>
        </w:rPr>
        <w:t>/CEJA Reply Comments at 8</w:t>
      </w:r>
      <w:r w:rsidR="00406E15">
        <w:rPr>
          <w:lang w:val="en-ZW"/>
        </w:rPr>
        <w:t>, Terra-Gen Opening Comments at 4.</w:t>
      </w:r>
    </w:p>
  </w:footnote>
  <w:footnote w:id="84">
    <w:p w14:paraId="6C3ACF2A" w14:textId="05E68CF9" w:rsidR="0059012F" w:rsidRPr="00591B75" w:rsidRDefault="0059012F" w:rsidP="00141C8C">
      <w:pPr>
        <w:pStyle w:val="FootnoteText"/>
        <w:ind w:left="288" w:hanging="288"/>
        <w:rPr>
          <w:lang w:val="en-ZW"/>
        </w:rPr>
      </w:pPr>
      <w:r>
        <w:rPr>
          <w:rStyle w:val="FootnoteReference"/>
        </w:rPr>
        <w:footnoteRef/>
      </w:r>
      <w:r>
        <w:t xml:space="preserve"> </w:t>
      </w:r>
      <w:r w:rsidR="00685BDB">
        <w:tab/>
      </w:r>
      <w:r>
        <w:rPr>
          <w:lang w:val="en-ZW"/>
        </w:rPr>
        <w:t>CESA Proposal at 9.</w:t>
      </w:r>
    </w:p>
  </w:footnote>
  <w:footnote w:id="85">
    <w:p w14:paraId="272A5CF8" w14:textId="3D913585" w:rsidR="0059012F" w:rsidRPr="00E11783" w:rsidRDefault="0059012F" w:rsidP="00141C8C">
      <w:pPr>
        <w:pStyle w:val="FootnoteText"/>
        <w:ind w:left="288" w:hanging="288"/>
        <w:rPr>
          <w:lang w:val="en-ZW"/>
        </w:rPr>
      </w:pPr>
      <w:r>
        <w:rPr>
          <w:rStyle w:val="FootnoteReference"/>
        </w:rPr>
        <w:footnoteRef/>
      </w:r>
      <w:r>
        <w:t xml:space="preserve"> </w:t>
      </w:r>
      <w:r w:rsidR="00685BDB">
        <w:tab/>
      </w:r>
      <w:r>
        <w:rPr>
          <w:lang w:val="en-ZW"/>
        </w:rPr>
        <w:t xml:space="preserve">AES </w:t>
      </w:r>
      <w:r w:rsidR="006F385E">
        <w:rPr>
          <w:lang w:val="en-ZW"/>
        </w:rPr>
        <w:t xml:space="preserve">Opening </w:t>
      </w:r>
      <w:r>
        <w:rPr>
          <w:lang w:val="en-ZW"/>
        </w:rPr>
        <w:t>Comments at 3</w:t>
      </w:r>
      <w:r w:rsidR="006F385E">
        <w:rPr>
          <w:lang w:val="en-ZW"/>
        </w:rPr>
        <w:t>,</w:t>
      </w:r>
      <w:r>
        <w:rPr>
          <w:lang w:val="en-ZW"/>
        </w:rPr>
        <w:t xml:space="preserve"> Hydrostor </w:t>
      </w:r>
      <w:r w:rsidR="00D803AC">
        <w:rPr>
          <w:lang w:val="en-ZW"/>
        </w:rPr>
        <w:t xml:space="preserve">Opening </w:t>
      </w:r>
      <w:r>
        <w:rPr>
          <w:lang w:val="en-ZW"/>
        </w:rPr>
        <w:t>Comments at 2</w:t>
      </w:r>
      <w:r w:rsidR="00D803AC">
        <w:rPr>
          <w:lang w:val="en-ZW"/>
        </w:rPr>
        <w:t xml:space="preserve">, </w:t>
      </w:r>
      <w:r>
        <w:rPr>
          <w:lang w:val="en-ZW"/>
        </w:rPr>
        <w:t xml:space="preserve">Terra-Gen </w:t>
      </w:r>
      <w:r w:rsidR="00715810">
        <w:rPr>
          <w:lang w:val="en-ZW"/>
        </w:rPr>
        <w:t xml:space="preserve">Opening </w:t>
      </w:r>
      <w:r>
        <w:rPr>
          <w:lang w:val="en-ZW"/>
        </w:rPr>
        <w:t>Comments at 3</w:t>
      </w:r>
      <w:r w:rsidR="00715810">
        <w:rPr>
          <w:lang w:val="en-ZW"/>
        </w:rPr>
        <w:t>,</w:t>
      </w:r>
      <w:r>
        <w:rPr>
          <w:lang w:val="en-ZW"/>
        </w:rPr>
        <w:t xml:space="preserve"> REV </w:t>
      </w:r>
      <w:r w:rsidR="00FC2E92">
        <w:rPr>
          <w:lang w:val="en-ZW"/>
        </w:rPr>
        <w:t xml:space="preserve">Opening </w:t>
      </w:r>
      <w:r>
        <w:rPr>
          <w:lang w:val="en-ZW"/>
        </w:rPr>
        <w:t>Comments at 3.</w:t>
      </w:r>
    </w:p>
  </w:footnote>
  <w:footnote w:id="86">
    <w:p w14:paraId="5A59EE10" w14:textId="293ED160" w:rsidR="00117D02" w:rsidRPr="007F36CE" w:rsidRDefault="00117D02" w:rsidP="00141C8C">
      <w:pPr>
        <w:ind w:left="288" w:hanging="288"/>
        <w:rPr>
          <w:sz w:val="22"/>
        </w:rPr>
      </w:pPr>
      <w:r w:rsidRPr="007F36CE">
        <w:rPr>
          <w:sz w:val="22"/>
          <w:vertAlign w:val="superscript"/>
        </w:rPr>
        <w:footnoteRef/>
      </w:r>
      <w:r w:rsidRPr="007F36CE">
        <w:rPr>
          <w:sz w:val="22"/>
        </w:rPr>
        <w:t xml:space="preserve"> </w:t>
      </w:r>
      <w:r w:rsidR="00605233">
        <w:rPr>
          <w:sz w:val="22"/>
        </w:rPr>
        <w:tab/>
      </w:r>
      <w:r w:rsidRPr="007F36CE">
        <w:rPr>
          <w:sz w:val="22"/>
        </w:rPr>
        <w:t>DMM Opening Comments at 9</w:t>
      </w:r>
    </w:p>
  </w:footnote>
  <w:footnote w:id="87">
    <w:p w14:paraId="34F5EC1A" w14:textId="4D63CF24" w:rsidR="009E28D1" w:rsidRPr="002A3899" w:rsidRDefault="009E28D1" w:rsidP="00141C8C">
      <w:pPr>
        <w:pStyle w:val="FootnoteText"/>
        <w:ind w:left="288" w:hanging="288"/>
        <w:rPr>
          <w:lang w:val="en-ZW"/>
        </w:rPr>
      </w:pPr>
      <w:r>
        <w:rPr>
          <w:rStyle w:val="FootnoteReference"/>
        </w:rPr>
        <w:footnoteRef/>
      </w:r>
      <w:r>
        <w:t xml:space="preserve"> </w:t>
      </w:r>
      <w:r w:rsidR="00685BDB">
        <w:tab/>
      </w:r>
      <w:r>
        <w:rPr>
          <w:lang w:val="en-ZW"/>
        </w:rPr>
        <w:t>Cal Advocates</w:t>
      </w:r>
      <w:r w:rsidR="00A634F3" w:rsidRPr="00A634F3">
        <w:t xml:space="preserve"> </w:t>
      </w:r>
      <w:r w:rsidR="00A634F3">
        <w:t>Opening Comments</w:t>
      </w:r>
      <w:r>
        <w:rPr>
          <w:lang w:val="en-ZW"/>
        </w:rPr>
        <w:t xml:space="preserve"> at 15</w:t>
      </w:r>
      <w:r w:rsidR="00A634F3">
        <w:rPr>
          <w:lang w:val="en-ZW"/>
        </w:rPr>
        <w:t xml:space="preserve">, </w:t>
      </w:r>
      <w:r w:rsidR="005F0149">
        <w:rPr>
          <w:lang w:val="en-ZW"/>
        </w:rPr>
        <w:t xml:space="preserve">MRP Opening Comments at 7, </w:t>
      </w:r>
      <w:r>
        <w:rPr>
          <w:lang w:val="en-ZW"/>
        </w:rPr>
        <w:t>PG&amp;E Opening Comments at 17.</w:t>
      </w:r>
      <w:r w:rsidRPr="00DC78D7">
        <w:rPr>
          <w:lang w:val="en-ZW"/>
        </w:rPr>
        <w:t xml:space="preserve"> </w:t>
      </w:r>
    </w:p>
  </w:footnote>
  <w:footnote w:id="88">
    <w:p w14:paraId="2D024404" w14:textId="16F5F94D" w:rsidR="0059012F" w:rsidRPr="00245346" w:rsidRDefault="0059012F" w:rsidP="00141C8C">
      <w:pPr>
        <w:pStyle w:val="FootnoteText"/>
        <w:ind w:left="288" w:hanging="288"/>
        <w:rPr>
          <w:lang w:val="en-ZW"/>
        </w:rPr>
      </w:pPr>
      <w:r>
        <w:rPr>
          <w:rStyle w:val="FootnoteReference"/>
        </w:rPr>
        <w:footnoteRef/>
      </w:r>
      <w:r>
        <w:t xml:space="preserve"> </w:t>
      </w:r>
      <w:r w:rsidR="00685BDB">
        <w:tab/>
      </w:r>
      <w:r>
        <w:rPr>
          <w:lang w:val="en-ZW"/>
        </w:rPr>
        <w:t>CESA Revised Proposal at 9.</w:t>
      </w:r>
    </w:p>
  </w:footnote>
  <w:footnote w:id="89">
    <w:p w14:paraId="692BD5A5" w14:textId="68C4C7CB" w:rsidR="0084743F" w:rsidRPr="00D140A1" w:rsidRDefault="0084743F" w:rsidP="00141C8C">
      <w:pPr>
        <w:pStyle w:val="FootnoteText"/>
        <w:ind w:left="288" w:hanging="288"/>
        <w:rPr>
          <w:lang w:val="en-ZW"/>
        </w:rPr>
      </w:pPr>
      <w:r>
        <w:rPr>
          <w:rStyle w:val="FootnoteReference"/>
        </w:rPr>
        <w:footnoteRef/>
      </w:r>
      <w:r>
        <w:t xml:space="preserve"> </w:t>
      </w:r>
      <w:r w:rsidR="00685BDB">
        <w:tab/>
      </w:r>
      <w:r>
        <w:rPr>
          <w:lang w:val="en-ZW"/>
        </w:rPr>
        <w:t>DMM Opening Comments at 5.</w:t>
      </w:r>
    </w:p>
  </w:footnote>
  <w:footnote w:id="90">
    <w:p w14:paraId="59ACF136" w14:textId="74DE71C1" w:rsidR="00D00683" w:rsidRPr="00D00683" w:rsidRDefault="00D00683" w:rsidP="00141C8C">
      <w:pPr>
        <w:pStyle w:val="FootnoteText"/>
        <w:ind w:left="288" w:hanging="288"/>
        <w:rPr>
          <w:lang w:val="en-ZW"/>
        </w:rPr>
      </w:pPr>
      <w:r>
        <w:rPr>
          <w:rStyle w:val="FootnoteReference"/>
        </w:rPr>
        <w:footnoteRef/>
      </w:r>
      <w:r>
        <w:t xml:space="preserve"> </w:t>
      </w:r>
      <w:r w:rsidR="00685BDB">
        <w:tab/>
      </w:r>
      <w:r w:rsidR="00EB7CC4" w:rsidRPr="00EB7CC4">
        <w:rPr>
          <w:i/>
          <w:iCs/>
        </w:rPr>
        <w:t>See</w:t>
      </w:r>
      <w:r w:rsidR="00EB7CC4">
        <w:t xml:space="preserve"> </w:t>
      </w:r>
      <w:r>
        <w:t>RA SOD Showing Template User’s Guide</w:t>
      </w:r>
      <w:r w:rsidR="00D35AE9">
        <w:t xml:space="preserve"> at 19, </w:t>
      </w:r>
      <w:r>
        <w:t xml:space="preserve">available at: </w:t>
      </w:r>
      <w:hyperlink r:id="rId3" w:history="1">
        <w:r w:rsidRPr="00D00683">
          <w:t>https://www.cpuc.ca.gov/-/media/cpuc-website/divisions/energy-division/documents/resource-adequacy-homepage/resource-adequacy-compliance-materials/slice-of-day-compliance-materials/rashowing_template_usersguide_rev27.docx</w:t>
        </w:r>
      </w:hyperlink>
      <w:r>
        <w:t>.</w:t>
      </w:r>
    </w:p>
  </w:footnote>
  <w:footnote w:id="91">
    <w:p w14:paraId="28EF0920" w14:textId="2E0FBEB9" w:rsidR="0059012F" w:rsidRPr="00FC3DAC" w:rsidRDefault="0059012F" w:rsidP="00141C8C">
      <w:pPr>
        <w:pStyle w:val="FootnoteText"/>
        <w:ind w:left="288" w:hanging="288"/>
        <w:rPr>
          <w:lang w:val="en-ZW"/>
        </w:rPr>
      </w:pPr>
      <w:r>
        <w:rPr>
          <w:rStyle w:val="FootnoteReference"/>
        </w:rPr>
        <w:footnoteRef/>
      </w:r>
      <w:r>
        <w:t xml:space="preserve"> </w:t>
      </w:r>
      <w:r w:rsidR="00685BDB">
        <w:tab/>
      </w:r>
      <w:r>
        <w:rPr>
          <w:lang w:val="en-ZW"/>
        </w:rPr>
        <w:t>SCE Proposal at 8.</w:t>
      </w:r>
    </w:p>
  </w:footnote>
  <w:footnote w:id="92">
    <w:p w14:paraId="753DCBAA" w14:textId="302AB4B5" w:rsidR="0059012F" w:rsidRPr="00FC3DAC" w:rsidRDefault="0059012F" w:rsidP="00141C8C">
      <w:pPr>
        <w:pStyle w:val="FootnoteText"/>
        <w:ind w:left="288" w:hanging="288"/>
        <w:rPr>
          <w:lang w:val="en-ZW"/>
        </w:rPr>
      </w:pPr>
      <w:r>
        <w:rPr>
          <w:rStyle w:val="FootnoteReference"/>
        </w:rPr>
        <w:footnoteRef/>
      </w:r>
      <w:r>
        <w:t xml:space="preserve"> </w:t>
      </w:r>
      <w:r w:rsidR="00685BDB">
        <w:tab/>
      </w:r>
      <w:r>
        <w:rPr>
          <w:lang w:val="en-ZW"/>
        </w:rPr>
        <w:t>D.23-04-010 at OP 7.</w:t>
      </w:r>
    </w:p>
  </w:footnote>
  <w:footnote w:id="93">
    <w:p w14:paraId="5EBB3E0E" w14:textId="2B2C78A8" w:rsidR="0059012F" w:rsidRPr="00D10C06" w:rsidRDefault="0059012F" w:rsidP="00141C8C">
      <w:pPr>
        <w:pStyle w:val="FootnoteText"/>
        <w:ind w:left="288" w:hanging="288"/>
        <w:rPr>
          <w:lang w:val="en-ZW"/>
        </w:rPr>
      </w:pPr>
      <w:r>
        <w:rPr>
          <w:rStyle w:val="FootnoteReference"/>
        </w:rPr>
        <w:footnoteRef/>
      </w:r>
      <w:r>
        <w:t xml:space="preserve"> </w:t>
      </w:r>
      <w:r w:rsidR="00685BDB">
        <w:tab/>
      </w:r>
      <w:r w:rsidR="001072BA">
        <w:rPr>
          <w:lang w:val="en-ZW"/>
        </w:rPr>
        <w:t xml:space="preserve">Ava Opening Comments at 3, </w:t>
      </w:r>
      <w:r>
        <w:rPr>
          <w:lang w:val="en-ZW"/>
        </w:rPr>
        <w:t xml:space="preserve">CESA </w:t>
      </w:r>
      <w:r w:rsidR="00CB4243">
        <w:rPr>
          <w:lang w:val="en-ZW"/>
        </w:rPr>
        <w:t xml:space="preserve">Opening </w:t>
      </w:r>
      <w:r>
        <w:rPr>
          <w:lang w:val="en-ZW"/>
        </w:rPr>
        <w:t>Comments at 3</w:t>
      </w:r>
      <w:r w:rsidR="00CB4243">
        <w:rPr>
          <w:lang w:val="en-ZW"/>
        </w:rPr>
        <w:t>,</w:t>
      </w:r>
      <w:r>
        <w:rPr>
          <w:lang w:val="en-ZW"/>
        </w:rPr>
        <w:t xml:space="preserve"> PG&amp;E Reply Comments at 10</w:t>
      </w:r>
      <w:r w:rsidR="00CB4243">
        <w:rPr>
          <w:lang w:val="en-ZW"/>
        </w:rPr>
        <w:t>,</w:t>
      </w:r>
      <w:r>
        <w:rPr>
          <w:lang w:val="en-ZW"/>
        </w:rPr>
        <w:t xml:space="preserve"> S</w:t>
      </w:r>
      <w:r w:rsidR="00C26793">
        <w:rPr>
          <w:lang w:val="en-ZW"/>
        </w:rPr>
        <w:t>ierra Club</w:t>
      </w:r>
      <w:r>
        <w:rPr>
          <w:lang w:val="en-ZW"/>
        </w:rPr>
        <w:t>/CEJA Reply Comments at 4.</w:t>
      </w:r>
    </w:p>
  </w:footnote>
  <w:footnote w:id="94">
    <w:p w14:paraId="0112B780" w14:textId="408FDF59" w:rsidR="00D246AA" w:rsidRPr="00D140A1" w:rsidRDefault="00D246AA" w:rsidP="00141C8C">
      <w:pPr>
        <w:pStyle w:val="FootnoteText"/>
        <w:ind w:left="288" w:hanging="288"/>
        <w:rPr>
          <w:lang w:val="en-ZW"/>
        </w:rPr>
      </w:pPr>
      <w:r>
        <w:rPr>
          <w:rStyle w:val="FootnoteReference"/>
        </w:rPr>
        <w:footnoteRef/>
      </w:r>
      <w:r>
        <w:t xml:space="preserve"> </w:t>
      </w:r>
      <w:r w:rsidR="00685BDB">
        <w:tab/>
      </w:r>
      <w:r w:rsidR="0012343F">
        <w:rPr>
          <w:lang w:val="en-ZW"/>
        </w:rPr>
        <w:t>SCE Proposal at 8.</w:t>
      </w:r>
    </w:p>
  </w:footnote>
  <w:footnote w:id="95">
    <w:p w14:paraId="5B28F55D" w14:textId="3B8F4D37" w:rsidR="00EC60E6" w:rsidRPr="00EC60E6" w:rsidRDefault="00EC60E6" w:rsidP="00141C8C">
      <w:pPr>
        <w:pStyle w:val="FootnoteText"/>
        <w:ind w:left="288" w:hanging="288"/>
        <w:rPr>
          <w:lang w:val="en-ZW"/>
        </w:rPr>
      </w:pPr>
      <w:r>
        <w:rPr>
          <w:rStyle w:val="FootnoteReference"/>
        </w:rPr>
        <w:footnoteRef/>
      </w:r>
      <w:r>
        <w:t xml:space="preserve"> </w:t>
      </w:r>
      <w:r w:rsidR="00685BDB">
        <w:tab/>
      </w:r>
      <w:r>
        <w:rPr>
          <w:lang w:val="en-ZW"/>
        </w:rPr>
        <w:t>Form Energy Proposal at 5.</w:t>
      </w:r>
    </w:p>
  </w:footnote>
  <w:footnote w:id="96">
    <w:p w14:paraId="1790B011" w14:textId="08F000E7" w:rsidR="00BD5777" w:rsidRPr="00BD5777" w:rsidRDefault="00BD5777" w:rsidP="00141C8C">
      <w:pPr>
        <w:pStyle w:val="FootnoteText"/>
        <w:ind w:left="288" w:hanging="288"/>
        <w:rPr>
          <w:lang w:val="en-ZW"/>
        </w:rPr>
      </w:pPr>
      <w:r>
        <w:rPr>
          <w:rStyle w:val="FootnoteReference"/>
        </w:rPr>
        <w:footnoteRef/>
      </w:r>
      <w:r>
        <w:t xml:space="preserve"> </w:t>
      </w:r>
      <w:r w:rsidR="00685BDB">
        <w:tab/>
      </w:r>
      <w:r>
        <w:rPr>
          <w:lang w:val="en-ZW"/>
        </w:rPr>
        <w:t xml:space="preserve">CESA </w:t>
      </w:r>
      <w:r w:rsidR="00DC6AA4">
        <w:rPr>
          <w:lang w:val="en-ZW"/>
        </w:rPr>
        <w:t xml:space="preserve">Opening </w:t>
      </w:r>
      <w:r>
        <w:rPr>
          <w:lang w:val="en-ZW"/>
        </w:rPr>
        <w:t>Comments at 3</w:t>
      </w:r>
      <w:r w:rsidR="00DC6AA4">
        <w:rPr>
          <w:lang w:val="en-ZW"/>
        </w:rPr>
        <w:t>,</w:t>
      </w:r>
      <w:r w:rsidR="00E156ED">
        <w:rPr>
          <w:lang w:val="en-ZW"/>
        </w:rPr>
        <w:t xml:space="preserve"> Hydrostor </w:t>
      </w:r>
      <w:r w:rsidR="00DC6AA4">
        <w:rPr>
          <w:lang w:val="en-ZW"/>
        </w:rPr>
        <w:t xml:space="preserve">Opening </w:t>
      </w:r>
      <w:r w:rsidR="00E156ED">
        <w:rPr>
          <w:lang w:val="en-ZW"/>
        </w:rPr>
        <w:t>Comments at 3.</w:t>
      </w:r>
    </w:p>
  </w:footnote>
  <w:footnote w:id="97">
    <w:p w14:paraId="7C1C868F" w14:textId="071DD4F1" w:rsidR="009C2FBD" w:rsidRPr="009C2FBD" w:rsidRDefault="009C2FBD" w:rsidP="00141C8C">
      <w:pPr>
        <w:pStyle w:val="FootnoteText"/>
        <w:ind w:left="288" w:hanging="288"/>
        <w:rPr>
          <w:lang w:val="en-ZW"/>
        </w:rPr>
      </w:pPr>
      <w:r>
        <w:rPr>
          <w:rStyle w:val="FootnoteReference"/>
        </w:rPr>
        <w:footnoteRef/>
      </w:r>
      <w:r>
        <w:t xml:space="preserve"> </w:t>
      </w:r>
      <w:r w:rsidR="00685BDB">
        <w:tab/>
      </w:r>
      <w:r>
        <w:rPr>
          <w:lang w:val="en-ZW"/>
        </w:rPr>
        <w:t xml:space="preserve">Cal Advocates </w:t>
      </w:r>
      <w:r w:rsidR="00B9215C">
        <w:rPr>
          <w:lang w:val="en-ZW"/>
        </w:rPr>
        <w:t xml:space="preserve">Opening </w:t>
      </w:r>
      <w:r>
        <w:rPr>
          <w:lang w:val="en-ZW"/>
        </w:rPr>
        <w:t>Comments at 11.</w:t>
      </w:r>
    </w:p>
  </w:footnote>
  <w:footnote w:id="98">
    <w:p w14:paraId="0149D874" w14:textId="122CDA64" w:rsidR="002C3A7E" w:rsidRPr="002C3A7E" w:rsidRDefault="002C3A7E" w:rsidP="00141C8C">
      <w:pPr>
        <w:pStyle w:val="FootnoteText"/>
        <w:ind w:left="288" w:hanging="288"/>
        <w:rPr>
          <w:lang w:val="en-ZW"/>
        </w:rPr>
      </w:pPr>
      <w:r>
        <w:rPr>
          <w:rStyle w:val="FootnoteReference"/>
        </w:rPr>
        <w:footnoteRef/>
      </w:r>
      <w:r>
        <w:t xml:space="preserve"> </w:t>
      </w:r>
      <w:r w:rsidR="00685BDB">
        <w:tab/>
      </w:r>
      <w:r>
        <w:rPr>
          <w:lang w:val="en-ZW"/>
        </w:rPr>
        <w:t>D.23-04-010 at 45.</w:t>
      </w:r>
    </w:p>
  </w:footnote>
  <w:footnote w:id="99">
    <w:p w14:paraId="1E0A1E6E" w14:textId="3FE8C02A" w:rsidR="004C064F" w:rsidRPr="004C064F" w:rsidRDefault="004C064F" w:rsidP="00141C8C">
      <w:pPr>
        <w:pStyle w:val="FootnoteText"/>
        <w:ind w:left="288" w:hanging="288"/>
        <w:rPr>
          <w:lang w:val="en-ZW"/>
        </w:rPr>
      </w:pPr>
      <w:r>
        <w:rPr>
          <w:rStyle w:val="FootnoteReference"/>
        </w:rPr>
        <w:footnoteRef/>
      </w:r>
      <w:r>
        <w:t xml:space="preserve"> </w:t>
      </w:r>
      <w:r w:rsidR="00685BDB">
        <w:tab/>
      </w:r>
      <w:r w:rsidRPr="001B6C5D">
        <w:rPr>
          <w:i/>
          <w:iCs/>
          <w:lang w:val="en-ZW"/>
        </w:rPr>
        <w:t>Id</w:t>
      </w:r>
      <w:r>
        <w:rPr>
          <w:lang w:val="en-ZW"/>
        </w:rPr>
        <w:t>.</w:t>
      </w:r>
    </w:p>
  </w:footnote>
  <w:footnote w:id="100">
    <w:p w14:paraId="53A71079" w14:textId="512CFF09" w:rsidR="0035248A" w:rsidRPr="0035248A" w:rsidRDefault="0035248A" w:rsidP="00141C8C">
      <w:pPr>
        <w:pStyle w:val="FootnoteText"/>
        <w:ind w:left="288" w:hanging="288"/>
        <w:rPr>
          <w:lang w:val="en-ZW"/>
        </w:rPr>
      </w:pPr>
      <w:r>
        <w:rPr>
          <w:rStyle w:val="FootnoteReference"/>
        </w:rPr>
        <w:footnoteRef/>
      </w:r>
      <w:r>
        <w:t xml:space="preserve"> </w:t>
      </w:r>
      <w:r w:rsidR="00685BDB">
        <w:tab/>
      </w:r>
      <w:r>
        <w:rPr>
          <w:lang w:val="en-ZW"/>
        </w:rPr>
        <w:t>D.05-10-042 at 55.</w:t>
      </w:r>
    </w:p>
  </w:footnote>
  <w:footnote w:id="101">
    <w:p w14:paraId="00555D68" w14:textId="65CDE793" w:rsidR="0035248A" w:rsidRPr="00DC158C" w:rsidRDefault="0035248A" w:rsidP="00141C8C">
      <w:pPr>
        <w:pStyle w:val="FootnoteText"/>
        <w:ind w:left="288" w:hanging="288"/>
        <w:rPr>
          <w:lang w:val="en-ZW"/>
        </w:rPr>
      </w:pPr>
      <w:r>
        <w:rPr>
          <w:rStyle w:val="FootnoteReference"/>
        </w:rPr>
        <w:footnoteRef/>
      </w:r>
      <w:r>
        <w:t xml:space="preserve"> </w:t>
      </w:r>
      <w:r w:rsidR="00685BDB">
        <w:tab/>
      </w:r>
      <w:r>
        <w:rPr>
          <w:lang w:val="en-ZW"/>
        </w:rPr>
        <w:t>PG&amp;E Proposal at 6.</w:t>
      </w:r>
    </w:p>
  </w:footnote>
  <w:footnote w:id="102">
    <w:p w14:paraId="689D6096" w14:textId="0E16DEA4" w:rsidR="00E01A20" w:rsidRPr="00E01A20" w:rsidRDefault="00E01A20" w:rsidP="00141C8C">
      <w:pPr>
        <w:pStyle w:val="FootnoteText"/>
        <w:ind w:left="288" w:hanging="288"/>
        <w:rPr>
          <w:lang w:val="en-ZW"/>
        </w:rPr>
      </w:pPr>
      <w:r>
        <w:rPr>
          <w:rStyle w:val="FootnoteReference"/>
        </w:rPr>
        <w:footnoteRef/>
      </w:r>
      <w:r>
        <w:t xml:space="preserve"> </w:t>
      </w:r>
      <w:r w:rsidR="00685BDB">
        <w:tab/>
      </w:r>
      <w:r w:rsidRPr="00CA25E1">
        <w:rPr>
          <w:i/>
          <w:iCs/>
          <w:lang w:val="en-ZW"/>
        </w:rPr>
        <w:t>Id</w:t>
      </w:r>
      <w:r>
        <w:rPr>
          <w:lang w:val="en-ZW"/>
        </w:rPr>
        <w:t>. (citing D.23-04-010 at OP 20).</w:t>
      </w:r>
    </w:p>
  </w:footnote>
  <w:footnote w:id="103">
    <w:p w14:paraId="0D9E33A5" w14:textId="5714D533" w:rsidR="00B372F6" w:rsidRPr="00B372F6" w:rsidRDefault="00B372F6" w:rsidP="00141C8C">
      <w:pPr>
        <w:pStyle w:val="FootnoteText"/>
        <w:ind w:left="288" w:hanging="288"/>
        <w:rPr>
          <w:lang w:val="en-ZW"/>
        </w:rPr>
      </w:pPr>
      <w:r>
        <w:rPr>
          <w:rStyle w:val="FootnoteReference"/>
        </w:rPr>
        <w:footnoteRef/>
      </w:r>
      <w:r>
        <w:t xml:space="preserve"> </w:t>
      </w:r>
      <w:r w:rsidR="00685BDB">
        <w:tab/>
      </w:r>
      <w:r>
        <w:rPr>
          <w:lang w:val="en-ZW"/>
        </w:rPr>
        <w:t xml:space="preserve">Cal Advocates </w:t>
      </w:r>
      <w:r w:rsidR="009A74CE">
        <w:rPr>
          <w:lang w:val="en-ZW"/>
        </w:rPr>
        <w:t xml:space="preserve">Opening </w:t>
      </w:r>
      <w:r>
        <w:rPr>
          <w:lang w:val="en-ZW"/>
        </w:rPr>
        <w:t>Comments at 16.</w:t>
      </w:r>
    </w:p>
  </w:footnote>
  <w:footnote w:id="104">
    <w:p w14:paraId="45CD5C36" w14:textId="7D3EED66" w:rsidR="00F95372" w:rsidRPr="00CD6F57" w:rsidRDefault="00F95372" w:rsidP="00141C8C">
      <w:pPr>
        <w:pStyle w:val="FootnoteText"/>
        <w:ind w:left="288" w:hanging="288"/>
        <w:rPr>
          <w:lang w:val="en-ZW"/>
        </w:rPr>
      </w:pPr>
      <w:r>
        <w:rPr>
          <w:rStyle w:val="FootnoteReference"/>
        </w:rPr>
        <w:footnoteRef/>
      </w:r>
      <w:r>
        <w:t xml:space="preserve"> </w:t>
      </w:r>
      <w:r w:rsidR="00685BDB">
        <w:tab/>
      </w:r>
      <w:r>
        <w:rPr>
          <w:lang w:val="en-ZW"/>
        </w:rPr>
        <w:t>D.23-04-010 at OP 17.</w:t>
      </w:r>
    </w:p>
  </w:footnote>
  <w:footnote w:id="105">
    <w:p w14:paraId="4BF19726" w14:textId="7274F09B" w:rsidR="008C0BEB" w:rsidRPr="008C0BEB" w:rsidRDefault="008C0BEB" w:rsidP="00141C8C">
      <w:pPr>
        <w:pStyle w:val="FootnoteText"/>
        <w:ind w:left="288" w:hanging="288"/>
        <w:rPr>
          <w:lang w:val="en-ZW"/>
        </w:rPr>
      </w:pPr>
      <w:r>
        <w:rPr>
          <w:rStyle w:val="FootnoteReference"/>
        </w:rPr>
        <w:footnoteRef/>
      </w:r>
      <w:r>
        <w:t xml:space="preserve"> </w:t>
      </w:r>
      <w:r w:rsidR="00685BDB">
        <w:tab/>
      </w:r>
      <w:r>
        <w:t>SCE Proposal at 7.</w:t>
      </w:r>
    </w:p>
  </w:footnote>
  <w:footnote w:id="106">
    <w:p w14:paraId="72576AF1" w14:textId="3C16AA02" w:rsidR="00F95372" w:rsidRPr="00096BF0" w:rsidRDefault="00F95372" w:rsidP="00141C8C">
      <w:pPr>
        <w:pStyle w:val="FootnoteText"/>
        <w:ind w:left="288" w:hanging="288"/>
        <w:rPr>
          <w:lang w:val="en-ZW"/>
        </w:rPr>
      </w:pPr>
      <w:r>
        <w:rPr>
          <w:rStyle w:val="FootnoteReference"/>
        </w:rPr>
        <w:footnoteRef/>
      </w:r>
      <w:r>
        <w:t xml:space="preserve"> </w:t>
      </w:r>
      <w:r w:rsidR="004738BC">
        <w:tab/>
      </w:r>
      <w:r>
        <w:rPr>
          <w:lang w:val="en-ZW"/>
        </w:rPr>
        <w:t xml:space="preserve">AReM </w:t>
      </w:r>
      <w:r w:rsidR="009A74CE">
        <w:rPr>
          <w:lang w:val="en-ZW"/>
        </w:rPr>
        <w:t xml:space="preserve">Opening </w:t>
      </w:r>
      <w:r>
        <w:rPr>
          <w:lang w:val="en-ZW"/>
        </w:rPr>
        <w:t>Comments at 17.</w:t>
      </w:r>
    </w:p>
  </w:footnote>
  <w:footnote w:id="107">
    <w:p w14:paraId="1EAE8BE6" w14:textId="4295D40F" w:rsidR="00F95372" w:rsidRPr="001376F3" w:rsidRDefault="00F95372" w:rsidP="00141C8C">
      <w:pPr>
        <w:pStyle w:val="FootnoteText"/>
        <w:ind w:left="288" w:hanging="288"/>
        <w:rPr>
          <w:lang w:val="en-ZW"/>
        </w:rPr>
      </w:pPr>
      <w:r>
        <w:rPr>
          <w:rStyle w:val="FootnoteReference"/>
        </w:rPr>
        <w:footnoteRef/>
      </w:r>
      <w:r>
        <w:t xml:space="preserve"> </w:t>
      </w:r>
      <w:r w:rsidR="004738BC">
        <w:tab/>
      </w:r>
      <w:r>
        <w:rPr>
          <w:lang w:val="en-ZW"/>
        </w:rPr>
        <w:t xml:space="preserve">Cal Advocates </w:t>
      </w:r>
      <w:r w:rsidR="00E73D48">
        <w:rPr>
          <w:lang w:val="en-ZW"/>
        </w:rPr>
        <w:t xml:space="preserve">Opening </w:t>
      </w:r>
      <w:r>
        <w:rPr>
          <w:lang w:val="en-ZW"/>
        </w:rPr>
        <w:t>Comments at 18.</w:t>
      </w:r>
    </w:p>
  </w:footnote>
  <w:footnote w:id="108">
    <w:p w14:paraId="0F33BAA6" w14:textId="5B1E3F84" w:rsidR="006C7ED4" w:rsidRPr="00907A2F" w:rsidRDefault="006C7ED4">
      <w:pPr>
        <w:pStyle w:val="FootnoteText"/>
        <w:rPr>
          <w:lang w:val="en-ZW"/>
        </w:rPr>
      </w:pPr>
      <w:r>
        <w:rPr>
          <w:rStyle w:val="FootnoteReference"/>
        </w:rPr>
        <w:footnoteRef/>
      </w:r>
      <w:r>
        <w:t xml:space="preserve"> </w:t>
      </w:r>
      <w:r>
        <w:rPr>
          <w:lang w:val="en-ZW"/>
        </w:rPr>
        <w:t>SCE Comments on Proposed Decision at 4.</w:t>
      </w:r>
    </w:p>
  </w:footnote>
  <w:footnote w:id="109">
    <w:p w14:paraId="154053EA" w14:textId="4555F90D" w:rsidR="009B7769" w:rsidRPr="009B7769" w:rsidRDefault="009B7769" w:rsidP="00141C8C">
      <w:pPr>
        <w:pStyle w:val="FootnoteText"/>
        <w:ind w:left="288" w:hanging="288"/>
        <w:rPr>
          <w:lang w:val="en-ZW"/>
        </w:rPr>
      </w:pPr>
      <w:r>
        <w:rPr>
          <w:rStyle w:val="FootnoteReference"/>
        </w:rPr>
        <w:footnoteRef/>
      </w:r>
      <w:r>
        <w:t xml:space="preserve"> </w:t>
      </w:r>
      <w:r w:rsidR="004738BC">
        <w:tab/>
      </w:r>
      <w:r>
        <w:rPr>
          <w:lang w:val="en-ZW"/>
        </w:rPr>
        <w:t xml:space="preserve">BPA </w:t>
      </w:r>
      <w:r w:rsidR="00157437">
        <w:rPr>
          <w:lang w:val="en-ZW"/>
        </w:rPr>
        <w:t xml:space="preserve">Opening </w:t>
      </w:r>
      <w:r>
        <w:rPr>
          <w:lang w:val="en-ZW"/>
        </w:rPr>
        <w:t>Comments at 2.</w:t>
      </w:r>
    </w:p>
  </w:footnote>
  <w:footnote w:id="110">
    <w:p w14:paraId="66739B1C" w14:textId="3E1CBA0E" w:rsidR="008573D3" w:rsidRPr="00A367B6" w:rsidRDefault="008573D3" w:rsidP="00141C8C">
      <w:pPr>
        <w:pStyle w:val="FootnoteText"/>
        <w:ind w:left="288" w:hanging="288"/>
        <w:rPr>
          <w:lang w:val="en-ZW"/>
        </w:rPr>
      </w:pPr>
      <w:r>
        <w:rPr>
          <w:rStyle w:val="FootnoteReference"/>
        </w:rPr>
        <w:footnoteRef/>
      </w:r>
      <w:r>
        <w:t xml:space="preserve"> </w:t>
      </w:r>
      <w:r w:rsidR="004738BC">
        <w:tab/>
      </w:r>
      <w:r w:rsidR="006F5645">
        <w:rPr>
          <w:lang w:val="en-ZW"/>
        </w:rPr>
        <w:t xml:space="preserve">CAISO </w:t>
      </w:r>
      <w:r w:rsidR="0056284A">
        <w:rPr>
          <w:lang w:val="en-ZW"/>
        </w:rPr>
        <w:t xml:space="preserve">Opening </w:t>
      </w:r>
      <w:r w:rsidR="006F5645">
        <w:rPr>
          <w:lang w:val="en-ZW"/>
        </w:rPr>
        <w:t>Comments at 7</w:t>
      </w:r>
      <w:r w:rsidR="0056284A">
        <w:rPr>
          <w:lang w:val="en-ZW"/>
        </w:rPr>
        <w:t>,</w:t>
      </w:r>
      <w:r w:rsidR="006F5645">
        <w:rPr>
          <w:lang w:val="en-ZW"/>
        </w:rPr>
        <w:t xml:space="preserve"> CEERT Repl</w:t>
      </w:r>
      <w:r w:rsidR="0056284A">
        <w:rPr>
          <w:lang w:val="en-ZW"/>
        </w:rPr>
        <w:t xml:space="preserve">y Comments </w:t>
      </w:r>
      <w:r w:rsidR="006F5645">
        <w:rPr>
          <w:lang w:val="en-ZW"/>
        </w:rPr>
        <w:t>at 5</w:t>
      </w:r>
      <w:r w:rsidR="0056284A">
        <w:rPr>
          <w:lang w:val="en-ZW"/>
        </w:rPr>
        <w:t>,</w:t>
      </w:r>
      <w:r w:rsidR="006F5645" w:rsidRPr="008573D3">
        <w:rPr>
          <w:lang w:val="en-ZW"/>
        </w:rPr>
        <w:t xml:space="preserve"> </w:t>
      </w:r>
      <w:r w:rsidR="006F5645">
        <w:rPr>
          <w:lang w:val="en-ZW"/>
        </w:rPr>
        <w:t xml:space="preserve">MRP </w:t>
      </w:r>
      <w:r w:rsidR="0056284A">
        <w:rPr>
          <w:lang w:val="en-ZW"/>
        </w:rPr>
        <w:t xml:space="preserve">Opening </w:t>
      </w:r>
      <w:r w:rsidR="006F5645">
        <w:rPr>
          <w:lang w:val="en-ZW"/>
        </w:rPr>
        <w:t xml:space="preserve">Comments at 12, </w:t>
      </w:r>
      <w:r>
        <w:rPr>
          <w:lang w:val="en-ZW"/>
        </w:rPr>
        <w:t xml:space="preserve">Microsoft </w:t>
      </w:r>
      <w:r w:rsidR="0056284A">
        <w:rPr>
          <w:lang w:val="en-ZW"/>
        </w:rPr>
        <w:t xml:space="preserve">Opening </w:t>
      </w:r>
      <w:r>
        <w:rPr>
          <w:lang w:val="en-ZW"/>
        </w:rPr>
        <w:t>Comments at 11</w:t>
      </w:r>
      <w:r w:rsidR="0056284A">
        <w:rPr>
          <w:lang w:val="en-ZW"/>
        </w:rPr>
        <w:t xml:space="preserve">, </w:t>
      </w:r>
      <w:r w:rsidR="006F5645">
        <w:rPr>
          <w:lang w:val="en-ZW"/>
        </w:rPr>
        <w:t xml:space="preserve">PG&amp;E </w:t>
      </w:r>
      <w:r w:rsidR="0056284A">
        <w:rPr>
          <w:lang w:val="en-ZW"/>
        </w:rPr>
        <w:t xml:space="preserve">Opening </w:t>
      </w:r>
      <w:r w:rsidR="006F5645">
        <w:rPr>
          <w:lang w:val="en-ZW"/>
        </w:rPr>
        <w:t xml:space="preserve">Comments at 10, </w:t>
      </w:r>
      <w:r>
        <w:rPr>
          <w:lang w:val="en-ZW"/>
        </w:rPr>
        <w:t xml:space="preserve">SCE </w:t>
      </w:r>
      <w:r w:rsidR="0056284A">
        <w:rPr>
          <w:lang w:val="en-ZW"/>
        </w:rPr>
        <w:t xml:space="preserve">Opening </w:t>
      </w:r>
      <w:r>
        <w:rPr>
          <w:lang w:val="en-ZW"/>
        </w:rPr>
        <w:t>Comments at 8</w:t>
      </w:r>
      <w:r w:rsidR="0056284A">
        <w:rPr>
          <w:lang w:val="en-ZW"/>
        </w:rPr>
        <w:t xml:space="preserve">, </w:t>
      </w:r>
      <w:r>
        <w:rPr>
          <w:lang w:val="en-ZW"/>
        </w:rPr>
        <w:t xml:space="preserve">WPTF </w:t>
      </w:r>
      <w:r w:rsidR="00026DB2">
        <w:rPr>
          <w:lang w:val="en-ZW"/>
        </w:rPr>
        <w:t xml:space="preserve">Opening </w:t>
      </w:r>
      <w:r>
        <w:rPr>
          <w:lang w:val="en-ZW"/>
        </w:rPr>
        <w:t>Comments at 9.</w:t>
      </w:r>
    </w:p>
  </w:footnote>
  <w:footnote w:id="111">
    <w:p w14:paraId="210EC9D4" w14:textId="316D4FDB" w:rsidR="006657E8" w:rsidRPr="006657E8" w:rsidRDefault="006657E8" w:rsidP="00141C8C">
      <w:pPr>
        <w:pStyle w:val="FootnoteText"/>
        <w:ind w:left="288" w:hanging="288"/>
        <w:rPr>
          <w:lang w:val="en-ZW"/>
        </w:rPr>
      </w:pPr>
      <w:r>
        <w:rPr>
          <w:rStyle w:val="FootnoteReference"/>
        </w:rPr>
        <w:footnoteRef/>
      </w:r>
      <w:r>
        <w:t xml:space="preserve"> </w:t>
      </w:r>
      <w:r w:rsidR="004738BC">
        <w:tab/>
      </w:r>
      <w:r>
        <w:rPr>
          <w:lang w:val="en-ZW"/>
        </w:rPr>
        <w:t>CalCCA Proposal at 12.</w:t>
      </w:r>
    </w:p>
  </w:footnote>
  <w:footnote w:id="112">
    <w:p w14:paraId="0E1829B7" w14:textId="3775E9A5" w:rsidR="00A367B6" w:rsidRPr="00A367B6" w:rsidRDefault="00A367B6" w:rsidP="00141C8C">
      <w:pPr>
        <w:pStyle w:val="FootnoteText"/>
        <w:ind w:left="288" w:hanging="288"/>
        <w:rPr>
          <w:lang w:val="en-ZW"/>
        </w:rPr>
      </w:pPr>
      <w:r>
        <w:rPr>
          <w:rStyle w:val="FootnoteReference"/>
        </w:rPr>
        <w:footnoteRef/>
      </w:r>
      <w:r>
        <w:t xml:space="preserve"> </w:t>
      </w:r>
      <w:r w:rsidR="004738BC">
        <w:tab/>
      </w:r>
      <w:r w:rsidR="004913E3">
        <w:rPr>
          <w:lang w:val="en-ZW"/>
        </w:rPr>
        <w:t xml:space="preserve">AReM </w:t>
      </w:r>
      <w:r w:rsidR="00F0051A">
        <w:rPr>
          <w:lang w:val="en-ZW"/>
        </w:rPr>
        <w:t xml:space="preserve">Opening </w:t>
      </w:r>
      <w:r w:rsidR="004913E3">
        <w:rPr>
          <w:lang w:val="en-ZW"/>
        </w:rPr>
        <w:t>Comments at 19</w:t>
      </w:r>
      <w:r w:rsidR="00F0051A">
        <w:rPr>
          <w:lang w:val="en-ZW"/>
        </w:rPr>
        <w:t xml:space="preserve">, </w:t>
      </w:r>
      <w:r w:rsidR="004913E3">
        <w:rPr>
          <w:lang w:val="en-ZW"/>
        </w:rPr>
        <w:t xml:space="preserve">CEERT </w:t>
      </w:r>
      <w:r w:rsidR="001D6410">
        <w:rPr>
          <w:lang w:val="en-ZW"/>
        </w:rPr>
        <w:t>Reply Comments</w:t>
      </w:r>
      <w:r w:rsidR="004913E3">
        <w:rPr>
          <w:lang w:val="en-ZW"/>
        </w:rPr>
        <w:t xml:space="preserve"> at 5</w:t>
      </w:r>
      <w:r w:rsidR="001D6410">
        <w:rPr>
          <w:lang w:val="en-ZW"/>
        </w:rPr>
        <w:t xml:space="preserve">, </w:t>
      </w:r>
      <w:r>
        <w:rPr>
          <w:lang w:val="en-ZW"/>
        </w:rPr>
        <w:t>Microsoft</w:t>
      </w:r>
      <w:r w:rsidR="00A910B6" w:rsidRPr="00A910B6">
        <w:rPr>
          <w:lang w:val="en-ZW"/>
        </w:rPr>
        <w:t xml:space="preserve"> </w:t>
      </w:r>
      <w:r w:rsidR="00A910B6">
        <w:rPr>
          <w:lang w:val="en-ZW"/>
        </w:rPr>
        <w:t>Opening</w:t>
      </w:r>
      <w:r>
        <w:rPr>
          <w:lang w:val="en-ZW"/>
        </w:rPr>
        <w:t xml:space="preserve"> Comments at 11</w:t>
      </w:r>
      <w:r w:rsidR="00A910B6">
        <w:rPr>
          <w:lang w:val="en-ZW"/>
        </w:rPr>
        <w:t xml:space="preserve">, </w:t>
      </w:r>
      <w:r w:rsidR="004913E3">
        <w:rPr>
          <w:lang w:val="en-ZW"/>
        </w:rPr>
        <w:t xml:space="preserve">MRP </w:t>
      </w:r>
      <w:r w:rsidR="00526DCA">
        <w:rPr>
          <w:lang w:val="en-ZW"/>
        </w:rPr>
        <w:t xml:space="preserve">Opening </w:t>
      </w:r>
      <w:r w:rsidR="004913E3">
        <w:rPr>
          <w:lang w:val="en-ZW"/>
        </w:rPr>
        <w:t xml:space="preserve">Comments at 12, </w:t>
      </w:r>
      <w:r w:rsidR="00AA3374">
        <w:rPr>
          <w:lang w:val="en-ZW"/>
        </w:rPr>
        <w:t xml:space="preserve">SCE </w:t>
      </w:r>
      <w:r w:rsidR="00526DCA">
        <w:rPr>
          <w:lang w:val="en-ZW"/>
        </w:rPr>
        <w:t xml:space="preserve">Opening </w:t>
      </w:r>
      <w:r w:rsidR="00AA3374">
        <w:rPr>
          <w:lang w:val="en-ZW"/>
        </w:rPr>
        <w:t>Comments at 8</w:t>
      </w:r>
      <w:r w:rsidR="00526DCA">
        <w:rPr>
          <w:lang w:val="en-ZW"/>
        </w:rPr>
        <w:t xml:space="preserve">, </w:t>
      </w:r>
      <w:r w:rsidR="00961E46">
        <w:rPr>
          <w:lang w:val="en-ZW"/>
        </w:rPr>
        <w:t xml:space="preserve">Shell Energy </w:t>
      </w:r>
      <w:r w:rsidR="00771E73">
        <w:rPr>
          <w:lang w:val="en-ZW"/>
        </w:rPr>
        <w:t xml:space="preserve">Opening </w:t>
      </w:r>
      <w:r w:rsidR="00961E46">
        <w:rPr>
          <w:lang w:val="en-ZW"/>
        </w:rPr>
        <w:t>Comments at 2</w:t>
      </w:r>
      <w:r w:rsidR="00771E73">
        <w:rPr>
          <w:lang w:val="en-ZW"/>
        </w:rPr>
        <w:t>,</w:t>
      </w:r>
      <w:r w:rsidR="00885552">
        <w:rPr>
          <w:lang w:val="en-ZW"/>
        </w:rPr>
        <w:t xml:space="preserve"> WPTF </w:t>
      </w:r>
      <w:r w:rsidR="00771E73">
        <w:rPr>
          <w:lang w:val="en-ZW"/>
        </w:rPr>
        <w:t xml:space="preserve">Opening </w:t>
      </w:r>
      <w:r w:rsidR="00885552">
        <w:rPr>
          <w:lang w:val="en-ZW"/>
        </w:rPr>
        <w:t>Comments at 10</w:t>
      </w:r>
      <w:r w:rsidR="00F43B37">
        <w:rPr>
          <w:lang w:val="en-ZW"/>
        </w:rPr>
        <w:t>.</w:t>
      </w:r>
    </w:p>
  </w:footnote>
  <w:footnote w:id="113">
    <w:p w14:paraId="6145071A" w14:textId="39123837" w:rsidR="004913E3" w:rsidRPr="004913E3" w:rsidRDefault="004913E3" w:rsidP="00141C8C">
      <w:pPr>
        <w:pStyle w:val="FootnoteText"/>
        <w:ind w:left="288" w:hanging="288"/>
        <w:rPr>
          <w:lang w:val="en-ZW"/>
        </w:rPr>
      </w:pPr>
      <w:r>
        <w:rPr>
          <w:rStyle w:val="FootnoteReference"/>
        </w:rPr>
        <w:footnoteRef/>
      </w:r>
      <w:r>
        <w:t xml:space="preserve"> </w:t>
      </w:r>
      <w:r w:rsidR="004738BC">
        <w:tab/>
      </w:r>
      <w:r>
        <w:rPr>
          <w:lang w:val="en-ZW"/>
        </w:rPr>
        <w:t xml:space="preserve">BPA </w:t>
      </w:r>
      <w:r w:rsidR="009D709D">
        <w:rPr>
          <w:lang w:val="en-ZW"/>
        </w:rPr>
        <w:t xml:space="preserve">Opening </w:t>
      </w:r>
      <w:r>
        <w:rPr>
          <w:lang w:val="en-ZW"/>
        </w:rPr>
        <w:t>Comments at 2.</w:t>
      </w:r>
    </w:p>
  </w:footnote>
  <w:footnote w:id="114">
    <w:p w14:paraId="7D296CF8" w14:textId="29A3B6E6" w:rsidR="00A02629" w:rsidRPr="002F3D4E" w:rsidRDefault="00A02629" w:rsidP="00141C8C">
      <w:pPr>
        <w:pStyle w:val="FootnoteText"/>
        <w:ind w:left="288" w:hanging="288"/>
        <w:rPr>
          <w:lang w:val="en-ZW"/>
        </w:rPr>
      </w:pPr>
      <w:r>
        <w:rPr>
          <w:rStyle w:val="FootnoteReference"/>
        </w:rPr>
        <w:footnoteRef/>
      </w:r>
      <w:r>
        <w:t xml:space="preserve"> As revised per D.23-04-010, </w:t>
      </w:r>
      <w:r w:rsidR="003B0C5D">
        <w:t>OP</w:t>
      </w:r>
      <w:r>
        <w:t xml:space="preserve"> 17(b).</w:t>
      </w:r>
    </w:p>
  </w:footnote>
  <w:footnote w:id="115">
    <w:p w14:paraId="3E94DD40" w14:textId="695E3C10" w:rsidR="00722D02" w:rsidRPr="00722D02" w:rsidRDefault="00722D02" w:rsidP="00141C8C">
      <w:pPr>
        <w:pStyle w:val="FootnoteText"/>
        <w:ind w:left="288" w:hanging="288"/>
        <w:rPr>
          <w:lang w:val="en-ZW"/>
        </w:rPr>
      </w:pPr>
      <w:r>
        <w:rPr>
          <w:rStyle w:val="FootnoteReference"/>
        </w:rPr>
        <w:footnoteRef/>
      </w:r>
      <w:r>
        <w:t xml:space="preserve"> </w:t>
      </w:r>
      <w:r w:rsidR="004738BC">
        <w:tab/>
      </w:r>
      <w:r>
        <w:rPr>
          <w:lang w:val="en-ZW"/>
        </w:rPr>
        <w:t>Energy Division Proposal at 13.</w:t>
      </w:r>
    </w:p>
  </w:footnote>
  <w:footnote w:id="116">
    <w:p w14:paraId="6594F7D7" w14:textId="0F33D5B9" w:rsidR="009B2340" w:rsidRPr="009B2340" w:rsidRDefault="009B2340" w:rsidP="00141C8C">
      <w:pPr>
        <w:pStyle w:val="FootnoteText"/>
        <w:ind w:left="288" w:hanging="288"/>
        <w:rPr>
          <w:lang w:val="en-ZW"/>
        </w:rPr>
      </w:pPr>
      <w:r>
        <w:rPr>
          <w:rStyle w:val="FootnoteReference"/>
        </w:rPr>
        <w:footnoteRef/>
      </w:r>
      <w:r>
        <w:t xml:space="preserve"> </w:t>
      </w:r>
      <w:r w:rsidR="004738BC">
        <w:tab/>
      </w:r>
      <w:r>
        <w:rPr>
          <w:lang w:val="en-ZW"/>
        </w:rPr>
        <w:t>PG&amp;E Proposal at 4.</w:t>
      </w:r>
    </w:p>
  </w:footnote>
  <w:footnote w:id="117">
    <w:p w14:paraId="7E556477" w14:textId="2AAFD643" w:rsidR="00887E6A" w:rsidRPr="00887E6A" w:rsidRDefault="00887E6A" w:rsidP="00141C8C">
      <w:pPr>
        <w:pStyle w:val="FootnoteText"/>
        <w:ind w:left="288" w:hanging="288"/>
        <w:rPr>
          <w:lang w:val="en-ZW"/>
        </w:rPr>
      </w:pPr>
      <w:r>
        <w:rPr>
          <w:rStyle w:val="FootnoteReference"/>
        </w:rPr>
        <w:footnoteRef/>
      </w:r>
      <w:r>
        <w:t xml:space="preserve"> </w:t>
      </w:r>
      <w:r w:rsidR="004738BC">
        <w:tab/>
      </w:r>
      <w:r>
        <w:rPr>
          <w:lang w:val="en-ZW"/>
        </w:rPr>
        <w:t>SCE Proposal at 6.</w:t>
      </w:r>
    </w:p>
  </w:footnote>
  <w:footnote w:id="118">
    <w:p w14:paraId="7753C2DC" w14:textId="5FD102B0" w:rsidR="005C2974" w:rsidRPr="00CE0261" w:rsidRDefault="005C2974" w:rsidP="00141C8C">
      <w:pPr>
        <w:pStyle w:val="FootnoteText"/>
        <w:ind w:left="288" w:hanging="288"/>
        <w:rPr>
          <w:lang w:val="en-ZW"/>
        </w:rPr>
      </w:pPr>
      <w:r>
        <w:rPr>
          <w:rStyle w:val="FootnoteReference"/>
        </w:rPr>
        <w:footnoteRef/>
      </w:r>
      <w:r>
        <w:t xml:space="preserve"> </w:t>
      </w:r>
      <w:r w:rsidR="004738BC">
        <w:tab/>
      </w:r>
      <w:r>
        <w:rPr>
          <w:lang w:val="en-ZW"/>
        </w:rPr>
        <w:t xml:space="preserve">CalCCA </w:t>
      </w:r>
      <w:r w:rsidR="00DF0842">
        <w:rPr>
          <w:lang w:val="en-ZW"/>
        </w:rPr>
        <w:t xml:space="preserve">Opening </w:t>
      </w:r>
      <w:r>
        <w:rPr>
          <w:lang w:val="en-ZW"/>
        </w:rPr>
        <w:t xml:space="preserve">Comments at 19, Cal Advocates </w:t>
      </w:r>
      <w:r w:rsidR="00DF0842">
        <w:rPr>
          <w:lang w:val="en-ZW"/>
        </w:rPr>
        <w:t xml:space="preserve">Opening </w:t>
      </w:r>
      <w:r>
        <w:rPr>
          <w:lang w:val="en-ZW"/>
        </w:rPr>
        <w:t>Comments at 7</w:t>
      </w:r>
      <w:r w:rsidR="00DF0842">
        <w:rPr>
          <w:lang w:val="en-ZW"/>
        </w:rPr>
        <w:t>,</w:t>
      </w:r>
      <w:r w:rsidRPr="001B451B">
        <w:rPr>
          <w:lang w:val="en-ZW"/>
        </w:rPr>
        <w:t xml:space="preserve"> </w:t>
      </w:r>
      <w:r>
        <w:rPr>
          <w:lang w:val="en-ZW"/>
        </w:rPr>
        <w:t xml:space="preserve">DMM </w:t>
      </w:r>
      <w:r w:rsidR="00DF0842">
        <w:rPr>
          <w:lang w:val="en-ZW"/>
        </w:rPr>
        <w:t xml:space="preserve">Opening </w:t>
      </w:r>
      <w:r>
        <w:rPr>
          <w:lang w:val="en-ZW"/>
        </w:rPr>
        <w:t>Comments at 2.</w:t>
      </w:r>
    </w:p>
  </w:footnote>
  <w:footnote w:id="119">
    <w:p w14:paraId="613FAD60" w14:textId="51875E76" w:rsidR="00211F95" w:rsidRPr="00211F95" w:rsidRDefault="00211F95" w:rsidP="00141C8C">
      <w:pPr>
        <w:pStyle w:val="FootnoteText"/>
        <w:ind w:left="288" w:hanging="288"/>
        <w:rPr>
          <w:lang w:val="en-ZW"/>
        </w:rPr>
      </w:pPr>
      <w:r>
        <w:rPr>
          <w:rStyle w:val="FootnoteReference"/>
        </w:rPr>
        <w:footnoteRef/>
      </w:r>
      <w:r>
        <w:t xml:space="preserve"> </w:t>
      </w:r>
      <w:r w:rsidR="004738BC">
        <w:tab/>
      </w:r>
      <w:r>
        <w:rPr>
          <w:lang w:val="en-ZW"/>
        </w:rPr>
        <w:t xml:space="preserve">Cal Advocates </w:t>
      </w:r>
      <w:r w:rsidR="002A3729">
        <w:rPr>
          <w:lang w:val="en-ZW"/>
        </w:rPr>
        <w:t xml:space="preserve">Opening </w:t>
      </w:r>
      <w:r>
        <w:rPr>
          <w:lang w:val="en-ZW"/>
        </w:rPr>
        <w:t>Comments at 7.</w:t>
      </w:r>
    </w:p>
  </w:footnote>
  <w:footnote w:id="120">
    <w:p w14:paraId="407B4B8F" w14:textId="656E94A3" w:rsidR="001B451B" w:rsidRPr="00003F23" w:rsidRDefault="001B451B" w:rsidP="00141C8C">
      <w:pPr>
        <w:pStyle w:val="FootnoteText"/>
        <w:ind w:left="288" w:hanging="288"/>
        <w:rPr>
          <w:lang w:val="en-ZW"/>
        </w:rPr>
      </w:pPr>
      <w:r>
        <w:rPr>
          <w:rStyle w:val="FootnoteReference"/>
        </w:rPr>
        <w:footnoteRef/>
      </w:r>
      <w:r>
        <w:t xml:space="preserve"> </w:t>
      </w:r>
      <w:r w:rsidR="004738BC">
        <w:tab/>
      </w:r>
      <w:r>
        <w:rPr>
          <w:lang w:val="en-ZW"/>
        </w:rPr>
        <w:t xml:space="preserve">Microsoft </w:t>
      </w:r>
      <w:r w:rsidR="00133009">
        <w:rPr>
          <w:lang w:val="en-ZW"/>
        </w:rPr>
        <w:t xml:space="preserve">Opening </w:t>
      </w:r>
      <w:r>
        <w:rPr>
          <w:lang w:val="en-ZW"/>
        </w:rPr>
        <w:t>Comments at 13</w:t>
      </w:r>
      <w:r w:rsidR="00133009">
        <w:rPr>
          <w:lang w:val="en-ZW"/>
        </w:rPr>
        <w:t>,</w:t>
      </w:r>
      <w:r w:rsidRPr="001B451B">
        <w:rPr>
          <w:lang w:val="en-ZW"/>
        </w:rPr>
        <w:t xml:space="preserve"> </w:t>
      </w:r>
      <w:r>
        <w:rPr>
          <w:lang w:val="en-ZW"/>
        </w:rPr>
        <w:t xml:space="preserve">Calpine </w:t>
      </w:r>
      <w:r w:rsidR="00133009">
        <w:rPr>
          <w:lang w:val="en-ZW"/>
        </w:rPr>
        <w:t xml:space="preserve">Opening </w:t>
      </w:r>
      <w:r>
        <w:rPr>
          <w:lang w:val="en-ZW"/>
        </w:rPr>
        <w:t>Comments at 2</w:t>
      </w:r>
      <w:r w:rsidR="00133009">
        <w:rPr>
          <w:lang w:val="en-ZW"/>
        </w:rPr>
        <w:t>,</w:t>
      </w:r>
      <w:r w:rsidR="000C35E8" w:rsidRPr="000C35E8">
        <w:rPr>
          <w:lang w:val="en-ZW"/>
        </w:rPr>
        <w:t xml:space="preserve"> </w:t>
      </w:r>
      <w:r w:rsidR="000C35E8">
        <w:rPr>
          <w:lang w:val="en-ZW"/>
        </w:rPr>
        <w:t xml:space="preserve">SDG&amp;E </w:t>
      </w:r>
      <w:r w:rsidR="00133009">
        <w:rPr>
          <w:lang w:val="en-ZW"/>
        </w:rPr>
        <w:t xml:space="preserve">Opening </w:t>
      </w:r>
      <w:r w:rsidR="000C35E8">
        <w:rPr>
          <w:lang w:val="en-ZW"/>
        </w:rPr>
        <w:t>Comments at 5.</w:t>
      </w:r>
    </w:p>
  </w:footnote>
  <w:footnote w:id="121">
    <w:p w14:paraId="0C7C70D5" w14:textId="6F4B8E99" w:rsidR="008140D1" w:rsidRPr="00AD71E0" w:rsidRDefault="008140D1" w:rsidP="00141C8C">
      <w:pPr>
        <w:pStyle w:val="FootnoteText"/>
        <w:ind w:left="288" w:hanging="288"/>
        <w:rPr>
          <w:lang w:val="en-ZW"/>
        </w:rPr>
      </w:pPr>
      <w:r>
        <w:rPr>
          <w:rStyle w:val="FootnoteReference"/>
        </w:rPr>
        <w:footnoteRef/>
      </w:r>
      <w:r>
        <w:t xml:space="preserve"> </w:t>
      </w:r>
      <w:r w:rsidR="004738BC">
        <w:tab/>
      </w:r>
      <w:r w:rsidR="00FD0A35">
        <w:rPr>
          <w:lang w:val="en-ZW"/>
        </w:rPr>
        <w:t xml:space="preserve">CAISO </w:t>
      </w:r>
      <w:r w:rsidR="000F0D2E">
        <w:rPr>
          <w:lang w:val="en-ZW"/>
        </w:rPr>
        <w:t xml:space="preserve">Opening </w:t>
      </w:r>
      <w:r w:rsidR="00FD0A35">
        <w:rPr>
          <w:lang w:val="en-ZW"/>
        </w:rPr>
        <w:t xml:space="preserve">Comments at 6, </w:t>
      </w:r>
      <w:r>
        <w:rPr>
          <w:lang w:val="en-ZW"/>
        </w:rPr>
        <w:t>PG&amp;E</w:t>
      </w:r>
      <w:r w:rsidR="000F0D2E">
        <w:rPr>
          <w:lang w:val="en-ZW"/>
        </w:rPr>
        <w:t xml:space="preserve"> Opening</w:t>
      </w:r>
      <w:r>
        <w:rPr>
          <w:lang w:val="en-ZW"/>
        </w:rPr>
        <w:t xml:space="preserve"> Comments at 18</w:t>
      </w:r>
      <w:r w:rsidR="000F0D2E">
        <w:rPr>
          <w:lang w:val="en-ZW"/>
        </w:rPr>
        <w:t>, S</w:t>
      </w:r>
      <w:r>
        <w:rPr>
          <w:lang w:val="en-ZW"/>
        </w:rPr>
        <w:t xml:space="preserve">DG&amp;E </w:t>
      </w:r>
      <w:r w:rsidR="000F0D2E">
        <w:rPr>
          <w:lang w:val="en-ZW"/>
        </w:rPr>
        <w:t xml:space="preserve">Opening </w:t>
      </w:r>
      <w:r>
        <w:rPr>
          <w:lang w:val="en-ZW"/>
        </w:rPr>
        <w:t>Comments at 5</w:t>
      </w:r>
      <w:r w:rsidR="000F0D2E">
        <w:rPr>
          <w:lang w:val="en-ZW"/>
        </w:rPr>
        <w:t xml:space="preserve">, </w:t>
      </w:r>
      <w:r>
        <w:rPr>
          <w:lang w:val="en-ZW"/>
        </w:rPr>
        <w:t xml:space="preserve">Vistra </w:t>
      </w:r>
      <w:r w:rsidR="000F0D2E">
        <w:rPr>
          <w:lang w:val="en-ZW"/>
        </w:rPr>
        <w:t xml:space="preserve">Opening </w:t>
      </w:r>
      <w:r>
        <w:rPr>
          <w:lang w:val="en-ZW"/>
        </w:rPr>
        <w:t>Comments at 6</w:t>
      </w:r>
      <w:r w:rsidR="000F0D2E">
        <w:rPr>
          <w:lang w:val="en-ZW"/>
        </w:rPr>
        <w:t xml:space="preserve">, </w:t>
      </w:r>
      <w:r>
        <w:rPr>
          <w:lang w:val="en-ZW"/>
        </w:rPr>
        <w:t xml:space="preserve">WPTF </w:t>
      </w:r>
      <w:r w:rsidR="000F0D2E">
        <w:rPr>
          <w:lang w:val="en-ZW"/>
        </w:rPr>
        <w:t xml:space="preserve">Opening </w:t>
      </w:r>
      <w:r>
        <w:rPr>
          <w:lang w:val="en-ZW"/>
        </w:rPr>
        <w:t>Comments at 7.</w:t>
      </w:r>
    </w:p>
  </w:footnote>
  <w:footnote w:id="122">
    <w:p w14:paraId="5A3C9C16" w14:textId="7AB4C79F" w:rsidR="006658DD" w:rsidRPr="00B01A9D" w:rsidRDefault="006658DD" w:rsidP="00141C8C">
      <w:pPr>
        <w:pStyle w:val="FootnoteText"/>
        <w:ind w:left="288" w:hanging="288"/>
        <w:rPr>
          <w:lang w:val="en-ZW"/>
        </w:rPr>
      </w:pPr>
      <w:r>
        <w:rPr>
          <w:rStyle w:val="FootnoteReference"/>
        </w:rPr>
        <w:footnoteRef/>
      </w:r>
      <w:r>
        <w:t xml:space="preserve"> </w:t>
      </w:r>
      <w:r w:rsidR="004738BC">
        <w:tab/>
      </w:r>
      <w:r w:rsidR="00E9024F">
        <w:t xml:space="preserve">AES Opening Comments at 1, </w:t>
      </w:r>
      <w:r>
        <w:rPr>
          <w:lang w:val="en-ZW"/>
        </w:rPr>
        <w:t>ACP-CA Opening Comments at 15,</w:t>
      </w:r>
      <w:r w:rsidRPr="00BB19C6">
        <w:rPr>
          <w:lang w:val="en-ZW"/>
        </w:rPr>
        <w:t xml:space="preserve"> </w:t>
      </w:r>
      <w:r>
        <w:rPr>
          <w:lang w:val="en-ZW"/>
        </w:rPr>
        <w:t>CESA Opening Comments at 5,</w:t>
      </w:r>
      <w:r w:rsidRPr="000C35E8">
        <w:rPr>
          <w:lang w:val="en-ZW"/>
        </w:rPr>
        <w:t xml:space="preserve"> </w:t>
      </w:r>
      <w:r>
        <w:rPr>
          <w:lang w:val="en-ZW"/>
        </w:rPr>
        <w:t>Hydrostor Opening Comments at 4,</w:t>
      </w:r>
      <w:r w:rsidRPr="000C35E8">
        <w:rPr>
          <w:lang w:val="en-ZW"/>
        </w:rPr>
        <w:t xml:space="preserve"> </w:t>
      </w:r>
      <w:r>
        <w:rPr>
          <w:lang w:val="en-ZW"/>
        </w:rPr>
        <w:t>REV Opening Comments at 5, Terra-Gen Opening Comments at 7.</w:t>
      </w:r>
      <w:r w:rsidRPr="000C35E8">
        <w:rPr>
          <w:lang w:val="en-ZW"/>
        </w:rPr>
        <w:t xml:space="preserve"> </w:t>
      </w:r>
    </w:p>
  </w:footnote>
  <w:footnote w:id="123">
    <w:p w14:paraId="308A714B" w14:textId="0BDF8914" w:rsidR="00EF2933" w:rsidRPr="00EF2933" w:rsidRDefault="00EF2933" w:rsidP="00141C8C">
      <w:pPr>
        <w:pStyle w:val="FootnoteText"/>
        <w:ind w:left="288" w:hanging="288"/>
        <w:rPr>
          <w:lang w:val="en-ZW"/>
        </w:rPr>
      </w:pPr>
      <w:r>
        <w:rPr>
          <w:rStyle w:val="FootnoteReference"/>
        </w:rPr>
        <w:footnoteRef/>
      </w:r>
      <w:r>
        <w:t xml:space="preserve"> </w:t>
      </w:r>
      <w:r w:rsidR="004738BC">
        <w:tab/>
      </w:r>
      <w:r>
        <w:rPr>
          <w:lang w:val="en-ZW"/>
        </w:rPr>
        <w:t>D.23-06-029 at 29.</w:t>
      </w:r>
    </w:p>
  </w:footnote>
  <w:footnote w:id="124">
    <w:p w14:paraId="4D9FFDCC" w14:textId="6772F275" w:rsidR="0016362E" w:rsidRPr="0016362E" w:rsidRDefault="0016362E" w:rsidP="00141C8C">
      <w:pPr>
        <w:pStyle w:val="FootnoteText"/>
        <w:ind w:left="288" w:hanging="288"/>
        <w:rPr>
          <w:lang w:val="en-ZW"/>
        </w:rPr>
      </w:pPr>
      <w:r>
        <w:rPr>
          <w:rStyle w:val="FootnoteReference"/>
        </w:rPr>
        <w:footnoteRef/>
      </w:r>
      <w:r>
        <w:t xml:space="preserve"> </w:t>
      </w:r>
      <w:r w:rsidR="004738BC">
        <w:tab/>
      </w:r>
      <w:r>
        <w:rPr>
          <w:lang w:val="en-ZW"/>
        </w:rPr>
        <w:t xml:space="preserve">D.23-06-029 at </w:t>
      </w:r>
      <w:r w:rsidR="00082EE9">
        <w:rPr>
          <w:lang w:val="en-ZW"/>
        </w:rPr>
        <w:t>Conclusion of Law</w:t>
      </w:r>
      <w:r>
        <w:rPr>
          <w:lang w:val="en-ZW"/>
        </w:rPr>
        <w:t xml:space="preserve"> 17.</w:t>
      </w:r>
    </w:p>
  </w:footnote>
  <w:footnote w:id="125">
    <w:p w14:paraId="24318D48" w14:textId="4F0F3CD9" w:rsidR="00233E42" w:rsidRPr="00233E42" w:rsidRDefault="00233E42" w:rsidP="00141C8C">
      <w:pPr>
        <w:pStyle w:val="FootnoteText"/>
        <w:ind w:left="288" w:hanging="288"/>
        <w:rPr>
          <w:lang w:val="en-ZW"/>
        </w:rPr>
      </w:pPr>
      <w:r>
        <w:rPr>
          <w:rStyle w:val="FootnoteReference"/>
        </w:rPr>
        <w:footnoteRef/>
      </w:r>
      <w:r>
        <w:t xml:space="preserve"> </w:t>
      </w:r>
      <w:r w:rsidR="004738BC">
        <w:tab/>
      </w:r>
      <w:r w:rsidR="004201DA">
        <w:t>D.23-12-036 at 74.</w:t>
      </w:r>
    </w:p>
  </w:footnote>
  <w:footnote w:id="126">
    <w:p w14:paraId="480846A8" w14:textId="327A922E" w:rsidR="00F256F7" w:rsidRPr="00F256F7" w:rsidRDefault="00F256F7" w:rsidP="00141C8C">
      <w:pPr>
        <w:pStyle w:val="FootnoteText"/>
        <w:ind w:left="288" w:hanging="288"/>
        <w:rPr>
          <w:lang w:val="en-ZW"/>
        </w:rPr>
      </w:pPr>
      <w:r>
        <w:rPr>
          <w:rStyle w:val="FootnoteReference"/>
        </w:rPr>
        <w:footnoteRef/>
      </w:r>
      <w:r>
        <w:t xml:space="preserve"> </w:t>
      </w:r>
      <w:r w:rsidR="004738BC">
        <w:tab/>
      </w:r>
      <w:r>
        <w:rPr>
          <w:lang w:val="en-ZW"/>
        </w:rPr>
        <w:t>Energy Division Proposal at 18.</w:t>
      </w:r>
    </w:p>
  </w:footnote>
  <w:footnote w:id="127">
    <w:p w14:paraId="53CF5BC8" w14:textId="09E58245" w:rsidR="00E04D0F" w:rsidRPr="00E04D0F" w:rsidRDefault="00E04D0F" w:rsidP="00141C8C">
      <w:pPr>
        <w:pStyle w:val="FootnoteText"/>
        <w:ind w:left="288" w:hanging="288"/>
        <w:rPr>
          <w:lang w:val="en-ZW"/>
        </w:rPr>
      </w:pPr>
      <w:r>
        <w:rPr>
          <w:rStyle w:val="FootnoteReference"/>
        </w:rPr>
        <w:footnoteRef/>
      </w:r>
      <w:r>
        <w:t xml:space="preserve"> </w:t>
      </w:r>
      <w:r w:rsidR="004738BC">
        <w:tab/>
      </w:r>
      <w:r>
        <w:rPr>
          <w:lang w:val="en-ZW"/>
        </w:rPr>
        <w:t xml:space="preserve">AReM </w:t>
      </w:r>
      <w:r w:rsidR="00E311A6">
        <w:rPr>
          <w:lang w:val="en-ZW"/>
        </w:rPr>
        <w:t xml:space="preserve">Opening </w:t>
      </w:r>
      <w:r>
        <w:rPr>
          <w:lang w:val="en-ZW"/>
        </w:rPr>
        <w:t>Comments at 20</w:t>
      </w:r>
      <w:r w:rsidR="00E311A6">
        <w:rPr>
          <w:lang w:val="en-ZW"/>
        </w:rPr>
        <w:t xml:space="preserve">, </w:t>
      </w:r>
      <w:r>
        <w:rPr>
          <w:lang w:val="en-ZW"/>
        </w:rPr>
        <w:t xml:space="preserve">SDG&amp;E </w:t>
      </w:r>
      <w:r w:rsidR="00E311A6">
        <w:rPr>
          <w:lang w:val="en-ZW"/>
        </w:rPr>
        <w:t xml:space="preserve">Opening </w:t>
      </w:r>
      <w:r>
        <w:rPr>
          <w:lang w:val="en-ZW"/>
        </w:rPr>
        <w:t>Comments at 13.</w:t>
      </w:r>
    </w:p>
  </w:footnote>
  <w:footnote w:id="128">
    <w:p w14:paraId="67EA3684" w14:textId="7A24EB79" w:rsidR="0061174E" w:rsidRPr="0061174E" w:rsidRDefault="0061174E" w:rsidP="00141C8C">
      <w:pPr>
        <w:pStyle w:val="FootnoteText"/>
        <w:ind w:left="288" w:hanging="288"/>
        <w:rPr>
          <w:lang w:val="en-ZW"/>
        </w:rPr>
      </w:pPr>
      <w:r>
        <w:rPr>
          <w:rStyle w:val="FootnoteReference"/>
        </w:rPr>
        <w:footnoteRef/>
      </w:r>
      <w:r>
        <w:t xml:space="preserve"> </w:t>
      </w:r>
      <w:r w:rsidR="004738BC">
        <w:tab/>
      </w:r>
      <w:r>
        <w:rPr>
          <w:lang w:val="en-ZW"/>
        </w:rPr>
        <w:t xml:space="preserve">Vistra </w:t>
      </w:r>
      <w:r w:rsidR="0080422D">
        <w:rPr>
          <w:lang w:val="en-ZW"/>
        </w:rPr>
        <w:t xml:space="preserve">Opening </w:t>
      </w:r>
      <w:r>
        <w:rPr>
          <w:lang w:val="en-ZW"/>
        </w:rPr>
        <w:t>Comments at 5.</w:t>
      </w:r>
    </w:p>
  </w:footnote>
  <w:footnote w:id="129">
    <w:p w14:paraId="536E3103" w14:textId="26754FCA" w:rsidR="00944616" w:rsidRPr="00944616" w:rsidRDefault="00944616" w:rsidP="00141C8C">
      <w:pPr>
        <w:pStyle w:val="FootnoteText"/>
        <w:ind w:left="288" w:hanging="288"/>
        <w:rPr>
          <w:lang w:val="en-ZW"/>
        </w:rPr>
      </w:pPr>
      <w:r>
        <w:rPr>
          <w:rStyle w:val="FootnoteReference"/>
        </w:rPr>
        <w:footnoteRef/>
      </w:r>
      <w:r>
        <w:t xml:space="preserve"> </w:t>
      </w:r>
      <w:r w:rsidR="004738BC">
        <w:tab/>
      </w:r>
      <w:r>
        <w:rPr>
          <w:lang w:val="en-ZW"/>
        </w:rPr>
        <w:t>PG&amp;E Proposal at 2.</w:t>
      </w:r>
    </w:p>
  </w:footnote>
  <w:footnote w:id="130">
    <w:p w14:paraId="45E20374" w14:textId="60987BC2" w:rsidR="00FD69ED" w:rsidRPr="00FD69ED" w:rsidRDefault="00FD69ED" w:rsidP="00141C8C">
      <w:pPr>
        <w:pStyle w:val="FootnoteText"/>
        <w:ind w:left="288" w:hanging="288"/>
        <w:rPr>
          <w:lang w:val="en-ZW"/>
        </w:rPr>
      </w:pPr>
      <w:r>
        <w:rPr>
          <w:rStyle w:val="FootnoteReference"/>
        </w:rPr>
        <w:footnoteRef/>
      </w:r>
      <w:r>
        <w:t xml:space="preserve"> </w:t>
      </w:r>
      <w:r w:rsidR="004738BC">
        <w:tab/>
      </w:r>
      <w:r>
        <w:rPr>
          <w:lang w:val="en-ZW"/>
        </w:rPr>
        <w:t xml:space="preserve">SDG&amp;E </w:t>
      </w:r>
      <w:r w:rsidR="00835649">
        <w:rPr>
          <w:lang w:val="en-ZW"/>
        </w:rPr>
        <w:t xml:space="preserve">Opening </w:t>
      </w:r>
      <w:r>
        <w:rPr>
          <w:lang w:val="en-ZW"/>
        </w:rPr>
        <w:t>Comments at 12</w:t>
      </w:r>
      <w:r w:rsidR="00835649">
        <w:rPr>
          <w:lang w:val="en-ZW"/>
        </w:rPr>
        <w:t>,</w:t>
      </w:r>
      <w:r w:rsidR="00AB285C">
        <w:rPr>
          <w:lang w:val="en-ZW"/>
        </w:rPr>
        <w:t xml:space="preserve"> Cal Advocates </w:t>
      </w:r>
      <w:r w:rsidR="00835649">
        <w:rPr>
          <w:lang w:val="en-ZW"/>
        </w:rPr>
        <w:t xml:space="preserve">Opening </w:t>
      </w:r>
      <w:r w:rsidR="00AB285C">
        <w:rPr>
          <w:lang w:val="en-ZW"/>
        </w:rPr>
        <w:t>Comments at 19.</w:t>
      </w:r>
    </w:p>
  </w:footnote>
  <w:footnote w:id="131">
    <w:p w14:paraId="3977EBEB" w14:textId="66119180" w:rsidR="00C2112B" w:rsidRPr="001C0E8C" w:rsidRDefault="00C2112B" w:rsidP="00141C8C">
      <w:pPr>
        <w:pStyle w:val="FootnoteText"/>
        <w:ind w:left="288" w:hanging="288"/>
        <w:rPr>
          <w:lang w:val="en-ZW"/>
        </w:rPr>
      </w:pPr>
      <w:r>
        <w:rPr>
          <w:rStyle w:val="FootnoteReference"/>
        </w:rPr>
        <w:footnoteRef/>
      </w:r>
      <w:r>
        <w:t xml:space="preserve"> </w:t>
      </w:r>
      <w:r w:rsidR="004738BC">
        <w:tab/>
      </w:r>
      <w:r>
        <w:rPr>
          <w:lang w:val="en-ZW"/>
        </w:rPr>
        <w:t>CAISO Revised Proposal at 1.</w:t>
      </w:r>
    </w:p>
  </w:footnote>
  <w:footnote w:id="132">
    <w:p w14:paraId="3C915266" w14:textId="4747E7CD" w:rsidR="00782420" w:rsidRPr="009057D7" w:rsidRDefault="00782420" w:rsidP="00907A2F">
      <w:pPr>
        <w:pStyle w:val="FootnoteText"/>
        <w:ind w:left="288" w:hanging="288"/>
      </w:pPr>
      <w:r>
        <w:rPr>
          <w:rStyle w:val="FootnoteReference"/>
        </w:rPr>
        <w:footnoteRef/>
      </w:r>
      <w:r>
        <w:t xml:space="preserve"> </w:t>
      </w:r>
      <w:r>
        <w:rPr>
          <w:lang w:val="en-ZW"/>
        </w:rPr>
        <w:t xml:space="preserve">ACP-CA Comments on </w:t>
      </w:r>
      <w:r w:rsidR="003870E9">
        <w:rPr>
          <w:lang w:val="en-ZW"/>
        </w:rPr>
        <w:t>Proposed Decision</w:t>
      </w:r>
      <w:r>
        <w:rPr>
          <w:lang w:val="en-ZW"/>
        </w:rPr>
        <w:t xml:space="preserve"> at 2</w:t>
      </w:r>
      <w:r w:rsidR="003870E9">
        <w:rPr>
          <w:lang w:val="en-ZW"/>
        </w:rPr>
        <w:t>,</w:t>
      </w:r>
      <w:r w:rsidR="009D5708">
        <w:rPr>
          <w:lang w:val="en-ZW"/>
        </w:rPr>
        <w:t xml:space="preserve"> </w:t>
      </w:r>
      <w:r w:rsidR="003870E9">
        <w:rPr>
          <w:lang w:val="en-ZW"/>
        </w:rPr>
        <w:t xml:space="preserve">AReM/UC Comments on Proposed Decision at 2, </w:t>
      </w:r>
      <w:r w:rsidR="009D5708">
        <w:rPr>
          <w:lang w:val="en-ZW"/>
        </w:rPr>
        <w:t xml:space="preserve">CalCCA Comments on </w:t>
      </w:r>
      <w:r w:rsidR="003870E9">
        <w:rPr>
          <w:lang w:val="en-ZW"/>
        </w:rPr>
        <w:t xml:space="preserve">Proposed Decision </w:t>
      </w:r>
      <w:r w:rsidR="009D5708">
        <w:rPr>
          <w:lang w:val="en-ZW"/>
        </w:rPr>
        <w:t>at 11</w:t>
      </w:r>
      <w:r w:rsidR="003870E9">
        <w:rPr>
          <w:lang w:val="en-ZW"/>
        </w:rPr>
        <w:t xml:space="preserve">, </w:t>
      </w:r>
      <w:r w:rsidR="00B9072A">
        <w:rPr>
          <w:lang w:val="en-ZW"/>
        </w:rPr>
        <w:t xml:space="preserve">CESA Comments on </w:t>
      </w:r>
      <w:r w:rsidR="003870E9">
        <w:rPr>
          <w:lang w:val="en-ZW"/>
        </w:rPr>
        <w:t xml:space="preserve">Proposed Decision </w:t>
      </w:r>
      <w:r w:rsidR="00B9072A">
        <w:rPr>
          <w:lang w:val="en-ZW"/>
        </w:rPr>
        <w:t>at 9</w:t>
      </w:r>
      <w:r w:rsidR="003870E9">
        <w:rPr>
          <w:lang w:val="en-ZW"/>
        </w:rPr>
        <w:t>,</w:t>
      </w:r>
      <w:r w:rsidR="00B9072A">
        <w:rPr>
          <w:lang w:val="en-ZW"/>
        </w:rPr>
        <w:t xml:space="preserve"> Hydrostor Comments on </w:t>
      </w:r>
      <w:r w:rsidR="003870E9">
        <w:rPr>
          <w:lang w:val="en-ZW"/>
        </w:rPr>
        <w:t xml:space="preserve">Proposed Decision </w:t>
      </w:r>
      <w:r w:rsidR="00B9072A">
        <w:rPr>
          <w:lang w:val="en-ZW"/>
        </w:rPr>
        <w:t>at 5.</w:t>
      </w:r>
    </w:p>
  </w:footnote>
  <w:footnote w:id="133">
    <w:p w14:paraId="614273EC" w14:textId="051A4AB7" w:rsidR="001366FD" w:rsidRPr="009057D7" w:rsidRDefault="001366FD" w:rsidP="00907A2F">
      <w:pPr>
        <w:pStyle w:val="FootnoteText"/>
        <w:ind w:left="288" w:hanging="288"/>
      </w:pPr>
      <w:r>
        <w:rPr>
          <w:rStyle w:val="FootnoteReference"/>
        </w:rPr>
        <w:footnoteRef/>
      </w:r>
      <w:r>
        <w:t xml:space="preserve"> </w:t>
      </w:r>
      <w:r>
        <w:rPr>
          <w:lang w:val="en-ZW"/>
        </w:rPr>
        <w:t xml:space="preserve">MRP Comments on </w:t>
      </w:r>
      <w:r w:rsidR="00314783">
        <w:rPr>
          <w:lang w:val="en-ZW"/>
        </w:rPr>
        <w:t xml:space="preserve">Proposed Decision </w:t>
      </w:r>
      <w:r>
        <w:rPr>
          <w:lang w:val="en-ZW"/>
        </w:rPr>
        <w:t xml:space="preserve">at 2, Shell Energy Comments on </w:t>
      </w:r>
      <w:r w:rsidR="00314783">
        <w:rPr>
          <w:lang w:val="en-ZW"/>
        </w:rPr>
        <w:t xml:space="preserve">Proposed Decision </w:t>
      </w:r>
      <w:r>
        <w:rPr>
          <w:lang w:val="en-ZW"/>
        </w:rPr>
        <w:t xml:space="preserve">at 2, PG&amp;E </w:t>
      </w:r>
      <w:r w:rsidR="00314783">
        <w:rPr>
          <w:lang w:val="en-ZW"/>
        </w:rPr>
        <w:t>Reply Comments on Proposed Decision</w:t>
      </w:r>
      <w:r>
        <w:rPr>
          <w:lang w:val="en-ZW"/>
        </w:rPr>
        <w:t xml:space="preserve"> at 2.</w:t>
      </w:r>
    </w:p>
  </w:footnote>
  <w:footnote w:id="134">
    <w:p w14:paraId="62F63BA1" w14:textId="73E4AADA" w:rsidR="00F05C00" w:rsidRPr="009057D7" w:rsidRDefault="00F05C00" w:rsidP="00907A2F">
      <w:pPr>
        <w:pStyle w:val="FootnoteText"/>
        <w:ind w:left="288" w:hanging="288"/>
      </w:pPr>
      <w:r>
        <w:rPr>
          <w:rStyle w:val="FootnoteReference"/>
        </w:rPr>
        <w:footnoteRef/>
      </w:r>
      <w:r>
        <w:t xml:space="preserve"> </w:t>
      </w:r>
      <w:r>
        <w:rPr>
          <w:lang w:val="en-ZW"/>
        </w:rPr>
        <w:t xml:space="preserve">SDG&amp;E </w:t>
      </w:r>
      <w:r w:rsidR="00804CE7">
        <w:rPr>
          <w:lang w:val="en-ZW"/>
        </w:rPr>
        <w:t>Reply Comments on Proposed Decision</w:t>
      </w:r>
      <w:r>
        <w:rPr>
          <w:lang w:val="en-ZW"/>
        </w:rPr>
        <w:t xml:space="preserve"> at 2.</w:t>
      </w:r>
    </w:p>
  </w:footnote>
  <w:footnote w:id="135">
    <w:p w14:paraId="4874C9A9" w14:textId="4F46E4DE" w:rsidR="000C34EB" w:rsidRPr="009057D7" w:rsidRDefault="000C34EB" w:rsidP="00907A2F">
      <w:pPr>
        <w:pStyle w:val="FootnoteText"/>
        <w:ind w:left="288" w:hanging="288"/>
      </w:pPr>
      <w:r>
        <w:rPr>
          <w:rStyle w:val="FootnoteReference"/>
        </w:rPr>
        <w:footnoteRef/>
      </w:r>
      <w:r>
        <w:t xml:space="preserve"> </w:t>
      </w:r>
      <w:r w:rsidRPr="009057D7">
        <w:rPr>
          <w:i/>
          <w:iCs/>
          <w:lang w:val="en-ZW"/>
        </w:rPr>
        <w:t>See</w:t>
      </w:r>
      <w:r>
        <w:rPr>
          <w:lang w:val="en-ZW"/>
        </w:rPr>
        <w:t xml:space="preserve"> D.22-03-034 at OP 14.</w:t>
      </w:r>
    </w:p>
  </w:footnote>
  <w:footnote w:id="136">
    <w:p w14:paraId="2F4FC560" w14:textId="15C83C4E" w:rsidR="002A2325" w:rsidRPr="003E7807" w:rsidRDefault="002A2325" w:rsidP="00907A2F">
      <w:pPr>
        <w:pStyle w:val="FootnoteText"/>
        <w:ind w:left="288" w:hanging="288"/>
        <w:rPr>
          <w:lang w:val="en-ZW"/>
        </w:rPr>
      </w:pPr>
      <w:r>
        <w:rPr>
          <w:rStyle w:val="FootnoteReference"/>
        </w:rPr>
        <w:footnoteRef/>
      </w:r>
      <w:r>
        <w:t xml:space="preserve"> CAISO Comments on </w:t>
      </w:r>
      <w:r w:rsidR="001D6097">
        <w:t>Proposed Decision</w:t>
      </w:r>
      <w:r>
        <w:t xml:space="preserve"> at 2</w:t>
      </w:r>
      <w:r w:rsidR="001D6097">
        <w:t xml:space="preserve">, </w:t>
      </w:r>
      <w:r>
        <w:t xml:space="preserve">Microsoft Comments on </w:t>
      </w:r>
      <w:r w:rsidR="001D6097">
        <w:t xml:space="preserve">Proposed Decision </w:t>
      </w:r>
      <w:r>
        <w:t>at 3</w:t>
      </w:r>
      <w:r w:rsidR="001D6097">
        <w:t>,</w:t>
      </w:r>
      <w:r w:rsidRPr="002A2325">
        <w:rPr>
          <w:lang w:val="en-ZW"/>
        </w:rPr>
        <w:t xml:space="preserve"> </w:t>
      </w:r>
      <w:r>
        <w:rPr>
          <w:lang w:val="en-ZW"/>
        </w:rPr>
        <w:t xml:space="preserve">MRP Comments on </w:t>
      </w:r>
      <w:r w:rsidR="001D6097">
        <w:t xml:space="preserve">Proposed Decision </w:t>
      </w:r>
      <w:r>
        <w:rPr>
          <w:lang w:val="en-ZW"/>
        </w:rPr>
        <w:t>at 4.</w:t>
      </w:r>
    </w:p>
  </w:footnote>
  <w:footnote w:id="137">
    <w:p w14:paraId="5D625DC9" w14:textId="2FCFC6E4" w:rsidR="00A3655D" w:rsidRPr="00907A2F" w:rsidRDefault="00A3655D" w:rsidP="00907A2F">
      <w:pPr>
        <w:pStyle w:val="FootnoteText"/>
        <w:ind w:left="288" w:hanging="288"/>
        <w:rPr>
          <w:lang w:val="en-ZW"/>
        </w:rPr>
      </w:pPr>
      <w:r>
        <w:rPr>
          <w:rStyle w:val="FootnoteReference"/>
        </w:rPr>
        <w:footnoteRef/>
      </w:r>
      <w:r>
        <w:t xml:space="preserve"> </w:t>
      </w:r>
      <w:r w:rsidR="005B42FD">
        <w:tab/>
      </w:r>
      <w:r>
        <w:t xml:space="preserve">ACP-CA Comments on </w:t>
      </w:r>
      <w:r w:rsidR="000C339D">
        <w:t xml:space="preserve">Proposed Decision </w:t>
      </w:r>
      <w:r>
        <w:t>at 3</w:t>
      </w:r>
      <w:r w:rsidR="000C339D">
        <w:t xml:space="preserve">, </w:t>
      </w:r>
      <w:r>
        <w:rPr>
          <w:lang w:val="en-ZW"/>
        </w:rPr>
        <w:t xml:space="preserve">CalCCA Comments on </w:t>
      </w:r>
      <w:r w:rsidR="000C339D">
        <w:t xml:space="preserve">Proposed Decision </w:t>
      </w:r>
      <w:r>
        <w:rPr>
          <w:lang w:val="en-ZW"/>
        </w:rPr>
        <w:t>at 13</w:t>
      </w:r>
      <w:r w:rsidR="000C339D">
        <w:rPr>
          <w:lang w:val="en-ZW"/>
        </w:rPr>
        <w:t xml:space="preserve">, </w:t>
      </w:r>
      <w:r>
        <w:rPr>
          <w:lang w:val="en-ZW"/>
        </w:rPr>
        <w:t xml:space="preserve">CEJA Comments on </w:t>
      </w:r>
      <w:r w:rsidR="000C339D">
        <w:t xml:space="preserve">Proposed Decision </w:t>
      </w:r>
      <w:r>
        <w:rPr>
          <w:lang w:val="en-ZW"/>
        </w:rPr>
        <w:t>at 3</w:t>
      </w:r>
      <w:r w:rsidR="000C339D">
        <w:rPr>
          <w:lang w:val="en-ZW"/>
        </w:rPr>
        <w:t xml:space="preserve">, </w:t>
      </w:r>
      <w:r w:rsidR="00731CE1">
        <w:rPr>
          <w:lang w:val="en-ZW"/>
        </w:rPr>
        <w:t xml:space="preserve">SCE Comments on </w:t>
      </w:r>
      <w:r w:rsidR="000C339D">
        <w:t xml:space="preserve">Proposed Decision </w:t>
      </w:r>
      <w:r w:rsidR="00731CE1">
        <w:rPr>
          <w:lang w:val="en-ZW"/>
        </w:rPr>
        <w:t>at 5.</w:t>
      </w:r>
    </w:p>
  </w:footnote>
  <w:footnote w:id="138">
    <w:p w14:paraId="1A17F5CB" w14:textId="740B3E56" w:rsidR="00746265" w:rsidRPr="00907A2F" w:rsidRDefault="00746265" w:rsidP="00907A2F">
      <w:pPr>
        <w:pStyle w:val="FootnoteText"/>
        <w:ind w:left="288" w:hanging="288"/>
        <w:rPr>
          <w:lang w:val="en-ZW"/>
        </w:rPr>
      </w:pPr>
      <w:r>
        <w:rPr>
          <w:rStyle w:val="FootnoteReference"/>
        </w:rPr>
        <w:footnoteRef/>
      </w:r>
      <w:r>
        <w:t xml:space="preserve"> </w:t>
      </w:r>
      <w:r w:rsidR="00DD1E75">
        <w:t xml:space="preserve">3CE Comments on </w:t>
      </w:r>
      <w:r w:rsidR="000138FD">
        <w:t>Proposed Decision</w:t>
      </w:r>
      <w:r w:rsidR="00DD1E75">
        <w:t xml:space="preserve"> at 5, </w:t>
      </w:r>
      <w:r>
        <w:rPr>
          <w:lang w:val="en-ZW"/>
        </w:rPr>
        <w:t xml:space="preserve">AReM/UC Comments on </w:t>
      </w:r>
      <w:r w:rsidR="000138FD">
        <w:t xml:space="preserve">Proposed Decision </w:t>
      </w:r>
      <w:r>
        <w:rPr>
          <w:lang w:val="en-ZW"/>
        </w:rPr>
        <w:t>at 7</w:t>
      </w:r>
      <w:r w:rsidR="002D1817">
        <w:rPr>
          <w:lang w:val="en-ZW"/>
        </w:rPr>
        <w:t xml:space="preserve">, CalCCA Comments on </w:t>
      </w:r>
      <w:r w:rsidR="000138FD">
        <w:t xml:space="preserve">Proposed Decision </w:t>
      </w:r>
      <w:r w:rsidR="002D1817">
        <w:rPr>
          <w:lang w:val="en-ZW"/>
        </w:rPr>
        <w:t>at 3</w:t>
      </w:r>
      <w:r w:rsidR="000138FD">
        <w:rPr>
          <w:lang w:val="en-ZW"/>
        </w:rPr>
        <w:t xml:space="preserve">, </w:t>
      </w:r>
      <w:r w:rsidR="005C5639">
        <w:rPr>
          <w:lang w:val="en-ZW"/>
        </w:rPr>
        <w:t xml:space="preserve">Microsoft Comments on </w:t>
      </w:r>
      <w:r w:rsidR="000138FD">
        <w:t xml:space="preserve">Proposed Decision </w:t>
      </w:r>
      <w:r w:rsidR="005C5639">
        <w:rPr>
          <w:lang w:val="en-ZW"/>
        </w:rPr>
        <w:t>at 7</w:t>
      </w:r>
      <w:r w:rsidR="000138FD">
        <w:rPr>
          <w:lang w:val="en-ZW"/>
        </w:rPr>
        <w:t>,</w:t>
      </w:r>
      <w:r w:rsidR="00963120">
        <w:rPr>
          <w:lang w:val="en-ZW"/>
        </w:rPr>
        <w:t xml:space="preserve"> PCE Comments on </w:t>
      </w:r>
      <w:r w:rsidR="000138FD">
        <w:t xml:space="preserve">Proposed Decision </w:t>
      </w:r>
      <w:r w:rsidR="00963120">
        <w:rPr>
          <w:lang w:val="en-ZW"/>
        </w:rPr>
        <w:t>at 1</w:t>
      </w:r>
      <w:r w:rsidR="001E78AE">
        <w:rPr>
          <w:lang w:val="en-ZW"/>
        </w:rPr>
        <w:t xml:space="preserve">, Shell </w:t>
      </w:r>
      <w:r w:rsidR="000138FD">
        <w:rPr>
          <w:lang w:val="en-ZW"/>
        </w:rPr>
        <w:t xml:space="preserve">Energy </w:t>
      </w:r>
      <w:r w:rsidR="001E78AE">
        <w:rPr>
          <w:lang w:val="en-ZW"/>
        </w:rPr>
        <w:t xml:space="preserve">Comments on </w:t>
      </w:r>
      <w:r w:rsidR="000138FD">
        <w:t xml:space="preserve">Proposed Decision </w:t>
      </w:r>
      <w:r w:rsidR="001E78AE">
        <w:rPr>
          <w:lang w:val="en-ZW"/>
        </w:rPr>
        <w:t>at 4.</w:t>
      </w:r>
    </w:p>
  </w:footnote>
  <w:footnote w:id="139">
    <w:p w14:paraId="01443493" w14:textId="50A9E3A8" w:rsidR="007102B2" w:rsidRPr="007A286D" w:rsidRDefault="007102B2" w:rsidP="00907A2F">
      <w:pPr>
        <w:pStyle w:val="FootnoteText"/>
        <w:ind w:left="288" w:hanging="288"/>
        <w:rPr>
          <w:lang w:val="en-ZW"/>
        </w:rPr>
      </w:pPr>
      <w:r>
        <w:rPr>
          <w:rStyle w:val="FootnoteReference"/>
        </w:rPr>
        <w:footnoteRef/>
      </w:r>
      <w:r>
        <w:t xml:space="preserve"> </w:t>
      </w:r>
      <w:r>
        <w:rPr>
          <w:lang w:val="en-ZW"/>
        </w:rPr>
        <w:t xml:space="preserve">MRP </w:t>
      </w:r>
      <w:r w:rsidR="002C791C">
        <w:rPr>
          <w:lang w:val="en-ZW"/>
        </w:rPr>
        <w:t>Reply Comments</w:t>
      </w:r>
      <w:r>
        <w:rPr>
          <w:lang w:val="en-ZW"/>
        </w:rPr>
        <w:t xml:space="preserve"> on </w:t>
      </w:r>
      <w:r w:rsidR="002C791C">
        <w:t xml:space="preserve">Proposed Decision </w:t>
      </w:r>
      <w:r>
        <w:rPr>
          <w:lang w:val="en-ZW"/>
        </w:rPr>
        <w:t>at 3</w:t>
      </w:r>
      <w:r w:rsidR="002C791C">
        <w:rPr>
          <w:lang w:val="en-ZW"/>
        </w:rPr>
        <w:t xml:space="preserve">, </w:t>
      </w:r>
      <w:r w:rsidR="00956EC6">
        <w:rPr>
          <w:lang w:val="en-ZW"/>
        </w:rPr>
        <w:t xml:space="preserve">PG&amp;E </w:t>
      </w:r>
      <w:r w:rsidR="002C791C">
        <w:rPr>
          <w:lang w:val="en-ZW"/>
        </w:rPr>
        <w:t xml:space="preserve">Reply Comments on </w:t>
      </w:r>
      <w:r w:rsidR="002C791C">
        <w:t xml:space="preserve">Proposed Decision </w:t>
      </w:r>
      <w:r w:rsidR="00956EC6">
        <w:rPr>
          <w:lang w:val="en-ZW"/>
        </w:rPr>
        <w:t>at 1</w:t>
      </w:r>
      <w:r w:rsidR="002C791C">
        <w:rPr>
          <w:lang w:val="en-ZW"/>
        </w:rPr>
        <w:t>,</w:t>
      </w:r>
      <w:r w:rsidR="0047380A">
        <w:rPr>
          <w:lang w:val="en-ZW"/>
        </w:rPr>
        <w:t xml:space="preserve"> SDG&amp;E </w:t>
      </w:r>
      <w:r w:rsidR="002C791C">
        <w:rPr>
          <w:lang w:val="en-ZW"/>
        </w:rPr>
        <w:t xml:space="preserve">Reply Comments on </w:t>
      </w:r>
      <w:r w:rsidR="002C791C">
        <w:t xml:space="preserve">Proposed Decision </w:t>
      </w:r>
      <w:r w:rsidR="0047380A">
        <w:rPr>
          <w:lang w:val="en-ZW"/>
        </w:rPr>
        <w:t>at 1.</w:t>
      </w:r>
    </w:p>
  </w:footnote>
  <w:footnote w:id="140">
    <w:p w14:paraId="572CB136" w14:textId="6C07EC43" w:rsidR="00A848CB" w:rsidRPr="007A286D" w:rsidRDefault="00A848CB" w:rsidP="00907A2F">
      <w:pPr>
        <w:pStyle w:val="FootnoteText"/>
        <w:ind w:left="288" w:hanging="288"/>
        <w:rPr>
          <w:lang w:val="en-ZW"/>
        </w:rPr>
      </w:pPr>
      <w:r>
        <w:rPr>
          <w:rStyle w:val="FootnoteReference"/>
        </w:rPr>
        <w:footnoteRef/>
      </w:r>
      <w:r>
        <w:t xml:space="preserve"> </w:t>
      </w:r>
      <w:r>
        <w:rPr>
          <w:lang w:val="en-ZW"/>
        </w:rPr>
        <w:t>D.22-06-050 at 97.</w:t>
      </w:r>
    </w:p>
  </w:footnote>
  <w:footnote w:id="141">
    <w:p w14:paraId="4713649B" w14:textId="3ADD7E8E" w:rsidR="00F90E4B" w:rsidRPr="007A286D" w:rsidRDefault="00F90E4B" w:rsidP="00907A2F">
      <w:pPr>
        <w:pStyle w:val="FootnoteText"/>
        <w:ind w:left="288" w:hanging="288"/>
        <w:rPr>
          <w:lang w:val="en-ZW"/>
        </w:rPr>
      </w:pPr>
      <w:r>
        <w:rPr>
          <w:rStyle w:val="FootnoteReference"/>
        </w:rPr>
        <w:footnoteRef/>
      </w:r>
      <w:r>
        <w:t xml:space="preserve"> </w:t>
      </w:r>
      <w:r w:rsidR="007A286D" w:rsidRPr="007A286D">
        <w:rPr>
          <w:i/>
          <w:iCs/>
          <w:lang w:val="en-ZW"/>
        </w:rPr>
        <w:t>Id</w:t>
      </w:r>
      <w:r>
        <w:rPr>
          <w:lang w:val="en-ZW"/>
        </w:rPr>
        <w:t>.</w:t>
      </w:r>
    </w:p>
  </w:footnote>
  <w:footnote w:id="142">
    <w:p w14:paraId="191EA686" w14:textId="3FC6E727" w:rsidR="00FE51FC" w:rsidRPr="007A286D" w:rsidRDefault="00FE51FC" w:rsidP="00907A2F">
      <w:pPr>
        <w:pStyle w:val="FootnoteText"/>
        <w:ind w:left="288" w:hanging="288"/>
        <w:rPr>
          <w:lang w:val="en-ZW"/>
        </w:rPr>
      </w:pPr>
      <w:r>
        <w:rPr>
          <w:rStyle w:val="FootnoteReference"/>
        </w:rPr>
        <w:footnoteRef/>
      </w:r>
      <w:r>
        <w:t xml:space="preserve"> </w:t>
      </w:r>
      <w:r>
        <w:rPr>
          <w:lang w:val="en-ZW"/>
        </w:rPr>
        <w:t>D.23-0</w:t>
      </w:r>
      <w:r w:rsidR="007A286D">
        <w:rPr>
          <w:lang w:val="en-ZW"/>
        </w:rPr>
        <w:t>4-010</w:t>
      </w:r>
      <w:r>
        <w:rPr>
          <w:lang w:val="en-ZW"/>
        </w:rPr>
        <w:t xml:space="preserve"> at 71.</w:t>
      </w:r>
    </w:p>
  </w:footnote>
  <w:footnote w:id="143">
    <w:p w14:paraId="7FA82ED4" w14:textId="30D1526C" w:rsidR="00113511" w:rsidRPr="008D3B57" w:rsidRDefault="00113511" w:rsidP="00907A2F">
      <w:pPr>
        <w:pStyle w:val="FootnoteText"/>
        <w:ind w:left="288" w:hanging="288"/>
        <w:rPr>
          <w:lang w:val="en-ZW"/>
        </w:rPr>
      </w:pPr>
      <w:r>
        <w:rPr>
          <w:rStyle w:val="FootnoteReference"/>
        </w:rPr>
        <w:footnoteRef/>
      </w:r>
      <w:r>
        <w:t xml:space="preserve"> </w:t>
      </w:r>
      <w:r w:rsidRPr="00F50B4C">
        <w:rPr>
          <w:i/>
          <w:iCs/>
          <w:lang w:val="en-ZW"/>
        </w:rPr>
        <w:t>Id</w:t>
      </w:r>
      <w:r>
        <w:rPr>
          <w:lang w:val="en-ZW"/>
        </w:rPr>
        <w:t>.</w:t>
      </w:r>
      <w:r w:rsidR="00A07032">
        <w:rPr>
          <w:lang w:val="en-ZW"/>
        </w:rPr>
        <w:t xml:space="preserve"> at 72.</w:t>
      </w:r>
    </w:p>
  </w:footnote>
  <w:footnote w:id="144">
    <w:p w14:paraId="7FDEE5F9" w14:textId="2D9952F0" w:rsidR="00705485" w:rsidRPr="003E7807" w:rsidRDefault="00705485" w:rsidP="00907A2F">
      <w:pPr>
        <w:pStyle w:val="FootnoteText"/>
        <w:ind w:left="288" w:hanging="288"/>
        <w:rPr>
          <w:lang w:val="en-ZW"/>
        </w:rPr>
      </w:pPr>
      <w:r>
        <w:rPr>
          <w:rStyle w:val="FootnoteReference"/>
        </w:rPr>
        <w:footnoteRef/>
      </w:r>
      <w:r>
        <w:t xml:space="preserve"> </w:t>
      </w:r>
      <w:r>
        <w:rPr>
          <w:lang w:val="en-ZW"/>
        </w:rPr>
        <w:t xml:space="preserve">AReM/UC Comments on </w:t>
      </w:r>
      <w:r w:rsidR="009E0F07">
        <w:rPr>
          <w:lang w:val="en-ZW"/>
        </w:rPr>
        <w:t>Proposed Decision</w:t>
      </w:r>
      <w:r>
        <w:rPr>
          <w:lang w:val="en-ZW"/>
        </w:rPr>
        <w:t xml:space="preserve"> at 3, AES Comments on </w:t>
      </w:r>
      <w:r w:rsidR="009E0F07">
        <w:rPr>
          <w:lang w:val="en-ZW"/>
        </w:rPr>
        <w:t xml:space="preserve">Proposed Decision </w:t>
      </w:r>
      <w:r>
        <w:rPr>
          <w:lang w:val="en-ZW"/>
        </w:rPr>
        <w:t xml:space="preserve">at 3, CESA Comments on </w:t>
      </w:r>
      <w:r w:rsidR="009E0F07">
        <w:rPr>
          <w:lang w:val="en-ZW"/>
        </w:rPr>
        <w:t xml:space="preserve">Proposed Decision </w:t>
      </w:r>
      <w:r>
        <w:rPr>
          <w:lang w:val="en-ZW"/>
        </w:rPr>
        <w:t>at 4</w:t>
      </w:r>
      <w:r w:rsidR="009E0F07">
        <w:rPr>
          <w:lang w:val="en-ZW"/>
        </w:rPr>
        <w:t xml:space="preserve">, </w:t>
      </w:r>
      <w:r>
        <w:rPr>
          <w:lang w:val="en-ZW"/>
        </w:rPr>
        <w:t xml:space="preserve">Shell Energy Comments on </w:t>
      </w:r>
      <w:r w:rsidR="009E0F07">
        <w:rPr>
          <w:lang w:val="en-ZW"/>
        </w:rPr>
        <w:t xml:space="preserve">Proposed Decision </w:t>
      </w:r>
      <w:r>
        <w:rPr>
          <w:lang w:val="en-ZW"/>
        </w:rPr>
        <w:t>at 6</w:t>
      </w:r>
      <w:r w:rsidR="009E0F07">
        <w:rPr>
          <w:lang w:val="en-ZW"/>
        </w:rPr>
        <w:t>,</w:t>
      </w:r>
      <w:r w:rsidR="000B77FB" w:rsidRPr="000B77FB">
        <w:rPr>
          <w:lang w:val="en-ZW"/>
        </w:rPr>
        <w:t xml:space="preserve"> </w:t>
      </w:r>
      <w:r w:rsidR="000B77FB">
        <w:rPr>
          <w:lang w:val="en-ZW"/>
        </w:rPr>
        <w:t xml:space="preserve">Microsoft Comments on </w:t>
      </w:r>
      <w:r w:rsidR="009E0F07">
        <w:rPr>
          <w:lang w:val="en-ZW"/>
        </w:rPr>
        <w:t xml:space="preserve">Proposed Decision </w:t>
      </w:r>
      <w:r w:rsidR="000B77FB">
        <w:rPr>
          <w:lang w:val="en-ZW"/>
        </w:rPr>
        <w:t>at 6</w:t>
      </w:r>
      <w:r w:rsidR="009E0F07">
        <w:rPr>
          <w:lang w:val="en-ZW"/>
        </w:rPr>
        <w:t xml:space="preserve">, </w:t>
      </w:r>
      <w:r w:rsidR="000B77FB">
        <w:rPr>
          <w:lang w:val="en-ZW"/>
        </w:rPr>
        <w:t xml:space="preserve">SCE Comments on </w:t>
      </w:r>
      <w:r w:rsidR="009E0F07">
        <w:rPr>
          <w:lang w:val="en-ZW"/>
        </w:rPr>
        <w:t xml:space="preserve">Proposed Decision </w:t>
      </w:r>
      <w:r w:rsidR="000B77FB">
        <w:rPr>
          <w:lang w:val="en-ZW"/>
        </w:rPr>
        <w:t>at 8</w:t>
      </w:r>
      <w:r w:rsidR="009E0F07">
        <w:rPr>
          <w:lang w:val="en-ZW"/>
        </w:rPr>
        <w:t>,</w:t>
      </w:r>
      <w:r w:rsidR="0010191A">
        <w:rPr>
          <w:lang w:val="en-ZW"/>
        </w:rPr>
        <w:t xml:space="preserve"> SDG&amp;E </w:t>
      </w:r>
      <w:r w:rsidR="009E0F07">
        <w:rPr>
          <w:lang w:val="en-ZW"/>
        </w:rPr>
        <w:t>Reply Comments on Proposed Decision</w:t>
      </w:r>
      <w:r w:rsidR="0010191A">
        <w:rPr>
          <w:lang w:val="en-ZW"/>
        </w:rPr>
        <w:t xml:space="preserve"> at 4.</w:t>
      </w:r>
    </w:p>
  </w:footnote>
  <w:footnote w:id="145">
    <w:p w14:paraId="3EFBF171" w14:textId="414765BD" w:rsidR="000C34EB" w:rsidRPr="00F50B4C" w:rsidRDefault="000C34EB" w:rsidP="00907A2F">
      <w:pPr>
        <w:pStyle w:val="FootnoteText"/>
        <w:ind w:left="288" w:hanging="288"/>
        <w:rPr>
          <w:lang w:val="en-ZW"/>
        </w:rPr>
      </w:pPr>
      <w:r>
        <w:rPr>
          <w:rStyle w:val="FootnoteReference"/>
        </w:rPr>
        <w:footnoteRef/>
      </w:r>
      <w:r>
        <w:t xml:space="preserve"> </w:t>
      </w:r>
      <w:r>
        <w:rPr>
          <w:lang w:val="en-ZW"/>
        </w:rPr>
        <w:t xml:space="preserve">Cal Advocates Reply Comments </w:t>
      </w:r>
      <w:r w:rsidR="009E0F07">
        <w:rPr>
          <w:lang w:val="en-ZW"/>
        </w:rPr>
        <w:t xml:space="preserve">on </w:t>
      </w:r>
      <w:r w:rsidR="009E0F07">
        <w:rPr>
          <w:szCs w:val="26"/>
        </w:rPr>
        <w:t xml:space="preserve">Proposed Decision </w:t>
      </w:r>
      <w:r>
        <w:rPr>
          <w:lang w:val="en-ZW"/>
        </w:rPr>
        <w:t xml:space="preserve">at </w:t>
      </w:r>
      <w:r w:rsidR="009E0F07">
        <w:rPr>
          <w:lang w:val="en-ZW"/>
        </w:rPr>
        <w:t>2</w:t>
      </w:r>
      <w:r>
        <w:rPr>
          <w:lang w:val="en-ZW"/>
        </w:rPr>
        <w:t>.</w:t>
      </w:r>
    </w:p>
  </w:footnote>
  <w:footnote w:id="146">
    <w:p w14:paraId="348ADFD7" w14:textId="62DE47C5" w:rsidR="00AD61B3" w:rsidRPr="003E7807" w:rsidRDefault="00AD61B3" w:rsidP="00907A2F">
      <w:pPr>
        <w:pStyle w:val="FootnoteText"/>
        <w:ind w:left="288" w:hanging="288"/>
        <w:rPr>
          <w:lang w:val="en-ZW"/>
        </w:rPr>
      </w:pPr>
      <w:r>
        <w:rPr>
          <w:rStyle w:val="FootnoteReference"/>
        </w:rPr>
        <w:footnoteRef/>
      </w:r>
      <w:r>
        <w:t xml:space="preserve"> </w:t>
      </w:r>
      <w:r>
        <w:rPr>
          <w:lang w:val="en-ZW"/>
        </w:rPr>
        <w:t xml:space="preserve">PG&amp;E Comments on </w:t>
      </w:r>
      <w:r w:rsidR="004A0F31">
        <w:rPr>
          <w:lang w:val="en-ZW"/>
        </w:rPr>
        <w:t>Proposed Decision</w:t>
      </w:r>
      <w:r>
        <w:rPr>
          <w:lang w:val="en-ZW"/>
        </w:rPr>
        <w:t xml:space="preserve"> at 2.</w:t>
      </w:r>
    </w:p>
  </w:footnote>
  <w:footnote w:id="147">
    <w:p w14:paraId="0CFF9872" w14:textId="6F4AE28E" w:rsidR="00A16329" w:rsidRPr="005B42FD" w:rsidRDefault="00A16329" w:rsidP="00907A2F">
      <w:pPr>
        <w:pStyle w:val="FootnoteText"/>
        <w:ind w:left="288" w:hanging="288"/>
        <w:rPr>
          <w:lang w:val="en-ZW"/>
        </w:rPr>
      </w:pPr>
      <w:r>
        <w:rPr>
          <w:rStyle w:val="FootnoteReference"/>
        </w:rPr>
        <w:footnoteRef/>
      </w:r>
      <w:r>
        <w:t xml:space="preserve"> </w:t>
      </w:r>
      <w:r>
        <w:rPr>
          <w:lang w:val="en-ZW"/>
        </w:rPr>
        <w:t xml:space="preserve">BPA Comments on </w:t>
      </w:r>
      <w:r w:rsidR="00AF2327">
        <w:rPr>
          <w:lang w:val="en-ZW"/>
        </w:rPr>
        <w:t xml:space="preserve">Proposed Decision </w:t>
      </w:r>
      <w:r>
        <w:rPr>
          <w:lang w:val="en-ZW"/>
        </w:rPr>
        <w:t>at 2</w:t>
      </w:r>
      <w:r w:rsidR="00AF2327">
        <w:rPr>
          <w:lang w:val="en-ZW"/>
        </w:rPr>
        <w:t xml:space="preserve">, AReM/UC Comments on Proposed Decision at 5, </w:t>
      </w:r>
      <w:r w:rsidR="003D4D80">
        <w:rPr>
          <w:lang w:val="en-ZW"/>
        </w:rPr>
        <w:t xml:space="preserve">CAISO Comments on </w:t>
      </w:r>
      <w:r w:rsidR="00AF2327">
        <w:rPr>
          <w:lang w:val="en-ZW"/>
        </w:rPr>
        <w:t xml:space="preserve">Proposed Decision </w:t>
      </w:r>
      <w:r w:rsidR="003D4D80">
        <w:rPr>
          <w:lang w:val="en-ZW"/>
        </w:rPr>
        <w:t>at 6</w:t>
      </w:r>
      <w:r w:rsidR="00AF2327">
        <w:rPr>
          <w:lang w:val="en-ZW"/>
        </w:rPr>
        <w:t>,</w:t>
      </w:r>
      <w:r w:rsidR="003D4D80">
        <w:rPr>
          <w:lang w:val="en-ZW"/>
        </w:rPr>
        <w:t xml:space="preserve"> DMM Comments on </w:t>
      </w:r>
      <w:r w:rsidR="00AF2327">
        <w:rPr>
          <w:lang w:val="en-ZW"/>
        </w:rPr>
        <w:t xml:space="preserve">Proposed Decision </w:t>
      </w:r>
      <w:r w:rsidR="003D4D80">
        <w:rPr>
          <w:lang w:val="en-ZW"/>
        </w:rPr>
        <w:t>at 1</w:t>
      </w:r>
      <w:r w:rsidR="00AF2327">
        <w:rPr>
          <w:lang w:val="en-ZW"/>
        </w:rPr>
        <w:t xml:space="preserve">, </w:t>
      </w:r>
      <w:r w:rsidR="003D4D80">
        <w:rPr>
          <w:lang w:val="en-ZW"/>
        </w:rPr>
        <w:t xml:space="preserve">Microsoft Comments on </w:t>
      </w:r>
      <w:r w:rsidR="00AF2327">
        <w:rPr>
          <w:lang w:val="en-ZW"/>
        </w:rPr>
        <w:t xml:space="preserve">Proposed Decision </w:t>
      </w:r>
      <w:r w:rsidR="003D4D80">
        <w:rPr>
          <w:lang w:val="en-ZW"/>
        </w:rPr>
        <w:t>at 5</w:t>
      </w:r>
      <w:r w:rsidR="00AF2327">
        <w:rPr>
          <w:lang w:val="en-ZW"/>
        </w:rPr>
        <w:t>,</w:t>
      </w:r>
      <w:r w:rsidR="003D4D80">
        <w:rPr>
          <w:lang w:val="en-ZW"/>
        </w:rPr>
        <w:t xml:space="preserve"> PG&amp;E Comments</w:t>
      </w:r>
      <w:r w:rsidR="00AF2327">
        <w:rPr>
          <w:lang w:val="en-ZW"/>
        </w:rPr>
        <w:t xml:space="preserve"> on Proposed Decision</w:t>
      </w:r>
      <w:r w:rsidR="003D4D80">
        <w:rPr>
          <w:lang w:val="en-ZW"/>
        </w:rPr>
        <w:t xml:space="preserve"> at 4</w:t>
      </w:r>
      <w:r w:rsidR="00AF2327">
        <w:rPr>
          <w:lang w:val="en-ZW"/>
        </w:rPr>
        <w:t>,</w:t>
      </w:r>
      <w:r w:rsidR="003D4D80">
        <w:rPr>
          <w:lang w:val="en-ZW"/>
        </w:rPr>
        <w:t xml:space="preserve"> Shell Energy Comments on </w:t>
      </w:r>
      <w:r w:rsidR="00AF2327">
        <w:rPr>
          <w:lang w:val="en-ZW"/>
        </w:rPr>
        <w:t xml:space="preserve">Proposed Decision </w:t>
      </w:r>
      <w:r w:rsidR="003D4D80">
        <w:rPr>
          <w:lang w:val="en-ZW"/>
        </w:rPr>
        <w:t>at 7</w:t>
      </w:r>
      <w:r w:rsidR="00AF2327">
        <w:rPr>
          <w:lang w:val="en-ZW"/>
        </w:rPr>
        <w:t xml:space="preserve">, </w:t>
      </w:r>
      <w:r w:rsidR="003D4D80">
        <w:rPr>
          <w:lang w:val="en-ZW"/>
        </w:rPr>
        <w:t xml:space="preserve">WPTF Comments on </w:t>
      </w:r>
      <w:r w:rsidR="00AF2327">
        <w:rPr>
          <w:lang w:val="en-ZW"/>
        </w:rPr>
        <w:t xml:space="preserve">Proposed Decision </w:t>
      </w:r>
      <w:r w:rsidR="003D4D80">
        <w:rPr>
          <w:lang w:val="en-ZW"/>
        </w:rPr>
        <w:t>at 2.</w:t>
      </w:r>
    </w:p>
  </w:footnote>
  <w:footnote w:id="148">
    <w:p w14:paraId="35B31897" w14:textId="6EE5CB69" w:rsidR="00DB7543" w:rsidRPr="00E81685" w:rsidRDefault="00DB7543" w:rsidP="00907A2F">
      <w:pPr>
        <w:pStyle w:val="FootnoteText"/>
        <w:ind w:left="288" w:hanging="288"/>
        <w:rPr>
          <w:lang w:val="en-ZW"/>
        </w:rPr>
      </w:pPr>
      <w:r>
        <w:rPr>
          <w:rStyle w:val="FootnoteReference"/>
        </w:rPr>
        <w:footnoteRef/>
      </w:r>
      <w:r>
        <w:t xml:space="preserve"> </w:t>
      </w:r>
      <w:r>
        <w:rPr>
          <w:lang w:val="en-ZW"/>
        </w:rPr>
        <w:t xml:space="preserve">CAISO Comments on </w:t>
      </w:r>
      <w:r w:rsidR="00D85828">
        <w:rPr>
          <w:lang w:val="en-ZW"/>
        </w:rPr>
        <w:t>Proposed Decision</w:t>
      </w:r>
      <w:r>
        <w:rPr>
          <w:lang w:val="en-ZW"/>
        </w:rPr>
        <w:t xml:space="preserve"> at 7.</w:t>
      </w:r>
    </w:p>
  </w:footnote>
  <w:footnote w:id="149">
    <w:p w14:paraId="4D69F050" w14:textId="048773F2" w:rsidR="004E5DDB" w:rsidRPr="00E81685" w:rsidRDefault="004E5DDB" w:rsidP="00907A2F">
      <w:pPr>
        <w:pStyle w:val="FootnoteText"/>
        <w:ind w:left="288" w:hanging="288"/>
        <w:rPr>
          <w:lang w:val="en-ZW"/>
        </w:rPr>
      </w:pPr>
      <w:r>
        <w:rPr>
          <w:rStyle w:val="FootnoteReference"/>
        </w:rPr>
        <w:footnoteRef/>
      </w:r>
      <w:r>
        <w:t xml:space="preserve"> </w:t>
      </w:r>
      <w:r>
        <w:rPr>
          <w:lang w:val="en-ZW"/>
        </w:rPr>
        <w:t xml:space="preserve">SCE Comments on </w:t>
      </w:r>
      <w:r w:rsidR="00D85828">
        <w:rPr>
          <w:lang w:val="en-ZW"/>
        </w:rPr>
        <w:t xml:space="preserve">Proposed Decision </w:t>
      </w:r>
      <w:r>
        <w:rPr>
          <w:lang w:val="en-ZW"/>
        </w:rPr>
        <w:t>at 3.</w:t>
      </w:r>
    </w:p>
  </w:footnote>
  <w:footnote w:id="150">
    <w:p w14:paraId="2CFD2A3C" w14:textId="1DFB0BB0" w:rsidR="001F0434" w:rsidRPr="00121A56" w:rsidRDefault="001F0434" w:rsidP="00907A2F">
      <w:pPr>
        <w:pStyle w:val="FootnoteText"/>
        <w:ind w:left="288" w:hanging="288"/>
        <w:rPr>
          <w:lang w:val="en-ZW"/>
        </w:rPr>
      </w:pPr>
      <w:r>
        <w:rPr>
          <w:rStyle w:val="FootnoteReference"/>
        </w:rPr>
        <w:footnoteRef/>
      </w:r>
      <w:r>
        <w:t xml:space="preserve"> </w:t>
      </w:r>
      <w:r>
        <w:rPr>
          <w:lang w:val="en-ZW"/>
        </w:rPr>
        <w:t xml:space="preserve">CAISO Comments on </w:t>
      </w:r>
      <w:r w:rsidR="00E81685">
        <w:rPr>
          <w:lang w:val="en-ZW"/>
        </w:rPr>
        <w:t xml:space="preserve">Proposed Decision </w:t>
      </w:r>
      <w:r>
        <w:rPr>
          <w:lang w:val="en-ZW"/>
        </w:rPr>
        <w:t>at 8.</w:t>
      </w:r>
    </w:p>
  </w:footnote>
  <w:footnote w:id="151">
    <w:p w14:paraId="0A10AF36" w14:textId="05CC9953" w:rsidR="00541131" w:rsidRPr="00907A2F" w:rsidRDefault="00541131" w:rsidP="00907A2F">
      <w:pPr>
        <w:pStyle w:val="FootnoteText"/>
        <w:ind w:left="288" w:hanging="288"/>
        <w:rPr>
          <w:lang w:val="en-ZW"/>
        </w:rPr>
      </w:pPr>
      <w:r>
        <w:rPr>
          <w:rStyle w:val="FootnoteReference"/>
        </w:rPr>
        <w:footnoteRef/>
      </w:r>
      <w:r>
        <w:t xml:space="preserve"> </w:t>
      </w:r>
      <w:r>
        <w:rPr>
          <w:lang w:val="en-ZW"/>
        </w:rPr>
        <w:t xml:space="preserve">SCE </w:t>
      </w:r>
      <w:r w:rsidR="00C71359">
        <w:rPr>
          <w:lang w:val="en-ZW"/>
        </w:rPr>
        <w:t>Reply Comments on Proposed Decision</w:t>
      </w:r>
      <w:r>
        <w:rPr>
          <w:lang w:val="en-ZW"/>
        </w:rPr>
        <w:t xml:space="preserve"> at 2.</w:t>
      </w:r>
    </w:p>
  </w:footnote>
  <w:footnote w:id="152">
    <w:p w14:paraId="4B753170" w14:textId="2A3A21A9" w:rsidR="00541131" w:rsidRPr="00121A56" w:rsidRDefault="00541131" w:rsidP="00907A2F">
      <w:pPr>
        <w:pStyle w:val="FootnoteText"/>
        <w:ind w:left="288" w:hanging="288"/>
        <w:rPr>
          <w:lang w:val="en-ZW"/>
        </w:rPr>
      </w:pPr>
      <w:r>
        <w:rPr>
          <w:rStyle w:val="FootnoteReference"/>
        </w:rPr>
        <w:footnoteRef/>
      </w:r>
      <w:r>
        <w:t xml:space="preserve"> </w:t>
      </w:r>
      <w:r>
        <w:rPr>
          <w:lang w:val="en-ZW"/>
        </w:rPr>
        <w:t xml:space="preserve">AReM/UC Reply Comments on </w:t>
      </w:r>
      <w:r w:rsidR="00545420">
        <w:rPr>
          <w:lang w:val="en-ZW"/>
        </w:rPr>
        <w:t xml:space="preserve">Proposed Decision </w:t>
      </w:r>
      <w:r>
        <w:rPr>
          <w:lang w:val="en-ZW"/>
        </w:rPr>
        <w:t>at 2</w:t>
      </w:r>
      <w:r w:rsidR="00545420">
        <w:rPr>
          <w:lang w:val="en-ZW"/>
        </w:rPr>
        <w:t>,</w:t>
      </w:r>
      <w:r>
        <w:rPr>
          <w:lang w:val="en-ZW"/>
        </w:rPr>
        <w:t xml:space="preserve"> PG&amp;E </w:t>
      </w:r>
      <w:r w:rsidR="00545420">
        <w:rPr>
          <w:lang w:val="en-ZW"/>
        </w:rPr>
        <w:t xml:space="preserve">Reply Comments on Proposed Decision </w:t>
      </w:r>
      <w:r>
        <w:rPr>
          <w:lang w:val="en-ZW"/>
        </w:rPr>
        <w:t>at 4</w:t>
      </w:r>
      <w:r w:rsidR="00545420">
        <w:rPr>
          <w:lang w:val="en-ZW"/>
        </w:rPr>
        <w:t>,</w:t>
      </w:r>
      <w:r>
        <w:rPr>
          <w:lang w:val="en-ZW"/>
        </w:rPr>
        <w:t xml:space="preserve"> SDG&amp;E </w:t>
      </w:r>
      <w:r w:rsidR="00545420">
        <w:rPr>
          <w:lang w:val="en-ZW"/>
        </w:rPr>
        <w:t xml:space="preserve">Reply Comments on Proposed Decision </w:t>
      </w:r>
      <w:r>
        <w:rPr>
          <w:lang w:val="en-ZW"/>
        </w:rPr>
        <w:t>at 3</w:t>
      </w:r>
      <w:r w:rsidR="00545420">
        <w:rPr>
          <w:lang w:val="en-ZW"/>
        </w:rPr>
        <w:t>,</w:t>
      </w:r>
      <w:r>
        <w:rPr>
          <w:lang w:val="en-ZW"/>
        </w:rPr>
        <w:t xml:space="preserve"> Shell Energy </w:t>
      </w:r>
      <w:r w:rsidR="00545420">
        <w:rPr>
          <w:lang w:val="en-ZW"/>
        </w:rPr>
        <w:t xml:space="preserve">Reply Comments on Proposed Decision </w:t>
      </w:r>
      <w:r>
        <w:rPr>
          <w:lang w:val="en-ZW"/>
        </w:rPr>
        <w:t>at 3.</w:t>
      </w:r>
    </w:p>
  </w:footnote>
  <w:footnote w:id="153">
    <w:p w14:paraId="534054BD" w14:textId="4B9B3D4E" w:rsidR="008D1EFF" w:rsidRPr="00121A56" w:rsidRDefault="008D1EFF" w:rsidP="00907A2F">
      <w:pPr>
        <w:pStyle w:val="FootnoteText"/>
        <w:ind w:left="288" w:hanging="288"/>
        <w:rPr>
          <w:lang w:val="en-ZW"/>
        </w:rPr>
      </w:pPr>
      <w:r>
        <w:rPr>
          <w:rStyle w:val="FootnoteReference"/>
        </w:rPr>
        <w:footnoteRef/>
      </w:r>
      <w:r>
        <w:t xml:space="preserve"> </w:t>
      </w:r>
      <w:r>
        <w:rPr>
          <w:lang w:val="en-ZW"/>
        </w:rPr>
        <w:t xml:space="preserve">LSA Comments on </w:t>
      </w:r>
      <w:r w:rsidR="00A36A38">
        <w:rPr>
          <w:lang w:val="en-ZW"/>
        </w:rPr>
        <w:t>Proposed Decision</w:t>
      </w:r>
      <w:r>
        <w:rPr>
          <w:lang w:val="en-ZW"/>
        </w:rPr>
        <w:t xml:space="preserve"> at 2</w:t>
      </w:r>
      <w:r w:rsidR="00A55FA5">
        <w:rPr>
          <w:lang w:val="en-ZW"/>
        </w:rPr>
        <w:t>,</w:t>
      </w:r>
      <w:r w:rsidRPr="008D1EFF">
        <w:rPr>
          <w:lang w:val="en-ZW"/>
        </w:rPr>
        <w:t xml:space="preserve"> </w:t>
      </w:r>
      <w:r>
        <w:rPr>
          <w:lang w:val="en-ZW"/>
        </w:rPr>
        <w:t xml:space="preserve">Terra-Gen Comments on </w:t>
      </w:r>
      <w:r w:rsidR="00A36A38">
        <w:rPr>
          <w:lang w:val="en-ZW"/>
        </w:rPr>
        <w:t xml:space="preserve">Proposed Decision </w:t>
      </w:r>
      <w:r>
        <w:rPr>
          <w:lang w:val="en-ZW"/>
        </w:rPr>
        <w:t>at 3.</w:t>
      </w:r>
    </w:p>
  </w:footnote>
  <w:footnote w:id="154">
    <w:p w14:paraId="4EBC9F7E" w14:textId="75DED0C2" w:rsidR="004F0AA4" w:rsidRPr="00B90B67" w:rsidRDefault="004F0AA4" w:rsidP="00907A2F">
      <w:pPr>
        <w:pStyle w:val="FootnoteText"/>
        <w:ind w:left="288" w:hanging="288"/>
        <w:rPr>
          <w:lang w:val="en-ZW"/>
        </w:rPr>
      </w:pPr>
      <w:r>
        <w:rPr>
          <w:rStyle w:val="FootnoteReference"/>
        </w:rPr>
        <w:footnoteRef/>
      </w:r>
      <w:r>
        <w:t xml:space="preserve"> </w:t>
      </w:r>
      <w:r>
        <w:rPr>
          <w:lang w:val="en-ZW"/>
        </w:rPr>
        <w:t xml:space="preserve">AReM/UC </w:t>
      </w:r>
      <w:r w:rsidR="00371CAC">
        <w:rPr>
          <w:lang w:val="en-ZW"/>
        </w:rPr>
        <w:t>Reply Comments on Proposed Decision</w:t>
      </w:r>
      <w:r>
        <w:rPr>
          <w:lang w:val="en-ZW"/>
        </w:rPr>
        <w:t xml:space="preserve"> at 2</w:t>
      </w:r>
      <w:r w:rsidR="00371CAC">
        <w:rPr>
          <w:lang w:val="en-ZW"/>
        </w:rPr>
        <w:t>,</w:t>
      </w:r>
      <w:r w:rsidR="0011558A">
        <w:rPr>
          <w:lang w:val="en-ZW"/>
        </w:rPr>
        <w:t xml:space="preserve"> CESA </w:t>
      </w:r>
      <w:r w:rsidR="00371CAC">
        <w:rPr>
          <w:lang w:val="en-ZW"/>
        </w:rPr>
        <w:t xml:space="preserve">Reply Comments on Proposed Decision </w:t>
      </w:r>
      <w:r w:rsidR="0011558A">
        <w:rPr>
          <w:lang w:val="en-ZW"/>
        </w:rPr>
        <w:t>at 5</w:t>
      </w:r>
      <w:r w:rsidR="00371CAC">
        <w:rPr>
          <w:lang w:val="en-ZW"/>
        </w:rPr>
        <w:t xml:space="preserve">, </w:t>
      </w:r>
      <w:r w:rsidR="00634063">
        <w:rPr>
          <w:lang w:val="en-ZW"/>
        </w:rPr>
        <w:t xml:space="preserve">SJCE </w:t>
      </w:r>
      <w:r w:rsidR="00371CAC">
        <w:rPr>
          <w:lang w:val="en-ZW"/>
        </w:rPr>
        <w:t xml:space="preserve">Reply Comments on Proposed Decision </w:t>
      </w:r>
      <w:r w:rsidR="00634063">
        <w:rPr>
          <w:lang w:val="en-ZW"/>
        </w:rPr>
        <w:t>at 4.</w:t>
      </w:r>
    </w:p>
  </w:footnote>
  <w:footnote w:id="155">
    <w:p w14:paraId="1EA3A5A4" w14:textId="28F67209" w:rsidR="00F60C44" w:rsidRPr="00B90B67" w:rsidRDefault="00F60C44" w:rsidP="00907A2F">
      <w:pPr>
        <w:pStyle w:val="FootnoteText"/>
        <w:ind w:left="288" w:hanging="288"/>
        <w:rPr>
          <w:lang w:val="en-ZW"/>
        </w:rPr>
      </w:pPr>
      <w:r>
        <w:rPr>
          <w:rStyle w:val="FootnoteReference"/>
        </w:rPr>
        <w:footnoteRef/>
      </w:r>
      <w:r>
        <w:t xml:space="preserve"> </w:t>
      </w:r>
      <w:r>
        <w:rPr>
          <w:lang w:val="en-ZW"/>
        </w:rPr>
        <w:t xml:space="preserve">SCE </w:t>
      </w:r>
      <w:r w:rsidR="00342D1C">
        <w:rPr>
          <w:lang w:val="en-ZW"/>
        </w:rPr>
        <w:t xml:space="preserve">Reply Comments on Proposed Decision </w:t>
      </w:r>
      <w:r>
        <w:rPr>
          <w:lang w:val="en-ZW"/>
        </w:rPr>
        <w:t>at 3.</w:t>
      </w:r>
    </w:p>
  </w:footnote>
  <w:footnote w:id="156">
    <w:p w14:paraId="32385392" w14:textId="7BB5297F" w:rsidR="00C27880" w:rsidRPr="00B90B67" w:rsidRDefault="00C27880" w:rsidP="00907A2F">
      <w:pPr>
        <w:pStyle w:val="FootnoteText"/>
        <w:ind w:left="288" w:hanging="288"/>
        <w:rPr>
          <w:lang w:val="en-ZW"/>
        </w:rPr>
      </w:pPr>
      <w:r>
        <w:rPr>
          <w:rStyle w:val="FootnoteReference"/>
        </w:rPr>
        <w:footnoteRef/>
      </w:r>
      <w:r>
        <w:t xml:space="preserve"> </w:t>
      </w:r>
      <w:r>
        <w:rPr>
          <w:lang w:val="en-ZW"/>
        </w:rPr>
        <w:t xml:space="preserve">SCE Comments on </w:t>
      </w:r>
      <w:r w:rsidR="0054328F">
        <w:rPr>
          <w:lang w:val="en-ZW"/>
        </w:rPr>
        <w:t>Proposed Decision</w:t>
      </w:r>
      <w:r>
        <w:rPr>
          <w:lang w:val="en-ZW"/>
        </w:rPr>
        <w:t xml:space="preserve"> at 10.</w:t>
      </w:r>
    </w:p>
  </w:footnote>
  <w:footnote w:id="157">
    <w:p w14:paraId="7EF71E6D" w14:textId="29C7B06F" w:rsidR="00BE7352" w:rsidRPr="00121A56" w:rsidRDefault="00BE7352" w:rsidP="00907A2F">
      <w:pPr>
        <w:pStyle w:val="FootnoteText"/>
        <w:ind w:left="288" w:hanging="288"/>
        <w:rPr>
          <w:lang w:val="en-ZW"/>
        </w:rPr>
      </w:pPr>
      <w:r>
        <w:rPr>
          <w:rStyle w:val="FootnoteReference"/>
        </w:rPr>
        <w:footnoteRef/>
      </w:r>
      <w:r>
        <w:t xml:space="preserve"> </w:t>
      </w:r>
      <w:r>
        <w:rPr>
          <w:lang w:val="en-ZW"/>
        </w:rPr>
        <w:t xml:space="preserve">MRP Comments on </w:t>
      </w:r>
      <w:r w:rsidR="00996E7A">
        <w:rPr>
          <w:lang w:val="en-ZW"/>
        </w:rPr>
        <w:t xml:space="preserve">Proposed Decision </w:t>
      </w:r>
      <w:r>
        <w:rPr>
          <w:lang w:val="en-ZW"/>
        </w:rPr>
        <w:t>at 6.</w:t>
      </w:r>
    </w:p>
  </w:footnote>
  <w:footnote w:id="158">
    <w:p w14:paraId="27C36CC9" w14:textId="77777777" w:rsidR="00996E7A" w:rsidRPr="00121A56" w:rsidRDefault="00996E7A" w:rsidP="00907A2F">
      <w:pPr>
        <w:pStyle w:val="FootnoteText"/>
        <w:ind w:left="288" w:hanging="288"/>
        <w:rPr>
          <w:lang w:val="en-ZW"/>
        </w:rPr>
      </w:pPr>
      <w:r>
        <w:rPr>
          <w:rStyle w:val="FootnoteReference"/>
        </w:rPr>
        <w:footnoteRef/>
      </w:r>
      <w:r>
        <w:t xml:space="preserve"> </w:t>
      </w:r>
      <w:r>
        <w:rPr>
          <w:lang w:val="en-ZW"/>
        </w:rPr>
        <w:t>Joint DR Parties Comments on Proposed Decision at 2, SCE Comments on Proposed Decision at 9, PG&amp;E Comments on Proposed Decision at 5, SDG&amp;E Reply Comments on Proposed Decision 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2545E" w14:textId="4BB80EFA" w:rsidR="00960A23" w:rsidRPr="00F22F38" w:rsidRDefault="00960A23" w:rsidP="00960A23">
    <w:pPr>
      <w:pStyle w:val="Header"/>
      <w:tabs>
        <w:tab w:val="clear" w:pos="4680"/>
      </w:tabs>
      <w:ind w:firstLine="0"/>
      <w:rPr>
        <w:b/>
      </w:rPr>
    </w:pPr>
    <w:r>
      <w:rPr>
        <w:bCs/>
      </w:rPr>
      <w:t>R.23-10-011 ALJ/DBB/hma</w:t>
    </w:r>
    <w:r>
      <w:rPr>
        <w:bCs/>
      </w:rPr>
      <w:tab/>
    </w:r>
    <w:r>
      <w:rPr>
        <w:b/>
      </w:rPr>
      <w:t>PROPOSED DECISION</w:t>
    </w:r>
    <w:r w:rsidR="000500C6">
      <w:rPr>
        <w:b/>
      </w:rPr>
      <w:t xml:space="preserve"> (Rev. 1)</w:t>
    </w:r>
  </w:p>
  <w:p w14:paraId="16D0EA3B" w14:textId="77777777" w:rsidR="00B3087D" w:rsidRPr="00601BA1" w:rsidRDefault="00B3087D" w:rsidP="00601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23244" w14:textId="6453AF8C" w:rsidR="00EB4480" w:rsidRPr="00F22F38" w:rsidRDefault="00F22F38" w:rsidP="00B3087D">
    <w:pPr>
      <w:pStyle w:val="Header"/>
      <w:tabs>
        <w:tab w:val="clear" w:pos="4680"/>
      </w:tabs>
      <w:ind w:firstLine="0"/>
      <w:rPr>
        <w:b/>
      </w:rPr>
    </w:pPr>
    <w:r>
      <w:rPr>
        <w:bCs/>
      </w:rPr>
      <w:t>R.23-10-011 ALJ/DBB/hma</w:t>
    </w:r>
    <w:r>
      <w:rPr>
        <w:bCs/>
      </w:rPr>
      <w:tab/>
    </w:r>
    <w:r>
      <w:rPr>
        <w:b/>
      </w:rPr>
      <w:t>PROPOSED DECISION</w:t>
    </w:r>
    <w:r w:rsidR="000500C6">
      <w:rPr>
        <w:b/>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E0286B"/>
    <w:multiLevelType w:val="hybridMultilevel"/>
    <w:tmpl w:val="D0087254"/>
    <w:lvl w:ilvl="0" w:tplc="A4EC76AA">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296711"/>
    <w:multiLevelType w:val="hybridMultilevel"/>
    <w:tmpl w:val="838AD54A"/>
    <w:lvl w:ilvl="0" w:tplc="22184B90">
      <w:start w:val="1"/>
      <w:numFmt w:val="decimal"/>
      <w:lvlText w:val="%1."/>
      <w:lvlJc w:val="left"/>
      <w:pPr>
        <w:ind w:left="1080" w:hanging="360"/>
      </w:pPr>
      <w:rPr>
        <w:rFonts w:ascii="Book Antiqua" w:eastAsiaTheme="minorHAnsi" w:hAnsi="Book Antiqua"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97D7878"/>
    <w:multiLevelType w:val="hybridMultilevel"/>
    <w:tmpl w:val="B238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3640612A"/>
    <w:multiLevelType w:val="hybridMultilevel"/>
    <w:tmpl w:val="A3D813A2"/>
    <w:lvl w:ilvl="0" w:tplc="A6FA6FDA">
      <w:start w:val="1"/>
      <w:numFmt w:val="decimal"/>
      <w:pStyle w:val="ALJOP"/>
      <w:lvlText w:val="%1."/>
      <w:lvlJc w:val="left"/>
      <w:pPr>
        <w:ind w:left="1710" w:hanging="360"/>
      </w:pPr>
      <w:rPr>
        <w:rFonts w:ascii="Book Antiqua" w:eastAsiaTheme="minorHAnsi" w:hAnsi="Book Antiqu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6F7170"/>
    <w:multiLevelType w:val="hybridMultilevel"/>
    <w:tmpl w:val="B8960364"/>
    <w:lvl w:ilvl="0" w:tplc="6DFCF990">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A128CF"/>
    <w:multiLevelType w:val="hybridMultilevel"/>
    <w:tmpl w:val="14F08E04"/>
    <w:lvl w:ilvl="0" w:tplc="54A802A0">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4204C0"/>
    <w:multiLevelType w:val="hybridMultilevel"/>
    <w:tmpl w:val="CA7800F6"/>
    <w:lvl w:ilvl="0" w:tplc="1C3693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D042D7"/>
    <w:multiLevelType w:val="multilevel"/>
    <w:tmpl w:val="18F4A5AC"/>
    <w:numStyleLink w:val="FoFCoLOP"/>
  </w:abstractNum>
  <w:abstractNum w:abstractNumId="12" w15:restartNumberingAfterBreak="0">
    <w:nsid w:val="61A25780"/>
    <w:multiLevelType w:val="multilevel"/>
    <w:tmpl w:val="3C526EDE"/>
    <w:numStyleLink w:val="Headings"/>
  </w:abstractNum>
  <w:abstractNum w:abstractNumId="13" w15:restartNumberingAfterBreak="0">
    <w:nsid w:val="65244FB2"/>
    <w:multiLevelType w:val="hybridMultilevel"/>
    <w:tmpl w:val="DA601D4C"/>
    <w:lvl w:ilvl="0" w:tplc="2B722834">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6F7A24"/>
    <w:multiLevelType w:val="hybridMultilevel"/>
    <w:tmpl w:val="B238C09E"/>
    <w:lvl w:ilvl="0" w:tplc="A7FAB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9A0AFE"/>
    <w:multiLevelType w:val="multilevel"/>
    <w:tmpl w:val="18F4A5AC"/>
    <w:numStyleLink w:val="FoFCoLOP"/>
  </w:abstractNum>
  <w:abstractNum w:abstractNumId="16" w15:restartNumberingAfterBreak="0">
    <w:nsid w:val="7B5E0E71"/>
    <w:multiLevelType w:val="hybridMultilevel"/>
    <w:tmpl w:val="BBAAFCA6"/>
    <w:lvl w:ilvl="0" w:tplc="F08273A0">
      <w:start w:val="1"/>
      <w:numFmt w:val="decimal"/>
      <w:lvlText w:val="%1."/>
      <w:lvlJc w:val="left"/>
      <w:pPr>
        <w:ind w:left="1080" w:hanging="360"/>
      </w:pPr>
      <w:rPr>
        <w:rFonts w:ascii="Book Antiqua" w:eastAsiaTheme="minorHAnsi" w:hAnsi="Book Antiqua"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9444350">
    <w:abstractNumId w:val="3"/>
  </w:num>
  <w:num w:numId="2" w16cid:durableId="1394354260">
    <w:abstractNumId w:val="11"/>
  </w:num>
  <w:num w:numId="3" w16cid:durableId="1821845383">
    <w:abstractNumId w:val="4"/>
  </w:num>
  <w:num w:numId="4" w16cid:durableId="1681471190">
    <w:abstractNumId w:val="15"/>
    <w:lvlOverride w:ilvl="0">
      <w:lvl w:ilvl="0">
        <w:start w:val="1"/>
        <w:numFmt w:val="decimal"/>
        <w:pStyle w:val="OP"/>
        <w:lvlText w:val="%1."/>
        <w:lvlJc w:val="right"/>
        <w:pPr>
          <w:ind w:left="0" w:firstLine="540"/>
        </w:pPr>
      </w:lvl>
    </w:lvlOverride>
  </w:num>
  <w:num w:numId="5" w16cid:durableId="2125881451">
    <w:abstractNumId w:val="6"/>
  </w:num>
  <w:num w:numId="6" w16cid:durableId="1970284347">
    <w:abstractNumId w:val="0"/>
  </w:num>
  <w:num w:numId="7" w16cid:durableId="779759069">
    <w:abstractNumId w:val="12"/>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num>
  <w:num w:numId="8" w16cid:durableId="430930185">
    <w:abstractNumId w:val="7"/>
  </w:num>
  <w:num w:numId="9" w16cid:durableId="6445034">
    <w:abstractNumId w:val="15"/>
    <w:lvlOverride w:ilvl="0">
      <w:startOverride w:val="1"/>
      <w:lvl w:ilvl="0">
        <w:start w:val="1"/>
        <w:numFmt w:val="decimal"/>
        <w:pStyle w:val="OP"/>
        <w:lvlText w:val="%1."/>
        <w:lvlJc w:val="right"/>
        <w:pPr>
          <w:ind w:left="0" w:firstLine="54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556867421">
    <w:abstractNumId w:val="2"/>
  </w:num>
  <w:num w:numId="11" w16cid:durableId="25521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0454670">
    <w:abstractNumId w:val="16"/>
  </w:num>
  <w:num w:numId="13" w16cid:durableId="631446636">
    <w:abstractNumId w:val="10"/>
  </w:num>
  <w:num w:numId="14" w16cid:durableId="1181236106">
    <w:abstractNumId w:val="14"/>
  </w:num>
  <w:num w:numId="15" w16cid:durableId="422726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648934">
    <w:abstractNumId w:val="15"/>
  </w:num>
  <w:num w:numId="17" w16cid:durableId="1589650411">
    <w:abstractNumId w:val="5"/>
  </w:num>
  <w:num w:numId="18" w16cid:durableId="166478592">
    <w:abstractNumId w:val="13"/>
  </w:num>
  <w:num w:numId="19" w16cid:durableId="854424518">
    <w:abstractNumId w:val="9"/>
  </w:num>
  <w:num w:numId="20" w16cid:durableId="1279945370">
    <w:abstractNumId w:val="1"/>
  </w:num>
  <w:num w:numId="21" w16cid:durableId="14728521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95"/>
    <w:rsid w:val="000000E5"/>
    <w:rsid w:val="000009AD"/>
    <w:rsid w:val="00000F2D"/>
    <w:rsid w:val="00000F6A"/>
    <w:rsid w:val="0000117F"/>
    <w:rsid w:val="000025DB"/>
    <w:rsid w:val="000027EB"/>
    <w:rsid w:val="000031D3"/>
    <w:rsid w:val="00003354"/>
    <w:rsid w:val="0000338E"/>
    <w:rsid w:val="00003F23"/>
    <w:rsid w:val="00004809"/>
    <w:rsid w:val="00004939"/>
    <w:rsid w:val="00004AE5"/>
    <w:rsid w:val="0000618D"/>
    <w:rsid w:val="000063B8"/>
    <w:rsid w:val="00006B2C"/>
    <w:rsid w:val="00006D04"/>
    <w:rsid w:val="00006D73"/>
    <w:rsid w:val="00006FA6"/>
    <w:rsid w:val="00007075"/>
    <w:rsid w:val="0000775C"/>
    <w:rsid w:val="00010E6D"/>
    <w:rsid w:val="000110E8"/>
    <w:rsid w:val="00011A7A"/>
    <w:rsid w:val="000127B5"/>
    <w:rsid w:val="000129D4"/>
    <w:rsid w:val="00012EDA"/>
    <w:rsid w:val="000131A3"/>
    <w:rsid w:val="0001353B"/>
    <w:rsid w:val="000138FD"/>
    <w:rsid w:val="00013B21"/>
    <w:rsid w:val="00013B7A"/>
    <w:rsid w:val="00013E66"/>
    <w:rsid w:val="00013EF9"/>
    <w:rsid w:val="00014302"/>
    <w:rsid w:val="0001434A"/>
    <w:rsid w:val="00014522"/>
    <w:rsid w:val="0001754B"/>
    <w:rsid w:val="00017579"/>
    <w:rsid w:val="00017A48"/>
    <w:rsid w:val="00017BD8"/>
    <w:rsid w:val="00020360"/>
    <w:rsid w:val="0002037D"/>
    <w:rsid w:val="0002055F"/>
    <w:rsid w:val="000206E5"/>
    <w:rsid w:val="0002163D"/>
    <w:rsid w:val="000218C0"/>
    <w:rsid w:val="00021DCB"/>
    <w:rsid w:val="00022411"/>
    <w:rsid w:val="00022D6E"/>
    <w:rsid w:val="00022FA5"/>
    <w:rsid w:val="00023206"/>
    <w:rsid w:val="0002392C"/>
    <w:rsid w:val="00023BB3"/>
    <w:rsid w:val="00023D90"/>
    <w:rsid w:val="0002484F"/>
    <w:rsid w:val="0002499C"/>
    <w:rsid w:val="00025908"/>
    <w:rsid w:val="00025917"/>
    <w:rsid w:val="00025A50"/>
    <w:rsid w:val="00025C6C"/>
    <w:rsid w:val="0002669E"/>
    <w:rsid w:val="0002695D"/>
    <w:rsid w:val="00026B4B"/>
    <w:rsid w:val="00026DB2"/>
    <w:rsid w:val="00026DE3"/>
    <w:rsid w:val="00027AC5"/>
    <w:rsid w:val="00030728"/>
    <w:rsid w:val="0003097B"/>
    <w:rsid w:val="00030DC4"/>
    <w:rsid w:val="000312F0"/>
    <w:rsid w:val="000324B6"/>
    <w:rsid w:val="00037A2D"/>
    <w:rsid w:val="00037D4B"/>
    <w:rsid w:val="00037F9F"/>
    <w:rsid w:val="00040835"/>
    <w:rsid w:val="00040F6E"/>
    <w:rsid w:val="0004129C"/>
    <w:rsid w:val="00041978"/>
    <w:rsid w:val="0004224D"/>
    <w:rsid w:val="000422BC"/>
    <w:rsid w:val="00042C34"/>
    <w:rsid w:val="00043C98"/>
    <w:rsid w:val="00045296"/>
    <w:rsid w:val="00045939"/>
    <w:rsid w:val="00046080"/>
    <w:rsid w:val="000460EA"/>
    <w:rsid w:val="00046A6B"/>
    <w:rsid w:val="00047489"/>
    <w:rsid w:val="00047A0F"/>
    <w:rsid w:val="00047D4E"/>
    <w:rsid w:val="00047EDD"/>
    <w:rsid w:val="000500C6"/>
    <w:rsid w:val="00050536"/>
    <w:rsid w:val="00052534"/>
    <w:rsid w:val="0005427A"/>
    <w:rsid w:val="00054FE5"/>
    <w:rsid w:val="00055495"/>
    <w:rsid w:val="00055DB7"/>
    <w:rsid w:val="000561F1"/>
    <w:rsid w:val="00056504"/>
    <w:rsid w:val="00056EA5"/>
    <w:rsid w:val="00057DD1"/>
    <w:rsid w:val="00060974"/>
    <w:rsid w:val="0006101C"/>
    <w:rsid w:val="00061A77"/>
    <w:rsid w:val="00062027"/>
    <w:rsid w:val="00063142"/>
    <w:rsid w:val="000633C7"/>
    <w:rsid w:val="000645A6"/>
    <w:rsid w:val="000650CC"/>
    <w:rsid w:val="0006534F"/>
    <w:rsid w:val="0006564E"/>
    <w:rsid w:val="00066427"/>
    <w:rsid w:val="00066900"/>
    <w:rsid w:val="00066D7D"/>
    <w:rsid w:val="00070030"/>
    <w:rsid w:val="00070185"/>
    <w:rsid w:val="000701F9"/>
    <w:rsid w:val="00070DA0"/>
    <w:rsid w:val="00070EF9"/>
    <w:rsid w:val="0007115A"/>
    <w:rsid w:val="00071410"/>
    <w:rsid w:val="00071B18"/>
    <w:rsid w:val="000723FC"/>
    <w:rsid w:val="000725F3"/>
    <w:rsid w:val="00072675"/>
    <w:rsid w:val="0007345D"/>
    <w:rsid w:val="00073C37"/>
    <w:rsid w:val="00073D89"/>
    <w:rsid w:val="00075DC4"/>
    <w:rsid w:val="0007615B"/>
    <w:rsid w:val="000767FF"/>
    <w:rsid w:val="000776C5"/>
    <w:rsid w:val="000776C7"/>
    <w:rsid w:val="00077ADA"/>
    <w:rsid w:val="000804A4"/>
    <w:rsid w:val="00080BAA"/>
    <w:rsid w:val="00080FCC"/>
    <w:rsid w:val="000818B5"/>
    <w:rsid w:val="00081B85"/>
    <w:rsid w:val="00081E70"/>
    <w:rsid w:val="000820C1"/>
    <w:rsid w:val="000822C6"/>
    <w:rsid w:val="00082E97"/>
    <w:rsid w:val="00082EE9"/>
    <w:rsid w:val="000831C5"/>
    <w:rsid w:val="0008346B"/>
    <w:rsid w:val="0008405F"/>
    <w:rsid w:val="00084534"/>
    <w:rsid w:val="00084CC8"/>
    <w:rsid w:val="0008567F"/>
    <w:rsid w:val="00085BA1"/>
    <w:rsid w:val="00085F77"/>
    <w:rsid w:val="00086F92"/>
    <w:rsid w:val="000871E8"/>
    <w:rsid w:val="0009064B"/>
    <w:rsid w:val="00090C7A"/>
    <w:rsid w:val="00091323"/>
    <w:rsid w:val="00091417"/>
    <w:rsid w:val="00091446"/>
    <w:rsid w:val="000914DE"/>
    <w:rsid w:val="000926C2"/>
    <w:rsid w:val="00092EB8"/>
    <w:rsid w:val="0009395B"/>
    <w:rsid w:val="00094197"/>
    <w:rsid w:val="0009446A"/>
    <w:rsid w:val="00094761"/>
    <w:rsid w:val="00095F6D"/>
    <w:rsid w:val="00096003"/>
    <w:rsid w:val="000969A2"/>
    <w:rsid w:val="00096BF0"/>
    <w:rsid w:val="00096C67"/>
    <w:rsid w:val="000973C8"/>
    <w:rsid w:val="00097721"/>
    <w:rsid w:val="000978B1"/>
    <w:rsid w:val="000A0A9B"/>
    <w:rsid w:val="000A0AE2"/>
    <w:rsid w:val="000A0B9D"/>
    <w:rsid w:val="000A0F1E"/>
    <w:rsid w:val="000A178B"/>
    <w:rsid w:val="000A26B8"/>
    <w:rsid w:val="000A290C"/>
    <w:rsid w:val="000A2A7C"/>
    <w:rsid w:val="000A2A9A"/>
    <w:rsid w:val="000A2AA9"/>
    <w:rsid w:val="000A30FD"/>
    <w:rsid w:val="000A44C5"/>
    <w:rsid w:val="000A4D7E"/>
    <w:rsid w:val="000A4F53"/>
    <w:rsid w:val="000A56F2"/>
    <w:rsid w:val="000A5CC4"/>
    <w:rsid w:val="000A5D0A"/>
    <w:rsid w:val="000A6B3F"/>
    <w:rsid w:val="000A6E05"/>
    <w:rsid w:val="000A7195"/>
    <w:rsid w:val="000A7A23"/>
    <w:rsid w:val="000A7EB6"/>
    <w:rsid w:val="000B12FA"/>
    <w:rsid w:val="000B221A"/>
    <w:rsid w:val="000B2381"/>
    <w:rsid w:val="000B45B6"/>
    <w:rsid w:val="000B4F3D"/>
    <w:rsid w:val="000B4FA1"/>
    <w:rsid w:val="000B5073"/>
    <w:rsid w:val="000B5304"/>
    <w:rsid w:val="000B57C1"/>
    <w:rsid w:val="000B5AE5"/>
    <w:rsid w:val="000B6458"/>
    <w:rsid w:val="000B7402"/>
    <w:rsid w:val="000B77FB"/>
    <w:rsid w:val="000B7F1F"/>
    <w:rsid w:val="000C08BF"/>
    <w:rsid w:val="000C10C7"/>
    <w:rsid w:val="000C2F47"/>
    <w:rsid w:val="000C339D"/>
    <w:rsid w:val="000C34EB"/>
    <w:rsid w:val="000C35E8"/>
    <w:rsid w:val="000C361C"/>
    <w:rsid w:val="000C3B13"/>
    <w:rsid w:val="000C3B9A"/>
    <w:rsid w:val="000C3CBD"/>
    <w:rsid w:val="000C4421"/>
    <w:rsid w:val="000C5642"/>
    <w:rsid w:val="000C78DC"/>
    <w:rsid w:val="000C7F06"/>
    <w:rsid w:val="000D0205"/>
    <w:rsid w:val="000D142B"/>
    <w:rsid w:val="000D2061"/>
    <w:rsid w:val="000D2491"/>
    <w:rsid w:val="000D25A8"/>
    <w:rsid w:val="000D2E29"/>
    <w:rsid w:val="000D339E"/>
    <w:rsid w:val="000D33AC"/>
    <w:rsid w:val="000D41D6"/>
    <w:rsid w:val="000D4E4B"/>
    <w:rsid w:val="000D4E64"/>
    <w:rsid w:val="000D4FB7"/>
    <w:rsid w:val="000D611F"/>
    <w:rsid w:val="000D63EE"/>
    <w:rsid w:val="000D722A"/>
    <w:rsid w:val="000E0130"/>
    <w:rsid w:val="000E051C"/>
    <w:rsid w:val="000E0A2A"/>
    <w:rsid w:val="000E0F9B"/>
    <w:rsid w:val="000E10A5"/>
    <w:rsid w:val="000E21E9"/>
    <w:rsid w:val="000E270A"/>
    <w:rsid w:val="000E2BF0"/>
    <w:rsid w:val="000E45E6"/>
    <w:rsid w:val="000E46E0"/>
    <w:rsid w:val="000E4994"/>
    <w:rsid w:val="000E4C53"/>
    <w:rsid w:val="000E4E5D"/>
    <w:rsid w:val="000E6466"/>
    <w:rsid w:val="000E6A51"/>
    <w:rsid w:val="000E79FF"/>
    <w:rsid w:val="000E7D51"/>
    <w:rsid w:val="000F0D2E"/>
    <w:rsid w:val="000F1320"/>
    <w:rsid w:val="000F141F"/>
    <w:rsid w:val="000F1493"/>
    <w:rsid w:val="000F185C"/>
    <w:rsid w:val="000F1B12"/>
    <w:rsid w:val="000F212E"/>
    <w:rsid w:val="000F2289"/>
    <w:rsid w:val="000F2BE0"/>
    <w:rsid w:val="000F33EB"/>
    <w:rsid w:val="000F34B0"/>
    <w:rsid w:val="000F4452"/>
    <w:rsid w:val="000F6D83"/>
    <w:rsid w:val="000F6F9E"/>
    <w:rsid w:val="000F7599"/>
    <w:rsid w:val="000F76CB"/>
    <w:rsid w:val="001006E2"/>
    <w:rsid w:val="0010191A"/>
    <w:rsid w:val="001019C2"/>
    <w:rsid w:val="00103369"/>
    <w:rsid w:val="00103D82"/>
    <w:rsid w:val="00103ED5"/>
    <w:rsid w:val="0010409F"/>
    <w:rsid w:val="00105434"/>
    <w:rsid w:val="00106823"/>
    <w:rsid w:val="0010729D"/>
    <w:rsid w:val="001072BA"/>
    <w:rsid w:val="001075E3"/>
    <w:rsid w:val="00110CF0"/>
    <w:rsid w:val="001115A9"/>
    <w:rsid w:val="00111FE0"/>
    <w:rsid w:val="00112384"/>
    <w:rsid w:val="00112C43"/>
    <w:rsid w:val="00112CF9"/>
    <w:rsid w:val="00112DDD"/>
    <w:rsid w:val="00113511"/>
    <w:rsid w:val="00113737"/>
    <w:rsid w:val="001142D4"/>
    <w:rsid w:val="001142D8"/>
    <w:rsid w:val="00114A1A"/>
    <w:rsid w:val="00114B47"/>
    <w:rsid w:val="00114F65"/>
    <w:rsid w:val="001153F3"/>
    <w:rsid w:val="0011558A"/>
    <w:rsid w:val="00116999"/>
    <w:rsid w:val="00116A29"/>
    <w:rsid w:val="00116E99"/>
    <w:rsid w:val="00117BC5"/>
    <w:rsid w:val="00117C28"/>
    <w:rsid w:val="00117D02"/>
    <w:rsid w:val="00121089"/>
    <w:rsid w:val="00121188"/>
    <w:rsid w:val="00122766"/>
    <w:rsid w:val="00122D94"/>
    <w:rsid w:val="0012305F"/>
    <w:rsid w:val="00123292"/>
    <w:rsid w:val="0012343F"/>
    <w:rsid w:val="001238AD"/>
    <w:rsid w:val="00123DB2"/>
    <w:rsid w:val="001242CD"/>
    <w:rsid w:val="00124782"/>
    <w:rsid w:val="001248D9"/>
    <w:rsid w:val="00124951"/>
    <w:rsid w:val="00124F28"/>
    <w:rsid w:val="00125198"/>
    <w:rsid w:val="00126EB1"/>
    <w:rsid w:val="00127256"/>
    <w:rsid w:val="001274F8"/>
    <w:rsid w:val="00127ED1"/>
    <w:rsid w:val="001304F5"/>
    <w:rsid w:val="001309C3"/>
    <w:rsid w:val="001314A8"/>
    <w:rsid w:val="001319F9"/>
    <w:rsid w:val="00132E3C"/>
    <w:rsid w:val="00133009"/>
    <w:rsid w:val="0013303D"/>
    <w:rsid w:val="00133C6C"/>
    <w:rsid w:val="0013498A"/>
    <w:rsid w:val="00134FFD"/>
    <w:rsid w:val="0013586A"/>
    <w:rsid w:val="00136001"/>
    <w:rsid w:val="00136084"/>
    <w:rsid w:val="00136472"/>
    <w:rsid w:val="001364EC"/>
    <w:rsid w:val="001366FD"/>
    <w:rsid w:val="0013675A"/>
    <w:rsid w:val="00136BF3"/>
    <w:rsid w:val="001376F3"/>
    <w:rsid w:val="00140672"/>
    <w:rsid w:val="00140B76"/>
    <w:rsid w:val="00140E7E"/>
    <w:rsid w:val="0014150F"/>
    <w:rsid w:val="00141603"/>
    <w:rsid w:val="00141C46"/>
    <w:rsid w:val="00141C8C"/>
    <w:rsid w:val="00143965"/>
    <w:rsid w:val="00143C5B"/>
    <w:rsid w:val="00145395"/>
    <w:rsid w:val="00145E1A"/>
    <w:rsid w:val="001460B3"/>
    <w:rsid w:val="001469B3"/>
    <w:rsid w:val="00146CC4"/>
    <w:rsid w:val="0014717A"/>
    <w:rsid w:val="00147965"/>
    <w:rsid w:val="00147BAA"/>
    <w:rsid w:val="00147D6E"/>
    <w:rsid w:val="00147F02"/>
    <w:rsid w:val="00150170"/>
    <w:rsid w:val="001502CF"/>
    <w:rsid w:val="001506D3"/>
    <w:rsid w:val="00150B9D"/>
    <w:rsid w:val="00150ED2"/>
    <w:rsid w:val="00151879"/>
    <w:rsid w:val="0015196B"/>
    <w:rsid w:val="00152DD4"/>
    <w:rsid w:val="00153460"/>
    <w:rsid w:val="00153A4B"/>
    <w:rsid w:val="00153D10"/>
    <w:rsid w:val="00153F72"/>
    <w:rsid w:val="00153F8C"/>
    <w:rsid w:val="00155791"/>
    <w:rsid w:val="00155899"/>
    <w:rsid w:val="00155FA6"/>
    <w:rsid w:val="00156466"/>
    <w:rsid w:val="00157437"/>
    <w:rsid w:val="00160BFE"/>
    <w:rsid w:val="00161638"/>
    <w:rsid w:val="00162061"/>
    <w:rsid w:val="0016229A"/>
    <w:rsid w:val="00163108"/>
    <w:rsid w:val="00163460"/>
    <w:rsid w:val="0016362E"/>
    <w:rsid w:val="00163AFF"/>
    <w:rsid w:val="00163C4A"/>
    <w:rsid w:val="00163CB1"/>
    <w:rsid w:val="00163CCC"/>
    <w:rsid w:val="0016428A"/>
    <w:rsid w:val="0016450A"/>
    <w:rsid w:val="001650E7"/>
    <w:rsid w:val="001662C2"/>
    <w:rsid w:val="001667A3"/>
    <w:rsid w:val="00166E28"/>
    <w:rsid w:val="001672AA"/>
    <w:rsid w:val="00167649"/>
    <w:rsid w:val="0016769A"/>
    <w:rsid w:val="001678B4"/>
    <w:rsid w:val="00167907"/>
    <w:rsid w:val="001704D9"/>
    <w:rsid w:val="00171049"/>
    <w:rsid w:val="001713DA"/>
    <w:rsid w:val="00171E62"/>
    <w:rsid w:val="001721DD"/>
    <w:rsid w:val="00172383"/>
    <w:rsid w:val="00172AB6"/>
    <w:rsid w:val="00173077"/>
    <w:rsid w:val="001749C4"/>
    <w:rsid w:val="001756B2"/>
    <w:rsid w:val="0017588E"/>
    <w:rsid w:val="0017605B"/>
    <w:rsid w:val="00176FBD"/>
    <w:rsid w:val="0017703E"/>
    <w:rsid w:val="0017740C"/>
    <w:rsid w:val="001774D8"/>
    <w:rsid w:val="00177528"/>
    <w:rsid w:val="00177A1D"/>
    <w:rsid w:val="00177F52"/>
    <w:rsid w:val="0018029E"/>
    <w:rsid w:val="00180D52"/>
    <w:rsid w:val="00181C12"/>
    <w:rsid w:val="001829BC"/>
    <w:rsid w:val="00182EA0"/>
    <w:rsid w:val="00183098"/>
    <w:rsid w:val="001842C3"/>
    <w:rsid w:val="001842EC"/>
    <w:rsid w:val="00184724"/>
    <w:rsid w:val="00184993"/>
    <w:rsid w:val="00184E81"/>
    <w:rsid w:val="00185DC8"/>
    <w:rsid w:val="00186714"/>
    <w:rsid w:val="00187AAB"/>
    <w:rsid w:val="00187C81"/>
    <w:rsid w:val="00187E32"/>
    <w:rsid w:val="00190B32"/>
    <w:rsid w:val="00191323"/>
    <w:rsid w:val="001913C1"/>
    <w:rsid w:val="001913D7"/>
    <w:rsid w:val="001917FD"/>
    <w:rsid w:val="00192987"/>
    <w:rsid w:val="00192A17"/>
    <w:rsid w:val="001931EF"/>
    <w:rsid w:val="00193495"/>
    <w:rsid w:val="00193FB5"/>
    <w:rsid w:val="0019426B"/>
    <w:rsid w:val="0019462A"/>
    <w:rsid w:val="00195E41"/>
    <w:rsid w:val="001960E6"/>
    <w:rsid w:val="0019622B"/>
    <w:rsid w:val="0019650C"/>
    <w:rsid w:val="001965DF"/>
    <w:rsid w:val="00196F66"/>
    <w:rsid w:val="0019710D"/>
    <w:rsid w:val="001A0677"/>
    <w:rsid w:val="001A0933"/>
    <w:rsid w:val="001A1464"/>
    <w:rsid w:val="001A1CC8"/>
    <w:rsid w:val="001A2240"/>
    <w:rsid w:val="001A2593"/>
    <w:rsid w:val="001A288C"/>
    <w:rsid w:val="001A2D46"/>
    <w:rsid w:val="001A3563"/>
    <w:rsid w:val="001A3A39"/>
    <w:rsid w:val="001A556B"/>
    <w:rsid w:val="001A5B78"/>
    <w:rsid w:val="001A660C"/>
    <w:rsid w:val="001A771C"/>
    <w:rsid w:val="001A7E19"/>
    <w:rsid w:val="001B025A"/>
    <w:rsid w:val="001B0951"/>
    <w:rsid w:val="001B147E"/>
    <w:rsid w:val="001B17FF"/>
    <w:rsid w:val="001B1D1B"/>
    <w:rsid w:val="001B1D77"/>
    <w:rsid w:val="001B35F8"/>
    <w:rsid w:val="001B3891"/>
    <w:rsid w:val="001B3918"/>
    <w:rsid w:val="001B3DCA"/>
    <w:rsid w:val="001B43F4"/>
    <w:rsid w:val="001B451B"/>
    <w:rsid w:val="001B5029"/>
    <w:rsid w:val="001B578C"/>
    <w:rsid w:val="001B5E2F"/>
    <w:rsid w:val="001B67B1"/>
    <w:rsid w:val="001B6C5D"/>
    <w:rsid w:val="001C0938"/>
    <w:rsid w:val="001C0E8C"/>
    <w:rsid w:val="001C1C82"/>
    <w:rsid w:val="001C1CE4"/>
    <w:rsid w:val="001C34A6"/>
    <w:rsid w:val="001C363F"/>
    <w:rsid w:val="001C36EE"/>
    <w:rsid w:val="001C376E"/>
    <w:rsid w:val="001C517D"/>
    <w:rsid w:val="001C532D"/>
    <w:rsid w:val="001C54E7"/>
    <w:rsid w:val="001C5921"/>
    <w:rsid w:val="001D02A4"/>
    <w:rsid w:val="001D0351"/>
    <w:rsid w:val="001D09C0"/>
    <w:rsid w:val="001D0D29"/>
    <w:rsid w:val="001D10B9"/>
    <w:rsid w:val="001D1187"/>
    <w:rsid w:val="001D1C5D"/>
    <w:rsid w:val="001D22E2"/>
    <w:rsid w:val="001D249F"/>
    <w:rsid w:val="001D4487"/>
    <w:rsid w:val="001D530E"/>
    <w:rsid w:val="001D5C10"/>
    <w:rsid w:val="001D5D18"/>
    <w:rsid w:val="001D6097"/>
    <w:rsid w:val="001D625D"/>
    <w:rsid w:val="001D6410"/>
    <w:rsid w:val="001D75EE"/>
    <w:rsid w:val="001D7674"/>
    <w:rsid w:val="001D7D3C"/>
    <w:rsid w:val="001E035D"/>
    <w:rsid w:val="001E0B07"/>
    <w:rsid w:val="001E2382"/>
    <w:rsid w:val="001E2A13"/>
    <w:rsid w:val="001E2A62"/>
    <w:rsid w:val="001E2D57"/>
    <w:rsid w:val="001E4408"/>
    <w:rsid w:val="001E66DD"/>
    <w:rsid w:val="001E704A"/>
    <w:rsid w:val="001E71A8"/>
    <w:rsid w:val="001E75CD"/>
    <w:rsid w:val="001E78AE"/>
    <w:rsid w:val="001F0434"/>
    <w:rsid w:val="001F05CC"/>
    <w:rsid w:val="001F0F6C"/>
    <w:rsid w:val="001F11D5"/>
    <w:rsid w:val="001F120B"/>
    <w:rsid w:val="001F2819"/>
    <w:rsid w:val="001F2A51"/>
    <w:rsid w:val="001F2C91"/>
    <w:rsid w:val="001F2CDD"/>
    <w:rsid w:val="001F30BA"/>
    <w:rsid w:val="001F32BA"/>
    <w:rsid w:val="001F44DA"/>
    <w:rsid w:val="001F4A0E"/>
    <w:rsid w:val="001F57AC"/>
    <w:rsid w:val="001F66B2"/>
    <w:rsid w:val="001F6BCB"/>
    <w:rsid w:val="001F70F7"/>
    <w:rsid w:val="001F72F2"/>
    <w:rsid w:val="001F77EA"/>
    <w:rsid w:val="002002EC"/>
    <w:rsid w:val="00201689"/>
    <w:rsid w:val="002018C0"/>
    <w:rsid w:val="00202463"/>
    <w:rsid w:val="0020304A"/>
    <w:rsid w:val="002032F9"/>
    <w:rsid w:val="00203A10"/>
    <w:rsid w:val="00203B1A"/>
    <w:rsid w:val="00203F4C"/>
    <w:rsid w:val="00204166"/>
    <w:rsid w:val="002043EC"/>
    <w:rsid w:val="00205270"/>
    <w:rsid w:val="0020628E"/>
    <w:rsid w:val="00207CF2"/>
    <w:rsid w:val="00207D8D"/>
    <w:rsid w:val="002113DE"/>
    <w:rsid w:val="00211F95"/>
    <w:rsid w:val="00212EA3"/>
    <w:rsid w:val="002132E1"/>
    <w:rsid w:val="002138C7"/>
    <w:rsid w:val="00214234"/>
    <w:rsid w:val="002166DD"/>
    <w:rsid w:val="002170EB"/>
    <w:rsid w:val="0021785C"/>
    <w:rsid w:val="002203DE"/>
    <w:rsid w:val="00220810"/>
    <w:rsid w:val="002215F3"/>
    <w:rsid w:val="002220C6"/>
    <w:rsid w:val="0022218A"/>
    <w:rsid w:val="002231EF"/>
    <w:rsid w:val="0022323B"/>
    <w:rsid w:val="002239B7"/>
    <w:rsid w:val="0022462F"/>
    <w:rsid w:val="002248C6"/>
    <w:rsid w:val="002254B8"/>
    <w:rsid w:val="00225785"/>
    <w:rsid w:val="00227EBA"/>
    <w:rsid w:val="0023016F"/>
    <w:rsid w:val="002323C1"/>
    <w:rsid w:val="002326D5"/>
    <w:rsid w:val="00232C42"/>
    <w:rsid w:val="00233A93"/>
    <w:rsid w:val="00233AAF"/>
    <w:rsid w:val="00233E42"/>
    <w:rsid w:val="002347A0"/>
    <w:rsid w:val="00234E64"/>
    <w:rsid w:val="002359C5"/>
    <w:rsid w:val="00235C12"/>
    <w:rsid w:val="002367A7"/>
    <w:rsid w:val="00236902"/>
    <w:rsid w:val="00236EB8"/>
    <w:rsid w:val="00237279"/>
    <w:rsid w:val="00237288"/>
    <w:rsid w:val="00237D2E"/>
    <w:rsid w:val="002406E6"/>
    <w:rsid w:val="00242D93"/>
    <w:rsid w:val="00242DB4"/>
    <w:rsid w:val="00242E9F"/>
    <w:rsid w:val="00243DC0"/>
    <w:rsid w:val="002443A9"/>
    <w:rsid w:val="00244C91"/>
    <w:rsid w:val="00245346"/>
    <w:rsid w:val="00245941"/>
    <w:rsid w:val="00245D39"/>
    <w:rsid w:val="00245D8E"/>
    <w:rsid w:val="00245E4E"/>
    <w:rsid w:val="00246BB3"/>
    <w:rsid w:val="00247477"/>
    <w:rsid w:val="00250EB0"/>
    <w:rsid w:val="002513E9"/>
    <w:rsid w:val="00251A9F"/>
    <w:rsid w:val="002521BE"/>
    <w:rsid w:val="00252459"/>
    <w:rsid w:val="00252B19"/>
    <w:rsid w:val="00253A40"/>
    <w:rsid w:val="00253D30"/>
    <w:rsid w:val="00256655"/>
    <w:rsid w:val="00256F96"/>
    <w:rsid w:val="002575A2"/>
    <w:rsid w:val="00257818"/>
    <w:rsid w:val="00257B10"/>
    <w:rsid w:val="00261443"/>
    <w:rsid w:val="002623A4"/>
    <w:rsid w:val="00262CE6"/>
    <w:rsid w:val="002634AE"/>
    <w:rsid w:val="00263572"/>
    <w:rsid w:val="002638AE"/>
    <w:rsid w:val="00264469"/>
    <w:rsid w:val="00264CD1"/>
    <w:rsid w:val="0026509E"/>
    <w:rsid w:val="00267397"/>
    <w:rsid w:val="002673BF"/>
    <w:rsid w:val="002676BF"/>
    <w:rsid w:val="00270440"/>
    <w:rsid w:val="00270931"/>
    <w:rsid w:val="002710E4"/>
    <w:rsid w:val="00271A4F"/>
    <w:rsid w:val="002720DF"/>
    <w:rsid w:val="00272206"/>
    <w:rsid w:val="002722BA"/>
    <w:rsid w:val="002728C9"/>
    <w:rsid w:val="002732EE"/>
    <w:rsid w:val="00274081"/>
    <w:rsid w:val="00274AC5"/>
    <w:rsid w:val="00274BB7"/>
    <w:rsid w:val="002759F1"/>
    <w:rsid w:val="002762A5"/>
    <w:rsid w:val="00276329"/>
    <w:rsid w:val="002768C6"/>
    <w:rsid w:val="00277176"/>
    <w:rsid w:val="00280430"/>
    <w:rsid w:val="00280A31"/>
    <w:rsid w:val="00280CC8"/>
    <w:rsid w:val="00280DB7"/>
    <w:rsid w:val="00281713"/>
    <w:rsid w:val="00281849"/>
    <w:rsid w:val="00281EC7"/>
    <w:rsid w:val="00282151"/>
    <w:rsid w:val="00282240"/>
    <w:rsid w:val="00282791"/>
    <w:rsid w:val="00283459"/>
    <w:rsid w:val="00285479"/>
    <w:rsid w:val="00285BD4"/>
    <w:rsid w:val="0028623C"/>
    <w:rsid w:val="002867EA"/>
    <w:rsid w:val="00287391"/>
    <w:rsid w:val="00287BC5"/>
    <w:rsid w:val="00287F65"/>
    <w:rsid w:val="00290561"/>
    <w:rsid w:val="0029056A"/>
    <w:rsid w:val="0029107A"/>
    <w:rsid w:val="0029123A"/>
    <w:rsid w:val="002913EE"/>
    <w:rsid w:val="00291559"/>
    <w:rsid w:val="00291609"/>
    <w:rsid w:val="002918CF"/>
    <w:rsid w:val="00292A46"/>
    <w:rsid w:val="00292D8A"/>
    <w:rsid w:val="00293531"/>
    <w:rsid w:val="00293DEE"/>
    <w:rsid w:val="002952E2"/>
    <w:rsid w:val="002970EF"/>
    <w:rsid w:val="00297430"/>
    <w:rsid w:val="00297855"/>
    <w:rsid w:val="00297CE7"/>
    <w:rsid w:val="002A031D"/>
    <w:rsid w:val="002A0B5D"/>
    <w:rsid w:val="002A1511"/>
    <w:rsid w:val="002A1CB7"/>
    <w:rsid w:val="002A2325"/>
    <w:rsid w:val="002A2CCA"/>
    <w:rsid w:val="002A36B6"/>
    <w:rsid w:val="002A36C8"/>
    <w:rsid w:val="002A3729"/>
    <w:rsid w:val="002A3899"/>
    <w:rsid w:val="002A43A7"/>
    <w:rsid w:val="002A678A"/>
    <w:rsid w:val="002A691B"/>
    <w:rsid w:val="002A6C93"/>
    <w:rsid w:val="002A72A3"/>
    <w:rsid w:val="002A7F6B"/>
    <w:rsid w:val="002B1735"/>
    <w:rsid w:val="002B1E8E"/>
    <w:rsid w:val="002B26FC"/>
    <w:rsid w:val="002B29D0"/>
    <w:rsid w:val="002B2B60"/>
    <w:rsid w:val="002B32E4"/>
    <w:rsid w:val="002B3A26"/>
    <w:rsid w:val="002B40B9"/>
    <w:rsid w:val="002B432E"/>
    <w:rsid w:val="002B4925"/>
    <w:rsid w:val="002B4B73"/>
    <w:rsid w:val="002B620D"/>
    <w:rsid w:val="002B65CA"/>
    <w:rsid w:val="002B687B"/>
    <w:rsid w:val="002B6924"/>
    <w:rsid w:val="002B70E8"/>
    <w:rsid w:val="002B7559"/>
    <w:rsid w:val="002B77C8"/>
    <w:rsid w:val="002C02A3"/>
    <w:rsid w:val="002C0452"/>
    <w:rsid w:val="002C05BB"/>
    <w:rsid w:val="002C0AD6"/>
    <w:rsid w:val="002C0CF1"/>
    <w:rsid w:val="002C1509"/>
    <w:rsid w:val="002C1590"/>
    <w:rsid w:val="002C1B16"/>
    <w:rsid w:val="002C3173"/>
    <w:rsid w:val="002C3688"/>
    <w:rsid w:val="002C3A7E"/>
    <w:rsid w:val="002C485E"/>
    <w:rsid w:val="002C4D2E"/>
    <w:rsid w:val="002C536A"/>
    <w:rsid w:val="002C586E"/>
    <w:rsid w:val="002C6842"/>
    <w:rsid w:val="002C791C"/>
    <w:rsid w:val="002C7FE9"/>
    <w:rsid w:val="002D072C"/>
    <w:rsid w:val="002D0DC5"/>
    <w:rsid w:val="002D0F16"/>
    <w:rsid w:val="002D0F66"/>
    <w:rsid w:val="002D1817"/>
    <w:rsid w:val="002D1D24"/>
    <w:rsid w:val="002D21D2"/>
    <w:rsid w:val="002D262A"/>
    <w:rsid w:val="002D294B"/>
    <w:rsid w:val="002D2F9F"/>
    <w:rsid w:val="002D383F"/>
    <w:rsid w:val="002D3848"/>
    <w:rsid w:val="002D3A8B"/>
    <w:rsid w:val="002D3AA5"/>
    <w:rsid w:val="002D4445"/>
    <w:rsid w:val="002D4EFD"/>
    <w:rsid w:val="002D51A7"/>
    <w:rsid w:val="002D59BF"/>
    <w:rsid w:val="002D5D0A"/>
    <w:rsid w:val="002D62BB"/>
    <w:rsid w:val="002D67A4"/>
    <w:rsid w:val="002D6E97"/>
    <w:rsid w:val="002D6F9D"/>
    <w:rsid w:val="002E19A7"/>
    <w:rsid w:val="002E1C2C"/>
    <w:rsid w:val="002E1D30"/>
    <w:rsid w:val="002E24E1"/>
    <w:rsid w:val="002E3358"/>
    <w:rsid w:val="002E34C2"/>
    <w:rsid w:val="002E3AD7"/>
    <w:rsid w:val="002E4337"/>
    <w:rsid w:val="002E687D"/>
    <w:rsid w:val="002E75C7"/>
    <w:rsid w:val="002F0896"/>
    <w:rsid w:val="002F0FC9"/>
    <w:rsid w:val="002F1370"/>
    <w:rsid w:val="002F142B"/>
    <w:rsid w:val="002F287B"/>
    <w:rsid w:val="002F301F"/>
    <w:rsid w:val="002F343B"/>
    <w:rsid w:val="002F3497"/>
    <w:rsid w:val="002F3646"/>
    <w:rsid w:val="002F3CD8"/>
    <w:rsid w:val="002F3D4E"/>
    <w:rsid w:val="002F4563"/>
    <w:rsid w:val="002F56AB"/>
    <w:rsid w:val="002F5C99"/>
    <w:rsid w:val="002F7643"/>
    <w:rsid w:val="002F772D"/>
    <w:rsid w:val="00300458"/>
    <w:rsid w:val="00300AA1"/>
    <w:rsid w:val="00300BC5"/>
    <w:rsid w:val="00300F8C"/>
    <w:rsid w:val="0030117C"/>
    <w:rsid w:val="0030172D"/>
    <w:rsid w:val="0030199E"/>
    <w:rsid w:val="0030282E"/>
    <w:rsid w:val="00302C34"/>
    <w:rsid w:val="00302F35"/>
    <w:rsid w:val="00303885"/>
    <w:rsid w:val="00303892"/>
    <w:rsid w:val="00303D3E"/>
    <w:rsid w:val="003043D9"/>
    <w:rsid w:val="003047A3"/>
    <w:rsid w:val="00304C72"/>
    <w:rsid w:val="00305303"/>
    <w:rsid w:val="003061FC"/>
    <w:rsid w:val="003063CD"/>
    <w:rsid w:val="0030668C"/>
    <w:rsid w:val="003079D5"/>
    <w:rsid w:val="0031027A"/>
    <w:rsid w:val="003106B0"/>
    <w:rsid w:val="00311DC9"/>
    <w:rsid w:val="003126EE"/>
    <w:rsid w:val="00312F5C"/>
    <w:rsid w:val="00313388"/>
    <w:rsid w:val="00314544"/>
    <w:rsid w:val="00314783"/>
    <w:rsid w:val="00314D7A"/>
    <w:rsid w:val="0031536D"/>
    <w:rsid w:val="0031587C"/>
    <w:rsid w:val="00315A97"/>
    <w:rsid w:val="00316071"/>
    <w:rsid w:val="003162BA"/>
    <w:rsid w:val="0031677A"/>
    <w:rsid w:val="00317464"/>
    <w:rsid w:val="00320C76"/>
    <w:rsid w:val="003212FF"/>
    <w:rsid w:val="00321521"/>
    <w:rsid w:val="00321AE3"/>
    <w:rsid w:val="0032206E"/>
    <w:rsid w:val="00323F09"/>
    <w:rsid w:val="00324234"/>
    <w:rsid w:val="00325C82"/>
    <w:rsid w:val="003263F8"/>
    <w:rsid w:val="00326A30"/>
    <w:rsid w:val="00326B0B"/>
    <w:rsid w:val="00326B1E"/>
    <w:rsid w:val="00326C55"/>
    <w:rsid w:val="00326F29"/>
    <w:rsid w:val="00327374"/>
    <w:rsid w:val="003305DF"/>
    <w:rsid w:val="0033113B"/>
    <w:rsid w:val="0033218A"/>
    <w:rsid w:val="00332F71"/>
    <w:rsid w:val="0033359A"/>
    <w:rsid w:val="00333E5A"/>
    <w:rsid w:val="003340AD"/>
    <w:rsid w:val="003341D4"/>
    <w:rsid w:val="0033458D"/>
    <w:rsid w:val="0033490E"/>
    <w:rsid w:val="00335FD2"/>
    <w:rsid w:val="0033687E"/>
    <w:rsid w:val="003368ED"/>
    <w:rsid w:val="0034053A"/>
    <w:rsid w:val="003408DD"/>
    <w:rsid w:val="003417EB"/>
    <w:rsid w:val="0034187C"/>
    <w:rsid w:val="00341B4D"/>
    <w:rsid w:val="00341E08"/>
    <w:rsid w:val="00342A33"/>
    <w:rsid w:val="00342CB1"/>
    <w:rsid w:val="00342D1C"/>
    <w:rsid w:val="00343951"/>
    <w:rsid w:val="00343E5C"/>
    <w:rsid w:val="003440A2"/>
    <w:rsid w:val="00344461"/>
    <w:rsid w:val="00344491"/>
    <w:rsid w:val="003446B8"/>
    <w:rsid w:val="00344A77"/>
    <w:rsid w:val="00344FB1"/>
    <w:rsid w:val="00344FB8"/>
    <w:rsid w:val="003452FB"/>
    <w:rsid w:val="003456FC"/>
    <w:rsid w:val="00346A57"/>
    <w:rsid w:val="00347741"/>
    <w:rsid w:val="0035014D"/>
    <w:rsid w:val="0035121A"/>
    <w:rsid w:val="0035148A"/>
    <w:rsid w:val="00351580"/>
    <w:rsid w:val="0035167F"/>
    <w:rsid w:val="00352359"/>
    <w:rsid w:val="0035248A"/>
    <w:rsid w:val="0035282D"/>
    <w:rsid w:val="003528D6"/>
    <w:rsid w:val="00352A6B"/>
    <w:rsid w:val="00353661"/>
    <w:rsid w:val="00353B52"/>
    <w:rsid w:val="003542D6"/>
    <w:rsid w:val="00354E0A"/>
    <w:rsid w:val="0035650C"/>
    <w:rsid w:val="00356909"/>
    <w:rsid w:val="00356BA6"/>
    <w:rsid w:val="003570B5"/>
    <w:rsid w:val="0035745E"/>
    <w:rsid w:val="0036017B"/>
    <w:rsid w:val="003619BB"/>
    <w:rsid w:val="003622F4"/>
    <w:rsid w:val="0036234A"/>
    <w:rsid w:val="003625AE"/>
    <w:rsid w:val="00362755"/>
    <w:rsid w:val="00362932"/>
    <w:rsid w:val="00362F5F"/>
    <w:rsid w:val="003638A0"/>
    <w:rsid w:val="00363A93"/>
    <w:rsid w:val="00364122"/>
    <w:rsid w:val="00364309"/>
    <w:rsid w:val="00367CFB"/>
    <w:rsid w:val="00370890"/>
    <w:rsid w:val="003719BB"/>
    <w:rsid w:val="00371CAC"/>
    <w:rsid w:val="00372926"/>
    <w:rsid w:val="00373B93"/>
    <w:rsid w:val="003740FD"/>
    <w:rsid w:val="003757ED"/>
    <w:rsid w:val="00375B38"/>
    <w:rsid w:val="00376A57"/>
    <w:rsid w:val="003770A5"/>
    <w:rsid w:val="00377136"/>
    <w:rsid w:val="00377362"/>
    <w:rsid w:val="00377480"/>
    <w:rsid w:val="0038004F"/>
    <w:rsid w:val="00380255"/>
    <w:rsid w:val="0038040D"/>
    <w:rsid w:val="00380CD1"/>
    <w:rsid w:val="003811F7"/>
    <w:rsid w:val="00381453"/>
    <w:rsid w:val="003818C5"/>
    <w:rsid w:val="00381C0C"/>
    <w:rsid w:val="0038212B"/>
    <w:rsid w:val="0038314B"/>
    <w:rsid w:val="00383BD6"/>
    <w:rsid w:val="003840B1"/>
    <w:rsid w:val="003840DC"/>
    <w:rsid w:val="003841AB"/>
    <w:rsid w:val="00384D95"/>
    <w:rsid w:val="003857D6"/>
    <w:rsid w:val="00385DE1"/>
    <w:rsid w:val="00386116"/>
    <w:rsid w:val="00386731"/>
    <w:rsid w:val="003870E9"/>
    <w:rsid w:val="003870ED"/>
    <w:rsid w:val="003900EC"/>
    <w:rsid w:val="0039018F"/>
    <w:rsid w:val="003907E0"/>
    <w:rsid w:val="00393019"/>
    <w:rsid w:val="00393A2A"/>
    <w:rsid w:val="0039449A"/>
    <w:rsid w:val="00394ECE"/>
    <w:rsid w:val="0039542C"/>
    <w:rsid w:val="0039557D"/>
    <w:rsid w:val="0039571D"/>
    <w:rsid w:val="00395A2E"/>
    <w:rsid w:val="003961BA"/>
    <w:rsid w:val="0039630C"/>
    <w:rsid w:val="003970AE"/>
    <w:rsid w:val="003976B4"/>
    <w:rsid w:val="003977AB"/>
    <w:rsid w:val="00397A41"/>
    <w:rsid w:val="003A0DB0"/>
    <w:rsid w:val="003A1A2A"/>
    <w:rsid w:val="003A2697"/>
    <w:rsid w:val="003A2A91"/>
    <w:rsid w:val="003A301D"/>
    <w:rsid w:val="003A328D"/>
    <w:rsid w:val="003A38F0"/>
    <w:rsid w:val="003A42B9"/>
    <w:rsid w:val="003A44D9"/>
    <w:rsid w:val="003A602C"/>
    <w:rsid w:val="003A69A4"/>
    <w:rsid w:val="003A7740"/>
    <w:rsid w:val="003B0C5D"/>
    <w:rsid w:val="003B121B"/>
    <w:rsid w:val="003B22CF"/>
    <w:rsid w:val="003B268D"/>
    <w:rsid w:val="003B27A7"/>
    <w:rsid w:val="003B289F"/>
    <w:rsid w:val="003B408D"/>
    <w:rsid w:val="003B4398"/>
    <w:rsid w:val="003B4A53"/>
    <w:rsid w:val="003B4F68"/>
    <w:rsid w:val="003B5F04"/>
    <w:rsid w:val="003B5F33"/>
    <w:rsid w:val="003B6289"/>
    <w:rsid w:val="003B64FB"/>
    <w:rsid w:val="003B745A"/>
    <w:rsid w:val="003B7ED4"/>
    <w:rsid w:val="003C0700"/>
    <w:rsid w:val="003C07CA"/>
    <w:rsid w:val="003C1A8B"/>
    <w:rsid w:val="003C2BCF"/>
    <w:rsid w:val="003C33F4"/>
    <w:rsid w:val="003C48EC"/>
    <w:rsid w:val="003C527E"/>
    <w:rsid w:val="003C6533"/>
    <w:rsid w:val="003D0AF7"/>
    <w:rsid w:val="003D0CEC"/>
    <w:rsid w:val="003D0EE7"/>
    <w:rsid w:val="003D13D6"/>
    <w:rsid w:val="003D1ECB"/>
    <w:rsid w:val="003D1F6A"/>
    <w:rsid w:val="003D2803"/>
    <w:rsid w:val="003D4D80"/>
    <w:rsid w:val="003D4DB2"/>
    <w:rsid w:val="003D4F05"/>
    <w:rsid w:val="003D5178"/>
    <w:rsid w:val="003D52A0"/>
    <w:rsid w:val="003D5E84"/>
    <w:rsid w:val="003D63BE"/>
    <w:rsid w:val="003D6408"/>
    <w:rsid w:val="003D68EB"/>
    <w:rsid w:val="003D6957"/>
    <w:rsid w:val="003D6C51"/>
    <w:rsid w:val="003D6D75"/>
    <w:rsid w:val="003D792C"/>
    <w:rsid w:val="003D7C41"/>
    <w:rsid w:val="003E0236"/>
    <w:rsid w:val="003E0563"/>
    <w:rsid w:val="003E0C06"/>
    <w:rsid w:val="003E0E3F"/>
    <w:rsid w:val="003E1235"/>
    <w:rsid w:val="003E1324"/>
    <w:rsid w:val="003E3D2C"/>
    <w:rsid w:val="003E4688"/>
    <w:rsid w:val="003E4883"/>
    <w:rsid w:val="003E4FE4"/>
    <w:rsid w:val="003E55B9"/>
    <w:rsid w:val="003E58A9"/>
    <w:rsid w:val="003E6CED"/>
    <w:rsid w:val="003E70EA"/>
    <w:rsid w:val="003E7C3F"/>
    <w:rsid w:val="003F065C"/>
    <w:rsid w:val="003F069A"/>
    <w:rsid w:val="003F0D63"/>
    <w:rsid w:val="003F1325"/>
    <w:rsid w:val="003F1F2A"/>
    <w:rsid w:val="003F25A5"/>
    <w:rsid w:val="003F2612"/>
    <w:rsid w:val="003F2DF8"/>
    <w:rsid w:val="003F3908"/>
    <w:rsid w:val="003F3EBF"/>
    <w:rsid w:val="003F3F38"/>
    <w:rsid w:val="003F3F9C"/>
    <w:rsid w:val="003F4329"/>
    <w:rsid w:val="003F5FC2"/>
    <w:rsid w:val="003F7645"/>
    <w:rsid w:val="003F771C"/>
    <w:rsid w:val="00401528"/>
    <w:rsid w:val="004016B6"/>
    <w:rsid w:val="00401727"/>
    <w:rsid w:val="004019AD"/>
    <w:rsid w:val="004021E1"/>
    <w:rsid w:val="004029B8"/>
    <w:rsid w:val="00402BD7"/>
    <w:rsid w:val="00402D0F"/>
    <w:rsid w:val="00405FD4"/>
    <w:rsid w:val="0040681B"/>
    <w:rsid w:val="00406943"/>
    <w:rsid w:val="004069C1"/>
    <w:rsid w:val="00406A44"/>
    <w:rsid w:val="00406E15"/>
    <w:rsid w:val="00407B8B"/>
    <w:rsid w:val="00410B3D"/>
    <w:rsid w:val="00410E28"/>
    <w:rsid w:val="004110C7"/>
    <w:rsid w:val="00411D7E"/>
    <w:rsid w:val="00411E92"/>
    <w:rsid w:val="00411EE8"/>
    <w:rsid w:val="00412534"/>
    <w:rsid w:val="00412C83"/>
    <w:rsid w:val="00412ED8"/>
    <w:rsid w:val="00413738"/>
    <w:rsid w:val="00414FC8"/>
    <w:rsid w:val="00415932"/>
    <w:rsid w:val="00415B74"/>
    <w:rsid w:val="00416028"/>
    <w:rsid w:val="0041649D"/>
    <w:rsid w:val="0041716B"/>
    <w:rsid w:val="00417FCB"/>
    <w:rsid w:val="004201DA"/>
    <w:rsid w:val="004208C6"/>
    <w:rsid w:val="00420A0C"/>
    <w:rsid w:val="00420ACA"/>
    <w:rsid w:val="004212DF"/>
    <w:rsid w:val="00422795"/>
    <w:rsid w:val="0042293D"/>
    <w:rsid w:val="00423475"/>
    <w:rsid w:val="00423730"/>
    <w:rsid w:val="00423775"/>
    <w:rsid w:val="00423816"/>
    <w:rsid w:val="0042443F"/>
    <w:rsid w:val="00424469"/>
    <w:rsid w:val="00425082"/>
    <w:rsid w:val="0042594F"/>
    <w:rsid w:val="00426014"/>
    <w:rsid w:val="00426AE6"/>
    <w:rsid w:val="00427011"/>
    <w:rsid w:val="00427506"/>
    <w:rsid w:val="00427DDD"/>
    <w:rsid w:val="004302B2"/>
    <w:rsid w:val="00431D6E"/>
    <w:rsid w:val="00432554"/>
    <w:rsid w:val="00433AF2"/>
    <w:rsid w:val="00434501"/>
    <w:rsid w:val="00435088"/>
    <w:rsid w:val="00435549"/>
    <w:rsid w:val="004355F8"/>
    <w:rsid w:val="00435E4A"/>
    <w:rsid w:val="00436555"/>
    <w:rsid w:val="00436B78"/>
    <w:rsid w:val="00436E1A"/>
    <w:rsid w:val="00437506"/>
    <w:rsid w:val="00437AC1"/>
    <w:rsid w:val="00440B70"/>
    <w:rsid w:val="00441174"/>
    <w:rsid w:val="0044186F"/>
    <w:rsid w:val="0044218B"/>
    <w:rsid w:val="00442299"/>
    <w:rsid w:val="00442436"/>
    <w:rsid w:val="004431CE"/>
    <w:rsid w:val="0044368E"/>
    <w:rsid w:val="00444426"/>
    <w:rsid w:val="00444D9B"/>
    <w:rsid w:val="00444EE8"/>
    <w:rsid w:val="004459FE"/>
    <w:rsid w:val="00445FEC"/>
    <w:rsid w:val="0044617E"/>
    <w:rsid w:val="00446A35"/>
    <w:rsid w:val="00447470"/>
    <w:rsid w:val="0044773C"/>
    <w:rsid w:val="00447E21"/>
    <w:rsid w:val="00451246"/>
    <w:rsid w:val="00451F70"/>
    <w:rsid w:val="00451F7A"/>
    <w:rsid w:val="0045201C"/>
    <w:rsid w:val="004533A9"/>
    <w:rsid w:val="004534AB"/>
    <w:rsid w:val="00453FD8"/>
    <w:rsid w:val="00454F9E"/>
    <w:rsid w:val="00456A46"/>
    <w:rsid w:val="004577C1"/>
    <w:rsid w:val="004601E0"/>
    <w:rsid w:val="004603BA"/>
    <w:rsid w:val="00460B7D"/>
    <w:rsid w:val="004616E0"/>
    <w:rsid w:val="004617BE"/>
    <w:rsid w:val="00462DCE"/>
    <w:rsid w:val="00463239"/>
    <w:rsid w:val="00463751"/>
    <w:rsid w:val="00463BE4"/>
    <w:rsid w:val="00464182"/>
    <w:rsid w:val="00464412"/>
    <w:rsid w:val="00464E32"/>
    <w:rsid w:val="00465048"/>
    <w:rsid w:val="00465D8A"/>
    <w:rsid w:val="00466314"/>
    <w:rsid w:val="00466570"/>
    <w:rsid w:val="00466735"/>
    <w:rsid w:val="00466E11"/>
    <w:rsid w:val="004673A6"/>
    <w:rsid w:val="004675F3"/>
    <w:rsid w:val="004676DA"/>
    <w:rsid w:val="00470AB8"/>
    <w:rsid w:val="00472256"/>
    <w:rsid w:val="00472526"/>
    <w:rsid w:val="004729E7"/>
    <w:rsid w:val="00472DC0"/>
    <w:rsid w:val="00472E28"/>
    <w:rsid w:val="00472F3F"/>
    <w:rsid w:val="00472FAF"/>
    <w:rsid w:val="00472FB2"/>
    <w:rsid w:val="00473352"/>
    <w:rsid w:val="0047371B"/>
    <w:rsid w:val="0047380A"/>
    <w:rsid w:val="004738BC"/>
    <w:rsid w:val="004741C8"/>
    <w:rsid w:val="00474B8E"/>
    <w:rsid w:val="00474D1C"/>
    <w:rsid w:val="00474D49"/>
    <w:rsid w:val="004757E9"/>
    <w:rsid w:val="0047588F"/>
    <w:rsid w:val="00475FA5"/>
    <w:rsid w:val="00476220"/>
    <w:rsid w:val="0047672D"/>
    <w:rsid w:val="00476C14"/>
    <w:rsid w:val="00476FD9"/>
    <w:rsid w:val="00480899"/>
    <w:rsid w:val="00480B7D"/>
    <w:rsid w:val="00480CB0"/>
    <w:rsid w:val="0048224F"/>
    <w:rsid w:val="00482729"/>
    <w:rsid w:val="00482761"/>
    <w:rsid w:val="00482929"/>
    <w:rsid w:val="00483536"/>
    <w:rsid w:val="00483F8C"/>
    <w:rsid w:val="00484066"/>
    <w:rsid w:val="0048492C"/>
    <w:rsid w:val="00484E19"/>
    <w:rsid w:val="00485600"/>
    <w:rsid w:val="004857A0"/>
    <w:rsid w:val="00485FA6"/>
    <w:rsid w:val="00486D1F"/>
    <w:rsid w:val="00486F8E"/>
    <w:rsid w:val="004871E2"/>
    <w:rsid w:val="00487369"/>
    <w:rsid w:val="00490004"/>
    <w:rsid w:val="0049017B"/>
    <w:rsid w:val="00490312"/>
    <w:rsid w:val="004913E3"/>
    <w:rsid w:val="004932B3"/>
    <w:rsid w:val="00493903"/>
    <w:rsid w:val="00493D20"/>
    <w:rsid w:val="00494572"/>
    <w:rsid w:val="0049512C"/>
    <w:rsid w:val="004952B6"/>
    <w:rsid w:val="00495849"/>
    <w:rsid w:val="0049598F"/>
    <w:rsid w:val="0049649E"/>
    <w:rsid w:val="00496BD0"/>
    <w:rsid w:val="004974C2"/>
    <w:rsid w:val="00497503"/>
    <w:rsid w:val="004A01B1"/>
    <w:rsid w:val="004A0620"/>
    <w:rsid w:val="004A0B07"/>
    <w:rsid w:val="004A0F31"/>
    <w:rsid w:val="004A123B"/>
    <w:rsid w:val="004A19A6"/>
    <w:rsid w:val="004A1D1C"/>
    <w:rsid w:val="004A2828"/>
    <w:rsid w:val="004A283E"/>
    <w:rsid w:val="004A362C"/>
    <w:rsid w:val="004A4190"/>
    <w:rsid w:val="004A4C56"/>
    <w:rsid w:val="004A61CA"/>
    <w:rsid w:val="004A643C"/>
    <w:rsid w:val="004A650E"/>
    <w:rsid w:val="004A6A5C"/>
    <w:rsid w:val="004A7EFB"/>
    <w:rsid w:val="004A7FB8"/>
    <w:rsid w:val="004B19DA"/>
    <w:rsid w:val="004B28F2"/>
    <w:rsid w:val="004B2D42"/>
    <w:rsid w:val="004B34EA"/>
    <w:rsid w:val="004B46A5"/>
    <w:rsid w:val="004B49FB"/>
    <w:rsid w:val="004B508C"/>
    <w:rsid w:val="004B5494"/>
    <w:rsid w:val="004B637A"/>
    <w:rsid w:val="004B6438"/>
    <w:rsid w:val="004B6B7D"/>
    <w:rsid w:val="004B6EAB"/>
    <w:rsid w:val="004B7355"/>
    <w:rsid w:val="004B77AC"/>
    <w:rsid w:val="004C0086"/>
    <w:rsid w:val="004C064F"/>
    <w:rsid w:val="004C08BA"/>
    <w:rsid w:val="004C0FEE"/>
    <w:rsid w:val="004C1879"/>
    <w:rsid w:val="004C383E"/>
    <w:rsid w:val="004C3CF7"/>
    <w:rsid w:val="004C3EEA"/>
    <w:rsid w:val="004C425A"/>
    <w:rsid w:val="004C4390"/>
    <w:rsid w:val="004C48E3"/>
    <w:rsid w:val="004C5001"/>
    <w:rsid w:val="004C5B49"/>
    <w:rsid w:val="004C6085"/>
    <w:rsid w:val="004C64BB"/>
    <w:rsid w:val="004C7074"/>
    <w:rsid w:val="004C70B7"/>
    <w:rsid w:val="004C75D7"/>
    <w:rsid w:val="004C7736"/>
    <w:rsid w:val="004C7A2B"/>
    <w:rsid w:val="004C7D3A"/>
    <w:rsid w:val="004D1951"/>
    <w:rsid w:val="004D208E"/>
    <w:rsid w:val="004D2853"/>
    <w:rsid w:val="004D3F95"/>
    <w:rsid w:val="004D449F"/>
    <w:rsid w:val="004D47CF"/>
    <w:rsid w:val="004D4CB8"/>
    <w:rsid w:val="004D4D85"/>
    <w:rsid w:val="004D567F"/>
    <w:rsid w:val="004D5742"/>
    <w:rsid w:val="004D5D35"/>
    <w:rsid w:val="004D618A"/>
    <w:rsid w:val="004D6403"/>
    <w:rsid w:val="004D6817"/>
    <w:rsid w:val="004D6B2E"/>
    <w:rsid w:val="004E062F"/>
    <w:rsid w:val="004E09DF"/>
    <w:rsid w:val="004E0A48"/>
    <w:rsid w:val="004E1096"/>
    <w:rsid w:val="004E1189"/>
    <w:rsid w:val="004E1921"/>
    <w:rsid w:val="004E1926"/>
    <w:rsid w:val="004E2008"/>
    <w:rsid w:val="004E2F39"/>
    <w:rsid w:val="004E43D6"/>
    <w:rsid w:val="004E59B7"/>
    <w:rsid w:val="004E5DDB"/>
    <w:rsid w:val="004E6488"/>
    <w:rsid w:val="004E6BF5"/>
    <w:rsid w:val="004E73EC"/>
    <w:rsid w:val="004E77A8"/>
    <w:rsid w:val="004E7A28"/>
    <w:rsid w:val="004E7E72"/>
    <w:rsid w:val="004F031E"/>
    <w:rsid w:val="004F0AA4"/>
    <w:rsid w:val="004F0CD8"/>
    <w:rsid w:val="004F1567"/>
    <w:rsid w:val="004F2374"/>
    <w:rsid w:val="004F247F"/>
    <w:rsid w:val="004F3084"/>
    <w:rsid w:val="004F398D"/>
    <w:rsid w:val="004F452E"/>
    <w:rsid w:val="004F4D2C"/>
    <w:rsid w:val="004F4DEF"/>
    <w:rsid w:val="004F4E09"/>
    <w:rsid w:val="004F5F3C"/>
    <w:rsid w:val="004F5F71"/>
    <w:rsid w:val="004F5FD6"/>
    <w:rsid w:val="004F6366"/>
    <w:rsid w:val="004F6A87"/>
    <w:rsid w:val="004F6CCD"/>
    <w:rsid w:val="004F6E73"/>
    <w:rsid w:val="004F7AFA"/>
    <w:rsid w:val="004F7D9B"/>
    <w:rsid w:val="00501114"/>
    <w:rsid w:val="005018A8"/>
    <w:rsid w:val="00501B8F"/>
    <w:rsid w:val="00501C58"/>
    <w:rsid w:val="0050243F"/>
    <w:rsid w:val="005038EA"/>
    <w:rsid w:val="00504BE2"/>
    <w:rsid w:val="00504E3A"/>
    <w:rsid w:val="00505385"/>
    <w:rsid w:val="00505A39"/>
    <w:rsid w:val="00506AF7"/>
    <w:rsid w:val="00506BFD"/>
    <w:rsid w:val="00507F16"/>
    <w:rsid w:val="005100AE"/>
    <w:rsid w:val="005108C6"/>
    <w:rsid w:val="00510CEE"/>
    <w:rsid w:val="00512693"/>
    <w:rsid w:val="00512782"/>
    <w:rsid w:val="00512B3B"/>
    <w:rsid w:val="005136D2"/>
    <w:rsid w:val="00513F50"/>
    <w:rsid w:val="0051444A"/>
    <w:rsid w:val="005148CD"/>
    <w:rsid w:val="005148E5"/>
    <w:rsid w:val="00514D62"/>
    <w:rsid w:val="00515835"/>
    <w:rsid w:val="00516CB7"/>
    <w:rsid w:val="00516FAE"/>
    <w:rsid w:val="0051703D"/>
    <w:rsid w:val="00517121"/>
    <w:rsid w:val="0051712A"/>
    <w:rsid w:val="0051742A"/>
    <w:rsid w:val="00517BA7"/>
    <w:rsid w:val="00520102"/>
    <w:rsid w:val="00520CF6"/>
    <w:rsid w:val="00520EAB"/>
    <w:rsid w:val="005214D7"/>
    <w:rsid w:val="00521869"/>
    <w:rsid w:val="00521CE1"/>
    <w:rsid w:val="00522162"/>
    <w:rsid w:val="00522901"/>
    <w:rsid w:val="00523541"/>
    <w:rsid w:val="00523686"/>
    <w:rsid w:val="00523D4D"/>
    <w:rsid w:val="00523EB3"/>
    <w:rsid w:val="00523FCC"/>
    <w:rsid w:val="005240BF"/>
    <w:rsid w:val="005255B3"/>
    <w:rsid w:val="00525CE6"/>
    <w:rsid w:val="00525FFC"/>
    <w:rsid w:val="0052606E"/>
    <w:rsid w:val="00526128"/>
    <w:rsid w:val="00526239"/>
    <w:rsid w:val="005262BC"/>
    <w:rsid w:val="00526DCA"/>
    <w:rsid w:val="00526E8C"/>
    <w:rsid w:val="005272DA"/>
    <w:rsid w:val="005275B7"/>
    <w:rsid w:val="00527BA6"/>
    <w:rsid w:val="00530A14"/>
    <w:rsid w:val="0053197A"/>
    <w:rsid w:val="005323AE"/>
    <w:rsid w:val="005325D7"/>
    <w:rsid w:val="005329E0"/>
    <w:rsid w:val="00533C07"/>
    <w:rsid w:val="00533E65"/>
    <w:rsid w:val="00534069"/>
    <w:rsid w:val="005360AC"/>
    <w:rsid w:val="00536406"/>
    <w:rsid w:val="00536A5F"/>
    <w:rsid w:val="0053761F"/>
    <w:rsid w:val="0053783B"/>
    <w:rsid w:val="00540E29"/>
    <w:rsid w:val="00541131"/>
    <w:rsid w:val="00541540"/>
    <w:rsid w:val="005419BC"/>
    <w:rsid w:val="00541E48"/>
    <w:rsid w:val="005424E0"/>
    <w:rsid w:val="00542D2E"/>
    <w:rsid w:val="00542DBC"/>
    <w:rsid w:val="0054328F"/>
    <w:rsid w:val="00543D1B"/>
    <w:rsid w:val="005443F3"/>
    <w:rsid w:val="00544577"/>
    <w:rsid w:val="005448CE"/>
    <w:rsid w:val="00544D48"/>
    <w:rsid w:val="00545420"/>
    <w:rsid w:val="00545FBE"/>
    <w:rsid w:val="005468DC"/>
    <w:rsid w:val="00546FF0"/>
    <w:rsid w:val="005470B2"/>
    <w:rsid w:val="005470E9"/>
    <w:rsid w:val="00547222"/>
    <w:rsid w:val="0054739A"/>
    <w:rsid w:val="00547481"/>
    <w:rsid w:val="0054756C"/>
    <w:rsid w:val="005505DD"/>
    <w:rsid w:val="005514B4"/>
    <w:rsid w:val="005518C0"/>
    <w:rsid w:val="00551BE5"/>
    <w:rsid w:val="005528D6"/>
    <w:rsid w:val="0055386A"/>
    <w:rsid w:val="00553C6F"/>
    <w:rsid w:val="00554901"/>
    <w:rsid w:val="0055496E"/>
    <w:rsid w:val="00554AA4"/>
    <w:rsid w:val="00555179"/>
    <w:rsid w:val="00555F56"/>
    <w:rsid w:val="00556060"/>
    <w:rsid w:val="00556D89"/>
    <w:rsid w:val="005570FE"/>
    <w:rsid w:val="0056050C"/>
    <w:rsid w:val="005623E2"/>
    <w:rsid w:val="0056252A"/>
    <w:rsid w:val="00562727"/>
    <w:rsid w:val="0056284A"/>
    <w:rsid w:val="00562ABF"/>
    <w:rsid w:val="0056370B"/>
    <w:rsid w:val="00563922"/>
    <w:rsid w:val="00564498"/>
    <w:rsid w:val="00565CED"/>
    <w:rsid w:val="00565F27"/>
    <w:rsid w:val="00565F29"/>
    <w:rsid w:val="00567A49"/>
    <w:rsid w:val="00567E21"/>
    <w:rsid w:val="00567FAF"/>
    <w:rsid w:val="00570A79"/>
    <w:rsid w:val="00570E3C"/>
    <w:rsid w:val="00571819"/>
    <w:rsid w:val="005719CE"/>
    <w:rsid w:val="00571CB2"/>
    <w:rsid w:val="005725E3"/>
    <w:rsid w:val="00573B8C"/>
    <w:rsid w:val="00580301"/>
    <w:rsid w:val="005804B6"/>
    <w:rsid w:val="00580707"/>
    <w:rsid w:val="00580FE5"/>
    <w:rsid w:val="00581019"/>
    <w:rsid w:val="0058151C"/>
    <w:rsid w:val="00583003"/>
    <w:rsid w:val="00583289"/>
    <w:rsid w:val="005832D5"/>
    <w:rsid w:val="005836CA"/>
    <w:rsid w:val="00585390"/>
    <w:rsid w:val="00585A45"/>
    <w:rsid w:val="00585FC5"/>
    <w:rsid w:val="00586237"/>
    <w:rsid w:val="0058657B"/>
    <w:rsid w:val="005870F2"/>
    <w:rsid w:val="005874F2"/>
    <w:rsid w:val="0059012F"/>
    <w:rsid w:val="00591B75"/>
    <w:rsid w:val="00591F55"/>
    <w:rsid w:val="005921A1"/>
    <w:rsid w:val="00592356"/>
    <w:rsid w:val="00592785"/>
    <w:rsid w:val="00593052"/>
    <w:rsid w:val="00593452"/>
    <w:rsid w:val="00593483"/>
    <w:rsid w:val="005934C8"/>
    <w:rsid w:val="005935E0"/>
    <w:rsid w:val="00593716"/>
    <w:rsid w:val="005939A5"/>
    <w:rsid w:val="00595186"/>
    <w:rsid w:val="005951CF"/>
    <w:rsid w:val="0059529A"/>
    <w:rsid w:val="005961C7"/>
    <w:rsid w:val="00597CE3"/>
    <w:rsid w:val="005A00AC"/>
    <w:rsid w:val="005A124E"/>
    <w:rsid w:val="005A148C"/>
    <w:rsid w:val="005A16AE"/>
    <w:rsid w:val="005A23A1"/>
    <w:rsid w:val="005A2E51"/>
    <w:rsid w:val="005A3123"/>
    <w:rsid w:val="005A3943"/>
    <w:rsid w:val="005A4468"/>
    <w:rsid w:val="005A47F9"/>
    <w:rsid w:val="005A5431"/>
    <w:rsid w:val="005A6022"/>
    <w:rsid w:val="005A6A80"/>
    <w:rsid w:val="005A76F4"/>
    <w:rsid w:val="005B0EFC"/>
    <w:rsid w:val="005B1505"/>
    <w:rsid w:val="005B2D22"/>
    <w:rsid w:val="005B32C3"/>
    <w:rsid w:val="005B3543"/>
    <w:rsid w:val="005B3F15"/>
    <w:rsid w:val="005B42FD"/>
    <w:rsid w:val="005B49EC"/>
    <w:rsid w:val="005B4A77"/>
    <w:rsid w:val="005B57B1"/>
    <w:rsid w:val="005B5D32"/>
    <w:rsid w:val="005B6E6C"/>
    <w:rsid w:val="005B7D6E"/>
    <w:rsid w:val="005C0C6C"/>
    <w:rsid w:val="005C0D1A"/>
    <w:rsid w:val="005C1399"/>
    <w:rsid w:val="005C14D7"/>
    <w:rsid w:val="005C1D53"/>
    <w:rsid w:val="005C253A"/>
    <w:rsid w:val="005C2974"/>
    <w:rsid w:val="005C2A96"/>
    <w:rsid w:val="005C2CF9"/>
    <w:rsid w:val="005C3916"/>
    <w:rsid w:val="005C3C81"/>
    <w:rsid w:val="005C4512"/>
    <w:rsid w:val="005C5639"/>
    <w:rsid w:val="005C58FA"/>
    <w:rsid w:val="005C5FEA"/>
    <w:rsid w:val="005C68D4"/>
    <w:rsid w:val="005D013C"/>
    <w:rsid w:val="005D0391"/>
    <w:rsid w:val="005D0B5F"/>
    <w:rsid w:val="005D2BF6"/>
    <w:rsid w:val="005D3440"/>
    <w:rsid w:val="005D40A8"/>
    <w:rsid w:val="005D459B"/>
    <w:rsid w:val="005D4847"/>
    <w:rsid w:val="005D5DA8"/>
    <w:rsid w:val="005D613A"/>
    <w:rsid w:val="005D6B66"/>
    <w:rsid w:val="005D7C78"/>
    <w:rsid w:val="005E04A3"/>
    <w:rsid w:val="005E0A76"/>
    <w:rsid w:val="005E11BC"/>
    <w:rsid w:val="005E1643"/>
    <w:rsid w:val="005E2D27"/>
    <w:rsid w:val="005E2D9E"/>
    <w:rsid w:val="005E3540"/>
    <w:rsid w:val="005E56C7"/>
    <w:rsid w:val="005E5ADB"/>
    <w:rsid w:val="005E6081"/>
    <w:rsid w:val="005E6920"/>
    <w:rsid w:val="005E6AB0"/>
    <w:rsid w:val="005E78B4"/>
    <w:rsid w:val="005F0149"/>
    <w:rsid w:val="005F0DC1"/>
    <w:rsid w:val="005F1F85"/>
    <w:rsid w:val="005F3A4D"/>
    <w:rsid w:val="005F40D9"/>
    <w:rsid w:val="005F46B5"/>
    <w:rsid w:val="005F4E2B"/>
    <w:rsid w:val="005F4FBA"/>
    <w:rsid w:val="005F6DB3"/>
    <w:rsid w:val="005F767B"/>
    <w:rsid w:val="005F7ACE"/>
    <w:rsid w:val="006002AB"/>
    <w:rsid w:val="006009B3"/>
    <w:rsid w:val="00600B0E"/>
    <w:rsid w:val="00601485"/>
    <w:rsid w:val="00601B68"/>
    <w:rsid w:val="00601BA1"/>
    <w:rsid w:val="00601D1F"/>
    <w:rsid w:val="0060244C"/>
    <w:rsid w:val="0060258D"/>
    <w:rsid w:val="00602879"/>
    <w:rsid w:val="006029D2"/>
    <w:rsid w:val="006030AA"/>
    <w:rsid w:val="00603F08"/>
    <w:rsid w:val="00603F98"/>
    <w:rsid w:val="00604CF4"/>
    <w:rsid w:val="00605200"/>
    <w:rsid w:val="00605233"/>
    <w:rsid w:val="00606225"/>
    <w:rsid w:val="00606267"/>
    <w:rsid w:val="006071DC"/>
    <w:rsid w:val="00607248"/>
    <w:rsid w:val="00607641"/>
    <w:rsid w:val="00607788"/>
    <w:rsid w:val="0060797E"/>
    <w:rsid w:val="00607F3F"/>
    <w:rsid w:val="0061169B"/>
    <w:rsid w:val="0061174E"/>
    <w:rsid w:val="00611DD5"/>
    <w:rsid w:val="00612184"/>
    <w:rsid w:val="00612823"/>
    <w:rsid w:val="00612DB0"/>
    <w:rsid w:val="00612F88"/>
    <w:rsid w:val="006133CE"/>
    <w:rsid w:val="00614A62"/>
    <w:rsid w:val="0061584D"/>
    <w:rsid w:val="00615A72"/>
    <w:rsid w:val="00615AA4"/>
    <w:rsid w:val="00616DB4"/>
    <w:rsid w:val="0062044F"/>
    <w:rsid w:val="00620974"/>
    <w:rsid w:val="00621AFC"/>
    <w:rsid w:val="00621E26"/>
    <w:rsid w:val="006220CC"/>
    <w:rsid w:val="00622BEE"/>
    <w:rsid w:val="00622F52"/>
    <w:rsid w:val="0062316A"/>
    <w:rsid w:val="006240BE"/>
    <w:rsid w:val="00624196"/>
    <w:rsid w:val="00625253"/>
    <w:rsid w:val="00625787"/>
    <w:rsid w:val="00625BDC"/>
    <w:rsid w:val="00626772"/>
    <w:rsid w:val="00627802"/>
    <w:rsid w:val="00627B00"/>
    <w:rsid w:val="0063081C"/>
    <w:rsid w:val="00630E6D"/>
    <w:rsid w:val="00631313"/>
    <w:rsid w:val="00631E41"/>
    <w:rsid w:val="00632207"/>
    <w:rsid w:val="00632375"/>
    <w:rsid w:val="00632FE4"/>
    <w:rsid w:val="0063353B"/>
    <w:rsid w:val="00634063"/>
    <w:rsid w:val="0063432B"/>
    <w:rsid w:val="0063491C"/>
    <w:rsid w:val="0063629D"/>
    <w:rsid w:val="006365B3"/>
    <w:rsid w:val="006369C2"/>
    <w:rsid w:val="006369DD"/>
    <w:rsid w:val="00636BD8"/>
    <w:rsid w:val="0063714C"/>
    <w:rsid w:val="006379CA"/>
    <w:rsid w:val="00640251"/>
    <w:rsid w:val="00641434"/>
    <w:rsid w:val="006419E7"/>
    <w:rsid w:val="00641B70"/>
    <w:rsid w:val="00641B81"/>
    <w:rsid w:val="00641B91"/>
    <w:rsid w:val="006422F1"/>
    <w:rsid w:val="00643AA1"/>
    <w:rsid w:val="00643EB9"/>
    <w:rsid w:val="00644794"/>
    <w:rsid w:val="00644FA4"/>
    <w:rsid w:val="006455F0"/>
    <w:rsid w:val="0064572F"/>
    <w:rsid w:val="006467B2"/>
    <w:rsid w:val="00646934"/>
    <w:rsid w:val="00646F8A"/>
    <w:rsid w:val="00647BA9"/>
    <w:rsid w:val="00650161"/>
    <w:rsid w:val="006511C3"/>
    <w:rsid w:val="00651904"/>
    <w:rsid w:val="00652225"/>
    <w:rsid w:val="006529EA"/>
    <w:rsid w:val="006535EF"/>
    <w:rsid w:val="00653C44"/>
    <w:rsid w:val="00653FE7"/>
    <w:rsid w:val="0065411C"/>
    <w:rsid w:val="00654981"/>
    <w:rsid w:val="00654F67"/>
    <w:rsid w:val="00655BFC"/>
    <w:rsid w:val="00656287"/>
    <w:rsid w:val="006565B6"/>
    <w:rsid w:val="006568C6"/>
    <w:rsid w:val="006576BB"/>
    <w:rsid w:val="006577C0"/>
    <w:rsid w:val="006579D6"/>
    <w:rsid w:val="00657FA1"/>
    <w:rsid w:val="006615CF"/>
    <w:rsid w:val="006616FE"/>
    <w:rsid w:val="00661AFE"/>
    <w:rsid w:val="00661E2F"/>
    <w:rsid w:val="006621E5"/>
    <w:rsid w:val="006624AF"/>
    <w:rsid w:val="00662959"/>
    <w:rsid w:val="00662B11"/>
    <w:rsid w:val="006634CD"/>
    <w:rsid w:val="006635BB"/>
    <w:rsid w:val="00663F98"/>
    <w:rsid w:val="00664555"/>
    <w:rsid w:val="00664B9C"/>
    <w:rsid w:val="00664ED6"/>
    <w:rsid w:val="00664F39"/>
    <w:rsid w:val="006651F2"/>
    <w:rsid w:val="006656CD"/>
    <w:rsid w:val="006657E8"/>
    <w:rsid w:val="006658DD"/>
    <w:rsid w:val="00665E28"/>
    <w:rsid w:val="0066623C"/>
    <w:rsid w:val="006675D4"/>
    <w:rsid w:val="00667F2F"/>
    <w:rsid w:val="0067062E"/>
    <w:rsid w:val="00671D50"/>
    <w:rsid w:val="00672140"/>
    <w:rsid w:val="006722FC"/>
    <w:rsid w:val="006734D1"/>
    <w:rsid w:val="006736A8"/>
    <w:rsid w:val="00673830"/>
    <w:rsid w:val="00673A9B"/>
    <w:rsid w:val="00674C4B"/>
    <w:rsid w:val="00674EFF"/>
    <w:rsid w:val="00675114"/>
    <w:rsid w:val="0067542A"/>
    <w:rsid w:val="00675CA7"/>
    <w:rsid w:val="00675CFF"/>
    <w:rsid w:val="00675E9D"/>
    <w:rsid w:val="00675F0F"/>
    <w:rsid w:val="006773A1"/>
    <w:rsid w:val="00680B39"/>
    <w:rsid w:val="00680F19"/>
    <w:rsid w:val="006815B6"/>
    <w:rsid w:val="00682225"/>
    <w:rsid w:val="00682E08"/>
    <w:rsid w:val="006834AD"/>
    <w:rsid w:val="00683A67"/>
    <w:rsid w:val="0068439F"/>
    <w:rsid w:val="0068444C"/>
    <w:rsid w:val="006848DC"/>
    <w:rsid w:val="006859E1"/>
    <w:rsid w:val="00685ABC"/>
    <w:rsid w:val="00685BDB"/>
    <w:rsid w:val="00686043"/>
    <w:rsid w:val="00686929"/>
    <w:rsid w:val="00687566"/>
    <w:rsid w:val="00687C59"/>
    <w:rsid w:val="00687CEB"/>
    <w:rsid w:val="00690B45"/>
    <w:rsid w:val="00691C26"/>
    <w:rsid w:val="006929E2"/>
    <w:rsid w:val="00692DBB"/>
    <w:rsid w:val="006934C8"/>
    <w:rsid w:val="00695637"/>
    <w:rsid w:val="0069564C"/>
    <w:rsid w:val="00695C3E"/>
    <w:rsid w:val="0069618D"/>
    <w:rsid w:val="0069656D"/>
    <w:rsid w:val="00696846"/>
    <w:rsid w:val="0069712F"/>
    <w:rsid w:val="006974B5"/>
    <w:rsid w:val="006978F4"/>
    <w:rsid w:val="006A05B0"/>
    <w:rsid w:val="006A1147"/>
    <w:rsid w:val="006A1744"/>
    <w:rsid w:val="006A186A"/>
    <w:rsid w:val="006A203D"/>
    <w:rsid w:val="006A2A19"/>
    <w:rsid w:val="006A3468"/>
    <w:rsid w:val="006A3CE0"/>
    <w:rsid w:val="006A4570"/>
    <w:rsid w:val="006A4BBA"/>
    <w:rsid w:val="006A4C4D"/>
    <w:rsid w:val="006A4DC8"/>
    <w:rsid w:val="006A6833"/>
    <w:rsid w:val="006A6DF7"/>
    <w:rsid w:val="006A717F"/>
    <w:rsid w:val="006B040C"/>
    <w:rsid w:val="006B0444"/>
    <w:rsid w:val="006B04AA"/>
    <w:rsid w:val="006B09FB"/>
    <w:rsid w:val="006B2433"/>
    <w:rsid w:val="006B2452"/>
    <w:rsid w:val="006B26F8"/>
    <w:rsid w:val="006B30CF"/>
    <w:rsid w:val="006B32CB"/>
    <w:rsid w:val="006B3AD3"/>
    <w:rsid w:val="006B3CC1"/>
    <w:rsid w:val="006B4791"/>
    <w:rsid w:val="006B5892"/>
    <w:rsid w:val="006B5D8F"/>
    <w:rsid w:val="006B5F4C"/>
    <w:rsid w:val="006B60D3"/>
    <w:rsid w:val="006B6832"/>
    <w:rsid w:val="006B69F3"/>
    <w:rsid w:val="006B6C2F"/>
    <w:rsid w:val="006B7076"/>
    <w:rsid w:val="006B7859"/>
    <w:rsid w:val="006B7BDB"/>
    <w:rsid w:val="006C1441"/>
    <w:rsid w:val="006C156F"/>
    <w:rsid w:val="006C17F3"/>
    <w:rsid w:val="006C1A0B"/>
    <w:rsid w:val="006C1E16"/>
    <w:rsid w:val="006C1F10"/>
    <w:rsid w:val="006C26AC"/>
    <w:rsid w:val="006C3A02"/>
    <w:rsid w:val="006C3E02"/>
    <w:rsid w:val="006C3EFC"/>
    <w:rsid w:val="006C41AD"/>
    <w:rsid w:val="006C466D"/>
    <w:rsid w:val="006C4B12"/>
    <w:rsid w:val="006C5125"/>
    <w:rsid w:val="006C53FF"/>
    <w:rsid w:val="006C65BF"/>
    <w:rsid w:val="006C682A"/>
    <w:rsid w:val="006C759F"/>
    <w:rsid w:val="006C7813"/>
    <w:rsid w:val="006C7ED4"/>
    <w:rsid w:val="006D00B7"/>
    <w:rsid w:val="006D047C"/>
    <w:rsid w:val="006D08EE"/>
    <w:rsid w:val="006D12B5"/>
    <w:rsid w:val="006D1713"/>
    <w:rsid w:val="006D172B"/>
    <w:rsid w:val="006D2816"/>
    <w:rsid w:val="006D2F23"/>
    <w:rsid w:val="006D32FE"/>
    <w:rsid w:val="006D3F65"/>
    <w:rsid w:val="006D4F74"/>
    <w:rsid w:val="006D529B"/>
    <w:rsid w:val="006D5638"/>
    <w:rsid w:val="006D60AA"/>
    <w:rsid w:val="006D6914"/>
    <w:rsid w:val="006D6AF9"/>
    <w:rsid w:val="006D7197"/>
    <w:rsid w:val="006D7305"/>
    <w:rsid w:val="006D77A6"/>
    <w:rsid w:val="006D7D17"/>
    <w:rsid w:val="006D7E39"/>
    <w:rsid w:val="006E0510"/>
    <w:rsid w:val="006E0542"/>
    <w:rsid w:val="006E05E3"/>
    <w:rsid w:val="006E06AB"/>
    <w:rsid w:val="006E0874"/>
    <w:rsid w:val="006E1171"/>
    <w:rsid w:val="006E2F5A"/>
    <w:rsid w:val="006E49A8"/>
    <w:rsid w:val="006E512F"/>
    <w:rsid w:val="006E54FE"/>
    <w:rsid w:val="006E5D0E"/>
    <w:rsid w:val="006E5E28"/>
    <w:rsid w:val="006E6120"/>
    <w:rsid w:val="006E6574"/>
    <w:rsid w:val="006E698E"/>
    <w:rsid w:val="006E6FED"/>
    <w:rsid w:val="006E7011"/>
    <w:rsid w:val="006F03C3"/>
    <w:rsid w:val="006F1999"/>
    <w:rsid w:val="006F1DE0"/>
    <w:rsid w:val="006F2300"/>
    <w:rsid w:val="006F28B1"/>
    <w:rsid w:val="006F2BD1"/>
    <w:rsid w:val="006F385E"/>
    <w:rsid w:val="006F43EC"/>
    <w:rsid w:val="006F44E9"/>
    <w:rsid w:val="006F4A77"/>
    <w:rsid w:val="006F52DE"/>
    <w:rsid w:val="006F5575"/>
    <w:rsid w:val="006F5645"/>
    <w:rsid w:val="006F5796"/>
    <w:rsid w:val="006F5B6F"/>
    <w:rsid w:val="006F6185"/>
    <w:rsid w:val="006F6240"/>
    <w:rsid w:val="00701638"/>
    <w:rsid w:val="00701D78"/>
    <w:rsid w:val="00702632"/>
    <w:rsid w:val="00702801"/>
    <w:rsid w:val="00702A8C"/>
    <w:rsid w:val="007038D8"/>
    <w:rsid w:val="00703A99"/>
    <w:rsid w:val="00705485"/>
    <w:rsid w:val="00705F78"/>
    <w:rsid w:val="007061CC"/>
    <w:rsid w:val="007068BB"/>
    <w:rsid w:val="00706A07"/>
    <w:rsid w:val="00706B13"/>
    <w:rsid w:val="00706CD9"/>
    <w:rsid w:val="0070790F"/>
    <w:rsid w:val="00707AC7"/>
    <w:rsid w:val="007102B2"/>
    <w:rsid w:val="007118DD"/>
    <w:rsid w:val="00711EE8"/>
    <w:rsid w:val="00711F44"/>
    <w:rsid w:val="00713A01"/>
    <w:rsid w:val="0071487D"/>
    <w:rsid w:val="00714CF2"/>
    <w:rsid w:val="00714F01"/>
    <w:rsid w:val="007155BC"/>
    <w:rsid w:val="007156B9"/>
    <w:rsid w:val="00715810"/>
    <w:rsid w:val="0071671B"/>
    <w:rsid w:val="00716F6A"/>
    <w:rsid w:val="00716F84"/>
    <w:rsid w:val="0071726C"/>
    <w:rsid w:val="007176F0"/>
    <w:rsid w:val="00720817"/>
    <w:rsid w:val="007209DA"/>
    <w:rsid w:val="0072201E"/>
    <w:rsid w:val="007221DB"/>
    <w:rsid w:val="00722850"/>
    <w:rsid w:val="00722A5D"/>
    <w:rsid w:val="00722C01"/>
    <w:rsid w:val="00722D02"/>
    <w:rsid w:val="007230A5"/>
    <w:rsid w:val="00723CA2"/>
    <w:rsid w:val="00723E4B"/>
    <w:rsid w:val="007240ED"/>
    <w:rsid w:val="007257C7"/>
    <w:rsid w:val="007264F5"/>
    <w:rsid w:val="00726744"/>
    <w:rsid w:val="0072697B"/>
    <w:rsid w:val="00727BD0"/>
    <w:rsid w:val="00730005"/>
    <w:rsid w:val="00730B9C"/>
    <w:rsid w:val="00731CE1"/>
    <w:rsid w:val="007321DC"/>
    <w:rsid w:val="00732D18"/>
    <w:rsid w:val="00732E98"/>
    <w:rsid w:val="007330EC"/>
    <w:rsid w:val="007332F2"/>
    <w:rsid w:val="0073353F"/>
    <w:rsid w:val="00733810"/>
    <w:rsid w:val="007339D7"/>
    <w:rsid w:val="00734B1D"/>
    <w:rsid w:val="00735035"/>
    <w:rsid w:val="00735288"/>
    <w:rsid w:val="0073547E"/>
    <w:rsid w:val="00735796"/>
    <w:rsid w:val="00735A91"/>
    <w:rsid w:val="007371D4"/>
    <w:rsid w:val="0073781F"/>
    <w:rsid w:val="0074026C"/>
    <w:rsid w:val="00740492"/>
    <w:rsid w:val="007419D8"/>
    <w:rsid w:val="00742E45"/>
    <w:rsid w:val="00742F38"/>
    <w:rsid w:val="00743274"/>
    <w:rsid w:val="00743501"/>
    <w:rsid w:val="00743879"/>
    <w:rsid w:val="00743C1C"/>
    <w:rsid w:val="007447AF"/>
    <w:rsid w:val="00745194"/>
    <w:rsid w:val="007460C1"/>
    <w:rsid w:val="00746265"/>
    <w:rsid w:val="00747230"/>
    <w:rsid w:val="00747E75"/>
    <w:rsid w:val="00750332"/>
    <w:rsid w:val="0075076B"/>
    <w:rsid w:val="00750799"/>
    <w:rsid w:val="00750816"/>
    <w:rsid w:val="00750EB2"/>
    <w:rsid w:val="007512AB"/>
    <w:rsid w:val="00752951"/>
    <w:rsid w:val="00753828"/>
    <w:rsid w:val="00753BD6"/>
    <w:rsid w:val="00753CD0"/>
    <w:rsid w:val="007542A1"/>
    <w:rsid w:val="00755BD7"/>
    <w:rsid w:val="007569FB"/>
    <w:rsid w:val="00756DA9"/>
    <w:rsid w:val="007602A3"/>
    <w:rsid w:val="00761117"/>
    <w:rsid w:val="00761B1C"/>
    <w:rsid w:val="00761C9E"/>
    <w:rsid w:val="007620E4"/>
    <w:rsid w:val="00763995"/>
    <w:rsid w:val="00763D91"/>
    <w:rsid w:val="00763E4F"/>
    <w:rsid w:val="00764A45"/>
    <w:rsid w:val="00764C26"/>
    <w:rsid w:val="00764D71"/>
    <w:rsid w:val="00765272"/>
    <w:rsid w:val="007657C1"/>
    <w:rsid w:val="0076645A"/>
    <w:rsid w:val="0076667A"/>
    <w:rsid w:val="007668DF"/>
    <w:rsid w:val="00766AF3"/>
    <w:rsid w:val="00766C13"/>
    <w:rsid w:val="00767AFB"/>
    <w:rsid w:val="00770BFD"/>
    <w:rsid w:val="00771685"/>
    <w:rsid w:val="00771E73"/>
    <w:rsid w:val="00771FE3"/>
    <w:rsid w:val="00772245"/>
    <w:rsid w:val="00772B97"/>
    <w:rsid w:val="00773767"/>
    <w:rsid w:val="00773845"/>
    <w:rsid w:val="0077401F"/>
    <w:rsid w:val="007746F5"/>
    <w:rsid w:val="007748F7"/>
    <w:rsid w:val="00774CAA"/>
    <w:rsid w:val="00774D46"/>
    <w:rsid w:val="0077507F"/>
    <w:rsid w:val="007756D4"/>
    <w:rsid w:val="00775FA4"/>
    <w:rsid w:val="00776869"/>
    <w:rsid w:val="00776A46"/>
    <w:rsid w:val="0077753E"/>
    <w:rsid w:val="0077755F"/>
    <w:rsid w:val="00777796"/>
    <w:rsid w:val="007779B8"/>
    <w:rsid w:val="00780F9A"/>
    <w:rsid w:val="00781596"/>
    <w:rsid w:val="007816A0"/>
    <w:rsid w:val="007816CF"/>
    <w:rsid w:val="0078182E"/>
    <w:rsid w:val="007819B5"/>
    <w:rsid w:val="00782420"/>
    <w:rsid w:val="00783169"/>
    <w:rsid w:val="0078358D"/>
    <w:rsid w:val="00784DE2"/>
    <w:rsid w:val="00784E3C"/>
    <w:rsid w:val="00785A13"/>
    <w:rsid w:val="00786849"/>
    <w:rsid w:val="007907C3"/>
    <w:rsid w:val="00790F34"/>
    <w:rsid w:val="0079131D"/>
    <w:rsid w:val="00791D0E"/>
    <w:rsid w:val="00791F82"/>
    <w:rsid w:val="007936D5"/>
    <w:rsid w:val="00793DED"/>
    <w:rsid w:val="00794BDA"/>
    <w:rsid w:val="00795307"/>
    <w:rsid w:val="007955D2"/>
    <w:rsid w:val="007955F1"/>
    <w:rsid w:val="00795837"/>
    <w:rsid w:val="007959D7"/>
    <w:rsid w:val="007A043F"/>
    <w:rsid w:val="007A0B49"/>
    <w:rsid w:val="007A0DF8"/>
    <w:rsid w:val="007A0F8C"/>
    <w:rsid w:val="007A189D"/>
    <w:rsid w:val="007A22AD"/>
    <w:rsid w:val="007A23EE"/>
    <w:rsid w:val="007A286D"/>
    <w:rsid w:val="007A2BCD"/>
    <w:rsid w:val="007A3E2D"/>
    <w:rsid w:val="007A406D"/>
    <w:rsid w:val="007A4B22"/>
    <w:rsid w:val="007A5759"/>
    <w:rsid w:val="007A5929"/>
    <w:rsid w:val="007A5974"/>
    <w:rsid w:val="007A62B0"/>
    <w:rsid w:val="007A6387"/>
    <w:rsid w:val="007A6C0F"/>
    <w:rsid w:val="007A7907"/>
    <w:rsid w:val="007A7A7A"/>
    <w:rsid w:val="007B0803"/>
    <w:rsid w:val="007B121C"/>
    <w:rsid w:val="007B1B23"/>
    <w:rsid w:val="007B1F59"/>
    <w:rsid w:val="007B2B83"/>
    <w:rsid w:val="007B3044"/>
    <w:rsid w:val="007B35B4"/>
    <w:rsid w:val="007B42FD"/>
    <w:rsid w:val="007B48FE"/>
    <w:rsid w:val="007B4C25"/>
    <w:rsid w:val="007B5D33"/>
    <w:rsid w:val="007B70F8"/>
    <w:rsid w:val="007B73AF"/>
    <w:rsid w:val="007B76FE"/>
    <w:rsid w:val="007C184B"/>
    <w:rsid w:val="007C1998"/>
    <w:rsid w:val="007C219F"/>
    <w:rsid w:val="007C2D57"/>
    <w:rsid w:val="007C42D6"/>
    <w:rsid w:val="007C44E4"/>
    <w:rsid w:val="007C4D27"/>
    <w:rsid w:val="007C51E6"/>
    <w:rsid w:val="007C5A0C"/>
    <w:rsid w:val="007C62A3"/>
    <w:rsid w:val="007C632C"/>
    <w:rsid w:val="007C714C"/>
    <w:rsid w:val="007D1212"/>
    <w:rsid w:val="007D166F"/>
    <w:rsid w:val="007D2F69"/>
    <w:rsid w:val="007D4376"/>
    <w:rsid w:val="007D5429"/>
    <w:rsid w:val="007D5503"/>
    <w:rsid w:val="007D5E23"/>
    <w:rsid w:val="007D6045"/>
    <w:rsid w:val="007D6131"/>
    <w:rsid w:val="007D7481"/>
    <w:rsid w:val="007E03A6"/>
    <w:rsid w:val="007E082B"/>
    <w:rsid w:val="007E0A8F"/>
    <w:rsid w:val="007E0FEE"/>
    <w:rsid w:val="007E1434"/>
    <w:rsid w:val="007E2340"/>
    <w:rsid w:val="007E24B0"/>
    <w:rsid w:val="007E2953"/>
    <w:rsid w:val="007E2955"/>
    <w:rsid w:val="007E39EF"/>
    <w:rsid w:val="007E48D0"/>
    <w:rsid w:val="007E4D8A"/>
    <w:rsid w:val="007E5008"/>
    <w:rsid w:val="007E547F"/>
    <w:rsid w:val="007E5D6E"/>
    <w:rsid w:val="007E6D47"/>
    <w:rsid w:val="007E6D8F"/>
    <w:rsid w:val="007E7056"/>
    <w:rsid w:val="007E759C"/>
    <w:rsid w:val="007F0339"/>
    <w:rsid w:val="007F0460"/>
    <w:rsid w:val="007F0F19"/>
    <w:rsid w:val="007F0F31"/>
    <w:rsid w:val="007F1900"/>
    <w:rsid w:val="007F2017"/>
    <w:rsid w:val="007F2450"/>
    <w:rsid w:val="007F3AB4"/>
    <w:rsid w:val="007F4918"/>
    <w:rsid w:val="007F5369"/>
    <w:rsid w:val="007F5B7F"/>
    <w:rsid w:val="007F5D92"/>
    <w:rsid w:val="007F658B"/>
    <w:rsid w:val="007F6EEA"/>
    <w:rsid w:val="007F78A5"/>
    <w:rsid w:val="007F7D81"/>
    <w:rsid w:val="00800045"/>
    <w:rsid w:val="008001E9"/>
    <w:rsid w:val="008001EB"/>
    <w:rsid w:val="00800C60"/>
    <w:rsid w:val="0080127B"/>
    <w:rsid w:val="008016CD"/>
    <w:rsid w:val="00801B8D"/>
    <w:rsid w:val="0080281B"/>
    <w:rsid w:val="00803070"/>
    <w:rsid w:val="008031E1"/>
    <w:rsid w:val="00803CF2"/>
    <w:rsid w:val="0080422D"/>
    <w:rsid w:val="008045DA"/>
    <w:rsid w:val="00804A59"/>
    <w:rsid w:val="00804CE7"/>
    <w:rsid w:val="0080539E"/>
    <w:rsid w:val="00805754"/>
    <w:rsid w:val="00805B83"/>
    <w:rsid w:val="00806786"/>
    <w:rsid w:val="008069D6"/>
    <w:rsid w:val="00806BEB"/>
    <w:rsid w:val="00807771"/>
    <w:rsid w:val="00807CCA"/>
    <w:rsid w:val="00810974"/>
    <w:rsid w:val="008119BE"/>
    <w:rsid w:val="00811A23"/>
    <w:rsid w:val="00811A5D"/>
    <w:rsid w:val="00813CFA"/>
    <w:rsid w:val="00813CFF"/>
    <w:rsid w:val="008140D1"/>
    <w:rsid w:val="0081491C"/>
    <w:rsid w:val="008149A1"/>
    <w:rsid w:val="0081518F"/>
    <w:rsid w:val="008153A1"/>
    <w:rsid w:val="008159CF"/>
    <w:rsid w:val="008163A5"/>
    <w:rsid w:val="00816E05"/>
    <w:rsid w:val="008179E9"/>
    <w:rsid w:val="00817C90"/>
    <w:rsid w:val="00820137"/>
    <w:rsid w:val="0082048B"/>
    <w:rsid w:val="00820D14"/>
    <w:rsid w:val="00821160"/>
    <w:rsid w:val="00821352"/>
    <w:rsid w:val="00821A0B"/>
    <w:rsid w:val="00821D36"/>
    <w:rsid w:val="008224E0"/>
    <w:rsid w:val="008226EE"/>
    <w:rsid w:val="008230B5"/>
    <w:rsid w:val="00823298"/>
    <w:rsid w:val="00823389"/>
    <w:rsid w:val="008241B1"/>
    <w:rsid w:val="00824E94"/>
    <w:rsid w:val="00827508"/>
    <w:rsid w:val="00830B7F"/>
    <w:rsid w:val="00831511"/>
    <w:rsid w:val="00831B7D"/>
    <w:rsid w:val="00832663"/>
    <w:rsid w:val="00832918"/>
    <w:rsid w:val="00832CE4"/>
    <w:rsid w:val="00832DD5"/>
    <w:rsid w:val="00833562"/>
    <w:rsid w:val="008339BB"/>
    <w:rsid w:val="0083406E"/>
    <w:rsid w:val="008342EF"/>
    <w:rsid w:val="00834396"/>
    <w:rsid w:val="00834586"/>
    <w:rsid w:val="00834D7A"/>
    <w:rsid w:val="00835649"/>
    <w:rsid w:val="00835849"/>
    <w:rsid w:val="00835CA5"/>
    <w:rsid w:val="00835F34"/>
    <w:rsid w:val="00836185"/>
    <w:rsid w:val="00836D90"/>
    <w:rsid w:val="008370A1"/>
    <w:rsid w:val="008370EE"/>
    <w:rsid w:val="00840170"/>
    <w:rsid w:val="00841589"/>
    <w:rsid w:val="00841918"/>
    <w:rsid w:val="00841F8B"/>
    <w:rsid w:val="0084211A"/>
    <w:rsid w:val="00842BE1"/>
    <w:rsid w:val="00843109"/>
    <w:rsid w:val="008434EB"/>
    <w:rsid w:val="00843526"/>
    <w:rsid w:val="0084393C"/>
    <w:rsid w:val="00843F39"/>
    <w:rsid w:val="00844126"/>
    <w:rsid w:val="008448FE"/>
    <w:rsid w:val="00844C4E"/>
    <w:rsid w:val="00844EB0"/>
    <w:rsid w:val="00845F18"/>
    <w:rsid w:val="008464FE"/>
    <w:rsid w:val="00846557"/>
    <w:rsid w:val="00846CC3"/>
    <w:rsid w:val="0084743F"/>
    <w:rsid w:val="008503F7"/>
    <w:rsid w:val="008504B1"/>
    <w:rsid w:val="008506E8"/>
    <w:rsid w:val="008509BB"/>
    <w:rsid w:val="00850B1B"/>
    <w:rsid w:val="00851021"/>
    <w:rsid w:val="00851FDA"/>
    <w:rsid w:val="00852F36"/>
    <w:rsid w:val="00853FBC"/>
    <w:rsid w:val="00854290"/>
    <w:rsid w:val="008543E5"/>
    <w:rsid w:val="0085471A"/>
    <w:rsid w:val="008564D0"/>
    <w:rsid w:val="0085667A"/>
    <w:rsid w:val="008573D3"/>
    <w:rsid w:val="00857A73"/>
    <w:rsid w:val="00857C1A"/>
    <w:rsid w:val="00857FCF"/>
    <w:rsid w:val="00860C08"/>
    <w:rsid w:val="00861840"/>
    <w:rsid w:val="00861BD0"/>
    <w:rsid w:val="008624FC"/>
    <w:rsid w:val="00862F00"/>
    <w:rsid w:val="008635F0"/>
    <w:rsid w:val="00863674"/>
    <w:rsid w:val="0086419A"/>
    <w:rsid w:val="008657F1"/>
    <w:rsid w:val="00865B7B"/>
    <w:rsid w:val="00865FF2"/>
    <w:rsid w:val="00866B97"/>
    <w:rsid w:val="0086724A"/>
    <w:rsid w:val="00867572"/>
    <w:rsid w:val="0087023B"/>
    <w:rsid w:val="008703B3"/>
    <w:rsid w:val="00870555"/>
    <w:rsid w:val="00870B36"/>
    <w:rsid w:val="00870E78"/>
    <w:rsid w:val="00870EDB"/>
    <w:rsid w:val="00873B4E"/>
    <w:rsid w:val="00873CD9"/>
    <w:rsid w:val="00873D42"/>
    <w:rsid w:val="008742CE"/>
    <w:rsid w:val="008743D7"/>
    <w:rsid w:val="00875167"/>
    <w:rsid w:val="008755B1"/>
    <w:rsid w:val="008756BD"/>
    <w:rsid w:val="00875F17"/>
    <w:rsid w:val="00876599"/>
    <w:rsid w:val="008803FD"/>
    <w:rsid w:val="0088057B"/>
    <w:rsid w:val="00880A8E"/>
    <w:rsid w:val="00880D24"/>
    <w:rsid w:val="00881103"/>
    <w:rsid w:val="00881DF9"/>
    <w:rsid w:val="008821D2"/>
    <w:rsid w:val="00882849"/>
    <w:rsid w:val="00883555"/>
    <w:rsid w:val="00883D90"/>
    <w:rsid w:val="00885552"/>
    <w:rsid w:val="00887C84"/>
    <w:rsid w:val="00887E6A"/>
    <w:rsid w:val="008900DA"/>
    <w:rsid w:val="008902D1"/>
    <w:rsid w:val="008903FB"/>
    <w:rsid w:val="0089079D"/>
    <w:rsid w:val="008907A4"/>
    <w:rsid w:val="00891E75"/>
    <w:rsid w:val="00892DF6"/>
    <w:rsid w:val="00892E3F"/>
    <w:rsid w:val="00893291"/>
    <w:rsid w:val="0089417D"/>
    <w:rsid w:val="0089628D"/>
    <w:rsid w:val="00896AF7"/>
    <w:rsid w:val="00896FDC"/>
    <w:rsid w:val="00897461"/>
    <w:rsid w:val="008974D0"/>
    <w:rsid w:val="00897C97"/>
    <w:rsid w:val="008A0C1A"/>
    <w:rsid w:val="008A1073"/>
    <w:rsid w:val="008A179F"/>
    <w:rsid w:val="008A19B8"/>
    <w:rsid w:val="008A1F39"/>
    <w:rsid w:val="008A1FC0"/>
    <w:rsid w:val="008A23B0"/>
    <w:rsid w:val="008A25EF"/>
    <w:rsid w:val="008A36AA"/>
    <w:rsid w:val="008A38F7"/>
    <w:rsid w:val="008A3AE8"/>
    <w:rsid w:val="008A5411"/>
    <w:rsid w:val="008A57C5"/>
    <w:rsid w:val="008A5D9D"/>
    <w:rsid w:val="008A6554"/>
    <w:rsid w:val="008A6621"/>
    <w:rsid w:val="008A66D0"/>
    <w:rsid w:val="008A6961"/>
    <w:rsid w:val="008B07DF"/>
    <w:rsid w:val="008B0864"/>
    <w:rsid w:val="008B0C4D"/>
    <w:rsid w:val="008B103C"/>
    <w:rsid w:val="008B27B2"/>
    <w:rsid w:val="008B329E"/>
    <w:rsid w:val="008B447F"/>
    <w:rsid w:val="008B51B4"/>
    <w:rsid w:val="008B548C"/>
    <w:rsid w:val="008B55FA"/>
    <w:rsid w:val="008B58E2"/>
    <w:rsid w:val="008B60A0"/>
    <w:rsid w:val="008B787B"/>
    <w:rsid w:val="008B7A87"/>
    <w:rsid w:val="008C044F"/>
    <w:rsid w:val="008C0BEB"/>
    <w:rsid w:val="008C179C"/>
    <w:rsid w:val="008C2414"/>
    <w:rsid w:val="008C2786"/>
    <w:rsid w:val="008C362A"/>
    <w:rsid w:val="008C3DB1"/>
    <w:rsid w:val="008C60D0"/>
    <w:rsid w:val="008C6243"/>
    <w:rsid w:val="008C63ED"/>
    <w:rsid w:val="008C650A"/>
    <w:rsid w:val="008C6A27"/>
    <w:rsid w:val="008C6E0B"/>
    <w:rsid w:val="008C70A0"/>
    <w:rsid w:val="008C7413"/>
    <w:rsid w:val="008C7C80"/>
    <w:rsid w:val="008D0B98"/>
    <w:rsid w:val="008D16B7"/>
    <w:rsid w:val="008D1C2A"/>
    <w:rsid w:val="008D1EFF"/>
    <w:rsid w:val="008D2C0D"/>
    <w:rsid w:val="008D2F15"/>
    <w:rsid w:val="008D33A9"/>
    <w:rsid w:val="008D373F"/>
    <w:rsid w:val="008D3AEF"/>
    <w:rsid w:val="008D43D4"/>
    <w:rsid w:val="008D47BB"/>
    <w:rsid w:val="008D5343"/>
    <w:rsid w:val="008D5CAD"/>
    <w:rsid w:val="008D62FE"/>
    <w:rsid w:val="008D6CF1"/>
    <w:rsid w:val="008D6F7F"/>
    <w:rsid w:val="008D76C2"/>
    <w:rsid w:val="008D77CF"/>
    <w:rsid w:val="008D7B4B"/>
    <w:rsid w:val="008E05B5"/>
    <w:rsid w:val="008E0F15"/>
    <w:rsid w:val="008E1028"/>
    <w:rsid w:val="008E123D"/>
    <w:rsid w:val="008E1453"/>
    <w:rsid w:val="008E1D96"/>
    <w:rsid w:val="008E35D7"/>
    <w:rsid w:val="008E38A2"/>
    <w:rsid w:val="008E45BC"/>
    <w:rsid w:val="008E47E2"/>
    <w:rsid w:val="008E4DFB"/>
    <w:rsid w:val="008E533A"/>
    <w:rsid w:val="008E5B8B"/>
    <w:rsid w:val="008E68A9"/>
    <w:rsid w:val="008E6AE6"/>
    <w:rsid w:val="008F0116"/>
    <w:rsid w:val="008F03C1"/>
    <w:rsid w:val="008F090D"/>
    <w:rsid w:val="008F0F28"/>
    <w:rsid w:val="008F143D"/>
    <w:rsid w:val="008F14BD"/>
    <w:rsid w:val="008F19AA"/>
    <w:rsid w:val="008F1FBE"/>
    <w:rsid w:val="008F227F"/>
    <w:rsid w:val="008F23CC"/>
    <w:rsid w:val="008F29B6"/>
    <w:rsid w:val="008F2B49"/>
    <w:rsid w:val="008F3AA2"/>
    <w:rsid w:val="008F4071"/>
    <w:rsid w:val="008F5295"/>
    <w:rsid w:val="008F624B"/>
    <w:rsid w:val="008F696C"/>
    <w:rsid w:val="008F762D"/>
    <w:rsid w:val="00900046"/>
    <w:rsid w:val="00901CF9"/>
    <w:rsid w:val="00901F9E"/>
    <w:rsid w:val="00901FF0"/>
    <w:rsid w:val="009036B2"/>
    <w:rsid w:val="009043E7"/>
    <w:rsid w:val="00904742"/>
    <w:rsid w:val="00904F73"/>
    <w:rsid w:val="00905397"/>
    <w:rsid w:val="00905658"/>
    <w:rsid w:val="009056CE"/>
    <w:rsid w:val="009057D7"/>
    <w:rsid w:val="00905BB5"/>
    <w:rsid w:val="00905DF6"/>
    <w:rsid w:val="00906E54"/>
    <w:rsid w:val="00906F60"/>
    <w:rsid w:val="00907A2F"/>
    <w:rsid w:val="00907EE5"/>
    <w:rsid w:val="00911E50"/>
    <w:rsid w:val="00913304"/>
    <w:rsid w:val="00913584"/>
    <w:rsid w:val="00913AF2"/>
    <w:rsid w:val="00913BA5"/>
    <w:rsid w:val="00914D4C"/>
    <w:rsid w:val="00916A12"/>
    <w:rsid w:val="00916ED7"/>
    <w:rsid w:val="00916F0E"/>
    <w:rsid w:val="00917647"/>
    <w:rsid w:val="0091779B"/>
    <w:rsid w:val="00917913"/>
    <w:rsid w:val="00917AF1"/>
    <w:rsid w:val="00920011"/>
    <w:rsid w:val="00920AE1"/>
    <w:rsid w:val="00920D4D"/>
    <w:rsid w:val="00922E40"/>
    <w:rsid w:val="00924D0B"/>
    <w:rsid w:val="009253E0"/>
    <w:rsid w:val="00925F88"/>
    <w:rsid w:val="00926C9B"/>
    <w:rsid w:val="00927547"/>
    <w:rsid w:val="00927F5A"/>
    <w:rsid w:val="0093006B"/>
    <w:rsid w:val="009308E8"/>
    <w:rsid w:val="00930996"/>
    <w:rsid w:val="00931B9F"/>
    <w:rsid w:val="00931E1B"/>
    <w:rsid w:val="00932865"/>
    <w:rsid w:val="00932996"/>
    <w:rsid w:val="00932A73"/>
    <w:rsid w:val="00932CCE"/>
    <w:rsid w:val="009334ED"/>
    <w:rsid w:val="00933ABA"/>
    <w:rsid w:val="00933C5B"/>
    <w:rsid w:val="00933C8A"/>
    <w:rsid w:val="009348AE"/>
    <w:rsid w:val="009355DD"/>
    <w:rsid w:val="00935AF9"/>
    <w:rsid w:val="009360BB"/>
    <w:rsid w:val="009365EC"/>
    <w:rsid w:val="00936611"/>
    <w:rsid w:val="009376A8"/>
    <w:rsid w:val="00937815"/>
    <w:rsid w:val="00937C44"/>
    <w:rsid w:val="009403CC"/>
    <w:rsid w:val="009417D3"/>
    <w:rsid w:val="0094199E"/>
    <w:rsid w:val="00941C2B"/>
    <w:rsid w:val="00942286"/>
    <w:rsid w:val="00943DDF"/>
    <w:rsid w:val="00944616"/>
    <w:rsid w:val="00945C26"/>
    <w:rsid w:val="00946002"/>
    <w:rsid w:val="00946261"/>
    <w:rsid w:val="0094637F"/>
    <w:rsid w:val="009474B7"/>
    <w:rsid w:val="00947B06"/>
    <w:rsid w:val="0095002E"/>
    <w:rsid w:val="00950FD8"/>
    <w:rsid w:val="009524C9"/>
    <w:rsid w:val="009525F4"/>
    <w:rsid w:val="00952A31"/>
    <w:rsid w:val="009530B8"/>
    <w:rsid w:val="00953946"/>
    <w:rsid w:val="00954324"/>
    <w:rsid w:val="00954804"/>
    <w:rsid w:val="00955706"/>
    <w:rsid w:val="00955765"/>
    <w:rsid w:val="00956EC6"/>
    <w:rsid w:val="00957F4B"/>
    <w:rsid w:val="00960A23"/>
    <w:rsid w:val="00961588"/>
    <w:rsid w:val="009617A5"/>
    <w:rsid w:val="00961E0E"/>
    <w:rsid w:val="00961E46"/>
    <w:rsid w:val="00962404"/>
    <w:rsid w:val="009624C6"/>
    <w:rsid w:val="00962795"/>
    <w:rsid w:val="00963120"/>
    <w:rsid w:val="009634EA"/>
    <w:rsid w:val="00963792"/>
    <w:rsid w:val="00964F06"/>
    <w:rsid w:val="00964F76"/>
    <w:rsid w:val="00965039"/>
    <w:rsid w:val="0096557C"/>
    <w:rsid w:val="00966081"/>
    <w:rsid w:val="00966BAB"/>
    <w:rsid w:val="00966EB3"/>
    <w:rsid w:val="00967079"/>
    <w:rsid w:val="009704D7"/>
    <w:rsid w:val="00972005"/>
    <w:rsid w:val="00972142"/>
    <w:rsid w:val="00972399"/>
    <w:rsid w:val="00972637"/>
    <w:rsid w:val="009734AD"/>
    <w:rsid w:val="00974906"/>
    <w:rsid w:val="00974913"/>
    <w:rsid w:val="009771AD"/>
    <w:rsid w:val="00977360"/>
    <w:rsid w:val="00977F36"/>
    <w:rsid w:val="009804FF"/>
    <w:rsid w:val="0098063C"/>
    <w:rsid w:val="00980933"/>
    <w:rsid w:val="0098138E"/>
    <w:rsid w:val="00981483"/>
    <w:rsid w:val="00981D77"/>
    <w:rsid w:val="00982072"/>
    <w:rsid w:val="009826B8"/>
    <w:rsid w:val="00982F2A"/>
    <w:rsid w:val="009832A0"/>
    <w:rsid w:val="0098655A"/>
    <w:rsid w:val="0098712A"/>
    <w:rsid w:val="00987AD4"/>
    <w:rsid w:val="00990143"/>
    <w:rsid w:val="00990C60"/>
    <w:rsid w:val="00990FF1"/>
    <w:rsid w:val="00991D99"/>
    <w:rsid w:val="009920EC"/>
    <w:rsid w:val="00992D0A"/>
    <w:rsid w:val="00993714"/>
    <w:rsid w:val="00993A19"/>
    <w:rsid w:val="009943B8"/>
    <w:rsid w:val="00994D79"/>
    <w:rsid w:val="00995480"/>
    <w:rsid w:val="009959CC"/>
    <w:rsid w:val="00996E7A"/>
    <w:rsid w:val="00997D55"/>
    <w:rsid w:val="009A03F3"/>
    <w:rsid w:val="009A0D02"/>
    <w:rsid w:val="009A1C10"/>
    <w:rsid w:val="009A1CBE"/>
    <w:rsid w:val="009A1E9A"/>
    <w:rsid w:val="009A2372"/>
    <w:rsid w:val="009A2508"/>
    <w:rsid w:val="009A2861"/>
    <w:rsid w:val="009A2AFF"/>
    <w:rsid w:val="009A2ECA"/>
    <w:rsid w:val="009A313C"/>
    <w:rsid w:val="009A3643"/>
    <w:rsid w:val="009A3D5B"/>
    <w:rsid w:val="009A48DA"/>
    <w:rsid w:val="009A5197"/>
    <w:rsid w:val="009A63D1"/>
    <w:rsid w:val="009A666A"/>
    <w:rsid w:val="009A74CE"/>
    <w:rsid w:val="009A7F4F"/>
    <w:rsid w:val="009B0836"/>
    <w:rsid w:val="009B1563"/>
    <w:rsid w:val="009B1BF0"/>
    <w:rsid w:val="009B1E2C"/>
    <w:rsid w:val="009B2340"/>
    <w:rsid w:val="009B2854"/>
    <w:rsid w:val="009B287F"/>
    <w:rsid w:val="009B2FBE"/>
    <w:rsid w:val="009B31DA"/>
    <w:rsid w:val="009B3A45"/>
    <w:rsid w:val="009B6056"/>
    <w:rsid w:val="009B6543"/>
    <w:rsid w:val="009B6E8B"/>
    <w:rsid w:val="009B6FE9"/>
    <w:rsid w:val="009B702A"/>
    <w:rsid w:val="009B7769"/>
    <w:rsid w:val="009C01FE"/>
    <w:rsid w:val="009C0815"/>
    <w:rsid w:val="009C0F71"/>
    <w:rsid w:val="009C0FEA"/>
    <w:rsid w:val="009C1306"/>
    <w:rsid w:val="009C2EBD"/>
    <w:rsid w:val="009C2F2C"/>
    <w:rsid w:val="009C2FBD"/>
    <w:rsid w:val="009C39FB"/>
    <w:rsid w:val="009C3B79"/>
    <w:rsid w:val="009C466F"/>
    <w:rsid w:val="009C5344"/>
    <w:rsid w:val="009C57F5"/>
    <w:rsid w:val="009C5B56"/>
    <w:rsid w:val="009C7A0A"/>
    <w:rsid w:val="009C7F0D"/>
    <w:rsid w:val="009D0340"/>
    <w:rsid w:val="009D0554"/>
    <w:rsid w:val="009D0A29"/>
    <w:rsid w:val="009D1515"/>
    <w:rsid w:val="009D1A21"/>
    <w:rsid w:val="009D1E26"/>
    <w:rsid w:val="009D28E5"/>
    <w:rsid w:val="009D3208"/>
    <w:rsid w:val="009D3448"/>
    <w:rsid w:val="009D3AED"/>
    <w:rsid w:val="009D53F5"/>
    <w:rsid w:val="009D5708"/>
    <w:rsid w:val="009D5BE4"/>
    <w:rsid w:val="009D5DDA"/>
    <w:rsid w:val="009D6334"/>
    <w:rsid w:val="009D68E1"/>
    <w:rsid w:val="009D6AE4"/>
    <w:rsid w:val="009D6DFF"/>
    <w:rsid w:val="009D709D"/>
    <w:rsid w:val="009D7826"/>
    <w:rsid w:val="009D7A67"/>
    <w:rsid w:val="009D7C3B"/>
    <w:rsid w:val="009E08AF"/>
    <w:rsid w:val="009E0A69"/>
    <w:rsid w:val="009E0C6E"/>
    <w:rsid w:val="009E0F07"/>
    <w:rsid w:val="009E2245"/>
    <w:rsid w:val="009E22E2"/>
    <w:rsid w:val="009E28D1"/>
    <w:rsid w:val="009E2FB6"/>
    <w:rsid w:val="009E3323"/>
    <w:rsid w:val="009E3943"/>
    <w:rsid w:val="009E4599"/>
    <w:rsid w:val="009E5292"/>
    <w:rsid w:val="009E584B"/>
    <w:rsid w:val="009E5A7B"/>
    <w:rsid w:val="009E5B56"/>
    <w:rsid w:val="009E6052"/>
    <w:rsid w:val="009E6C62"/>
    <w:rsid w:val="009E7C7F"/>
    <w:rsid w:val="009E7CA1"/>
    <w:rsid w:val="009F03BB"/>
    <w:rsid w:val="009F05D7"/>
    <w:rsid w:val="009F1BCE"/>
    <w:rsid w:val="009F21EF"/>
    <w:rsid w:val="009F3188"/>
    <w:rsid w:val="009F3B02"/>
    <w:rsid w:val="009F3DF9"/>
    <w:rsid w:val="009F5060"/>
    <w:rsid w:val="009F5837"/>
    <w:rsid w:val="009F7314"/>
    <w:rsid w:val="009F7337"/>
    <w:rsid w:val="009F7AB8"/>
    <w:rsid w:val="00A005ED"/>
    <w:rsid w:val="00A00A34"/>
    <w:rsid w:val="00A00AAB"/>
    <w:rsid w:val="00A02266"/>
    <w:rsid w:val="00A02629"/>
    <w:rsid w:val="00A0285A"/>
    <w:rsid w:val="00A0461E"/>
    <w:rsid w:val="00A04802"/>
    <w:rsid w:val="00A04BC8"/>
    <w:rsid w:val="00A05734"/>
    <w:rsid w:val="00A057DF"/>
    <w:rsid w:val="00A0662A"/>
    <w:rsid w:val="00A066CD"/>
    <w:rsid w:val="00A06958"/>
    <w:rsid w:val="00A06B4E"/>
    <w:rsid w:val="00A07032"/>
    <w:rsid w:val="00A0725E"/>
    <w:rsid w:val="00A0776D"/>
    <w:rsid w:val="00A105AB"/>
    <w:rsid w:val="00A11BF4"/>
    <w:rsid w:val="00A1201B"/>
    <w:rsid w:val="00A1248B"/>
    <w:rsid w:val="00A125A2"/>
    <w:rsid w:val="00A12692"/>
    <w:rsid w:val="00A12BAC"/>
    <w:rsid w:val="00A1416A"/>
    <w:rsid w:val="00A14391"/>
    <w:rsid w:val="00A143E1"/>
    <w:rsid w:val="00A14C57"/>
    <w:rsid w:val="00A15B4F"/>
    <w:rsid w:val="00A16329"/>
    <w:rsid w:val="00A174AB"/>
    <w:rsid w:val="00A17727"/>
    <w:rsid w:val="00A17B09"/>
    <w:rsid w:val="00A17CE0"/>
    <w:rsid w:val="00A20E95"/>
    <w:rsid w:val="00A21F8A"/>
    <w:rsid w:val="00A21FA0"/>
    <w:rsid w:val="00A224F5"/>
    <w:rsid w:val="00A22A06"/>
    <w:rsid w:val="00A22DC3"/>
    <w:rsid w:val="00A235A2"/>
    <w:rsid w:val="00A23D48"/>
    <w:rsid w:val="00A24321"/>
    <w:rsid w:val="00A249EA"/>
    <w:rsid w:val="00A25CF0"/>
    <w:rsid w:val="00A2607F"/>
    <w:rsid w:val="00A2664C"/>
    <w:rsid w:val="00A267E7"/>
    <w:rsid w:val="00A272D8"/>
    <w:rsid w:val="00A27FEA"/>
    <w:rsid w:val="00A30D07"/>
    <w:rsid w:val="00A3184A"/>
    <w:rsid w:val="00A31B06"/>
    <w:rsid w:val="00A31E64"/>
    <w:rsid w:val="00A3313E"/>
    <w:rsid w:val="00A34610"/>
    <w:rsid w:val="00A35871"/>
    <w:rsid w:val="00A360FB"/>
    <w:rsid w:val="00A3655D"/>
    <w:rsid w:val="00A367B6"/>
    <w:rsid w:val="00A36A38"/>
    <w:rsid w:val="00A36FE7"/>
    <w:rsid w:val="00A3741C"/>
    <w:rsid w:val="00A37502"/>
    <w:rsid w:val="00A412AF"/>
    <w:rsid w:val="00A417F6"/>
    <w:rsid w:val="00A420BF"/>
    <w:rsid w:val="00A42306"/>
    <w:rsid w:val="00A43A43"/>
    <w:rsid w:val="00A44E8D"/>
    <w:rsid w:val="00A45F40"/>
    <w:rsid w:val="00A4637C"/>
    <w:rsid w:val="00A4653B"/>
    <w:rsid w:val="00A46E02"/>
    <w:rsid w:val="00A46EA8"/>
    <w:rsid w:val="00A50150"/>
    <w:rsid w:val="00A504F8"/>
    <w:rsid w:val="00A50D5C"/>
    <w:rsid w:val="00A514FF"/>
    <w:rsid w:val="00A51E4A"/>
    <w:rsid w:val="00A52638"/>
    <w:rsid w:val="00A52928"/>
    <w:rsid w:val="00A52D28"/>
    <w:rsid w:val="00A552EB"/>
    <w:rsid w:val="00A553CA"/>
    <w:rsid w:val="00A559F3"/>
    <w:rsid w:val="00A55ACD"/>
    <w:rsid w:val="00A55F3E"/>
    <w:rsid w:val="00A55FA5"/>
    <w:rsid w:val="00A564E6"/>
    <w:rsid w:val="00A56524"/>
    <w:rsid w:val="00A56B0E"/>
    <w:rsid w:val="00A57137"/>
    <w:rsid w:val="00A5722C"/>
    <w:rsid w:val="00A57858"/>
    <w:rsid w:val="00A57C91"/>
    <w:rsid w:val="00A603E2"/>
    <w:rsid w:val="00A60D49"/>
    <w:rsid w:val="00A60D67"/>
    <w:rsid w:val="00A61B37"/>
    <w:rsid w:val="00A62F21"/>
    <w:rsid w:val="00A62F64"/>
    <w:rsid w:val="00A634F3"/>
    <w:rsid w:val="00A647AD"/>
    <w:rsid w:val="00A64DB0"/>
    <w:rsid w:val="00A64DDE"/>
    <w:rsid w:val="00A70620"/>
    <w:rsid w:val="00A72B19"/>
    <w:rsid w:val="00A74220"/>
    <w:rsid w:val="00A743AB"/>
    <w:rsid w:val="00A74583"/>
    <w:rsid w:val="00A74BFA"/>
    <w:rsid w:val="00A74E55"/>
    <w:rsid w:val="00A75367"/>
    <w:rsid w:val="00A773B0"/>
    <w:rsid w:val="00A81D27"/>
    <w:rsid w:val="00A825EB"/>
    <w:rsid w:val="00A828FA"/>
    <w:rsid w:val="00A82F3E"/>
    <w:rsid w:val="00A83A0B"/>
    <w:rsid w:val="00A848CB"/>
    <w:rsid w:val="00A84AD0"/>
    <w:rsid w:val="00A85D27"/>
    <w:rsid w:val="00A87902"/>
    <w:rsid w:val="00A87BFD"/>
    <w:rsid w:val="00A910B6"/>
    <w:rsid w:val="00A91321"/>
    <w:rsid w:val="00A91744"/>
    <w:rsid w:val="00A92D92"/>
    <w:rsid w:val="00A931CE"/>
    <w:rsid w:val="00A95699"/>
    <w:rsid w:val="00A95C4A"/>
    <w:rsid w:val="00A97CA5"/>
    <w:rsid w:val="00A97FD0"/>
    <w:rsid w:val="00AA019B"/>
    <w:rsid w:val="00AA0942"/>
    <w:rsid w:val="00AA111A"/>
    <w:rsid w:val="00AA1310"/>
    <w:rsid w:val="00AA198B"/>
    <w:rsid w:val="00AA2894"/>
    <w:rsid w:val="00AA30B7"/>
    <w:rsid w:val="00AA3374"/>
    <w:rsid w:val="00AA377D"/>
    <w:rsid w:val="00AA597E"/>
    <w:rsid w:val="00AA5DF4"/>
    <w:rsid w:val="00AB02C0"/>
    <w:rsid w:val="00AB1717"/>
    <w:rsid w:val="00AB17CE"/>
    <w:rsid w:val="00AB2028"/>
    <w:rsid w:val="00AB2850"/>
    <w:rsid w:val="00AB285C"/>
    <w:rsid w:val="00AB2DC4"/>
    <w:rsid w:val="00AB3345"/>
    <w:rsid w:val="00AB3431"/>
    <w:rsid w:val="00AB4155"/>
    <w:rsid w:val="00AB43C2"/>
    <w:rsid w:val="00AB560A"/>
    <w:rsid w:val="00AB5E32"/>
    <w:rsid w:val="00AB6862"/>
    <w:rsid w:val="00AB761D"/>
    <w:rsid w:val="00AB7875"/>
    <w:rsid w:val="00AB7F53"/>
    <w:rsid w:val="00AC0730"/>
    <w:rsid w:val="00AC2657"/>
    <w:rsid w:val="00AC271C"/>
    <w:rsid w:val="00AC2CAF"/>
    <w:rsid w:val="00AC3526"/>
    <w:rsid w:val="00AC3983"/>
    <w:rsid w:val="00AC6058"/>
    <w:rsid w:val="00AC68EE"/>
    <w:rsid w:val="00AC715D"/>
    <w:rsid w:val="00AC7172"/>
    <w:rsid w:val="00AC7659"/>
    <w:rsid w:val="00AD02D0"/>
    <w:rsid w:val="00AD1908"/>
    <w:rsid w:val="00AD1FAB"/>
    <w:rsid w:val="00AD2559"/>
    <w:rsid w:val="00AD2CD2"/>
    <w:rsid w:val="00AD2D6F"/>
    <w:rsid w:val="00AD2E20"/>
    <w:rsid w:val="00AD3145"/>
    <w:rsid w:val="00AD35A4"/>
    <w:rsid w:val="00AD539C"/>
    <w:rsid w:val="00AD5BCC"/>
    <w:rsid w:val="00AD61B3"/>
    <w:rsid w:val="00AD65B9"/>
    <w:rsid w:val="00AD65D0"/>
    <w:rsid w:val="00AD6BF6"/>
    <w:rsid w:val="00AD702D"/>
    <w:rsid w:val="00AD71E0"/>
    <w:rsid w:val="00AD7339"/>
    <w:rsid w:val="00AD7885"/>
    <w:rsid w:val="00AD7F83"/>
    <w:rsid w:val="00AE0046"/>
    <w:rsid w:val="00AE08E1"/>
    <w:rsid w:val="00AE0C02"/>
    <w:rsid w:val="00AE0FFA"/>
    <w:rsid w:val="00AE1900"/>
    <w:rsid w:val="00AE1C50"/>
    <w:rsid w:val="00AE21E2"/>
    <w:rsid w:val="00AE2D57"/>
    <w:rsid w:val="00AE2DCC"/>
    <w:rsid w:val="00AE30C5"/>
    <w:rsid w:val="00AE3DE1"/>
    <w:rsid w:val="00AE4356"/>
    <w:rsid w:val="00AE4AA5"/>
    <w:rsid w:val="00AE4E4C"/>
    <w:rsid w:val="00AE6136"/>
    <w:rsid w:val="00AE6BE4"/>
    <w:rsid w:val="00AE6F8E"/>
    <w:rsid w:val="00AE7850"/>
    <w:rsid w:val="00AE7C27"/>
    <w:rsid w:val="00AF081B"/>
    <w:rsid w:val="00AF0972"/>
    <w:rsid w:val="00AF0ECB"/>
    <w:rsid w:val="00AF10D6"/>
    <w:rsid w:val="00AF1FBF"/>
    <w:rsid w:val="00AF20D6"/>
    <w:rsid w:val="00AF2327"/>
    <w:rsid w:val="00AF23F4"/>
    <w:rsid w:val="00AF269B"/>
    <w:rsid w:val="00AF2E7F"/>
    <w:rsid w:val="00AF32D6"/>
    <w:rsid w:val="00AF39F0"/>
    <w:rsid w:val="00AF41A3"/>
    <w:rsid w:val="00AF428B"/>
    <w:rsid w:val="00AF46AB"/>
    <w:rsid w:val="00AF4FEB"/>
    <w:rsid w:val="00AF61AC"/>
    <w:rsid w:val="00AF6230"/>
    <w:rsid w:val="00AF7739"/>
    <w:rsid w:val="00AF7A16"/>
    <w:rsid w:val="00AF7BAF"/>
    <w:rsid w:val="00B005F0"/>
    <w:rsid w:val="00B00C89"/>
    <w:rsid w:val="00B00D50"/>
    <w:rsid w:val="00B018EC"/>
    <w:rsid w:val="00B01A9D"/>
    <w:rsid w:val="00B01D6F"/>
    <w:rsid w:val="00B01F7E"/>
    <w:rsid w:val="00B032C1"/>
    <w:rsid w:val="00B039F1"/>
    <w:rsid w:val="00B040F9"/>
    <w:rsid w:val="00B04557"/>
    <w:rsid w:val="00B04B25"/>
    <w:rsid w:val="00B04D7D"/>
    <w:rsid w:val="00B04ED4"/>
    <w:rsid w:val="00B05EB7"/>
    <w:rsid w:val="00B0648D"/>
    <w:rsid w:val="00B06E21"/>
    <w:rsid w:val="00B07D82"/>
    <w:rsid w:val="00B1030A"/>
    <w:rsid w:val="00B103C0"/>
    <w:rsid w:val="00B10B0D"/>
    <w:rsid w:val="00B11489"/>
    <w:rsid w:val="00B11EFC"/>
    <w:rsid w:val="00B129D6"/>
    <w:rsid w:val="00B12DAF"/>
    <w:rsid w:val="00B133FF"/>
    <w:rsid w:val="00B13A92"/>
    <w:rsid w:val="00B13F1D"/>
    <w:rsid w:val="00B14243"/>
    <w:rsid w:val="00B14E40"/>
    <w:rsid w:val="00B151EB"/>
    <w:rsid w:val="00B15B6F"/>
    <w:rsid w:val="00B15BB5"/>
    <w:rsid w:val="00B16C2A"/>
    <w:rsid w:val="00B16D18"/>
    <w:rsid w:val="00B16E1B"/>
    <w:rsid w:val="00B16FB4"/>
    <w:rsid w:val="00B17172"/>
    <w:rsid w:val="00B17618"/>
    <w:rsid w:val="00B1786B"/>
    <w:rsid w:val="00B229A2"/>
    <w:rsid w:val="00B229B8"/>
    <w:rsid w:val="00B22DB1"/>
    <w:rsid w:val="00B22EB8"/>
    <w:rsid w:val="00B23137"/>
    <w:rsid w:val="00B2440D"/>
    <w:rsid w:val="00B25258"/>
    <w:rsid w:val="00B256FF"/>
    <w:rsid w:val="00B25787"/>
    <w:rsid w:val="00B25D54"/>
    <w:rsid w:val="00B25F39"/>
    <w:rsid w:val="00B260C7"/>
    <w:rsid w:val="00B26655"/>
    <w:rsid w:val="00B26B0C"/>
    <w:rsid w:val="00B27AD1"/>
    <w:rsid w:val="00B3008F"/>
    <w:rsid w:val="00B3087D"/>
    <w:rsid w:val="00B308B1"/>
    <w:rsid w:val="00B316A1"/>
    <w:rsid w:val="00B31AA6"/>
    <w:rsid w:val="00B32412"/>
    <w:rsid w:val="00B32A74"/>
    <w:rsid w:val="00B32C8A"/>
    <w:rsid w:val="00B32EC3"/>
    <w:rsid w:val="00B32F56"/>
    <w:rsid w:val="00B33928"/>
    <w:rsid w:val="00B34794"/>
    <w:rsid w:val="00B354DF"/>
    <w:rsid w:val="00B361E8"/>
    <w:rsid w:val="00B36326"/>
    <w:rsid w:val="00B36A14"/>
    <w:rsid w:val="00B36FAF"/>
    <w:rsid w:val="00B372F6"/>
    <w:rsid w:val="00B37956"/>
    <w:rsid w:val="00B407C8"/>
    <w:rsid w:val="00B4093C"/>
    <w:rsid w:val="00B414C6"/>
    <w:rsid w:val="00B421B8"/>
    <w:rsid w:val="00B43610"/>
    <w:rsid w:val="00B442E4"/>
    <w:rsid w:val="00B44D16"/>
    <w:rsid w:val="00B45A06"/>
    <w:rsid w:val="00B46305"/>
    <w:rsid w:val="00B463B1"/>
    <w:rsid w:val="00B47B60"/>
    <w:rsid w:val="00B47D02"/>
    <w:rsid w:val="00B52045"/>
    <w:rsid w:val="00B52F06"/>
    <w:rsid w:val="00B52FD9"/>
    <w:rsid w:val="00B53DD8"/>
    <w:rsid w:val="00B53F98"/>
    <w:rsid w:val="00B5506F"/>
    <w:rsid w:val="00B5529B"/>
    <w:rsid w:val="00B55387"/>
    <w:rsid w:val="00B55625"/>
    <w:rsid w:val="00B57BC7"/>
    <w:rsid w:val="00B60421"/>
    <w:rsid w:val="00B61BEC"/>
    <w:rsid w:val="00B61D28"/>
    <w:rsid w:val="00B62751"/>
    <w:rsid w:val="00B62921"/>
    <w:rsid w:val="00B6318B"/>
    <w:rsid w:val="00B63410"/>
    <w:rsid w:val="00B637B8"/>
    <w:rsid w:val="00B63E55"/>
    <w:rsid w:val="00B6445A"/>
    <w:rsid w:val="00B651A8"/>
    <w:rsid w:val="00B65229"/>
    <w:rsid w:val="00B67C50"/>
    <w:rsid w:val="00B707BB"/>
    <w:rsid w:val="00B70804"/>
    <w:rsid w:val="00B70D28"/>
    <w:rsid w:val="00B70D67"/>
    <w:rsid w:val="00B712CC"/>
    <w:rsid w:val="00B717EE"/>
    <w:rsid w:val="00B7196E"/>
    <w:rsid w:val="00B72065"/>
    <w:rsid w:val="00B72D2C"/>
    <w:rsid w:val="00B731C2"/>
    <w:rsid w:val="00B7395E"/>
    <w:rsid w:val="00B73AA3"/>
    <w:rsid w:val="00B73BBF"/>
    <w:rsid w:val="00B7425B"/>
    <w:rsid w:val="00B7440F"/>
    <w:rsid w:val="00B753D9"/>
    <w:rsid w:val="00B75571"/>
    <w:rsid w:val="00B75BF0"/>
    <w:rsid w:val="00B76087"/>
    <w:rsid w:val="00B77134"/>
    <w:rsid w:val="00B7799E"/>
    <w:rsid w:val="00B77ADA"/>
    <w:rsid w:val="00B81621"/>
    <w:rsid w:val="00B81804"/>
    <w:rsid w:val="00B81EB6"/>
    <w:rsid w:val="00B820A2"/>
    <w:rsid w:val="00B826AC"/>
    <w:rsid w:val="00B82DA7"/>
    <w:rsid w:val="00B8329A"/>
    <w:rsid w:val="00B85291"/>
    <w:rsid w:val="00B86148"/>
    <w:rsid w:val="00B86698"/>
    <w:rsid w:val="00B86E3F"/>
    <w:rsid w:val="00B87457"/>
    <w:rsid w:val="00B87D09"/>
    <w:rsid w:val="00B901D5"/>
    <w:rsid w:val="00B9049A"/>
    <w:rsid w:val="00B9072A"/>
    <w:rsid w:val="00B908A9"/>
    <w:rsid w:val="00B909D5"/>
    <w:rsid w:val="00B90B67"/>
    <w:rsid w:val="00B91B05"/>
    <w:rsid w:val="00B9202C"/>
    <w:rsid w:val="00B9215C"/>
    <w:rsid w:val="00B9262F"/>
    <w:rsid w:val="00B92A76"/>
    <w:rsid w:val="00B92BD2"/>
    <w:rsid w:val="00B93390"/>
    <w:rsid w:val="00B9525F"/>
    <w:rsid w:val="00B95918"/>
    <w:rsid w:val="00B96819"/>
    <w:rsid w:val="00B96CF6"/>
    <w:rsid w:val="00B97DF5"/>
    <w:rsid w:val="00B97F31"/>
    <w:rsid w:val="00BA0030"/>
    <w:rsid w:val="00BA0939"/>
    <w:rsid w:val="00BA0B57"/>
    <w:rsid w:val="00BA10A5"/>
    <w:rsid w:val="00BA10DA"/>
    <w:rsid w:val="00BA1845"/>
    <w:rsid w:val="00BA1D2D"/>
    <w:rsid w:val="00BA3DC7"/>
    <w:rsid w:val="00BA5D94"/>
    <w:rsid w:val="00BA5EE7"/>
    <w:rsid w:val="00BA5FE5"/>
    <w:rsid w:val="00BA6362"/>
    <w:rsid w:val="00BA7495"/>
    <w:rsid w:val="00BA76D3"/>
    <w:rsid w:val="00BB0243"/>
    <w:rsid w:val="00BB0372"/>
    <w:rsid w:val="00BB04A5"/>
    <w:rsid w:val="00BB19C6"/>
    <w:rsid w:val="00BB234D"/>
    <w:rsid w:val="00BB3836"/>
    <w:rsid w:val="00BB3A36"/>
    <w:rsid w:val="00BB4722"/>
    <w:rsid w:val="00BB5AF1"/>
    <w:rsid w:val="00BB612A"/>
    <w:rsid w:val="00BB6C05"/>
    <w:rsid w:val="00BB7196"/>
    <w:rsid w:val="00BB7E8C"/>
    <w:rsid w:val="00BB7FA5"/>
    <w:rsid w:val="00BC0152"/>
    <w:rsid w:val="00BC12B6"/>
    <w:rsid w:val="00BC12FC"/>
    <w:rsid w:val="00BC155C"/>
    <w:rsid w:val="00BC1ECD"/>
    <w:rsid w:val="00BC24DC"/>
    <w:rsid w:val="00BC3640"/>
    <w:rsid w:val="00BC380A"/>
    <w:rsid w:val="00BC3A83"/>
    <w:rsid w:val="00BC3FD1"/>
    <w:rsid w:val="00BC42DC"/>
    <w:rsid w:val="00BC4803"/>
    <w:rsid w:val="00BC4845"/>
    <w:rsid w:val="00BC499C"/>
    <w:rsid w:val="00BC5D92"/>
    <w:rsid w:val="00BC5E61"/>
    <w:rsid w:val="00BC61E7"/>
    <w:rsid w:val="00BC6391"/>
    <w:rsid w:val="00BC6420"/>
    <w:rsid w:val="00BC6B88"/>
    <w:rsid w:val="00BC6BB6"/>
    <w:rsid w:val="00BC786E"/>
    <w:rsid w:val="00BC7BF0"/>
    <w:rsid w:val="00BD02F9"/>
    <w:rsid w:val="00BD03EC"/>
    <w:rsid w:val="00BD06A9"/>
    <w:rsid w:val="00BD0C99"/>
    <w:rsid w:val="00BD1218"/>
    <w:rsid w:val="00BD138D"/>
    <w:rsid w:val="00BD2672"/>
    <w:rsid w:val="00BD26EA"/>
    <w:rsid w:val="00BD26F2"/>
    <w:rsid w:val="00BD2788"/>
    <w:rsid w:val="00BD3074"/>
    <w:rsid w:val="00BD34E1"/>
    <w:rsid w:val="00BD3ADC"/>
    <w:rsid w:val="00BD3BD9"/>
    <w:rsid w:val="00BD4FFD"/>
    <w:rsid w:val="00BD5777"/>
    <w:rsid w:val="00BD5CA8"/>
    <w:rsid w:val="00BD6452"/>
    <w:rsid w:val="00BD6721"/>
    <w:rsid w:val="00BD6879"/>
    <w:rsid w:val="00BD6934"/>
    <w:rsid w:val="00BD6B41"/>
    <w:rsid w:val="00BE13CB"/>
    <w:rsid w:val="00BE1833"/>
    <w:rsid w:val="00BE2641"/>
    <w:rsid w:val="00BE3E7D"/>
    <w:rsid w:val="00BE40CC"/>
    <w:rsid w:val="00BE582B"/>
    <w:rsid w:val="00BE6CED"/>
    <w:rsid w:val="00BE7352"/>
    <w:rsid w:val="00BE7B7C"/>
    <w:rsid w:val="00BF034A"/>
    <w:rsid w:val="00BF088E"/>
    <w:rsid w:val="00BF0EC3"/>
    <w:rsid w:val="00BF0F44"/>
    <w:rsid w:val="00BF27DF"/>
    <w:rsid w:val="00BF2CC1"/>
    <w:rsid w:val="00BF372A"/>
    <w:rsid w:val="00BF42E1"/>
    <w:rsid w:val="00BF492C"/>
    <w:rsid w:val="00BF53BD"/>
    <w:rsid w:val="00BF5563"/>
    <w:rsid w:val="00BF5FD4"/>
    <w:rsid w:val="00BF6EC3"/>
    <w:rsid w:val="00C001F3"/>
    <w:rsid w:val="00C01256"/>
    <w:rsid w:val="00C020C3"/>
    <w:rsid w:val="00C02315"/>
    <w:rsid w:val="00C024F8"/>
    <w:rsid w:val="00C02705"/>
    <w:rsid w:val="00C03EFB"/>
    <w:rsid w:val="00C03F9D"/>
    <w:rsid w:val="00C04747"/>
    <w:rsid w:val="00C04FEE"/>
    <w:rsid w:val="00C0511F"/>
    <w:rsid w:val="00C06B27"/>
    <w:rsid w:val="00C0710D"/>
    <w:rsid w:val="00C0755F"/>
    <w:rsid w:val="00C1011C"/>
    <w:rsid w:val="00C10B5F"/>
    <w:rsid w:val="00C11189"/>
    <w:rsid w:val="00C11B03"/>
    <w:rsid w:val="00C13576"/>
    <w:rsid w:val="00C1395B"/>
    <w:rsid w:val="00C13AE3"/>
    <w:rsid w:val="00C1423F"/>
    <w:rsid w:val="00C14DCC"/>
    <w:rsid w:val="00C14E2E"/>
    <w:rsid w:val="00C1505B"/>
    <w:rsid w:val="00C169CA"/>
    <w:rsid w:val="00C1711D"/>
    <w:rsid w:val="00C17407"/>
    <w:rsid w:val="00C1750F"/>
    <w:rsid w:val="00C1775B"/>
    <w:rsid w:val="00C17AB6"/>
    <w:rsid w:val="00C17D9C"/>
    <w:rsid w:val="00C20472"/>
    <w:rsid w:val="00C20F2D"/>
    <w:rsid w:val="00C2112B"/>
    <w:rsid w:val="00C21945"/>
    <w:rsid w:val="00C21A18"/>
    <w:rsid w:val="00C21AB3"/>
    <w:rsid w:val="00C22500"/>
    <w:rsid w:val="00C22657"/>
    <w:rsid w:val="00C23110"/>
    <w:rsid w:val="00C23118"/>
    <w:rsid w:val="00C232F5"/>
    <w:rsid w:val="00C236D4"/>
    <w:rsid w:val="00C23F77"/>
    <w:rsid w:val="00C249EE"/>
    <w:rsid w:val="00C24D02"/>
    <w:rsid w:val="00C25227"/>
    <w:rsid w:val="00C25E6F"/>
    <w:rsid w:val="00C2617F"/>
    <w:rsid w:val="00C26342"/>
    <w:rsid w:val="00C26793"/>
    <w:rsid w:val="00C2739C"/>
    <w:rsid w:val="00C27880"/>
    <w:rsid w:val="00C2794D"/>
    <w:rsid w:val="00C279C5"/>
    <w:rsid w:val="00C27DB5"/>
    <w:rsid w:val="00C30086"/>
    <w:rsid w:val="00C3037A"/>
    <w:rsid w:val="00C31787"/>
    <w:rsid w:val="00C32685"/>
    <w:rsid w:val="00C32971"/>
    <w:rsid w:val="00C3393C"/>
    <w:rsid w:val="00C33997"/>
    <w:rsid w:val="00C34254"/>
    <w:rsid w:val="00C34782"/>
    <w:rsid w:val="00C34A7D"/>
    <w:rsid w:val="00C34FA5"/>
    <w:rsid w:val="00C354D7"/>
    <w:rsid w:val="00C35AB3"/>
    <w:rsid w:val="00C3668F"/>
    <w:rsid w:val="00C3689F"/>
    <w:rsid w:val="00C36BBB"/>
    <w:rsid w:val="00C37203"/>
    <w:rsid w:val="00C376E3"/>
    <w:rsid w:val="00C40EA3"/>
    <w:rsid w:val="00C416D3"/>
    <w:rsid w:val="00C41915"/>
    <w:rsid w:val="00C429B3"/>
    <w:rsid w:val="00C42E28"/>
    <w:rsid w:val="00C4365E"/>
    <w:rsid w:val="00C445E0"/>
    <w:rsid w:val="00C448C8"/>
    <w:rsid w:val="00C46332"/>
    <w:rsid w:val="00C467EC"/>
    <w:rsid w:val="00C47077"/>
    <w:rsid w:val="00C4730F"/>
    <w:rsid w:val="00C47653"/>
    <w:rsid w:val="00C50949"/>
    <w:rsid w:val="00C50E2F"/>
    <w:rsid w:val="00C5216D"/>
    <w:rsid w:val="00C53793"/>
    <w:rsid w:val="00C53946"/>
    <w:rsid w:val="00C54371"/>
    <w:rsid w:val="00C544B1"/>
    <w:rsid w:val="00C5473D"/>
    <w:rsid w:val="00C549C5"/>
    <w:rsid w:val="00C55DE8"/>
    <w:rsid w:val="00C56BB2"/>
    <w:rsid w:val="00C578D8"/>
    <w:rsid w:val="00C601A6"/>
    <w:rsid w:val="00C60274"/>
    <w:rsid w:val="00C607CC"/>
    <w:rsid w:val="00C60B81"/>
    <w:rsid w:val="00C6126E"/>
    <w:rsid w:val="00C6159A"/>
    <w:rsid w:val="00C61896"/>
    <w:rsid w:val="00C62229"/>
    <w:rsid w:val="00C6270F"/>
    <w:rsid w:val="00C62AFF"/>
    <w:rsid w:val="00C62B8E"/>
    <w:rsid w:val="00C62F6C"/>
    <w:rsid w:val="00C642E6"/>
    <w:rsid w:val="00C64388"/>
    <w:rsid w:val="00C64F88"/>
    <w:rsid w:val="00C6535E"/>
    <w:rsid w:val="00C659BF"/>
    <w:rsid w:val="00C65F41"/>
    <w:rsid w:val="00C666F2"/>
    <w:rsid w:val="00C667F8"/>
    <w:rsid w:val="00C66B40"/>
    <w:rsid w:val="00C66EC9"/>
    <w:rsid w:val="00C670F4"/>
    <w:rsid w:val="00C70480"/>
    <w:rsid w:val="00C71359"/>
    <w:rsid w:val="00C715C1"/>
    <w:rsid w:val="00C72361"/>
    <w:rsid w:val="00C72A72"/>
    <w:rsid w:val="00C73323"/>
    <w:rsid w:val="00C73F93"/>
    <w:rsid w:val="00C74DCD"/>
    <w:rsid w:val="00C7620A"/>
    <w:rsid w:val="00C772CF"/>
    <w:rsid w:val="00C806AC"/>
    <w:rsid w:val="00C80B99"/>
    <w:rsid w:val="00C80C41"/>
    <w:rsid w:val="00C80E9E"/>
    <w:rsid w:val="00C815AB"/>
    <w:rsid w:val="00C81861"/>
    <w:rsid w:val="00C8195A"/>
    <w:rsid w:val="00C822A6"/>
    <w:rsid w:val="00C848BA"/>
    <w:rsid w:val="00C84FD1"/>
    <w:rsid w:val="00C85D31"/>
    <w:rsid w:val="00C86067"/>
    <w:rsid w:val="00C86525"/>
    <w:rsid w:val="00C86AC3"/>
    <w:rsid w:val="00C878D5"/>
    <w:rsid w:val="00C87A5C"/>
    <w:rsid w:val="00C87F16"/>
    <w:rsid w:val="00C90052"/>
    <w:rsid w:val="00C9033B"/>
    <w:rsid w:val="00C906F6"/>
    <w:rsid w:val="00C9075C"/>
    <w:rsid w:val="00C90999"/>
    <w:rsid w:val="00C909A1"/>
    <w:rsid w:val="00C90AC3"/>
    <w:rsid w:val="00C90C61"/>
    <w:rsid w:val="00C90FF1"/>
    <w:rsid w:val="00C913A1"/>
    <w:rsid w:val="00C91BD5"/>
    <w:rsid w:val="00C92D12"/>
    <w:rsid w:val="00C94746"/>
    <w:rsid w:val="00C94BDA"/>
    <w:rsid w:val="00C9589D"/>
    <w:rsid w:val="00C95C88"/>
    <w:rsid w:val="00C96022"/>
    <w:rsid w:val="00C96C70"/>
    <w:rsid w:val="00C976F4"/>
    <w:rsid w:val="00CA0A02"/>
    <w:rsid w:val="00CA0C0D"/>
    <w:rsid w:val="00CA100D"/>
    <w:rsid w:val="00CA15B6"/>
    <w:rsid w:val="00CA1E50"/>
    <w:rsid w:val="00CA25E1"/>
    <w:rsid w:val="00CA2846"/>
    <w:rsid w:val="00CA2DEB"/>
    <w:rsid w:val="00CA312B"/>
    <w:rsid w:val="00CA3589"/>
    <w:rsid w:val="00CA3FB3"/>
    <w:rsid w:val="00CA4E6B"/>
    <w:rsid w:val="00CA4F55"/>
    <w:rsid w:val="00CA5A38"/>
    <w:rsid w:val="00CA60C1"/>
    <w:rsid w:val="00CA750B"/>
    <w:rsid w:val="00CB01A8"/>
    <w:rsid w:val="00CB0524"/>
    <w:rsid w:val="00CB056A"/>
    <w:rsid w:val="00CB05B8"/>
    <w:rsid w:val="00CB0C11"/>
    <w:rsid w:val="00CB0DA3"/>
    <w:rsid w:val="00CB16D5"/>
    <w:rsid w:val="00CB1FB9"/>
    <w:rsid w:val="00CB3D49"/>
    <w:rsid w:val="00CB4243"/>
    <w:rsid w:val="00CB4EE0"/>
    <w:rsid w:val="00CB5160"/>
    <w:rsid w:val="00CB60ED"/>
    <w:rsid w:val="00CB6177"/>
    <w:rsid w:val="00CB6D46"/>
    <w:rsid w:val="00CB6D6B"/>
    <w:rsid w:val="00CB7266"/>
    <w:rsid w:val="00CC046C"/>
    <w:rsid w:val="00CC2AE5"/>
    <w:rsid w:val="00CC2F37"/>
    <w:rsid w:val="00CC314D"/>
    <w:rsid w:val="00CC3783"/>
    <w:rsid w:val="00CC4530"/>
    <w:rsid w:val="00CC4BF1"/>
    <w:rsid w:val="00CC5C75"/>
    <w:rsid w:val="00CC6A99"/>
    <w:rsid w:val="00CC7979"/>
    <w:rsid w:val="00CC7AEB"/>
    <w:rsid w:val="00CD0A20"/>
    <w:rsid w:val="00CD0B72"/>
    <w:rsid w:val="00CD1321"/>
    <w:rsid w:val="00CD31E3"/>
    <w:rsid w:val="00CD350E"/>
    <w:rsid w:val="00CD384B"/>
    <w:rsid w:val="00CD413F"/>
    <w:rsid w:val="00CD5167"/>
    <w:rsid w:val="00CD67FB"/>
    <w:rsid w:val="00CD6BF0"/>
    <w:rsid w:val="00CD6C79"/>
    <w:rsid w:val="00CD6F57"/>
    <w:rsid w:val="00CD6FC6"/>
    <w:rsid w:val="00CE0261"/>
    <w:rsid w:val="00CE0625"/>
    <w:rsid w:val="00CE0F12"/>
    <w:rsid w:val="00CE158C"/>
    <w:rsid w:val="00CE19CD"/>
    <w:rsid w:val="00CE29C7"/>
    <w:rsid w:val="00CE409C"/>
    <w:rsid w:val="00CE4160"/>
    <w:rsid w:val="00CE5ED6"/>
    <w:rsid w:val="00CE5F90"/>
    <w:rsid w:val="00CE6DF3"/>
    <w:rsid w:val="00CE6E2E"/>
    <w:rsid w:val="00CE6E76"/>
    <w:rsid w:val="00CF051B"/>
    <w:rsid w:val="00CF1406"/>
    <w:rsid w:val="00CF14C9"/>
    <w:rsid w:val="00CF2E53"/>
    <w:rsid w:val="00CF2E98"/>
    <w:rsid w:val="00CF3814"/>
    <w:rsid w:val="00CF38C8"/>
    <w:rsid w:val="00CF3D3D"/>
    <w:rsid w:val="00CF3DD5"/>
    <w:rsid w:val="00CF5AA7"/>
    <w:rsid w:val="00CF5C04"/>
    <w:rsid w:val="00CF6BD4"/>
    <w:rsid w:val="00CF7BF5"/>
    <w:rsid w:val="00D00683"/>
    <w:rsid w:val="00D00AA3"/>
    <w:rsid w:val="00D00ED1"/>
    <w:rsid w:val="00D011DC"/>
    <w:rsid w:val="00D0156C"/>
    <w:rsid w:val="00D02C88"/>
    <w:rsid w:val="00D030F2"/>
    <w:rsid w:val="00D038F5"/>
    <w:rsid w:val="00D0420D"/>
    <w:rsid w:val="00D045B5"/>
    <w:rsid w:val="00D0504E"/>
    <w:rsid w:val="00D05A6B"/>
    <w:rsid w:val="00D06519"/>
    <w:rsid w:val="00D068E8"/>
    <w:rsid w:val="00D06A02"/>
    <w:rsid w:val="00D06C56"/>
    <w:rsid w:val="00D0755B"/>
    <w:rsid w:val="00D07F73"/>
    <w:rsid w:val="00D10C06"/>
    <w:rsid w:val="00D117B3"/>
    <w:rsid w:val="00D13DF6"/>
    <w:rsid w:val="00D140A1"/>
    <w:rsid w:val="00D14844"/>
    <w:rsid w:val="00D14BD6"/>
    <w:rsid w:val="00D15808"/>
    <w:rsid w:val="00D158F6"/>
    <w:rsid w:val="00D16544"/>
    <w:rsid w:val="00D177F2"/>
    <w:rsid w:val="00D17F72"/>
    <w:rsid w:val="00D17FCD"/>
    <w:rsid w:val="00D2041C"/>
    <w:rsid w:val="00D218EF"/>
    <w:rsid w:val="00D21EA1"/>
    <w:rsid w:val="00D222E9"/>
    <w:rsid w:val="00D2269A"/>
    <w:rsid w:val="00D22FEE"/>
    <w:rsid w:val="00D232B0"/>
    <w:rsid w:val="00D23600"/>
    <w:rsid w:val="00D23AA8"/>
    <w:rsid w:val="00D23B11"/>
    <w:rsid w:val="00D23E9D"/>
    <w:rsid w:val="00D24488"/>
    <w:rsid w:val="00D244CF"/>
    <w:rsid w:val="00D246AA"/>
    <w:rsid w:val="00D251A6"/>
    <w:rsid w:val="00D25832"/>
    <w:rsid w:val="00D25ADE"/>
    <w:rsid w:val="00D27FEB"/>
    <w:rsid w:val="00D30510"/>
    <w:rsid w:val="00D3053E"/>
    <w:rsid w:val="00D30826"/>
    <w:rsid w:val="00D30EB4"/>
    <w:rsid w:val="00D31F53"/>
    <w:rsid w:val="00D3241B"/>
    <w:rsid w:val="00D34132"/>
    <w:rsid w:val="00D341F3"/>
    <w:rsid w:val="00D34807"/>
    <w:rsid w:val="00D35689"/>
    <w:rsid w:val="00D35AE9"/>
    <w:rsid w:val="00D36B6A"/>
    <w:rsid w:val="00D37DE7"/>
    <w:rsid w:val="00D411B9"/>
    <w:rsid w:val="00D425EB"/>
    <w:rsid w:val="00D429CE"/>
    <w:rsid w:val="00D42C3A"/>
    <w:rsid w:val="00D42F8F"/>
    <w:rsid w:val="00D43297"/>
    <w:rsid w:val="00D43375"/>
    <w:rsid w:val="00D447CD"/>
    <w:rsid w:val="00D44DB6"/>
    <w:rsid w:val="00D459C4"/>
    <w:rsid w:val="00D4613F"/>
    <w:rsid w:val="00D467B9"/>
    <w:rsid w:val="00D47825"/>
    <w:rsid w:val="00D50119"/>
    <w:rsid w:val="00D50C62"/>
    <w:rsid w:val="00D5151A"/>
    <w:rsid w:val="00D51CA4"/>
    <w:rsid w:val="00D520AA"/>
    <w:rsid w:val="00D520F6"/>
    <w:rsid w:val="00D52B03"/>
    <w:rsid w:val="00D52BC3"/>
    <w:rsid w:val="00D52C5E"/>
    <w:rsid w:val="00D5327C"/>
    <w:rsid w:val="00D539C5"/>
    <w:rsid w:val="00D54776"/>
    <w:rsid w:val="00D5526F"/>
    <w:rsid w:val="00D55881"/>
    <w:rsid w:val="00D56243"/>
    <w:rsid w:val="00D6022F"/>
    <w:rsid w:val="00D61ADB"/>
    <w:rsid w:val="00D62D0D"/>
    <w:rsid w:val="00D62D86"/>
    <w:rsid w:val="00D64927"/>
    <w:rsid w:val="00D649F5"/>
    <w:rsid w:val="00D64F0C"/>
    <w:rsid w:val="00D65501"/>
    <w:rsid w:val="00D65553"/>
    <w:rsid w:val="00D65E99"/>
    <w:rsid w:val="00D6608C"/>
    <w:rsid w:val="00D661BD"/>
    <w:rsid w:val="00D664A9"/>
    <w:rsid w:val="00D66DAA"/>
    <w:rsid w:val="00D67643"/>
    <w:rsid w:val="00D677C4"/>
    <w:rsid w:val="00D679F1"/>
    <w:rsid w:val="00D67D5A"/>
    <w:rsid w:val="00D7086C"/>
    <w:rsid w:val="00D71FA1"/>
    <w:rsid w:val="00D72850"/>
    <w:rsid w:val="00D72F88"/>
    <w:rsid w:val="00D7361A"/>
    <w:rsid w:val="00D737E2"/>
    <w:rsid w:val="00D73E87"/>
    <w:rsid w:val="00D73F52"/>
    <w:rsid w:val="00D7464D"/>
    <w:rsid w:val="00D74C04"/>
    <w:rsid w:val="00D7620B"/>
    <w:rsid w:val="00D7654E"/>
    <w:rsid w:val="00D76747"/>
    <w:rsid w:val="00D803AC"/>
    <w:rsid w:val="00D8040A"/>
    <w:rsid w:val="00D8165D"/>
    <w:rsid w:val="00D82069"/>
    <w:rsid w:val="00D82A43"/>
    <w:rsid w:val="00D83D27"/>
    <w:rsid w:val="00D84343"/>
    <w:rsid w:val="00D84654"/>
    <w:rsid w:val="00D850D1"/>
    <w:rsid w:val="00D85237"/>
    <w:rsid w:val="00D85828"/>
    <w:rsid w:val="00D86231"/>
    <w:rsid w:val="00D90466"/>
    <w:rsid w:val="00D90E53"/>
    <w:rsid w:val="00D91DAA"/>
    <w:rsid w:val="00D92B71"/>
    <w:rsid w:val="00D944AB"/>
    <w:rsid w:val="00D94CB5"/>
    <w:rsid w:val="00D9501D"/>
    <w:rsid w:val="00D9504E"/>
    <w:rsid w:val="00D95366"/>
    <w:rsid w:val="00D95819"/>
    <w:rsid w:val="00D95B68"/>
    <w:rsid w:val="00D95C26"/>
    <w:rsid w:val="00D96CCB"/>
    <w:rsid w:val="00D96FB4"/>
    <w:rsid w:val="00D97107"/>
    <w:rsid w:val="00D97DB6"/>
    <w:rsid w:val="00D97DF8"/>
    <w:rsid w:val="00DA13A1"/>
    <w:rsid w:val="00DA153C"/>
    <w:rsid w:val="00DA154D"/>
    <w:rsid w:val="00DA188B"/>
    <w:rsid w:val="00DA26A3"/>
    <w:rsid w:val="00DA59C9"/>
    <w:rsid w:val="00DA5DAD"/>
    <w:rsid w:val="00DA60DF"/>
    <w:rsid w:val="00DA618A"/>
    <w:rsid w:val="00DA6281"/>
    <w:rsid w:val="00DA6630"/>
    <w:rsid w:val="00DA68F2"/>
    <w:rsid w:val="00DA7B5D"/>
    <w:rsid w:val="00DB1530"/>
    <w:rsid w:val="00DB2202"/>
    <w:rsid w:val="00DB2A5D"/>
    <w:rsid w:val="00DB2CF3"/>
    <w:rsid w:val="00DB2D9F"/>
    <w:rsid w:val="00DB40A4"/>
    <w:rsid w:val="00DB4274"/>
    <w:rsid w:val="00DB5418"/>
    <w:rsid w:val="00DB5AF3"/>
    <w:rsid w:val="00DB5E1F"/>
    <w:rsid w:val="00DB64FB"/>
    <w:rsid w:val="00DB7543"/>
    <w:rsid w:val="00DB7A1E"/>
    <w:rsid w:val="00DC01CC"/>
    <w:rsid w:val="00DC0302"/>
    <w:rsid w:val="00DC03BC"/>
    <w:rsid w:val="00DC158C"/>
    <w:rsid w:val="00DC3734"/>
    <w:rsid w:val="00DC5A4A"/>
    <w:rsid w:val="00DC6614"/>
    <w:rsid w:val="00DC6AA4"/>
    <w:rsid w:val="00DC6BF5"/>
    <w:rsid w:val="00DC6C5D"/>
    <w:rsid w:val="00DC737B"/>
    <w:rsid w:val="00DC78D7"/>
    <w:rsid w:val="00DC7D80"/>
    <w:rsid w:val="00DD00F7"/>
    <w:rsid w:val="00DD09D4"/>
    <w:rsid w:val="00DD0FDF"/>
    <w:rsid w:val="00DD1143"/>
    <w:rsid w:val="00DD1C78"/>
    <w:rsid w:val="00DD1E75"/>
    <w:rsid w:val="00DD2029"/>
    <w:rsid w:val="00DD26DA"/>
    <w:rsid w:val="00DD2C56"/>
    <w:rsid w:val="00DD3692"/>
    <w:rsid w:val="00DD37D0"/>
    <w:rsid w:val="00DD5476"/>
    <w:rsid w:val="00DD555E"/>
    <w:rsid w:val="00DD5F18"/>
    <w:rsid w:val="00DD5FCA"/>
    <w:rsid w:val="00DD62A0"/>
    <w:rsid w:val="00DD63AA"/>
    <w:rsid w:val="00DD6662"/>
    <w:rsid w:val="00DD7AA6"/>
    <w:rsid w:val="00DE01BE"/>
    <w:rsid w:val="00DE2425"/>
    <w:rsid w:val="00DE2733"/>
    <w:rsid w:val="00DE28C7"/>
    <w:rsid w:val="00DE35B5"/>
    <w:rsid w:val="00DE3CF9"/>
    <w:rsid w:val="00DE423E"/>
    <w:rsid w:val="00DE4495"/>
    <w:rsid w:val="00DE51A2"/>
    <w:rsid w:val="00DE5590"/>
    <w:rsid w:val="00DE5958"/>
    <w:rsid w:val="00DE6290"/>
    <w:rsid w:val="00DE6344"/>
    <w:rsid w:val="00DE6CDE"/>
    <w:rsid w:val="00DE7C8E"/>
    <w:rsid w:val="00DE7E52"/>
    <w:rsid w:val="00DF01A0"/>
    <w:rsid w:val="00DF0842"/>
    <w:rsid w:val="00DF137C"/>
    <w:rsid w:val="00DF1482"/>
    <w:rsid w:val="00DF14F4"/>
    <w:rsid w:val="00DF20DC"/>
    <w:rsid w:val="00DF2339"/>
    <w:rsid w:val="00DF276D"/>
    <w:rsid w:val="00DF2B32"/>
    <w:rsid w:val="00DF2BF7"/>
    <w:rsid w:val="00DF364F"/>
    <w:rsid w:val="00DF4EF5"/>
    <w:rsid w:val="00DF5281"/>
    <w:rsid w:val="00DF54EB"/>
    <w:rsid w:val="00DF58E7"/>
    <w:rsid w:val="00DF5BA6"/>
    <w:rsid w:val="00DF5D78"/>
    <w:rsid w:val="00DF68D5"/>
    <w:rsid w:val="00DF6F9B"/>
    <w:rsid w:val="00DF7664"/>
    <w:rsid w:val="00E004FC"/>
    <w:rsid w:val="00E01676"/>
    <w:rsid w:val="00E0191B"/>
    <w:rsid w:val="00E01A20"/>
    <w:rsid w:val="00E028DF"/>
    <w:rsid w:val="00E03D83"/>
    <w:rsid w:val="00E04D0F"/>
    <w:rsid w:val="00E04D19"/>
    <w:rsid w:val="00E053CB"/>
    <w:rsid w:val="00E05902"/>
    <w:rsid w:val="00E06025"/>
    <w:rsid w:val="00E0720E"/>
    <w:rsid w:val="00E10959"/>
    <w:rsid w:val="00E1147E"/>
    <w:rsid w:val="00E114C8"/>
    <w:rsid w:val="00E11783"/>
    <w:rsid w:val="00E11876"/>
    <w:rsid w:val="00E12080"/>
    <w:rsid w:val="00E120C3"/>
    <w:rsid w:val="00E12110"/>
    <w:rsid w:val="00E1263C"/>
    <w:rsid w:val="00E126FC"/>
    <w:rsid w:val="00E1328D"/>
    <w:rsid w:val="00E13BB5"/>
    <w:rsid w:val="00E13C95"/>
    <w:rsid w:val="00E14964"/>
    <w:rsid w:val="00E156ED"/>
    <w:rsid w:val="00E1614C"/>
    <w:rsid w:val="00E16DC2"/>
    <w:rsid w:val="00E16F95"/>
    <w:rsid w:val="00E207E8"/>
    <w:rsid w:val="00E20D41"/>
    <w:rsid w:val="00E21802"/>
    <w:rsid w:val="00E21BDE"/>
    <w:rsid w:val="00E21D7F"/>
    <w:rsid w:val="00E21E68"/>
    <w:rsid w:val="00E2202F"/>
    <w:rsid w:val="00E22693"/>
    <w:rsid w:val="00E22F8F"/>
    <w:rsid w:val="00E23CBB"/>
    <w:rsid w:val="00E2421F"/>
    <w:rsid w:val="00E25180"/>
    <w:rsid w:val="00E25290"/>
    <w:rsid w:val="00E255FE"/>
    <w:rsid w:val="00E25F58"/>
    <w:rsid w:val="00E26056"/>
    <w:rsid w:val="00E26E6E"/>
    <w:rsid w:val="00E26F1C"/>
    <w:rsid w:val="00E279DC"/>
    <w:rsid w:val="00E3067E"/>
    <w:rsid w:val="00E3093E"/>
    <w:rsid w:val="00E30C6F"/>
    <w:rsid w:val="00E311A6"/>
    <w:rsid w:val="00E314F3"/>
    <w:rsid w:val="00E317ED"/>
    <w:rsid w:val="00E32785"/>
    <w:rsid w:val="00E32A1A"/>
    <w:rsid w:val="00E32BD4"/>
    <w:rsid w:val="00E331C3"/>
    <w:rsid w:val="00E33A58"/>
    <w:rsid w:val="00E34237"/>
    <w:rsid w:val="00E357FA"/>
    <w:rsid w:val="00E35864"/>
    <w:rsid w:val="00E36561"/>
    <w:rsid w:val="00E36F1F"/>
    <w:rsid w:val="00E37B59"/>
    <w:rsid w:val="00E37F35"/>
    <w:rsid w:val="00E402E5"/>
    <w:rsid w:val="00E40A9F"/>
    <w:rsid w:val="00E40C2F"/>
    <w:rsid w:val="00E412F7"/>
    <w:rsid w:val="00E416FA"/>
    <w:rsid w:val="00E418A6"/>
    <w:rsid w:val="00E418E1"/>
    <w:rsid w:val="00E42050"/>
    <w:rsid w:val="00E42880"/>
    <w:rsid w:val="00E428AB"/>
    <w:rsid w:val="00E42C64"/>
    <w:rsid w:val="00E42E3A"/>
    <w:rsid w:val="00E43058"/>
    <w:rsid w:val="00E431B8"/>
    <w:rsid w:val="00E4377F"/>
    <w:rsid w:val="00E43F48"/>
    <w:rsid w:val="00E44100"/>
    <w:rsid w:val="00E44E6B"/>
    <w:rsid w:val="00E45588"/>
    <w:rsid w:val="00E45833"/>
    <w:rsid w:val="00E46196"/>
    <w:rsid w:val="00E46D06"/>
    <w:rsid w:val="00E470B4"/>
    <w:rsid w:val="00E47AA3"/>
    <w:rsid w:val="00E47FF5"/>
    <w:rsid w:val="00E50EDC"/>
    <w:rsid w:val="00E51083"/>
    <w:rsid w:val="00E51253"/>
    <w:rsid w:val="00E5163D"/>
    <w:rsid w:val="00E51E5C"/>
    <w:rsid w:val="00E5294F"/>
    <w:rsid w:val="00E531A4"/>
    <w:rsid w:val="00E53395"/>
    <w:rsid w:val="00E53438"/>
    <w:rsid w:val="00E53DB5"/>
    <w:rsid w:val="00E5442C"/>
    <w:rsid w:val="00E5456A"/>
    <w:rsid w:val="00E56462"/>
    <w:rsid w:val="00E564A6"/>
    <w:rsid w:val="00E566E6"/>
    <w:rsid w:val="00E56C65"/>
    <w:rsid w:val="00E57767"/>
    <w:rsid w:val="00E601C0"/>
    <w:rsid w:val="00E60399"/>
    <w:rsid w:val="00E606EE"/>
    <w:rsid w:val="00E60706"/>
    <w:rsid w:val="00E612AF"/>
    <w:rsid w:val="00E61F6B"/>
    <w:rsid w:val="00E628E1"/>
    <w:rsid w:val="00E634DE"/>
    <w:rsid w:val="00E64FCD"/>
    <w:rsid w:val="00E657D4"/>
    <w:rsid w:val="00E65B64"/>
    <w:rsid w:val="00E65EAC"/>
    <w:rsid w:val="00E66145"/>
    <w:rsid w:val="00E665F8"/>
    <w:rsid w:val="00E66A01"/>
    <w:rsid w:val="00E66B42"/>
    <w:rsid w:val="00E66D21"/>
    <w:rsid w:val="00E70E63"/>
    <w:rsid w:val="00E716FB"/>
    <w:rsid w:val="00E71AD9"/>
    <w:rsid w:val="00E71D6F"/>
    <w:rsid w:val="00E725FC"/>
    <w:rsid w:val="00E7263D"/>
    <w:rsid w:val="00E72D3E"/>
    <w:rsid w:val="00E72E87"/>
    <w:rsid w:val="00E73C67"/>
    <w:rsid w:val="00E73D32"/>
    <w:rsid w:val="00E73D48"/>
    <w:rsid w:val="00E748F5"/>
    <w:rsid w:val="00E7559E"/>
    <w:rsid w:val="00E75B42"/>
    <w:rsid w:val="00E760D0"/>
    <w:rsid w:val="00E801B6"/>
    <w:rsid w:val="00E81685"/>
    <w:rsid w:val="00E81E44"/>
    <w:rsid w:val="00E82526"/>
    <w:rsid w:val="00E8317A"/>
    <w:rsid w:val="00E8487B"/>
    <w:rsid w:val="00E85881"/>
    <w:rsid w:val="00E85D50"/>
    <w:rsid w:val="00E86228"/>
    <w:rsid w:val="00E862CC"/>
    <w:rsid w:val="00E866BC"/>
    <w:rsid w:val="00E86B34"/>
    <w:rsid w:val="00E87452"/>
    <w:rsid w:val="00E87A93"/>
    <w:rsid w:val="00E9024F"/>
    <w:rsid w:val="00E91BD2"/>
    <w:rsid w:val="00E925B9"/>
    <w:rsid w:val="00E9370E"/>
    <w:rsid w:val="00E93828"/>
    <w:rsid w:val="00E93948"/>
    <w:rsid w:val="00E94029"/>
    <w:rsid w:val="00E946AB"/>
    <w:rsid w:val="00E94CF7"/>
    <w:rsid w:val="00E95030"/>
    <w:rsid w:val="00E950DA"/>
    <w:rsid w:val="00E954DA"/>
    <w:rsid w:val="00E955F7"/>
    <w:rsid w:val="00E95996"/>
    <w:rsid w:val="00E95E3D"/>
    <w:rsid w:val="00E96BB6"/>
    <w:rsid w:val="00E975E3"/>
    <w:rsid w:val="00E9764F"/>
    <w:rsid w:val="00E97F65"/>
    <w:rsid w:val="00EA02C5"/>
    <w:rsid w:val="00EA03D8"/>
    <w:rsid w:val="00EA0D57"/>
    <w:rsid w:val="00EA1734"/>
    <w:rsid w:val="00EA1EF4"/>
    <w:rsid w:val="00EA21D8"/>
    <w:rsid w:val="00EA36C6"/>
    <w:rsid w:val="00EA3A8E"/>
    <w:rsid w:val="00EA3C8A"/>
    <w:rsid w:val="00EA4C54"/>
    <w:rsid w:val="00EA51F0"/>
    <w:rsid w:val="00EA5C2C"/>
    <w:rsid w:val="00EA63BD"/>
    <w:rsid w:val="00EA6C80"/>
    <w:rsid w:val="00EA7227"/>
    <w:rsid w:val="00EA7DDD"/>
    <w:rsid w:val="00EA7F10"/>
    <w:rsid w:val="00EB05DC"/>
    <w:rsid w:val="00EB0CC9"/>
    <w:rsid w:val="00EB1A0F"/>
    <w:rsid w:val="00EB2986"/>
    <w:rsid w:val="00EB2D94"/>
    <w:rsid w:val="00EB3D89"/>
    <w:rsid w:val="00EB3FF1"/>
    <w:rsid w:val="00EB4480"/>
    <w:rsid w:val="00EB4FA4"/>
    <w:rsid w:val="00EB576D"/>
    <w:rsid w:val="00EB5F21"/>
    <w:rsid w:val="00EB5F69"/>
    <w:rsid w:val="00EB6BC6"/>
    <w:rsid w:val="00EB6F25"/>
    <w:rsid w:val="00EB773F"/>
    <w:rsid w:val="00EB7B82"/>
    <w:rsid w:val="00EB7CC4"/>
    <w:rsid w:val="00EB7D24"/>
    <w:rsid w:val="00EC1230"/>
    <w:rsid w:val="00EC1726"/>
    <w:rsid w:val="00EC1D7A"/>
    <w:rsid w:val="00EC23FC"/>
    <w:rsid w:val="00EC30F9"/>
    <w:rsid w:val="00EC3B7B"/>
    <w:rsid w:val="00EC4022"/>
    <w:rsid w:val="00EC55B5"/>
    <w:rsid w:val="00EC5E86"/>
    <w:rsid w:val="00EC60E6"/>
    <w:rsid w:val="00EC61DC"/>
    <w:rsid w:val="00EC6218"/>
    <w:rsid w:val="00EC76EF"/>
    <w:rsid w:val="00EC7FD4"/>
    <w:rsid w:val="00ED0587"/>
    <w:rsid w:val="00ED219C"/>
    <w:rsid w:val="00ED2595"/>
    <w:rsid w:val="00ED26AC"/>
    <w:rsid w:val="00ED2A8D"/>
    <w:rsid w:val="00ED338B"/>
    <w:rsid w:val="00ED45B3"/>
    <w:rsid w:val="00ED46B3"/>
    <w:rsid w:val="00ED4ED8"/>
    <w:rsid w:val="00ED5725"/>
    <w:rsid w:val="00ED6FE3"/>
    <w:rsid w:val="00ED7031"/>
    <w:rsid w:val="00ED7A1F"/>
    <w:rsid w:val="00ED7CAA"/>
    <w:rsid w:val="00ED7FC4"/>
    <w:rsid w:val="00EE01D4"/>
    <w:rsid w:val="00EE01D9"/>
    <w:rsid w:val="00EE07BE"/>
    <w:rsid w:val="00EE0CCC"/>
    <w:rsid w:val="00EE102D"/>
    <w:rsid w:val="00EE136A"/>
    <w:rsid w:val="00EE15AB"/>
    <w:rsid w:val="00EE2183"/>
    <w:rsid w:val="00EE24FD"/>
    <w:rsid w:val="00EE2A69"/>
    <w:rsid w:val="00EE3060"/>
    <w:rsid w:val="00EE3261"/>
    <w:rsid w:val="00EE4315"/>
    <w:rsid w:val="00EE52FE"/>
    <w:rsid w:val="00EE5E7E"/>
    <w:rsid w:val="00EE6BB8"/>
    <w:rsid w:val="00EE7F64"/>
    <w:rsid w:val="00EF03BB"/>
    <w:rsid w:val="00EF04DD"/>
    <w:rsid w:val="00EF04FE"/>
    <w:rsid w:val="00EF067C"/>
    <w:rsid w:val="00EF14C4"/>
    <w:rsid w:val="00EF1D22"/>
    <w:rsid w:val="00EF25A2"/>
    <w:rsid w:val="00EF2933"/>
    <w:rsid w:val="00EF3539"/>
    <w:rsid w:val="00EF3B00"/>
    <w:rsid w:val="00EF42EF"/>
    <w:rsid w:val="00EF44ED"/>
    <w:rsid w:val="00EF4867"/>
    <w:rsid w:val="00EF5833"/>
    <w:rsid w:val="00EF5B18"/>
    <w:rsid w:val="00EF6243"/>
    <w:rsid w:val="00EF66AA"/>
    <w:rsid w:val="00EF678E"/>
    <w:rsid w:val="00EF6925"/>
    <w:rsid w:val="00EF74FE"/>
    <w:rsid w:val="00EF7EA8"/>
    <w:rsid w:val="00F00417"/>
    <w:rsid w:val="00F0051A"/>
    <w:rsid w:val="00F00716"/>
    <w:rsid w:val="00F0136B"/>
    <w:rsid w:val="00F02095"/>
    <w:rsid w:val="00F0250B"/>
    <w:rsid w:val="00F0286F"/>
    <w:rsid w:val="00F0288E"/>
    <w:rsid w:val="00F02D02"/>
    <w:rsid w:val="00F02D1B"/>
    <w:rsid w:val="00F02D2C"/>
    <w:rsid w:val="00F03145"/>
    <w:rsid w:val="00F044DD"/>
    <w:rsid w:val="00F04632"/>
    <w:rsid w:val="00F049C8"/>
    <w:rsid w:val="00F05304"/>
    <w:rsid w:val="00F05589"/>
    <w:rsid w:val="00F05BC3"/>
    <w:rsid w:val="00F05C00"/>
    <w:rsid w:val="00F0632C"/>
    <w:rsid w:val="00F0775B"/>
    <w:rsid w:val="00F105B1"/>
    <w:rsid w:val="00F10A75"/>
    <w:rsid w:val="00F10F58"/>
    <w:rsid w:val="00F1108A"/>
    <w:rsid w:val="00F112F9"/>
    <w:rsid w:val="00F12B66"/>
    <w:rsid w:val="00F1408A"/>
    <w:rsid w:val="00F146D1"/>
    <w:rsid w:val="00F14A89"/>
    <w:rsid w:val="00F15260"/>
    <w:rsid w:val="00F1528A"/>
    <w:rsid w:val="00F161B5"/>
    <w:rsid w:val="00F165A8"/>
    <w:rsid w:val="00F168A4"/>
    <w:rsid w:val="00F16E80"/>
    <w:rsid w:val="00F21205"/>
    <w:rsid w:val="00F21779"/>
    <w:rsid w:val="00F21EF6"/>
    <w:rsid w:val="00F22F38"/>
    <w:rsid w:val="00F234E0"/>
    <w:rsid w:val="00F235EC"/>
    <w:rsid w:val="00F240F2"/>
    <w:rsid w:val="00F244E0"/>
    <w:rsid w:val="00F246CB"/>
    <w:rsid w:val="00F2522F"/>
    <w:rsid w:val="00F25415"/>
    <w:rsid w:val="00F256F7"/>
    <w:rsid w:val="00F2573E"/>
    <w:rsid w:val="00F257C5"/>
    <w:rsid w:val="00F25FA3"/>
    <w:rsid w:val="00F262EB"/>
    <w:rsid w:val="00F26ED3"/>
    <w:rsid w:val="00F27023"/>
    <w:rsid w:val="00F272D9"/>
    <w:rsid w:val="00F27FB9"/>
    <w:rsid w:val="00F315F6"/>
    <w:rsid w:val="00F31801"/>
    <w:rsid w:val="00F326CC"/>
    <w:rsid w:val="00F3279C"/>
    <w:rsid w:val="00F32937"/>
    <w:rsid w:val="00F32A2D"/>
    <w:rsid w:val="00F32C0C"/>
    <w:rsid w:val="00F3495A"/>
    <w:rsid w:val="00F34A0B"/>
    <w:rsid w:val="00F356C0"/>
    <w:rsid w:val="00F35765"/>
    <w:rsid w:val="00F35A9C"/>
    <w:rsid w:val="00F35ECB"/>
    <w:rsid w:val="00F36193"/>
    <w:rsid w:val="00F379F1"/>
    <w:rsid w:val="00F405BD"/>
    <w:rsid w:val="00F406E7"/>
    <w:rsid w:val="00F40F3B"/>
    <w:rsid w:val="00F41209"/>
    <w:rsid w:val="00F4232B"/>
    <w:rsid w:val="00F42A85"/>
    <w:rsid w:val="00F42B03"/>
    <w:rsid w:val="00F43B37"/>
    <w:rsid w:val="00F44017"/>
    <w:rsid w:val="00F44682"/>
    <w:rsid w:val="00F44702"/>
    <w:rsid w:val="00F44C9A"/>
    <w:rsid w:val="00F45071"/>
    <w:rsid w:val="00F45F24"/>
    <w:rsid w:val="00F4710B"/>
    <w:rsid w:val="00F4711A"/>
    <w:rsid w:val="00F47168"/>
    <w:rsid w:val="00F4718E"/>
    <w:rsid w:val="00F506FE"/>
    <w:rsid w:val="00F50A67"/>
    <w:rsid w:val="00F50B2C"/>
    <w:rsid w:val="00F50B4C"/>
    <w:rsid w:val="00F50FFE"/>
    <w:rsid w:val="00F51A43"/>
    <w:rsid w:val="00F523A4"/>
    <w:rsid w:val="00F528C8"/>
    <w:rsid w:val="00F53612"/>
    <w:rsid w:val="00F53A86"/>
    <w:rsid w:val="00F54C40"/>
    <w:rsid w:val="00F55753"/>
    <w:rsid w:val="00F5614F"/>
    <w:rsid w:val="00F56CF0"/>
    <w:rsid w:val="00F5720E"/>
    <w:rsid w:val="00F57350"/>
    <w:rsid w:val="00F57AE7"/>
    <w:rsid w:val="00F60405"/>
    <w:rsid w:val="00F60834"/>
    <w:rsid w:val="00F60C44"/>
    <w:rsid w:val="00F60C8B"/>
    <w:rsid w:val="00F6114B"/>
    <w:rsid w:val="00F61543"/>
    <w:rsid w:val="00F622EA"/>
    <w:rsid w:val="00F6283E"/>
    <w:rsid w:val="00F62A76"/>
    <w:rsid w:val="00F62B7A"/>
    <w:rsid w:val="00F6397D"/>
    <w:rsid w:val="00F63B73"/>
    <w:rsid w:val="00F6491C"/>
    <w:rsid w:val="00F649F8"/>
    <w:rsid w:val="00F6535A"/>
    <w:rsid w:val="00F658F8"/>
    <w:rsid w:val="00F65A81"/>
    <w:rsid w:val="00F6677F"/>
    <w:rsid w:val="00F667CD"/>
    <w:rsid w:val="00F66DA5"/>
    <w:rsid w:val="00F67BCC"/>
    <w:rsid w:val="00F70C7C"/>
    <w:rsid w:val="00F70F3F"/>
    <w:rsid w:val="00F70FA1"/>
    <w:rsid w:val="00F72573"/>
    <w:rsid w:val="00F7293E"/>
    <w:rsid w:val="00F72DC4"/>
    <w:rsid w:val="00F730EF"/>
    <w:rsid w:val="00F73C85"/>
    <w:rsid w:val="00F73DE3"/>
    <w:rsid w:val="00F73E09"/>
    <w:rsid w:val="00F7405E"/>
    <w:rsid w:val="00F747C9"/>
    <w:rsid w:val="00F7508B"/>
    <w:rsid w:val="00F75265"/>
    <w:rsid w:val="00F754FD"/>
    <w:rsid w:val="00F75CE7"/>
    <w:rsid w:val="00F76650"/>
    <w:rsid w:val="00F7714C"/>
    <w:rsid w:val="00F775D3"/>
    <w:rsid w:val="00F777CB"/>
    <w:rsid w:val="00F7787B"/>
    <w:rsid w:val="00F77BB2"/>
    <w:rsid w:val="00F77E75"/>
    <w:rsid w:val="00F77FE0"/>
    <w:rsid w:val="00F8019C"/>
    <w:rsid w:val="00F806B1"/>
    <w:rsid w:val="00F8074B"/>
    <w:rsid w:val="00F81AF6"/>
    <w:rsid w:val="00F81BEA"/>
    <w:rsid w:val="00F81D2C"/>
    <w:rsid w:val="00F81F2B"/>
    <w:rsid w:val="00F83F02"/>
    <w:rsid w:val="00F84065"/>
    <w:rsid w:val="00F8412F"/>
    <w:rsid w:val="00F84F79"/>
    <w:rsid w:val="00F854AC"/>
    <w:rsid w:val="00F85889"/>
    <w:rsid w:val="00F86646"/>
    <w:rsid w:val="00F86939"/>
    <w:rsid w:val="00F90310"/>
    <w:rsid w:val="00F9077D"/>
    <w:rsid w:val="00F90E4B"/>
    <w:rsid w:val="00F90EA5"/>
    <w:rsid w:val="00F9187B"/>
    <w:rsid w:val="00F92155"/>
    <w:rsid w:val="00F92385"/>
    <w:rsid w:val="00F92671"/>
    <w:rsid w:val="00F92E36"/>
    <w:rsid w:val="00F92EFD"/>
    <w:rsid w:val="00F939BD"/>
    <w:rsid w:val="00F93C7A"/>
    <w:rsid w:val="00F945E6"/>
    <w:rsid w:val="00F94819"/>
    <w:rsid w:val="00F94A04"/>
    <w:rsid w:val="00F94EDF"/>
    <w:rsid w:val="00F95372"/>
    <w:rsid w:val="00F955D5"/>
    <w:rsid w:val="00F95AFF"/>
    <w:rsid w:val="00F95CAE"/>
    <w:rsid w:val="00F96796"/>
    <w:rsid w:val="00F971DD"/>
    <w:rsid w:val="00F9783E"/>
    <w:rsid w:val="00FA0D04"/>
    <w:rsid w:val="00FA1B4F"/>
    <w:rsid w:val="00FA2198"/>
    <w:rsid w:val="00FA2363"/>
    <w:rsid w:val="00FA34E5"/>
    <w:rsid w:val="00FA3DC0"/>
    <w:rsid w:val="00FA61C9"/>
    <w:rsid w:val="00FA6474"/>
    <w:rsid w:val="00FA7088"/>
    <w:rsid w:val="00FA7476"/>
    <w:rsid w:val="00FB02B5"/>
    <w:rsid w:val="00FB0C74"/>
    <w:rsid w:val="00FB0D12"/>
    <w:rsid w:val="00FB12D9"/>
    <w:rsid w:val="00FB1FE2"/>
    <w:rsid w:val="00FB2773"/>
    <w:rsid w:val="00FB41FD"/>
    <w:rsid w:val="00FB451C"/>
    <w:rsid w:val="00FB473D"/>
    <w:rsid w:val="00FB516C"/>
    <w:rsid w:val="00FB592D"/>
    <w:rsid w:val="00FB5AA9"/>
    <w:rsid w:val="00FB67B4"/>
    <w:rsid w:val="00FB6924"/>
    <w:rsid w:val="00FB731B"/>
    <w:rsid w:val="00FC0C77"/>
    <w:rsid w:val="00FC1615"/>
    <w:rsid w:val="00FC1C20"/>
    <w:rsid w:val="00FC1E38"/>
    <w:rsid w:val="00FC2551"/>
    <w:rsid w:val="00FC2E92"/>
    <w:rsid w:val="00FC300C"/>
    <w:rsid w:val="00FC33BC"/>
    <w:rsid w:val="00FC3665"/>
    <w:rsid w:val="00FC3DAC"/>
    <w:rsid w:val="00FC436E"/>
    <w:rsid w:val="00FC4728"/>
    <w:rsid w:val="00FC47F9"/>
    <w:rsid w:val="00FC4A9B"/>
    <w:rsid w:val="00FC4B9E"/>
    <w:rsid w:val="00FC524C"/>
    <w:rsid w:val="00FC5329"/>
    <w:rsid w:val="00FC568F"/>
    <w:rsid w:val="00FC625A"/>
    <w:rsid w:val="00FC661E"/>
    <w:rsid w:val="00FC6B5B"/>
    <w:rsid w:val="00FC75CD"/>
    <w:rsid w:val="00FC764A"/>
    <w:rsid w:val="00FD0A35"/>
    <w:rsid w:val="00FD0C18"/>
    <w:rsid w:val="00FD157B"/>
    <w:rsid w:val="00FD2708"/>
    <w:rsid w:val="00FD28E5"/>
    <w:rsid w:val="00FD2BD1"/>
    <w:rsid w:val="00FD35CE"/>
    <w:rsid w:val="00FD38BA"/>
    <w:rsid w:val="00FD3AED"/>
    <w:rsid w:val="00FD40F5"/>
    <w:rsid w:val="00FD48FD"/>
    <w:rsid w:val="00FD4CD4"/>
    <w:rsid w:val="00FD55FC"/>
    <w:rsid w:val="00FD60FC"/>
    <w:rsid w:val="00FD69ED"/>
    <w:rsid w:val="00FD6C38"/>
    <w:rsid w:val="00FD7246"/>
    <w:rsid w:val="00FE04A4"/>
    <w:rsid w:val="00FE05DC"/>
    <w:rsid w:val="00FE2351"/>
    <w:rsid w:val="00FE337D"/>
    <w:rsid w:val="00FE3998"/>
    <w:rsid w:val="00FE4750"/>
    <w:rsid w:val="00FE4A54"/>
    <w:rsid w:val="00FE51FC"/>
    <w:rsid w:val="00FE5336"/>
    <w:rsid w:val="00FE5580"/>
    <w:rsid w:val="00FE593E"/>
    <w:rsid w:val="00FE6192"/>
    <w:rsid w:val="00FE6C40"/>
    <w:rsid w:val="00FE7DDA"/>
    <w:rsid w:val="00FE7F9B"/>
    <w:rsid w:val="00FF0C5D"/>
    <w:rsid w:val="00FF110C"/>
    <w:rsid w:val="00FF11FE"/>
    <w:rsid w:val="00FF178E"/>
    <w:rsid w:val="00FF18DD"/>
    <w:rsid w:val="00FF215C"/>
    <w:rsid w:val="00FF27C8"/>
    <w:rsid w:val="00FF3A4B"/>
    <w:rsid w:val="00FF504D"/>
    <w:rsid w:val="00FF5AA7"/>
    <w:rsid w:val="00FF5D4F"/>
    <w:rsid w:val="00FF645E"/>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212F5"/>
  <w15:chartTrackingRefBased/>
  <w15:docId w15:val="{FADA010C-FBBC-49D2-A35C-E97E3EB187E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7"/>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7"/>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7"/>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Style 15,Style 9,Style 18,Style 7,Style 8,Style 19,Styl"/>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7"/>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7"/>
      </w:numPr>
      <w:spacing w:after="120" w:line="240" w:lineRule="auto"/>
    </w:pPr>
  </w:style>
  <w:style w:type="paragraph" w:styleId="ListParagraph">
    <w:name w:val="List Paragraph"/>
    <w:basedOn w:val="Normal"/>
    <w:uiPriority w:val="34"/>
    <w:qFormat/>
    <w:rsid w:val="00B133FF"/>
    <w:pPr>
      <w:ind w:left="720"/>
      <w:contextualSpacing/>
    </w:pPr>
  </w:style>
  <w:style w:type="paragraph" w:customStyle="1" w:styleId="Default">
    <w:name w:val="Default"/>
    <w:rsid w:val="00B133FF"/>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B133FF"/>
    <w:rPr>
      <w:sz w:val="16"/>
      <w:szCs w:val="16"/>
    </w:rPr>
  </w:style>
  <w:style w:type="paragraph" w:styleId="CommentText">
    <w:name w:val="annotation text"/>
    <w:basedOn w:val="Normal"/>
    <w:link w:val="CommentTextChar"/>
    <w:uiPriority w:val="99"/>
    <w:unhideWhenUsed/>
    <w:rsid w:val="00B133FF"/>
    <w:pPr>
      <w:spacing w:line="240" w:lineRule="auto"/>
    </w:pPr>
    <w:rPr>
      <w:sz w:val="20"/>
      <w:szCs w:val="20"/>
    </w:rPr>
  </w:style>
  <w:style w:type="character" w:customStyle="1" w:styleId="CommentTextChar">
    <w:name w:val="Comment Text Char"/>
    <w:basedOn w:val="DefaultParagraphFont"/>
    <w:link w:val="CommentText"/>
    <w:uiPriority w:val="99"/>
    <w:rsid w:val="00B133F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133FF"/>
    <w:rPr>
      <w:b/>
      <w:bCs/>
    </w:rPr>
  </w:style>
  <w:style w:type="character" w:customStyle="1" w:styleId="CommentSubjectChar">
    <w:name w:val="Comment Subject Char"/>
    <w:basedOn w:val="CommentTextChar"/>
    <w:link w:val="CommentSubject"/>
    <w:uiPriority w:val="99"/>
    <w:semiHidden/>
    <w:rsid w:val="00B133FF"/>
    <w:rPr>
      <w:rFonts w:ascii="Book Antiqua" w:hAnsi="Book Antiqua"/>
      <w:b/>
      <w:bCs/>
      <w:sz w:val="20"/>
      <w:szCs w:val="20"/>
    </w:rPr>
  </w:style>
  <w:style w:type="paragraph" w:styleId="NormalWeb">
    <w:name w:val="Normal (Web)"/>
    <w:basedOn w:val="Normal"/>
    <w:uiPriority w:val="99"/>
    <w:semiHidden/>
    <w:unhideWhenUsed/>
    <w:rsid w:val="00B133FF"/>
    <w:pPr>
      <w:spacing w:before="100" w:beforeAutospacing="1" w:after="100" w:afterAutospacing="1" w:line="240" w:lineRule="auto"/>
      <w:ind w:firstLine="0"/>
    </w:pPr>
    <w:rPr>
      <w:rFonts w:ascii="Calibri" w:hAnsi="Calibri" w:cs="Calibri"/>
      <w:sz w:val="22"/>
    </w:rPr>
  </w:style>
  <w:style w:type="character" w:customStyle="1" w:styleId="apple-converted-space">
    <w:name w:val="apple-converted-space"/>
    <w:basedOn w:val="DefaultParagraphFont"/>
    <w:rsid w:val="00B133FF"/>
  </w:style>
  <w:style w:type="paragraph" w:styleId="EndnoteText">
    <w:name w:val="endnote text"/>
    <w:basedOn w:val="Normal"/>
    <w:link w:val="EndnoteTextChar"/>
    <w:uiPriority w:val="99"/>
    <w:semiHidden/>
    <w:unhideWhenUsed/>
    <w:rsid w:val="00B133FF"/>
    <w:pPr>
      <w:spacing w:line="240" w:lineRule="auto"/>
    </w:pPr>
    <w:rPr>
      <w:sz w:val="20"/>
      <w:szCs w:val="20"/>
    </w:rPr>
  </w:style>
  <w:style w:type="character" w:customStyle="1" w:styleId="EndnoteTextChar">
    <w:name w:val="Endnote Text Char"/>
    <w:basedOn w:val="DefaultParagraphFont"/>
    <w:link w:val="EndnoteText"/>
    <w:uiPriority w:val="99"/>
    <w:semiHidden/>
    <w:rsid w:val="00B133FF"/>
    <w:rPr>
      <w:rFonts w:ascii="Book Antiqua" w:hAnsi="Book Antiqua"/>
      <w:sz w:val="20"/>
      <w:szCs w:val="20"/>
    </w:rPr>
  </w:style>
  <w:style w:type="character" w:styleId="EndnoteReference">
    <w:name w:val="endnote reference"/>
    <w:basedOn w:val="DefaultParagraphFont"/>
    <w:uiPriority w:val="99"/>
    <w:semiHidden/>
    <w:unhideWhenUsed/>
    <w:rsid w:val="00B133FF"/>
    <w:rPr>
      <w:vertAlign w:val="superscript"/>
    </w:rPr>
  </w:style>
  <w:style w:type="character" w:customStyle="1" w:styleId="cf01">
    <w:name w:val="cf01"/>
    <w:basedOn w:val="DefaultParagraphFont"/>
    <w:rsid w:val="00B133FF"/>
    <w:rPr>
      <w:rFonts w:ascii="Segoe UI" w:hAnsi="Segoe UI" w:cs="Segoe UI" w:hint="default"/>
      <w:sz w:val="18"/>
      <w:szCs w:val="18"/>
    </w:rPr>
  </w:style>
  <w:style w:type="paragraph" w:customStyle="1" w:styleId="ALJOP">
    <w:name w:val="ALJ OP"/>
    <w:basedOn w:val="Normal"/>
    <w:link w:val="ALJOPChar"/>
    <w:qFormat/>
    <w:rsid w:val="00B133FF"/>
    <w:pPr>
      <w:numPr>
        <w:numId w:val="8"/>
      </w:numPr>
    </w:pPr>
    <w:rPr>
      <w:rFonts w:cs="Times New Roman"/>
      <w:szCs w:val="20"/>
    </w:rPr>
  </w:style>
  <w:style w:type="character" w:customStyle="1" w:styleId="ALJOPChar">
    <w:name w:val="ALJ OP Char"/>
    <w:basedOn w:val="DefaultParagraphFont"/>
    <w:link w:val="ALJOP"/>
    <w:rsid w:val="00B133FF"/>
    <w:rPr>
      <w:rFonts w:ascii="Book Antiqua" w:hAnsi="Book Antiqua" w:cs="Times New Roman"/>
      <w:sz w:val="26"/>
      <w:szCs w:val="20"/>
    </w:rPr>
  </w:style>
  <w:style w:type="paragraph" w:styleId="Revision">
    <w:name w:val="Revision"/>
    <w:hidden/>
    <w:uiPriority w:val="99"/>
    <w:semiHidden/>
    <w:rsid w:val="00B133FF"/>
    <w:pPr>
      <w:spacing w:after="0" w:line="240" w:lineRule="auto"/>
    </w:pPr>
    <w:rPr>
      <w:rFonts w:ascii="Book Antiqua" w:hAnsi="Book Antiqua"/>
      <w:sz w:val="26"/>
    </w:rPr>
  </w:style>
  <w:style w:type="character" w:styleId="Mention">
    <w:name w:val="Mention"/>
    <w:basedOn w:val="DefaultParagraphFont"/>
    <w:uiPriority w:val="99"/>
    <w:unhideWhenUsed/>
    <w:rsid w:val="00B133FF"/>
    <w:rPr>
      <w:color w:val="2B579A"/>
      <w:shd w:val="clear" w:color="auto" w:fill="E1DFDD"/>
    </w:rPr>
  </w:style>
  <w:style w:type="numbering" w:customStyle="1" w:styleId="Headings1">
    <w:name w:val="Headings1"/>
    <w:uiPriority w:val="99"/>
    <w:rsid w:val="00B133FF"/>
  </w:style>
  <w:style w:type="character" w:customStyle="1" w:styleId="eop">
    <w:name w:val="eop"/>
    <w:basedOn w:val="DefaultParagraphFont"/>
    <w:rsid w:val="00C96C70"/>
  </w:style>
  <w:style w:type="character" w:styleId="FollowedHyperlink">
    <w:name w:val="FollowedHyperlink"/>
    <w:basedOn w:val="DefaultParagraphFont"/>
    <w:uiPriority w:val="99"/>
    <w:semiHidden/>
    <w:unhideWhenUsed/>
    <w:rsid w:val="00AA33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0597">
      <w:bodyDiv w:val="1"/>
      <w:marLeft w:val="0"/>
      <w:marRight w:val="0"/>
      <w:marTop w:val="0"/>
      <w:marBottom w:val="0"/>
      <w:divBdr>
        <w:top w:val="none" w:sz="0" w:space="0" w:color="auto"/>
        <w:left w:val="none" w:sz="0" w:space="0" w:color="auto"/>
        <w:bottom w:val="none" w:sz="0" w:space="0" w:color="auto"/>
        <w:right w:val="none" w:sz="0" w:space="0" w:color="auto"/>
      </w:divBdr>
    </w:div>
    <w:div w:id="139925808">
      <w:bodyDiv w:val="1"/>
      <w:marLeft w:val="0"/>
      <w:marRight w:val="0"/>
      <w:marTop w:val="0"/>
      <w:marBottom w:val="0"/>
      <w:divBdr>
        <w:top w:val="none" w:sz="0" w:space="0" w:color="auto"/>
        <w:left w:val="none" w:sz="0" w:space="0" w:color="auto"/>
        <w:bottom w:val="none" w:sz="0" w:space="0" w:color="auto"/>
        <w:right w:val="none" w:sz="0" w:space="0" w:color="auto"/>
      </w:divBdr>
    </w:div>
    <w:div w:id="152335661">
      <w:bodyDiv w:val="1"/>
      <w:marLeft w:val="0"/>
      <w:marRight w:val="0"/>
      <w:marTop w:val="0"/>
      <w:marBottom w:val="0"/>
      <w:divBdr>
        <w:top w:val="none" w:sz="0" w:space="0" w:color="auto"/>
        <w:left w:val="none" w:sz="0" w:space="0" w:color="auto"/>
        <w:bottom w:val="none" w:sz="0" w:space="0" w:color="auto"/>
        <w:right w:val="none" w:sz="0" w:space="0" w:color="auto"/>
      </w:divBdr>
      <w:divsChild>
        <w:div w:id="1029573640">
          <w:marLeft w:val="907"/>
          <w:marRight w:val="0"/>
          <w:marTop w:val="100"/>
          <w:marBottom w:val="0"/>
          <w:divBdr>
            <w:top w:val="none" w:sz="0" w:space="0" w:color="auto"/>
            <w:left w:val="none" w:sz="0" w:space="0" w:color="auto"/>
            <w:bottom w:val="none" w:sz="0" w:space="0" w:color="auto"/>
            <w:right w:val="none" w:sz="0" w:space="0" w:color="auto"/>
          </w:divBdr>
        </w:div>
      </w:divsChild>
    </w:div>
    <w:div w:id="440497570">
      <w:bodyDiv w:val="1"/>
      <w:marLeft w:val="0"/>
      <w:marRight w:val="0"/>
      <w:marTop w:val="0"/>
      <w:marBottom w:val="0"/>
      <w:divBdr>
        <w:top w:val="none" w:sz="0" w:space="0" w:color="auto"/>
        <w:left w:val="none" w:sz="0" w:space="0" w:color="auto"/>
        <w:bottom w:val="none" w:sz="0" w:space="0" w:color="auto"/>
        <w:right w:val="none" w:sz="0" w:space="0" w:color="auto"/>
      </w:divBdr>
    </w:div>
    <w:div w:id="502814771">
      <w:bodyDiv w:val="1"/>
      <w:marLeft w:val="0"/>
      <w:marRight w:val="0"/>
      <w:marTop w:val="0"/>
      <w:marBottom w:val="0"/>
      <w:divBdr>
        <w:top w:val="none" w:sz="0" w:space="0" w:color="auto"/>
        <w:left w:val="none" w:sz="0" w:space="0" w:color="auto"/>
        <w:bottom w:val="none" w:sz="0" w:space="0" w:color="auto"/>
        <w:right w:val="none" w:sz="0" w:space="0" w:color="auto"/>
      </w:divBdr>
    </w:div>
    <w:div w:id="683358344">
      <w:bodyDiv w:val="1"/>
      <w:marLeft w:val="0"/>
      <w:marRight w:val="0"/>
      <w:marTop w:val="0"/>
      <w:marBottom w:val="0"/>
      <w:divBdr>
        <w:top w:val="none" w:sz="0" w:space="0" w:color="auto"/>
        <w:left w:val="none" w:sz="0" w:space="0" w:color="auto"/>
        <w:bottom w:val="none" w:sz="0" w:space="0" w:color="auto"/>
        <w:right w:val="none" w:sz="0" w:space="0" w:color="auto"/>
      </w:divBdr>
      <w:divsChild>
        <w:div w:id="1705207263">
          <w:marLeft w:val="360"/>
          <w:marRight w:val="0"/>
          <w:marTop w:val="200"/>
          <w:marBottom w:val="0"/>
          <w:divBdr>
            <w:top w:val="none" w:sz="0" w:space="0" w:color="auto"/>
            <w:left w:val="none" w:sz="0" w:space="0" w:color="auto"/>
            <w:bottom w:val="none" w:sz="0" w:space="0" w:color="auto"/>
            <w:right w:val="none" w:sz="0" w:space="0" w:color="auto"/>
          </w:divBdr>
        </w:div>
        <w:div w:id="414254321">
          <w:marLeft w:val="907"/>
          <w:marRight w:val="0"/>
          <w:marTop w:val="100"/>
          <w:marBottom w:val="0"/>
          <w:divBdr>
            <w:top w:val="none" w:sz="0" w:space="0" w:color="auto"/>
            <w:left w:val="none" w:sz="0" w:space="0" w:color="auto"/>
            <w:bottom w:val="none" w:sz="0" w:space="0" w:color="auto"/>
            <w:right w:val="none" w:sz="0" w:space="0" w:color="auto"/>
          </w:divBdr>
        </w:div>
      </w:divsChild>
    </w:div>
    <w:div w:id="1172573937">
      <w:bodyDiv w:val="1"/>
      <w:marLeft w:val="0"/>
      <w:marRight w:val="0"/>
      <w:marTop w:val="0"/>
      <w:marBottom w:val="0"/>
      <w:divBdr>
        <w:top w:val="none" w:sz="0" w:space="0" w:color="auto"/>
        <w:left w:val="none" w:sz="0" w:space="0" w:color="auto"/>
        <w:bottom w:val="none" w:sz="0" w:space="0" w:color="auto"/>
        <w:right w:val="none" w:sz="0" w:space="0" w:color="auto"/>
      </w:divBdr>
    </w:div>
    <w:div w:id="1243950730">
      <w:bodyDiv w:val="1"/>
      <w:marLeft w:val="0"/>
      <w:marRight w:val="0"/>
      <w:marTop w:val="0"/>
      <w:marBottom w:val="0"/>
      <w:divBdr>
        <w:top w:val="none" w:sz="0" w:space="0" w:color="auto"/>
        <w:left w:val="none" w:sz="0" w:space="0" w:color="auto"/>
        <w:bottom w:val="none" w:sz="0" w:space="0" w:color="auto"/>
        <w:right w:val="none" w:sz="0" w:space="0" w:color="auto"/>
      </w:divBdr>
    </w:div>
    <w:div w:id="1319962362">
      <w:bodyDiv w:val="1"/>
      <w:marLeft w:val="0"/>
      <w:marRight w:val="0"/>
      <w:marTop w:val="0"/>
      <w:marBottom w:val="0"/>
      <w:divBdr>
        <w:top w:val="none" w:sz="0" w:space="0" w:color="auto"/>
        <w:left w:val="none" w:sz="0" w:space="0" w:color="auto"/>
        <w:bottom w:val="none" w:sz="0" w:space="0" w:color="auto"/>
        <w:right w:val="none" w:sz="0" w:space="0" w:color="auto"/>
      </w:divBdr>
    </w:div>
    <w:div w:id="1338343275">
      <w:bodyDiv w:val="1"/>
      <w:marLeft w:val="0"/>
      <w:marRight w:val="0"/>
      <w:marTop w:val="0"/>
      <w:marBottom w:val="0"/>
      <w:divBdr>
        <w:top w:val="none" w:sz="0" w:space="0" w:color="auto"/>
        <w:left w:val="none" w:sz="0" w:space="0" w:color="auto"/>
        <w:bottom w:val="none" w:sz="0" w:space="0" w:color="auto"/>
        <w:right w:val="none" w:sz="0" w:space="0" w:color="auto"/>
      </w:divBdr>
    </w:div>
    <w:div w:id="1409116025">
      <w:bodyDiv w:val="1"/>
      <w:marLeft w:val="0"/>
      <w:marRight w:val="0"/>
      <w:marTop w:val="0"/>
      <w:marBottom w:val="0"/>
      <w:divBdr>
        <w:top w:val="none" w:sz="0" w:space="0" w:color="auto"/>
        <w:left w:val="none" w:sz="0" w:space="0" w:color="auto"/>
        <w:bottom w:val="none" w:sz="0" w:space="0" w:color="auto"/>
        <w:right w:val="none" w:sz="0" w:space="0" w:color="auto"/>
      </w:divBdr>
    </w:div>
    <w:div w:id="1569992852">
      <w:bodyDiv w:val="1"/>
      <w:marLeft w:val="0"/>
      <w:marRight w:val="0"/>
      <w:marTop w:val="0"/>
      <w:marBottom w:val="0"/>
      <w:divBdr>
        <w:top w:val="none" w:sz="0" w:space="0" w:color="auto"/>
        <w:left w:val="none" w:sz="0" w:space="0" w:color="auto"/>
        <w:bottom w:val="none" w:sz="0" w:space="0" w:color="auto"/>
        <w:right w:val="none" w:sz="0" w:space="0" w:color="auto"/>
      </w:divBdr>
      <w:divsChild>
        <w:div w:id="925309905">
          <w:marLeft w:val="360"/>
          <w:marRight w:val="0"/>
          <w:marTop w:val="120"/>
          <w:marBottom w:val="0"/>
          <w:divBdr>
            <w:top w:val="none" w:sz="0" w:space="0" w:color="auto"/>
            <w:left w:val="none" w:sz="0" w:space="0" w:color="auto"/>
            <w:bottom w:val="none" w:sz="0" w:space="0" w:color="auto"/>
            <w:right w:val="none" w:sz="0" w:space="0" w:color="auto"/>
          </w:divBdr>
        </w:div>
        <w:div w:id="910624978">
          <w:marLeft w:val="360"/>
          <w:marRight w:val="0"/>
          <w:marTop w:val="200"/>
          <w:marBottom w:val="0"/>
          <w:divBdr>
            <w:top w:val="none" w:sz="0" w:space="0" w:color="auto"/>
            <w:left w:val="none" w:sz="0" w:space="0" w:color="auto"/>
            <w:bottom w:val="none" w:sz="0" w:space="0" w:color="auto"/>
            <w:right w:val="none" w:sz="0" w:space="0" w:color="auto"/>
          </w:divBdr>
        </w:div>
        <w:div w:id="1367869283">
          <w:marLeft w:val="907"/>
          <w:marRight w:val="0"/>
          <w:marTop w:val="100"/>
          <w:marBottom w:val="0"/>
          <w:divBdr>
            <w:top w:val="none" w:sz="0" w:space="0" w:color="auto"/>
            <w:left w:val="none" w:sz="0" w:space="0" w:color="auto"/>
            <w:bottom w:val="none" w:sz="0" w:space="0" w:color="auto"/>
            <w:right w:val="none" w:sz="0" w:space="0" w:color="auto"/>
          </w:divBdr>
        </w:div>
        <w:div w:id="1599866883">
          <w:marLeft w:val="907"/>
          <w:marRight w:val="0"/>
          <w:marTop w:val="100"/>
          <w:marBottom w:val="0"/>
          <w:divBdr>
            <w:top w:val="none" w:sz="0" w:space="0" w:color="auto"/>
            <w:left w:val="none" w:sz="0" w:space="0" w:color="auto"/>
            <w:bottom w:val="none" w:sz="0" w:space="0" w:color="auto"/>
            <w:right w:val="none" w:sz="0" w:space="0" w:color="auto"/>
          </w:divBdr>
        </w:div>
      </w:divsChild>
    </w:div>
    <w:div w:id="1799687508">
      <w:bodyDiv w:val="1"/>
      <w:marLeft w:val="0"/>
      <w:marRight w:val="0"/>
      <w:marTop w:val="0"/>
      <w:marBottom w:val="0"/>
      <w:divBdr>
        <w:top w:val="none" w:sz="0" w:space="0" w:color="auto"/>
        <w:left w:val="none" w:sz="0" w:space="0" w:color="auto"/>
        <w:bottom w:val="none" w:sz="0" w:space="0" w:color="auto"/>
        <w:right w:val="none" w:sz="0" w:space="0" w:color="auto"/>
      </w:divBdr>
    </w:div>
    <w:div w:id="1888878711">
      <w:bodyDiv w:val="1"/>
      <w:marLeft w:val="0"/>
      <w:marRight w:val="0"/>
      <w:marTop w:val="0"/>
      <w:marBottom w:val="0"/>
      <w:divBdr>
        <w:top w:val="none" w:sz="0" w:space="0" w:color="auto"/>
        <w:left w:val="none" w:sz="0" w:space="0" w:color="auto"/>
        <w:bottom w:val="none" w:sz="0" w:space="0" w:color="auto"/>
        <w:right w:val="none" w:sz="0" w:space="0" w:color="auto"/>
      </w:divBdr>
    </w:div>
    <w:div w:id="2037269524">
      <w:bodyDiv w:val="1"/>
      <w:marLeft w:val="0"/>
      <w:marRight w:val="0"/>
      <w:marTop w:val="0"/>
      <w:marBottom w:val="0"/>
      <w:divBdr>
        <w:top w:val="none" w:sz="0" w:space="0" w:color="auto"/>
        <w:left w:val="none" w:sz="0" w:space="0" w:color="auto"/>
        <w:bottom w:val="none" w:sz="0" w:space="0" w:color="auto"/>
        <w:right w:val="none" w:sz="0" w:space="0" w:color="auto"/>
      </w:divBdr>
      <w:divsChild>
        <w:div w:id="934170316">
          <w:marLeft w:val="994"/>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docs.cpuc.ca.gov/PublishedDocs/Published/G000/M533/K833/533833391.pdf" TargetMode="External" Id="R11ef9afabc054b0b" /></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media/cpuc-website/divisions/energy-division/documents/resource-adequacy-homepage/resource-adequacy-compliance-materials/slice-of-day-compliance-materials/rashowing_template_usersguide_rev27.docx" TargetMode="External"/><Relationship Id="rId2" Type="http://schemas.openxmlformats.org/officeDocument/2006/relationships/hyperlink" Target="https://www.cpuc.ca.gov/-/media/cpuc-website/divisions/energy-division/documents/resource-adequacy-homepage/resource-adequacy-compliance-materials/slice-of-day-compliance-materials/rashowing_template_usersguide_rev27.docx" TargetMode="External"/><Relationship Id="rId1" Type="http://schemas.openxmlformats.org/officeDocument/2006/relationships/hyperlink" Target="https://www.cpuc.ca.gov/-/media/cpuc-website/divisions/energy-division/documents/resource-adequacy-homepage/r21-10-002/3_study-for-ra-proposals-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92</ap:Pages>
  <ap:Words>21659</ap:Words>
  <ap:Characters>123458</ap:Characters>
  <ap:Application>Microsoft Office Word</ap:Application>
  <ap:DocSecurity>0</ap:DocSecurity>
  <ap:Lines>1028</ap:Lines>
  <ap:Paragraphs>289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144828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2024-05-17T19:50:00Z</cp:lastPrinted>
  <dcterms:created xsi:type="dcterms:W3CDTF">2024-06-17T16:02:59Z</dcterms:created>
  <dcterms:modified xsi:type="dcterms:W3CDTF">2024-06-17T16:02:59Z</dcterms:modified>
</cp:coreProperties>
</file>