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Pr="00B53972" w:rsidR="00DA7B5D" w:rsidP="00682CCA" w:rsidRDefault="00B53972" w14:paraId="24A4D7FE" w14:textId="076756EC">
      <w:pPr>
        <w:tabs>
          <w:tab w:val="center" w:pos="4680"/>
          <w:tab w:val="right" w:pos="9360"/>
        </w:tabs>
        <w:spacing w:line="240" w:lineRule="auto"/>
        <w:ind w:firstLine="0"/>
        <w:rPr>
          <w:b/>
          <w:szCs w:val="26"/>
        </w:rPr>
      </w:pPr>
      <w:r w:rsidRPr="00B53972">
        <w:rPr>
          <w:szCs w:val="26"/>
        </w:rPr>
        <w:t>ALJ/TJG/hma</w:t>
      </w:r>
      <w:r w:rsidRPr="00B53972" w:rsidR="007E0FEE">
        <w:rPr>
          <w:szCs w:val="26"/>
        </w:rPr>
        <w:tab/>
      </w:r>
      <w:r w:rsidR="00682CCA">
        <w:rPr>
          <w:rFonts w:cs="Arial"/>
          <w:b/>
          <w:szCs w:val="26"/>
        </w:rPr>
        <w:tab/>
        <w:t xml:space="preserve">Date of Issuance: </w:t>
      </w:r>
      <w:r w:rsidR="001A1439">
        <w:rPr>
          <w:rFonts w:cs="Arial"/>
          <w:b/>
          <w:szCs w:val="26"/>
        </w:rPr>
        <w:t>6/2</w:t>
      </w:r>
      <w:r w:rsidR="00C657C7">
        <w:rPr>
          <w:rFonts w:cs="Arial"/>
          <w:b/>
          <w:szCs w:val="26"/>
        </w:rPr>
        <w:t>8</w:t>
      </w:r>
      <w:r w:rsidR="00682CCA">
        <w:rPr>
          <w:rFonts w:cs="Arial"/>
          <w:b/>
          <w:szCs w:val="26"/>
        </w:rPr>
        <w:t>/2024</w:t>
      </w:r>
    </w:p>
    <w:p w:rsidR="00B53972" w:rsidP="008F0116" w:rsidRDefault="00B53972" w14:paraId="70B86C4A" w14:textId="313433F5">
      <w:pPr>
        <w:ind w:firstLine="0"/>
        <w:rPr>
          <w:szCs w:val="26"/>
        </w:rPr>
      </w:pPr>
    </w:p>
    <w:p w:rsidR="00682CCA" w:rsidP="008F0116" w:rsidRDefault="00682CCA" w14:paraId="0B82E113" w14:textId="77777777">
      <w:pPr>
        <w:ind w:firstLine="0"/>
        <w:rPr>
          <w:szCs w:val="26"/>
        </w:rPr>
      </w:pPr>
    </w:p>
    <w:p w:rsidR="00DA7B5D" w:rsidP="00BB0243" w:rsidRDefault="00DA7B5D" w14:paraId="3952C564" w14:textId="77777777">
      <w:pPr>
        <w:spacing w:line="240" w:lineRule="auto"/>
        <w:ind w:firstLine="0"/>
        <w:jc w:val="center"/>
        <w:rPr>
          <w:rFonts w:ascii="Arial" w:hAnsi="Arial" w:cs="Arial"/>
          <w:sz w:val="24"/>
          <w:szCs w:val="24"/>
        </w:rPr>
      </w:pPr>
      <w:r w:rsidRPr="00DA7B5D">
        <w:rPr>
          <w:rFonts w:ascii="Arial" w:hAnsi="Arial" w:cs="Arial"/>
          <w:b/>
          <w:sz w:val="24"/>
          <w:szCs w:val="24"/>
        </w:rPr>
        <w:t>BEFORE THE PUBLIC UTILITIES COMMISSION OF THE STATE OF CALIFORNIA</w:t>
      </w:r>
    </w:p>
    <w:p w:rsidR="00DA7B5D" w:rsidP="008F0116" w:rsidRDefault="00DA7B5D" w14:paraId="376B70E9" w14:textId="77777777">
      <w:pPr>
        <w:spacing w:line="240" w:lineRule="auto"/>
        <w:ind w:firstLine="0"/>
        <w:rPr>
          <w:rFonts w:ascii="Arial" w:hAnsi="Arial" w:cs="Arial"/>
          <w:sz w:val="24"/>
          <w:szCs w:val="24"/>
        </w:rPr>
      </w:pPr>
    </w:p>
    <w:tbl>
      <w:tblPr>
        <w:tblStyle w:val="TableGrid"/>
        <w:tblW w:w="9360" w:type="dxa"/>
        <w:jc w:val="center"/>
        <w:tblLayout w:type="fixed"/>
        <w:tblLook w:val="04A0" w:firstRow="1" w:lastRow="0" w:firstColumn="1" w:lastColumn="0" w:noHBand="0" w:noVBand="1"/>
      </w:tblPr>
      <w:tblGrid>
        <w:gridCol w:w="4680"/>
        <w:gridCol w:w="4680"/>
      </w:tblGrid>
      <w:tr w:rsidR="00DA7B5D" w:rsidTr="00E725FC" w14:paraId="0D1191CE" w14:textId="77777777">
        <w:trPr>
          <w:jc w:val="center"/>
        </w:trPr>
        <w:tc>
          <w:tcPr>
            <w:tcW w:w="5040" w:type="dxa"/>
            <w:tcBorders>
              <w:top w:val="nil"/>
              <w:left w:val="nil"/>
              <w:bottom w:val="single" w:color="auto" w:sz="4" w:space="0"/>
              <w:right w:val="single" w:color="auto" w:sz="4" w:space="0"/>
            </w:tcBorders>
          </w:tcPr>
          <w:p w:rsidRPr="00DA7B5D" w:rsidR="00DA7B5D" w:rsidP="00C10B5F" w:rsidRDefault="007C3A82" w14:paraId="2FD75D7B" w14:textId="3F1826E2">
            <w:pPr>
              <w:spacing w:line="240" w:lineRule="auto"/>
              <w:ind w:firstLine="0"/>
              <w:rPr>
                <w:rFonts w:cs="Arial"/>
                <w:szCs w:val="26"/>
              </w:rPr>
            </w:pPr>
            <w:r w:rsidRPr="007C3A82">
              <w:rPr>
                <w:rFonts w:cs="Arial"/>
                <w:szCs w:val="26"/>
              </w:rPr>
              <w:t xml:space="preserve">Order Instituting Rulemaking Proceeding to Consider Changes to </w:t>
            </w:r>
            <w:r w:rsidR="00346239">
              <w:rPr>
                <w:rFonts w:cs="Arial"/>
                <w:szCs w:val="26"/>
              </w:rPr>
              <w:t xml:space="preserve">the </w:t>
            </w:r>
            <w:r>
              <w:rPr>
                <w:rFonts w:cs="Arial"/>
                <w:szCs w:val="26"/>
              </w:rPr>
              <w:t>Commission’s Carrier of Last Resort Rules.</w:t>
            </w:r>
            <w:r w:rsidRPr="00DA7B5D" w:rsidR="00DA7B5D">
              <w:rPr>
                <w:rFonts w:cs="Arial"/>
                <w:szCs w:val="26"/>
              </w:rPr>
              <w:br/>
            </w:r>
          </w:p>
        </w:tc>
        <w:tc>
          <w:tcPr>
            <w:tcW w:w="5040" w:type="dxa"/>
            <w:tcBorders>
              <w:top w:val="nil"/>
              <w:left w:val="single" w:color="auto" w:sz="4" w:space="0"/>
              <w:bottom w:val="nil"/>
              <w:right w:val="nil"/>
            </w:tcBorders>
            <w:vAlign w:val="center"/>
          </w:tcPr>
          <w:p w:rsidRPr="00682CCA" w:rsidR="00682CCA" w:rsidP="00682CCA" w:rsidRDefault="00682CCA" w14:paraId="0AAF2D63" w14:textId="77777777">
            <w:pPr>
              <w:spacing w:line="240" w:lineRule="auto"/>
              <w:ind w:hanging="17"/>
              <w:jc w:val="center"/>
              <w:rPr>
                <w:szCs w:val="26"/>
              </w:rPr>
            </w:pPr>
            <w:r w:rsidRPr="00682CCA">
              <w:rPr>
                <w:szCs w:val="26"/>
              </w:rPr>
              <w:t>FILED</w:t>
            </w:r>
            <w:r w:rsidRPr="00682CCA">
              <w:rPr>
                <w:szCs w:val="26"/>
              </w:rPr>
              <w:br/>
              <w:t>PUBLIC UTILITIES COMMISSION</w:t>
            </w:r>
          </w:p>
          <w:p w:rsidRPr="00682CCA" w:rsidR="00682CCA" w:rsidP="00682CCA" w:rsidRDefault="00682CCA" w14:paraId="7D6CE283" w14:textId="75879F7B">
            <w:pPr>
              <w:spacing w:line="240" w:lineRule="auto"/>
              <w:ind w:hanging="14"/>
              <w:jc w:val="center"/>
              <w:rPr>
                <w:szCs w:val="26"/>
              </w:rPr>
            </w:pPr>
            <w:r>
              <w:rPr>
                <w:szCs w:val="26"/>
              </w:rPr>
              <w:t>JUNE 20, 2024</w:t>
            </w:r>
          </w:p>
          <w:p w:rsidRPr="00682CCA" w:rsidR="00682CCA" w:rsidP="00682CCA" w:rsidRDefault="00682CCA" w14:paraId="553ABA98" w14:textId="77777777">
            <w:pPr>
              <w:spacing w:line="240" w:lineRule="auto"/>
              <w:ind w:right="-122" w:hanging="14"/>
              <w:jc w:val="center"/>
              <w:rPr>
                <w:szCs w:val="26"/>
              </w:rPr>
            </w:pPr>
            <w:r w:rsidRPr="00682CCA">
              <w:rPr>
                <w:szCs w:val="26"/>
              </w:rPr>
              <w:t>SAN FRANCISCO, CALIFORNIA</w:t>
            </w:r>
          </w:p>
          <w:p w:rsidR="00682CCA" w:rsidP="00682CCA" w:rsidRDefault="00682CCA" w14:paraId="49152E90" w14:textId="391CAFA6">
            <w:pPr>
              <w:spacing w:line="240" w:lineRule="auto"/>
              <w:ind w:firstLine="0"/>
              <w:jc w:val="center"/>
              <w:rPr>
                <w:szCs w:val="26"/>
              </w:rPr>
            </w:pPr>
            <w:r w:rsidRPr="00682CCA">
              <w:rPr>
                <w:szCs w:val="26"/>
              </w:rPr>
              <w:t>RULEMAKING </w:t>
            </w:r>
            <w:r>
              <w:rPr>
                <w:szCs w:val="26"/>
              </w:rPr>
              <w:t>24-06-012</w:t>
            </w:r>
          </w:p>
          <w:p w:rsidRPr="00DA7B5D" w:rsidR="00DA7B5D" w:rsidP="00412C83" w:rsidRDefault="00DA7B5D" w14:paraId="742A126B" w14:textId="12A979B7">
            <w:pPr>
              <w:spacing w:line="240" w:lineRule="auto"/>
              <w:ind w:firstLine="0"/>
              <w:jc w:val="center"/>
              <w:rPr>
                <w:rFonts w:cs="Arial"/>
                <w:szCs w:val="26"/>
              </w:rPr>
            </w:pPr>
          </w:p>
        </w:tc>
      </w:tr>
    </w:tbl>
    <w:p w:rsidR="00DA7B5D" w:rsidP="008F0116" w:rsidRDefault="00DA7B5D" w14:paraId="761333EB" w14:textId="77777777">
      <w:pPr>
        <w:spacing w:line="240" w:lineRule="auto"/>
        <w:ind w:firstLine="0"/>
        <w:rPr>
          <w:rFonts w:ascii="Arial" w:hAnsi="Arial" w:cs="Arial"/>
          <w:sz w:val="24"/>
          <w:szCs w:val="24"/>
        </w:rPr>
      </w:pPr>
    </w:p>
    <w:p w:rsidR="00DA7B5D" w:rsidP="008F0116" w:rsidRDefault="00DA7B5D" w14:paraId="59BBC564" w14:textId="77777777">
      <w:pPr>
        <w:spacing w:line="240" w:lineRule="auto"/>
        <w:ind w:firstLine="0"/>
        <w:rPr>
          <w:rFonts w:ascii="Arial" w:hAnsi="Arial" w:cs="Arial"/>
          <w:sz w:val="24"/>
          <w:szCs w:val="24"/>
        </w:rPr>
      </w:pPr>
    </w:p>
    <w:p w:rsidR="007C3A82" w:rsidP="007C3A82" w:rsidRDefault="007C3A82" w14:paraId="38920B23" w14:textId="52EB345F">
      <w:pPr>
        <w:pStyle w:val="Dummy"/>
        <w:jc w:val="center"/>
        <w:rPr>
          <w:caps/>
        </w:rPr>
      </w:pPr>
      <w:bookmarkStart w:name="_Toc165368799" w:id="0"/>
      <w:r w:rsidRPr="007C3A82">
        <w:rPr>
          <w:caps/>
        </w:rPr>
        <w:t xml:space="preserve">Order Instituting Rulemaking Proceeding to Consider Changes to </w:t>
      </w:r>
      <w:r w:rsidR="00346239">
        <w:rPr>
          <w:caps/>
        </w:rPr>
        <w:t xml:space="preserve">THE </w:t>
      </w:r>
      <w:r w:rsidRPr="007C3A82">
        <w:rPr>
          <w:caps/>
        </w:rPr>
        <w:t>Commission’s Carrier of Last Resort Rule</w:t>
      </w:r>
      <w:bookmarkEnd w:id="0"/>
      <w:r w:rsidR="00E8780F">
        <w:rPr>
          <w:caps/>
        </w:rPr>
        <w:t>S</w:t>
      </w:r>
    </w:p>
    <w:p w:rsidR="00464FFE" w:rsidP="005A148C" w:rsidRDefault="00464FFE" w14:paraId="036D87EF" w14:textId="77777777">
      <w:pPr>
        <w:pStyle w:val="Dummy"/>
      </w:pPr>
      <w:bookmarkStart w:name="_Toc8123714" w:id="1"/>
    </w:p>
    <w:p w:rsidR="005A148C" w:rsidP="005A148C" w:rsidRDefault="005A148C" w14:paraId="40A44203" w14:textId="111F9395">
      <w:pPr>
        <w:pStyle w:val="Dummy"/>
      </w:pPr>
      <w:bookmarkStart w:name="_Toc165368801" w:id="2"/>
      <w:r>
        <w:t>Summary</w:t>
      </w:r>
      <w:bookmarkEnd w:id="1"/>
      <w:bookmarkEnd w:id="2"/>
    </w:p>
    <w:p w:rsidR="0073353F" w:rsidP="007C3A82" w:rsidRDefault="007C3A82" w14:paraId="7885395D" w14:textId="3761B64B">
      <w:pPr>
        <w:pStyle w:val="Standard"/>
      </w:pPr>
      <w:r w:rsidRPr="007C3A82">
        <w:t xml:space="preserve">This </w:t>
      </w:r>
      <w:r w:rsidR="00CC2D25">
        <w:t>proceeding</w:t>
      </w:r>
      <w:r w:rsidRPr="007C3A82" w:rsidR="00CC2D25">
        <w:t xml:space="preserve"> </w:t>
      </w:r>
      <w:r w:rsidRPr="007C3A82">
        <w:t xml:space="preserve">institutes a rulemaking to consider changes to the California Public Utilities Commission’s </w:t>
      </w:r>
      <w:r w:rsidR="00CC2D25">
        <w:t>C</w:t>
      </w:r>
      <w:r>
        <w:t xml:space="preserve">arrier of </w:t>
      </w:r>
      <w:r w:rsidR="00CC2D25">
        <w:t>L</w:t>
      </w:r>
      <w:r>
        <w:t xml:space="preserve">ast </w:t>
      </w:r>
      <w:r w:rsidR="00CC2D25">
        <w:t>R</w:t>
      </w:r>
      <w:r>
        <w:t>esort rules adopted</w:t>
      </w:r>
      <w:r w:rsidRPr="007C3A82">
        <w:t xml:space="preserve"> in Decision (D.) 96-10-066 and affirmed in D.12-12-038</w:t>
      </w:r>
      <w:r w:rsidR="00464FFE">
        <w:t>.</w:t>
      </w:r>
      <w:r w:rsidR="00E14CD8">
        <w:t xml:space="preserve"> </w:t>
      </w:r>
    </w:p>
    <w:p w:rsidRPr="00121089" w:rsidR="005A148C" w:rsidP="008B2824" w:rsidRDefault="002C7FE9" w14:paraId="29F6A18B" w14:textId="77777777">
      <w:pPr>
        <w:pStyle w:val="Heading1"/>
      </w:pPr>
      <w:bookmarkStart w:name="_Toc8123715" w:id="3"/>
      <w:bookmarkStart w:name="_Toc165368802" w:id="4"/>
      <w:r w:rsidRPr="00996FCC">
        <w:t>Background</w:t>
      </w:r>
      <w:bookmarkEnd w:id="3"/>
      <w:bookmarkEnd w:id="4"/>
    </w:p>
    <w:p w:rsidR="007C3A82" w:rsidP="007C3A82" w:rsidRDefault="007C3A82" w14:paraId="75A0159A" w14:textId="20657F82">
      <w:pPr>
        <w:pStyle w:val="Standard"/>
      </w:pPr>
      <w:r>
        <w:t xml:space="preserve">Assembly Bill (AB) 3643, enacted in 1994, directed the </w:t>
      </w:r>
      <w:r w:rsidR="00CC2D25">
        <w:t xml:space="preserve">California Public Utilities </w:t>
      </w:r>
      <w:r>
        <w:t>Commission</w:t>
      </w:r>
      <w:r w:rsidR="00CC2D25">
        <w:t xml:space="preserve"> (Commission)</w:t>
      </w:r>
      <w:r>
        <w:t xml:space="preserve"> to initiate a proceeding to ensure universal telecommunications service includes “[e]ssential telecommunications services” that </w:t>
      </w:r>
      <w:r w:rsidR="00E8780F">
        <w:t>are</w:t>
      </w:r>
      <w:r>
        <w:t xml:space="preserve"> “provided at affordable prices to all Californians regardless of linguistic, cultural, ethnic, physical, geographic, or income considerations.”</w:t>
      </w:r>
      <w:r>
        <w:rPr>
          <w:rStyle w:val="FootnoteReference"/>
        </w:rPr>
        <w:footnoteReference w:id="2"/>
      </w:r>
      <w:r>
        <w:t xml:space="preserve"> </w:t>
      </w:r>
    </w:p>
    <w:p w:rsidR="009977F2" w:rsidP="009977F2" w:rsidRDefault="007C3A82" w14:paraId="27BF924A" w14:textId="68F19B2B">
      <w:pPr>
        <w:pStyle w:val="Standard"/>
      </w:pPr>
      <w:r>
        <w:t xml:space="preserve">In D.95-07-050, the Commission proposed that </w:t>
      </w:r>
      <w:r w:rsidR="00992899">
        <w:t xml:space="preserve">each of </w:t>
      </w:r>
      <w:r>
        <w:t xml:space="preserve">the incumbent </w:t>
      </w:r>
      <w:r w:rsidR="00E8780F">
        <w:t>Local Exchange Carriers (</w:t>
      </w:r>
      <w:r>
        <w:t>LECs</w:t>
      </w:r>
      <w:r w:rsidR="00E8780F">
        <w:t>)</w:t>
      </w:r>
      <w:r>
        <w:t xml:space="preserve"> be designated the </w:t>
      </w:r>
      <w:r w:rsidR="00464FFE">
        <w:t xml:space="preserve">Carrier of Last Resort (COLR) </w:t>
      </w:r>
      <w:r>
        <w:t xml:space="preserve">in </w:t>
      </w:r>
      <w:r>
        <w:lastRenderedPageBreak/>
        <w:t xml:space="preserve">their </w:t>
      </w:r>
      <w:r w:rsidR="00992899">
        <w:t xml:space="preserve">respective </w:t>
      </w:r>
      <w:r>
        <w:t>service areas until such time that another carrier or carriers are designated to be COLR</w:t>
      </w:r>
      <w:r w:rsidR="00411B5D">
        <w:t>s</w:t>
      </w:r>
      <w:r w:rsidR="00B84688">
        <w:t xml:space="preserve"> in those</w:t>
      </w:r>
      <w:r w:rsidR="00040C11">
        <w:t xml:space="preserve"> </w:t>
      </w:r>
      <w:r w:rsidR="00B84688">
        <w:t>areas</w:t>
      </w:r>
      <w:r>
        <w:t xml:space="preserve">. </w:t>
      </w:r>
      <w:r w:rsidR="000C093B">
        <w:t>The definition of a COLR is “</w:t>
      </w:r>
      <w:r w:rsidR="00DC3DD9">
        <w:t>[a]</w:t>
      </w:r>
      <w:r w:rsidR="000C093B">
        <w:t xml:space="preserve"> local exchange service provider that stands ready to provide basic service to any customer requesting such service within a specified area” and </w:t>
      </w:r>
      <w:r w:rsidR="00E8780F">
        <w:t xml:space="preserve">meets </w:t>
      </w:r>
      <w:r w:rsidR="000C093B">
        <w:t>other Commission-approved qualifications.</w:t>
      </w:r>
      <w:r w:rsidRPr="0059056D" w:rsidR="0059056D">
        <w:rPr>
          <w:rStyle w:val="FootnoteReference"/>
        </w:rPr>
        <w:t xml:space="preserve"> </w:t>
      </w:r>
      <w:r w:rsidR="0059056D">
        <w:rPr>
          <w:rStyle w:val="FootnoteReference"/>
        </w:rPr>
        <w:footnoteReference w:id="3"/>
      </w:r>
      <w:r w:rsidR="0059056D">
        <w:t xml:space="preserve"> </w:t>
      </w:r>
      <w:r w:rsidR="00464FFE">
        <w:t xml:space="preserve">The Commission adopted </w:t>
      </w:r>
      <w:r w:rsidR="00992899">
        <w:t>rules on COLR obligations (</w:t>
      </w:r>
      <w:r w:rsidR="00464FFE">
        <w:t xml:space="preserve">COLR </w:t>
      </w:r>
      <w:r w:rsidR="00411B5D">
        <w:t>R</w:t>
      </w:r>
      <w:r w:rsidR="00464FFE">
        <w:t>ules</w:t>
      </w:r>
      <w:r w:rsidR="00992899">
        <w:t>)</w:t>
      </w:r>
      <w:r w:rsidR="00464FFE">
        <w:t xml:space="preserve"> in</w:t>
      </w:r>
      <w:r w:rsidRPr="00F66D20" w:rsidR="00464FFE">
        <w:t xml:space="preserve"> Decision (D.) 96-10-066,</w:t>
      </w:r>
      <w:r w:rsidR="00464FFE">
        <w:t xml:space="preserve"> </w:t>
      </w:r>
      <w:r w:rsidR="00DC3DD9">
        <w:t>emphasiz</w:t>
      </w:r>
      <w:r w:rsidR="00464FFE">
        <w:t>ing that the COLR concept “is important to universal service policy because it ensures that customers receive service.”</w:t>
      </w:r>
      <w:r w:rsidR="00C173AB">
        <w:rPr>
          <w:rStyle w:val="FootnoteReference"/>
        </w:rPr>
        <w:footnoteReference w:id="4"/>
      </w:r>
      <w:r w:rsidR="00AD4B23">
        <w:t xml:space="preserve">  Decision </w:t>
      </w:r>
      <w:r w:rsidR="00B2784B">
        <w:t>96</w:t>
      </w:r>
      <w:r w:rsidR="00B34605">
        <w:noBreakHyphen/>
      </w:r>
      <w:r w:rsidR="00B2784B">
        <w:t xml:space="preserve">10-066 </w:t>
      </w:r>
      <w:r w:rsidR="00040C11">
        <w:t>designate</w:t>
      </w:r>
      <w:r w:rsidR="00B2784B">
        <w:t>d</w:t>
      </w:r>
      <w:r w:rsidR="00040C11">
        <w:t xml:space="preserve"> each</w:t>
      </w:r>
      <w:r w:rsidR="00EC1F05">
        <w:t xml:space="preserve"> of the incumbent LECs listed in </w:t>
      </w:r>
      <w:r w:rsidR="00B2784B">
        <w:t xml:space="preserve">its </w:t>
      </w:r>
      <w:r w:rsidR="00EC1F05">
        <w:t>Attachment A as the COLR in their respective service areas (also called geographic study areas, or GSAs) at least until such time that another carrier or carriers are designated as the COLR</w:t>
      </w:r>
      <w:r w:rsidR="00040C11">
        <w:t xml:space="preserve"> in th</w:t>
      </w:r>
      <w:r w:rsidR="00992899">
        <w:t>ose</w:t>
      </w:r>
      <w:r w:rsidR="00040C11">
        <w:t xml:space="preserve"> area</w:t>
      </w:r>
      <w:r w:rsidR="00992899">
        <w:t>s</w:t>
      </w:r>
      <w:r w:rsidR="00EC1F05">
        <w:t>.</w:t>
      </w:r>
      <w:r w:rsidR="00EC1F05">
        <w:rPr>
          <w:rStyle w:val="FootnoteReference"/>
        </w:rPr>
        <w:footnoteReference w:id="5"/>
      </w:r>
      <w:r w:rsidR="00EC1F05">
        <w:t xml:space="preserve"> </w:t>
      </w:r>
      <w:r w:rsidR="009977F2">
        <w:t>Decision 12-12-038 affirmed the Commission’s COLR Rules and revised the elements of basic service.</w:t>
      </w:r>
      <w:r w:rsidR="009977F2">
        <w:rPr>
          <w:rStyle w:val="FootnoteReference"/>
        </w:rPr>
        <w:footnoteReference w:id="6"/>
      </w:r>
      <w:r w:rsidR="009977F2">
        <w:t xml:space="preserve">  </w:t>
      </w:r>
    </w:p>
    <w:p w:rsidR="004C1CF7" w:rsidP="009977F2" w:rsidRDefault="00AD4B23" w14:paraId="34D7A090" w14:textId="5DF95250">
      <w:pPr>
        <w:pStyle w:val="Standard"/>
      </w:pPr>
      <w:r>
        <w:lastRenderedPageBreak/>
        <w:t>The COLR Rules require a</w:t>
      </w:r>
      <w:r w:rsidRPr="004F7882" w:rsidR="004C1CF7">
        <w:t xml:space="preserve"> designated COLR to serve all customers upon request, both residential and business, who are located within the COLR’s designated service area</w:t>
      </w:r>
      <w:r w:rsidR="004C1CF7">
        <w:t xml:space="preserve">, including </w:t>
      </w:r>
      <w:r w:rsidR="00E8780F">
        <w:t>high-cost</w:t>
      </w:r>
      <w:r w:rsidR="004C1CF7">
        <w:t xml:space="preserve"> GSAs</w:t>
      </w:r>
      <w:r w:rsidRPr="004F7882" w:rsidR="004C1CF7">
        <w:t>.</w:t>
      </w:r>
      <w:r w:rsidR="0059056D">
        <w:rPr>
          <w:rStyle w:val="FootnoteReference"/>
        </w:rPr>
        <w:footnoteReference w:id="7"/>
      </w:r>
      <w:r w:rsidR="0059056D">
        <w:rPr>
          <w:rStyle w:val="CommentReference"/>
        </w:rPr>
        <w:t xml:space="preserve"> </w:t>
      </w:r>
    </w:p>
    <w:p w:rsidR="00CF3989" w:rsidP="00A66032" w:rsidRDefault="00AD4B23" w14:paraId="126737F6" w14:textId="64C28005">
      <w:pPr>
        <w:pStyle w:val="Standard"/>
      </w:pPr>
      <w:r>
        <w:t>The COLR Rules</w:t>
      </w:r>
      <w:r w:rsidR="000C093B">
        <w:t xml:space="preserve"> also allow c</w:t>
      </w:r>
      <w:r w:rsidRPr="000C093B" w:rsidR="000C093B">
        <w:t xml:space="preserve">ompetitive local </w:t>
      </w:r>
      <w:r w:rsidR="000C093B">
        <w:t xml:space="preserve">exchange </w:t>
      </w:r>
      <w:r w:rsidRPr="000C093B" w:rsidR="000C093B">
        <w:t>carriers</w:t>
      </w:r>
      <w:r w:rsidR="000C093B">
        <w:t xml:space="preserve"> to apply </w:t>
      </w:r>
      <w:r w:rsidRPr="000C093B" w:rsidR="000C093B">
        <w:t>to become a designated COLR or to compete in a GSA without being designated a COLR.</w:t>
      </w:r>
      <w:r w:rsidR="000C093B">
        <w:rPr>
          <w:rStyle w:val="FootnoteReference"/>
        </w:rPr>
        <w:footnoteReference w:id="8"/>
      </w:r>
      <w:r w:rsidR="000C093B">
        <w:t xml:space="preserve"> </w:t>
      </w:r>
      <w:r w:rsidR="00B2784B">
        <w:t>The Commission’s COLR Rules provide that a</w:t>
      </w:r>
      <w:r w:rsidR="00CF3989">
        <w:t xml:space="preserve"> designated COLR retains its obligations until another carrier is designated.</w:t>
      </w:r>
      <w:r w:rsidR="00CF3989">
        <w:rPr>
          <w:rStyle w:val="FootnoteReference"/>
        </w:rPr>
        <w:footnoteReference w:id="9"/>
      </w:r>
      <w:r w:rsidR="00CF3989">
        <w:t xml:space="preserve"> </w:t>
      </w:r>
    </w:p>
    <w:p w:rsidR="00CF3989" w:rsidP="00CF3989" w:rsidRDefault="007C3A82" w14:paraId="4FE67CCC" w14:textId="2E19391F">
      <w:pPr>
        <w:pStyle w:val="Standard"/>
      </w:pPr>
      <w:r>
        <w:t>The</w:t>
      </w:r>
      <w:r w:rsidR="00CF3989">
        <w:t xml:space="preserve"> Commission’s </w:t>
      </w:r>
      <w:r>
        <w:t>COLR Rules also include a procedure to replace the last remaining COLR.</w:t>
      </w:r>
      <w:r>
        <w:rPr>
          <w:rStyle w:val="FootnoteReference"/>
        </w:rPr>
        <w:footnoteReference w:id="10"/>
      </w:r>
      <w:r>
        <w:t xml:space="preserve"> </w:t>
      </w:r>
      <w:r w:rsidR="00CF3989">
        <w:t xml:space="preserve">Appendix B </w:t>
      </w:r>
      <w:r w:rsidR="00411B5D">
        <w:t xml:space="preserve">of D.96-10-066 </w:t>
      </w:r>
      <w:r w:rsidR="00CF3989">
        <w:t>contains the Commission’s Universal Service Rules, including 6.D.1, which designates all incumbent LECs listed in Attachment A as the COLR in all their respective service areas at least until such time that another carrier or carriers are designated as the COLR,</w:t>
      </w:r>
      <w:r w:rsidR="00CF3989">
        <w:rPr>
          <w:rStyle w:val="FootnoteReference"/>
        </w:rPr>
        <w:footnoteReference w:id="11"/>
      </w:r>
      <w:r w:rsidR="00CF3989">
        <w:t xml:space="preserve"> and Rule 6.D.7, which allows a designated COLR to opt out of its obligations by advice letter unless it is the only carrier remaining in the service territory or a new COLR has been designated as a result of an auction.</w:t>
      </w:r>
      <w:r w:rsidR="00CF3989">
        <w:rPr>
          <w:rStyle w:val="FootnoteReference"/>
        </w:rPr>
        <w:footnoteReference w:id="12"/>
      </w:r>
      <w:r w:rsidR="00CF3989">
        <w:t xml:space="preserve"> </w:t>
      </w:r>
    </w:p>
    <w:p w:rsidRPr="008A69D8" w:rsidR="00E60784" w:rsidP="00EF613F" w:rsidRDefault="00E60784" w14:paraId="69D976D9" w14:textId="18B11A41">
      <w:pPr>
        <w:pStyle w:val="Standard"/>
      </w:pPr>
      <w:r>
        <w:lastRenderedPageBreak/>
        <w:t>Under</w:t>
      </w:r>
      <w:r w:rsidRPr="00C36CE0">
        <w:t xml:space="preserve"> Appendix C, Section 6</w:t>
      </w:r>
      <w:r>
        <w:t>(c)</w:t>
      </w:r>
      <w:r w:rsidRPr="00C36CE0">
        <w:t xml:space="preserve"> in D.12-12-038 and Appendix B, Sectio</w:t>
      </w:r>
      <w:r>
        <w:t>n</w:t>
      </w:r>
      <w:r w:rsidRPr="00C36CE0">
        <w:t>(c) in D.96-10-066</w:t>
      </w:r>
      <w:r>
        <w:t xml:space="preserve">, </w:t>
      </w:r>
      <w:r w:rsidRPr="00C36CE0">
        <w:t>the Commission can grant a</w:t>
      </w:r>
      <w:r>
        <w:t xml:space="preserve"> COLR withdrawal </w:t>
      </w:r>
      <w:r w:rsidRPr="00C36CE0">
        <w:t xml:space="preserve">application </w:t>
      </w:r>
      <w:r>
        <w:t xml:space="preserve">in </w:t>
      </w:r>
      <w:r w:rsidRPr="00C36CE0">
        <w:t xml:space="preserve">one of two ways: (a) another carrier is identified and is willing to serve as a COLR or (b) a reverse auction is held, </w:t>
      </w:r>
      <w:r w:rsidR="008B4A16">
        <w:t xml:space="preserve">and </w:t>
      </w:r>
      <w:r w:rsidRPr="00C36CE0">
        <w:t xml:space="preserve">the result </w:t>
      </w:r>
      <w:r w:rsidR="008B4A16">
        <w:t xml:space="preserve">is </w:t>
      </w:r>
      <w:r w:rsidRPr="00C36CE0">
        <w:t>another carrier comes forward and is willing (and able) to serve as a COLR. If no replacement COLR is identified in the application or if a replacement COLR does not come forward once the application has been filed, the Commission must hold a reverse auction.</w:t>
      </w:r>
      <w:r w:rsidR="00C173AB">
        <w:t xml:space="preserve"> If no replacement carrier is identified in the reverse auction process, then the Commission must deny the COLR withdrawal application under our current rules.</w:t>
      </w:r>
      <w:r>
        <w:t xml:space="preserve"> </w:t>
      </w:r>
    </w:p>
    <w:p w:rsidR="005A148C" w:rsidP="008B2824" w:rsidRDefault="007C3A82" w14:paraId="56B161C2" w14:textId="77777777">
      <w:pPr>
        <w:pStyle w:val="Heading1"/>
      </w:pPr>
      <w:bookmarkStart w:name="_Toc8123718" w:id="5"/>
      <w:bookmarkStart w:name="_Toc165368803" w:id="6"/>
      <w:r>
        <w:t>Preliminary Scoping</w:t>
      </w:r>
      <w:bookmarkEnd w:id="5"/>
      <w:r>
        <w:t xml:space="preserve"> of Issues</w:t>
      </w:r>
      <w:bookmarkEnd w:id="6"/>
    </w:p>
    <w:p w:rsidR="00E60784" w:rsidP="00E60784" w:rsidRDefault="007C3A82" w14:paraId="6E004423" w14:textId="0BAEDB0A">
      <w:pPr>
        <w:pStyle w:val="Standard"/>
      </w:pPr>
      <w:r>
        <w:t>T</w:t>
      </w:r>
      <w:r w:rsidR="00E60784">
        <w:t>he</w:t>
      </w:r>
      <w:r w:rsidRPr="00AF6349" w:rsidR="00E60784">
        <w:t xml:space="preserve"> preliminary scope of issues in the proceeding is set forth below, in accordance with Rule 7.1(d) of the Commission’s Rules of Practice and Procedure </w:t>
      </w:r>
      <w:r w:rsidR="00AD413A">
        <w:t xml:space="preserve">(Rule) </w:t>
      </w:r>
      <w:r w:rsidRPr="00AF6349" w:rsidR="00E60784">
        <w:t>In general, the purpose of this proceeding is</w:t>
      </w:r>
      <w:r w:rsidR="00E60784">
        <w:t xml:space="preserve"> to consider whether the Commission should revis</w:t>
      </w:r>
      <w:r w:rsidR="00EC1F05">
        <w:t>e</w:t>
      </w:r>
      <w:r w:rsidR="00E60784">
        <w:t xml:space="preserve"> its COLR rules and, if yes, what those revisions should be. </w:t>
      </w:r>
      <w:r w:rsidR="00EC1F05">
        <w:t>I</w:t>
      </w:r>
      <w:r w:rsidR="00E60784">
        <w:t xml:space="preserve">nterested individuals and </w:t>
      </w:r>
      <w:r w:rsidR="00EC1F05">
        <w:t>entities</w:t>
      </w:r>
      <w:r w:rsidR="00E60784">
        <w:t xml:space="preserve"> are asked to file and serve proposals responsive to the questions below by September 30, 2024. Replies to the proposal</w:t>
      </w:r>
      <w:r w:rsidR="00EC1F05">
        <w:t>s</w:t>
      </w:r>
      <w:r w:rsidR="00E60784">
        <w:t xml:space="preserve"> are due on or before October 30, 2024.</w:t>
      </w:r>
    </w:p>
    <w:p w:rsidR="00E60784" w:rsidP="008E2BBD" w:rsidRDefault="00E60784" w14:paraId="1B42EBCD" w14:textId="41128400">
      <w:pPr>
        <w:pStyle w:val="ListAlpha"/>
        <w:ind w:right="1440"/>
      </w:pPr>
      <w:r>
        <w:t xml:space="preserve">Is it still necessary for the Commission to maintain its COLR rules? Here, the Commission adopts a rebuttable presumption that </w:t>
      </w:r>
      <w:r w:rsidR="008B4A16">
        <w:t>the</w:t>
      </w:r>
      <w:r w:rsidR="003D7523">
        <w:t xml:space="preserve"> </w:t>
      </w:r>
      <w:r>
        <w:t xml:space="preserve">COLR </w:t>
      </w:r>
      <w:r w:rsidR="008B4A16">
        <w:t>construct</w:t>
      </w:r>
      <w:r w:rsidR="003D7523">
        <w:t xml:space="preserve"> remain</w:t>
      </w:r>
      <w:r w:rsidR="008B4A16">
        <w:t>s</w:t>
      </w:r>
      <w:r>
        <w:t xml:space="preserve"> necessary, at least for certain individuals or communities in California. </w:t>
      </w:r>
    </w:p>
    <w:p w:rsidR="003D7523" w:rsidP="008E2BBD" w:rsidRDefault="003D7523" w14:paraId="40811854" w14:textId="4566FB7D">
      <w:pPr>
        <w:pStyle w:val="ListAlpha"/>
        <w:ind w:right="1440"/>
      </w:pPr>
      <w:r>
        <w:t>Should the Commission revise the definition of a COLR, and if yes, how should the Commission revise that definition? What should be the responsibilities of a COLR?</w:t>
      </w:r>
    </w:p>
    <w:p w:rsidR="003D7523" w:rsidP="008E2BBD" w:rsidRDefault="003D7523" w14:paraId="29A73F8F" w14:textId="7FE6E016">
      <w:pPr>
        <w:pStyle w:val="ListAlpha"/>
        <w:ind w:right="1440"/>
      </w:pPr>
      <w:r>
        <w:lastRenderedPageBreak/>
        <w:t>Should the Commission revise how it defines a COLR’s service territory?</w:t>
      </w:r>
      <w:r w:rsidRPr="003B02EB">
        <w:rPr>
          <w:vertAlign w:val="superscript"/>
        </w:rPr>
        <w:footnoteReference w:id="13"/>
      </w:r>
    </w:p>
    <w:p w:rsidR="00E60784" w:rsidP="008E2BBD" w:rsidRDefault="00E60784" w14:paraId="715CDF54" w14:textId="10F6FADD">
      <w:pPr>
        <w:pStyle w:val="ListAlpha"/>
        <w:ind w:right="1440"/>
      </w:pPr>
      <w:r>
        <w:t xml:space="preserve">Are there regions </w:t>
      </w:r>
      <w:r w:rsidR="00A4047B">
        <w:t xml:space="preserve">or territories </w:t>
      </w:r>
      <w:r>
        <w:t>in California that may no longer require a COLR? Are there regions that require COLR service? If yes, how should the Commission distinguish between the two?</w:t>
      </w:r>
      <w:r w:rsidR="00A4047B">
        <w:t xml:space="preserve"> </w:t>
      </w:r>
      <w:r w:rsidRPr="00A4047B" w:rsidR="00A4047B">
        <w:t>What criteria should be met for a region or territory to no longer require COLR designation?</w:t>
      </w:r>
    </w:p>
    <w:p w:rsidR="00E60784" w:rsidP="008E2BBD" w:rsidRDefault="007208DF" w14:paraId="36EF013E" w14:textId="03F495D2">
      <w:pPr>
        <w:pStyle w:val="ListAlpha"/>
        <w:ind w:right="1440"/>
      </w:pPr>
      <w:r>
        <w:t xml:space="preserve">Can the Commission require </w:t>
      </w:r>
      <w:r w:rsidR="009977F2">
        <w:t>Voice over Internet Protocol (</w:t>
      </w:r>
      <w:r w:rsidR="00E60784">
        <w:t>VoIP</w:t>
      </w:r>
      <w:r w:rsidR="009977F2">
        <w:t>)</w:t>
      </w:r>
      <w:r w:rsidR="00E60784">
        <w:t xml:space="preserve"> providers to be COLRs? </w:t>
      </w:r>
      <w:r w:rsidR="003D7523">
        <w:t>If yes, should the Commission designate VoIP providers as COLRs?</w:t>
      </w:r>
    </w:p>
    <w:p w:rsidR="00E60784" w:rsidP="008E2BBD" w:rsidRDefault="00E60784" w14:paraId="0A0F6C3C" w14:textId="038AB087">
      <w:pPr>
        <w:pStyle w:val="ListAlpha"/>
        <w:ind w:right="1440"/>
      </w:pPr>
      <w:r>
        <w:t>Can COLR service be provisioned using wireless voice service? Can the Commission direct wireless voice providers to serve as COLRs?</w:t>
      </w:r>
      <w:r w:rsidR="003D7523">
        <w:t xml:space="preserve"> If yes to both, should the Commission designate wireless voice providers as COLRs?</w:t>
      </w:r>
    </w:p>
    <w:p w:rsidR="00E60784" w:rsidP="008E2BBD" w:rsidRDefault="00E60784" w14:paraId="0CB802EE" w14:textId="596E0E55">
      <w:pPr>
        <w:pStyle w:val="ListAlpha"/>
        <w:ind w:right="1440"/>
      </w:pPr>
      <w:r>
        <w:t xml:space="preserve">If the Commission does not have </w:t>
      </w:r>
      <w:r w:rsidR="00E8780F">
        <w:t xml:space="preserve">the </w:t>
      </w:r>
      <w:r>
        <w:t>authority to require a wireless voice provider to offer COLR service, is a wireless voice provider eligible to volunteer to be a COLR?</w:t>
      </w:r>
      <w:r w:rsidR="0012546A">
        <w:t xml:space="preserve"> If yes, should the Commission grant such an application? Should the requirements of a potential wireless COLR be different than a COLR offering </w:t>
      </w:r>
      <w:r w:rsidR="00D7280B">
        <w:t>Plain Old Telephone Service (</w:t>
      </w:r>
      <w:r w:rsidR="0012546A">
        <w:t>POTS</w:t>
      </w:r>
      <w:r w:rsidR="00D7280B">
        <w:t>)</w:t>
      </w:r>
      <w:r w:rsidR="0012546A">
        <w:t xml:space="preserve"> or VoIP</w:t>
      </w:r>
      <w:r w:rsidR="003B02EB">
        <w:t xml:space="preserve"> </w:t>
      </w:r>
      <w:r w:rsidR="0012546A">
        <w:t xml:space="preserve">service? </w:t>
      </w:r>
    </w:p>
    <w:p w:rsidR="00E60784" w:rsidP="008E2BBD" w:rsidRDefault="00E60784" w14:paraId="7F22113C" w14:textId="51C6524C">
      <w:pPr>
        <w:pStyle w:val="ListAlpha"/>
        <w:ind w:right="1440"/>
      </w:pPr>
      <w:r>
        <w:t>Should the Commission revise the requirements of basic service? If yes, which requirements or elements should be revised</w:t>
      </w:r>
      <w:r w:rsidR="00AD413A">
        <w:t>,</w:t>
      </w:r>
      <w:r>
        <w:t xml:space="preserve"> and what should be those revisions?</w:t>
      </w:r>
    </w:p>
    <w:p w:rsidR="00E60784" w:rsidP="008E2BBD" w:rsidRDefault="00E60784" w14:paraId="58FC1891" w14:textId="3C8F17F4">
      <w:pPr>
        <w:pStyle w:val="ListAlpha"/>
        <w:ind w:right="1440"/>
      </w:pPr>
      <w:r>
        <w:t xml:space="preserve">Should the Commission revise the subsidy amount offered for participation in the California </w:t>
      </w:r>
      <w:proofErr w:type="gramStart"/>
      <w:r>
        <w:t>High Cost</w:t>
      </w:r>
      <w:proofErr w:type="gramEnd"/>
      <w:r>
        <w:t xml:space="preserve"> Fund-B?</w:t>
      </w:r>
      <w:r w:rsidRPr="003B02EB">
        <w:rPr>
          <w:vertAlign w:val="superscript"/>
        </w:rPr>
        <w:footnoteReference w:id="14"/>
      </w:r>
      <w:r w:rsidR="003D7523">
        <w:t xml:space="preserve"> What is an appropriate subsidy amount</w:t>
      </w:r>
      <w:r w:rsidR="00A4047B">
        <w:t xml:space="preserve"> </w:t>
      </w:r>
      <w:r w:rsidRPr="00A4047B" w:rsidR="00A4047B">
        <w:t>and how should it be calculated?</w:t>
      </w:r>
      <w:r w:rsidR="003D7523">
        <w:t xml:space="preserve"> </w:t>
      </w:r>
    </w:p>
    <w:p w:rsidR="003D7523" w:rsidP="008E2BBD" w:rsidRDefault="003D7523" w14:paraId="0EF460C0" w14:textId="0BF0B623">
      <w:pPr>
        <w:pStyle w:val="ListAlpha"/>
        <w:ind w:right="1440"/>
      </w:pPr>
      <w:r>
        <w:lastRenderedPageBreak/>
        <w:t>Should the Commission revise its rules for how and when a COLR is allowed to withdraw from its designated service territory?</w:t>
      </w:r>
      <w:r w:rsidR="0012546A">
        <w:t xml:space="preserve"> </w:t>
      </w:r>
      <w:r w:rsidR="009977F2">
        <w:t>If so, h</w:t>
      </w:r>
      <w:r w:rsidR="0012546A">
        <w:t xml:space="preserve">ow should </w:t>
      </w:r>
      <w:r w:rsidR="008B4A16">
        <w:t>the Commission</w:t>
      </w:r>
      <w:r w:rsidR="0012546A">
        <w:t xml:space="preserve"> revise its rules? </w:t>
      </w:r>
      <w:r w:rsidR="008B4A16">
        <w:t xml:space="preserve">Should the Commission </w:t>
      </w:r>
      <w:r w:rsidR="00B9570A">
        <w:t xml:space="preserve">require that the service of a potential replacement COLR be functionally </w:t>
      </w:r>
      <w:proofErr w:type="gramStart"/>
      <w:r w:rsidR="00B9570A">
        <w:t>similar to</w:t>
      </w:r>
      <w:proofErr w:type="gramEnd"/>
      <w:r w:rsidR="00B9570A">
        <w:t xml:space="preserve"> that of the current </w:t>
      </w:r>
      <w:r w:rsidR="008B4A16">
        <w:t xml:space="preserve">COLR? </w:t>
      </w:r>
      <w:r w:rsidR="00B9570A">
        <w:t>If yes, w</w:t>
      </w:r>
      <w:r w:rsidR="008B4A16">
        <w:t xml:space="preserve">hat similar functionality </w:t>
      </w:r>
      <w:r w:rsidR="00B9570A">
        <w:t>requirements should the Commission adopt</w:t>
      </w:r>
      <w:r w:rsidR="008B4A16">
        <w:t xml:space="preserve">?  </w:t>
      </w:r>
    </w:p>
    <w:p w:rsidRPr="00A4047B" w:rsidR="00A4047B" w:rsidP="008E2BBD" w:rsidRDefault="00A4047B" w14:paraId="2AC8B14F" w14:textId="3C0D8CF4">
      <w:pPr>
        <w:pStyle w:val="ListAlpha"/>
        <w:ind w:right="1440"/>
      </w:pPr>
      <w:r w:rsidRPr="00A4047B">
        <w:t>When should a COLR seeking to withdraw be required to notify residents in the COLR territory</w:t>
      </w:r>
      <w:r w:rsidR="00A936D3">
        <w:t xml:space="preserve"> of its request to withdraw</w:t>
      </w:r>
      <w:r w:rsidRPr="00A4047B">
        <w:t>? What should be included in the contents of that notification? What method(s) should be used for notification?</w:t>
      </w:r>
    </w:p>
    <w:p w:rsidRPr="00B9570A" w:rsidR="05B4A059" w:rsidP="008E2BBD" w:rsidRDefault="00BB36E7" w14:paraId="50B4CA25" w14:textId="42C9B145">
      <w:pPr>
        <w:pStyle w:val="ListAlpha"/>
        <w:ind w:right="1440"/>
      </w:pPr>
      <w:r>
        <w:t>If a COLR applies to withdraw,</w:t>
      </w:r>
      <w:r w:rsidR="008B4A16">
        <w:t xml:space="preserve"> and a new COLR is designated, </w:t>
      </w:r>
      <w:r w:rsidR="003D7523">
        <w:t xml:space="preserve">is </w:t>
      </w:r>
      <w:r w:rsidR="008B4A16">
        <w:t xml:space="preserve">there </w:t>
      </w:r>
      <w:r w:rsidR="003D7523">
        <w:t>a need for a customer transition period</w:t>
      </w:r>
      <w:r w:rsidR="008B4A16">
        <w:t xml:space="preserve">? If yes, </w:t>
      </w:r>
      <w:r w:rsidR="003D7523">
        <w:t>how long should that transition period last? W</w:t>
      </w:r>
      <w:r w:rsidR="00E60784">
        <w:t>hat customer service protections</w:t>
      </w:r>
      <w:r w:rsidR="003D7523">
        <w:t xml:space="preserve">, if any, </w:t>
      </w:r>
      <w:r w:rsidR="00E60784">
        <w:t>should the Commission impose as part of a customer transition period?</w:t>
      </w:r>
      <w:r w:rsidR="007208DF">
        <w:t xml:space="preserve"> </w:t>
      </w:r>
      <w:r w:rsidRPr="00C17454" w:rsidR="00C17454">
        <w:t>What other elements or processes, other than customer protections, should be provided in a customer transition period? How long should a customer transition period last?</w:t>
      </w:r>
    </w:p>
    <w:p w:rsidR="00E60784" w:rsidP="008B2824" w:rsidRDefault="00E60784" w14:paraId="403DC534" w14:textId="77777777">
      <w:pPr>
        <w:pStyle w:val="Heading1"/>
      </w:pPr>
      <w:bookmarkStart w:name="_Toc8123719" w:id="7"/>
      <w:r w:rsidRPr="00E60784">
        <w:t>Initial Categorization; Ex Parte Communications; Need for Hearing</w:t>
      </w:r>
    </w:p>
    <w:p w:rsidR="00E60784" w:rsidP="00AD413A" w:rsidRDefault="00E60784" w14:paraId="071F420D" w14:textId="4D881E81">
      <w:pPr>
        <w:pStyle w:val="Standard"/>
      </w:pPr>
      <w:r>
        <w:t>The Commission’s Rules of Practice and Procedure require that an Order Instituting Rulemaking preliminarily determine the category of the proceeding and the need for hearing.</w:t>
      </w:r>
      <w:r w:rsidR="00AD413A">
        <w:t xml:space="preserve"> </w:t>
      </w:r>
      <w:r>
        <w:t>As a preliminary matter, we determine that this proceeding is ratesetting because some of the issues in Section 2, Initial Scope, may require changes to basic service requirements or impact the collection and expenditure of ratepayer monies</w:t>
      </w:r>
      <w:r w:rsidR="00637974">
        <w:t xml:space="preserve">, including the California </w:t>
      </w:r>
      <w:proofErr w:type="gramStart"/>
      <w:r w:rsidR="00637974">
        <w:t>High Cost</w:t>
      </w:r>
      <w:proofErr w:type="gramEnd"/>
      <w:r w:rsidR="00637974">
        <w:t xml:space="preserve"> Fund-B</w:t>
      </w:r>
      <w:r>
        <w:t>. Accordingly, ex parte communications are restricted and must be reported pursuant to Rule 8.1 et seq.</w:t>
      </w:r>
    </w:p>
    <w:p w:rsidRPr="00E60784" w:rsidR="00E60784" w:rsidP="00E60784" w:rsidRDefault="00E60784" w14:paraId="553599AE" w14:textId="751E13D1">
      <w:pPr>
        <w:pStyle w:val="Standard"/>
        <w:rPr>
          <w:rFonts w:ascii="Arial" w:hAnsi="Arial" w:eastAsiaTheme="majorEastAsia" w:cstheme="majorBidi"/>
          <w:bCs/>
          <w:szCs w:val="32"/>
        </w:rPr>
      </w:pPr>
      <w:r>
        <w:lastRenderedPageBreak/>
        <w:t xml:space="preserve">As a preliminary matter, we determine that hearings </w:t>
      </w:r>
      <w:r w:rsidR="00637974">
        <w:t>are</w:t>
      </w:r>
      <w:r>
        <w:t xml:space="preserve"> necessary. That assessment is subject to the further determination of the assigned Commissioner at the time of the issuance of the Scoping Memo.</w:t>
      </w:r>
    </w:p>
    <w:p w:rsidR="005A148C" w:rsidP="008B2824" w:rsidRDefault="00E60784" w14:paraId="04558174" w14:textId="77777777">
      <w:pPr>
        <w:pStyle w:val="Heading1"/>
      </w:pPr>
      <w:bookmarkStart w:name="_Toc165368804" w:id="8"/>
      <w:r w:rsidRPr="00996FCC">
        <w:t>Preliminary</w:t>
      </w:r>
      <w:r>
        <w:t xml:space="preserve"> </w:t>
      </w:r>
      <w:bookmarkEnd w:id="7"/>
      <w:r>
        <w:t>Schedule</w:t>
      </w:r>
      <w:bookmarkEnd w:id="8"/>
    </w:p>
    <w:p w:rsidRPr="005679B1" w:rsidR="00E60784" w:rsidP="00E60784" w:rsidRDefault="00E60784" w14:paraId="5F53FF6D" w14:textId="14005A51">
      <w:pPr>
        <w:pStyle w:val="Standard"/>
      </w:pPr>
      <w:r w:rsidRPr="005679B1">
        <w:t xml:space="preserve">The preliminary schedule is set forth below. The </w:t>
      </w:r>
      <w:r w:rsidR="008B4A16">
        <w:t>A</w:t>
      </w:r>
      <w:r w:rsidRPr="005679B1">
        <w:t xml:space="preserve">ssigned Commissioner and </w:t>
      </w:r>
      <w:r w:rsidRPr="00036290">
        <w:rPr>
          <w:szCs w:val="26"/>
        </w:rPr>
        <w:t xml:space="preserve">Administrative Law Judge </w:t>
      </w:r>
      <w:r w:rsidRPr="005679B1">
        <w:t>(</w:t>
      </w:r>
      <w:r w:rsidRPr="00036290">
        <w:t>ALJ</w:t>
      </w:r>
      <w:r w:rsidRPr="005679B1">
        <w:t>) have the authority to set other dates in the proceeding or modify those below as necessary.</w:t>
      </w:r>
    </w:p>
    <w:tbl>
      <w:tblPr>
        <w:tblW w:w="9360" w:type="dxa"/>
        <w:jc w:val="center"/>
        <w:tblLayout w:type="fixed"/>
        <w:tblCellMar>
          <w:top w:w="58" w:type="dxa"/>
          <w:bottom w:w="58" w:type="dxa"/>
        </w:tblCellMar>
        <w:tblLook w:val="0000" w:firstRow="0" w:lastRow="0" w:firstColumn="0" w:lastColumn="0" w:noHBand="0" w:noVBand="0"/>
      </w:tblPr>
      <w:tblGrid>
        <w:gridCol w:w="6192"/>
        <w:gridCol w:w="3168"/>
      </w:tblGrid>
      <w:tr w:rsidRPr="00D37415" w:rsidR="00E60784" w14:paraId="5C8FFB5C" w14:textId="77777777">
        <w:trPr>
          <w:tblHeade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2A3F17" w:rsidR="00E60784" w:rsidRDefault="00E60784" w14:paraId="347AF2F5" w14:textId="77777777">
            <w:pPr>
              <w:pStyle w:val="standard0"/>
              <w:keepNext/>
              <w:spacing w:line="240" w:lineRule="auto"/>
              <w:ind w:firstLine="0"/>
              <w:jc w:val="center"/>
              <w:rPr>
                <w:rFonts w:ascii="Book Antiqua" w:hAnsi="Book Antiqua"/>
                <w:b/>
                <w:bCs/>
              </w:rPr>
            </w:pPr>
            <w:r w:rsidRPr="002A3F17">
              <w:rPr>
                <w:rFonts w:ascii="Book Antiqua" w:hAnsi="Book Antiqua"/>
                <w:b/>
                <w:bCs/>
              </w:rPr>
              <w:t>EVENT</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2A3F17" w:rsidR="00E60784" w:rsidRDefault="00E60784" w14:paraId="6BC76C3B" w14:textId="77777777">
            <w:pPr>
              <w:pStyle w:val="standard0"/>
              <w:keepNext/>
              <w:spacing w:line="240" w:lineRule="auto"/>
              <w:ind w:firstLine="0"/>
              <w:jc w:val="center"/>
              <w:rPr>
                <w:rFonts w:ascii="Book Antiqua" w:hAnsi="Book Antiqua"/>
                <w:b/>
                <w:bCs/>
              </w:rPr>
            </w:pPr>
            <w:r w:rsidRPr="002A3F17">
              <w:rPr>
                <w:rFonts w:ascii="Book Antiqua" w:hAnsi="Book Antiqua"/>
                <w:b/>
                <w:bCs/>
              </w:rPr>
              <w:t>DATE</w:t>
            </w:r>
          </w:p>
        </w:tc>
      </w:tr>
      <w:tr w:rsidRPr="00D37415" w:rsidR="00E60784" w14:paraId="495EDDFA"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1AAACFDE" w14:textId="77777777">
            <w:pPr>
              <w:pStyle w:val="standard0"/>
              <w:keepNext/>
              <w:spacing w:line="240" w:lineRule="auto"/>
              <w:ind w:firstLine="0"/>
              <w:rPr>
                <w:rFonts w:ascii="Book Antiqua" w:hAnsi="Book Antiqua"/>
              </w:rPr>
            </w:pPr>
            <w:r>
              <w:rPr>
                <w:rFonts w:ascii="Book Antiqua" w:hAnsi="Book Antiqua"/>
              </w:rPr>
              <w:t xml:space="preserve">OIR </w:t>
            </w:r>
            <w:r w:rsidRPr="005679B1">
              <w:rPr>
                <w:rFonts w:ascii="Book Antiqua" w:hAnsi="Book Antiqua"/>
              </w:rPr>
              <w:t>issued</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25F52A27" w14:textId="77777777">
            <w:pPr>
              <w:pStyle w:val="standard0"/>
              <w:keepNext/>
              <w:spacing w:line="240" w:lineRule="auto"/>
              <w:ind w:firstLine="0"/>
              <w:jc w:val="center"/>
              <w:rPr>
                <w:rFonts w:ascii="Book Antiqua" w:hAnsi="Book Antiqua"/>
              </w:rPr>
            </w:pPr>
            <w:r w:rsidRPr="005679B1">
              <w:rPr>
                <w:rFonts w:ascii="Book Antiqua" w:hAnsi="Book Antiqua"/>
              </w:rPr>
              <w:t>Day</w:t>
            </w:r>
            <w:r>
              <w:rPr>
                <w:rFonts w:ascii="Book Antiqua" w:hAnsi="Book Antiqua"/>
              </w:rPr>
              <w:t> </w:t>
            </w:r>
            <w:r w:rsidRPr="005679B1">
              <w:rPr>
                <w:rFonts w:ascii="Book Antiqua" w:hAnsi="Book Antiqua"/>
              </w:rPr>
              <w:t>1</w:t>
            </w:r>
          </w:p>
        </w:tc>
      </w:tr>
      <w:tr w:rsidRPr="00D37415" w:rsidR="00E60784" w14:paraId="5FAB7406"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5776A86B" w14:textId="77777777">
            <w:pPr>
              <w:pStyle w:val="standard0"/>
              <w:spacing w:line="240" w:lineRule="auto"/>
              <w:ind w:firstLine="0"/>
              <w:rPr>
                <w:rFonts w:ascii="Book Antiqua" w:hAnsi="Book Antiqua"/>
              </w:rPr>
            </w:pPr>
            <w:r w:rsidRPr="005679B1">
              <w:rPr>
                <w:rFonts w:ascii="Book Antiqua" w:hAnsi="Book Antiqua"/>
              </w:rPr>
              <w:t xml:space="preserve">Deadline for requests to be on service list </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7E280096" w14:textId="77777777">
            <w:pPr>
              <w:pStyle w:val="standard0"/>
              <w:spacing w:line="240" w:lineRule="auto"/>
              <w:ind w:firstLine="0"/>
              <w:jc w:val="center"/>
              <w:rPr>
                <w:rFonts w:ascii="Book Antiqua" w:hAnsi="Book Antiqua"/>
              </w:rPr>
            </w:pPr>
            <w:r w:rsidRPr="005679B1">
              <w:rPr>
                <w:rFonts w:ascii="Book Antiqua" w:hAnsi="Book Antiqua"/>
              </w:rPr>
              <w:t>Day</w:t>
            </w:r>
            <w:r>
              <w:rPr>
                <w:rFonts w:ascii="Book Antiqua" w:hAnsi="Book Antiqua"/>
              </w:rPr>
              <w:t> </w:t>
            </w:r>
            <w:r w:rsidRPr="005679B1">
              <w:rPr>
                <w:rFonts w:ascii="Book Antiqua" w:hAnsi="Book Antiqua"/>
              </w:rPr>
              <w:t>20</w:t>
            </w:r>
          </w:p>
        </w:tc>
      </w:tr>
      <w:tr w:rsidRPr="00D37415" w:rsidR="00E60784" w14:paraId="5C1CA2CF"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4F8EFBFF" w14:textId="77777777">
            <w:pPr>
              <w:pStyle w:val="standard0"/>
              <w:keepNext/>
              <w:spacing w:line="240" w:lineRule="auto"/>
              <w:ind w:firstLine="0"/>
              <w:rPr>
                <w:rFonts w:ascii="Book Antiqua" w:hAnsi="Book Antiqua"/>
              </w:rPr>
            </w:pPr>
            <w:r w:rsidRPr="005679B1">
              <w:rPr>
                <w:rFonts w:ascii="Book Antiqua" w:hAnsi="Book Antiqua"/>
              </w:rPr>
              <w:t xml:space="preserve">Initial </w:t>
            </w:r>
            <w:r>
              <w:rPr>
                <w:rFonts w:ascii="Book Antiqua" w:hAnsi="Book Antiqua"/>
              </w:rPr>
              <w:t>proposals</w:t>
            </w:r>
            <w:r w:rsidRPr="005679B1">
              <w:rPr>
                <w:rFonts w:ascii="Book Antiqua" w:hAnsi="Book Antiqua"/>
              </w:rPr>
              <w:t xml:space="preserve"> filed and served </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3B663C1B" w14:textId="77777777">
            <w:pPr>
              <w:pStyle w:val="standard0"/>
              <w:keepNext/>
              <w:spacing w:line="240" w:lineRule="auto"/>
              <w:ind w:firstLine="0"/>
              <w:jc w:val="center"/>
              <w:rPr>
                <w:rFonts w:ascii="Book Antiqua" w:hAnsi="Book Antiqua"/>
              </w:rPr>
            </w:pPr>
            <w:r>
              <w:rPr>
                <w:rFonts w:ascii="Book Antiqua" w:hAnsi="Book Antiqua"/>
              </w:rPr>
              <w:t>September 30, 2024</w:t>
            </w:r>
          </w:p>
        </w:tc>
      </w:tr>
      <w:tr w:rsidRPr="00D37415" w:rsidR="00E60784" w14:paraId="34525BB2"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519ED895" w14:textId="77777777">
            <w:pPr>
              <w:pStyle w:val="standard0"/>
              <w:spacing w:line="240" w:lineRule="auto"/>
              <w:ind w:firstLine="0"/>
              <w:rPr>
                <w:rFonts w:ascii="Book Antiqua" w:hAnsi="Book Antiqua"/>
              </w:rPr>
            </w:pPr>
            <w:r w:rsidRPr="005679B1">
              <w:rPr>
                <w:rFonts w:ascii="Book Antiqua" w:hAnsi="Book Antiqua"/>
              </w:rPr>
              <w:t xml:space="preserve">Reply Comments </w:t>
            </w:r>
            <w:r>
              <w:rPr>
                <w:rFonts w:ascii="Book Antiqua" w:hAnsi="Book Antiqua"/>
              </w:rPr>
              <w:t xml:space="preserve">to initial proposals, </w:t>
            </w:r>
            <w:r w:rsidRPr="005679B1">
              <w:rPr>
                <w:rFonts w:ascii="Book Antiqua" w:hAnsi="Book Antiqua"/>
              </w:rPr>
              <w:t xml:space="preserve">filed and served </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55E7AFDC" w14:textId="77777777">
            <w:pPr>
              <w:pStyle w:val="standard0"/>
              <w:spacing w:line="240" w:lineRule="auto"/>
              <w:ind w:firstLine="0"/>
              <w:jc w:val="center"/>
              <w:rPr>
                <w:rFonts w:ascii="Book Antiqua" w:hAnsi="Book Antiqua"/>
              </w:rPr>
            </w:pPr>
            <w:r>
              <w:rPr>
                <w:rFonts w:ascii="Book Antiqua" w:hAnsi="Book Antiqua"/>
              </w:rPr>
              <w:t>October 30, 2024</w:t>
            </w:r>
          </w:p>
        </w:tc>
      </w:tr>
      <w:tr w:rsidRPr="00D37415" w:rsidR="00E60784" w14:paraId="5C28A2DF"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56948E29" w14:textId="77777777">
            <w:pPr>
              <w:pStyle w:val="standard0"/>
              <w:spacing w:line="240" w:lineRule="auto"/>
              <w:ind w:firstLine="0"/>
              <w:rPr>
                <w:rFonts w:ascii="Book Antiqua" w:hAnsi="Book Antiqua"/>
              </w:rPr>
            </w:pPr>
            <w:r>
              <w:rPr>
                <w:rFonts w:ascii="Book Antiqua" w:hAnsi="Book Antiqua"/>
              </w:rPr>
              <w:t xml:space="preserve">Revisions to initial proposals, filed and served </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1C1E9436" w14:textId="77777777">
            <w:pPr>
              <w:pStyle w:val="standard0"/>
              <w:spacing w:line="240" w:lineRule="auto"/>
              <w:ind w:firstLine="0"/>
              <w:jc w:val="center"/>
              <w:rPr>
                <w:rFonts w:ascii="Book Antiqua" w:hAnsi="Book Antiqua"/>
              </w:rPr>
            </w:pPr>
            <w:r>
              <w:rPr>
                <w:rFonts w:ascii="Book Antiqua" w:hAnsi="Book Antiqua"/>
              </w:rPr>
              <w:t>December 6, 2024</w:t>
            </w:r>
          </w:p>
        </w:tc>
      </w:tr>
      <w:tr w:rsidRPr="00D37415" w:rsidR="00E60784" w14:paraId="4A3D7C99" w14:textId="77777777">
        <w:trPr>
          <w:jc w:val="center"/>
        </w:trPr>
        <w:tc>
          <w:tcPr>
            <w:tcW w:w="6192" w:type="dxa"/>
            <w:tcBorders>
              <w:top w:val="single" w:color="000000" w:sz="4" w:space="0"/>
              <w:left w:val="single" w:color="000000" w:sz="4" w:space="0"/>
              <w:bottom w:val="single" w:color="000000" w:sz="4" w:space="0"/>
            </w:tcBorders>
            <w:shd w:val="clear" w:color="auto" w:fill="auto"/>
            <w:vAlign w:val="center"/>
          </w:tcPr>
          <w:p w:rsidRPr="005679B1" w:rsidR="00E60784" w:rsidRDefault="00E60784" w14:paraId="1DFD3B40" w14:textId="77777777">
            <w:pPr>
              <w:pStyle w:val="standard0"/>
              <w:spacing w:line="240" w:lineRule="auto"/>
              <w:ind w:firstLine="0"/>
              <w:rPr>
                <w:rFonts w:ascii="Book Antiqua" w:hAnsi="Book Antiqua"/>
              </w:rPr>
            </w:pPr>
            <w:r>
              <w:rPr>
                <w:rFonts w:ascii="Book Antiqua" w:hAnsi="Book Antiqua"/>
              </w:rPr>
              <w:t>Prehearing Conference</w:t>
            </w:r>
          </w:p>
        </w:tc>
        <w:tc>
          <w:tcPr>
            <w:tcW w:w="3168" w:type="dxa"/>
            <w:tcBorders>
              <w:top w:val="single" w:color="000000" w:sz="4" w:space="0"/>
              <w:left w:val="single" w:color="000000" w:sz="4" w:space="0"/>
              <w:bottom w:val="single" w:color="000000" w:sz="4" w:space="0"/>
              <w:right w:val="single" w:color="000000" w:sz="4" w:space="0"/>
            </w:tcBorders>
            <w:shd w:val="clear" w:color="auto" w:fill="auto"/>
            <w:vAlign w:val="center"/>
          </w:tcPr>
          <w:p w:rsidRPr="005679B1" w:rsidR="00E60784" w:rsidRDefault="00E60784" w14:paraId="16D6D1DB" w14:textId="77777777">
            <w:pPr>
              <w:pStyle w:val="standard0"/>
              <w:spacing w:line="240" w:lineRule="auto"/>
              <w:ind w:firstLine="0"/>
              <w:jc w:val="center"/>
              <w:rPr>
                <w:rFonts w:ascii="Book Antiqua" w:hAnsi="Book Antiqua"/>
              </w:rPr>
            </w:pPr>
            <w:r>
              <w:rPr>
                <w:rFonts w:ascii="Book Antiqua" w:hAnsi="Book Antiqua"/>
              </w:rPr>
              <w:t>Q4 2024</w:t>
            </w:r>
          </w:p>
        </w:tc>
      </w:tr>
    </w:tbl>
    <w:p w:rsidRPr="005679B1" w:rsidR="00E60784" w:rsidP="00E60784" w:rsidRDefault="00E60784" w14:paraId="33E1E2B5" w14:textId="42CB33E5">
      <w:pPr>
        <w:pStyle w:val="Standard"/>
        <w:spacing w:before="180"/>
      </w:pPr>
      <w:r w:rsidRPr="005679B1">
        <w:t xml:space="preserve">The determination on the need for further procedural measures, including the scheduling of a </w:t>
      </w:r>
      <w:r w:rsidRPr="00036290">
        <w:rPr>
          <w:szCs w:val="26"/>
        </w:rPr>
        <w:t xml:space="preserve">prehearing conference </w:t>
      </w:r>
      <w:r>
        <w:t>(</w:t>
      </w:r>
      <w:r w:rsidRPr="00036290">
        <w:t>PHC</w:t>
      </w:r>
      <w:r>
        <w:t>)</w:t>
      </w:r>
      <w:r w:rsidRPr="005679B1">
        <w:t xml:space="preserve">, discovery, technical workshops, </w:t>
      </w:r>
      <w:r>
        <w:t xml:space="preserve">public participation hearings </w:t>
      </w:r>
      <w:r w:rsidRPr="005679B1">
        <w:t xml:space="preserve">and/or evidentiary hearings will be made in one or more rulings issued by the </w:t>
      </w:r>
      <w:r w:rsidR="008B4A16">
        <w:t>A</w:t>
      </w:r>
      <w:r w:rsidRPr="005679B1">
        <w:t xml:space="preserve">ssigned Commissioner. Any party that believes an evidentiary hearing is required may address such need for hearing in comments and reply comments on this </w:t>
      </w:r>
      <w:r w:rsidRPr="00E65D79">
        <w:t>OIR.</w:t>
      </w:r>
    </w:p>
    <w:p w:rsidR="00E60784" w:rsidP="00E60784" w:rsidRDefault="00E60784" w14:paraId="7BC30D85" w14:textId="655A28F5">
      <w:pPr>
        <w:pStyle w:val="Standard"/>
      </w:pPr>
      <w:r w:rsidRPr="005679B1">
        <w:t xml:space="preserve">The </w:t>
      </w:r>
      <w:r>
        <w:t>a</w:t>
      </w:r>
      <w:r w:rsidRPr="005679B1">
        <w:t xml:space="preserve">ssigned Commissioner or the assigned ALJ may change the schedule to promote </w:t>
      </w:r>
      <w:r>
        <w:t xml:space="preserve">the </w:t>
      </w:r>
      <w:r w:rsidRPr="005679B1">
        <w:t xml:space="preserve">efficient and fair administration of this </w:t>
      </w:r>
      <w:r w:rsidRPr="00A647E9">
        <w:t>proceeding. Today’s decision sets a due date for comments and reply comments on the OIR. The schedule for the remainder of the proceeding</w:t>
      </w:r>
      <w:r w:rsidRPr="005679B1">
        <w:t xml:space="preserve"> will be adopted in the </w:t>
      </w:r>
      <w:r w:rsidR="00637974">
        <w:t>A</w:t>
      </w:r>
      <w:r w:rsidRPr="005679B1">
        <w:t>ssigned Commissioner’s Scoping Memo.</w:t>
      </w:r>
    </w:p>
    <w:p w:rsidRPr="005679B1" w:rsidR="00E60784" w:rsidP="00E60784" w:rsidRDefault="00AD413A" w14:paraId="04EAAA5F" w14:textId="262BE507">
      <w:pPr>
        <w:pStyle w:val="Standard"/>
        <w:rPr>
          <w:rFonts w:eastAsia="Book Antiqua" w:cs="Book Antiqua"/>
        </w:rPr>
      </w:pPr>
      <w:r>
        <w:rPr>
          <w:rFonts w:eastAsia="Book Antiqua" w:cs="Book Antiqua"/>
        </w:rPr>
        <w:lastRenderedPageBreak/>
        <w:t>The Commission intends</w:t>
      </w:r>
      <w:r w:rsidRPr="005679B1" w:rsidR="00E60784">
        <w:rPr>
          <w:rFonts w:eastAsia="Book Antiqua" w:cs="Book Antiqua"/>
        </w:rPr>
        <w:t xml:space="preserve"> to complete this proceeding within </w:t>
      </w:r>
      <w:r w:rsidR="00E60784">
        <w:rPr>
          <w:rFonts w:eastAsia="Book Antiqua" w:cs="Book Antiqua"/>
        </w:rPr>
        <w:t>18</w:t>
      </w:r>
      <w:r w:rsidRPr="005679B1" w:rsidR="00E60784">
        <w:rPr>
          <w:rFonts w:eastAsia="Book Antiqua" w:cs="Book Antiqua"/>
        </w:rPr>
        <w:t xml:space="preserve"> months of the date this decision is adopted. (</w:t>
      </w:r>
      <w:r w:rsidR="00E60784">
        <w:rPr>
          <w:rFonts w:eastAsia="Book Antiqua" w:cs="Book Antiqua"/>
        </w:rPr>
        <w:t>Pub. Util.</w:t>
      </w:r>
      <w:r w:rsidRPr="005679B1" w:rsidR="00E60784">
        <w:rPr>
          <w:rFonts w:eastAsia="Book Antiqua" w:cs="Book Antiqua"/>
        </w:rPr>
        <w:t xml:space="preserve"> Code </w:t>
      </w:r>
      <w:r w:rsidR="00E60784">
        <w:rPr>
          <w:rFonts w:eastAsia="Book Antiqua" w:cs="Book Antiqua"/>
        </w:rPr>
        <w:t>§ </w:t>
      </w:r>
      <w:r w:rsidRPr="005679B1" w:rsidR="00E60784">
        <w:rPr>
          <w:rFonts w:eastAsia="Book Antiqua" w:cs="Book Antiqua"/>
        </w:rPr>
        <w:t>1701.5(b).)</w:t>
      </w:r>
    </w:p>
    <w:p w:rsidR="005939A5" w:rsidP="00A44E8D" w:rsidRDefault="00E60784" w14:paraId="3996A626" w14:textId="77777777">
      <w:pPr>
        <w:pStyle w:val="Standard"/>
      </w:pPr>
      <w:r w:rsidRPr="005679B1">
        <w:rPr>
          <w:rFonts w:eastAsia="Book Antiqua" w:cs="Book Antiqua"/>
        </w:rPr>
        <w:t>If there are any workshops in this proceeding, notice of such workshops will be posted on the Commission’s Daily Calendar to inform the public that a decision</w:t>
      </w:r>
      <w:r>
        <w:rPr>
          <w:rFonts w:eastAsia="Book Antiqua" w:cs="Book Antiqua"/>
        </w:rPr>
        <w:noBreakHyphen/>
      </w:r>
      <w:r w:rsidRPr="005679B1">
        <w:rPr>
          <w:rFonts w:eastAsia="Book Antiqua" w:cs="Book Antiqua"/>
        </w:rPr>
        <w:t xml:space="preserve">maker or an advisor may be present at those meetings or </w:t>
      </w:r>
      <w:r w:rsidRPr="00A647E9">
        <w:rPr>
          <w:rFonts w:eastAsia="Book Antiqua" w:cs="Book Antiqua"/>
        </w:rPr>
        <w:t>workshops.</w:t>
      </w:r>
      <w:r>
        <w:rPr>
          <w:rFonts w:eastAsia="Book Antiqua" w:cs="Book Antiqua"/>
        </w:rPr>
        <w:t xml:space="preserve"> </w:t>
      </w:r>
      <w:r w:rsidRPr="00A647E9">
        <w:rPr>
          <w:rFonts w:eastAsia="Book Antiqua" w:cs="Book Antiqua"/>
        </w:rPr>
        <w:t>Parties shall check the Daily Calendar regularly for such notices.</w:t>
      </w:r>
    </w:p>
    <w:p w:rsidR="00D1441E" w:rsidP="008B2824" w:rsidRDefault="00D1441E" w14:paraId="0D50E2FF" w14:textId="59D222DC">
      <w:pPr>
        <w:pStyle w:val="Heading1"/>
      </w:pPr>
      <w:bookmarkStart w:name="_Toc165368805" w:id="9"/>
      <w:bookmarkStart w:name="_Toc8123720" w:id="10"/>
      <w:r>
        <w:t>Respondents</w:t>
      </w:r>
    </w:p>
    <w:p w:rsidRPr="00D1441E" w:rsidR="00D1441E" w:rsidP="00D1441E" w:rsidRDefault="00D1441E" w14:paraId="4E47D0E2" w14:textId="43B5653F">
      <w:pPr>
        <w:pStyle w:val="Standard"/>
      </w:pPr>
      <w:r w:rsidRPr="00D1441E">
        <w:t xml:space="preserve">All of the </w:t>
      </w:r>
      <w:r>
        <w:t xml:space="preserve">COLRs </w:t>
      </w:r>
      <w:r w:rsidR="00AD4593">
        <w:t>in</w:t>
      </w:r>
      <w:r>
        <w:t xml:space="preserve"> California are </w:t>
      </w:r>
      <w:r w:rsidRPr="00D1441E">
        <w:t>named as respondents to this OIR</w:t>
      </w:r>
      <w:r>
        <w:t>, including</w:t>
      </w:r>
      <w:r w:rsidRPr="00D1441E">
        <w:t>:</w:t>
      </w:r>
      <w:r>
        <w:t xml:space="preserve"> AT&amp;T California, Frontier, and the Small LECs.</w:t>
      </w:r>
      <w:r>
        <w:rPr>
          <w:rStyle w:val="FootnoteReference"/>
        </w:rPr>
        <w:footnoteReference w:id="15"/>
      </w:r>
      <w:r>
        <w:t xml:space="preserve"> Additionally, since the issues under consideration in this proceeding impact all voice services, we encourage participation from cable companies</w:t>
      </w:r>
      <w:r w:rsidR="00AD4593">
        <w:t xml:space="preserve"> that offer voice service</w:t>
      </w:r>
      <w:r>
        <w:t>, such as Comcast, Charter, and Cox Communications, as well as the participation of mobile</w:t>
      </w:r>
      <w:r w:rsidR="00AD4593">
        <w:t xml:space="preserve"> voice</w:t>
      </w:r>
      <w:r>
        <w:t xml:space="preserve"> providers, such as AT&amp;T Mobility, Verizon and T-Mobile.   </w:t>
      </w:r>
    </w:p>
    <w:p w:rsidR="00E60784" w:rsidP="008B2824" w:rsidRDefault="00E60784" w14:paraId="6370DD03" w14:textId="3EE25E85">
      <w:pPr>
        <w:pStyle w:val="Heading1"/>
      </w:pPr>
      <w:r w:rsidRPr="00996FCC">
        <w:t>Service</w:t>
      </w:r>
      <w:r>
        <w:t xml:space="preserve"> of OIR</w:t>
      </w:r>
      <w:bookmarkEnd w:id="9"/>
    </w:p>
    <w:p w:rsidR="00E60784" w:rsidP="00E60784" w:rsidRDefault="00D1441E" w14:paraId="3799DD81" w14:textId="27428B2F">
      <w:pPr>
        <w:pStyle w:val="sub1"/>
        <w:rPr>
          <w:rFonts w:ascii="Book Antiqua" w:hAnsi="Book Antiqua"/>
        </w:rPr>
      </w:pPr>
      <w:r w:rsidRPr="00D1441E">
        <w:rPr>
          <w:rFonts w:ascii="Book Antiqua" w:hAnsi="Book Antiqua"/>
        </w:rPr>
        <w:t xml:space="preserve">In the interest of broad notice, this OIR will be served on the official service lists for </w:t>
      </w:r>
      <w:r w:rsidR="00EC1F05">
        <w:rPr>
          <w:rFonts w:ascii="Book Antiqua" w:hAnsi="Book Antiqua"/>
        </w:rPr>
        <w:t>R.22-03-016</w:t>
      </w:r>
      <w:r w:rsidRPr="005679B1" w:rsidR="00E60784">
        <w:rPr>
          <w:rFonts w:ascii="Book Antiqua" w:hAnsi="Book Antiqua"/>
        </w:rPr>
        <w:t xml:space="preserve"> </w:t>
      </w:r>
      <w:r w:rsidR="00637974">
        <w:rPr>
          <w:rFonts w:ascii="Book Antiqua" w:hAnsi="Book Antiqua"/>
        </w:rPr>
        <w:t xml:space="preserve">and </w:t>
      </w:r>
      <w:r w:rsidRPr="00637974" w:rsidR="00637974">
        <w:rPr>
          <w:rFonts w:ascii="Book Antiqua" w:hAnsi="Book Antiqua"/>
        </w:rPr>
        <w:t>R</w:t>
      </w:r>
      <w:r w:rsidR="00637974">
        <w:rPr>
          <w:rFonts w:ascii="Book Antiqua" w:hAnsi="Book Antiqua"/>
        </w:rPr>
        <w:t>.</w:t>
      </w:r>
      <w:r w:rsidRPr="00637974" w:rsidR="00637974">
        <w:rPr>
          <w:rFonts w:ascii="Book Antiqua" w:hAnsi="Book Antiqua"/>
        </w:rPr>
        <w:t>20</w:t>
      </w:r>
      <w:r w:rsidR="00637974">
        <w:rPr>
          <w:rFonts w:ascii="Book Antiqua" w:hAnsi="Book Antiqua"/>
        </w:rPr>
        <w:t>-</w:t>
      </w:r>
      <w:r w:rsidRPr="00637974" w:rsidR="00637974">
        <w:rPr>
          <w:rFonts w:ascii="Book Antiqua" w:hAnsi="Book Antiqua"/>
        </w:rPr>
        <w:t>02</w:t>
      </w:r>
      <w:r w:rsidR="00637974">
        <w:rPr>
          <w:rFonts w:ascii="Book Antiqua" w:hAnsi="Book Antiqua"/>
        </w:rPr>
        <w:t>-</w:t>
      </w:r>
      <w:r w:rsidRPr="00637974" w:rsidR="00637974">
        <w:rPr>
          <w:rFonts w:ascii="Book Antiqua" w:hAnsi="Book Antiqua"/>
        </w:rPr>
        <w:t>008</w:t>
      </w:r>
      <w:r>
        <w:rPr>
          <w:rFonts w:ascii="Book Antiqua" w:hAnsi="Book Antiqua"/>
        </w:rPr>
        <w:t xml:space="preserve">. </w:t>
      </w:r>
      <w:r w:rsidR="00E60784">
        <w:rPr>
          <w:rFonts w:ascii="Book Antiqua" w:hAnsi="Book Antiqua"/>
        </w:rPr>
        <w:t>We additionally provide service of this OIR to</w:t>
      </w:r>
      <w:r w:rsidR="00CA1981">
        <w:rPr>
          <w:rFonts w:ascii="Book Antiqua" w:hAnsi="Book Antiqua"/>
        </w:rPr>
        <w:t xml:space="preserve"> the entities and individuals listed in Appendix A.</w:t>
      </w:r>
      <w:r w:rsidR="00E60784">
        <w:rPr>
          <w:rFonts w:ascii="Book Antiqua" w:hAnsi="Book Antiqua"/>
        </w:rPr>
        <w:t xml:space="preserve"> </w:t>
      </w:r>
      <w:r w:rsidRPr="00A4047B" w:rsidR="00A4047B">
        <w:rPr>
          <w:rFonts w:ascii="Book Antiqua" w:hAnsi="Book Antiqua"/>
        </w:rPr>
        <w:t>Service will also be provided to the list of Tribes maintained by the Native American Heritage Commission.</w:t>
      </w:r>
    </w:p>
    <w:p w:rsidRPr="00E60784" w:rsidR="00E60784" w:rsidP="00EC1F05" w:rsidRDefault="00E60784" w14:paraId="6072FCC0" w14:textId="25028934">
      <w:pPr>
        <w:pStyle w:val="sub1"/>
      </w:pPr>
      <w:r w:rsidRPr="005679B1">
        <w:rPr>
          <w:rFonts w:ascii="Book Antiqua" w:hAnsi="Book Antiqua"/>
        </w:rPr>
        <w:t xml:space="preserve">Service of the OIR does not confer party status or place any person who has received such service on the Official Service List for this proceeding. </w:t>
      </w:r>
      <w:r w:rsidRPr="005679B1">
        <w:rPr>
          <w:rFonts w:ascii="Book Antiqua" w:hAnsi="Book Antiqua"/>
        </w:rPr>
        <w:lastRenderedPageBreak/>
        <w:t>Instructions for obtaining party status or being placed on the official service list are given below.</w:t>
      </w:r>
    </w:p>
    <w:p w:rsidR="002433AF" w:rsidP="008B2824" w:rsidRDefault="002433AF" w14:paraId="36573555" w14:textId="77777777">
      <w:pPr>
        <w:pStyle w:val="Heading1"/>
      </w:pPr>
      <w:r w:rsidRPr="002433AF">
        <w:t>Filing and Service of Comments and Other Documents</w:t>
      </w:r>
    </w:p>
    <w:p w:rsidR="00B7100E" w:rsidP="002433AF" w:rsidRDefault="002433AF" w14:paraId="4283897D" w14:textId="10309CA9">
      <w:pPr>
        <w:pStyle w:val="Standard"/>
        <w:rPr>
          <w:color w:val="000000"/>
          <w:sz w:val="27"/>
          <w:szCs w:val="27"/>
        </w:rPr>
      </w:pPr>
      <w:r>
        <w:t xml:space="preserve">Filing and service of comments and other documents in the proceeding are governed by the Commission’s Rules. </w:t>
      </w:r>
      <w:r w:rsidR="00B7100E">
        <w:rPr>
          <w:color w:val="000000"/>
          <w:sz w:val="27"/>
          <w:szCs w:val="27"/>
        </w:rPr>
        <w:t xml:space="preserve"> </w:t>
      </w:r>
    </w:p>
    <w:p w:rsidRPr="003B02EB" w:rsidR="002433AF" w:rsidP="002433AF" w:rsidRDefault="00B7100E" w14:paraId="4AA5C0B7" w14:textId="33F6C527">
      <w:pPr>
        <w:pStyle w:val="Standard"/>
        <w:rPr>
          <w:rFonts w:ascii="Arial" w:hAnsi="Arial" w:eastAsiaTheme="majorEastAsia" w:cstheme="majorBidi"/>
          <w:b/>
          <w:bCs/>
          <w:szCs w:val="32"/>
        </w:rPr>
      </w:pPr>
      <w:r>
        <w:t>When serving</w:t>
      </w:r>
      <w:r w:rsidR="002433AF">
        <w:t xml:space="preserve"> documents on the assigned Commissioner, advisors to the assigned Commissioner, and the assigned ALJ(s) </w:t>
      </w:r>
      <w:r>
        <w:t xml:space="preserve">parties must only provide electronic service. </w:t>
      </w:r>
      <w:r w:rsidRPr="00AD4593">
        <w:t xml:space="preserve">Parties must not send hard copies of documents </w:t>
      </w:r>
      <w:r w:rsidRPr="00AD4593" w:rsidR="002433AF">
        <w:t>unless specifically instructed to do otherwise.</w:t>
      </w:r>
    </w:p>
    <w:p w:rsidRPr="002433AF" w:rsidR="002433AF" w:rsidP="008B2824" w:rsidRDefault="002433AF" w14:paraId="53DF0738" w14:textId="77777777">
      <w:pPr>
        <w:pStyle w:val="Heading1"/>
      </w:pPr>
      <w:r w:rsidRPr="002433AF">
        <w:t>Addition to Official Service List</w:t>
      </w:r>
    </w:p>
    <w:p w:rsidRPr="00AD4593" w:rsidR="002433AF" w:rsidP="00AD4593" w:rsidRDefault="002433AF" w14:paraId="541603F2" w14:textId="078D4437">
      <w:pPr>
        <w:pStyle w:val="Standard"/>
        <w:rPr>
          <w:szCs w:val="26"/>
        </w:rPr>
      </w:pPr>
      <w:r w:rsidRPr="005679B1">
        <w:rPr>
          <w:szCs w:val="26"/>
        </w:rPr>
        <w:t>Addition to the official service list is governed by Rule</w:t>
      </w:r>
      <w:r>
        <w:rPr>
          <w:szCs w:val="26"/>
        </w:rPr>
        <w:t> </w:t>
      </w:r>
      <w:r w:rsidRPr="005679B1">
        <w:rPr>
          <w:szCs w:val="26"/>
        </w:rPr>
        <w:t>1.9(f</w:t>
      </w:r>
      <w:proofErr w:type="gramStart"/>
      <w:r w:rsidRPr="005679B1">
        <w:rPr>
          <w:szCs w:val="26"/>
        </w:rPr>
        <w:t>).</w:t>
      </w:r>
      <w:r w:rsidRPr="005679B1">
        <w:t>Any</w:t>
      </w:r>
      <w:proofErr w:type="gramEnd"/>
      <w:r w:rsidRPr="005679B1">
        <w:t xml:space="preserve"> </w:t>
      </w:r>
      <w:r w:rsidR="00AD4593">
        <w:t>entity or interested individual</w:t>
      </w:r>
      <w:r w:rsidRPr="005679B1">
        <w:t xml:space="preserve"> will be added to the “Information Only” category of the official service list upon request, for electronic service of all documents in the proceeding, and should do so promptly </w:t>
      </w:r>
      <w:r w:rsidR="00AD413A">
        <w:t>to</w:t>
      </w:r>
      <w:r w:rsidRPr="005679B1">
        <w:t xml:space="preserve"> ensure timely service of comments and other documents and correspondence in the proceeding. (</w:t>
      </w:r>
      <w:r w:rsidRPr="005679B1">
        <w:rPr>
          <w:i/>
          <w:iCs/>
        </w:rPr>
        <w:t>See</w:t>
      </w:r>
      <w:r>
        <w:t> </w:t>
      </w:r>
      <w:r w:rsidRPr="005679B1">
        <w:t>Rule</w:t>
      </w:r>
      <w:r>
        <w:t> </w:t>
      </w:r>
      <w:r w:rsidRPr="005679B1">
        <w:t>1.9(f).) The request must be sent to the Process Office by e</w:t>
      </w:r>
      <w:r>
        <w:noBreakHyphen/>
      </w:r>
      <w:r w:rsidRPr="005679B1">
        <w:t>mail (</w:t>
      </w:r>
      <w:hyperlink r:id="rId11">
        <w:r w:rsidRPr="005679B1">
          <w:rPr>
            <w:rStyle w:val="Hyperlink"/>
          </w:rPr>
          <w:t>process_office@cpuc.ca.gov</w:t>
        </w:r>
      </w:hyperlink>
      <w:r w:rsidRPr="005679B1">
        <w:t>) or letter (Process Office, California Public Utilities Commission, 505</w:t>
      </w:r>
      <w:r>
        <w:t> </w:t>
      </w:r>
      <w:r w:rsidRPr="005679B1">
        <w:t>Van</w:t>
      </w:r>
      <w:r>
        <w:t> </w:t>
      </w:r>
      <w:r w:rsidRPr="005679B1">
        <w:t>Ness Avenue, San</w:t>
      </w:r>
      <w:r>
        <w:t> </w:t>
      </w:r>
      <w:r w:rsidRPr="005679B1">
        <w:t xml:space="preserve">Francisco, California </w:t>
      </w:r>
      <w:r>
        <w:t xml:space="preserve"> </w:t>
      </w:r>
      <w:r w:rsidRPr="005679B1">
        <w:t>94102). Please include the Docket Number of this rulemaking in the request.</w:t>
      </w:r>
    </w:p>
    <w:p w:rsidRPr="002433AF" w:rsidR="002433AF" w:rsidP="008B4A16" w:rsidRDefault="00AD4593" w14:paraId="47BD8E12" w14:textId="48AFA639">
      <w:pPr>
        <w:pStyle w:val="Standard"/>
        <w:rPr>
          <w:rFonts w:ascii="Arial" w:hAnsi="Arial" w:eastAsiaTheme="majorEastAsia" w:cstheme="majorBidi"/>
          <w:bCs/>
          <w:szCs w:val="32"/>
        </w:rPr>
      </w:pPr>
      <w:r>
        <w:rPr>
          <w:szCs w:val="26"/>
        </w:rPr>
        <w:t xml:space="preserve">Entities and interested individuals </w:t>
      </w:r>
      <w:r w:rsidRPr="005679B1" w:rsidR="002433AF">
        <w:rPr>
          <w:szCs w:val="26"/>
        </w:rPr>
        <w:t>who file responsive comments thereby become parties to the proceeding (</w:t>
      </w:r>
      <w:r w:rsidRPr="00A647E9" w:rsidR="002433AF">
        <w:rPr>
          <w:i/>
          <w:iCs/>
          <w:szCs w:val="26"/>
        </w:rPr>
        <w:t>see</w:t>
      </w:r>
      <w:r w:rsidRPr="00A647E9" w:rsidR="002433AF">
        <w:rPr>
          <w:szCs w:val="26"/>
        </w:rPr>
        <w:t xml:space="preserve"> Rule</w:t>
      </w:r>
      <w:r w:rsidR="002433AF">
        <w:rPr>
          <w:szCs w:val="26"/>
        </w:rPr>
        <w:t> </w:t>
      </w:r>
      <w:r w:rsidRPr="00A647E9" w:rsidR="002433AF">
        <w:rPr>
          <w:szCs w:val="26"/>
        </w:rPr>
        <w:t xml:space="preserve">1.4(a)(2)) and will be added to the “Parties” category of the official service list upon such filing. </w:t>
      </w:r>
      <w:r w:rsidR="00AD413A">
        <w:rPr>
          <w:iCs/>
          <w:szCs w:val="26"/>
        </w:rPr>
        <w:t>To</w:t>
      </w:r>
      <w:r w:rsidRPr="004F1EEA" w:rsidR="002433AF">
        <w:rPr>
          <w:iCs/>
          <w:szCs w:val="26"/>
        </w:rPr>
        <w:t xml:space="preserve"> assure service of comments and other documents and correspondence in advance of obtaining party status, persons should promptly request addition to the “Information </w:t>
      </w:r>
      <w:r w:rsidRPr="004F1EEA" w:rsidR="002433AF">
        <w:rPr>
          <w:iCs/>
          <w:szCs w:val="26"/>
        </w:rPr>
        <w:lastRenderedPageBreak/>
        <w:t>Only” category as described above</w:t>
      </w:r>
      <w:r w:rsidRPr="00A647E9" w:rsidR="002433AF">
        <w:rPr>
          <w:i/>
          <w:szCs w:val="26"/>
        </w:rPr>
        <w:t>;</w:t>
      </w:r>
      <w:r w:rsidRPr="00A647E9" w:rsidR="002433AF">
        <w:rPr>
          <w:szCs w:val="26"/>
        </w:rPr>
        <w:t xml:space="preserve"> they will be removed from that category upon obtaining party status.</w:t>
      </w:r>
    </w:p>
    <w:p w:rsidR="002433AF" w:rsidP="008B2824" w:rsidRDefault="002433AF" w14:paraId="4E0029DF" w14:textId="77777777">
      <w:pPr>
        <w:pStyle w:val="Heading1"/>
      </w:pPr>
      <w:r w:rsidRPr="002433AF">
        <w:t>Subscription Service</w:t>
      </w:r>
    </w:p>
    <w:p w:rsidRPr="002433AF" w:rsidR="002433AF" w:rsidP="00052625" w:rsidRDefault="00AD4593" w14:paraId="775327F9" w14:textId="72873355">
      <w:pPr>
        <w:pStyle w:val="Standard"/>
        <w:rPr>
          <w:rFonts w:ascii="Arial" w:hAnsi="Arial" w:eastAsiaTheme="majorEastAsia" w:cstheme="majorBidi"/>
          <w:bCs/>
          <w:szCs w:val="32"/>
        </w:rPr>
      </w:pPr>
      <w:r>
        <w:rPr>
          <w:szCs w:val="26"/>
        </w:rPr>
        <w:t xml:space="preserve">Entities and interested individuals </w:t>
      </w:r>
      <w:r w:rsidRPr="00AD4593">
        <w:rPr>
          <w:szCs w:val="26"/>
        </w:rPr>
        <w:t>not wishing to become parties</w:t>
      </w:r>
      <w:r w:rsidRPr="00A647E9" w:rsidR="002433AF">
        <w:rPr>
          <w:szCs w:val="26"/>
        </w:rPr>
        <w:t xml:space="preserve"> may monitor the</w:t>
      </w:r>
      <w:r w:rsidRPr="005679B1" w:rsidR="002433AF">
        <w:rPr>
          <w:szCs w:val="26"/>
        </w:rPr>
        <w:t xml:space="preserve"> proceeding by subscribing to receive electronic copies of documents in this proceeding that are published on the Commission’s website. There is no need to be on the official service list to use the subscription service. </w:t>
      </w:r>
      <w:r w:rsidRPr="00A647E9" w:rsidR="002433AF">
        <w:rPr>
          <w:szCs w:val="26"/>
        </w:rPr>
        <w:t xml:space="preserve">Instructions for enrolling in the subscription service are available on the Commission’s website at </w:t>
      </w:r>
      <w:hyperlink w:history="1" r:id="rId12">
        <w:r w:rsidRPr="00A647E9" w:rsidR="002433AF">
          <w:rPr>
            <w:rStyle w:val="Hyperlink"/>
            <w:szCs w:val="26"/>
          </w:rPr>
          <w:t>http://subscribecpuc.cpuc.ca.gov/</w:t>
        </w:r>
      </w:hyperlink>
      <w:r w:rsidRPr="00A647E9" w:rsidR="002433AF">
        <w:rPr>
          <w:szCs w:val="26"/>
        </w:rPr>
        <w:t>.</w:t>
      </w:r>
    </w:p>
    <w:p w:rsidRPr="00052625" w:rsidR="00E60784" w:rsidP="008B2824" w:rsidRDefault="00052625" w14:paraId="4C31851A" w14:textId="77777777">
      <w:pPr>
        <w:pStyle w:val="Heading1"/>
      </w:pPr>
      <w:r w:rsidRPr="00052625">
        <w:t>Intervenor Compensation</w:t>
      </w:r>
    </w:p>
    <w:p w:rsidRPr="00052625" w:rsidR="00052625" w:rsidP="00B7100E" w:rsidRDefault="00052625" w14:paraId="07BC67AA" w14:textId="7D1BB04E">
      <w:pPr>
        <w:pStyle w:val="Standard"/>
      </w:pPr>
      <w:r>
        <w:t xml:space="preserve">Intervenor Compensation is permitted in </w:t>
      </w:r>
      <w:proofErr w:type="gramStart"/>
      <w:r>
        <w:t>this proceeding</w:t>
      </w:r>
      <w:proofErr w:type="gramEnd"/>
      <w:r>
        <w:t>.</w:t>
      </w:r>
      <w:r w:rsidR="00B7100E">
        <w:t xml:space="preserve"> </w:t>
      </w:r>
      <w:r w:rsidRPr="00AD4593" w:rsidR="00AD4593">
        <w:t>Pursuant to Section 1804(a)(1), a customer who intends to seek an award of compensation must file and serve a notice of intent to claim compensation by 30 days after the PHC. As a PHC is not anticipated in this proceeding, notices of intent to claim compensation must be filed no later than 30 days after the issuance date of this OIR. Parties that are not familiar with participation in Commission proceedings may contact the Commission’s Public Advisor to learn more about the Intervenor Compensation process.</w:t>
      </w:r>
    </w:p>
    <w:p w:rsidRPr="00052625" w:rsidR="00052625" w:rsidP="008B2824" w:rsidRDefault="00052625" w14:paraId="61E19157" w14:textId="77777777">
      <w:pPr>
        <w:pStyle w:val="Heading1"/>
      </w:pPr>
      <w:r w:rsidRPr="00052625">
        <w:t>Public Advisor</w:t>
      </w:r>
    </w:p>
    <w:p w:rsidRPr="00052625" w:rsidR="00052625" w:rsidP="00052625" w:rsidRDefault="00052625" w14:paraId="2591935E" w14:textId="77777777">
      <w:pPr>
        <w:pStyle w:val="Standard"/>
      </w:pPr>
      <w:r w:rsidRPr="00A647E9">
        <w:t xml:space="preserve">Any person or entity interested in participating in this rulemaking who is unfamiliar with the Commission’s procedures should contact the Commission’s Public Advisor in </w:t>
      </w:r>
      <w:r>
        <w:t>San </w:t>
      </w:r>
      <w:r w:rsidRPr="00A647E9">
        <w:t>Francisco at (415)</w:t>
      </w:r>
      <w:r>
        <w:t> </w:t>
      </w:r>
      <w:r w:rsidRPr="00A647E9">
        <w:t>703</w:t>
      </w:r>
      <w:r>
        <w:noBreakHyphen/>
      </w:r>
      <w:r w:rsidRPr="00A647E9">
        <w:t>2074 or (866) 849</w:t>
      </w:r>
      <w:r>
        <w:noBreakHyphen/>
      </w:r>
      <w:r w:rsidRPr="00A647E9">
        <w:t>8390 or e</w:t>
      </w:r>
      <w:r>
        <w:noBreakHyphen/>
      </w:r>
      <w:r w:rsidRPr="00A647E9">
        <w:t xml:space="preserve">mail </w:t>
      </w:r>
      <w:hyperlink r:id="rId13">
        <w:r w:rsidRPr="00A647E9">
          <w:rPr>
            <w:rStyle w:val="Hyperlink"/>
          </w:rPr>
          <w:t>public.advisor@cpuc.ca.gov</w:t>
        </w:r>
      </w:hyperlink>
      <w:r w:rsidRPr="00A647E9">
        <w:t>. The TTY number is (866) 836</w:t>
      </w:r>
      <w:r>
        <w:noBreakHyphen/>
      </w:r>
      <w:r w:rsidRPr="00A647E9">
        <w:t>7825.</w:t>
      </w:r>
    </w:p>
    <w:p w:rsidR="005939A5" w:rsidP="008B2824" w:rsidRDefault="00052625" w14:paraId="5CCF520A" w14:textId="77777777">
      <w:pPr>
        <w:pStyle w:val="Heading1"/>
      </w:pPr>
      <w:bookmarkStart w:name="_Toc165368806" w:id="11"/>
      <w:r>
        <w:lastRenderedPageBreak/>
        <w:t xml:space="preserve">Public </w:t>
      </w:r>
      <w:r w:rsidRPr="00996FCC">
        <w:t>Outreach</w:t>
      </w:r>
      <w:bookmarkEnd w:id="10"/>
      <w:bookmarkEnd w:id="11"/>
    </w:p>
    <w:p w:rsidR="00052625" w:rsidP="00052625" w:rsidRDefault="00052625" w14:paraId="188B421F" w14:textId="77777777">
      <w:pPr>
        <w:pStyle w:val="Standard"/>
        <w:keepNext/>
      </w:pPr>
      <w:r>
        <w:t>Pub. Util.</w:t>
      </w:r>
      <w:r w:rsidRPr="00E65D79">
        <w:t xml:space="preserve"> Code </w:t>
      </w:r>
      <w:r>
        <w:t>Section </w:t>
      </w:r>
      <w:r w:rsidRPr="00E65D79">
        <w:t>1711(a) states:</w:t>
      </w:r>
    </w:p>
    <w:p w:rsidR="00052625" w:rsidP="00052625" w:rsidRDefault="00052625" w14:paraId="317455BC" w14:textId="77777777">
      <w:pPr>
        <w:pStyle w:val="BlockQuote0"/>
      </w:pPr>
      <w:r w:rsidRPr="00E65D79">
        <w:t>Where feasible and appropriate, except for adjudication cases, before determining the scope of the proceeding, the</w:t>
      </w:r>
      <w:r w:rsidRPr="00A647E9">
        <w:t xml:space="preserve"> commission shall seek the participation of those who are likely to be affected, including those who are likely to benefit from, and those who are potentially subject to, a decision in that proceeding. The commission shall demonstrate its efforts to comply with this section in the text of the initial scoping memo of the proceeding.</w:t>
      </w:r>
    </w:p>
    <w:p w:rsidRPr="001E2A62" w:rsidR="008F143D" w:rsidP="008F4848" w:rsidRDefault="00052625" w14:paraId="324297E5" w14:textId="19982B17">
      <w:pPr>
        <w:pStyle w:val="Standard"/>
      </w:pPr>
      <w:r>
        <w:t>P</w:t>
      </w:r>
      <w:r w:rsidRPr="005679B1">
        <w:t>ublic outreach will be described in the scoping memo of the assigned Commissioner.</w:t>
      </w:r>
    </w:p>
    <w:p w:rsidR="00BB0243" w:rsidP="000A6E05" w:rsidRDefault="005939A5" w14:paraId="3FCA0967" w14:textId="77777777">
      <w:pPr>
        <w:pStyle w:val="Mainex"/>
      </w:pPr>
      <w:bookmarkStart w:name="_Toc165368807" w:id="12"/>
      <w:r>
        <w:t>O</w:t>
      </w:r>
      <w:r w:rsidR="00722850">
        <w:t>RDER</w:t>
      </w:r>
      <w:bookmarkEnd w:id="12"/>
    </w:p>
    <w:p w:rsidR="00052625" w:rsidP="00067F48" w:rsidRDefault="00BB0243" w14:paraId="1C3FCE3D" w14:textId="4D2BD5B6">
      <w:pPr>
        <w:keepNext/>
      </w:pPr>
      <w:r w:rsidRPr="00BB0243">
        <w:rPr>
          <w:b/>
        </w:rPr>
        <w:t>IT IS ORDERED</w:t>
      </w:r>
      <w:r>
        <w:t xml:space="preserve"> that:</w:t>
      </w:r>
    </w:p>
    <w:p w:rsidR="00052625" w:rsidP="00052625" w:rsidRDefault="00052625" w14:paraId="56D7B2E1" w14:textId="187964CC">
      <w:pPr>
        <w:pStyle w:val="OP"/>
        <w:ind w:firstLine="547"/>
      </w:pPr>
      <w:r>
        <w:t>This Order Instituting Rulemaking is adopted pursuant to Rule 6</w:t>
      </w:r>
      <w:r w:rsidR="00AD4593">
        <w:t>.1</w:t>
      </w:r>
      <w:r>
        <w:t xml:space="preserve"> of the California Public Utilities Commission’s Rules of Practice and Procedure.</w:t>
      </w:r>
    </w:p>
    <w:p w:rsidR="00052625" w:rsidP="00052625" w:rsidRDefault="00052625" w14:paraId="2BF64ED6" w14:textId="77777777">
      <w:pPr>
        <w:pStyle w:val="OP"/>
        <w:ind w:firstLine="547"/>
      </w:pPr>
      <w:r>
        <w:t>The preliminary categorization is ratesetting.</w:t>
      </w:r>
    </w:p>
    <w:p w:rsidR="00052625" w:rsidP="00052625" w:rsidRDefault="00052625" w14:paraId="233B2D34" w14:textId="26D1CC0D">
      <w:pPr>
        <w:pStyle w:val="OP"/>
        <w:ind w:firstLine="547"/>
      </w:pPr>
      <w:r>
        <w:rPr>
          <w:szCs w:val="26"/>
        </w:rPr>
        <w:t>The preliminary determination is that hearing is needed</w:t>
      </w:r>
      <w:r>
        <w:t>.</w:t>
      </w:r>
    </w:p>
    <w:p w:rsidR="00052625" w:rsidP="00052625" w:rsidRDefault="00052625" w14:paraId="3041E5FB" w14:textId="77777777">
      <w:pPr>
        <w:pStyle w:val="OP"/>
        <w:ind w:firstLine="547"/>
      </w:pPr>
      <w:r>
        <w:t>The preliminary scope of issues is as stated above in Section 2.</w:t>
      </w:r>
    </w:p>
    <w:p w:rsidR="00AD4593" w:rsidP="00052625" w:rsidRDefault="00AD4593" w14:paraId="59AFB07B" w14:textId="513FD89D">
      <w:pPr>
        <w:pStyle w:val="OP"/>
        <w:ind w:firstLine="547"/>
      </w:pPr>
      <w:r>
        <w:t>The preliminary schedule, including the filing deadlines as described above in Section 4, is adopted.</w:t>
      </w:r>
    </w:p>
    <w:p w:rsidR="00D1441E" w:rsidP="00052625" w:rsidRDefault="008C3A94" w14:paraId="5D4DE272" w14:textId="10C8AE61">
      <w:pPr>
        <w:pStyle w:val="OP"/>
        <w:ind w:firstLine="547"/>
      </w:pPr>
      <w:proofErr w:type="gramStart"/>
      <w:r w:rsidRPr="008C3A94">
        <w:t>All of</w:t>
      </w:r>
      <w:proofErr w:type="gramEnd"/>
      <w:r w:rsidRPr="008C3A94">
        <w:t xml:space="preserve"> the </w:t>
      </w:r>
      <w:r>
        <w:t xml:space="preserve">carriers of last resort in </w:t>
      </w:r>
      <w:r w:rsidRPr="008C3A94">
        <w:t>California</w:t>
      </w:r>
      <w:r>
        <w:t xml:space="preserve">, as listed above in Section 5, shall </w:t>
      </w:r>
      <w:r w:rsidRPr="008C3A94">
        <w:t xml:space="preserve">respond to this Order Instituting Rulemaking.   </w:t>
      </w:r>
    </w:p>
    <w:p w:rsidR="00052625" w:rsidP="00052625" w:rsidRDefault="00A4047B" w14:paraId="6B208999" w14:textId="0ECCAE78">
      <w:pPr>
        <w:pStyle w:val="OP"/>
        <w:ind w:firstLine="547"/>
      </w:pPr>
      <w:r w:rsidRPr="00A4047B">
        <w:t>The Executive Director will cause this Order Instituting Rulemaking to be served on the service lists for the Commission proceedings R.</w:t>
      </w:r>
      <w:r w:rsidRPr="00A4047B" w:rsidR="00996FCC">
        <w:t>22</w:t>
      </w:r>
      <w:r w:rsidR="00996FCC">
        <w:t>-</w:t>
      </w:r>
      <w:r w:rsidRPr="00A4047B" w:rsidR="00996FCC">
        <w:t>03</w:t>
      </w:r>
      <w:r w:rsidR="00996FCC">
        <w:t>-</w:t>
      </w:r>
      <w:r w:rsidRPr="00A4047B">
        <w:t>016 and R.20</w:t>
      </w:r>
      <w:r w:rsidR="001914A3">
        <w:noBreakHyphen/>
      </w:r>
      <w:r w:rsidRPr="00A4047B">
        <w:t>02-008, the list of Tribes maintained by the Native American Heritage Commission, and on the agencies and individuals listed in Appendix A.</w:t>
      </w:r>
    </w:p>
    <w:p w:rsidRPr="008F4848" w:rsidR="00F6397D" w:rsidP="008F4848" w:rsidRDefault="00052625" w14:paraId="2552F7FA" w14:textId="3B64DE54">
      <w:pPr>
        <w:pStyle w:val="OP"/>
        <w:keepNext/>
        <w:ind w:firstLine="547"/>
        <w:rPr>
          <w:rFonts w:eastAsia="Palatino" w:cs="Palatino"/>
          <w:szCs w:val="26"/>
        </w:rPr>
      </w:pPr>
      <w:r>
        <w:lastRenderedPageBreak/>
        <w:t>Any party that expects to claim intervenor compensation for its participation in this Rulemaking must file its notice of intent to claim intervenor compensation in accordance with Public Utilities Code Section 1804(a)(1) and Rule 17.1(a)(2) of the California Public Utilities Commission’s Rules of Practice and Procedure.</w:t>
      </w:r>
    </w:p>
    <w:p w:rsidR="008F0116" w:rsidP="008F0116" w:rsidRDefault="008F0116" w14:paraId="7B000164" w14:textId="77777777">
      <w:r>
        <w:t xml:space="preserve">This order is effective </w:t>
      </w:r>
      <w:r w:rsidR="00052625">
        <w:t>upon issuance</w:t>
      </w:r>
      <w:r>
        <w:t>.</w:t>
      </w:r>
    </w:p>
    <w:p w:rsidR="00714CF2" w:rsidP="00816E05" w:rsidRDefault="008F0116" w14:paraId="4A4255C9" w14:textId="25512ADC">
      <w:r>
        <w:t>Date</w:t>
      </w:r>
      <w:r w:rsidR="00682CCA">
        <w:t>d June 20, 2024</w:t>
      </w:r>
      <w:r>
        <w:t xml:space="preserve">, at </w:t>
      </w:r>
      <w:r w:rsidR="001A1656">
        <w:t>San Luis Obispo</w:t>
      </w:r>
      <w:r>
        <w:t>, California</w:t>
      </w:r>
    </w:p>
    <w:p w:rsidR="00D802F3" w:rsidP="00816E05" w:rsidRDefault="00D802F3" w14:paraId="46AADD50" w14:textId="77777777"/>
    <w:p w:rsidRPr="00D802F3" w:rsidR="00D802F3" w:rsidP="00D802F3" w:rsidRDefault="00D802F3" w14:paraId="3FFF1609" w14:textId="77777777">
      <w:pPr>
        <w:autoSpaceDE w:val="0"/>
        <w:autoSpaceDN w:val="0"/>
        <w:adjustRightInd w:val="0"/>
        <w:spacing w:line="240" w:lineRule="auto"/>
        <w:ind w:left="4320" w:firstLine="0"/>
        <w:jc w:val="both"/>
        <w:rPr>
          <w:rFonts w:cs="Times New Roman"/>
          <w:szCs w:val="20"/>
        </w:rPr>
      </w:pPr>
      <w:r w:rsidRPr="00D802F3">
        <w:rPr>
          <w:rFonts w:cs="Times New Roman"/>
          <w:szCs w:val="20"/>
        </w:rPr>
        <w:t>ALICE REYNOLDS</w:t>
      </w:r>
    </w:p>
    <w:p w:rsidRPr="00D802F3" w:rsidR="00D802F3" w:rsidP="00D802F3" w:rsidRDefault="00D802F3" w14:paraId="37FD21AD" w14:textId="77777777">
      <w:pPr>
        <w:autoSpaceDE w:val="0"/>
        <w:autoSpaceDN w:val="0"/>
        <w:adjustRightInd w:val="0"/>
        <w:spacing w:line="240" w:lineRule="auto"/>
        <w:jc w:val="both"/>
        <w:rPr>
          <w:rFonts w:cs="Times New Roman"/>
          <w:szCs w:val="20"/>
        </w:rPr>
      </w:pPr>
      <w:r w:rsidRPr="00D802F3">
        <w:rPr>
          <w:rFonts w:cs="Times New Roman"/>
          <w:szCs w:val="20"/>
        </w:rPr>
        <w:tab/>
      </w:r>
      <w:r w:rsidRPr="00D802F3">
        <w:rPr>
          <w:rFonts w:cs="Times New Roman"/>
          <w:szCs w:val="20"/>
        </w:rPr>
        <w:tab/>
      </w:r>
      <w:r w:rsidRPr="00D802F3">
        <w:rPr>
          <w:rFonts w:cs="Times New Roman"/>
          <w:szCs w:val="20"/>
        </w:rPr>
        <w:tab/>
      </w:r>
      <w:r w:rsidRPr="00D802F3">
        <w:rPr>
          <w:rFonts w:cs="Times New Roman"/>
          <w:szCs w:val="20"/>
        </w:rPr>
        <w:tab/>
      </w:r>
      <w:r w:rsidRPr="00D802F3">
        <w:rPr>
          <w:rFonts w:cs="Times New Roman"/>
          <w:szCs w:val="20"/>
        </w:rPr>
        <w:tab/>
        <w:t xml:space="preserve">                       President</w:t>
      </w:r>
    </w:p>
    <w:p w:rsidRPr="00D802F3" w:rsidR="00D802F3" w:rsidP="00D802F3" w:rsidRDefault="00D802F3" w14:paraId="0501AB7D" w14:textId="77777777">
      <w:pPr>
        <w:autoSpaceDE w:val="0"/>
        <w:autoSpaceDN w:val="0"/>
        <w:adjustRightInd w:val="0"/>
        <w:spacing w:line="240" w:lineRule="auto"/>
        <w:ind w:left="3600"/>
        <w:jc w:val="both"/>
        <w:rPr>
          <w:rFonts w:cs="Times New Roman"/>
          <w:szCs w:val="20"/>
        </w:rPr>
      </w:pPr>
      <w:r w:rsidRPr="00D802F3">
        <w:rPr>
          <w:rFonts w:cs="Times New Roman"/>
          <w:szCs w:val="20"/>
        </w:rPr>
        <w:t>DARCIE L. HOUCK</w:t>
      </w:r>
    </w:p>
    <w:p w:rsidRPr="00D802F3" w:rsidR="00D802F3" w:rsidP="00D802F3" w:rsidRDefault="00D802F3" w14:paraId="2C1C9262" w14:textId="77777777">
      <w:pPr>
        <w:autoSpaceDE w:val="0"/>
        <w:autoSpaceDN w:val="0"/>
        <w:adjustRightInd w:val="0"/>
        <w:spacing w:line="240" w:lineRule="auto"/>
        <w:ind w:left="3600"/>
        <w:jc w:val="both"/>
        <w:rPr>
          <w:rFonts w:cs="Times New Roman"/>
          <w:szCs w:val="20"/>
        </w:rPr>
      </w:pPr>
      <w:r w:rsidRPr="00D802F3">
        <w:rPr>
          <w:rFonts w:cs="Times New Roman"/>
          <w:szCs w:val="20"/>
        </w:rPr>
        <w:t>JOHN REYNOLDS</w:t>
      </w:r>
    </w:p>
    <w:p w:rsidRPr="00D802F3" w:rsidR="00D802F3" w:rsidP="00D802F3" w:rsidRDefault="00D802F3" w14:paraId="5F288760" w14:textId="77777777">
      <w:pPr>
        <w:autoSpaceDE w:val="0"/>
        <w:autoSpaceDN w:val="0"/>
        <w:adjustRightInd w:val="0"/>
        <w:spacing w:line="240" w:lineRule="auto"/>
        <w:ind w:left="3600"/>
        <w:jc w:val="both"/>
        <w:rPr>
          <w:rFonts w:eastAsia="Times New Roman" w:cs="Calibri"/>
          <w:color w:val="000000"/>
          <w:szCs w:val="26"/>
        </w:rPr>
      </w:pPr>
      <w:r w:rsidRPr="00D802F3">
        <w:rPr>
          <w:rFonts w:eastAsia="Times New Roman" w:cs="Calibri"/>
          <w:color w:val="000000"/>
          <w:szCs w:val="26"/>
        </w:rPr>
        <w:t>KAREN DOUGLAS</w:t>
      </w:r>
    </w:p>
    <w:p w:rsidRPr="00D802F3" w:rsidR="00D802F3" w:rsidP="00D802F3" w:rsidRDefault="00D802F3" w14:paraId="30DE5C8C" w14:textId="77777777">
      <w:pPr>
        <w:autoSpaceDE w:val="0"/>
        <w:autoSpaceDN w:val="0"/>
        <w:adjustRightInd w:val="0"/>
        <w:spacing w:line="240" w:lineRule="auto"/>
        <w:ind w:left="3600"/>
        <w:jc w:val="both"/>
        <w:rPr>
          <w:rFonts w:cs="Times New Roman"/>
          <w:szCs w:val="20"/>
        </w:rPr>
      </w:pPr>
      <w:r w:rsidRPr="00D802F3">
        <w:rPr>
          <w:rFonts w:eastAsia="Times New Roman" w:cs="Calibri"/>
          <w:color w:val="000000"/>
          <w:szCs w:val="26"/>
        </w:rPr>
        <w:t>MATTHEW BAKER</w:t>
      </w:r>
    </w:p>
    <w:p w:rsidRPr="00D802F3" w:rsidR="00D802F3" w:rsidP="00D802F3" w:rsidRDefault="00D802F3" w14:paraId="5D912533" w14:textId="77777777">
      <w:pPr>
        <w:autoSpaceDE w:val="0"/>
        <w:autoSpaceDN w:val="0"/>
        <w:adjustRightInd w:val="0"/>
        <w:spacing w:line="240" w:lineRule="auto"/>
        <w:ind w:left="4320"/>
        <w:jc w:val="both"/>
        <w:rPr>
          <w:rFonts w:cs="Times New Roman"/>
          <w:szCs w:val="20"/>
        </w:rPr>
      </w:pPr>
      <w:r w:rsidRPr="00D802F3">
        <w:rPr>
          <w:rFonts w:cs="Times New Roman"/>
          <w:szCs w:val="20"/>
        </w:rPr>
        <w:t xml:space="preserve">            Commissioners</w:t>
      </w:r>
    </w:p>
    <w:p w:rsidR="00C40403" w:rsidP="004E5D1D" w:rsidRDefault="00C40403" w14:paraId="43B97984" w14:textId="77777777">
      <w:pPr>
        <w:ind w:firstLine="0"/>
        <w:rPr>
          <w:b/>
          <w:bCs/>
          <w:sz w:val="36"/>
          <w:szCs w:val="36"/>
        </w:rPr>
      </w:pPr>
    </w:p>
    <w:p w:rsidR="00C40403" w:rsidP="00816E05" w:rsidRDefault="00C40403" w14:paraId="2EB00921" w14:textId="77777777">
      <w:pPr>
        <w:rPr>
          <w:b/>
          <w:bCs/>
          <w:sz w:val="36"/>
          <w:szCs w:val="36"/>
        </w:rPr>
      </w:pPr>
    </w:p>
    <w:p w:rsidR="00C40403" w:rsidP="004E5D1D" w:rsidRDefault="00C40403" w14:paraId="16887478" w14:textId="77777777">
      <w:pPr>
        <w:ind w:firstLine="0"/>
        <w:rPr>
          <w:b/>
          <w:bCs/>
          <w:sz w:val="36"/>
          <w:szCs w:val="36"/>
        </w:rPr>
      </w:pPr>
    </w:p>
    <w:p w:rsidR="00C40403" w:rsidP="00816E05" w:rsidRDefault="00C40403" w14:paraId="7F159E46" w14:textId="77777777">
      <w:pPr>
        <w:rPr>
          <w:b/>
          <w:bCs/>
          <w:sz w:val="36"/>
          <w:szCs w:val="36"/>
        </w:rPr>
      </w:pPr>
    </w:p>
    <w:p w:rsidR="008B2824" w:rsidP="00816E05" w:rsidRDefault="008B2824" w14:paraId="2267F78B" w14:textId="77777777">
      <w:pPr>
        <w:rPr>
          <w:b/>
          <w:bCs/>
          <w:sz w:val="36"/>
          <w:szCs w:val="36"/>
        </w:rPr>
      </w:pPr>
    </w:p>
    <w:p w:rsidR="000A18D7" w:rsidP="00816E05" w:rsidRDefault="000A18D7" w14:paraId="7C071E14" w14:textId="77777777">
      <w:pPr>
        <w:rPr>
          <w:b/>
          <w:bCs/>
          <w:sz w:val="36"/>
          <w:szCs w:val="36"/>
        </w:rPr>
      </w:pPr>
    </w:p>
    <w:p w:rsidR="000A18D7" w:rsidP="00816E05" w:rsidRDefault="000A18D7" w14:paraId="5681C760" w14:textId="77777777">
      <w:pPr>
        <w:rPr>
          <w:b/>
          <w:bCs/>
          <w:sz w:val="36"/>
          <w:szCs w:val="36"/>
        </w:rPr>
      </w:pPr>
    </w:p>
    <w:p w:rsidR="000A18D7" w:rsidP="00816E05" w:rsidRDefault="000A18D7" w14:paraId="339FEAD6" w14:textId="77777777">
      <w:pPr>
        <w:rPr>
          <w:b/>
          <w:bCs/>
          <w:sz w:val="36"/>
          <w:szCs w:val="36"/>
        </w:rPr>
      </w:pPr>
    </w:p>
    <w:p w:rsidR="000A18D7" w:rsidP="00816E05" w:rsidRDefault="000A18D7" w14:paraId="501DC78A" w14:textId="77777777">
      <w:pPr>
        <w:rPr>
          <w:b/>
          <w:bCs/>
          <w:sz w:val="36"/>
          <w:szCs w:val="36"/>
        </w:rPr>
      </w:pPr>
    </w:p>
    <w:p w:rsidR="007D08AB" w:rsidP="000A18D7" w:rsidRDefault="007D08AB" w14:paraId="0E9CA87A" w14:textId="77777777">
      <w:pPr>
        <w:jc w:val="center"/>
        <w:rPr>
          <w:b/>
          <w:bCs/>
          <w:caps/>
          <w:sz w:val="48"/>
          <w:szCs w:val="48"/>
        </w:rPr>
      </w:pPr>
    </w:p>
    <w:p w:rsidR="007D08AB" w:rsidP="000A18D7" w:rsidRDefault="007D08AB" w14:paraId="09180AE1" w14:textId="77777777">
      <w:pPr>
        <w:jc w:val="center"/>
        <w:rPr>
          <w:b/>
          <w:bCs/>
          <w:caps/>
          <w:sz w:val="48"/>
          <w:szCs w:val="48"/>
        </w:rPr>
      </w:pPr>
    </w:p>
    <w:p w:rsidRPr="000A18D7" w:rsidR="000A18D7" w:rsidP="000A18D7" w:rsidRDefault="000A18D7" w14:paraId="46F4226E" w14:textId="2AF80D04">
      <w:pPr>
        <w:jc w:val="center"/>
        <w:rPr>
          <w:b/>
          <w:bCs/>
          <w:caps/>
          <w:sz w:val="48"/>
          <w:szCs w:val="48"/>
        </w:rPr>
      </w:pPr>
      <w:r w:rsidRPr="000A18D7">
        <w:rPr>
          <w:b/>
          <w:bCs/>
          <w:caps/>
          <w:sz w:val="48"/>
          <w:szCs w:val="48"/>
        </w:rPr>
        <w:t>Appendix A</w:t>
      </w:r>
    </w:p>
    <w:p w:rsidR="000A18D7" w:rsidP="00816E05" w:rsidRDefault="000A18D7" w14:paraId="4639B2E3" w14:textId="77777777"/>
    <w:p w:rsidR="000A18D7" w:rsidRDefault="000A18D7" w14:paraId="784E7B13" w14:textId="75D48E8C">
      <w:pPr>
        <w:spacing w:after="160" w:line="259" w:lineRule="auto"/>
        <w:ind w:firstLine="0"/>
      </w:pPr>
      <w:r>
        <w:br w:type="page"/>
      </w:r>
    </w:p>
    <w:p w:rsidRPr="000A18D7" w:rsidR="000A18D7" w:rsidP="000A18D7" w:rsidRDefault="000A18D7" w14:paraId="1B8AAAA5" w14:textId="77777777">
      <w:pPr>
        <w:pStyle w:val="NormalWeb"/>
        <w:jc w:val="center"/>
        <w:rPr>
          <w:b/>
          <w:bCs/>
          <w:color w:val="000000"/>
          <w:sz w:val="27"/>
          <w:szCs w:val="27"/>
        </w:rPr>
      </w:pPr>
      <w:r w:rsidRPr="000A18D7">
        <w:rPr>
          <w:b/>
          <w:bCs/>
          <w:color w:val="000000"/>
          <w:sz w:val="27"/>
          <w:szCs w:val="27"/>
        </w:rPr>
        <w:lastRenderedPageBreak/>
        <w:t>APPENDIX A</w:t>
      </w:r>
    </w:p>
    <w:p w:rsidR="000A18D7" w:rsidP="000A18D7" w:rsidRDefault="000A18D7" w14:paraId="31C1382F" w14:textId="77777777">
      <w:pPr>
        <w:pStyle w:val="NormalWeb"/>
        <w:rPr>
          <w:color w:val="000000"/>
          <w:sz w:val="27"/>
          <w:szCs w:val="27"/>
        </w:rPr>
      </w:pPr>
      <w:r>
        <w:rPr>
          <w:color w:val="000000"/>
          <w:sz w:val="27"/>
          <w:szCs w:val="27"/>
        </w:rPr>
        <w:t>List of specific entities this Order will be served on, in addition to the Service Lists discussed in Section 5.</w:t>
      </w:r>
    </w:p>
    <w:p w:rsidR="000A18D7" w:rsidP="000A18D7" w:rsidRDefault="000A18D7" w14:paraId="5C953E69" w14:textId="4BB697A3">
      <w:pPr>
        <w:pStyle w:val="NormalWeb"/>
        <w:rPr>
          <w:color w:val="000000"/>
          <w:sz w:val="27"/>
          <w:szCs w:val="27"/>
        </w:rPr>
      </w:pPr>
      <w:r>
        <w:rPr>
          <w:color w:val="000000"/>
          <w:sz w:val="27"/>
          <w:szCs w:val="27"/>
        </w:rPr>
        <w:t>· League of California Cities (Cal Cities):  ccoleman@cacities.org, ddolfie@cacities.org, canderson@calcities.org, bismarck@cacities.org, dconklin@calcities.org, cmanning@calcities.org</w:t>
      </w:r>
    </w:p>
    <w:p w:rsidR="000A18D7" w:rsidP="000A18D7" w:rsidRDefault="000A18D7" w14:paraId="64882C17" w14:textId="15D3DB25">
      <w:pPr>
        <w:pStyle w:val="NormalWeb"/>
        <w:rPr>
          <w:color w:val="000000"/>
          <w:sz w:val="27"/>
          <w:szCs w:val="27"/>
        </w:rPr>
      </w:pPr>
      <w:r>
        <w:rPr>
          <w:color w:val="000000"/>
          <w:sz w:val="27"/>
          <w:szCs w:val="27"/>
        </w:rPr>
        <w:t>· California State Association of Counties (CSAC): awaelder@counties.org, jwong-hernandez@counties.org, fmcting@counties.org, gknaus@counties.org</w:t>
      </w:r>
    </w:p>
    <w:p w:rsidR="000A18D7" w:rsidP="000A18D7" w:rsidRDefault="000A18D7" w14:paraId="5710686A" w14:textId="1999E48F">
      <w:pPr>
        <w:pStyle w:val="NormalWeb"/>
        <w:rPr>
          <w:color w:val="000000"/>
          <w:sz w:val="27"/>
          <w:szCs w:val="27"/>
        </w:rPr>
      </w:pPr>
      <w:r>
        <w:rPr>
          <w:color w:val="000000"/>
          <w:sz w:val="27"/>
          <w:szCs w:val="27"/>
        </w:rPr>
        <w:t>· Rural County Representatives of California (RCRC):  bhayes@rcrcnet.org, lkammerich@rcrcnet.org, pblacklock@rcrcnet.org, sheaton@rcrcnet.org, trhine@rcrcnet.org</w:t>
      </w:r>
    </w:p>
    <w:p w:rsidR="000A18D7" w:rsidP="000A18D7" w:rsidRDefault="000A18D7" w14:paraId="2B82803A" w14:textId="3FE2089B">
      <w:pPr>
        <w:pStyle w:val="NormalWeb"/>
        <w:rPr>
          <w:color w:val="000000"/>
          <w:sz w:val="27"/>
          <w:szCs w:val="27"/>
        </w:rPr>
      </w:pPr>
      <w:r>
        <w:rPr>
          <w:color w:val="000000"/>
          <w:sz w:val="27"/>
          <w:szCs w:val="27"/>
        </w:rPr>
        <w:t>· County Counsels’ Association of California: jhenning@counties.org</w:t>
      </w:r>
    </w:p>
    <w:p w:rsidR="000A18D7" w:rsidP="000A18D7" w:rsidRDefault="000A18D7" w14:paraId="254A6BC5" w14:textId="6E83E625">
      <w:pPr>
        <w:pStyle w:val="NormalWeb"/>
        <w:rPr>
          <w:color w:val="000000"/>
          <w:sz w:val="27"/>
          <w:szCs w:val="27"/>
        </w:rPr>
      </w:pPr>
      <w:r>
        <w:rPr>
          <w:color w:val="000000"/>
          <w:sz w:val="27"/>
          <w:szCs w:val="27"/>
        </w:rPr>
        <w:t>· California Association of Councils of Government (CALCOG): bhiggins@calcog.org, nzoma@calcog.org</w:t>
      </w:r>
    </w:p>
    <w:p w:rsidR="000A18D7" w:rsidP="000A18D7" w:rsidRDefault="000A18D7" w14:paraId="7DE7778B" w14:textId="4EC2E968">
      <w:pPr>
        <w:pStyle w:val="NormalWeb"/>
        <w:rPr>
          <w:color w:val="000000"/>
          <w:sz w:val="27"/>
          <w:szCs w:val="27"/>
        </w:rPr>
      </w:pPr>
      <w:r>
        <w:rPr>
          <w:color w:val="000000"/>
          <w:sz w:val="27"/>
          <w:szCs w:val="27"/>
        </w:rPr>
        <w:t xml:space="preserve">· County Counsels: donna.ziegler@acgov.org, charlesmckee@gmail.com, ggillott@amadorgov.org, bstephens@buttecounty.net, thomas.geiger@cc.cccounty.us, joelcampbell@co.del-norte.ca.us, david.livingston@edcgov.us, dcederborg@fresnocountyca.gov, erichavens@co.imperial.ca.us, jcvallejo@inyocounty.us, mraison@kerncounty.com, diane.freeman@co.kings.ca.us, dharrison@counsel.lacounty.gov, regina.garza@co.madera.ca.gov, bwashington@marincounty.org, sdahlem@mariposacounty.org, forrest.hansen@countyofmerced.com, margaret@prenticelongpc.com, ssimon@mono.ca.gov, girardlj@co.monterey.ca.us, sedwards@co.calaveras.ca.us, rstout@countyofcolusa.com, wvanasek@countyofglenn.net, smiles@co.humboldt.ca.us, anita.grant@lakecountyca.gov, Amanda@prenticelongpc.com, curtisc@mendocinocounty.org, fhansen@countyofmerced.com, thomas.zeleny@counyofnapa.org, kit.elliott@co.nevada.ca.us, leon.page@coco.ocgov.com, kschwab@placer.ca.gov, GretchenStuhr@countyofplumas.com, mintran@rivco.org, tom.bunton@cc.sbcounty.gov, Claudia.silva@sdcounty.ca.gov, paul.zarefsky@sfcityatty.org, kijohnson@sjgov.org, rvanmull@co.santa-barbara.ca.us, james.williams@cco.sccgov.org, Jason.Heath@santacruzcounty.us, rcruse@co.shasta.ca.us, travisl@saccounty.net, bthompson@cosb.us, </w:t>
      </w:r>
      <w:r>
        <w:rPr>
          <w:color w:val="000000"/>
          <w:sz w:val="27"/>
          <w:szCs w:val="27"/>
        </w:rPr>
        <w:lastRenderedPageBreak/>
        <w:t>rneal@co.slo.ca.us, jnibbelin@smcgov.org, David@prenticelongpc.com, ekiernan@co.siskiyou.ca.us</w:t>
      </w:r>
    </w:p>
    <w:p w:rsidR="000A18D7" w:rsidP="000A18D7" w:rsidRDefault="000A18D7" w14:paraId="7F9E5915" w14:textId="77777777">
      <w:pPr>
        <w:pStyle w:val="NormalWeb"/>
        <w:jc w:val="center"/>
        <w:rPr>
          <w:color w:val="000000"/>
          <w:sz w:val="27"/>
          <w:szCs w:val="27"/>
        </w:rPr>
      </w:pPr>
      <w:r>
        <w:rPr>
          <w:color w:val="000000"/>
          <w:sz w:val="27"/>
          <w:szCs w:val="27"/>
        </w:rPr>
        <w:t>(END OF APPENDIX A)</w:t>
      </w:r>
    </w:p>
    <w:p w:rsidRPr="00714CF2" w:rsidR="000A18D7" w:rsidP="00816E05" w:rsidRDefault="000A18D7" w14:paraId="766D7A6E" w14:textId="77777777"/>
    <w:sectPr w:rsidRPr="00714CF2" w:rsidR="000A18D7" w:rsidSect="00D802F3">
      <w:headerReference w:type="default" r:id="rId14"/>
      <w:footerReference w:type="default" r:id="rId15"/>
      <w:footerReference w:type="first" r:id="rId16"/>
      <w:pgSz w:w="12240" w:h="15840"/>
      <w:pgMar w:top="1728" w:right="1440" w:bottom="189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F083B0" w14:textId="77777777" w:rsidR="008D5380" w:rsidRDefault="008D5380" w:rsidP="0098138E">
      <w:pPr>
        <w:spacing w:line="240" w:lineRule="auto"/>
      </w:pPr>
      <w:r>
        <w:separator/>
      </w:r>
    </w:p>
  </w:endnote>
  <w:endnote w:type="continuationSeparator" w:id="0">
    <w:p w14:paraId="286AA60E" w14:textId="77777777" w:rsidR="008D5380" w:rsidRDefault="008D5380" w:rsidP="0098138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charset w:val="00"/>
    <w:family w:val="roman"/>
    <w:pitch w:val="variable"/>
    <w:sig w:usb0="00000007" w:usb1="00000000" w:usb2="00000000" w:usb3="00000000" w:csb0="00000093"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13EF6B" w14:textId="77777777" w:rsidR="00E23CBB" w:rsidRDefault="00E23CBB" w:rsidP="007E0FEE">
    <w:pPr>
      <w:ind w:firstLine="0"/>
      <w:jc w:val="center"/>
    </w:pPr>
    <w:r>
      <w:t>-</w:t>
    </w:r>
    <w:sdt>
      <w:sdtPr>
        <w:id w:val="-1034043401"/>
        <w:docPartObj>
          <w:docPartGallery w:val="Page Numbers (Bottom of Page)"/>
          <w:docPartUnique/>
        </w:docPartObj>
      </w:sdtPr>
      <w:sdtEndPr>
        <w:rPr>
          <w:noProof/>
        </w:rPr>
      </w:sdtEndPr>
      <w:sdtContent>
        <w:r w:rsidR="00EE4315">
          <w:t xml:space="preserve"> </w:t>
        </w:r>
        <w:r>
          <w:fldChar w:fldCharType="begin"/>
        </w:r>
        <w:r>
          <w:instrText xml:space="preserve"> PAGE   \* MERGEFORMAT </w:instrText>
        </w:r>
        <w:r>
          <w:fldChar w:fldCharType="separate"/>
        </w:r>
        <w:r>
          <w:rPr>
            <w:noProof/>
          </w:rPr>
          <w:t>2</w:t>
        </w:r>
        <w:r>
          <w:rPr>
            <w:noProof/>
          </w:rPr>
          <w:fldChar w:fldCharType="end"/>
        </w:r>
        <w:r w:rsidR="00EE4315">
          <w:rPr>
            <w:noProof/>
          </w:rPr>
          <w:t xml:space="preserve"> </w:t>
        </w:r>
        <w:r>
          <w:rPr>
            <w:noProof/>
          </w:rPr>
          <w:t>-</w:t>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615535B" w14:textId="108466A0" w:rsidR="004E352A" w:rsidRPr="004E352A" w:rsidRDefault="002509A4" w:rsidP="004E352A">
    <w:pPr>
      <w:pStyle w:val="Footer"/>
      <w:ind w:firstLine="0"/>
      <w:rPr>
        <w:sz w:val="22"/>
      </w:rPr>
    </w:pPr>
    <w:r w:rsidRPr="002509A4">
      <w:rPr>
        <w:rFonts w:cs="Calibri"/>
        <w:sz w:val="16"/>
        <w:szCs w:val="16"/>
      </w:rPr>
      <w:t>534685783</w:t>
    </w:r>
    <w:r w:rsidR="004E352A" w:rsidRPr="004E352A">
      <w:rPr>
        <w:rFonts w:cs="Calibri"/>
        <w:sz w:val="22"/>
      </w:rPr>
      <w:tab/>
      <w:t xml:space="preserve">- 1 -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7B30F37" w14:textId="77777777" w:rsidR="008D5380" w:rsidRDefault="008D5380" w:rsidP="00DF58E7">
      <w:pPr>
        <w:spacing w:line="240" w:lineRule="auto"/>
        <w:ind w:firstLine="0"/>
      </w:pPr>
      <w:r>
        <w:separator/>
      </w:r>
    </w:p>
  </w:footnote>
  <w:footnote w:type="continuationSeparator" w:id="0">
    <w:p w14:paraId="0EC4902D" w14:textId="77777777" w:rsidR="008D5380" w:rsidRDefault="008D5380" w:rsidP="00DF58E7">
      <w:pPr>
        <w:spacing w:line="240" w:lineRule="auto"/>
        <w:ind w:firstLine="0"/>
      </w:pPr>
      <w:r>
        <w:continuationSeparator/>
      </w:r>
    </w:p>
  </w:footnote>
  <w:footnote w:type="continuationNotice" w:id="1">
    <w:p w14:paraId="7B0948EC" w14:textId="77777777" w:rsidR="008D5380" w:rsidRPr="00DF58E7" w:rsidRDefault="008D5380" w:rsidP="00DF58E7">
      <w:pPr>
        <w:spacing w:line="240" w:lineRule="auto"/>
        <w:ind w:firstLine="0"/>
        <w:jc w:val="right"/>
        <w:rPr>
          <w:i/>
          <w:sz w:val="22"/>
        </w:rPr>
      </w:pPr>
      <w:r w:rsidRPr="00DF58E7">
        <w:rPr>
          <w:i/>
          <w:sz w:val="22"/>
        </w:rPr>
        <w:t xml:space="preserve">Footnote </w:t>
      </w:r>
      <w:proofErr w:type="gramStart"/>
      <w:r w:rsidRPr="00DF58E7">
        <w:rPr>
          <w:i/>
          <w:sz w:val="22"/>
        </w:rPr>
        <w:t>continued on</w:t>
      </w:r>
      <w:proofErr w:type="gramEnd"/>
      <w:r w:rsidRPr="00DF58E7">
        <w:rPr>
          <w:i/>
          <w:sz w:val="22"/>
        </w:rPr>
        <w:t xml:space="preserve"> next page.</w:t>
      </w:r>
    </w:p>
  </w:footnote>
  <w:footnote w:id="2">
    <w:p w14:paraId="6DC32E0B" w14:textId="77777777" w:rsidR="007C3A82" w:rsidRDefault="007C3A82" w:rsidP="007C3A82">
      <w:pPr>
        <w:pStyle w:val="FootnoteText"/>
      </w:pPr>
      <w:r>
        <w:rPr>
          <w:rStyle w:val="FootnoteReference"/>
        </w:rPr>
        <w:footnoteRef/>
      </w:r>
      <w:r>
        <w:t xml:space="preserve"> </w:t>
      </w:r>
      <w:r w:rsidRPr="00362483">
        <w:t>Stats. 1994, Ch. 278 (Polanco and Moore)</w:t>
      </w:r>
    </w:p>
  </w:footnote>
  <w:footnote w:id="3">
    <w:p w14:paraId="31FC2D81" w14:textId="7B67F118" w:rsidR="0059056D" w:rsidRDefault="0059056D" w:rsidP="0059056D">
      <w:pPr>
        <w:pStyle w:val="FootnoteText"/>
      </w:pPr>
      <w:r>
        <w:rPr>
          <w:rStyle w:val="FootnoteReference"/>
        </w:rPr>
        <w:footnoteRef/>
      </w:r>
      <w:r>
        <w:t xml:space="preserve"> D.96-10-066 at 109.</w:t>
      </w:r>
      <w:r w:rsidRPr="0059056D">
        <w:rPr>
          <w:rFonts w:cs="Times New Roman"/>
          <w:color w:val="000000"/>
          <w:szCs w:val="22"/>
          <w:shd w:val="clear" w:color="auto" w:fill="FFFFFF"/>
        </w:rPr>
        <w:t xml:space="preserve"> </w:t>
      </w:r>
      <w:r w:rsidRPr="00C17454">
        <w:rPr>
          <w:rFonts w:cs="Times New Roman"/>
          <w:color w:val="000000"/>
          <w:szCs w:val="22"/>
          <w:shd w:val="clear" w:color="auto" w:fill="FFFFFF"/>
        </w:rPr>
        <w:t xml:space="preserve">Residential Basic Telephone Service, or “basic service” </w:t>
      </w:r>
      <w:r>
        <w:rPr>
          <w:rFonts w:cs="Times New Roman"/>
          <w:color w:val="000000"/>
          <w:szCs w:val="22"/>
          <w:shd w:val="clear" w:color="auto" w:fill="FFFFFF"/>
        </w:rPr>
        <w:t xml:space="preserve">currently </w:t>
      </w:r>
      <w:r w:rsidRPr="00C17454">
        <w:rPr>
          <w:rFonts w:cs="Times New Roman"/>
          <w:color w:val="000000"/>
          <w:szCs w:val="22"/>
          <w:shd w:val="clear" w:color="auto" w:fill="FFFFFF"/>
        </w:rPr>
        <w:t xml:space="preserve">involves at a minimum, that nine service elements must be offered on a nondiscriminatory basis by any carrier providing within California, including </w:t>
      </w:r>
      <w:r w:rsidRPr="00C17454">
        <w:rPr>
          <w:rFonts w:eastAsia="Century Gothic" w:cs="Times New Roman"/>
          <w:szCs w:val="22"/>
          <w:lang w:val="en-ZW"/>
        </w:rPr>
        <w:t xml:space="preserve">Lifeline rates for eligible customers, free access to 9-1-1, Telephone Relay Service, and directory and operator services. </w:t>
      </w:r>
      <w:r w:rsidRPr="00C17454">
        <w:rPr>
          <w:rFonts w:cs="Times New Roman"/>
          <w:color w:val="000000"/>
          <w:szCs w:val="22"/>
          <w:shd w:val="clear" w:color="auto" w:fill="FFFFFF"/>
        </w:rPr>
        <w:t>Any carrier may use any technology to satisfy any obligation to provide basic service.</w:t>
      </w:r>
      <w:r>
        <w:rPr>
          <w:rFonts w:cs="Times New Roman"/>
          <w:color w:val="000000"/>
          <w:szCs w:val="22"/>
          <w:shd w:val="clear" w:color="auto" w:fill="FFFFFF"/>
        </w:rPr>
        <w:t xml:space="preserve"> </w:t>
      </w:r>
      <w:r w:rsidRPr="00E8780F">
        <w:rPr>
          <w:rFonts w:cs="Times New Roman"/>
          <w:color w:val="000000"/>
          <w:szCs w:val="22"/>
          <w:shd w:val="clear" w:color="auto" w:fill="FFFFFF"/>
        </w:rPr>
        <w:t>Avai</w:t>
      </w:r>
      <w:r w:rsidRPr="003B02EB">
        <w:rPr>
          <w:rFonts w:cs="Times New Roman"/>
          <w:color w:val="000000"/>
          <w:szCs w:val="22"/>
          <w:shd w:val="clear" w:color="auto" w:fill="FFFFFF"/>
        </w:rPr>
        <w:t>la</w:t>
      </w:r>
      <w:r>
        <w:rPr>
          <w:rFonts w:cs="Times New Roman"/>
          <w:color w:val="000000"/>
          <w:szCs w:val="22"/>
          <w:shd w:val="clear" w:color="auto" w:fill="FFFFFF"/>
        </w:rPr>
        <w:t xml:space="preserve">ble as of this writing at: </w:t>
      </w:r>
      <w:r w:rsidRPr="00E8780F">
        <w:rPr>
          <w:rFonts w:cs="Times New Roman"/>
          <w:color w:val="000000"/>
          <w:szCs w:val="22"/>
          <w:shd w:val="clear" w:color="auto" w:fill="FFFFFF"/>
        </w:rPr>
        <w:t xml:space="preserve"> </w:t>
      </w:r>
      <w:proofErr w:type="gramStart"/>
      <w:r w:rsidRPr="00E8780F">
        <w:rPr>
          <w:rStyle w:val="Hyperlink"/>
          <w:rFonts w:eastAsia="Century Gothic" w:cs="Times New Roman"/>
          <w:szCs w:val="22"/>
        </w:rPr>
        <w:t xml:space="preserve">https://www.cpuc.ca.gov/industries-and-topics/internet-and-phone/broadband-mapping-program/broadband-public-feedback/basic-service-definition </w:t>
      </w:r>
      <w:r w:rsidRPr="00E8780F">
        <w:rPr>
          <w:rFonts w:cs="Times New Roman"/>
          <w:szCs w:val="22"/>
        </w:rPr>
        <w:t>.</w:t>
      </w:r>
      <w:proofErr w:type="gramEnd"/>
    </w:p>
  </w:footnote>
  <w:footnote w:id="4">
    <w:p w14:paraId="398BCD63" w14:textId="444B84FD" w:rsidR="00C173AB" w:rsidRPr="00C173AB" w:rsidRDefault="00C173AB">
      <w:pPr>
        <w:pStyle w:val="FootnoteText"/>
      </w:pPr>
      <w:r w:rsidRPr="00384760">
        <w:rPr>
          <w:rStyle w:val="FootnoteReference"/>
        </w:rPr>
        <w:footnoteRef/>
      </w:r>
      <w:r w:rsidRPr="00384760">
        <w:t xml:space="preserve"> </w:t>
      </w:r>
      <w:r w:rsidRPr="00384760">
        <w:rPr>
          <w:i/>
          <w:iCs/>
        </w:rPr>
        <w:t>Id.</w:t>
      </w:r>
      <w:r w:rsidR="00384760">
        <w:rPr>
          <w:i/>
          <w:iCs/>
        </w:rPr>
        <w:t>,</w:t>
      </w:r>
      <w:r w:rsidRPr="00384760">
        <w:rPr>
          <w:i/>
          <w:iCs/>
        </w:rPr>
        <w:t xml:space="preserve"> </w:t>
      </w:r>
      <w:r w:rsidRPr="00384760">
        <w:t xml:space="preserve">at </w:t>
      </w:r>
      <w:r w:rsidR="00384760" w:rsidRPr="00384760">
        <w:t>193</w:t>
      </w:r>
      <w:r w:rsidRPr="00384760">
        <w:t>.</w:t>
      </w:r>
    </w:p>
  </w:footnote>
  <w:footnote w:id="5">
    <w:p w14:paraId="2B2E5624" w14:textId="2039B5F4" w:rsidR="00EC1F05" w:rsidRPr="00AD4B23" w:rsidRDefault="00EC1F05" w:rsidP="00EC1F05">
      <w:pPr>
        <w:pStyle w:val="FootnoteText"/>
        <w:rPr>
          <w:szCs w:val="22"/>
        </w:rPr>
      </w:pPr>
      <w:r w:rsidRPr="00AD4B23">
        <w:rPr>
          <w:rStyle w:val="FootnoteReference"/>
          <w:szCs w:val="22"/>
        </w:rPr>
        <w:footnoteRef/>
      </w:r>
      <w:r w:rsidRPr="00AD4B23">
        <w:rPr>
          <w:szCs w:val="22"/>
        </w:rPr>
        <w:t xml:space="preserve"> </w:t>
      </w:r>
      <w:r w:rsidRPr="00AD4B23">
        <w:rPr>
          <w:i/>
          <w:iCs/>
          <w:szCs w:val="22"/>
        </w:rPr>
        <w:t>Id</w:t>
      </w:r>
      <w:r w:rsidRPr="00AD4B23">
        <w:rPr>
          <w:szCs w:val="22"/>
        </w:rPr>
        <w:t>.</w:t>
      </w:r>
      <w:r w:rsidR="00384760" w:rsidRPr="00AD4B23">
        <w:rPr>
          <w:szCs w:val="22"/>
        </w:rPr>
        <w:t>,</w:t>
      </w:r>
      <w:r w:rsidRPr="00AD4B23">
        <w:rPr>
          <w:szCs w:val="22"/>
        </w:rPr>
        <w:t xml:space="preserve"> at 163.</w:t>
      </w:r>
    </w:p>
  </w:footnote>
  <w:footnote w:id="6">
    <w:p w14:paraId="3866E123" w14:textId="5F586A93" w:rsidR="009977F2" w:rsidRPr="00C17454" w:rsidRDefault="009977F2" w:rsidP="00C17454">
      <w:pPr>
        <w:pStyle w:val="FootnoteText"/>
        <w:rPr>
          <w:szCs w:val="22"/>
        </w:rPr>
      </w:pPr>
      <w:r>
        <w:rPr>
          <w:rStyle w:val="FootnoteReference"/>
        </w:rPr>
        <w:footnoteRef/>
      </w:r>
      <w:r>
        <w:t xml:space="preserve"> </w:t>
      </w:r>
      <w:r w:rsidR="00C17454" w:rsidRPr="00CF3989">
        <w:rPr>
          <w:i/>
          <w:iCs/>
        </w:rPr>
        <w:t>See,</w:t>
      </w:r>
      <w:r w:rsidR="00C17454">
        <w:t xml:space="preserve"> D.12-12-038 at Appendix A. The elements of basic service </w:t>
      </w:r>
      <w:r w:rsidRPr="003A7A17">
        <w:t>include the following:</w:t>
      </w:r>
    </w:p>
    <w:p w14:paraId="5DD7C78A" w14:textId="77777777" w:rsidR="009977F2" w:rsidRPr="003A7A17" w:rsidRDefault="009977F2" w:rsidP="00F06D9F">
      <w:pPr>
        <w:pStyle w:val="Standard"/>
        <w:spacing w:line="240" w:lineRule="auto"/>
        <w:ind w:firstLine="360"/>
        <w:rPr>
          <w:sz w:val="22"/>
        </w:rPr>
      </w:pPr>
      <w:r w:rsidRPr="003A7A17">
        <w:rPr>
          <w:sz w:val="22"/>
        </w:rPr>
        <w:t xml:space="preserve">• Offering customers the ability to place and receive voice-grade calls over all distances utilizing the public switched telephone network or successor </w:t>
      </w:r>
      <w:proofErr w:type="gramStart"/>
      <w:r w:rsidRPr="003A7A17">
        <w:rPr>
          <w:sz w:val="22"/>
        </w:rPr>
        <w:t>network;</w:t>
      </w:r>
      <w:proofErr w:type="gramEnd"/>
      <w:r w:rsidRPr="003A7A17">
        <w:rPr>
          <w:sz w:val="22"/>
        </w:rPr>
        <w:t xml:space="preserve"> </w:t>
      </w:r>
    </w:p>
    <w:p w14:paraId="3A0EF271" w14:textId="77777777" w:rsidR="009977F2" w:rsidRPr="003A7A17" w:rsidRDefault="009977F2" w:rsidP="00F06D9F">
      <w:pPr>
        <w:pStyle w:val="Standard"/>
        <w:spacing w:line="240" w:lineRule="auto"/>
        <w:ind w:firstLine="360"/>
        <w:rPr>
          <w:sz w:val="22"/>
        </w:rPr>
      </w:pPr>
      <w:r w:rsidRPr="003A7A17">
        <w:rPr>
          <w:sz w:val="22"/>
        </w:rPr>
        <w:t xml:space="preserve">• Free access to 9-1-1/Enhanced (E) 9-1-1 </w:t>
      </w:r>
      <w:proofErr w:type="gramStart"/>
      <w:r w:rsidRPr="003A7A17">
        <w:rPr>
          <w:sz w:val="22"/>
        </w:rPr>
        <w:t>service;</w:t>
      </w:r>
      <w:proofErr w:type="gramEnd"/>
    </w:p>
    <w:p w14:paraId="6A77B5CF" w14:textId="77777777" w:rsidR="009977F2" w:rsidRPr="003A7A17" w:rsidRDefault="009977F2" w:rsidP="00F06D9F">
      <w:pPr>
        <w:pStyle w:val="Standard"/>
        <w:spacing w:line="240" w:lineRule="auto"/>
        <w:ind w:firstLine="360"/>
        <w:rPr>
          <w:sz w:val="22"/>
        </w:rPr>
      </w:pPr>
      <w:r w:rsidRPr="003A7A17">
        <w:rPr>
          <w:sz w:val="22"/>
        </w:rPr>
        <w:t xml:space="preserve">•  Access to directory </w:t>
      </w:r>
      <w:proofErr w:type="gramStart"/>
      <w:r w:rsidRPr="003A7A17">
        <w:rPr>
          <w:sz w:val="22"/>
        </w:rPr>
        <w:t>services;</w:t>
      </w:r>
      <w:proofErr w:type="gramEnd"/>
    </w:p>
    <w:p w14:paraId="0D86C176" w14:textId="77777777" w:rsidR="009977F2" w:rsidRPr="003A7A17" w:rsidRDefault="009977F2" w:rsidP="00F06D9F">
      <w:pPr>
        <w:pStyle w:val="Standard"/>
        <w:spacing w:line="240" w:lineRule="auto"/>
        <w:ind w:firstLine="360"/>
        <w:rPr>
          <w:sz w:val="22"/>
        </w:rPr>
      </w:pPr>
      <w:r w:rsidRPr="003A7A17">
        <w:rPr>
          <w:sz w:val="22"/>
        </w:rPr>
        <w:t xml:space="preserve">•  Billing </w:t>
      </w:r>
      <w:proofErr w:type="gramStart"/>
      <w:r w:rsidRPr="003A7A17">
        <w:rPr>
          <w:sz w:val="22"/>
        </w:rPr>
        <w:t>Provisions;</w:t>
      </w:r>
      <w:proofErr w:type="gramEnd"/>
    </w:p>
    <w:p w14:paraId="05B877A1" w14:textId="77777777" w:rsidR="009977F2" w:rsidRPr="003A7A17" w:rsidRDefault="009977F2" w:rsidP="00F06D9F">
      <w:pPr>
        <w:pStyle w:val="Standard"/>
        <w:spacing w:line="240" w:lineRule="auto"/>
        <w:ind w:firstLine="360"/>
        <w:rPr>
          <w:sz w:val="22"/>
        </w:rPr>
      </w:pPr>
      <w:r w:rsidRPr="003A7A17">
        <w:rPr>
          <w:sz w:val="22"/>
        </w:rPr>
        <w:t xml:space="preserve">•  Access to 800 and 8YY Toll-Free </w:t>
      </w:r>
      <w:proofErr w:type="gramStart"/>
      <w:r w:rsidRPr="003A7A17">
        <w:rPr>
          <w:sz w:val="22"/>
        </w:rPr>
        <w:t>Services;</w:t>
      </w:r>
      <w:proofErr w:type="gramEnd"/>
    </w:p>
    <w:p w14:paraId="10D211F7" w14:textId="77777777" w:rsidR="009977F2" w:rsidRPr="003A7A17" w:rsidRDefault="009977F2" w:rsidP="00F06D9F">
      <w:pPr>
        <w:pStyle w:val="Standard"/>
        <w:spacing w:line="240" w:lineRule="auto"/>
        <w:ind w:firstLine="360"/>
        <w:rPr>
          <w:sz w:val="22"/>
        </w:rPr>
      </w:pPr>
      <w:r w:rsidRPr="003A7A17">
        <w:rPr>
          <w:sz w:val="22"/>
        </w:rPr>
        <w:t xml:space="preserve">•  Access to Telephone Relay Service as provided for in Pub. Util. Code, § </w:t>
      </w:r>
      <w:proofErr w:type="gramStart"/>
      <w:r w:rsidRPr="003A7A17">
        <w:rPr>
          <w:sz w:val="22"/>
        </w:rPr>
        <w:t>2881;</w:t>
      </w:r>
      <w:proofErr w:type="gramEnd"/>
    </w:p>
    <w:p w14:paraId="6607E63A" w14:textId="77777777" w:rsidR="009977F2" w:rsidRPr="003A7A17" w:rsidRDefault="009977F2" w:rsidP="00F06D9F">
      <w:pPr>
        <w:pStyle w:val="Standard"/>
        <w:spacing w:line="240" w:lineRule="auto"/>
        <w:ind w:firstLine="360"/>
        <w:rPr>
          <w:sz w:val="22"/>
        </w:rPr>
      </w:pPr>
      <w:r w:rsidRPr="003A7A17">
        <w:rPr>
          <w:sz w:val="22"/>
        </w:rPr>
        <w:t xml:space="preserve">•  Free access to customer service for information about Universal Lifeline Telephone Service (ULTS) service activation, service termination, service repair and bill </w:t>
      </w:r>
      <w:proofErr w:type="gramStart"/>
      <w:r w:rsidRPr="003A7A17">
        <w:rPr>
          <w:sz w:val="22"/>
        </w:rPr>
        <w:t>inquiries;</w:t>
      </w:r>
      <w:proofErr w:type="gramEnd"/>
    </w:p>
    <w:p w14:paraId="5818336F" w14:textId="77777777" w:rsidR="009977F2" w:rsidRPr="003A7A17" w:rsidRDefault="009977F2" w:rsidP="00F06D9F">
      <w:pPr>
        <w:pStyle w:val="Standard"/>
        <w:spacing w:line="240" w:lineRule="auto"/>
        <w:ind w:firstLine="360"/>
        <w:rPr>
          <w:sz w:val="22"/>
        </w:rPr>
      </w:pPr>
      <w:r w:rsidRPr="003A7A17">
        <w:rPr>
          <w:sz w:val="22"/>
        </w:rPr>
        <w:t>•  One-time free blocking for information services, and one-time billing adjustments for charges incurred inadvertently, mistakenly, or without authorization; and</w:t>
      </w:r>
    </w:p>
    <w:p w14:paraId="6B598E1C" w14:textId="7E662585" w:rsidR="009977F2" w:rsidRPr="00AD4B23" w:rsidRDefault="009977F2" w:rsidP="00F06D9F">
      <w:pPr>
        <w:pStyle w:val="FootnoteText"/>
        <w:spacing w:after="0"/>
        <w:ind w:firstLine="360"/>
        <w:rPr>
          <w:szCs w:val="22"/>
        </w:rPr>
      </w:pPr>
      <w:r w:rsidRPr="00AD4B23">
        <w:rPr>
          <w:szCs w:val="22"/>
        </w:rPr>
        <w:t>•  Access to operator services</w:t>
      </w:r>
      <w:r>
        <w:rPr>
          <w:szCs w:val="22"/>
        </w:rPr>
        <w:t>.</w:t>
      </w:r>
    </w:p>
  </w:footnote>
  <w:footnote w:id="7">
    <w:p w14:paraId="40D7BE20" w14:textId="5F1648F5" w:rsidR="0059056D" w:rsidRDefault="0059056D">
      <w:pPr>
        <w:pStyle w:val="FootnoteText"/>
      </w:pPr>
      <w:r>
        <w:rPr>
          <w:rStyle w:val="FootnoteReference"/>
        </w:rPr>
        <w:footnoteRef/>
      </w:r>
      <w:r>
        <w:t xml:space="preserve"> </w:t>
      </w:r>
      <w:r w:rsidRPr="0059056D">
        <w:t>D.96-10-066 at 109.</w:t>
      </w:r>
    </w:p>
  </w:footnote>
  <w:footnote w:id="8">
    <w:p w14:paraId="76E19A28" w14:textId="2810A239" w:rsidR="000C093B" w:rsidRDefault="000C093B" w:rsidP="000C093B">
      <w:pPr>
        <w:pStyle w:val="FootnoteText"/>
      </w:pPr>
      <w:r>
        <w:rPr>
          <w:rStyle w:val="FootnoteReference"/>
        </w:rPr>
        <w:footnoteRef/>
      </w:r>
      <w:r>
        <w:t xml:space="preserve"> </w:t>
      </w:r>
      <w:r w:rsidR="0059056D" w:rsidRPr="0059056D">
        <w:rPr>
          <w:i/>
          <w:iCs/>
        </w:rPr>
        <w:t>Id</w:t>
      </w:r>
      <w:r w:rsidR="0059056D">
        <w:t xml:space="preserve">., </w:t>
      </w:r>
      <w:r>
        <w:t>at Appendix B</w:t>
      </w:r>
      <w:r w:rsidR="004C1CF7">
        <w:t>,</w:t>
      </w:r>
      <w:r>
        <w:t xml:space="preserve"> Adopted Universal Service Rules Part 6.D.2.</w:t>
      </w:r>
    </w:p>
  </w:footnote>
  <w:footnote w:id="9">
    <w:p w14:paraId="1CDA8BD8" w14:textId="1BFEC766" w:rsidR="00CF3989" w:rsidRDefault="00CF3989" w:rsidP="00CF3989">
      <w:pPr>
        <w:pStyle w:val="FootnoteText"/>
      </w:pPr>
      <w:r>
        <w:rPr>
          <w:rStyle w:val="FootnoteReference"/>
        </w:rPr>
        <w:footnoteRef/>
      </w:r>
      <w:r>
        <w:t xml:space="preserve"> </w:t>
      </w:r>
      <w:r w:rsidR="00A66032" w:rsidRPr="00EF59B3">
        <w:rPr>
          <w:i/>
          <w:iCs/>
        </w:rPr>
        <w:t>Id</w:t>
      </w:r>
      <w:r w:rsidR="00A66032">
        <w:t xml:space="preserve">., </w:t>
      </w:r>
      <w:r>
        <w:t>at 109.</w:t>
      </w:r>
    </w:p>
  </w:footnote>
  <w:footnote w:id="10">
    <w:p w14:paraId="60AFABB6" w14:textId="3709DA13" w:rsidR="007C3A82" w:rsidRDefault="007C3A82" w:rsidP="007C3A82">
      <w:pPr>
        <w:pStyle w:val="FootnoteText"/>
      </w:pPr>
      <w:r>
        <w:rPr>
          <w:rStyle w:val="FootnoteReference"/>
        </w:rPr>
        <w:footnoteRef/>
      </w:r>
      <w:r>
        <w:t xml:space="preserve"> </w:t>
      </w:r>
      <w:r w:rsidR="00637974" w:rsidRPr="00EF59B3">
        <w:rPr>
          <w:i/>
          <w:iCs/>
        </w:rPr>
        <w:t>Id</w:t>
      </w:r>
      <w:r w:rsidR="00637974">
        <w:t>.</w:t>
      </w:r>
    </w:p>
  </w:footnote>
  <w:footnote w:id="11">
    <w:p w14:paraId="57BDDB88" w14:textId="4FB1975F" w:rsidR="00CF3989" w:rsidRDefault="00CF3989" w:rsidP="00CF3989">
      <w:pPr>
        <w:pStyle w:val="FootnoteText"/>
      </w:pPr>
      <w:r>
        <w:rPr>
          <w:rStyle w:val="FootnoteReference"/>
        </w:rPr>
        <w:footnoteRef/>
      </w:r>
      <w:r>
        <w:t xml:space="preserve"> </w:t>
      </w:r>
      <w:r w:rsidR="00637974" w:rsidRPr="00EF59B3">
        <w:rPr>
          <w:i/>
          <w:iCs/>
        </w:rPr>
        <w:t>Id</w:t>
      </w:r>
      <w:r w:rsidR="00637974">
        <w:t>.,</w:t>
      </w:r>
      <w:r>
        <w:t xml:space="preserve"> at 163.</w:t>
      </w:r>
    </w:p>
  </w:footnote>
  <w:footnote w:id="12">
    <w:p w14:paraId="299BD27D" w14:textId="77777777" w:rsidR="00CF3989" w:rsidRDefault="00CF3989" w:rsidP="00CF3989">
      <w:pPr>
        <w:pStyle w:val="FootnoteText"/>
      </w:pPr>
      <w:r>
        <w:rPr>
          <w:rStyle w:val="FootnoteReference"/>
        </w:rPr>
        <w:footnoteRef/>
      </w:r>
      <w:r>
        <w:t xml:space="preserve"> </w:t>
      </w:r>
      <w:r w:rsidRPr="00EF59B3">
        <w:rPr>
          <w:i/>
          <w:iCs/>
        </w:rPr>
        <w:t>Id</w:t>
      </w:r>
      <w:r>
        <w:t>.</w:t>
      </w:r>
    </w:p>
  </w:footnote>
  <w:footnote w:id="13">
    <w:p w14:paraId="103E2B9E" w14:textId="6B08E73C" w:rsidR="003D7523" w:rsidRDefault="003D7523" w:rsidP="003D7523">
      <w:pPr>
        <w:pStyle w:val="FootnoteText"/>
      </w:pPr>
      <w:r>
        <w:rPr>
          <w:rStyle w:val="FootnoteReference"/>
        </w:rPr>
        <w:footnoteRef/>
      </w:r>
      <w:r>
        <w:t xml:space="preserve"> D. 96-10-066 uses interchangeably </w:t>
      </w:r>
      <w:r w:rsidRPr="00BB36E7">
        <w:t>service areas</w:t>
      </w:r>
      <w:r>
        <w:t xml:space="preserve">/territory and </w:t>
      </w:r>
      <w:r w:rsidRPr="00BB36E7">
        <w:t>geographic study areas</w:t>
      </w:r>
      <w:r>
        <w:t xml:space="preserve"> (</w:t>
      </w:r>
      <w:r w:rsidRPr="00BB36E7">
        <w:t>GSAs)</w:t>
      </w:r>
      <w:r>
        <w:t xml:space="preserve"> to refer to the geographic span a COLR in which a COLR offers service. </w:t>
      </w:r>
      <w:r w:rsidRPr="00637974">
        <w:rPr>
          <w:i/>
          <w:iCs/>
        </w:rPr>
        <w:t>See</w:t>
      </w:r>
      <w:r w:rsidR="00637974">
        <w:t>,</w:t>
      </w:r>
      <w:r>
        <w:t xml:space="preserve"> Finding of Fact 88, GSAs are census block groups. </w:t>
      </w:r>
    </w:p>
  </w:footnote>
  <w:footnote w:id="14">
    <w:p w14:paraId="54A4821C" w14:textId="107C48A9" w:rsidR="00E60784" w:rsidRDefault="00E60784" w:rsidP="00E60784">
      <w:pPr>
        <w:pStyle w:val="FootnoteText"/>
      </w:pPr>
      <w:r>
        <w:rPr>
          <w:rStyle w:val="FootnoteReference"/>
        </w:rPr>
        <w:footnoteRef/>
      </w:r>
      <w:r>
        <w:t xml:space="preserve"> </w:t>
      </w:r>
      <w:r w:rsidR="00EC1F05">
        <w:t>T</w:t>
      </w:r>
      <w:r>
        <w:t xml:space="preserve">he available CHCF-B support for residential basic service in California has </w:t>
      </w:r>
      <w:r w:rsidR="00637974">
        <w:t>decreased</w:t>
      </w:r>
      <w:r>
        <w:t xml:space="preserve"> since 1996, when it totaled $352 million per year for all carriers to $22 million in 2020–21.</w:t>
      </w:r>
    </w:p>
  </w:footnote>
  <w:footnote w:id="15">
    <w:p w14:paraId="35567008" w14:textId="0D679E93" w:rsidR="00D1441E" w:rsidRDefault="00D1441E">
      <w:pPr>
        <w:pStyle w:val="FootnoteText"/>
      </w:pPr>
      <w:r>
        <w:rPr>
          <w:rStyle w:val="FootnoteReference"/>
        </w:rPr>
        <w:footnoteRef/>
      </w:r>
      <w:r>
        <w:t xml:space="preserve"> </w:t>
      </w:r>
      <w:r w:rsidRPr="00D1441E">
        <w:t xml:space="preserve">The Small LECs consist of following </w:t>
      </w:r>
      <w:r w:rsidR="008C3A94">
        <w:t>thirteen</w:t>
      </w:r>
      <w:r w:rsidRPr="00D1441E">
        <w:t xml:space="preserve"> small Local Exchange Carriers: Kerman Telephone Co., Foresthill Telephone Co., Hornitos Telephone Company, Pinnacles Telephone Co., Volcano Telephone Company, Winterhaven Telephone Company, Happy Valley Telephone Company, Sierra Telephone Company, Inc., The Siskiyou Telephone Company, The Ponderosa Telephone Co., Calaveras Telephone Company, Cal-Ore Telephone Co., and Ducor Telephone Company.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C2134E" w14:textId="06A355B8" w:rsidR="00FE2351" w:rsidRDefault="008E2BBD" w:rsidP="00EE4315">
    <w:pPr>
      <w:pStyle w:val="Header"/>
      <w:tabs>
        <w:tab w:val="clear" w:pos="4680"/>
      </w:tabs>
      <w:ind w:firstLine="0"/>
      <w:rPr>
        <w:b/>
      </w:rPr>
    </w:pPr>
    <w:r w:rsidRPr="00A33E7D">
      <w:t>R.</w:t>
    </w:r>
    <w:r w:rsidR="00682CCA">
      <w:t>24-06-012</w:t>
    </w:r>
    <w:r>
      <w:t xml:space="preserve"> </w:t>
    </w:r>
    <w:r w:rsidR="00B53972">
      <w:t>ALJ/TJG/hma</w:t>
    </w:r>
    <w:r w:rsidR="00FE2351">
      <w:tab/>
    </w:r>
  </w:p>
  <w:p w14:paraId="66DE3A9E" w14:textId="2CB764B0" w:rsidR="00FE2351" w:rsidRPr="00B3087D" w:rsidRDefault="00FE2351" w:rsidP="00B3087D">
    <w:pPr>
      <w:pStyle w:val="Header"/>
      <w:tabs>
        <w:tab w:val="clear" w:pos="4680"/>
      </w:tabs>
      <w:ind w:firstLine="0"/>
      <w:rPr>
        <w:i/>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9"/>
    <w:multiLevelType w:val="singleLevel"/>
    <w:tmpl w:val="4A1C77B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46C1C14"/>
    <w:multiLevelType w:val="multilevel"/>
    <w:tmpl w:val="18F4A5AC"/>
    <w:styleLink w:val="FoFCoLOP"/>
    <w:lvl w:ilvl="0">
      <w:start w:val="1"/>
      <w:numFmt w:val="decimal"/>
      <w:pStyle w:val="OP"/>
      <w:lvlText w:val="%1."/>
      <w:lvlJc w:val="right"/>
      <w:pPr>
        <w:ind w:left="0" w:firstLine="540"/>
      </w:pPr>
      <w:rPr>
        <w:rFonts w:hint="default"/>
      </w:rPr>
    </w:lvl>
    <w:lvl w:ilvl="1">
      <w:start w:val="1"/>
      <w:numFmt w:val="lowerLetter"/>
      <w:lvlText w:val="(%2)"/>
      <w:lvlJc w:val="right"/>
      <w:pPr>
        <w:ind w:left="1152" w:hanging="72"/>
      </w:pPr>
      <w:rPr>
        <w:rFonts w:hint="default"/>
      </w:rPr>
    </w:lvl>
    <w:lvl w:ilvl="2">
      <w:start w:val="1"/>
      <w:numFmt w:val="none"/>
      <w:lvlText w:val=""/>
      <w:lvlJc w:val="left"/>
      <w:pPr>
        <w:ind w:left="720" w:firstLine="0"/>
      </w:pPr>
      <w:rPr>
        <w:rFonts w:hint="default"/>
      </w:rPr>
    </w:lvl>
    <w:lvl w:ilvl="3">
      <w:start w:val="1"/>
      <w:numFmt w:val="none"/>
      <w:lvlText w:val=""/>
      <w:lvlJc w:val="left"/>
      <w:pPr>
        <w:ind w:left="720" w:firstLine="0"/>
      </w:pPr>
      <w:rPr>
        <w:rFonts w:hint="default"/>
      </w:rPr>
    </w:lvl>
    <w:lvl w:ilvl="4">
      <w:start w:val="1"/>
      <w:numFmt w:val="none"/>
      <w:lvlText w:val=""/>
      <w:lvlJc w:val="left"/>
      <w:pPr>
        <w:ind w:left="720" w:firstLine="0"/>
      </w:pPr>
      <w:rPr>
        <w:rFonts w:hint="default"/>
      </w:rPr>
    </w:lvl>
    <w:lvl w:ilvl="5">
      <w:start w:val="1"/>
      <w:numFmt w:val="none"/>
      <w:lvlText w:val=""/>
      <w:lvlJc w:val="left"/>
      <w:pPr>
        <w:ind w:left="720" w:firstLine="0"/>
      </w:pPr>
      <w:rPr>
        <w:rFonts w:hint="default"/>
      </w:rPr>
    </w:lvl>
    <w:lvl w:ilvl="6">
      <w:start w:val="1"/>
      <w:numFmt w:val="none"/>
      <w:lvlText w:val=""/>
      <w:lvlJc w:val="left"/>
      <w:pPr>
        <w:ind w:left="720" w:firstLine="0"/>
      </w:pPr>
      <w:rPr>
        <w:rFonts w:hint="default"/>
      </w:rPr>
    </w:lvl>
    <w:lvl w:ilvl="7">
      <w:start w:val="1"/>
      <w:numFmt w:val="none"/>
      <w:lvlText w:val=""/>
      <w:lvlJc w:val="left"/>
      <w:pPr>
        <w:ind w:left="720" w:firstLine="0"/>
      </w:pPr>
      <w:rPr>
        <w:rFonts w:hint="default"/>
      </w:rPr>
    </w:lvl>
    <w:lvl w:ilvl="8">
      <w:start w:val="1"/>
      <w:numFmt w:val="none"/>
      <w:lvlText w:val=""/>
      <w:lvlJc w:val="left"/>
      <w:pPr>
        <w:ind w:left="720" w:firstLine="0"/>
      </w:pPr>
      <w:rPr>
        <w:rFonts w:hint="default"/>
      </w:rPr>
    </w:lvl>
  </w:abstractNum>
  <w:abstractNum w:abstractNumId="2" w15:restartNumberingAfterBreak="0">
    <w:nsid w:val="15F056CB"/>
    <w:multiLevelType w:val="multilevel"/>
    <w:tmpl w:val="18F4A5AC"/>
    <w:numStyleLink w:val="FoFCoLOP"/>
  </w:abstractNum>
  <w:abstractNum w:abstractNumId="3" w15:restartNumberingAfterBreak="0">
    <w:nsid w:val="1CD67F4B"/>
    <w:multiLevelType w:val="hybridMultilevel"/>
    <w:tmpl w:val="C2A26642"/>
    <w:lvl w:ilvl="0" w:tplc="7A988B5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D70038F"/>
    <w:multiLevelType w:val="multilevel"/>
    <w:tmpl w:val="3C526EDE"/>
    <w:numStyleLink w:val="Headings"/>
  </w:abstractNum>
  <w:abstractNum w:abstractNumId="5" w15:restartNumberingAfterBreak="0">
    <w:nsid w:val="1E2242C9"/>
    <w:multiLevelType w:val="multilevel"/>
    <w:tmpl w:val="3C526EDE"/>
    <w:numStyleLink w:val="Headings"/>
  </w:abstractNum>
  <w:abstractNum w:abstractNumId="6" w15:restartNumberingAfterBreak="0">
    <w:nsid w:val="21FB58FE"/>
    <w:multiLevelType w:val="multilevel"/>
    <w:tmpl w:val="3C526EDE"/>
    <w:numStyleLink w:val="Headings"/>
  </w:abstractNum>
  <w:abstractNum w:abstractNumId="7" w15:restartNumberingAfterBreak="0">
    <w:nsid w:val="243663A0"/>
    <w:multiLevelType w:val="multilevel"/>
    <w:tmpl w:val="3C526EDE"/>
    <w:numStyleLink w:val="Headings"/>
  </w:abstractNum>
  <w:abstractNum w:abstractNumId="8" w15:restartNumberingAfterBreak="0">
    <w:nsid w:val="2B8124D7"/>
    <w:multiLevelType w:val="multilevel"/>
    <w:tmpl w:val="3C526EDE"/>
    <w:numStyleLink w:val="Headings"/>
  </w:abstractNum>
  <w:abstractNum w:abstractNumId="9" w15:restartNumberingAfterBreak="0">
    <w:nsid w:val="331F6D42"/>
    <w:multiLevelType w:val="multilevel"/>
    <w:tmpl w:val="3C526EDE"/>
    <w:styleLink w:val="Headings"/>
    <w:lvl w:ilvl="0">
      <w:start w:val="1"/>
      <w:numFmt w:val="decimal"/>
      <w:pStyle w:val="Heading1"/>
      <w:lvlText w:val="%1."/>
      <w:lvlJc w:val="left"/>
      <w:pPr>
        <w:ind w:left="720" w:hanging="720"/>
      </w:pPr>
      <w:rPr>
        <w:rFonts w:ascii="Arial" w:hAnsi="Arial" w:hint="default"/>
        <w:b/>
        <w:i w:val="0"/>
        <w:caps w:val="0"/>
        <w:strike w:val="0"/>
        <w:dstrike w:val="0"/>
        <w:vanish w:val="0"/>
        <w:color w:val="auto"/>
        <w:kern w:val="0"/>
        <w:position w:val="0"/>
        <w:sz w:val="26"/>
        <w:u w:val="none"/>
        <w:vertAlign w:val="baseline"/>
        <w14:ligatures w14:val="none"/>
        <w14:numSpacing w14:val="default"/>
        <w14:cntxtAlts w14:val="0"/>
      </w:rPr>
    </w:lvl>
    <w:lvl w:ilvl="1">
      <w:start w:val="1"/>
      <w:numFmt w:val="decimal"/>
      <w:pStyle w:val="Heading2"/>
      <w:lvlText w:val="%1.%2."/>
      <w:lvlJc w:val="left"/>
      <w:pPr>
        <w:tabs>
          <w:tab w:val="num" w:pos="1080"/>
        </w:tabs>
        <w:ind w:left="1080" w:hanging="720"/>
      </w:pPr>
      <w:rPr>
        <w:rFonts w:ascii="Arial" w:hAnsi="Arial" w:hint="default"/>
        <w:b/>
        <w:i w:val="0"/>
        <w:caps w:val="0"/>
        <w:strike w:val="0"/>
        <w:dstrike w:val="0"/>
        <w:vanish w:val="0"/>
        <w:color w:val="auto"/>
        <w:kern w:val="0"/>
        <w:sz w:val="26"/>
        <w:u w:val="none"/>
        <w:vertAlign w:val="baseline"/>
        <w14:cntxtAlts w14:val="0"/>
      </w:rPr>
    </w:lvl>
    <w:lvl w:ilvl="2">
      <w:start w:val="1"/>
      <w:numFmt w:val="decimal"/>
      <w:pStyle w:val="Heading3"/>
      <w:lvlText w:val="%1.%2.%3."/>
      <w:lvlJc w:val="left"/>
      <w:pPr>
        <w:tabs>
          <w:tab w:val="num" w:pos="1656"/>
        </w:tabs>
        <w:ind w:left="1656" w:hanging="936"/>
      </w:pPr>
      <w:rPr>
        <w:rFonts w:ascii="Arial" w:hAnsi="Arial" w:hint="default"/>
        <w:b/>
        <w:i w:val="0"/>
        <w:caps w:val="0"/>
        <w:strike w:val="0"/>
        <w:dstrike w:val="0"/>
        <w:vanish w:val="0"/>
        <w:color w:val="auto"/>
        <w:kern w:val="0"/>
        <w:sz w:val="26"/>
        <w:u w:val="none"/>
        <w:vertAlign w:val="baseline"/>
        <w14:cntxtAlts w14:val="0"/>
      </w:rPr>
    </w:lvl>
    <w:lvl w:ilvl="3">
      <w:start w:val="1"/>
      <w:numFmt w:val="decimal"/>
      <w:pStyle w:val="Heading4"/>
      <w:lvlText w:val="%1.%2.%3.%4."/>
      <w:lvlJc w:val="left"/>
      <w:pPr>
        <w:tabs>
          <w:tab w:val="num" w:pos="2232"/>
        </w:tabs>
        <w:ind w:left="2232" w:hanging="1152"/>
      </w:pPr>
      <w:rPr>
        <w:rFonts w:ascii="Arial" w:hAnsi="Arial" w:hint="default"/>
        <w:b/>
        <w:i w:val="0"/>
        <w:caps w:val="0"/>
        <w:strike w:val="0"/>
        <w:dstrike w:val="0"/>
        <w:vanish w:val="0"/>
        <w:kern w:val="0"/>
        <w:sz w:val="26"/>
        <w:vertAlign w:val="baseline"/>
        <w14:cntxtAlts w14:val="0"/>
      </w:rPr>
    </w:lvl>
    <w:lvl w:ilvl="4">
      <w:start w:val="1"/>
      <w:numFmt w:val="decimal"/>
      <w:pStyle w:val="Heading5"/>
      <w:lvlText w:val="%1.%2.%3.%4.%5."/>
      <w:lvlJc w:val="left"/>
      <w:pPr>
        <w:tabs>
          <w:tab w:val="num" w:pos="2880"/>
        </w:tabs>
        <w:ind w:left="2880" w:hanging="1440"/>
      </w:pPr>
      <w:rPr>
        <w:rFonts w:ascii="Arial" w:hAnsi="Arial" w:hint="default"/>
        <w:b/>
        <w:i w:val="0"/>
        <w:sz w:val="26"/>
      </w:rPr>
    </w:lvl>
    <w:lvl w:ilvl="5">
      <w:start w:val="1"/>
      <w:numFmt w:val="decimal"/>
      <w:pStyle w:val="Heading6"/>
      <w:lvlText w:val="%1.%2.%3.%4.%5.%6."/>
      <w:lvlJc w:val="left"/>
      <w:pPr>
        <w:tabs>
          <w:tab w:val="num" w:pos="3528"/>
        </w:tabs>
        <w:ind w:left="3528" w:hanging="1728"/>
      </w:pPr>
      <w:rPr>
        <w:rFonts w:ascii="Arial" w:hAnsi="Arial" w:hint="default"/>
        <w:b/>
        <w:i w:val="0"/>
        <w:sz w:val="26"/>
      </w:rPr>
    </w:lvl>
    <w:lvl w:ilvl="6">
      <w:start w:val="1"/>
      <w:numFmt w:val="decimal"/>
      <w:pStyle w:val="ListNum"/>
      <w:lvlText w:val="%7."/>
      <w:lvlJc w:val="left"/>
      <w:pPr>
        <w:tabs>
          <w:tab w:val="num" w:pos="1080"/>
        </w:tabs>
        <w:ind w:left="1080" w:hanging="360"/>
      </w:pPr>
      <w:rPr>
        <w:rFonts w:ascii="Book Antiqua" w:hAnsi="Book Antiqua" w:hint="default"/>
        <w:b w:val="0"/>
        <w:i w:val="0"/>
        <w:sz w:val="26"/>
      </w:rPr>
    </w:lvl>
    <w:lvl w:ilvl="7">
      <w:start w:val="1"/>
      <w:numFmt w:val="lowerLetter"/>
      <w:pStyle w:val="ListAlpha"/>
      <w:lvlText w:val="%8."/>
      <w:lvlJc w:val="left"/>
      <w:pPr>
        <w:ind w:left="1080" w:hanging="360"/>
      </w:pPr>
      <w:rPr>
        <w:rFonts w:ascii="Book Antiqua" w:hAnsi="Book Antiqua" w:hint="default"/>
        <w:sz w:val="26"/>
      </w:rPr>
    </w:lvl>
    <w:lvl w:ilvl="8">
      <w:start w:val="1"/>
      <w:numFmt w:val="none"/>
      <w:lvlText w:val=""/>
      <w:lvlJc w:val="left"/>
      <w:pPr>
        <w:ind w:left="3240" w:hanging="360"/>
      </w:pPr>
      <w:rPr>
        <w:rFonts w:hint="default"/>
      </w:rPr>
    </w:lvl>
  </w:abstractNum>
  <w:abstractNum w:abstractNumId="10" w15:restartNumberingAfterBreak="0">
    <w:nsid w:val="59D042D7"/>
    <w:multiLevelType w:val="multilevel"/>
    <w:tmpl w:val="18F4A5AC"/>
    <w:numStyleLink w:val="FoFCoLOP"/>
  </w:abstractNum>
  <w:abstractNum w:abstractNumId="11" w15:restartNumberingAfterBreak="0">
    <w:nsid w:val="5A9E2171"/>
    <w:multiLevelType w:val="multilevel"/>
    <w:tmpl w:val="3C526EDE"/>
    <w:numStyleLink w:val="Headings"/>
  </w:abstractNum>
  <w:abstractNum w:abstractNumId="12" w15:restartNumberingAfterBreak="0">
    <w:nsid w:val="61A25780"/>
    <w:multiLevelType w:val="multilevel"/>
    <w:tmpl w:val="3C526EDE"/>
    <w:numStyleLink w:val="Headings"/>
  </w:abstractNum>
  <w:abstractNum w:abstractNumId="13" w15:restartNumberingAfterBreak="0">
    <w:nsid w:val="6FDF7E1C"/>
    <w:multiLevelType w:val="hybridMultilevel"/>
    <w:tmpl w:val="2F5AD6F8"/>
    <w:lvl w:ilvl="0" w:tplc="721C3134">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789A0AFE"/>
    <w:multiLevelType w:val="multilevel"/>
    <w:tmpl w:val="18F4A5AC"/>
    <w:numStyleLink w:val="FoFCoLOP"/>
  </w:abstractNum>
  <w:abstractNum w:abstractNumId="15" w15:restartNumberingAfterBreak="0">
    <w:nsid w:val="7DBF68B4"/>
    <w:multiLevelType w:val="hybridMultilevel"/>
    <w:tmpl w:val="19B237EC"/>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354526949">
    <w:abstractNumId w:val="11"/>
  </w:num>
  <w:num w:numId="2" w16cid:durableId="140774137">
    <w:abstractNumId w:val="1"/>
  </w:num>
  <w:num w:numId="3" w16cid:durableId="1898543446">
    <w:abstractNumId w:val="10"/>
  </w:num>
  <w:num w:numId="4" w16cid:durableId="701521005">
    <w:abstractNumId w:val="2"/>
  </w:num>
  <w:num w:numId="5" w16cid:durableId="2017029027">
    <w:abstractNumId w:val="14"/>
  </w:num>
  <w:num w:numId="6" w16cid:durableId="973756952">
    <w:abstractNumId w:val="9"/>
  </w:num>
  <w:num w:numId="7" w16cid:durableId="827667741">
    <w:abstractNumId w:val="5"/>
  </w:num>
  <w:num w:numId="8" w16cid:durableId="1760327020">
    <w:abstractNumId w:val="13"/>
  </w:num>
  <w:num w:numId="9" w16cid:durableId="816924040">
    <w:abstractNumId w:val="0"/>
  </w:num>
  <w:num w:numId="10" w16cid:durableId="1817916489">
    <w:abstractNumId w:val="4"/>
  </w:num>
  <w:num w:numId="11" w16cid:durableId="291985460">
    <w:abstractNumId w:val="6"/>
  </w:num>
  <w:num w:numId="12" w16cid:durableId="467941983">
    <w:abstractNumId w:val="3"/>
  </w:num>
  <w:num w:numId="13" w16cid:durableId="712996464">
    <w:abstractNumId w:val="7"/>
  </w:num>
  <w:num w:numId="14" w16cid:durableId="1303778653">
    <w:abstractNumId w:val="8"/>
  </w:num>
  <w:num w:numId="15" w16cid:durableId="1714382259">
    <w:abstractNumId w:val="12"/>
  </w:num>
  <w:num w:numId="16" w16cid:durableId="5481076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4637577">
    <w:abstractNumId w:val="12"/>
  </w:num>
  <w:num w:numId="18" w16cid:durableId="234240386">
    <w:abstractNumId w:val="15"/>
  </w:num>
  <w:num w:numId="19" w16cid:durableId="1709408104">
    <w:abstractNumId w:val="12"/>
  </w:num>
  <w:num w:numId="20" w16cid:durableId="156969206">
    <w:abstractNumId w:val="12"/>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4FFE"/>
    <w:rsid w:val="00000F6A"/>
    <w:rsid w:val="0002520C"/>
    <w:rsid w:val="00040C11"/>
    <w:rsid w:val="00052625"/>
    <w:rsid w:val="00067F48"/>
    <w:rsid w:val="0007115A"/>
    <w:rsid w:val="000973C8"/>
    <w:rsid w:val="000A18D7"/>
    <w:rsid w:val="000A2AA9"/>
    <w:rsid w:val="000A56F2"/>
    <w:rsid w:val="000A6E05"/>
    <w:rsid w:val="000B12FA"/>
    <w:rsid w:val="000C08BF"/>
    <w:rsid w:val="000C093B"/>
    <w:rsid w:val="000C3B9A"/>
    <w:rsid w:val="000D10F1"/>
    <w:rsid w:val="000D25A8"/>
    <w:rsid w:val="000E270A"/>
    <w:rsid w:val="000E4C53"/>
    <w:rsid w:val="000F4495"/>
    <w:rsid w:val="000F48C6"/>
    <w:rsid w:val="00117A29"/>
    <w:rsid w:val="00121089"/>
    <w:rsid w:val="0012546A"/>
    <w:rsid w:val="00184A8F"/>
    <w:rsid w:val="001914A3"/>
    <w:rsid w:val="001A1439"/>
    <w:rsid w:val="001A1656"/>
    <w:rsid w:val="001C363F"/>
    <w:rsid w:val="001E2A62"/>
    <w:rsid w:val="001E3D1F"/>
    <w:rsid w:val="001F2819"/>
    <w:rsid w:val="002043EC"/>
    <w:rsid w:val="002433AF"/>
    <w:rsid w:val="00243DC0"/>
    <w:rsid w:val="00247350"/>
    <w:rsid w:val="00247477"/>
    <w:rsid w:val="002509A4"/>
    <w:rsid w:val="002630C0"/>
    <w:rsid w:val="00270440"/>
    <w:rsid w:val="002835F7"/>
    <w:rsid w:val="00284D8D"/>
    <w:rsid w:val="00287BC5"/>
    <w:rsid w:val="00293DEE"/>
    <w:rsid w:val="002A0B05"/>
    <w:rsid w:val="002A0B5D"/>
    <w:rsid w:val="002C7FE9"/>
    <w:rsid w:val="002D0DC5"/>
    <w:rsid w:val="002D4EFD"/>
    <w:rsid w:val="002F189C"/>
    <w:rsid w:val="00315A97"/>
    <w:rsid w:val="00316071"/>
    <w:rsid w:val="00343B3E"/>
    <w:rsid w:val="00343E5C"/>
    <w:rsid w:val="00344FB8"/>
    <w:rsid w:val="00346239"/>
    <w:rsid w:val="00347017"/>
    <w:rsid w:val="00352CF0"/>
    <w:rsid w:val="0036017B"/>
    <w:rsid w:val="00362755"/>
    <w:rsid w:val="00373B93"/>
    <w:rsid w:val="00376A62"/>
    <w:rsid w:val="003802E3"/>
    <w:rsid w:val="00380CD1"/>
    <w:rsid w:val="00384760"/>
    <w:rsid w:val="003A02CA"/>
    <w:rsid w:val="003A38F0"/>
    <w:rsid w:val="003B02EB"/>
    <w:rsid w:val="003C52F8"/>
    <w:rsid w:val="003D0432"/>
    <w:rsid w:val="003D7523"/>
    <w:rsid w:val="003F069A"/>
    <w:rsid w:val="003F4329"/>
    <w:rsid w:val="00411B5D"/>
    <w:rsid w:val="00412534"/>
    <w:rsid w:val="00412C83"/>
    <w:rsid w:val="00426014"/>
    <w:rsid w:val="0044617E"/>
    <w:rsid w:val="0046078B"/>
    <w:rsid w:val="00460B7D"/>
    <w:rsid w:val="00464FFE"/>
    <w:rsid w:val="00480CB0"/>
    <w:rsid w:val="00483603"/>
    <w:rsid w:val="004A1EAD"/>
    <w:rsid w:val="004A47BE"/>
    <w:rsid w:val="004B34EA"/>
    <w:rsid w:val="004B5494"/>
    <w:rsid w:val="004C1CF7"/>
    <w:rsid w:val="004C7A2B"/>
    <w:rsid w:val="004C7D3A"/>
    <w:rsid w:val="004E352A"/>
    <w:rsid w:val="004E5D1D"/>
    <w:rsid w:val="004F7882"/>
    <w:rsid w:val="005018A8"/>
    <w:rsid w:val="00505A39"/>
    <w:rsid w:val="00514C02"/>
    <w:rsid w:val="005240BF"/>
    <w:rsid w:val="00585390"/>
    <w:rsid w:val="0059056D"/>
    <w:rsid w:val="005939A5"/>
    <w:rsid w:val="005A148C"/>
    <w:rsid w:val="005C58FA"/>
    <w:rsid w:val="00603238"/>
    <w:rsid w:val="00632207"/>
    <w:rsid w:val="0063491C"/>
    <w:rsid w:val="00637974"/>
    <w:rsid w:val="00641A5C"/>
    <w:rsid w:val="00661AFE"/>
    <w:rsid w:val="00680F19"/>
    <w:rsid w:val="00682CCA"/>
    <w:rsid w:val="00683B2C"/>
    <w:rsid w:val="0068524D"/>
    <w:rsid w:val="00697860"/>
    <w:rsid w:val="006A00EA"/>
    <w:rsid w:val="006C1F10"/>
    <w:rsid w:val="006E5E28"/>
    <w:rsid w:val="006E6574"/>
    <w:rsid w:val="00714CF2"/>
    <w:rsid w:val="007156B9"/>
    <w:rsid w:val="00720817"/>
    <w:rsid w:val="007208DF"/>
    <w:rsid w:val="00722850"/>
    <w:rsid w:val="007327EB"/>
    <w:rsid w:val="0073353F"/>
    <w:rsid w:val="00735A91"/>
    <w:rsid w:val="00742E45"/>
    <w:rsid w:val="007447AF"/>
    <w:rsid w:val="00750816"/>
    <w:rsid w:val="007657C1"/>
    <w:rsid w:val="0076733E"/>
    <w:rsid w:val="0077755F"/>
    <w:rsid w:val="007A406D"/>
    <w:rsid w:val="007A62B0"/>
    <w:rsid w:val="007C3A82"/>
    <w:rsid w:val="007C5A0C"/>
    <w:rsid w:val="007D08AB"/>
    <w:rsid w:val="007E0FEE"/>
    <w:rsid w:val="007F2017"/>
    <w:rsid w:val="0080390E"/>
    <w:rsid w:val="008159CF"/>
    <w:rsid w:val="00816E05"/>
    <w:rsid w:val="00824D5E"/>
    <w:rsid w:val="00827EB3"/>
    <w:rsid w:val="008339BB"/>
    <w:rsid w:val="00852F61"/>
    <w:rsid w:val="0086419A"/>
    <w:rsid w:val="0087023B"/>
    <w:rsid w:val="008A08BF"/>
    <w:rsid w:val="008A179F"/>
    <w:rsid w:val="008A3A5A"/>
    <w:rsid w:val="008B0243"/>
    <w:rsid w:val="008B0864"/>
    <w:rsid w:val="008B175A"/>
    <w:rsid w:val="008B2824"/>
    <w:rsid w:val="008B4A16"/>
    <w:rsid w:val="008C3A94"/>
    <w:rsid w:val="008C3CB7"/>
    <w:rsid w:val="008C7413"/>
    <w:rsid w:val="008D16B7"/>
    <w:rsid w:val="008D5380"/>
    <w:rsid w:val="008E2BBD"/>
    <w:rsid w:val="008E6AE6"/>
    <w:rsid w:val="008F0116"/>
    <w:rsid w:val="008F143D"/>
    <w:rsid w:val="008F4848"/>
    <w:rsid w:val="008F4F20"/>
    <w:rsid w:val="00905885"/>
    <w:rsid w:val="00927F1F"/>
    <w:rsid w:val="00932865"/>
    <w:rsid w:val="009521FE"/>
    <w:rsid w:val="0098138E"/>
    <w:rsid w:val="0098655A"/>
    <w:rsid w:val="00986B14"/>
    <w:rsid w:val="00992899"/>
    <w:rsid w:val="00996FCC"/>
    <w:rsid w:val="009977F2"/>
    <w:rsid w:val="009A6E36"/>
    <w:rsid w:val="009E6052"/>
    <w:rsid w:val="009E7C7F"/>
    <w:rsid w:val="00A17CE0"/>
    <w:rsid w:val="00A2167B"/>
    <w:rsid w:val="00A23D48"/>
    <w:rsid w:val="00A25B76"/>
    <w:rsid w:val="00A33E7D"/>
    <w:rsid w:val="00A4047B"/>
    <w:rsid w:val="00A42306"/>
    <w:rsid w:val="00A44E8D"/>
    <w:rsid w:val="00A46EA8"/>
    <w:rsid w:val="00A55ACD"/>
    <w:rsid w:val="00A66032"/>
    <w:rsid w:val="00A85D27"/>
    <w:rsid w:val="00A92996"/>
    <w:rsid w:val="00A936D3"/>
    <w:rsid w:val="00AB7875"/>
    <w:rsid w:val="00AC68EE"/>
    <w:rsid w:val="00AD413A"/>
    <w:rsid w:val="00AD4593"/>
    <w:rsid w:val="00AD4B23"/>
    <w:rsid w:val="00AE68B6"/>
    <w:rsid w:val="00B01F7E"/>
    <w:rsid w:val="00B021CF"/>
    <w:rsid w:val="00B04188"/>
    <w:rsid w:val="00B16C2A"/>
    <w:rsid w:val="00B21EBD"/>
    <w:rsid w:val="00B2784B"/>
    <w:rsid w:val="00B3087D"/>
    <w:rsid w:val="00B34605"/>
    <w:rsid w:val="00B34794"/>
    <w:rsid w:val="00B42EA2"/>
    <w:rsid w:val="00B53972"/>
    <w:rsid w:val="00B60421"/>
    <w:rsid w:val="00B7100E"/>
    <w:rsid w:val="00B81EB6"/>
    <w:rsid w:val="00B84688"/>
    <w:rsid w:val="00B85774"/>
    <w:rsid w:val="00B9570A"/>
    <w:rsid w:val="00B96198"/>
    <w:rsid w:val="00BB0243"/>
    <w:rsid w:val="00BB36E7"/>
    <w:rsid w:val="00C057E6"/>
    <w:rsid w:val="00C10B5F"/>
    <w:rsid w:val="00C173AB"/>
    <w:rsid w:val="00C17454"/>
    <w:rsid w:val="00C40403"/>
    <w:rsid w:val="00C420C8"/>
    <w:rsid w:val="00C657C7"/>
    <w:rsid w:val="00C7002B"/>
    <w:rsid w:val="00C73117"/>
    <w:rsid w:val="00C878D5"/>
    <w:rsid w:val="00C9033B"/>
    <w:rsid w:val="00C913A1"/>
    <w:rsid w:val="00CA1981"/>
    <w:rsid w:val="00CC2D25"/>
    <w:rsid w:val="00CC6A99"/>
    <w:rsid w:val="00CF3989"/>
    <w:rsid w:val="00D00AA3"/>
    <w:rsid w:val="00D0504E"/>
    <w:rsid w:val="00D07F73"/>
    <w:rsid w:val="00D1441E"/>
    <w:rsid w:val="00D14844"/>
    <w:rsid w:val="00D2041C"/>
    <w:rsid w:val="00D25ADE"/>
    <w:rsid w:val="00D378AC"/>
    <w:rsid w:val="00D43297"/>
    <w:rsid w:val="00D44DB6"/>
    <w:rsid w:val="00D4719A"/>
    <w:rsid w:val="00D50119"/>
    <w:rsid w:val="00D51519"/>
    <w:rsid w:val="00D61543"/>
    <w:rsid w:val="00D64A94"/>
    <w:rsid w:val="00D7280B"/>
    <w:rsid w:val="00D73795"/>
    <w:rsid w:val="00D802F3"/>
    <w:rsid w:val="00D82A43"/>
    <w:rsid w:val="00DA7B5D"/>
    <w:rsid w:val="00DC0C63"/>
    <w:rsid w:val="00DC3DD9"/>
    <w:rsid w:val="00DE2F9D"/>
    <w:rsid w:val="00DF58E7"/>
    <w:rsid w:val="00E11876"/>
    <w:rsid w:val="00E14CD8"/>
    <w:rsid w:val="00E23CBB"/>
    <w:rsid w:val="00E3597A"/>
    <w:rsid w:val="00E37B59"/>
    <w:rsid w:val="00E4001B"/>
    <w:rsid w:val="00E412A6"/>
    <w:rsid w:val="00E47FF5"/>
    <w:rsid w:val="00E53438"/>
    <w:rsid w:val="00E60784"/>
    <w:rsid w:val="00E6372A"/>
    <w:rsid w:val="00E725FC"/>
    <w:rsid w:val="00E8780F"/>
    <w:rsid w:val="00EA36C6"/>
    <w:rsid w:val="00EC1F05"/>
    <w:rsid w:val="00EC30F9"/>
    <w:rsid w:val="00EC7837"/>
    <w:rsid w:val="00EC78AC"/>
    <w:rsid w:val="00ED5725"/>
    <w:rsid w:val="00ED7031"/>
    <w:rsid w:val="00EE3060"/>
    <w:rsid w:val="00EE4315"/>
    <w:rsid w:val="00EF29B1"/>
    <w:rsid w:val="00EF613F"/>
    <w:rsid w:val="00EF6925"/>
    <w:rsid w:val="00F06D9F"/>
    <w:rsid w:val="00F12118"/>
    <w:rsid w:val="00F140FC"/>
    <w:rsid w:val="00F249E1"/>
    <w:rsid w:val="00F25079"/>
    <w:rsid w:val="00F26ED3"/>
    <w:rsid w:val="00F36FBD"/>
    <w:rsid w:val="00F62B7A"/>
    <w:rsid w:val="00F6397D"/>
    <w:rsid w:val="00F7293E"/>
    <w:rsid w:val="00F76650"/>
    <w:rsid w:val="00F82100"/>
    <w:rsid w:val="00F9187B"/>
    <w:rsid w:val="00F92385"/>
    <w:rsid w:val="00FA1B4F"/>
    <w:rsid w:val="00FB136D"/>
    <w:rsid w:val="00FC47F9"/>
    <w:rsid w:val="00FC572C"/>
    <w:rsid w:val="00FD372C"/>
    <w:rsid w:val="00FE2351"/>
    <w:rsid w:val="00FE337D"/>
    <w:rsid w:val="00FE5580"/>
    <w:rsid w:val="00FF110C"/>
    <w:rsid w:val="05B4A059"/>
    <w:rsid w:val="09E202E4"/>
    <w:rsid w:val="355D6F38"/>
    <w:rsid w:val="3F575C16"/>
    <w:rsid w:val="46BC7CE6"/>
    <w:rsid w:val="4CF94FC7"/>
    <w:rsid w:val="50CD75C8"/>
    <w:rsid w:val="6D64301F"/>
    <w:rsid w:val="71ABECFC"/>
    <w:rsid w:val="72C81AE5"/>
    <w:rsid w:val="756591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3EF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uiPriority="4"/>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4"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61AFE"/>
    <w:pPr>
      <w:spacing w:after="0" w:line="360" w:lineRule="auto"/>
      <w:ind w:firstLine="720"/>
    </w:pPr>
    <w:rPr>
      <w:rFonts w:ascii="Book Antiqua" w:hAnsi="Book Antiqua"/>
      <w:sz w:val="26"/>
    </w:rPr>
  </w:style>
  <w:style w:type="paragraph" w:styleId="Heading1">
    <w:name w:val="heading 1"/>
    <w:basedOn w:val="Dummy"/>
    <w:next w:val="Standard"/>
    <w:link w:val="Heading1Char"/>
    <w:uiPriority w:val="4"/>
    <w:qFormat/>
    <w:rsid w:val="000E270A"/>
    <w:pPr>
      <w:numPr>
        <w:numId w:val="15"/>
      </w:numPr>
      <w:ind w:right="2160"/>
    </w:pPr>
    <w:rPr>
      <w:rFonts w:eastAsiaTheme="majorEastAsia" w:cstheme="majorBidi"/>
      <w:szCs w:val="32"/>
    </w:rPr>
  </w:style>
  <w:style w:type="paragraph" w:styleId="Heading2">
    <w:name w:val="heading 2"/>
    <w:basedOn w:val="Dummy"/>
    <w:next w:val="Standard"/>
    <w:link w:val="Heading2Char"/>
    <w:uiPriority w:val="4"/>
    <w:qFormat/>
    <w:rsid w:val="000E270A"/>
    <w:pPr>
      <w:numPr>
        <w:ilvl w:val="1"/>
        <w:numId w:val="15"/>
      </w:numPr>
      <w:ind w:right="2160"/>
      <w:outlineLvl w:val="1"/>
    </w:pPr>
  </w:style>
  <w:style w:type="paragraph" w:styleId="Heading3">
    <w:name w:val="heading 3"/>
    <w:basedOn w:val="Dummy"/>
    <w:next w:val="Standard"/>
    <w:link w:val="Heading3Char"/>
    <w:uiPriority w:val="4"/>
    <w:qFormat/>
    <w:rsid w:val="000E270A"/>
    <w:pPr>
      <w:numPr>
        <w:ilvl w:val="2"/>
        <w:numId w:val="15"/>
      </w:numPr>
      <w:ind w:right="2160"/>
      <w:outlineLvl w:val="2"/>
    </w:pPr>
    <w:rPr>
      <w:rFonts w:eastAsiaTheme="majorEastAsia" w:cstheme="majorBidi"/>
      <w:szCs w:val="24"/>
    </w:rPr>
  </w:style>
  <w:style w:type="paragraph" w:styleId="Heading4">
    <w:name w:val="heading 4"/>
    <w:basedOn w:val="Dummy"/>
    <w:next w:val="Standard"/>
    <w:link w:val="Heading4Char"/>
    <w:uiPriority w:val="4"/>
    <w:rsid w:val="000E270A"/>
    <w:pPr>
      <w:numPr>
        <w:ilvl w:val="3"/>
        <w:numId w:val="15"/>
      </w:numPr>
      <w:ind w:right="2160"/>
      <w:outlineLvl w:val="3"/>
    </w:pPr>
    <w:rPr>
      <w:rFonts w:eastAsiaTheme="majorEastAsia" w:cstheme="majorBidi"/>
      <w:iCs/>
    </w:rPr>
  </w:style>
  <w:style w:type="paragraph" w:styleId="Heading5">
    <w:name w:val="heading 5"/>
    <w:basedOn w:val="Dummy"/>
    <w:next w:val="Standard"/>
    <w:link w:val="Heading5Char"/>
    <w:uiPriority w:val="4"/>
    <w:rsid w:val="000E270A"/>
    <w:pPr>
      <w:numPr>
        <w:ilvl w:val="4"/>
        <w:numId w:val="15"/>
      </w:numPr>
      <w:ind w:right="2160"/>
      <w:outlineLvl w:val="4"/>
    </w:pPr>
    <w:rPr>
      <w:rFonts w:eastAsiaTheme="majorEastAsia" w:cstheme="majorBidi"/>
    </w:rPr>
  </w:style>
  <w:style w:type="paragraph" w:styleId="Heading6">
    <w:name w:val="heading 6"/>
    <w:basedOn w:val="Dummy"/>
    <w:next w:val="Standard"/>
    <w:link w:val="Heading6Char"/>
    <w:uiPriority w:val="4"/>
    <w:rsid w:val="000E270A"/>
    <w:pPr>
      <w:numPr>
        <w:ilvl w:val="5"/>
        <w:numId w:val="15"/>
      </w:numPr>
      <w:spacing w:before="40"/>
      <w:ind w:right="2160"/>
      <w:outlineLvl w:val="5"/>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A7B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4"/>
    <w:rsid w:val="00287BC5"/>
    <w:rPr>
      <w:rFonts w:ascii="Arial" w:eastAsiaTheme="majorEastAsia" w:hAnsi="Arial" w:cstheme="majorBidi"/>
      <w:b/>
      <w:sz w:val="26"/>
      <w:szCs w:val="32"/>
    </w:rPr>
  </w:style>
  <w:style w:type="paragraph" w:styleId="TOCHeading">
    <w:name w:val="TOC Heading"/>
    <w:next w:val="Normal"/>
    <w:uiPriority w:val="39"/>
    <w:unhideWhenUsed/>
    <w:rsid w:val="001E2A62"/>
    <w:pPr>
      <w:spacing w:line="240" w:lineRule="auto"/>
      <w:jc w:val="center"/>
    </w:pPr>
    <w:rPr>
      <w:rFonts w:ascii="Arial" w:eastAsiaTheme="majorEastAsia" w:hAnsi="Arial" w:cstheme="majorBidi"/>
      <w:b/>
      <w:sz w:val="26"/>
      <w:szCs w:val="32"/>
    </w:rPr>
  </w:style>
  <w:style w:type="paragraph" w:styleId="Title">
    <w:name w:val="Title"/>
    <w:basedOn w:val="Dummy"/>
    <w:next w:val="Normal"/>
    <w:link w:val="TitleChar"/>
    <w:uiPriority w:val="10"/>
    <w:semiHidden/>
    <w:rsid w:val="00121089"/>
    <w:pPr>
      <w:spacing w:after="0"/>
      <w:contextualSpacing/>
      <w:jc w:val="center"/>
    </w:pPr>
    <w:rPr>
      <w:rFonts w:eastAsiaTheme="majorEastAsia" w:cstheme="majorBidi"/>
      <w:caps/>
      <w:szCs w:val="56"/>
    </w:rPr>
  </w:style>
  <w:style w:type="character" w:customStyle="1" w:styleId="TitleChar">
    <w:name w:val="Title Char"/>
    <w:basedOn w:val="DefaultParagraphFont"/>
    <w:link w:val="Title"/>
    <w:uiPriority w:val="10"/>
    <w:semiHidden/>
    <w:rsid w:val="0036017B"/>
    <w:rPr>
      <w:rFonts w:ascii="Arial" w:eastAsiaTheme="majorEastAsia" w:hAnsi="Arial" w:cstheme="majorBidi"/>
      <w:b/>
      <w:caps/>
      <w:sz w:val="26"/>
      <w:szCs w:val="56"/>
    </w:rPr>
  </w:style>
  <w:style w:type="paragraph" w:customStyle="1" w:styleId="Dummy">
    <w:name w:val="Dummy"/>
    <w:next w:val="Normal"/>
    <w:uiPriority w:val="19"/>
    <w:rsid w:val="00F62B7A"/>
    <w:pPr>
      <w:keepNext/>
      <w:keepLines/>
      <w:spacing w:after="120" w:line="240" w:lineRule="auto"/>
      <w:outlineLvl w:val="0"/>
    </w:pPr>
    <w:rPr>
      <w:rFonts w:ascii="Arial" w:hAnsi="Arial" w:cs="Arial"/>
      <w:b/>
      <w:sz w:val="26"/>
      <w:szCs w:val="26"/>
    </w:rPr>
  </w:style>
  <w:style w:type="character" w:customStyle="1" w:styleId="Heading2Char">
    <w:name w:val="Heading 2 Char"/>
    <w:basedOn w:val="DefaultParagraphFont"/>
    <w:link w:val="Heading2"/>
    <w:uiPriority w:val="4"/>
    <w:rsid w:val="00287BC5"/>
    <w:rPr>
      <w:rFonts w:ascii="Arial" w:hAnsi="Arial" w:cs="Arial"/>
      <w:b/>
      <w:sz w:val="26"/>
      <w:szCs w:val="26"/>
    </w:rPr>
  </w:style>
  <w:style w:type="character" w:customStyle="1" w:styleId="Heading3Char">
    <w:name w:val="Heading 3 Char"/>
    <w:basedOn w:val="DefaultParagraphFont"/>
    <w:link w:val="Heading3"/>
    <w:uiPriority w:val="4"/>
    <w:rsid w:val="00287BC5"/>
    <w:rPr>
      <w:rFonts w:ascii="Arial" w:eastAsiaTheme="majorEastAsia" w:hAnsi="Arial" w:cstheme="majorBidi"/>
      <w:b/>
      <w:sz w:val="26"/>
      <w:szCs w:val="24"/>
    </w:rPr>
  </w:style>
  <w:style w:type="character" w:customStyle="1" w:styleId="Heading4Char">
    <w:name w:val="Heading 4 Char"/>
    <w:basedOn w:val="DefaultParagraphFont"/>
    <w:link w:val="Heading4"/>
    <w:uiPriority w:val="4"/>
    <w:rsid w:val="00287BC5"/>
    <w:rPr>
      <w:rFonts w:ascii="Arial" w:eastAsiaTheme="majorEastAsia" w:hAnsi="Arial" w:cstheme="majorBidi"/>
      <w:b/>
      <w:iCs/>
      <w:sz w:val="26"/>
      <w:szCs w:val="26"/>
    </w:rPr>
  </w:style>
  <w:style w:type="character" w:customStyle="1" w:styleId="Heading5Char">
    <w:name w:val="Heading 5 Char"/>
    <w:basedOn w:val="DefaultParagraphFont"/>
    <w:link w:val="Heading5"/>
    <w:uiPriority w:val="4"/>
    <w:rsid w:val="00287BC5"/>
    <w:rPr>
      <w:rFonts w:ascii="Arial" w:eastAsiaTheme="majorEastAsia" w:hAnsi="Arial" w:cstheme="majorBidi"/>
      <w:b/>
      <w:sz w:val="26"/>
      <w:szCs w:val="26"/>
    </w:rPr>
  </w:style>
  <w:style w:type="paragraph" w:customStyle="1" w:styleId="Main">
    <w:name w:val="Main"/>
    <w:next w:val="Normal"/>
    <w:uiPriority w:val="19"/>
    <w:rsid w:val="00F62B7A"/>
    <w:pPr>
      <w:spacing w:after="0" w:line="240" w:lineRule="auto"/>
      <w:jc w:val="center"/>
    </w:pPr>
    <w:rPr>
      <w:rFonts w:ascii="Arial" w:eastAsiaTheme="majorEastAsia" w:hAnsi="Arial" w:cstheme="majorBidi"/>
      <w:b/>
      <w:caps/>
      <w:sz w:val="26"/>
      <w:szCs w:val="56"/>
    </w:rPr>
  </w:style>
  <w:style w:type="paragraph" w:customStyle="1" w:styleId="Mainex">
    <w:name w:val="Mainex"/>
    <w:basedOn w:val="Main"/>
    <w:next w:val="Normal"/>
    <w:uiPriority w:val="19"/>
    <w:rsid w:val="000A6E05"/>
    <w:pPr>
      <w:keepNext/>
      <w:spacing w:line="360" w:lineRule="auto"/>
      <w:outlineLvl w:val="0"/>
    </w:pPr>
    <w:rPr>
      <w:spacing w:val="120"/>
    </w:rPr>
  </w:style>
  <w:style w:type="paragraph" w:styleId="TOC2">
    <w:name w:val="toc 2"/>
    <w:basedOn w:val="Normal"/>
    <w:next w:val="Normal"/>
    <w:uiPriority w:val="39"/>
    <w:unhideWhenUsed/>
    <w:rsid w:val="00ED5725"/>
    <w:pPr>
      <w:spacing w:line="240" w:lineRule="auto"/>
      <w:ind w:left="864" w:hanging="648"/>
    </w:pPr>
    <w:rPr>
      <w:rFonts w:eastAsiaTheme="minorEastAsia" w:cs="Times New Roman"/>
    </w:rPr>
  </w:style>
  <w:style w:type="paragraph" w:styleId="TOC1">
    <w:name w:val="toc 1"/>
    <w:basedOn w:val="Normal"/>
    <w:next w:val="Normal"/>
    <w:uiPriority w:val="39"/>
    <w:unhideWhenUsed/>
    <w:rsid w:val="00ED5725"/>
    <w:pPr>
      <w:spacing w:line="240" w:lineRule="auto"/>
      <w:ind w:left="432" w:hanging="432"/>
    </w:pPr>
    <w:rPr>
      <w:rFonts w:eastAsiaTheme="minorEastAsia" w:cs="Times New Roman"/>
    </w:rPr>
  </w:style>
  <w:style w:type="paragraph" w:styleId="TOC3">
    <w:name w:val="toc 3"/>
    <w:basedOn w:val="Normal"/>
    <w:next w:val="Normal"/>
    <w:uiPriority w:val="39"/>
    <w:unhideWhenUsed/>
    <w:rsid w:val="008C7413"/>
    <w:pPr>
      <w:spacing w:line="240" w:lineRule="auto"/>
      <w:ind w:left="1296" w:hanging="864"/>
    </w:pPr>
    <w:rPr>
      <w:rFonts w:eastAsiaTheme="minorEastAsia" w:cs="Times New Roman"/>
    </w:rPr>
  </w:style>
  <w:style w:type="character" w:styleId="Hyperlink">
    <w:name w:val="Hyperlink"/>
    <w:basedOn w:val="DefaultParagraphFont"/>
    <w:uiPriority w:val="99"/>
    <w:rsid w:val="00D82A43"/>
    <w:rPr>
      <w:color w:val="0563C1" w:themeColor="hyperlink"/>
      <w:u w:val="single"/>
    </w:rPr>
  </w:style>
  <w:style w:type="numbering" w:customStyle="1" w:styleId="FoFCoLOP">
    <w:name w:val="FoF/CoL/OP"/>
    <w:uiPriority w:val="99"/>
    <w:rsid w:val="008E6AE6"/>
    <w:pPr>
      <w:numPr>
        <w:numId w:val="2"/>
      </w:numPr>
    </w:pPr>
  </w:style>
  <w:style w:type="paragraph" w:styleId="TOC9">
    <w:name w:val="toc 9"/>
    <w:basedOn w:val="Normal"/>
    <w:next w:val="Normal"/>
    <w:autoRedefine/>
    <w:uiPriority w:val="39"/>
    <w:semiHidden/>
    <w:unhideWhenUsed/>
    <w:rsid w:val="00D82A43"/>
    <w:pPr>
      <w:spacing w:after="100"/>
      <w:ind w:left="2080"/>
    </w:pPr>
  </w:style>
  <w:style w:type="paragraph" w:styleId="Header">
    <w:name w:val="header"/>
    <w:basedOn w:val="Normal"/>
    <w:link w:val="HeaderChar"/>
    <w:uiPriority w:val="99"/>
    <w:semiHidden/>
    <w:rsid w:val="0098138E"/>
    <w:pPr>
      <w:tabs>
        <w:tab w:val="center" w:pos="4680"/>
        <w:tab w:val="right" w:pos="9360"/>
      </w:tabs>
      <w:spacing w:line="240" w:lineRule="auto"/>
    </w:pPr>
  </w:style>
  <w:style w:type="character" w:customStyle="1" w:styleId="HeaderChar">
    <w:name w:val="Header Char"/>
    <w:basedOn w:val="DefaultParagraphFont"/>
    <w:link w:val="Header"/>
    <w:uiPriority w:val="99"/>
    <w:semiHidden/>
    <w:rsid w:val="000A56F2"/>
    <w:rPr>
      <w:rFonts w:ascii="Book Antiqua" w:hAnsi="Book Antiqua"/>
      <w:sz w:val="26"/>
    </w:rPr>
  </w:style>
  <w:style w:type="paragraph" w:styleId="Footer">
    <w:name w:val="footer"/>
    <w:basedOn w:val="Normal"/>
    <w:link w:val="FooterChar"/>
    <w:uiPriority w:val="99"/>
    <w:semiHidden/>
    <w:rsid w:val="00EE3060"/>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7657C1"/>
    <w:rPr>
      <w:rFonts w:ascii="Book Antiqua" w:hAnsi="Book Antiqua"/>
      <w:sz w:val="26"/>
    </w:rPr>
  </w:style>
  <w:style w:type="paragraph" w:customStyle="1" w:styleId="BlockQuote">
    <w:name w:val="Block Quote"/>
    <w:basedOn w:val="Standard"/>
    <w:uiPriority w:val="5"/>
    <w:qFormat/>
    <w:rsid w:val="00EA36C6"/>
    <w:pPr>
      <w:spacing w:after="120" w:line="240" w:lineRule="auto"/>
      <w:ind w:left="720" w:right="720" w:firstLine="0"/>
    </w:pPr>
  </w:style>
  <w:style w:type="paragraph" w:styleId="FootnoteText">
    <w:name w:val="footnote text"/>
    <w:aliases w:val="Footnote Text Char1,Footnote Text Char Char,Footnote Text Char2 Char,Footnote Text Char Char Char,Footnote Text Char2 Char Char Char,Footnote Text Char Char Char Char Char,Footnote Text Char2 Char Char Char Char1 Char,fn,fn C,Char Char,f"/>
    <w:basedOn w:val="Normal"/>
    <w:link w:val="FootnoteTextChar"/>
    <w:uiPriority w:val="99"/>
    <w:qFormat/>
    <w:rsid w:val="00B01F7E"/>
    <w:pPr>
      <w:spacing w:after="120" w:line="240" w:lineRule="auto"/>
      <w:ind w:firstLine="0"/>
    </w:pPr>
    <w:rPr>
      <w:sz w:val="22"/>
      <w:szCs w:val="20"/>
    </w:rPr>
  </w:style>
  <w:style w:type="character" w:customStyle="1" w:styleId="FootnoteTextChar">
    <w:name w:val="Footnote Text Char"/>
    <w:aliases w:val="Footnote Text Char1 Char,Footnote Text Char Char Char1,Footnote Text Char2 Char Char,Footnote Text Char Char Char Char,Footnote Text Char2 Char Char Char Char,Footnote Text Char Char Char Char Char Char,fn Char,fn C Char,f Char"/>
    <w:basedOn w:val="DefaultParagraphFont"/>
    <w:link w:val="FootnoteText"/>
    <w:uiPriority w:val="99"/>
    <w:rsid w:val="007657C1"/>
    <w:rPr>
      <w:rFonts w:ascii="Book Antiqua" w:hAnsi="Book Antiqua"/>
      <w:szCs w:val="20"/>
    </w:rPr>
  </w:style>
  <w:style w:type="character" w:styleId="FootnoteReference">
    <w:name w:val="footnote reference"/>
    <w:aliases w:val="o,fr,o1,o2,o3,o4,o5,o6,o11,o21,o7,Style 3,Style 17,Style 13,Appel note de bas de p,Style 12,(NECG) Footnote Reference,Style 124,o + Times New Roman,Style 58,Style 20,fr1,fr2,fr3,FR,Footnote Reference/,Style 6,Footnote Reference1"/>
    <w:basedOn w:val="DefaultParagraphFont"/>
    <w:uiPriority w:val="99"/>
    <w:unhideWhenUsed/>
    <w:qFormat/>
    <w:rsid w:val="00DF58E7"/>
    <w:rPr>
      <w:vertAlign w:val="superscript"/>
    </w:rPr>
  </w:style>
  <w:style w:type="paragraph" w:customStyle="1" w:styleId="FoF">
    <w:name w:val="FoF"/>
    <w:basedOn w:val="Standard"/>
    <w:uiPriority w:val="6"/>
    <w:qFormat/>
    <w:rsid w:val="001E2A62"/>
    <w:pPr>
      <w:numPr>
        <w:numId w:val="3"/>
      </w:numPr>
      <w:ind w:firstLine="547"/>
    </w:pPr>
  </w:style>
  <w:style w:type="paragraph" w:customStyle="1" w:styleId="CoL">
    <w:name w:val="CoL"/>
    <w:basedOn w:val="Standard"/>
    <w:uiPriority w:val="7"/>
    <w:qFormat/>
    <w:rsid w:val="001E2A62"/>
    <w:pPr>
      <w:numPr>
        <w:numId w:val="4"/>
      </w:numPr>
      <w:ind w:firstLine="547"/>
    </w:pPr>
  </w:style>
  <w:style w:type="paragraph" w:styleId="NoSpacing">
    <w:name w:val="No Spacing"/>
    <w:basedOn w:val="Standard"/>
    <w:uiPriority w:val="1"/>
    <w:rsid w:val="00287BC5"/>
    <w:pPr>
      <w:spacing w:after="120" w:line="240" w:lineRule="auto"/>
      <w:ind w:firstLine="0"/>
      <w:contextualSpacing/>
    </w:pPr>
  </w:style>
  <w:style w:type="paragraph" w:customStyle="1" w:styleId="OP">
    <w:name w:val="OP"/>
    <w:basedOn w:val="Standard"/>
    <w:uiPriority w:val="8"/>
    <w:qFormat/>
    <w:rsid w:val="001E2A62"/>
    <w:pPr>
      <w:numPr>
        <w:numId w:val="5"/>
      </w:numPr>
    </w:pPr>
  </w:style>
  <w:style w:type="paragraph" w:styleId="BalloonText">
    <w:name w:val="Balloon Text"/>
    <w:basedOn w:val="Normal"/>
    <w:link w:val="BalloonTextChar"/>
    <w:uiPriority w:val="99"/>
    <w:semiHidden/>
    <w:unhideWhenUsed/>
    <w:rsid w:val="004C7D3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7D3A"/>
    <w:rPr>
      <w:rFonts w:ascii="Segoe UI" w:hAnsi="Segoe UI" w:cs="Segoe UI"/>
      <w:sz w:val="18"/>
      <w:szCs w:val="18"/>
    </w:rPr>
  </w:style>
  <w:style w:type="numbering" w:customStyle="1" w:styleId="Headings">
    <w:name w:val="Headings"/>
    <w:uiPriority w:val="99"/>
    <w:rsid w:val="000E270A"/>
    <w:pPr>
      <w:numPr>
        <w:numId w:val="6"/>
      </w:numPr>
    </w:pPr>
  </w:style>
  <w:style w:type="paragraph" w:customStyle="1" w:styleId="Standard">
    <w:name w:val="Standard"/>
    <w:basedOn w:val="Normal"/>
    <w:qFormat/>
    <w:rsid w:val="007A406D"/>
  </w:style>
  <w:style w:type="paragraph" w:customStyle="1" w:styleId="ListAlpha">
    <w:name w:val="List Alpha"/>
    <w:basedOn w:val="Standard"/>
    <w:uiPriority w:val="4"/>
    <w:qFormat/>
    <w:rsid w:val="000E270A"/>
    <w:pPr>
      <w:numPr>
        <w:ilvl w:val="7"/>
        <w:numId w:val="15"/>
      </w:numPr>
      <w:spacing w:after="120" w:line="240" w:lineRule="auto"/>
    </w:pPr>
  </w:style>
  <w:style w:type="paragraph" w:styleId="ListBullet">
    <w:name w:val="List Bullet"/>
    <w:basedOn w:val="Standard"/>
    <w:uiPriority w:val="4"/>
    <w:qFormat/>
    <w:rsid w:val="001F2819"/>
    <w:pPr>
      <w:numPr>
        <w:numId w:val="9"/>
      </w:numPr>
      <w:tabs>
        <w:tab w:val="clear" w:pos="360"/>
      </w:tabs>
      <w:spacing w:after="120" w:line="240" w:lineRule="auto"/>
      <w:ind w:left="1080"/>
    </w:pPr>
  </w:style>
  <w:style w:type="character" w:customStyle="1" w:styleId="Heading6Char">
    <w:name w:val="Heading 6 Char"/>
    <w:basedOn w:val="DefaultParagraphFont"/>
    <w:link w:val="Heading6"/>
    <w:uiPriority w:val="4"/>
    <w:rsid w:val="00287BC5"/>
    <w:rPr>
      <w:rFonts w:ascii="Arial" w:eastAsiaTheme="majorEastAsia" w:hAnsi="Arial" w:cstheme="majorBidi"/>
      <w:b/>
      <w:sz w:val="26"/>
      <w:szCs w:val="26"/>
    </w:rPr>
  </w:style>
  <w:style w:type="paragraph" w:styleId="TOC4">
    <w:name w:val="toc 4"/>
    <w:basedOn w:val="Normal"/>
    <w:next w:val="Normal"/>
    <w:autoRedefine/>
    <w:uiPriority w:val="39"/>
    <w:unhideWhenUsed/>
    <w:rsid w:val="008C7413"/>
    <w:pPr>
      <w:spacing w:line="240" w:lineRule="auto"/>
      <w:ind w:left="1728" w:hanging="1080"/>
    </w:pPr>
  </w:style>
  <w:style w:type="paragraph" w:styleId="TOC5">
    <w:name w:val="toc 5"/>
    <w:basedOn w:val="Normal"/>
    <w:next w:val="Normal"/>
    <w:autoRedefine/>
    <w:uiPriority w:val="39"/>
    <w:unhideWhenUsed/>
    <w:rsid w:val="008C7413"/>
    <w:pPr>
      <w:spacing w:line="240" w:lineRule="auto"/>
      <w:ind w:left="2160" w:hanging="1296"/>
    </w:pPr>
  </w:style>
  <w:style w:type="paragraph" w:styleId="TOC6">
    <w:name w:val="toc 6"/>
    <w:basedOn w:val="Normal"/>
    <w:next w:val="Normal"/>
    <w:autoRedefine/>
    <w:uiPriority w:val="39"/>
    <w:unhideWhenUsed/>
    <w:rsid w:val="008C7413"/>
    <w:pPr>
      <w:spacing w:line="240" w:lineRule="auto"/>
      <w:ind w:left="2592" w:hanging="1512"/>
    </w:pPr>
  </w:style>
  <w:style w:type="paragraph" w:customStyle="1" w:styleId="TableText">
    <w:name w:val="Table Text"/>
    <w:basedOn w:val="NoSpacing"/>
    <w:uiPriority w:val="5"/>
    <w:rsid w:val="00E53438"/>
    <w:pPr>
      <w:spacing w:after="0"/>
    </w:pPr>
    <w:rPr>
      <w:sz w:val="22"/>
    </w:rPr>
  </w:style>
  <w:style w:type="paragraph" w:customStyle="1" w:styleId="ListNum">
    <w:name w:val="List Num"/>
    <w:basedOn w:val="Standard"/>
    <w:uiPriority w:val="4"/>
    <w:rsid w:val="000E270A"/>
    <w:pPr>
      <w:numPr>
        <w:ilvl w:val="6"/>
        <w:numId w:val="15"/>
      </w:numPr>
      <w:spacing w:after="120" w:line="240" w:lineRule="auto"/>
    </w:pPr>
  </w:style>
  <w:style w:type="paragraph" w:styleId="ListParagraph">
    <w:name w:val="List Paragraph"/>
    <w:basedOn w:val="Normal"/>
    <w:uiPriority w:val="34"/>
    <w:rsid w:val="00E60784"/>
    <w:pPr>
      <w:ind w:left="720"/>
      <w:contextualSpacing/>
    </w:pPr>
  </w:style>
  <w:style w:type="paragraph" w:customStyle="1" w:styleId="standard0">
    <w:name w:val="standard"/>
    <w:basedOn w:val="Normal"/>
    <w:link w:val="standardChar"/>
    <w:uiPriority w:val="99"/>
    <w:rsid w:val="00E60784"/>
    <w:rPr>
      <w:rFonts w:ascii="Palatino" w:eastAsia="Times New Roman" w:hAnsi="Palatino" w:cs="Times New Roman"/>
      <w:szCs w:val="20"/>
    </w:rPr>
  </w:style>
  <w:style w:type="character" w:customStyle="1" w:styleId="standardChar">
    <w:name w:val="standard Char"/>
    <w:link w:val="standard0"/>
    <w:uiPriority w:val="99"/>
    <w:rsid w:val="00E60784"/>
    <w:rPr>
      <w:rFonts w:ascii="Palatino" w:eastAsia="Times New Roman" w:hAnsi="Palatino" w:cs="Times New Roman"/>
      <w:sz w:val="26"/>
      <w:szCs w:val="20"/>
    </w:rPr>
  </w:style>
  <w:style w:type="character" w:styleId="CommentReference">
    <w:name w:val="annotation reference"/>
    <w:basedOn w:val="DefaultParagraphFont"/>
    <w:uiPriority w:val="99"/>
    <w:semiHidden/>
    <w:unhideWhenUsed/>
    <w:rsid w:val="00E60784"/>
    <w:rPr>
      <w:sz w:val="16"/>
      <w:szCs w:val="16"/>
    </w:rPr>
  </w:style>
  <w:style w:type="paragraph" w:styleId="CommentText">
    <w:name w:val="annotation text"/>
    <w:basedOn w:val="Normal"/>
    <w:link w:val="CommentTextChar"/>
    <w:uiPriority w:val="99"/>
    <w:unhideWhenUsed/>
    <w:rsid w:val="00E60784"/>
    <w:pPr>
      <w:spacing w:line="240" w:lineRule="auto"/>
    </w:pPr>
    <w:rPr>
      <w:sz w:val="20"/>
      <w:szCs w:val="20"/>
    </w:rPr>
  </w:style>
  <w:style w:type="character" w:customStyle="1" w:styleId="CommentTextChar">
    <w:name w:val="Comment Text Char"/>
    <w:basedOn w:val="DefaultParagraphFont"/>
    <w:link w:val="CommentText"/>
    <w:uiPriority w:val="99"/>
    <w:rsid w:val="00E60784"/>
    <w:rPr>
      <w:rFonts w:ascii="Book Antiqua" w:hAnsi="Book Antiqua"/>
      <w:sz w:val="20"/>
      <w:szCs w:val="20"/>
    </w:rPr>
  </w:style>
  <w:style w:type="paragraph" w:customStyle="1" w:styleId="sub1">
    <w:name w:val="sub1"/>
    <w:basedOn w:val="Normal"/>
    <w:uiPriority w:val="99"/>
    <w:rsid w:val="00E60784"/>
    <w:rPr>
      <w:rFonts w:ascii="Palatino" w:eastAsia="Times New Roman" w:hAnsi="Palatino" w:cs="Times New Roman"/>
      <w:szCs w:val="20"/>
    </w:rPr>
  </w:style>
  <w:style w:type="paragraph" w:customStyle="1" w:styleId="BlockQuote0">
    <w:name w:val="BlockQuote"/>
    <w:basedOn w:val="Normal"/>
    <w:qFormat/>
    <w:rsid w:val="00052625"/>
    <w:pPr>
      <w:spacing w:after="120" w:line="240" w:lineRule="auto"/>
      <w:ind w:left="720" w:right="1440" w:firstLine="0"/>
    </w:pPr>
  </w:style>
  <w:style w:type="paragraph" w:styleId="Revision">
    <w:name w:val="Revision"/>
    <w:hidden/>
    <w:uiPriority w:val="99"/>
    <w:semiHidden/>
    <w:rsid w:val="00DC3DD9"/>
    <w:pPr>
      <w:spacing w:after="0" w:line="240" w:lineRule="auto"/>
    </w:pPr>
    <w:rPr>
      <w:rFonts w:ascii="Book Antiqua" w:hAnsi="Book Antiqua"/>
      <w:sz w:val="26"/>
    </w:rPr>
  </w:style>
  <w:style w:type="paragraph" w:styleId="CommentSubject">
    <w:name w:val="annotation subject"/>
    <w:basedOn w:val="CommentText"/>
    <w:next w:val="CommentText"/>
    <w:link w:val="CommentSubjectChar"/>
    <w:uiPriority w:val="99"/>
    <w:semiHidden/>
    <w:unhideWhenUsed/>
    <w:rsid w:val="00C173AB"/>
    <w:rPr>
      <w:b/>
      <w:bCs/>
    </w:rPr>
  </w:style>
  <w:style w:type="character" w:customStyle="1" w:styleId="CommentSubjectChar">
    <w:name w:val="Comment Subject Char"/>
    <w:basedOn w:val="CommentTextChar"/>
    <w:link w:val="CommentSubject"/>
    <w:uiPriority w:val="99"/>
    <w:semiHidden/>
    <w:rsid w:val="00C173AB"/>
    <w:rPr>
      <w:rFonts w:ascii="Book Antiqua" w:hAnsi="Book Antiqua"/>
      <w:b/>
      <w:bCs/>
      <w:sz w:val="20"/>
      <w:szCs w:val="20"/>
    </w:rPr>
  </w:style>
  <w:style w:type="paragraph" w:styleId="NormalWeb">
    <w:name w:val="Normal (Web)"/>
    <w:basedOn w:val="Normal"/>
    <w:uiPriority w:val="99"/>
    <w:unhideWhenUsed/>
    <w:rsid w:val="000A18D7"/>
    <w:pPr>
      <w:spacing w:before="100" w:beforeAutospacing="1" w:after="100" w:afterAutospacing="1" w:line="240" w:lineRule="auto"/>
      <w:ind w:firstLine="0"/>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5754110">
      <w:bodyDiv w:val="1"/>
      <w:marLeft w:val="0"/>
      <w:marRight w:val="0"/>
      <w:marTop w:val="0"/>
      <w:marBottom w:val="0"/>
      <w:divBdr>
        <w:top w:val="none" w:sz="0" w:space="0" w:color="auto"/>
        <w:left w:val="none" w:sz="0" w:space="0" w:color="auto"/>
        <w:bottom w:val="none" w:sz="0" w:space="0" w:color="auto"/>
        <w:right w:val="none" w:sz="0" w:space="0" w:color="auto"/>
      </w:divBdr>
    </w:div>
    <w:div w:id="234050233">
      <w:bodyDiv w:val="1"/>
      <w:marLeft w:val="0"/>
      <w:marRight w:val="0"/>
      <w:marTop w:val="0"/>
      <w:marBottom w:val="0"/>
      <w:divBdr>
        <w:top w:val="none" w:sz="0" w:space="0" w:color="auto"/>
        <w:left w:val="none" w:sz="0" w:space="0" w:color="auto"/>
        <w:bottom w:val="none" w:sz="0" w:space="0" w:color="auto"/>
        <w:right w:val="none" w:sz="0" w:space="0" w:color="auto"/>
      </w:divBdr>
    </w:div>
    <w:div w:id="427624810">
      <w:bodyDiv w:val="1"/>
      <w:marLeft w:val="0"/>
      <w:marRight w:val="0"/>
      <w:marTop w:val="0"/>
      <w:marBottom w:val="0"/>
      <w:divBdr>
        <w:top w:val="none" w:sz="0" w:space="0" w:color="auto"/>
        <w:left w:val="none" w:sz="0" w:space="0" w:color="auto"/>
        <w:bottom w:val="none" w:sz="0" w:space="0" w:color="auto"/>
        <w:right w:val="none" w:sz="0" w:space="0" w:color="auto"/>
      </w:divBdr>
    </w:div>
    <w:div w:id="437792506">
      <w:bodyDiv w:val="1"/>
      <w:marLeft w:val="0"/>
      <w:marRight w:val="0"/>
      <w:marTop w:val="0"/>
      <w:marBottom w:val="0"/>
      <w:divBdr>
        <w:top w:val="none" w:sz="0" w:space="0" w:color="auto"/>
        <w:left w:val="none" w:sz="0" w:space="0" w:color="auto"/>
        <w:bottom w:val="none" w:sz="0" w:space="0" w:color="auto"/>
        <w:right w:val="none" w:sz="0" w:space="0" w:color="auto"/>
      </w:divBdr>
    </w:div>
    <w:div w:id="792750568">
      <w:bodyDiv w:val="1"/>
      <w:marLeft w:val="0"/>
      <w:marRight w:val="0"/>
      <w:marTop w:val="0"/>
      <w:marBottom w:val="0"/>
      <w:divBdr>
        <w:top w:val="none" w:sz="0" w:space="0" w:color="auto"/>
        <w:left w:val="none" w:sz="0" w:space="0" w:color="auto"/>
        <w:bottom w:val="none" w:sz="0" w:space="0" w:color="auto"/>
        <w:right w:val="none" w:sz="0" w:space="0" w:color="auto"/>
      </w:divBdr>
    </w:div>
    <w:div w:id="840004558">
      <w:bodyDiv w:val="1"/>
      <w:marLeft w:val="0"/>
      <w:marRight w:val="0"/>
      <w:marTop w:val="0"/>
      <w:marBottom w:val="0"/>
      <w:divBdr>
        <w:top w:val="none" w:sz="0" w:space="0" w:color="auto"/>
        <w:left w:val="none" w:sz="0" w:space="0" w:color="auto"/>
        <w:bottom w:val="none" w:sz="0" w:space="0" w:color="auto"/>
        <w:right w:val="none" w:sz="0" w:space="0" w:color="auto"/>
      </w:divBdr>
    </w:div>
    <w:div w:id="1112432430">
      <w:bodyDiv w:val="1"/>
      <w:marLeft w:val="0"/>
      <w:marRight w:val="0"/>
      <w:marTop w:val="0"/>
      <w:marBottom w:val="0"/>
      <w:divBdr>
        <w:top w:val="none" w:sz="0" w:space="0" w:color="auto"/>
        <w:left w:val="none" w:sz="0" w:space="0" w:color="auto"/>
        <w:bottom w:val="none" w:sz="0" w:space="0" w:color="auto"/>
        <w:right w:val="none" w:sz="0" w:space="0" w:color="auto"/>
      </w:divBdr>
    </w:div>
    <w:div w:id="197894912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ublic.advisor@cpuc.ca.gov"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ubscribecpuc.cpuc.ca.gov/"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ess_office@cpuc.ca.gov"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d978288-04a1-4831-9970-6956df3b715e">
      <UserInfo>
        <DisplayName>SharingLinks.4483e336-159c-4da3-8318-43560d5eb170.OrganizationView.6f1aa05c-9ca1-44a8-81db-271fe86308db</DisplayName>
        <AccountId>53</AccountId>
        <AccountType/>
      </UserInfo>
      <UserInfo>
        <DisplayName>SharingLinks.64434a53-ce08-48bf-9d8a-01c80e22797b.OrganizationView.dae6b319-952f-4517-8bd2-7c674c0b6ab1</DisplayName>
        <AccountId>29</AccountId>
        <AccountType/>
      </UserInfo>
      <UserInfo>
        <DisplayName>Zhang, Zhen</DisplayName>
        <AccountId>12</AccountId>
        <AccountType/>
      </UserInfo>
      <UserInfo>
        <DisplayName>SharingLinks.4af17b5f-63c8-43ea-b82d-82bc7a91a5ab.OrganizationView.b298e6f5-ab31-404b-8381-d91d29b3a6c3</DisplayName>
        <AccountId>33</AccountId>
        <AccountType/>
      </UserInfo>
      <UserInfo>
        <DisplayName>SharingLinks.c01c797d-1ea4-4019-b053-c2183645c5f5.OrganizationView.07088084-ff63-4f5d-8118-18d3996bd9a1</DisplayName>
        <AccountId>362</AccountId>
        <AccountType/>
      </UserInfo>
      <UserInfo>
        <DisplayName>Reynolds, John</DisplayName>
        <AccountId>23</AccountId>
        <AccountType/>
      </UserInfo>
    </SharedWithUsers>
    <lcf76f155ced4ddcb4097134ff3c332f xmlns="666bae34-6e25-4200-951c-37ff8952d53f">
      <Terms xmlns="http://schemas.microsoft.com/office/infopath/2007/PartnerControls"/>
    </lcf76f155ced4ddcb4097134ff3c332f>
    <TaxCatchAll xmlns="ad978288-04a1-4831-9970-6956df3b715e"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31150C3125F864C9CCCEC1861A1B2F5" ma:contentTypeVersion="15" ma:contentTypeDescription="Create a new document." ma:contentTypeScope="" ma:versionID="3f090a90aa828e6b7f409d8fa1037ef1">
  <xsd:schema xmlns:xsd="http://www.w3.org/2001/XMLSchema" xmlns:xs="http://www.w3.org/2001/XMLSchema" xmlns:p="http://schemas.microsoft.com/office/2006/metadata/properties" xmlns:ns2="666bae34-6e25-4200-951c-37ff8952d53f" xmlns:ns3="ad978288-04a1-4831-9970-6956df3b715e" targetNamespace="http://schemas.microsoft.com/office/2006/metadata/properties" ma:root="true" ma:fieldsID="77c499fe7f924ca944aa5ad9aea03cc5" ns2:_="" ns3:_="">
    <xsd:import namespace="666bae34-6e25-4200-951c-37ff8952d53f"/>
    <xsd:import namespace="ad978288-04a1-4831-9970-6956df3b715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6bae34-6e25-4200-951c-37ff8952d53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58c64cc-ee56-435d-b6d0-239f1a5e0d97"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d978288-04a1-4831-9970-6956df3b715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f49e56d6-1a3d-410f-a22d-9aa7c51d4345}" ma:internalName="TaxCatchAll" ma:showField="CatchAllData" ma:web="ad978288-04a1-4831-9970-6956df3b715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2692CBF-97EE-47CC-813F-1B66EA5AD97B}">
  <ds:schemaRefs>
    <ds:schemaRef ds:uri="http://schemas.openxmlformats.org/officeDocument/2006/bibliography"/>
  </ds:schemaRefs>
</ds:datastoreItem>
</file>

<file path=customXml/itemProps2.xml><?xml version="1.0" encoding="utf-8"?>
<ds:datastoreItem xmlns:ds="http://schemas.openxmlformats.org/officeDocument/2006/customXml" ds:itemID="{B930DE7C-9577-4EA8-AC89-8E2B6CC952CB}">
  <ds:schemaRefs>
    <ds:schemaRef ds:uri="http://schemas.microsoft.com/sharepoint/v3/contenttype/forms"/>
  </ds:schemaRefs>
</ds:datastoreItem>
</file>

<file path=customXml/itemProps3.xml><?xml version="1.0" encoding="utf-8"?>
<ds:datastoreItem xmlns:ds="http://schemas.openxmlformats.org/officeDocument/2006/customXml" ds:itemID="{D60E4752-B270-4867-90BA-5719077E84AA}">
  <ds:schemaRefs>
    <ds:schemaRef ds:uri="http://schemas.microsoft.com/office/2006/metadata/properties"/>
    <ds:schemaRef ds:uri="http://schemas.microsoft.com/office/infopath/2007/PartnerControls"/>
    <ds:schemaRef ds:uri="ad978288-04a1-4831-9970-6956df3b715e"/>
    <ds:schemaRef ds:uri="666bae34-6e25-4200-951c-37ff8952d53f"/>
  </ds:schemaRefs>
</ds:datastoreItem>
</file>

<file path=customXml/itemProps4.xml><?xml version="1.0" encoding="utf-8"?>
<ds:datastoreItem xmlns:ds="http://schemas.openxmlformats.org/officeDocument/2006/customXml" ds:itemID="{B6DF329D-B284-4ACC-A98A-B1E79CC537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6bae34-6e25-4200-951c-37ff8952d53f"/>
    <ds:schemaRef ds:uri="ad978288-04a1-4831-9970-6956df3b71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2721</ap:Words>
  <ap:Characters>15514</ap:Characters>
  <ap:Application>Microsoft Office Word</ap:Application>
  <ap:DocSecurity>0</ap:DocSecurity>
  <ap:Lines>129</ap:Lines>
  <ap:Paragraphs>36</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18199</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2024-06-04T18:06:00Z</cp:lastPrinted>
  <dcterms:created xsi:type="dcterms:W3CDTF">2024-06-28T09:01:39Z</dcterms:created>
  <dcterms:modified xsi:type="dcterms:W3CDTF">2024-06-28T09:01:39Z</dcterms:modified>
</cp:coreProperties>
</file>