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6538" w:rsidR="00CF17DE" w:rsidRDefault="004F2A1A" w14:paraId="4CC52C19" w14:textId="77777777">
      <w:pPr>
        <w:pStyle w:val="titlebar"/>
        <w:rPr>
          <w:szCs w:val="26"/>
        </w:rPr>
      </w:pPr>
      <w:r w:rsidRPr="00376538">
        <w:rPr>
          <w:szCs w:val="26"/>
        </w:rPr>
        <w:t>P</w:t>
      </w:r>
      <w:r w:rsidRPr="00376538" w:rsidR="00CF17DE">
        <w:rPr>
          <w:szCs w:val="26"/>
        </w:rPr>
        <w:t>UBLIC UTILITIES COMMISSION OF THE STATE OF CALIFORNIA</w:t>
      </w:r>
    </w:p>
    <w:p w:rsidR="00CF17DE" w:rsidRDefault="00CF17DE" w14:paraId="4339A3D5" w14:textId="77777777">
      <w:pPr>
        <w:suppressAutoHyphens/>
      </w:pPr>
    </w:p>
    <w:p w:rsidR="00D865A9" w:rsidP="00214D93" w:rsidRDefault="0057486D" w14:paraId="11CD066A" w14:textId="703B5929">
      <w:pPr>
        <w:tabs>
          <w:tab w:val="right" w:pos="9270"/>
        </w:tabs>
        <w:rPr>
          <w:rFonts w:ascii="Palatino Linotype" w:hAnsi="Palatino Linotype"/>
          <w:b/>
          <w:sz w:val="24"/>
          <w:szCs w:val="24"/>
        </w:rPr>
      </w:pPr>
      <w:r>
        <w:rPr>
          <w:rFonts w:ascii="Palatino Linotype" w:hAnsi="Palatino Linotype"/>
          <w:b/>
          <w:sz w:val="24"/>
          <w:szCs w:val="24"/>
        </w:rPr>
        <w:tab/>
      </w:r>
    </w:p>
    <w:p w:rsidR="00CF17DE" w:rsidP="000D665A" w:rsidRDefault="00593807" w14:paraId="017BDC90" w14:textId="77777777">
      <w:pPr>
        <w:tabs>
          <w:tab w:val="right" w:pos="9270"/>
        </w:tabs>
        <w:rPr>
          <w:rFonts w:ascii="Palatino Linotype" w:hAnsi="Palatino Linotype"/>
          <w:b/>
          <w:sz w:val="24"/>
          <w:szCs w:val="24"/>
        </w:rPr>
      </w:pPr>
      <w:r w:rsidRPr="00D865A9">
        <w:rPr>
          <w:rFonts w:ascii="Palatino Linotype" w:hAnsi="Palatino Linotype"/>
          <w:b/>
          <w:sz w:val="24"/>
          <w:szCs w:val="24"/>
        </w:rPr>
        <w:t>ENERGY DIVISION</w:t>
      </w:r>
      <w:r w:rsidRPr="00D865A9">
        <w:rPr>
          <w:rFonts w:ascii="Palatino Linotype" w:hAnsi="Palatino Linotype"/>
          <w:b/>
          <w:sz w:val="24"/>
          <w:szCs w:val="24"/>
        </w:rPr>
        <w:tab/>
      </w:r>
      <w:r w:rsidRPr="00D865A9" w:rsidR="00CF17DE">
        <w:rPr>
          <w:rFonts w:ascii="Palatino Linotype" w:hAnsi="Palatino Linotype"/>
          <w:b/>
          <w:sz w:val="24"/>
          <w:szCs w:val="24"/>
        </w:rPr>
        <w:t>RESOLUTION E-</w:t>
      </w:r>
      <w:r w:rsidR="009E7183">
        <w:rPr>
          <w:rFonts w:ascii="Palatino Linotype" w:hAnsi="Palatino Linotype"/>
          <w:b/>
          <w:sz w:val="24"/>
          <w:szCs w:val="24"/>
        </w:rPr>
        <w:t>5339</w:t>
      </w:r>
    </w:p>
    <w:p w:rsidRPr="00D865A9" w:rsidR="0020108F" w:rsidP="000D665A" w:rsidRDefault="0020108F" w14:paraId="07C941CE" w14:textId="77777777">
      <w:pPr>
        <w:tabs>
          <w:tab w:val="right" w:pos="9270"/>
        </w:tabs>
        <w:rPr>
          <w:rFonts w:ascii="Palatino Linotype" w:hAnsi="Palatino Linotype"/>
          <w:b/>
          <w:sz w:val="24"/>
          <w:szCs w:val="24"/>
        </w:rPr>
      </w:pPr>
      <w:r>
        <w:rPr>
          <w:rFonts w:ascii="Palatino Linotype" w:hAnsi="Palatino Linotype"/>
          <w:b/>
          <w:sz w:val="24"/>
          <w:szCs w:val="24"/>
        </w:rPr>
        <w:tab/>
      </w:r>
      <w:r w:rsidR="009E7183">
        <w:rPr>
          <w:rFonts w:ascii="Palatino Linotype" w:hAnsi="Palatino Linotype"/>
          <w:b/>
          <w:sz w:val="24"/>
          <w:szCs w:val="24"/>
        </w:rPr>
        <w:t>August 22, 2024</w:t>
      </w:r>
    </w:p>
    <w:p w:rsidRPr="00D865A9" w:rsidR="00CF17DE" w:rsidRDefault="00CF17DE" w14:paraId="4EEE25DF" w14:textId="77777777">
      <w:pPr>
        <w:tabs>
          <w:tab w:val="right" w:pos="8910"/>
        </w:tabs>
        <w:ind w:left="1440" w:firstLine="720"/>
        <w:rPr>
          <w:rFonts w:ascii="Palatino Linotype" w:hAnsi="Palatino Linotype"/>
          <w:b/>
          <w:sz w:val="24"/>
          <w:szCs w:val="24"/>
        </w:rPr>
      </w:pPr>
      <w:r w:rsidRPr="00D865A9">
        <w:rPr>
          <w:rFonts w:ascii="Palatino Linotype" w:hAnsi="Palatino Linotype"/>
          <w:b/>
          <w:sz w:val="24"/>
          <w:szCs w:val="24"/>
        </w:rPr>
        <w:tab/>
      </w:r>
    </w:p>
    <w:p w:rsidR="00CF17DE" w:rsidRDefault="00CF17DE" w14:paraId="212FBD88" w14:textId="77777777">
      <w:pPr>
        <w:tabs>
          <w:tab w:val="right" w:pos="8910"/>
        </w:tabs>
        <w:ind w:left="1440" w:firstLine="720"/>
        <w:rPr>
          <w:b/>
          <w:sz w:val="24"/>
        </w:rPr>
      </w:pPr>
    </w:p>
    <w:p w:rsidR="00CF17DE" w:rsidRDefault="00CF17DE" w14:paraId="3F86E093" w14:textId="77777777">
      <w:pPr>
        <w:pStyle w:val="mainex"/>
        <w:rPr>
          <w:u w:val="single"/>
        </w:rPr>
      </w:pPr>
      <w:bookmarkStart w:name="_Ref404993683" w:id="0"/>
      <w:r>
        <w:rPr>
          <w:u w:val="single"/>
        </w:rPr>
        <w:t>RESOLUTION</w:t>
      </w:r>
    </w:p>
    <w:p w:rsidR="00CF17DE" w:rsidRDefault="00CF17DE" w14:paraId="34623CE6" w14:textId="77777777"/>
    <w:p w:rsidR="00801D70" w:rsidP="009E7183" w:rsidRDefault="00B927B5" w14:paraId="37C700B2" w14:textId="77777777">
      <w:pPr>
        <w:pStyle w:val="Res-Caption"/>
        <w:rPr>
          <w:rFonts w:ascii="Palatino Linotype" w:hAnsi="Palatino Linotype"/>
          <w:sz w:val="24"/>
          <w:szCs w:val="24"/>
        </w:rPr>
      </w:pPr>
      <w:r w:rsidRPr="00D865A9">
        <w:rPr>
          <w:rFonts w:ascii="Palatino Linotype" w:hAnsi="Palatino Linotype"/>
          <w:sz w:val="24"/>
          <w:szCs w:val="24"/>
        </w:rPr>
        <w:t>Resolution E</w:t>
      </w:r>
      <w:r w:rsidR="00B85DB5">
        <w:rPr>
          <w:rFonts w:ascii="Palatino Linotype" w:hAnsi="Palatino Linotype"/>
          <w:sz w:val="24"/>
          <w:szCs w:val="24"/>
        </w:rPr>
        <w:t>-</w:t>
      </w:r>
      <w:r w:rsidR="009E7183">
        <w:rPr>
          <w:rFonts w:ascii="Palatino Linotype" w:hAnsi="Palatino Linotype"/>
          <w:sz w:val="24"/>
          <w:szCs w:val="24"/>
        </w:rPr>
        <w:t>5339:</w:t>
      </w:r>
      <w:r w:rsidRPr="00D865A9">
        <w:rPr>
          <w:rFonts w:ascii="Palatino Linotype" w:hAnsi="Palatino Linotype"/>
          <w:sz w:val="24"/>
          <w:szCs w:val="24"/>
        </w:rPr>
        <w:t xml:space="preserve">  </w:t>
      </w:r>
      <w:r w:rsidR="009E7183">
        <w:rPr>
          <w:rFonts w:ascii="Palatino Linotype" w:hAnsi="Palatino Linotype"/>
          <w:sz w:val="24"/>
          <w:szCs w:val="24"/>
        </w:rPr>
        <w:t>Modifications to the Small Business California Climate Credit Distribution Methodology</w:t>
      </w:r>
      <w:r w:rsidRPr="00D865A9" w:rsidR="00C034B7">
        <w:rPr>
          <w:rFonts w:ascii="Palatino Linotype" w:hAnsi="Palatino Linotype"/>
          <w:sz w:val="24"/>
          <w:szCs w:val="24"/>
        </w:rPr>
        <w:t xml:space="preserve"> </w:t>
      </w:r>
    </w:p>
    <w:p w:rsidRPr="00D865A9" w:rsidR="009E7183" w:rsidP="009E7183" w:rsidRDefault="009E7183" w14:paraId="68728EE5" w14:textId="77777777">
      <w:pPr>
        <w:pStyle w:val="Res-Caption"/>
        <w:rPr>
          <w:rFonts w:ascii="Palatino Linotype" w:hAnsi="Palatino Linotype"/>
          <w:sz w:val="24"/>
          <w:szCs w:val="24"/>
        </w:rPr>
      </w:pPr>
    </w:p>
    <w:p w:rsidRPr="00D865A9" w:rsidR="00DF35CC" w:rsidP="00DF35CC" w:rsidRDefault="00801D70" w14:paraId="0DE0C60E" w14:textId="77777777">
      <w:pPr>
        <w:pStyle w:val="Res-Caption"/>
        <w:rPr>
          <w:rFonts w:ascii="Palatino Linotype" w:hAnsi="Palatino Linotype"/>
          <w:sz w:val="24"/>
          <w:szCs w:val="24"/>
        </w:rPr>
      </w:pPr>
      <w:r w:rsidRPr="00D865A9">
        <w:rPr>
          <w:rFonts w:ascii="Palatino Linotype" w:hAnsi="Palatino Linotype"/>
          <w:sz w:val="24"/>
          <w:szCs w:val="24"/>
        </w:rPr>
        <w:t>PROPOSED OUTCOME:</w:t>
      </w:r>
      <w:r w:rsidRPr="00D865A9" w:rsidR="00142FB8">
        <w:rPr>
          <w:rFonts w:ascii="Palatino Linotype" w:hAnsi="Palatino Linotype"/>
          <w:sz w:val="24"/>
          <w:szCs w:val="24"/>
        </w:rPr>
        <w:t xml:space="preserve"> </w:t>
      </w:r>
    </w:p>
    <w:p w:rsidR="009E7183" w:rsidP="00DF35CC" w:rsidRDefault="009E7183" w14:paraId="031AB8EB" w14:textId="77777777">
      <w:pPr>
        <w:pStyle w:val="Res-Caption"/>
        <w:numPr>
          <w:ilvl w:val="0"/>
          <w:numId w:val="7"/>
        </w:numPr>
        <w:rPr>
          <w:rFonts w:ascii="Palatino Linotype" w:hAnsi="Palatino Linotype"/>
          <w:sz w:val="24"/>
          <w:szCs w:val="24"/>
        </w:rPr>
      </w:pPr>
      <w:r>
        <w:rPr>
          <w:rFonts w:ascii="Palatino Linotype" w:hAnsi="Palatino Linotype"/>
          <w:sz w:val="24"/>
          <w:szCs w:val="24"/>
        </w:rPr>
        <w:t>Changes the eligibility criteria used by the investor-owned utilities (IOUs) to</w:t>
      </w:r>
      <w:r w:rsidR="00E760E9">
        <w:rPr>
          <w:rFonts w:ascii="Palatino Linotype" w:hAnsi="Palatino Linotype"/>
          <w:sz w:val="24"/>
          <w:szCs w:val="24"/>
        </w:rPr>
        <w:t xml:space="preserve"> ensure prudency in the</w:t>
      </w:r>
      <w:r>
        <w:rPr>
          <w:rFonts w:ascii="Palatino Linotype" w:hAnsi="Palatino Linotype"/>
          <w:sz w:val="24"/>
          <w:szCs w:val="24"/>
        </w:rPr>
        <w:t xml:space="preserve"> distribut</w:t>
      </w:r>
      <w:r w:rsidR="00E760E9">
        <w:rPr>
          <w:rFonts w:ascii="Palatino Linotype" w:hAnsi="Palatino Linotype"/>
          <w:sz w:val="24"/>
          <w:szCs w:val="24"/>
        </w:rPr>
        <w:t>ion</w:t>
      </w:r>
      <w:r>
        <w:rPr>
          <w:rFonts w:ascii="Palatino Linotype" w:hAnsi="Palatino Linotype"/>
          <w:sz w:val="24"/>
          <w:szCs w:val="24"/>
        </w:rPr>
        <w:t xml:space="preserve"> </w:t>
      </w:r>
      <w:r w:rsidR="00E1690A">
        <w:rPr>
          <w:rFonts w:ascii="Palatino Linotype" w:hAnsi="Palatino Linotype"/>
          <w:sz w:val="24"/>
          <w:szCs w:val="24"/>
        </w:rPr>
        <w:t xml:space="preserve">of </w:t>
      </w:r>
      <w:r>
        <w:rPr>
          <w:rFonts w:ascii="Palatino Linotype" w:hAnsi="Palatino Linotype"/>
          <w:sz w:val="24"/>
          <w:szCs w:val="24"/>
        </w:rPr>
        <w:t>the Small Business California Climate Credit</w:t>
      </w:r>
      <w:r w:rsidR="00621E0C">
        <w:rPr>
          <w:rFonts w:ascii="Palatino Linotype" w:hAnsi="Palatino Linotype"/>
          <w:sz w:val="24"/>
          <w:szCs w:val="24"/>
        </w:rPr>
        <w:t>.</w:t>
      </w:r>
    </w:p>
    <w:p w:rsidR="006E102C" w:rsidP="00DF35CC" w:rsidRDefault="00FB5CCD" w14:paraId="3334BAD5" w14:textId="77777777">
      <w:pPr>
        <w:pStyle w:val="Res-Caption"/>
        <w:numPr>
          <w:ilvl w:val="0"/>
          <w:numId w:val="7"/>
        </w:numPr>
        <w:rPr>
          <w:rFonts w:ascii="Palatino Linotype" w:hAnsi="Palatino Linotype"/>
          <w:sz w:val="24"/>
          <w:szCs w:val="24"/>
        </w:rPr>
      </w:pPr>
      <w:r>
        <w:rPr>
          <w:rFonts w:ascii="Palatino Linotype" w:hAnsi="Palatino Linotype"/>
          <w:sz w:val="24"/>
          <w:szCs w:val="24"/>
        </w:rPr>
        <w:t>Recipient</w:t>
      </w:r>
      <w:r w:rsidR="00F44D6D">
        <w:rPr>
          <w:rFonts w:ascii="Palatino Linotype" w:hAnsi="Palatino Linotype"/>
          <w:sz w:val="24"/>
          <w:szCs w:val="24"/>
        </w:rPr>
        <w:t>s with 100</w:t>
      </w:r>
      <w:r w:rsidR="00847613">
        <w:rPr>
          <w:rFonts w:ascii="Palatino Linotype" w:hAnsi="Palatino Linotype"/>
          <w:sz w:val="24"/>
          <w:szCs w:val="24"/>
        </w:rPr>
        <w:t xml:space="preserve"> or more</w:t>
      </w:r>
      <w:r w:rsidR="00F44D6D">
        <w:rPr>
          <w:rFonts w:ascii="Palatino Linotype" w:hAnsi="Palatino Linotype"/>
          <w:sz w:val="24"/>
          <w:szCs w:val="24"/>
        </w:rPr>
        <w:t xml:space="preserve"> </w:t>
      </w:r>
      <w:r w:rsidR="006E102C">
        <w:rPr>
          <w:rFonts w:ascii="Palatino Linotype" w:hAnsi="Palatino Linotype"/>
          <w:sz w:val="24"/>
          <w:szCs w:val="24"/>
        </w:rPr>
        <w:t>eligible accounts</w:t>
      </w:r>
      <w:r w:rsidR="00847613">
        <w:rPr>
          <w:rFonts w:ascii="Palatino Linotype" w:hAnsi="Palatino Linotype"/>
          <w:sz w:val="24"/>
          <w:szCs w:val="24"/>
        </w:rPr>
        <w:t xml:space="preserve"> under the existing usage </w:t>
      </w:r>
      <w:r w:rsidR="005072FC">
        <w:rPr>
          <w:rFonts w:ascii="Palatino Linotype" w:hAnsi="Palatino Linotype"/>
          <w:sz w:val="24"/>
          <w:szCs w:val="24"/>
        </w:rPr>
        <w:t>c</w:t>
      </w:r>
      <w:r w:rsidR="00847613">
        <w:rPr>
          <w:rFonts w:ascii="Palatino Linotype" w:hAnsi="Palatino Linotype"/>
          <w:sz w:val="24"/>
          <w:szCs w:val="24"/>
        </w:rPr>
        <w:t>riteria</w:t>
      </w:r>
      <w:r w:rsidR="006E102C">
        <w:rPr>
          <w:rFonts w:ascii="Palatino Linotype" w:hAnsi="Palatino Linotype"/>
          <w:sz w:val="24"/>
          <w:szCs w:val="24"/>
        </w:rPr>
        <w:t xml:space="preserve"> </w:t>
      </w:r>
      <w:r w:rsidR="00F44D6D">
        <w:rPr>
          <w:rFonts w:ascii="Palatino Linotype" w:hAnsi="Palatino Linotype"/>
          <w:sz w:val="24"/>
          <w:szCs w:val="24"/>
        </w:rPr>
        <w:t>are no long</w:t>
      </w:r>
      <w:r w:rsidR="00847613">
        <w:rPr>
          <w:rFonts w:ascii="Palatino Linotype" w:hAnsi="Palatino Linotype"/>
          <w:sz w:val="24"/>
          <w:szCs w:val="24"/>
        </w:rPr>
        <w:t>er eligible</w:t>
      </w:r>
      <w:r w:rsidR="006E102C">
        <w:rPr>
          <w:rFonts w:ascii="Palatino Linotype" w:hAnsi="Palatino Linotype"/>
          <w:sz w:val="24"/>
          <w:szCs w:val="24"/>
        </w:rPr>
        <w:t xml:space="preserve"> to receive the Small Business California Climate Credit</w:t>
      </w:r>
      <w:r w:rsidR="00847613">
        <w:rPr>
          <w:rFonts w:ascii="Palatino Linotype" w:hAnsi="Palatino Linotype"/>
          <w:sz w:val="24"/>
          <w:szCs w:val="24"/>
        </w:rPr>
        <w:t xml:space="preserve"> on any account</w:t>
      </w:r>
      <w:r w:rsidR="006E102C">
        <w:rPr>
          <w:rFonts w:ascii="Palatino Linotype" w:hAnsi="Palatino Linotype"/>
          <w:sz w:val="24"/>
          <w:szCs w:val="24"/>
        </w:rPr>
        <w:t>.</w:t>
      </w:r>
    </w:p>
    <w:p w:rsidR="004221BE" w:rsidP="00241760" w:rsidRDefault="004221BE" w14:paraId="08F03E59" w14:textId="77777777">
      <w:pPr>
        <w:pStyle w:val="Res-Caption"/>
        <w:numPr>
          <w:ilvl w:val="0"/>
          <w:numId w:val="7"/>
        </w:numPr>
        <w:rPr>
          <w:rFonts w:ascii="Palatino Linotype" w:hAnsi="Palatino Linotype"/>
          <w:sz w:val="24"/>
          <w:szCs w:val="24"/>
        </w:rPr>
      </w:pPr>
      <w:r>
        <w:rPr>
          <w:rFonts w:ascii="Palatino Linotype" w:hAnsi="Palatino Linotype"/>
          <w:sz w:val="24"/>
          <w:szCs w:val="24"/>
        </w:rPr>
        <w:t xml:space="preserve">Establishes notification requirements </w:t>
      </w:r>
      <w:r w:rsidR="00F72EEC">
        <w:rPr>
          <w:rFonts w:ascii="Palatino Linotype" w:hAnsi="Palatino Linotype"/>
          <w:sz w:val="24"/>
          <w:szCs w:val="24"/>
        </w:rPr>
        <w:t>by IOUs to</w:t>
      </w:r>
      <w:r>
        <w:rPr>
          <w:rFonts w:ascii="Palatino Linotype" w:hAnsi="Palatino Linotype"/>
          <w:sz w:val="24"/>
          <w:szCs w:val="24"/>
        </w:rPr>
        <w:t xml:space="preserve"> </w:t>
      </w:r>
      <w:r w:rsidR="00922213">
        <w:rPr>
          <w:rFonts w:ascii="Palatino Linotype" w:hAnsi="Palatino Linotype"/>
          <w:sz w:val="24"/>
          <w:szCs w:val="24"/>
        </w:rPr>
        <w:t>newly ineligible</w:t>
      </w:r>
      <w:r>
        <w:rPr>
          <w:rFonts w:ascii="Palatino Linotype" w:hAnsi="Palatino Linotype"/>
          <w:sz w:val="24"/>
          <w:szCs w:val="24"/>
        </w:rPr>
        <w:t xml:space="preserve"> recipients.</w:t>
      </w:r>
    </w:p>
    <w:p w:rsidRPr="00241760" w:rsidR="00354847" w:rsidP="00241760" w:rsidRDefault="00354847" w14:paraId="039492F5" w14:textId="77777777">
      <w:pPr>
        <w:pStyle w:val="Res-Caption"/>
        <w:numPr>
          <w:ilvl w:val="0"/>
          <w:numId w:val="7"/>
        </w:numPr>
        <w:rPr>
          <w:rFonts w:ascii="Palatino Linotype" w:hAnsi="Palatino Linotype"/>
          <w:sz w:val="24"/>
          <w:szCs w:val="24"/>
        </w:rPr>
      </w:pPr>
      <w:r w:rsidRPr="00354847">
        <w:rPr>
          <w:rFonts w:ascii="Palatino Linotype" w:hAnsi="Palatino Linotype"/>
          <w:sz w:val="24"/>
          <w:szCs w:val="24"/>
        </w:rPr>
        <w:t>Establishes notification requirements by IOUs to Energy Division for eligibility changes.</w:t>
      </w:r>
    </w:p>
    <w:p w:rsidRPr="00D865A9" w:rsidR="00F51F8B" w:rsidRDefault="00F51F8B" w14:paraId="75D68470" w14:textId="77777777">
      <w:pPr>
        <w:pStyle w:val="Res-Caption"/>
        <w:rPr>
          <w:rFonts w:ascii="Palatino Linotype" w:hAnsi="Palatino Linotype"/>
          <w:sz w:val="24"/>
          <w:szCs w:val="24"/>
        </w:rPr>
      </w:pPr>
    </w:p>
    <w:p w:rsidRPr="00D865A9" w:rsidR="00F51F8B" w:rsidRDefault="00F51F8B" w14:paraId="41A3A8CF" w14:textId="77777777">
      <w:pPr>
        <w:pStyle w:val="Res-Caption"/>
        <w:rPr>
          <w:rFonts w:ascii="Palatino Linotype" w:hAnsi="Palatino Linotype"/>
          <w:sz w:val="24"/>
          <w:szCs w:val="24"/>
        </w:rPr>
      </w:pPr>
      <w:r w:rsidRPr="00D865A9">
        <w:rPr>
          <w:rFonts w:ascii="Palatino Linotype" w:hAnsi="Palatino Linotype"/>
          <w:sz w:val="24"/>
          <w:szCs w:val="24"/>
        </w:rPr>
        <w:t>SAFETY CONSIDERATIONS:</w:t>
      </w:r>
    </w:p>
    <w:p w:rsidRPr="009E7183" w:rsidR="00801D70" w:rsidP="009E7183" w:rsidRDefault="003B28DC" w14:paraId="3E8FEB3C" w14:textId="77777777">
      <w:pPr>
        <w:pStyle w:val="Res-Caption"/>
        <w:numPr>
          <w:ilvl w:val="0"/>
          <w:numId w:val="6"/>
        </w:numPr>
        <w:ind w:right="540"/>
        <w:rPr>
          <w:rFonts w:ascii="Palatino Linotype" w:hAnsi="Palatino Linotype"/>
          <w:sz w:val="24"/>
          <w:szCs w:val="24"/>
        </w:rPr>
      </w:pPr>
      <w:r w:rsidRPr="009E7183">
        <w:rPr>
          <w:rFonts w:ascii="Palatino Linotype" w:hAnsi="Palatino Linotype"/>
          <w:sz w:val="24"/>
          <w:szCs w:val="24"/>
        </w:rPr>
        <w:t>There are no safety considerations associated with this resolution.</w:t>
      </w:r>
    </w:p>
    <w:p w:rsidRPr="00D865A9" w:rsidR="009E7183" w:rsidP="009E7183" w:rsidRDefault="009E7183" w14:paraId="32403510" w14:textId="77777777">
      <w:pPr>
        <w:pStyle w:val="Res-Caption"/>
        <w:shd w:val="clear" w:color="auto" w:fill="FFFFFF"/>
        <w:ind w:left="1440" w:right="540"/>
        <w:rPr>
          <w:rFonts w:ascii="Palatino Linotype" w:hAnsi="Palatino Linotype"/>
          <w:sz w:val="24"/>
          <w:szCs w:val="24"/>
        </w:rPr>
      </w:pPr>
    </w:p>
    <w:p w:rsidRPr="00D865A9" w:rsidR="00801D70" w:rsidRDefault="00801D70" w14:paraId="64407F9A" w14:textId="77777777">
      <w:pPr>
        <w:pStyle w:val="Res-Caption"/>
        <w:rPr>
          <w:rFonts w:ascii="Palatino Linotype" w:hAnsi="Palatino Linotype"/>
          <w:sz w:val="24"/>
          <w:szCs w:val="24"/>
        </w:rPr>
      </w:pPr>
      <w:r w:rsidRPr="00D865A9">
        <w:rPr>
          <w:rFonts w:ascii="Palatino Linotype" w:hAnsi="Palatino Linotype"/>
          <w:sz w:val="24"/>
          <w:szCs w:val="24"/>
        </w:rPr>
        <w:t xml:space="preserve">ESTIMATED COST:  </w:t>
      </w:r>
    </w:p>
    <w:p w:rsidR="000116F6" w:rsidP="006E102C" w:rsidRDefault="000116F6" w14:paraId="196C1A27" w14:textId="77777777">
      <w:pPr>
        <w:pStyle w:val="Res-Caption"/>
        <w:numPr>
          <w:ilvl w:val="0"/>
          <w:numId w:val="6"/>
        </w:numPr>
        <w:rPr>
          <w:rFonts w:ascii="Palatino Linotype" w:hAnsi="Palatino Linotype"/>
          <w:sz w:val="24"/>
          <w:szCs w:val="24"/>
        </w:rPr>
      </w:pPr>
      <w:r>
        <w:rPr>
          <w:rFonts w:ascii="Palatino Linotype" w:hAnsi="Palatino Linotype"/>
          <w:sz w:val="24"/>
          <w:szCs w:val="24"/>
        </w:rPr>
        <w:t>Only minor</w:t>
      </w:r>
      <w:r w:rsidR="00313FF5">
        <w:rPr>
          <w:rFonts w:ascii="Palatino Linotype" w:hAnsi="Palatino Linotype"/>
          <w:sz w:val="24"/>
          <w:szCs w:val="24"/>
        </w:rPr>
        <w:t xml:space="preserve"> administrative and outreach</w:t>
      </w:r>
      <w:r>
        <w:rPr>
          <w:rFonts w:ascii="Palatino Linotype" w:hAnsi="Palatino Linotype"/>
          <w:sz w:val="24"/>
          <w:szCs w:val="24"/>
        </w:rPr>
        <w:t xml:space="preserve"> costs are expected </w:t>
      </w:r>
      <w:r w:rsidR="00313FF5">
        <w:rPr>
          <w:rFonts w:ascii="Palatino Linotype" w:hAnsi="Palatino Linotype"/>
          <w:sz w:val="24"/>
          <w:szCs w:val="24"/>
        </w:rPr>
        <w:t xml:space="preserve">for </w:t>
      </w:r>
      <w:r w:rsidR="0057168A">
        <w:rPr>
          <w:rFonts w:ascii="Palatino Linotype" w:hAnsi="Palatino Linotype"/>
          <w:sz w:val="24"/>
          <w:szCs w:val="24"/>
        </w:rPr>
        <w:br/>
      </w:r>
      <w:r w:rsidR="007C3DC0">
        <w:rPr>
          <w:rFonts w:ascii="Palatino Linotype" w:hAnsi="Palatino Linotype"/>
          <w:sz w:val="24"/>
          <w:szCs w:val="24"/>
        </w:rPr>
        <w:t xml:space="preserve">(1) eligibility determination by the IOUs and (2) </w:t>
      </w:r>
      <w:r w:rsidR="00313FF5">
        <w:rPr>
          <w:rFonts w:ascii="Palatino Linotype" w:hAnsi="Palatino Linotype"/>
          <w:sz w:val="24"/>
          <w:szCs w:val="24"/>
        </w:rPr>
        <w:t>notification of impacted recipients</w:t>
      </w:r>
      <w:r w:rsidR="007C3DC0">
        <w:rPr>
          <w:rFonts w:ascii="Palatino Linotype" w:hAnsi="Palatino Linotype"/>
          <w:sz w:val="24"/>
          <w:szCs w:val="24"/>
        </w:rPr>
        <w:t>.</w:t>
      </w:r>
      <w:r w:rsidR="00313FF5">
        <w:rPr>
          <w:rFonts w:ascii="Palatino Linotype" w:hAnsi="Palatino Linotype"/>
          <w:sz w:val="24"/>
          <w:szCs w:val="24"/>
        </w:rPr>
        <w:t xml:space="preserve"> </w:t>
      </w:r>
    </w:p>
    <w:p w:rsidR="00CF17DE" w:rsidP="00E056ED" w:rsidRDefault="00AE6EE8" w14:paraId="63341086" w14:textId="77777777">
      <w:pPr>
        <w:pStyle w:val="Res-Caption"/>
        <w:numPr>
          <w:ilvl w:val="0"/>
          <w:numId w:val="6"/>
        </w:numPr>
        <w:rPr>
          <w:rFonts w:ascii="Palatino Linotype" w:hAnsi="Palatino Linotype"/>
          <w:sz w:val="24"/>
          <w:szCs w:val="24"/>
        </w:rPr>
      </w:pPr>
      <w:r>
        <w:rPr>
          <w:rFonts w:ascii="Palatino Linotype" w:hAnsi="Palatino Linotype"/>
          <w:sz w:val="24"/>
          <w:szCs w:val="24"/>
        </w:rPr>
        <w:t>Residential</w:t>
      </w:r>
      <w:r w:rsidR="0060207F">
        <w:rPr>
          <w:rFonts w:ascii="Palatino Linotype" w:hAnsi="Palatino Linotype"/>
          <w:sz w:val="24"/>
          <w:szCs w:val="24"/>
        </w:rPr>
        <w:t xml:space="preserve"> and remaining small business recipients</w:t>
      </w:r>
      <w:r>
        <w:rPr>
          <w:rFonts w:ascii="Palatino Linotype" w:hAnsi="Palatino Linotype"/>
          <w:sz w:val="24"/>
          <w:szCs w:val="24"/>
        </w:rPr>
        <w:t xml:space="preserve"> will receive an estimated incre</w:t>
      </w:r>
      <w:r w:rsidRPr="0060207F">
        <w:rPr>
          <w:rFonts w:ascii="Palatino Linotype" w:hAnsi="Palatino Linotype"/>
          <w:sz w:val="24"/>
          <w:szCs w:val="24"/>
        </w:rPr>
        <w:t>as</w:t>
      </w:r>
      <w:r w:rsidRPr="00E1192E">
        <w:rPr>
          <w:rFonts w:ascii="Palatino Linotype" w:hAnsi="Palatino Linotype"/>
          <w:sz w:val="24"/>
          <w:szCs w:val="24"/>
        </w:rPr>
        <w:t xml:space="preserve">e of </w:t>
      </w:r>
      <w:r w:rsidRPr="00E1192E" w:rsidR="0060207F">
        <w:rPr>
          <w:rFonts w:ascii="Palatino Linotype" w:hAnsi="Palatino Linotype"/>
          <w:sz w:val="24"/>
          <w:szCs w:val="24"/>
        </w:rPr>
        <w:t>1.</w:t>
      </w:r>
      <w:r w:rsidRPr="00E1192E" w:rsidR="00E1192E">
        <w:rPr>
          <w:rFonts w:ascii="Palatino Linotype" w:hAnsi="Palatino Linotype"/>
          <w:sz w:val="24"/>
          <w:szCs w:val="24"/>
        </w:rPr>
        <w:t>2</w:t>
      </w:r>
      <w:r w:rsidRPr="00E1192E">
        <w:rPr>
          <w:rFonts w:ascii="Palatino Linotype" w:hAnsi="Palatino Linotype"/>
          <w:sz w:val="24"/>
          <w:szCs w:val="24"/>
        </w:rPr>
        <w:t>% in the</w:t>
      </w:r>
      <w:r w:rsidRPr="0060207F">
        <w:rPr>
          <w:rFonts w:ascii="Palatino Linotype" w:hAnsi="Palatino Linotype"/>
          <w:sz w:val="24"/>
          <w:szCs w:val="24"/>
        </w:rPr>
        <w:t xml:space="preserve"> value of future California Climate Credits</w:t>
      </w:r>
      <w:r w:rsidR="00241760">
        <w:rPr>
          <w:rFonts w:ascii="Palatino Linotype" w:hAnsi="Palatino Linotype"/>
          <w:sz w:val="24"/>
          <w:szCs w:val="24"/>
        </w:rPr>
        <w:t>.</w:t>
      </w:r>
    </w:p>
    <w:p w:rsidRPr="00E056ED" w:rsidR="00241760" w:rsidP="00E056ED" w:rsidRDefault="00241760" w14:paraId="5F6AD406" w14:textId="77777777">
      <w:pPr>
        <w:pStyle w:val="Res-Caption"/>
        <w:numPr>
          <w:ilvl w:val="0"/>
          <w:numId w:val="6"/>
        </w:numPr>
        <w:rPr>
          <w:rFonts w:ascii="Palatino Linotype" w:hAnsi="Palatino Linotype"/>
          <w:sz w:val="24"/>
          <w:szCs w:val="24"/>
        </w:rPr>
      </w:pPr>
      <w:r>
        <w:rPr>
          <w:rFonts w:ascii="Palatino Linotype" w:hAnsi="Palatino Linotype"/>
          <w:sz w:val="24"/>
          <w:szCs w:val="24"/>
        </w:rPr>
        <w:t>If implemented in time for the October 2024 distribution, remaining Residential and Small Business California Climate Credit</w:t>
      </w:r>
      <w:r w:rsidR="008570C2">
        <w:rPr>
          <w:rFonts w:ascii="Palatino Linotype" w:hAnsi="Palatino Linotype"/>
          <w:sz w:val="24"/>
          <w:szCs w:val="24"/>
        </w:rPr>
        <w:t xml:space="preserve"> recipients</w:t>
      </w:r>
      <w:r>
        <w:rPr>
          <w:rFonts w:ascii="Palatino Linotype" w:hAnsi="Palatino Linotype"/>
          <w:sz w:val="24"/>
          <w:szCs w:val="24"/>
        </w:rPr>
        <w:t xml:space="preserve"> will receive an additional $11.1 million</w:t>
      </w:r>
      <w:r w:rsidR="007F641D">
        <w:rPr>
          <w:rFonts w:ascii="Palatino Linotype" w:hAnsi="Palatino Linotype"/>
          <w:sz w:val="24"/>
          <w:szCs w:val="24"/>
        </w:rPr>
        <w:t xml:space="preserve"> in a future distribution</w:t>
      </w:r>
      <w:r>
        <w:rPr>
          <w:rFonts w:ascii="Palatino Linotype" w:hAnsi="Palatino Linotype"/>
          <w:sz w:val="24"/>
          <w:szCs w:val="24"/>
        </w:rPr>
        <w:t>.</w:t>
      </w:r>
    </w:p>
    <w:p w:rsidRPr="00D865A9" w:rsidR="00CF17DE" w:rsidRDefault="00CF17DE" w14:paraId="2054C0E0" w14:textId="77777777">
      <w:pPr>
        <w:jc w:val="center"/>
        <w:rPr>
          <w:rFonts w:ascii="Palatino Linotype" w:hAnsi="Palatino Linotype"/>
          <w:sz w:val="24"/>
          <w:szCs w:val="24"/>
        </w:rPr>
      </w:pPr>
      <w:r w:rsidRPr="00D865A9">
        <w:rPr>
          <w:rFonts w:ascii="Palatino Linotype" w:hAnsi="Palatino Linotype"/>
          <w:sz w:val="24"/>
          <w:szCs w:val="24"/>
        </w:rPr>
        <w:t>__________________________________________________________</w:t>
      </w:r>
    </w:p>
    <w:p w:rsidRPr="00D865A9" w:rsidR="00CF17DE" w:rsidRDefault="00CF17DE" w14:paraId="6E780AEB" w14:textId="77777777">
      <w:pPr>
        <w:pStyle w:val="Heading1"/>
        <w:rPr>
          <w:rFonts w:ascii="Palatino Linotype" w:hAnsi="Palatino Linotype"/>
          <w:sz w:val="24"/>
          <w:szCs w:val="24"/>
        </w:rPr>
      </w:pPr>
      <w:r w:rsidRPr="00D865A9">
        <w:rPr>
          <w:rFonts w:ascii="Palatino Linotype" w:hAnsi="Palatino Linotype"/>
          <w:sz w:val="24"/>
          <w:szCs w:val="24"/>
        </w:rPr>
        <w:lastRenderedPageBreak/>
        <w:t>Summary</w:t>
      </w:r>
      <w:bookmarkEnd w:id="0"/>
    </w:p>
    <w:p w:rsidR="00057741" w:rsidRDefault="00CF17DE" w14:paraId="0E47C665" w14:textId="77777777">
      <w:pPr>
        <w:rPr>
          <w:rFonts w:ascii="Palatino Linotype" w:hAnsi="Palatino Linotype"/>
          <w:sz w:val="24"/>
          <w:szCs w:val="24"/>
        </w:rPr>
      </w:pPr>
      <w:r w:rsidRPr="00D865A9">
        <w:rPr>
          <w:rFonts w:ascii="Palatino Linotype" w:hAnsi="Palatino Linotype"/>
          <w:sz w:val="24"/>
          <w:szCs w:val="24"/>
        </w:rPr>
        <w:t xml:space="preserve">This Resolution </w:t>
      </w:r>
      <w:r w:rsidR="00057741">
        <w:rPr>
          <w:rFonts w:ascii="Palatino Linotype" w:hAnsi="Palatino Linotype"/>
          <w:sz w:val="24"/>
          <w:szCs w:val="24"/>
        </w:rPr>
        <w:t>modifies the eligibility criteria used by all</w:t>
      </w:r>
      <w:r w:rsidR="00FE04B1">
        <w:rPr>
          <w:rFonts w:ascii="Palatino Linotype" w:hAnsi="Palatino Linotype"/>
          <w:sz w:val="24"/>
          <w:szCs w:val="24"/>
        </w:rPr>
        <w:t xml:space="preserve"> electric</w:t>
      </w:r>
      <w:r w:rsidR="00057741">
        <w:rPr>
          <w:rFonts w:ascii="Palatino Linotype" w:hAnsi="Palatino Linotype"/>
          <w:sz w:val="24"/>
          <w:szCs w:val="24"/>
        </w:rPr>
        <w:t xml:space="preserve"> California investor-owned utilities (IOUs)</w:t>
      </w:r>
      <w:r w:rsidR="00057741">
        <w:rPr>
          <w:rStyle w:val="FootnoteReference"/>
          <w:rFonts w:ascii="Palatino Linotype" w:hAnsi="Palatino Linotype"/>
          <w:sz w:val="24"/>
          <w:szCs w:val="24"/>
        </w:rPr>
        <w:footnoteReference w:id="2"/>
      </w:r>
      <w:r w:rsidR="00057741">
        <w:rPr>
          <w:rFonts w:ascii="Palatino Linotype" w:hAnsi="Palatino Linotype"/>
          <w:sz w:val="24"/>
          <w:szCs w:val="24"/>
        </w:rPr>
        <w:t xml:space="preserve"> when distributing the Small Business California Climate Credit by </w:t>
      </w:r>
      <w:r w:rsidRPr="00FE04B1" w:rsidR="00057741">
        <w:rPr>
          <w:rFonts w:ascii="Palatino Linotype" w:hAnsi="Palatino Linotype"/>
          <w:sz w:val="24"/>
          <w:szCs w:val="24"/>
        </w:rPr>
        <w:t>imposing a</w:t>
      </w:r>
      <w:r w:rsidRPr="00FE04B1" w:rsidR="00937685">
        <w:rPr>
          <w:rFonts w:ascii="Palatino Linotype" w:hAnsi="Palatino Linotype"/>
          <w:sz w:val="24"/>
          <w:szCs w:val="24"/>
        </w:rPr>
        <w:t xml:space="preserve"> 100</w:t>
      </w:r>
      <w:r w:rsidRPr="00FE04B1" w:rsidR="00A04BA0">
        <w:rPr>
          <w:rFonts w:ascii="Palatino Linotype" w:hAnsi="Palatino Linotype"/>
          <w:sz w:val="24"/>
          <w:szCs w:val="24"/>
        </w:rPr>
        <w:t xml:space="preserve"> account</w:t>
      </w:r>
      <w:r w:rsidRPr="00FE04B1" w:rsidR="00057741">
        <w:rPr>
          <w:rFonts w:ascii="Palatino Linotype" w:hAnsi="Palatino Linotype"/>
          <w:sz w:val="24"/>
          <w:szCs w:val="24"/>
        </w:rPr>
        <w:t xml:space="preserve"> cap on</w:t>
      </w:r>
      <w:r w:rsidR="00057741">
        <w:rPr>
          <w:rFonts w:ascii="Palatino Linotype" w:hAnsi="Palatino Linotype"/>
          <w:sz w:val="24"/>
          <w:szCs w:val="24"/>
        </w:rPr>
        <w:t xml:space="preserve"> the number of eligible accounts a single entity can control</w:t>
      </w:r>
      <w:r w:rsidR="00EA7602">
        <w:rPr>
          <w:rFonts w:ascii="Palatino Linotype" w:hAnsi="Palatino Linotype"/>
          <w:sz w:val="24"/>
          <w:szCs w:val="24"/>
        </w:rPr>
        <w:t>. For businesses that operate across IOU territories, the cap applies separately</w:t>
      </w:r>
      <w:r w:rsidR="008C2118">
        <w:rPr>
          <w:rFonts w:ascii="Palatino Linotype" w:hAnsi="Palatino Linotype"/>
          <w:sz w:val="24"/>
          <w:szCs w:val="24"/>
        </w:rPr>
        <w:t xml:space="preserve"> in each IOU territory</w:t>
      </w:r>
      <w:r w:rsidR="00057741">
        <w:rPr>
          <w:rFonts w:ascii="Palatino Linotype" w:hAnsi="Palatino Linotype"/>
          <w:sz w:val="24"/>
          <w:szCs w:val="24"/>
        </w:rPr>
        <w:t xml:space="preserve">. </w:t>
      </w:r>
      <w:r w:rsidR="00A04BA0">
        <w:rPr>
          <w:rFonts w:ascii="Palatino Linotype" w:hAnsi="Palatino Linotype"/>
          <w:sz w:val="24"/>
          <w:szCs w:val="24"/>
        </w:rPr>
        <w:t xml:space="preserve">Entities with a total number of eligible accounts </w:t>
      </w:r>
      <w:proofErr w:type="gramStart"/>
      <w:r w:rsidR="00A04BA0">
        <w:rPr>
          <w:rFonts w:ascii="Palatino Linotype" w:hAnsi="Palatino Linotype"/>
          <w:sz w:val="24"/>
          <w:szCs w:val="24"/>
        </w:rPr>
        <w:t>in excess of</w:t>
      </w:r>
      <w:proofErr w:type="gramEnd"/>
      <w:r w:rsidR="00A04BA0">
        <w:rPr>
          <w:rFonts w:ascii="Palatino Linotype" w:hAnsi="Palatino Linotype"/>
          <w:sz w:val="24"/>
          <w:szCs w:val="24"/>
        </w:rPr>
        <w:t xml:space="preserve"> the cap </w:t>
      </w:r>
      <w:r w:rsidR="00FE04B1">
        <w:rPr>
          <w:rFonts w:ascii="Palatino Linotype" w:hAnsi="Palatino Linotype"/>
          <w:sz w:val="24"/>
          <w:szCs w:val="24"/>
        </w:rPr>
        <w:t xml:space="preserve">are ineligible for the credit and </w:t>
      </w:r>
      <w:r w:rsidR="00A04BA0">
        <w:rPr>
          <w:rFonts w:ascii="Palatino Linotype" w:hAnsi="Palatino Linotype"/>
          <w:sz w:val="24"/>
          <w:szCs w:val="24"/>
        </w:rPr>
        <w:t>receive no Small Business California Climate Credit applied to any account.</w:t>
      </w:r>
      <w:r w:rsidR="00FE04B1">
        <w:rPr>
          <w:rFonts w:ascii="Palatino Linotype" w:hAnsi="Palatino Linotype"/>
          <w:sz w:val="24"/>
          <w:szCs w:val="24"/>
        </w:rPr>
        <w:t xml:space="preserve"> </w:t>
      </w:r>
      <w:r w:rsidR="00057741">
        <w:rPr>
          <w:rFonts w:ascii="Palatino Linotype" w:hAnsi="Palatino Linotype"/>
          <w:sz w:val="24"/>
          <w:szCs w:val="24"/>
        </w:rPr>
        <w:t>The per-account usage criteria established in D.13-12-00</w:t>
      </w:r>
      <w:r w:rsidR="00A46BB8">
        <w:rPr>
          <w:rFonts w:ascii="Palatino Linotype" w:hAnsi="Palatino Linotype"/>
          <w:sz w:val="24"/>
          <w:szCs w:val="24"/>
        </w:rPr>
        <w:t>2</w:t>
      </w:r>
      <w:r w:rsidR="00F35B6E">
        <w:rPr>
          <w:rFonts w:ascii="Palatino Linotype" w:hAnsi="Palatino Linotype"/>
          <w:sz w:val="24"/>
          <w:szCs w:val="24"/>
        </w:rPr>
        <w:t xml:space="preserve"> </w:t>
      </w:r>
      <w:r w:rsidR="00057741">
        <w:rPr>
          <w:rFonts w:ascii="Palatino Linotype" w:hAnsi="Palatino Linotype"/>
          <w:sz w:val="24"/>
          <w:szCs w:val="24"/>
        </w:rPr>
        <w:t>remain unchanged.</w:t>
      </w:r>
      <w:r w:rsidR="00F35B6E">
        <w:rPr>
          <w:rStyle w:val="FootnoteReference"/>
          <w:rFonts w:ascii="Palatino Linotype" w:hAnsi="Palatino Linotype"/>
          <w:sz w:val="24"/>
          <w:szCs w:val="24"/>
        </w:rPr>
        <w:footnoteReference w:id="3"/>
      </w:r>
      <w:r w:rsidR="00057741">
        <w:rPr>
          <w:rFonts w:ascii="Palatino Linotype" w:hAnsi="Palatino Linotype"/>
          <w:sz w:val="24"/>
          <w:szCs w:val="24"/>
        </w:rPr>
        <w:t xml:space="preserve"> </w:t>
      </w:r>
      <w:r w:rsidR="00F35B6E">
        <w:rPr>
          <w:rFonts w:ascii="Palatino Linotype" w:hAnsi="Palatino Linotype"/>
          <w:sz w:val="24"/>
          <w:szCs w:val="24"/>
        </w:rPr>
        <w:t xml:space="preserve">The methodology to calculate the amount of credit remains unchanged. </w:t>
      </w:r>
    </w:p>
    <w:p w:rsidR="001E2E9B" w:rsidRDefault="001E2E9B" w14:paraId="7292CF41" w14:textId="77777777">
      <w:pPr>
        <w:rPr>
          <w:rFonts w:ascii="Palatino Linotype" w:hAnsi="Palatino Linotype"/>
          <w:sz w:val="24"/>
          <w:szCs w:val="24"/>
        </w:rPr>
      </w:pPr>
    </w:p>
    <w:p w:rsidR="00EA7602" w:rsidRDefault="00FE04B1" w14:paraId="0525E428" w14:textId="77777777">
      <w:pPr>
        <w:rPr>
          <w:rFonts w:ascii="Palatino Linotype" w:hAnsi="Palatino Linotype"/>
          <w:sz w:val="24"/>
          <w:szCs w:val="24"/>
        </w:rPr>
      </w:pPr>
      <w:r>
        <w:rPr>
          <w:rFonts w:ascii="Palatino Linotype" w:hAnsi="Palatino Linotype"/>
          <w:sz w:val="24"/>
          <w:szCs w:val="24"/>
        </w:rPr>
        <w:t>Methodological</w:t>
      </w:r>
      <w:r w:rsidR="001E2E9B">
        <w:rPr>
          <w:rFonts w:ascii="Palatino Linotype" w:hAnsi="Palatino Linotype"/>
          <w:sz w:val="24"/>
          <w:szCs w:val="24"/>
        </w:rPr>
        <w:t xml:space="preserve"> changes </w:t>
      </w:r>
      <w:r>
        <w:rPr>
          <w:rFonts w:ascii="Palatino Linotype" w:hAnsi="Palatino Linotype"/>
          <w:sz w:val="24"/>
          <w:szCs w:val="24"/>
        </w:rPr>
        <w:t xml:space="preserve">to the Small Business California Climate Credit </w:t>
      </w:r>
      <w:r w:rsidR="001E2E9B">
        <w:rPr>
          <w:rFonts w:ascii="Palatino Linotype" w:hAnsi="Palatino Linotype"/>
          <w:sz w:val="24"/>
          <w:szCs w:val="24"/>
        </w:rPr>
        <w:t xml:space="preserve">are needed to align the </w:t>
      </w:r>
      <w:r>
        <w:rPr>
          <w:rFonts w:ascii="Palatino Linotype" w:hAnsi="Palatino Linotype"/>
          <w:sz w:val="24"/>
          <w:szCs w:val="24"/>
        </w:rPr>
        <w:t>outcome</w:t>
      </w:r>
      <w:r w:rsidR="00EA7602">
        <w:rPr>
          <w:rFonts w:ascii="Palatino Linotype" w:hAnsi="Palatino Linotype"/>
          <w:sz w:val="24"/>
          <w:szCs w:val="24"/>
        </w:rPr>
        <w:t xml:space="preserve">s </w:t>
      </w:r>
      <w:r w:rsidR="001E2E9B">
        <w:rPr>
          <w:rFonts w:ascii="Palatino Linotype" w:hAnsi="Palatino Linotype"/>
          <w:sz w:val="24"/>
          <w:szCs w:val="24"/>
        </w:rPr>
        <w:t>with the plain-language intent of Public Utilities Code 748.5</w:t>
      </w:r>
      <w:r w:rsidR="001E2E9B">
        <w:rPr>
          <w:rStyle w:val="FootnoteReference"/>
          <w:rFonts w:ascii="Palatino Linotype" w:hAnsi="Palatino Linotype"/>
          <w:sz w:val="24"/>
          <w:szCs w:val="24"/>
        </w:rPr>
        <w:footnoteReference w:id="4"/>
      </w:r>
      <w:r>
        <w:rPr>
          <w:rFonts w:ascii="Palatino Linotype" w:hAnsi="Palatino Linotype"/>
          <w:sz w:val="24"/>
          <w:szCs w:val="24"/>
        </w:rPr>
        <w:t xml:space="preserve"> </w:t>
      </w:r>
      <w:r w:rsidR="00EA7602">
        <w:rPr>
          <w:rFonts w:ascii="Palatino Linotype" w:hAnsi="Palatino Linotype"/>
          <w:sz w:val="24"/>
          <w:szCs w:val="24"/>
        </w:rPr>
        <w:t>as envisioned in</w:t>
      </w:r>
      <w:r>
        <w:rPr>
          <w:rFonts w:ascii="Palatino Linotype" w:hAnsi="Palatino Linotype"/>
          <w:sz w:val="24"/>
          <w:szCs w:val="24"/>
        </w:rPr>
        <w:t xml:space="preserve"> D.12-12-033 and D.13-12-002</w:t>
      </w:r>
      <w:r w:rsidR="00EA7602">
        <w:rPr>
          <w:rFonts w:ascii="Palatino Linotype" w:hAnsi="Palatino Linotype"/>
          <w:sz w:val="24"/>
          <w:szCs w:val="24"/>
        </w:rPr>
        <w:t xml:space="preserve"> to design a credit that:</w:t>
      </w:r>
    </w:p>
    <w:p w:rsidR="00EA7602" w:rsidP="00EA7602" w:rsidRDefault="00EA7602" w14:paraId="19AE899B" w14:textId="77777777">
      <w:pPr>
        <w:spacing w:before="120"/>
        <w:ind w:left="720" w:right="994"/>
        <w:rPr>
          <w:rFonts w:ascii="Palatino Linotype" w:hAnsi="Palatino Linotype"/>
          <w:sz w:val="24"/>
          <w:szCs w:val="24"/>
        </w:rPr>
      </w:pPr>
      <w:r w:rsidRPr="008731FF">
        <w:rPr>
          <w:rFonts w:ascii="Palatino Linotype" w:hAnsi="Palatino Linotype"/>
          <w:sz w:val="24"/>
          <w:szCs w:val="24"/>
        </w:rPr>
        <w:t>“</w:t>
      </w:r>
      <w:r>
        <w:rPr>
          <w:rFonts w:ascii="Palatino Linotype" w:hAnsi="Palatino Linotype"/>
          <w:sz w:val="24"/>
          <w:szCs w:val="24"/>
        </w:rPr>
        <w:t>…</w:t>
      </w:r>
      <w:r w:rsidRPr="008731FF">
        <w:rPr>
          <w:rFonts w:ascii="Palatino Linotype" w:hAnsi="Palatino Linotype"/>
          <w:sz w:val="24"/>
          <w:szCs w:val="24"/>
        </w:rPr>
        <w:t>comports with the Legislature’s apparent intent, serves to promote, rather than defeat, the statute’s general purpose, and avoids a statutory construction that would lead to any absurd consequences.”</w:t>
      </w:r>
      <w:r>
        <w:rPr>
          <w:rStyle w:val="FootnoteReference"/>
          <w:rFonts w:ascii="Palatino Linotype" w:hAnsi="Palatino Linotype"/>
          <w:sz w:val="24"/>
          <w:szCs w:val="24"/>
        </w:rPr>
        <w:footnoteReference w:id="5"/>
      </w:r>
      <w:r w:rsidRPr="008731FF">
        <w:rPr>
          <w:rFonts w:ascii="Palatino Linotype" w:hAnsi="Palatino Linotype"/>
          <w:sz w:val="24"/>
          <w:szCs w:val="24"/>
        </w:rPr>
        <w:t xml:space="preserve"> </w:t>
      </w:r>
    </w:p>
    <w:p w:rsidR="00EA7602" w:rsidRDefault="00EA7602" w14:paraId="57E1C631" w14:textId="77777777">
      <w:pPr>
        <w:rPr>
          <w:rFonts w:ascii="Palatino Linotype" w:hAnsi="Palatino Linotype"/>
          <w:sz w:val="24"/>
          <w:szCs w:val="24"/>
        </w:rPr>
      </w:pPr>
    </w:p>
    <w:p w:rsidR="00F35B6E" w:rsidRDefault="00F35B6E" w14:paraId="0B7D1933" w14:textId="77777777">
      <w:pPr>
        <w:rPr>
          <w:rFonts w:ascii="Palatino Linotype" w:hAnsi="Palatino Linotype"/>
          <w:sz w:val="24"/>
          <w:szCs w:val="24"/>
        </w:rPr>
      </w:pPr>
      <w:r>
        <w:rPr>
          <w:rFonts w:ascii="Palatino Linotype" w:hAnsi="Palatino Linotype"/>
          <w:sz w:val="24"/>
          <w:szCs w:val="24"/>
        </w:rPr>
        <w:t>Remaining eligible small businesses and residential customers of the IOUs will benefit</w:t>
      </w:r>
      <w:r w:rsidR="00600FE6">
        <w:rPr>
          <w:rFonts w:ascii="Palatino Linotype" w:hAnsi="Palatino Linotype"/>
          <w:sz w:val="24"/>
          <w:szCs w:val="24"/>
        </w:rPr>
        <w:t xml:space="preserve"> from these eligibility changes</w:t>
      </w:r>
      <w:r>
        <w:rPr>
          <w:rFonts w:ascii="Palatino Linotype" w:hAnsi="Palatino Linotype"/>
          <w:sz w:val="24"/>
          <w:szCs w:val="24"/>
        </w:rPr>
        <w:t xml:space="preserve"> through larger</w:t>
      </w:r>
      <w:r w:rsidR="00EA7602">
        <w:rPr>
          <w:rFonts w:ascii="Palatino Linotype" w:hAnsi="Palatino Linotype"/>
          <w:sz w:val="24"/>
          <w:szCs w:val="24"/>
        </w:rPr>
        <w:t xml:space="preserve"> Residential and Small Business</w:t>
      </w:r>
      <w:r>
        <w:rPr>
          <w:rFonts w:ascii="Palatino Linotype" w:hAnsi="Palatino Linotype"/>
          <w:sz w:val="24"/>
          <w:szCs w:val="24"/>
        </w:rPr>
        <w:t xml:space="preserve"> California Climate Credits. The total amount of allocated allowance auction proceeds distributed each year </w:t>
      </w:r>
      <w:r w:rsidR="00EA7602">
        <w:rPr>
          <w:rFonts w:ascii="Palatino Linotype" w:hAnsi="Palatino Linotype"/>
          <w:sz w:val="24"/>
          <w:szCs w:val="24"/>
        </w:rPr>
        <w:t xml:space="preserve">by the IOUs to their ratepayers </w:t>
      </w:r>
      <w:r>
        <w:rPr>
          <w:rFonts w:ascii="Palatino Linotype" w:hAnsi="Palatino Linotype"/>
          <w:sz w:val="24"/>
          <w:szCs w:val="24"/>
        </w:rPr>
        <w:t xml:space="preserve">under both credits will </w:t>
      </w:r>
      <w:r w:rsidR="003914E5">
        <w:rPr>
          <w:rFonts w:ascii="Palatino Linotype" w:hAnsi="Palatino Linotype"/>
          <w:sz w:val="24"/>
          <w:szCs w:val="24"/>
        </w:rPr>
        <w:t>remain the same</w:t>
      </w:r>
      <w:r>
        <w:rPr>
          <w:rFonts w:ascii="Palatino Linotype" w:hAnsi="Palatino Linotype"/>
          <w:sz w:val="24"/>
          <w:szCs w:val="24"/>
        </w:rPr>
        <w:t xml:space="preserve">. </w:t>
      </w:r>
    </w:p>
    <w:p w:rsidR="00057741" w:rsidRDefault="00057741" w14:paraId="593C735F" w14:textId="77777777">
      <w:pPr>
        <w:rPr>
          <w:rFonts w:ascii="Palatino Linotype" w:hAnsi="Palatino Linotype"/>
          <w:sz w:val="24"/>
          <w:szCs w:val="24"/>
        </w:rPr>
      </w:pPr>
    </w:p>
    <w:p w:rsidR="00057741" w:rsidRDefault="001E2E9B" w14:paraId="7F22E60A" w14:textId="77777777">
      <w:pPr>
        <w:rPr>
          <w:rFonts w:ascii="Palatino Linotype" w:hAnsi="Palatino Linotype"/>
          <w:sz w:val="24"/>
          <w:szCs w:val="24"/>
        </w:rPr>
      </w:pPr>
      <w:r>
        <w:rPr>
          <w:rFonts w:ascii="Palatino Linotype" w:hAnsi="Palatino Linotype"/>
          <w:sz w:val="24"/>
          <w:szCs w:val="24"/>
        </w:rPr>
        <w:t>The IOUs are directed to implement these eligibility changes as soon as possible</w:t>
      </w:r>
      <w:r w:rsidR="00B26B23">
        <w:rPr>
          <w:rFonts w:ascii="Palatino Linotype" w:hAnsi="Palatino Linotype"/>
          <w:sz w:val="24"/>
          <w:szCs w:val="24"/>
        </w:rPr>
        <w:t xml:space="preserve"> after notifying impacted recipients</w:t>
      </w:r>
      <w:r>
        <w:rPr>
          <w:rFonts w:ascii="Palatino Linotype" w:hAnsi="Palatino Linotype"/>
          <w:sz w:val="24"/>
          <w:szCs w:val="24"/>
        </w:rPr>
        <w:t xml:space="preserve"> and no later than April</w:t>
      </w:r>
      <w:r w:rsidR="00B47E96">
        <w:rPr>
          <w:rFonts w:ascii="Palatino Linotype" w:hAnsi="Palatino Linotype"/>
          <w:sz w:val="24"/>
          <w:szCs w:val="24"/>
        </w:rPr>
        <w:t xml:space="preserve"> 1,</w:t>
      </w:r>
      <w:r>
        <w:rPr>
          <w:rFonts w:ascii="Palatino Linotype" w:hAnsi="Palatino Linotype"/>
          <w:sz w:val="24"/>
          <w:szCs w:val="24"/>
        </w:rPr>
        <w:t xml:space="preserve"> 2025. </w:t>
      </w:r>
      <w:r w:rsidR="00EA7602">
        <w:rPr>
          <w:rFonts w:ascii="Palatino Linotype" w:hAnsi="Palatino Linotype"/>
          <w:sz w:val="24"/>
          <w:szCs w:val="24"/>
        </w:rPr>
        <w:t xml:space="preserve">IOUs are directed to </w:t>
      </w:r>
      <w:r w:rsidR="00C53D31">
        <w:rPr>
          <w:rFonts w:ascii="Palatino Linotype" w:hAnsi="Palatino Linotype"/>
          <w:sz w:val="24"/>
          <w:szCs w:val="24"/>
        </w:rPr>
        <w:t xml:space="preserve">notify impacted recipients </w:t>
      </w:r>
      <w:r w:rsidR="00B26B23">
        <w:rPr>
          <w:rFonts w:ascii="Palatino Linotype" w:hAnsi="Palatino Linotype"/>
          <w:sz w:val="24"/>
          <w:szCs w:val="24"/>
        </w:rPr>
        <w:t xml:space="preserve">before changes in eligibility are effective </w:t>
      </w:r>
      <w:r w:rsidR="00C53D31">
        <w:rPr>
          <w:rFonts w:ascii="Palatino Linotype" w:hAnsi="Palatino Linotype"/>
          <w:sz w:val="24"/>
          <w:szCs w:val="24"/>
        </w:rPr>
        <w:t xml:space="preserve">and </w:t>
      </w:r>
      <w:r w:rsidR="00EA7602">
        <w:rPr>
          <w:rFonts w:ascii="Palatino Linotype" w:hAnsi="Palatino Linotype"/>
          <w:sz w:val="24"/>
          <w:szCs w:val="24"/>
        </w:rPr>
        <w:t xml:space="preserve">reassess </w:t>
      </w:r>
      <w:r w:rsidR="00EA7602">
        <w:rPr>
          <w:rFonts w:ascii="Palatino Linotype" w:hAnsi="Palatino Linotype"/>
          <w:sz w:val="24"/>
          <w:szCs w:val="24"/>
        </w:rPr>
        <w:lastRenderedPageBreak/>
        <w:t xml:space="preserve">eligibility at least once per California Air Resources Board (CARB) Cap-and-Trade Program compliance period. </w:t>
      </w:r>
    </w:p>
    <w:p w:rsidR="00B26B23" w:rsidRDefault="00B26B23" w14:paraId="78E0085D" w14:textId="77777777">
      <w:pPr>
        <w:rPr>
          <w:rFonts w:ascii="Palatino Linotype" w:hAnsi="Palatino Linotype"/>
          <w:sz w:val="24"/>
          <w:szCs w:val="24"/>
        </w:rPr>
      </w:pPr>
    </w:p>
    <w:p w:rsidRPr="00D865A9" w:rsidR="00CF17DE" w:rsidP="009A3F3F" w:rsidRDefault="00CF17DE" w14:paraId="45ADC601" w14:textId="77777777">
      <w:pPr>
        <w:pStyle w:val="Heading1"/>
        <w:keepLines/>
        <w:rPr>
          <w:rFonts w:ascii="Palatino Linotype" w:hAnsi="Palatino Linotype"/>
          <w:sz w:val="24"/>
          <w:szCs w:val="24"/>
        </w:rPr>
      </w:pPr>
      <w:r w:rsidRPr="00D865A9">
        <w:rPr>
          <w:rFonts w:ascii="Palatino Linotype" w:hAnsi="Palatino Linotype"/>
          <w:sz w:val="24"/>
          <w:szCs w:val="24"/>
        </w:rPr>
        <w:t>Background</w:t>
      </w:r>
    </w:p>
    <w:p w:rsidRPr="00356C5D" w:rsidR="00A33169" w:rsidP="009A3F3F" w:rsidRDefault="00A33169" w14:paraId="3691F5B2" w14:textId="77777777">
      <w:pPr>
        <w:keepNext/>
        <w:keepLines/>
        <w:rPr>
          <w:rFonts w:ascii="Palatino Linotype" w:hAnsi="Palatino Linotype"/>
          <w:b/>
          <w:bCs/>
          <w:sz w:val="24"/>
          <w:szCs w:val="24"/>
        </w:rPr>
      </w:pPr>
      <w:r w:rsidRPr="00356C5D">
        <w:rPr>
          <w:rFonts w:ascii="Palatino Linotype" w:hAnsi="Palatino Linotype"/>
          <w:b/>
          <w:bCs/>
          <w:sz w:val="24"/>
          <w:szCs w:val="24"/>
        </w:rPr>
        <w:t>Authority</w:t>
      </w:r>
      <w:r w:rsidRPr="00356C5D" w:rsidR="00DE5DE5">
        <w:rPr>
          <w:rFonts w:ascii="Palatino Linotype" w:hAnsi="Palatino Linotype"/>
          <w:b/>
          <w:bCs/>
          <w:sz w:val="24"/>
          <w:szCs w:val="24"/>
        </w:rPr>
        <w:t xml:space="preserve"> to Implement Methodological Changes</w:t>
      </w:r>
    </w:p>
    <w:p w:rsidR="00A33169" w:rsidP="009A3F3F" w:rsidRDefault="00A33169" w14:paraId="188B85A2" w14:textId="77777777">
      <w:pPr>
        <w:keepNext/>
        <w:keepLines/>
        <w:rPr>
          <w:rFonts w:ascii="Palatino Linotype" w:hAnsi="Palatino Linotype"/>
          <w:sz w:val="24"/>
          <w:szCs w:val="24"/>
        </w:rPr>
      </w:pPr>
    </w:p>
    <w:p w:rsidR="008A4010" w:rsidP="009A3F3F" w:rsidRDefault="008A4010" w14:paraId="3B9254C5" w14:textId="77777777">
      <w:pPr>
        <w:keepNext/>
        <w:keepLines/>
        <w:rPr>
          <w:rFonts w:ascii="Palatino Linotype" w:hAnsi="Palatino Linotype"/>
          <w:sz w:val="24"/>
          <w:szCs w:val="24"/>
        </w:rPr>
      </w:pPr>
      <w:r>
        <w:rPr>
          <w:rFonts w:ascii="Palatino Linotype" w:hAnsi="Palatino Linotype"/>
          <w:sz w:val="24"/>
          <w:szCs w:val="24"/>
        </w:rPr>
        <w:t xml:space="preserve">This resolution was </w:t>
      </w:r>
      <w:r w:rsidR="00E11C64">
        <w:rPr>
          <w:rFonts w:ascii="Palatino Linotype" w:hAnsi="Palatino Linotype"/>
          <w:sz w:val="24"/>
          <w:szCs w:val="24"/>
        </w:rPr>
        <w:t xml:space="preserve">initiated </w:t>
      </w:r>
      <w:r>
        <w:rPr>
          <w:rFonts w:ascii="Palatino Linotype" w:hAnsi="Palatino Linotype"/>
          <w:sz w:val="24"/>
          <w:szCs w:val="24"/>
        </w:rPr>
        <w:t xml:space="preserve">by the Commission on its own motion. </w:t>
      </w:r>
      <w:r w:rsidR="00862A32">
        <w:rPr>
          <w:rFonts w:ascii="Palatino Linotype" w:hAnsi="Palatino Linotype"/>
          <w:sz w:val="24"/>
          <w:szCs w:val="24"/>
        </w:rPr>
        <w:t xml:space="preserve">The resolution was prompted </w:t>
      </w:r>
      <w:r w:rsidR="009A5344">
        <w:rPr>
          <w:rFonts w:ascii="Palatino Linotype" w:hAnsi="Palatino Linotype"/>
          <w:sz w:val="24"/>
          <w:szCs w:val="24"/>
        </w:rPr>
        <w:t>upon</w:t>
      </w:r>
      <w:r w:rsidR="00862A32">
        <w:rPr>
          <w:rFonts w:ascii="Palatino Linotype" w:hAnsi="Palatino Linotype"/>
          <w:sz w:val="24"/>
          <w:szCs w:val="24"/>
        </w:rPr>
        <w:t xml:space="preserve"> discovery by Energy Division staff as part of routine </w:t>
      </w:r>
      <w:r w:rsidR="00261EB7">
        <w:rPr>
          <w:rFonts w:ascii="Palatino Linotype" w:hAnsi="Palatino Linotype"/>
          <w:sz w:val="24"/>
          <w:szCs w:val="24"/>
        </w:rPr>
        <w:t>oversight</w:t>
      </w:r>
      <w:r w:rsidR="00862A32">
        <w:rPr>
          <w:rFonts w:ascii="Palatino Linotype" w:hAnsi="Palatino Linotype"/>
          <w:sz w:val="24"/>
          <w:szCs w:val="24"/>
        </w:rPr>
        <w:t xml:space="preserve"> of</w:t>
      </w:r>
      <w:r w:rsidR="00261EB7">
        <w:rPr>
          <w:rFonts w:ascii="Palatino Linotype" w:hAnsi="Palatino Linotype"/>
          <w:sz w:val="24"/>
          <w:szCs w:val="24"/>
        </w:rPr>
        <w:t xml:space="preserve"> Commission programs that distribute IOU </w:t>
      </w:r>
      <w:r w:rsidR="00862A32">
        <w:rPr>
          <w:rFonts w:ascii="Palatino Linotype" w:hAnsi="Palatino Linotype"/>
          <w:sz w:val="24"/>
          <w:szCs w:val="24"/>
        </w:rPr>
        <w:t>Cap-and-Trade allocated allowance auction proceeds.</w:t>
      </w:r>
    </w:p>
    <w:p w:rsidR="00862A32" w:rsidRDefault="00862A32" w14:paraId="77CAD6E4" w14:textId="77777777">
      <w:pPr>
        <w:rPr>
          <w:rFonts w:ascii="Palatino Linotype" w:hAnsi="Palatino Linotype"/>
          <w:sz w:val="24"/>
          <w:szCs w:val="24"/>
        </w:rPr>
      </w:pPr>
    </w:p>
    <w:p w:rsidR="00862A32" w:rsidRDefault="00862A32" w14:paraId="3BA2D40D" w14:textId="77777777">
      <w:pPr>
        <w:rPr>
          <w:rFonts w:ascii="Palatino Linotype" w:hAnsi="Palatino Linotype"/>
          <w:sz w:val="24"/>
          <w:szCs w:val="24"/>
        </w:rPr>
      </w:pPr>
      <w:r>
        <w:rPr>
          <w:rFonts w:ascii="Palatino Linotype" w:hAnsi="Palatino Linotype"/>
          <w:sz w:val="24"/>
          <w:szCs w:val="24"/>
        </w:rPr>
        <w:t xml:space="preserve">Conclusion of </w:t>
      </w:r>
      <w:r w:rsidR="00552469">
        <w:rPr>
          <w:rFonts w:ascii="Palatino Linotype" w:hAnsi="Palatino Linotype"/>
          <w:sz w:val="24"/>
          <w:szCs w:val="24"/>
        </w:rPr>
        <w:t>L</w:t>
      </w:r>
      <w:r>
        <w:rPr>
          <w:rFonts w:ascii="Palatino Linotype" w:hAnsi="Palatino Linotype"/>
          <w:sz w:val="24"/>
          <w:szCs w:val="24"/>
        </w:rPr>
        <w:t>aw 9 in D.13-12-002 provides that:</w:t>
      </w:r>
    </w:p>
    <w:p w:rsidRPr="00261EB7" w:rsidR="00EA7602" w:rsidP="00261EB7" w:rsidRDefault="00862A32" w14:paraId="70ADCDDD" w14:textId="77777777">
      <w:pPr>
        <w:spacing w:before="120" w:after="120"/>
        <w:ind w:left="720" w:right="720"/>
        <w:rPr>
          <w:rFonts w:ascii="Palatino Linotype" w:hAnsi="Palatino Linotype"/>
          <w:i/>
          <w:iCs/>
          <w:sz w:val="24"/>
          <w:szCs w:val="24"/>
        </w:rPr>
      </w:pPr>
      <w:r w:rsidRPr="00261EB7">
        <w:rPr>
          <w:rFonts w:ascii="Palatino Linotype" w:hAnsi="Palatino Linotype"/>
          <w:i/>
          <w:iCs/>
          <w:sz w:val="24"/>
          <w:szCs w:val="24"/>
        </w:rPr>
        <w:t>As set forth in D.12-12-033, Energy Division may make minor updates to the adopted small business GHG revenue allocation formula as necessary through the issuance of a resolution with opportunity for stakeholder input and comment. This authority to make minor modifications should be extended to include minor updates and changes to the adopted distribution methodologies of the small business GHG revenue return. The Energy Division must make these revisions through the issuance of a resolution to be considered by the full Commission.</w:t>
      </w:r>
    </w:p>
    <w:p w:rsidR="00A33169" w:rsidRDefault="00862A32" w14:paraId="56BF7AA4" w14:textId="77777777">
      <w:pPr>
        <w:rPr>
          <w:rFonts w:ascii="Palatino Linotype" w:hAnsi="Palatino Linotype"/>
          <w:sz w:val="24"/>
          <w:szCs w:val="24"/>
        </w:rPr>
      </w:pPr>
      <w:r>
        <w:rPr>
          <w:rFonts w:ascii="Palatino Linotype" w:hAnsi="Palatino Linotype"/>
          <w:sz w:val="24"/>
          <w:szCs w:val="24"/>
        </w:rPr>
        <w:t xml:space="preserve">This resolution, which was issued with a full 20-day comment period, is consistent with this authority. </w:t>
      </w:r>
    </w:p>
    <w:p w:rsidR="004A62B8" w:rsidRDefault="004A62B8" w14:paraId="0AD0BA07" w14:textId="77777777">
      <w:pPr>
        <w:rPr>
          <w:rFonts w:ascii="Palatino Linotype" w:hAnsi="Palatino Linotype"/>
          <w:sz w:val="24"/>
          <w:szCs w:val="24"/>
        </w:rPr>
      </w:pPr>
    </w:p>
    <w:p w:rsidRPr="00356C5D" w:rsidR="00A56B82" w:rsidRDefault="00356C5D" w14:paraId="047D46DC" w14:textId="77777777">
      <w:pPr>
        <w:rPr>
          <w:rFonts w:ascii="Palatino Linotype" w:hAnsi="Palatino Linotype"/>
          <w:b/>
          <w:bCs/>
          <w:sz w:val="24"/>
          <w:szCs w:val="24"/>
        </w:rPr>
      </w:pPr>
      <w:r>
        <w:rPr>
          <w:rFonts w:ascii="Palatino Linotype" w:hAnsi="Palatino Linotype"/>
          <w:b/>
          <w:bCs/>
          <w:sz w:val="24"/>
          <w:szCs w:val="24"/>
        </w:rPr>
        <w:t xml:space="preserve">Existing </w:t>
      </w:r>
      <w:r w:rsidRPr="00356C5D">
        <w:rPr>
          <w:rFonts w:ascii="Palatino Linotype" w:hAnsi="Palatino Linotype"/>
          <w:b/>
          <w:bCs/>
          <w:sz w:val="24"/>
          <w:szCs w:val="24"/>
        </w:rPr>
        <w:t>S</w:t>
      </w:r>
      <w:r w:rsidRPr="00356C5D" w:rsidR="00A56B82">
        <w:rPr>
          <w:rFonts w:ascii="Palatino Linotype" w:hAnsi="Palatino Linotype"/>
          <w:b/>
          <w:bCs/>
          <w:sz w:val="24"/>
          <w:szCs w:val="24"/>
        </w:rPr>
        <w:t xml:space="preserve">mall </w:t>
      </w:r>
      <w:r w:rsidRPr="00356C5D">
        <w:rPr>
          <w:rFonts w:ascii="Palatino Linotype" w:hAnsi="Palatino Linotype"/>
          <w:b/>
          <w:bCs/>
          <w:sz w:val="24"/>
          <w:szCs w:val="24"/>
        </w:rPr>
        <w:t>B</w:t>
      </w:r>
      <w:r w:rsidRPr="00356C5D" w:rsidR="00A56B82">
        <w:rPr>
          <w:rFonts w:ascii="Palatino Linotype" w:hAnsi="Palatino Linotype"/>
          <w:b/>
          <w:bCs/>
          <w:sz w:val="24"/>
          <w:szCs w:val="24"/>
        </w:rPr>
        <w:t xml:space="preserve">usiness </w:t>
      </w:r>
      <w:r w:rsidRPr="00356C5D">
        <w:rPr>
          <w:rFonts w:ascii="Palatino Linotype" w:hAnsi="Palatino Linotype"/>
          <w:b/>
          <w:bCs/>
          <w:sz w:val="24"/>
          <w:szCs w:val="24"/>
        </w:rPr>
        <w:t>D</w:t>
      </w:r>
      <w:r w:rsidRPr="00356C5D" w:rsidR="00A56B82">
        <w:rPr>
          <w:rFonts w:ascii="Palatino Linotype" w:hAnsi="Palatino Linotype"/>
          <w:b/>
          <w:bCs/>
          <w:sz w:val="24"/>
          <w:szCs w:val="24"/>
        </w:rPr>
        <w:t>efinition</w:t>
      </w:r>
    </w:p>
    <w:p w:rsidR="00356C5D" w:rsidRDefault="00356C5D" w14:paraId="55140EC2" w14:textId="77777777">
      <w:pPr>
        <w:rPr>
          <w:rFonts w:ascii="Palatino Linotype" w:hAnsi="Palatino Linotype"/>
          <w:sz w:val="24"/>
          <w:szCs w:val="24"/>
        </w:rPr>
      </w:pPr>
    </w:p>
    <w:p w:rsidRPr="00C36253" w:rsidR="00031053" w:rsidP="00C36253" w:rsidRDefault="004A62B8" w14:paraId="7D870216" w14:textId="77777777">
      <w:pPr>
        <w:rPr>
          <w:rFonts w:ascii="Palatino Linotype" w:hAnsi="Palatino Linotype"/>
        </w:rPr>
      </w:pPr>
      <w:r>
        <w:rPr>
          <w:rFonts w:ascii="Palatino Linotype" w:hAnsi="Palatino Linotype"/>
          <w:sz w:val="24"/>
          <w:szCs w:val="24"/>
        </w:rPr>
        <w:t xml:space="preserve">In 2006, California passed </w:t>
      </w:r>
      <w:r w:rsidR="00261EB7">
        <w:rPr>
          <w:rFonts w:ascii="Palatino Linotype" w:hAnsi="Palatino Linotype"/>
          <w:sz w:val="24"/>
          <w:szCs w:val="24"/>
        </w:rPr>
        <w:t>Assembly Bill</w:t>
      </w:r>
      <w:r>
        <w:rPr>
          <w:rFonts w:ascii="Palatino Linotype" w:hAnsi="Palatino Linotype"/>
          <w:sz w:val="24"/>
          <w:szCs w:val="24"/>
        </w:rPr>
        <w:t xml:space="preserve"> 32</w:t>
      </w:r>
      <w:r w:rsidR="00261EB7">
        <w:rPr>
          <w:rFonts w:ascii="Palatino Linotype" w:hAnsi="Palatino Linotype"/>
          <w:sz w:val="24"/>
          <w:szCs w:val="24"/>
        </w:rPr>
        <w:t xml:space="preserve"> (AB 32)</w:t>
      </w:r>
      <w:r>
        <w:rPr>
          <w:rFonts w:ascii="Palatino Linotype" w:hAnsi="Palatino Linotype"/>
          <w:sz w:val="24"/>
          <w:szCs w:val="24"/>
        </w:rPr>
        <w:t>, the Global Warming Solutions Act of 2006. As part of the implementation of AB 32, the Cal</w:t>
      </w:r>
      <w:r w:rsidR="00EC4033">
        <w:rPr>
          <w:rFonts w:ascii="Palatino Linotype" w:hAnsi="Palatino Linotype"/>
          <w:sz w:val="24"/>
          <w:szCs w:val="24"/>
        </w:rPr>
        <w:t>ifornia Air Resources Board (CARB) created the Cap-and-Trade Program. As part of the Cap-and-Trade Program, each year IOUs are allocated allowances</w:t>
      </w:r>
      <w:r w:rsidR="00746DF6">
        <w:rPr>
          <w:rFonts w:ascii="Palatino Linotype" w:hAnsi="Palatino Linotype"/>
          <w:sz w:val="24"/>
          <w:szCs w:val="24"/>
        </w:rPr>
        <w:t xml:space="preserve"> (permits to emit </w:t>
      </w:r>
      <w:r w:rsidR="00431455">
        <w:rPr>
          <w:rFonts w:ascii="Palatino Linotype" w:hAnsi="Palatino Linotype"/>
          <w:sz w:val="24"/>
          <w:szCs w:val="24"/>
        </w:rPr>
        <w:t>greenhouse gases (</w:t>
      </w:r>
      <w:r w:rsidR="00746DF6">
        <w:rPr>
          <w:rFonts w:ascii="Palatino Linotype" w:hAnsi="Palatino Linotype"/>
          <w:sz w:val="24"/>
          <w:szCs w:val="24"/>
        </w:rPr>
        <w:t>GHGs</w:t>
      </w:r>
      <w:r w:rsidR="00431455">
        <w:rPr>
          <w:rFonts w:ascii="Palatino Linotype" w:hAnsi="Palatino Linotype"/>
          <w:sz w:val="24"/>
          <w:szCs w:val="24"/>
        </w:rPr>
        <w:t>)</w:t>
      </w:r>
      <w:r w:rsidR="00746DF6">
        <w:rPr>
          <w:rFonts w:ascii="Palatino Linotype" w:hAnsi="Palatino Linotype"/>
          <w:sz w:val="24"/>
          <w:szCs w:val="24"/>
        </w:rPr>
        <w:t xml:space="preserve"> into the atmosphere)</w:t>
      </w:r>
      <w:r w:rsidR="00EC4033">
        <w:rPr>
          <w:rFonts w:ascii="Palatino Linotype" w:hAnsi="Palatino Linotype"/>
          <w:sz w:val="24"/>
          <w:szCs w:val="24"/>
        </w:rPr>
        <w:t xml:space="preserve"> that they must sell </w:t>
      </w:r>
      <w:r w:rsidR="00746DF6">
        <w:rPr>
          <w:rFonts w:ascii="Palatino Linotype" w:hAnsi="Palatino Linotype"/>
          <w:sz w:val="24"/>
          <w:szCs w:val="24"/>
        </w:rPr>
        <w:t>at CARB auction</w:t>
      </w:r>
      <w:r w:rsidR="00D33535">
        <w:rPr>
          <w:rFonts w:ascii="Palatino Linotype" w:hAnsi="Palatino Linotype"/>
          <w:sz w:val="24"/>
          <w:szCs w:val="24"/>
        </w:rPr>
        <w:t>s</w:t>
      </w:r>
      <w:r w:rsidR="00746DF6">
        <w:rPr>
          <w:rFonts w:ascii="Palatino Linotype" w:hAnsi="Palatino Linotype"/>
          <w:sz w:val="24"/>
          <w:szCs w:val="24"/>
        </w:rPr>
        <w:t xml:space="preserve"> </w:t>
      </w:r>
      <w:r w:rsidR="00EC4033">
        <w:rPr>
          <w:rFonts w:ascii="Palatino Linotype" w:hAnsi="Palatino Linotype"/>
          <w:sz w:val="24"/>
          <w:szCs w:val="24"/>
        </w:rPr>
        <w:t xml:space="preserve">in the year they are allocated for the benefit of their ratepayers. In 2011, </w:t>
      </w:r>
      <w:r w:rsidR="003914C0">
        <w:rPr>
          <w:rFonts w:ascii="Palatino Linotype" w:hAnsi="Palatino Linotype"/>
          <w:sz w:val="24"/>
          <w:szCs w:val="24"/>
        </w:rPr>
        <w:t xml:space="preserve">the </w:t>
      </w:r>
      <w:r w:rsidR="00EC4033">
        <w:rPr>
          <w:rFonts w:ascii="Palatino Linotype" w:hAnsi="Palatino Linotype"/>
          <w:sz w:val="24"/>
          <w:szCs w:val="24"/>
        </w:rPr>
        <w:t xml:space="preserve">CPUC opened rulemaking R.11-03-012 to determine how the proceeds would be distributed among ratepayer classes. While the rulemaking was open, </w:t>
      </w:r>
      <w:r w:rsidR="004D4504">
        <w:rPr>
          <w:rFonts w:ascii="Palatino Linotype" w:hAnsi="Palatino Linotype"/>
          <w:sz w:val="24"/>
          <w:szCs w:val="24"/>
        </w:rPr>
        <w:t xml:space="preserve">Senate Bill (SB) 1018 (2012) adopted changes to </w:t>
      </w:r>
      <w:r w:rsidRPr="004D4504" w:rsidR="004D4504">
        <w:rPr>
          <w:rFonts w:ascii="Palatino Linotype" w:hAnsi="Palatino Linotype"/>
          <w:sz w:val="24"/>
          <w:szCs w:val="24"/>
        </w:rPr>
        <w:t>Public Utilities Code (PUC) Section 748.5</w:t>
      </w:r>
      <w:r w:rsidR="004D4504">
        <w:rPr>
          <w:rFonts w:ascii="Palatino Linotype" w:hAnsi="Palatino Linotype"/>
          <w:sz w:val="24"/>
          <w:szCs w:val="24"/>
        </w:rPr>
        <w:t>, specif</w:t>
      </w:r>
      <w:r w:rsidR="00EC4033">
        <w:rPr>
          <w:rFonts w:ascii="Palatino Linotype" w:hAnsi="Palatino Linotype"/>
          <w:sz w:val="24"/>
          <w:szCs w:val="24"/>
        </w:rPr>
        <w:t>ying</w:t>
      </w:r>
      <w:r w:rsidR="004D4504">
        <w:rPr>
          <w:rFonts w:ascii="Palatino Linotype" w:hAnsi="Palatino Linotype"/>
          <w:sz w:val="24"/>
          <w:szCs w:val="24"/>
        </w:rPr>
        <w:t xml:space="preserve"> that proceeds realized by the IOUs from the consignment to auction of allowances granted to the IOUs by CARB “…</w:t>
      </w:r>
      <w:r w:rsidRPr="004D4504" w:rsidR="004D4504">
        <w:rPr>
          <w:rFonts w:ascii="Palatino Linotype" w:hAnsi="Palatino Linotype"/>
          <w:sz w:val="24"/>
          <w:szCs w:val="24"/>
        </w:rPr>
        <w:t xml:space="preserve">be credited directly to the residential, small business, and emissions-intensive trade-exposed retail </w:t>
      </w:r>
      <w:r w:rsidRPr="004D4504" w:rsidR="004D4504">
        <w:rPr>
          <w:rFonts w:ascii="Palatino Linotype" w:hAnsi="Palatino Linotype"/>
          <w:sz w:val="24"/>
          <w:szCs w:val="24"/>
        </w:rPr>
        <w:lastRenderedPageBreak/>
        <w:t>customers of the electrical corporation.</w:t>
      </w:r>
      <w:r w:rsidR="004D4504">
        <w:rPr>
          <w:rFonts w:ascii="Palatino Linotype" w:hAnsi="Palatino Linotype"/>
          <w:sz w:val="24"/>
          <w:szCs w:val="24"/>
        </w:rPr>
        <w:t>"</w:t>
      </w:r>
      <w:r w:rsidR="00431455">
        <w:rPr>
          <w:rStyle w:val="FootnoteReference"/>
          <w:rFonts w:ascii="Palatino Linotype" w:hAnsi="Palatino Linotype"/>
          <w:sz w:val="24"/>
          <w:szCs w:val="24"/>
        </w:rPr>
        <w:footnoteReference w:id="6"/>
      </w:r>
      <w:r w:rsidR="00C36253">
        <w:rPr>
          <w:rFonts w:ascii="Palatino Linotype" w:hAnsi="Palatino Linotype"/>
          <w:sz w:val="24"/>
          <w:szCs w:val="24"/>
        </w:rPr>
        <w:t xml:space="preserve"> </w:t>
      </w:r>
      <w:r w:rsidR="004D4504">
        <w:rPr>
          <w:rFonts w:ascii="Palatino Linotype" w:hAnsi="Palatino Linotype"/>
          <w:sz w:val="24"/>
          <w:szCs w:val="24"/>
        </w:rPr>
        <w:t>However, the legislation did not specify the definition of a “small business</w:t>
      </w:r>
      <w:r w:rsidR="00937E7F">
        <w:rPr>
          <w:rFonts w:ascii="Palatino Linotype" w:hAnsi="Palatino Linotype"/>
          <w:sz w:val="24"/>
          <w:szCs w:val="24"/>
        </w:rPr>
        <w:t>.</w:t>
      </w:r>
      <w:r w:rsidR="004D4504">
        <w:rPr>
          <w:rFonts w:ascii="Palatino Linotype" w:hAnsi="Palatino Linotype"/>
          <w:sz w:val="24"/>
          <w:szCs w:val="24"/>
        </w:rPr>
        <w:t>” In decision D.12-12-033, the Commission modified an existing definition of “small business” found in D.</w:t>
      </w:r>
      <w:r w:rsidR="00031053">
        <w:rPr>
          <w:rFonts w:ascii="Palatino Linotype" w:hAnsi="Palatino Linotype"/>
          <w:sz w:val="24"/>
          <w:szCs w:val="24"/>
        </w:rPr>
        <w:t>10</w:t>
      </w:r>
      <w:r w:rsidR="004D4504">
        <w:rPr>
          <w:rFonts w:ascii="Palatino Linotype" w:hAnsi="Palatino Linotype"/>
          <w:sz w:val="24"/>
          <w:szCs w:val="24"/>
        </w:rPr>
        <w:t>-</w:t>
      </w:r>
      <w:r w:rsidR="00031053">
        <w:rPr>
          <w:rFonts w:ascii="Palatino Linotype" w:hAnsi="Palatino Linotype"/>
          <w:sz w:val="24"/>
          <w:szCs w:val="24"/>
        </w:rPr>
        <w:t>10</w:t>
      </w:r>
      <w:r w:rsidR="004D4504">
        <w:rPr>
          <w:rFonts w:ascii="Palatino Linotype" w:hAnsi="Palatino Linotype"/>
          <w:sz w:val="24"/>
          <w:szCs w:val="24"/>
        </w:rPr>
        <w:t>-</w:t>
      </w:r>
      <w:r w:rsidRPr="008731FF" w:rsidR="00031053">
        <w:rPr>
          <w:rFonts w:ascii="Palatino Linotype" w:hAnsi="Palatino Linotype"/>
          <w:sz w:val="24"/>
          <w:szCs w:val="24"/>
        </w:rPr>
        <w:t>032</w:t>
      </w:r>
      <w:r w:rsidRPr="008731FF" w:rsidR="008731FF">
        <w:rPr>
          <w:rFonts w:ascii="Palatino Linotype" w:hAnsi="Palatino Linotype"/>
          <w:sz w:val="24"/>
          <w:szCs w:val="24"/>
        </w:rPr>
        <w:t xml:space="preserve"> (“</w:t>
      </w:r>
      <w:r w:rsidR="00C36253">
        <w:rPr>
          <w:rFonts w:ascii="Palatino Linotype" w:hAnsi="Palatino Linotype"/>
          <w:sz w:val="24"/>
          <w:szCs w:val="24"/>
        </w:rPr>
        <w:t xml:space="preserve">Decision </w:t>
      </w:r>
      <w:r w:rsidRPr="008731FF" w:rsidR="008731FF">
        <w:rPr>
          <w:rFonts w:ascii="Palatino Linotype" w:hAnsi="Palatino Linotype"/>
          <w:sz w:val="24"/>
          <w:szCs w:val="24"/>
        </w:rPr>
        <w:t>Revising</w:t>
      </w:r>
      <w:r w:rsidR="00C36253">
        <w:rPr>
          <w:rFonts w:ascii="Palatino Linotype" w:hAnsi="Palatino Linotype"/>
          <w:sz w:val="24"/>
          <w:szCs w:val="24"/>
        </w:rPr>
        <w:t xml:space="preserve"> </w:t>
      </w:r>
      <w:r w:rsidRPr="008731FF" w:rsidR="008731FF">
        <w:rPr>
          <w:rFonts w:ascii="Palatino Linotype" w:hAnsi="Palatino Linotype"/>
          <w:sz w:val="24"/>
          <w:szCs w:val="24"/>
        </w:rPr>
        <w:t>Tariff Rules for Small Business Customers”</w:t>
      </w:r>
      <w:r w:rsidR="008731FF">
        <w:rPr>
          <w:rFonts w:ascii="Palatino Linotype" w:hAnsi="Palatino Linotype"/>
          <w:sz w:val="24"/>
          <w:szCs w:val="24"/>
        </w:rPr>
        <w:t>)</w:t>
      </w:r>
      <w:r w:rsidRPr="008731FF" w:rsidR="004D4504">
        <w:rPr>
          <w:rFonts w:ascii="Palatino Linotype" w:hAnsi="Palatino Linotype"/>
          <w:sz w:val="24"/>
          <w:szCs w:val="24"/>
        </w:rPr>
        <w:t xml:space="preserve">, defining for </w:t>
      </w:r>
      <w:r w:rsidRPr="008731FF" w:rsidR="00746DF6">
        <w:rPr>
          <w:rFonts w:ascii="Palatino Linotype" w:hAnsi="Palatino Linotype"/>
          <w:sz w:val="24"/>
          <w:szCs w:val="24"/>
        </w:rPr>
        <w:t>Cap-and-Trade</w:t>
      </w:r>
      <w:r w:rsidR="00746DF6">
        <w:rPr>
          <w:rFonts w:ascii="Palatino Linotype" w:hAnsi="Palatino Linotype"/>
          <w:sz w:val="24"/>
          <w:szCs w:val="24"/>
        </w:rPr>
        <w:t xml:space="preserve"> </w:t>
      </w:r>
      <w:r w:rsidR="004D4504">
        <w:rPr>
          <w:rFonts w:ascii="Palatino Linotype" w:hAnsi="Palatino Linotype"/>
          <w:sz w:val="24"/>
          <w:szCs w:val="24"/>
        </w:rPr>
        <w:t xml:space="preserve">crediting purposes a </w:t>
      </w:r>
      <w:r w:rsidR="00746DF6">
        <w:rPr>
          <w:rFonts w:ascii="Palatino Linotype" w:hAnsi="Palatino Linotype"/>
          <w:sz w:val="24"/>
          <w:szCs w:val="24"/>
        </w:rPr>
        <w:t>“</w:t>
      </w:r>
      <w:r w:rsidR="004D4504">
        <w:rPr>
          <w:rFonts w:ascii="Palatino Linotype" w:hAnsi="Palatino Linotype"/>
          <w:sz w:val="24"/>
          <w:szCs w:val="24"/>
        </w:rPr>
        <w:t>small business</w:t>
      </w:r>
      <w:r w:rsidR="00746DF6">
        <w:rPr>
          <w:rFonts w:ascii="Palatino Linotype" w:hAnsi="Palatino Linotype"/>
          <w:sz w:val="24"/>
          <w:szCs w:val="24"/>
        </w:rPr>
        <w:t>”</w:t>
      </w:r>
      <w:r w:rsidR="004D4504">
        <w:rPr>
          <w:rFonts w:ascii="Palatino Linotype" w:hAnsi="Palatino Linotype"/>
          <w:sz w:val="24"/>
          <w:szCs w:val="24"/>
        </w:rPr>
        <w:t xml:space="preserve"> to be:</w:t>
      </w:r>
    </w:p>
    <w:p w:rsidRPr="00C36253" w:rsidR="00031053" w:rsidP="00C36253" w:rsidRDefault="00031053" w14:paraId="3F680F7C" w14:textId="77777777">
      <w:pPr>
        <w:autoSpaceDE w:val="0"/>
        <w:autoSpaceDN w:val="0"/>
        <w:adjustRightInd w:val="0"/>
        <w:spacing w:before="120" w:after="120"/>
        <w:ind w:left="720" w:right="720"/>
        <w:rPr>
          <w:rFonts w:ascii="Palatino Linotype" w:hAnsi="Palatino Linotype" w:cs="Book Antiqua"/>
          <w:i/>
          <w:iCs/>
          <w:color w:val="000000"/>
          <w:sz w:val="24"/>
          <w:szCs w:val="24"/>
        </w:rPr>
      </w:pPr>
      <w:r w:rsidRPr="00C36253">
        <w:rPr>
          <w:rFonts w:ascii="Palatino Linotype" w:hAnsi="Palatino Linotype" w:cs="Book Antiqua"/>
          <w:i/>
          <w:iCs/>
          <w:color w:val="000000"/>
          <w:sz w:val="24"/>
          <w:szCs w:val="24"/>
        </w:rPr>
        <w:t xml:space="preserve">Any non-residential customer on a General Service or Agricultural tariff with demand not exceeding 20 kW in more than three months in the previous </w:t>
      </w:r>
      <w:r w:rsidR="009A3F3F">
        <w:rPr>
          <w:rFonts w:ascii="Palatino Linotype" w:hAnsi="Palatino Linotype" w:cs="Book Antiqua"/>
          <w:i/>
          <w:iCs/>
          <w:color w:val="000000"/>
          <w:sz w:val="24"/>
          <w:szCs w:val="24"/>
        </w:rPr>
        <w:br/>
      </w:r>
      <w:r w:rsidRPr="00C36253">
        <w:rPr>
          <w:rFonts w:ascii="Palatino Linotype" w:hAnsi="Palatino Linotype" w:cs="Book Antiqua"/>
          <w:i/>
          <w:iCs/>
          <w:color w:val="000000"/>
          <w:sz w:val="24"/>
          <w:szCs w:val="24"/>
        </w:rPr>
        <w:t xml:space="preserve">12-month period </w:t>
      </w:r>
      <w:proofErr w:type="gramStart"/>
      <w:r w:rsidRPr="00C36253">
        <w:rPr>
          <w:rFonts w:ascii="Palatino Linotype" w:hAnsi="Palatino Linotype" w:cs="Book Antiqua"/>
          <w:i/>
          <w:iCs/>
          <w:color w:val="000000"/>
          <w:sz w:val="24"/>
          <w:szCs w:val="24"/>
        </w:rPr>
        <w:t>is considered to be</w:t>
      </w:r>
      <w:proofErr w:type="gramEnd"/>
      <w:r w:rsidRPr="00C36253">
        <w:rPr>
          <w:rFonts w:ascii="Palatino Linotype" w:hAnsi="Palatino Linotype" w:cs="Book Antiqua"/>
          <w:i/>
          <w:iCs/>
          <w:color w:val="000000"/>
          <w:sz w:val="24"/>
          <w:szCs w:val="24"/>
        </w:rPr>
        <w:t xml:space="preserve"> a small business</w:t>
      </w:r>
      <w:r w:rsidR="00C36253">
        <w:rPr>
          <w:rFonts w:ascii="Palatino Linotype" w:hAnsi="Palatino Linotype" w:cs="Book Antiqua"/>
          <w:i/>
          <w:iCs/>
          <w:color w:val="000000"/>
          <w:sz w:val="24"/>
          <w:szCs w:val="24"/>
        </w:rPr>
        <w:t xml:space="preserve"> </w:t>
      </w:r>
      <w:r w:rsidRPr="00C36253">
        <w:rPr>
          <w:rStyle w:val="FootnoteReference"/>
          <w:rFonts w:ascii="Palatino Linotype" w:hAnsi="Palatino Linotype" w:cs="Book Antiqua"/>
          <w:i/>
          <w:iCs/>
          <w:color w:val="000000"/>
          <w:sz w:val="24"/>
          <w:szCs w:val="24"/>
        </w:rPr>
        <w:footnoteReference w:id="7"/>
      </w:r>
      <w:r w:rsidRPr="00C36253">
        <w:rPr>
          <w:rFonts w:ascii="Palatino Linotype" w:hAnsi="Palatino Linotype" w:cs="Book Antiqua"/>
          <w:i/>
          <w:iCs/>
          <w:color w:val="000000"/>
          <w:sz w:val="24"/>
          <w:szCs w:val="24"/>
        </w:rPr>
        <w:t xml:space="preserve"> </w:t>
      </w:r>
    </w:p>
    <w:p w:rsidR="008731FF" w:rsidRDefault="008731FF" w14:paraId="1626EDE1" w14:textId="77777777">
      <w:pPr>
        <w:rPr>
          <w:rFonts w:ascii="Palatino Linotype" w:hAnsi="Palatino Linotype"/>
          <w:sz w:val="24"/>
          <w:szCs w:val="24"/>
        </w:rPr>
      </w:pPr>
      <w:r>
        <w:rPr>
          <w:rFonts w:ascii="Palatino Linotype" w:hAnsi="Palatino Linotype"/>
          <w:sz w:val="24"/>
          <w:szCs w:val="24"/>
        </w:rPr>
        <w:t>In D.12-12-033, the Commission relied on a previous definition because the Commission believe</w:t>
      </w:r>
      <w:r w:rsidR="00C36253">
        <w:rPr>
          <w:rFonts w:ascii="Palatino Linotype" w:hAnsi="Palatino Linotype"/>
          <w:sz w:val="24"/>
          <w:szCs w:val="24"/>
        </w:rPr>
        <w:t>d</w:t>
      </w:r>
      <w:r>
        <w:rPr>
          <w:rFonts w:ascii="Palatino Linotype" w:hAnsi="Palatino Linotype"/>
          <w:sz w:val="24"/>
          <w:szCs w:val="24"/>
        </w:rPr>
        <w:t xml:space="preserve"> it</w:t>
      </w:r>
      <w:r w:rsidR="00C36253">
        <w:rPr>
          <w:rFonts w:ascii="Palatino Linotype" w:hAnsi="Palatino Linotype"/>
          <w:sz w:val="24"/>
          <w:szCs w:val="24"/>
        </w:rPr>
        <w:t>:</w:t>
      </w:r>
      <w:r>
        <w:rPr>
          <w:rFonts w:ascii="Palatino Linotype" w:hAnsi="Palatino Linotype"/>
          <w:sz w:val="24"/>
          <w:szCs w:val="24"/>
        </w:rPr>
        <w:t xml:space="preserve"> </w:t>
      </w:r>
    </w:p>
    <w:p w:rsidRPr="00C36253" w:rsidR="008731FF" w:rsidP="00C36253" w:rsidRDefault="008731FF" w14:paraId="6E807E71" w14:textId="77777777">
      <w:pPr>
        <w:spacing w:before="120" w:after="120"/>
        <w:ind w:left="720" w:right="994"/>
        <w:rPr>
          <w:rFonts w:ascii="Palatino Linotype" w:hAnsi="Palatino Linotype"/>
          <w:i/>
          <w:iCs/>
          <w:sz w:val="24"/>
          <w:szCs w:val="24"/>
        </w:rPr>
      </w:pPr>
      <w:r w:rsidRPr="00C36253">
        <w:rPr>
          <w:rFonts w:ascii="Palatino Linotype" w:hAnsi="Palatino Linotype"/>
          <w:i/>
          <w:iCs/>
          <w:sz w:val="24"/>
          <w:szCs w:val="24"/>
        </w:rPr>
        <w:t>“…comports with the Legislature’s apparent intent, serves to promote, rather than defeat, the statute’s general purpose, and avoids a statutory construction that would lead to any absurd consequences.”</w:t>
      </w:r>
      <w:r w:rsidRPr="00C36253">
        <w:rPr>
          <w:rStyle w:val="FootnoteReference"/>
          <w:rFonts w:ascii="Palatino Linotype" w:hAnsi="Palatino Linotype"/>
          <w:i/>
          <w:iCs/>
          <w:sz w:val="24"/>
          <w:szCs w:val="24"/>
        </w:rPr>
        <w:footnoteReference w:id="8"/>
      </w:r>
      <w:r w:rsidRPr="00C36253">
        <w:rPr>
          <w:rFonts w:ascii="Palatino Linotype" w:hAnsi="Palatino Linotype"/>
          <w:i/>
          <w:iCs/>
          <w:sz w:val="24"/>
          <w:szCs w:val="24"/>
        </w:rPr>
        <w:t xml:space="preserve"> </w:t>
      </w:r>
    </w:p>
    <w:p w:rsidR="008731FF" w:rsidRDefault="008731FF" w14:paraId="527FAD9C" w14:textId="77777777">
      <w:pPr>
        <w:rPr>
          <w:rFonts w:ascii="Palatino Linotype" w:hAnsi="Palatino Linotype"/>
          <w:sz w:val="24"/>
          <w:szCs w:val="24"/>
        </w:rPr>
      </w:pPr>
      <w:r>
        <w:rPr>
          <w:rFonts w:ascii="Palatino Linotype" w:hAnsi="Palatino Linotype"/>
          <w:sz w:val="24"/>
          <w:szCs w:val="24"/>
        </w:rPr>
        <w:t>Additionally, as the definition was usage-based, implementation of the credit did not require</w:t>
      </w:r>
      <w:r w:rsidR="00AD20E7">
        <w:rPr>
          <w:rFonts w:ascii="Palatino Linotype" w:hAnsi="Palatino Linotype"/>
          <w:sz w:val="24"/>
          <w:szCs w:val="24"/>
        </w:rPr>
        <w:t xml:space="preserve"> an attestation process or data collection/storage process, reducing potential administrative costs and removing a potential barrier to </w:t>
      </w:r>
      <w:r w:rsidR="00D2025D">
        <w:rPr>
          <w:rFonts w:ascii="Palatino Linotype" w:hAnsi="Palatino Linotype"/>
          <w:sz w:val="24"/>
          <w:szCs w:val="24"/>
        </w:rPr>
        <w:t xml:space="preserve">small business </w:t>
      </w:r>
      <w:r w:rsidR="00AD20E7">
        <w:rPr>
          <w:rFonts w:ascii="Palatino Linotype" w:hAnsi="Palatino Linotype"/>
          <w:sz w:val="24"/>
          <w:szCs w:val="24"/>
        </w:rPr>
        <w:t>participation in the program.</w:t>
      </w:r>
      <w:r w:rsidR="00C36253">
        <w:rPr>
          <w:rFonts w:ascii="Palatino Linotype" w:hAnsi="Palatino Linotype"/>
          <w:sz w:val="24"/>
          <w:szCs w:val="24"/>
        </w:rPr>
        <w:t xml:space="preserve"> </w:t>
      </w:r>
      <w:r w:rsidR="00D2025D">
        <w:rPr>
          <w:rFonts w:ascii="Palatino Linotype" w:hAnsi="Palatino Linotype"/>
          <w:sz w:val="24"/>
          <w:szCs w:val="24"/>
        </w:rPr>
        <w:t>A</w:t>
      </w:r>
      <w:r w:rsidR="00C36253">
        <w:rPr>
          <w:rFonts w:ascii="Palatino Linotype" w:hAnsi="Palatino Linotype"/>
          <w:sz w:val="24"/>
          <w:szCs w:val="24"/>
        </w:rPr>
        <w:t>lterative definitions for “small businesses”</w:t>
      </w:r>
      <w:r w:rsidR="00AD20E7">
        <w:rPr>
          <w:rFonts w:ascii="Palatino Linotype" w:hAnsi="Palatino Linotype"/>
          <w:sz w:val="24"/>
          <w:szCs w:val="24"/>
        </w:rPr>
        <w:t xml:space="preserve"> </w:t>
      </w:r>
      <w:r w:rsidR="00D2025D">
        <w:rPr>
          <w:rFonts w:ascii="Palatino Linotype" w:hAnsi="Palatino Linotype"/>
          <w:sz w:val="24"/>
          <w:szCs w:val="24"/>
        </w:rPr>
        <w:t xml:space="preserve">used elsewhere in state and federal government </w:t>
      </w:r>
      <w:r w:rsidR="00AD20E7">
        <w:rPr>
          <w:rFonts w:ascii="Palatino Linotype" w:hAnsi="Palatino Linotype"/>
          <w:sz w:val="24"/>
          <w:szCs w:val="24"/>
        </w:rPr>
        <w:t>rel</w:t>
      </w:r>
      <w:r w:rsidR="00D2025D">
        <w:rPr>
          <w:rFonts w:ascii="Palatino Linotype" w:hAnsi="Palatino Linotype"/>
          <w:sz w:val="24"/>
          <w:szCs w:val="24"/>
        </w:rPr>
        <w:t>y</w:t>
      </w:r>
      <w:r w:rsidR="00AD20E7">
        <w:rPr>
          <w:rFonts w:ascii="Palatino Linotype" w:hAnsi="Palatino Linotype"/>
          <w:sz w:val="24"/>
          <w:szCs w:val="24"/>
        </w:rPr>
        <w:t xml:space="preserve"> on the number of employees</w:t>
      </w:r>
      <w:r w:rsidR="008C2DDC">
        <w:rPr>
          <w:rFonts w:ascii="Palatino Linotype" w:hAnsi="Palatino Linotype"/>
          <w:sz w:val="24"/>
          <w:szCs w:val="24"/>
        </w:rPr>
        <w:t>, ownership status,</w:t>
      </w:r>
      <w:r w:rsidR="00AD20E7">
        <w:rPr>
          <w:rFonts w:ascii="Palatino Linotype" w:hAnsi="Palatino Linotype"/>
          <w:sz w:val="24"/>
          <w:szCs w:val="24"/>
        </w:rPr>
        <w:t xml:space="preserve"> or the gross revenue of a firm over a period of years</w:t>
      </w:r>
      <w:r w:rsidR="00D2025D">
        <w:rPr>
          <w:rFonts w:ascii="Palatino Linotype" w:hAnsi="Palatino Linotype"/>
          <w:sz w:val="24"/>
          <w:szCs w:val="24"/>
        </w:rPr>
        <w:t>, information which is not readily available to IOUs</w:t>
      </w:r>
      <w:r w:rsidR="00AD20E7">
        <w:rPr>
          <w:rFonts w:ascii="Palatino Linotype" w:hAnsi="Palatino Linotype"/>
          <w:sz w:val="24"/>
          <w:szCs w:val="24"/>
        </w:rPr>
        <w:t xml:space="preserve">. </w:t>
      </w:r>
    </w:p>
    <w:p w:rsidR="00AD20E7" w:rsidRDefault="00AD20E7" w14:paraId="07341D8E" w14:textId="77777777">
      <w:pPr>
        <w:rPr>
          <w:rFonts w:ascii="Palatino Linotype" w:hAnsi="Palatino Linotype"/>
          <w:sz w:val="24"/>
          <w:szCs w:val="24"/>
        </w:rPr>
      </w:pPr>
    </w:p>
    <w:p w:rsidRPr="00356C5D" w:rsidR="00A56B82" w:rsidRDefault="00356C5D" w14:paraId="755E88EE" w14:textId="77777777">
      <w:pPr>
        <w:rPr>
          <w:rFonts w:ascii="Palatino Linotype" w:hAnsi="Palatino Linotype"/>
          <w:b/>
          <w:bCs/>
          <w:sz w:val="24"/>
          <w:szCs w:val="24"/>
        </w:rPr>
      </w:pPr>
      <w:r w:rsidRPr="00356C5D">
        <w:rPr>
          <w:rFonts w:ascii="Palatino Linotype" w:hAnsi="Palatino Linotype"/>
          <w:b/>
          <w:bCs/>
          <w:sz w:val="24"/>
          <w:szCs w:val="24"/>
        </w:rPr>
        <w:t>Existing Small Business California Climate</w:t>
      </w:r>
      <w:r w:rsidRPr="00356C5D" w:rsidR="00A56B82">
        <w:rPr>
          <w:rFonts w:ascii="Palatino Linotype" w:hAnsi="Palatino Linotype"/>
          <w:b/>
          <w:bCs/>
          <w:sz w:val="24"/>
          <w:szCs w:val="24"/>
        </w:rPr>
        <w:t xml:space="preserve"> Credit</w:t>
      </w:r>
      <w:r>
        <w:rPr>
          <w:rFonts w:ascii="Palatino Linotype" w:hAnsi="Palatino Linotype"/>
          <w:b/>
          <w:bCs/>
          <w:sz w:val="24"/>
          <w:szCs w:val="24"/>
        </w:rPr>
        <w:t>ing</w:t>
      </w:r>
      <w:r w:rsidRPr="00356C5D" w:rsidR="00A56B82">
        <w:rPr>
          <w:rFonts w:ascii="Palatino Linotype" w:hAnsi="Palatino Linotype"/>
          <w:b/>
          <w:bCs/>
          <w:sz w:val="24"/>
          <w:szCs w:val="24"/>
        </w:rPr>
        <w:t xml:space="preserve"> Method</w:t>
      </w:r>
    </w:p>
    <w:p w:rsidR="00356C5D" w:rsidRDefault="00356C5D" w14:paraId="46B80314" w14:textId="77777777">
      <w:pPr>
        <w:rPr>
          <w:rFonts w:ascii="Palatino Linotype" w:hAnsi="Palatino Linotype"/>
          <w:sz w:val="24"/>
          <w:szCs w:val="24"/>
        </w:rPr>
      </w:pPr>
    </w:p>
    <w:p w:rsidR="00AD20E7" w:rsidRDefault="00AD20E7" w14:paraId="1C5AF068" w14:textId="77777777">
      <w:pPr>
        <w:rPr>
          <w:rFonts w:ascii="Palatino Linotype" w:hAnsi="Palatino Linotype"/>
          <w:sz w:val="24"/>
          <w:szCs w:val="24"/>
        </w:rPr>
      </w:pPr>
      <w:r>
        <w:rPr>
          <w:rFonts w:ascii="Palatino Linotype" w:hAnsi="Palatino Linotype"/>
          <w:sz w:val="24"/>
          <w:szCs w:val="24"/>
        </w:rPr>
        <w:t>From 2014 to 2021 the value of the Small Business California Climate Credit was calculated using a volumetric formula. In D.21-08-026 the crediting formula was changed to a flat credit equal in value to the Residential California Climate Credit</w:t>
      </w:r>
      <w:r w:rsidR="00E5479B">
        <w:rPr>
          <w:rFonts w:ascii="Palatino Linotype" w:hAnsi="Palatino Linotype"/>
          <w:sz w:val="24"/>
          <w:szCs w:val="24"/>
        </w:rPr>
        <w:t xml:space="preserve"> </w:t>
      </w:r>
      <w:proofErr w:type="gramStart"/>
      <w:r w:rsidR="00E5479B">
        <w:rPr>
          <w:rFonts w:ascii="Palatino Linotype" w:hAnsi="Palatino Linotype"/>
          <w:sz w:val="24"/>
          <w:szCs w:val="24"/>
        </w:rPr>
        <w:t>in order to</w:t>
      </w:r>
      <w:proofErr w:type="gramEnd"/>
      <w:r w:rsidR="00E5479B">
        <w:rPr>
          <w:rFonts w:ascii="Palatino Linotype" w:hAnsi="Palatino Linotype"/>
          <w:sz w:val="24"/>
          <w:szCs w:val="24"/>
        </w:rPr>
        <w:t xml:space="preserve"> conform to CARB rule changes.</w:t>
      </w:r>
      <w:r>
        <w:rPr>
          <w:rFonts w:ascii="Palatino Linotype" w:hAnsi="Palatino Linotype"/>
          <w:sz w:val="24"/>
          <w:szCs w:val="24"/>
        </w:rPr>
        <w:t xml:space="preserve"> </w:t>
      </w:r>
      <w:r w:rsidR="00407E6C">
        <w:rPr>
          <w:rFonts w:ascii="Palatino Linotype" w:hAnsi="Palatino Linotype"/>
          <w:sz w:val="24"/>
          <w:szCs w:val="24"/>
        </w:rPr>
        <w:t xml:space="preserve">An unintended consequence of this </w:t>
      </w:r>
      <w:r w:rsidR="00AB77D4">
        <w:rPr>
          <w:rFonts w:ascii="Palatino Linotype" w:hAnsi="Palatino Linotype"/>
          <w:sz w:val="24"/>
          <w:szCs w:val="24"/>
        </w:rPr>
        <w:t xml:space="preserve">modification </w:t>
      </w:r>
      <w:r w:rsidR="00A257F8">
        <w:rPr>
          <w:rFonts w:ascii="Palatino Linotype" w:hAnsi="Palatino Linotype"/>
          <w:sz w:val="24"/>
          <w:szCs w:val="24"/>
        </w:rPr>
        <w:t>was that it</w:t>
      </w:r>
      <w:r w:rsidR="00BC51F5">
        <w:rPr>
          <w:rFonts w:ascii="Palatino Linotype" w:hAnsi="Palatino Linotype"/>
          <w:sz w:val="24"/>
          <w:szCs w:val="24"/>
        </w:rPr>
        <w:t xml:space="preserve"> </w:t>
      </w:r>
      <w:r w:rsidR="00A257F8">
        <w:rPr>
          <w:rFonts w:ascii="Palatino Linotype" w:hAnsi="Palatino Linotype"/>
          <w:sz w:val="24"/>
          <w:szCs w:val="24"/>
        </w:rPr>
        <w:t>magnified</w:t>
      </w:r>
      <w:r w:rsidR="002E31D4">
        <w:rPr>
          <w:rFonts w:ascii="Palatino Linotype" w:hAnsi="Palatino Linotype"/>
          <w:sz w:val="24"/>
          <w:szCs w:val="24"/>
        </w:rPr>
        <w:t xml:space="preserve"> the impact of </w:t>
      </w:r>
      <w:r w:rsidRPr="008937BB" w:rsidR="008D2D9A">
        <w:rPr>
          <w:rFonts w:ascii="Palatino Linotype" w:hAnsi="Palatino Linotype"/>
          <w:sz w:val="24"/>
          <w:szCs w:val="24"/>
        </w:rPr>
        <w:t>credit aggregation.</w:t>
      </w:r>
      <w:r w:rsidR="008D2D9A">
        <w:rPr>
          <w:rFonts w:ascii="Palatino Linotype" w:hAnsi="Palatino Linotype"/>
          <w:sz w:val="24"/>
          <w:szCs w:val="24"/>
        </w:rPr>
        <w:t xml:space="preserve"> Credit aggregation occurs when the same entity controls multiple accounts. As the Small Business California Climate Credit</w:t>
      </w:r>
      <w:r w:rsidR="00E5479B">
        <w:rPr>
          <w:rFonts w:ascii="Palatino Linotype" w:hAnsi="Palatino Linotype"/>
          <w:sz w:val="24"/>
          <w:szCs w:val="24"/>
        </w:rPr>
        <w:t xml:space="preserve"> became</w:t>
      </w:r>
      <w:r w:rsidR="008D2D9A">
        <w:rPr>
          <w:rFonts w:ascii="Palatino Linotype" w:hAnsi="Palatino Linotype"/>
          <w:sz w:val="24"/>
          <w:szCs w:val="24"/>
        </w:rPr>
        <w:t xml:space="preserve"> a flat per-account credit, a single entity could</w:t>
      </w:r>
      <w:r w:rsidR="00E5479B">
        <w:rPr>
          <w:rFonts w:ascii="Palatino Linotype" w:hAnsi="Palatino Linotype"/>
          <w:sz w:val="24"/>
          <w:szCs w:val="24"/>
        </w:rPr>
        <w:t xml:space="preserve"> now</w:t>
      </w:r>
      <w:r w:rsidR="008D2D9A">
        <w:rPr>
          <w:rFonts w:ascii="Palatino Linotype" w:hAnsi="Palatino Linotype"/>
          <w:sz w:val="24"/>
          <w:szCs w:val="24"/>
        </w:rPr>
        <w:t xml:space="preserve"> accrue a significant amount of assistance if it were configured to have numerous</w:t>
      </w:r>
      <w:r w:rsidR="00E5479B">
        <w:rPr>
          <w:rFonts w:ascii="Palatino Linotype" w:hAnsi="Palatino Linotype"/>
          <w:sz w:val="24"/>
          <w:szCs w:val="24"/>
        </w:rPr>
        <w:t xml:space="preserve"> qualifying</w:t>
      </w:r>
      <w:r w:rsidR="008D2D9A">
        <w:rPr>
          <w:rFonts w:ascii="Palatino Linotype" w:hAnsi="Palatino Linotype"/>
          <w:sz w:val="24"/>
          <w:szCs w:val="24"/>
        </w:rPr>
        <w:t xml:space="preserve"> utility accounts. </w:t>
      </w:r>
    </w:p>
    <w:p w:rsidR="008D2D9A" w:rsidRDefault="008D2D9A" w14:paraId="67C58CF6" w14:textId="77777777">
      <w:pPr>
        <w:rPr>
          <w:rFonts w:ascii="Palatino Linotype" w:hAnsi="Palatino Linotype"/>
          <w:sz w:val="24"/>
          <w:szCs w:val="24"/>
        </w:rPr>
      </w:pPr>
    </w:p>
    <w:p w:rsidRPr="00356C5D" w:rsidR="00A56B82" w:rsidP="00033444" w:rsidRDefault="00356C5D" w14:paraId="20BDA8A3" w14:textId="77777777">
      <w:pPr>
        <w:keepNext/>
        <w:rPr>
          <w:rFonts w:ascii="Palatino Linotype" w:hAnsi="Palatino Linotype"/>
          <w:b/>
          <w:bCs/>
          <w:sz w:val="24"/>
          <w:szCs w:val="24"/>
        </w:rPr>
      </w:pPr>
      <w:r>
        <w:rPr>
          <w:rFonts w:ascii="Palatino Linotype" w:hAnsi="Palatino Linotype"/>
          <w:b/>
          <w:bCs/>
          <w:sz w:val="24"/>
          <w:szCs w:val="24"/>
        </w:rPr>
        <w:lastRenderedPageBreak/>
        <w:t>Large IOU D</w:t>
      </w:r>
      <w:r w:rsidRPr="00356C5D" w:rsidR="00A56B82">
        <w:rPr>
          <w:rFonts w:ascii="Palatino Linotype" w:hAnsi="Palatino Linotype"/>
          <w:b/>
          <w:bCs/>
          <w:sz w:val="24"/>
          <w:szCs w:val="24"/>
        </w:rPr>
        <w:t>ata</w:t>
      </w:r>
      <w:r>
        <w:rPr>
          <w:rFonts w:ascii="Palatino Linotype" w:hAnsi="Palatino Linotype"/>
          <w:b/>
          <w:bCs/>
          <w:sz w:val="24"/>
          <w:szCs w:val="24"/>
        </w:rPr>
        <w:t xml:space="preserve"> on Small Business California Climate Credit Account Aggregation</w:t>
      </w:r>
    </w:p>
    <w:p w:rsidR="00356C5D" w:rsidP="00033444" w:rsidRDefault="00356C5D" w14:paraId="26FB44F1" w14:textId="77777777">
      <w:pPr>
        <w:keepNext/>
        <w:rPr>
          <w:rFonts w:ascii="Palatino Linotype" w:hAnsi="Palatino Linotype"/>
          <w:sz w:val="24"/>
          <w:szCs w:val="24"/>
        </w:rPr>
      </w:pPr>
    </w:p>
    <w:p w:rsidR="00F21BE7" w:rsidP="00033444" w:rsidRDefault="00A559E0" w14:paraId="10908F38" w14:textId="77777777">
      <w:pPr>
        <w:keepNext/>
        <w:rPr>
          <w:rFonts w:ascii="Palatino Linotype" w:hAnsi="Palatino Linotype"/>
          <w:sz w:val="24"/>
          <w:szCs w:val="24"/>
        </w:rPr>
        <w:sectPr w:rsidR="00F21BE7">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sectPr>
      </w:pPr>
      <w:r>
        <w:rPr>
          <w:rFonts w:ascii="Palatino Linotype" w:hAnsi="Palatino Linotype"/>
          <w:sz w:val="24"/>
          <w:szCs w:val="24"/>
        </w:rPr>
        <w:t>In 2024</w:t>
      </w:r>
      <w:r w:rsidR="00881224">
        <w:rPr>
          <w:rFonts w:ascii="Palatino Linotype" w:hAnsi="Palatino Linotype"/>
          <w:sz w:val="24"/>
          <w:szCs w:val="24"/>
        </w:rPr>
        <w:t>,</w:t>
      </w:r>
      <w:r w:rsidR="00444CB9">
        <w:rPr>
          <w:rFonts w:ascii="Palatino Linotype" w:hAnsi="Palatino Linotype"/>
          <w:sz w:val="24"/>
          <w:szCs w:val="24"/>
        </w:rPr>
        <w:t xml:space="preserve"> as</w:t>
      </w:r>
      <w:r w:rsidR="008D2D9A">
        <w:rPr>
          <w:rFonts w:ascii="Palatino Linotype" w:hAnsi="Palatino Linotype"/>
          <w:sz w:val="24"/>
          <w:szCs w:val="24"/>
        </w:rPr>
        <w:t xml:space="preserve"> part of routine implementation</w:t>
      </w:r>
      <w:r w:rsidR="00444CB9">
        <w:rPr>
          <w:rFonts w:ascii="Palatino Linotype" w:hAnsi="Palatino Linotype"/>
          <w:sz w:val="24"/>
          <w:szCs w:val="24"/>
        </w:rPr>
        <w:t xml:space="preserve"> and oversight</w:t>
      </w:r>
      <w:r>
        <w:rPr>
          <w:rFonts w:ascii="Palatino Linotype" w:hAnsi="Palatino Linotype"/>
          <w:sz w:val="24"/>
          <w:szCs w:val="24"/>
        </w:rPr>
        <w:t xml:space="preserve"> of CA Industry Assistance</w:t>
      </w:r>
      <w:r w:rsidR="008D2D9A">
        <w:rPr>
          <w:rFonts w:ascii="Palatino Linotype" w:hAnsi="Palatino Linotype"/>
          <w:sz w:val="24"/>
          <w:szCs w:val="24"/>
        </w:rPr>
        <w:t xml:space="preserve">, </w:t>
      </w:r>
      <w:r>
        <w:rPr>
          <w:rFonts w:ascii="Palatino Linotype" w:hAnsi="Palatino Linotype"/>
          <w:sz w:val="24"/>
          <w:szCs w:val="24"/>
        </w:rPr>
        <w:t xml:space="preserve">a related program that </w:t>
      </w:r>
      <w:r w:rsidR="006E1043">
        <w:rPr>
          <w:rFonts w:ascii="Palatino Linotype" w:hAnsi="Palatino Linotype"/>
          <w:sz w:val="24"/>
          <w:szCs w:val="24"/>
        </w:rPr>
        <w:t xml:space="preserve">aims to reduce emissions leakage by </w:t>
      </w:r>
      <w:r w:rsidR="00267F93">
        <w:rPr>
          <w:rFonts w:ascii="Palatino Linotype" w:hAnsi="Palatino Linotype"/>
          <w:sz w:val="24"/>
          <w:szCs w:val="24"/>
        </w:rPr>
        <w:t>provid</w:t>
      </w:r>
      <w:r w:rsidR="006E1043">
        <w:rPr>
          <w:rFonts w:ascii="Palatino Linotype" w:hAnsi="Palatino Linotype"/>
          <w:sz w:val="24"/>
          <w:szCs w:val="24"/>
        </w:rPr>
        <w:t>ing</w:t>
      </w:r>
      <w:r>
        <w:rPr>
          <w:rFonts w:ascii="Palatino Linotype" w:hAnsi="Palatino Linotype"/>
          <w:sz w:val="24"/>
          <w:szCs w:val="24"/>
        </w:rPr>
        <w:t xml:space="preserve"> Emission-Intensive and Trade-Exposed entities with </w:t>
      </w:r>
      <w:r w:rsidR="00444CB9">
        <w:rPr>
          <w:rFonts w:ascii="Palatino Linotype" w:hAnsi="Palatino Linotype"/>
          <w:sz w:val="24"/>
          <w:szCs w:val="24"/>
        </w:rPr>
        <w:t xml:space="preserve">allocated allowance auction </w:t>
      </w:r>
      <w:r>
        <w:rPr>
          <w:rFonts w:ascii="Palatino Linotype" w:hAnsi="Palatino Linotype"/>
          <w:sz w:val="24"/>
          <w:szCs w:val="24"/>
        </w:rPr>
        <w:t>proceeds</w:t>
      </w:r>
      <w:r w:rsidR="00267F93">
        <w:rPr>
          <w:rFonts w:ascii="Palatino Linotype" w:hAnsi="Palatino Linotype"/>
          <w:sz w:val="24"/>
          <w:szCs w:val="24"/>
        </w:rPr>
        <w:t xml:space="preserve"> for costs associated with the Cap-and-Trade Program embedded in electricity purchases</w:t>
      </w:r>
      <w:r>
        <w:rPr>
          <w:rFonts w:ascii="Palatino Linotype" w:hAnsi="Palatino Linotype"/>
          <w:sz w:val="24"/>
          <w:szCs w:val="24"/>
        </w:rPr>
        <w:t xml:space="preserve">, </w:t>
      </w:r>
      <w:r w:rsidR="008D2D9A">
        <w:rPr>
          <w:rFonts w:ascii="Palatino Linotype" w:hAnsi="Palatino Linotype"/>
          <w:sz w:val="24"/>
          <w:szCs w:val="24"/>
        </w:rPr>
        <w:t xml:space="preserve">Energy Division </w:t>
      </w:r>
      <w:r w:rsidR="00444CB9">
        <w:rPr>
          <w:rFonts w:ascii="Palatino Linotype" w:hAnsi="Palatino Linotype"/>
          <w:sz w:val="24"/>
          <w:szCs w:val="24"/>
        </w:rPr>
        <w:t xml:space="preserve">staff </w:t>
      </w:r>
      <w:r w:rsidR="008D2D9A">
        <w:rPr>
          <w:rFonts w:ascii="Palatino Linotype" w:hAnsi="Palatino Linotype"/>
          <w:sz w:val="24"/>
          <w:szCs w:val="24"/>
        </w:rPr>
        <w:t xml:space="preserve">became aware that </w:t>
      </w:r>
      <w:r>
        <w:rPr>
          <w:rFonts w:ascii="Palatino Linotype" w:hAnsi="Palatino Linotype"/>
          <w:sz w:val="24"/>
          <w:szCs w:val="24"/>
        </w:rPr>
        <w:t xml:space="preserve">some entities </w:t>
      </w:r>
      <w:r w:rsidR="00444CB9">
        <w:rPr>
          <w:rFonts w:ascii="Palatino Linotype" w:hAnsi="Palatino Linotype"/>
          <w:sz w:val="24"/>
          <w:szCs w:val="24"/>
        </w:rPr>
        <w:t>controlled</w:t>
      </w:r>
      <w:r>
        <w:rPr>
          <w:rFonts w:ascii="Palatino Linotype" w:hAnsi="Palatino Linotype"/>
          <w:sz w:val="24"/>
          <w:szCs w:val="24"/>
        </w:rPr>
        <w:t xml:space="preserve"> significant numbers of qualifying Small Business California Climate Credit accounts. In May and June 2024, Energy Divisio</w:t>
      </w:r>
      <w:r w:rsidR="00F21BE7">
        <w:rPr>
          <w:rFonts w:ascii="Palatino Linotype" w:hAnsi="Palatino Linotype"/>
          <w:sz w:val="24"/>
          <w:szCs w:val="24"/>
        </w:rPr>
        <w:t>n</w:t>
      </w:r>
      <w:r>
        <w:rPr>
          <w:rFonts w:ascii="Palatino Linotype" w:hAnsi="Palatino Linotype"/>
          <w:sz w:val="24"/>
          <w:szCs w:val="24"/>
        </w:rPr>
        <w:t xml:space="preserve"> </w:t>
      </w:r>
      <w:r w:rsidR="00912124">
        <w:rPr>
          <w:rFonts w:ascii="Palatino Linotype" w:hAnsi="Palatino Linotype"/>
          <w:sz w:val="24"/>
          <w:szCs w:val="24"/>
        </w:rPr>
        <w:t>contacted</w:t>
      </w:r>
      <w:r>
        <w:rPr>
          <w:rFonts w:ascii="Palatino Linotype" w:hAnsi="Palatino Linotype"/>
          <w:sz w:val="24"/>
          <w:szCs w:val="24"/>
        </w:rPr>
        <w:t xml:space="preserve"> the large IOUs (PG&amp;E, SCE, and SDG&amp;E) requesting – to the extent possible – that each of the three IOUs provide a complete list of the 2024 Small Business California Climate Credit recipients, aggregated by recipient.</w:t>
      </w:r>
      <w:r w:rsidR="00912124">
        <w:rPr>
          <w:rFonts w:ascii="Palatino Linotype" w:hAnsi="Palatino Linotype"/>
          <w:sz w:val="24"/>
          <w:szCs w:val="24"/>
        </w:rPr>
        <w:t xml:space="preserve"> The data revealed t</w:t>
      </w:r>
      <w:r w:rsidR="00A56B82">
        <w:rPr>
          <w:rFonts w:ascii="Palatino Linotype" w:hAnsi="Palatino Linotype"/>
          <w:sz w:val="24"/>
          <w:szCs w:val="24"/>
        </w:rPr>
        <w:t xml:space="preserve">hat many of the </w:t>
      </w:r>
      <w:r w:rsidR="00912124">
        <w:rPr>
          <w:rFonts w:ascii="Palatino Linotype" w:hAnsi="Palatino Linotype"/>
          <w:sz w:val="24"/>
          <w:szCs w:val="24"/>
        </w:rPr>
        <w:t xml:space="preserve">State’s large telecommunications </w:t>
      </w:r>
      <w:r w:rsidR="00A56B82">
        <w:rPr>
          <w:rFonts w:ascii="Palatino Linotype" w:hAnsi="Palatino Linotype"/>
          <w:sz w:val="24"/>
          <w:szCs w:val="24"/>
        </w:rPr>
        <w:t xml:space="preserve">companies, numerous municipalities, and </w:t>
      </w:r>
      <w:r w:rsidR="00444CB9">
        <w:rPr>
          <w:rFonts w:ascii="Palatino Linotype" w:hAnsi="Palatino Linotype"/>
          <w:sz w:val="24"/>
          <w:szCs w:val="24"/>
        </w:rPr>
        <w:t>various governmental organization</w:t>
      </w:r>
      <w:r w:rsidR="006043C9">
        <w:rPr>
          <w:rFonts w:ascii="Palatino Linotype" w:hAnsi="Palatino Linotype"/>
          <w:sz w:val="24"/>
          <w:szCs w:val="24"/>
        </w:rPr>
        <w:t>s</w:t>
      </w:r>
      <w:r w:rsidR="00444CB9">
        <w:rPr>
          <w:rFonts w:ascii="Palatino Linotype" w:hAnsi="Palatino Linotype"/>
          <w:sz w:val="24"/>
          <w:szCs w:val="24"/>
        </w:rPr>
        <w:t xml:space="preserve"> at the federal, state, and local levels</w:t>
      </w:r>
      <w:r w:rsidR="00A56B82">
        <w:rPr>
          <w:rFonts w:ascii="Palatino Linotype" w:hAnsi="Palatino Linotype"/>
          <w:sz w:val="24"/>
          <w:szCs w:val="24"/>
        </w:rPr>
        <w:t xml:space="preserve"> had thousands or hundreds of qualifying small business accounts.</w:t>
      </w:r>
      <w:r w:rsidR="00444CB9">
        <w:rPr>
          <w:rFonts w:ascii="Palatino Linotype" w:hAnsi="Palatino Linotype"/>
          <w:sz w:val="24"/>
          <w:szCs w:val="24"/>
        </w:rPr>
        <w:t xml:space="preserve"> Table</w:t>
      </w:r>
      <w:r w:rsidR="0002645D">
        <w:rPr>
          <w:rFonts w:ascii="Palatino Linotype" w:hAnsi="Palatino Linotype"/>
          <w:sz w:val="24"/>
          <w:szCs w:val="24"/>
        </w:rPr>
        <w:t>s</w:t>
      </w:r>
      <w:r w:rsidR="00444CB9">
        <w:rPr>
          <w:rFonts w:ascii="Palatino Linotype" w:hAnsi="Palatino Linotype"/>
          <w:sz w:val="24"/>
          <w:szCs w:val="24"/>
        </w:rPr>
        <w:t xml:space="preserve"> 1</w:t>
      </w:r>
      <w:r w:rsidR="0002645D">
        <w:rPr>
          <w:rFonts w:ascii="Palatino Linotype" w:hAnsi="Palatino Linotype"/>
          <w:sz w:val="24"/>
          <w:szCs w:val="24"/>
        </w:rPr>
        <w:t xml:space="preserve"> and 2</w:t>
      </w:r>
      <w:r w:rsidR="00444CB9">
        <w:rPr>
          <w:rFonts w:ascii="Palatino Linotype" w:hAnsi="Palatino Linotype"/>
          <w:sz w:val="24"/>
          <w:szCs w:val="24"/>
        </w:rPr>
        <w:t>, below, aggregate the data available:</w:t>
      </w:r>
      <w:r w:rsidR="00A56B82">
        <w:rPr>
          <w:rFonts w:ascii="Palatino Linotype" w:hAnsi="Palatino Linotype"/>
          <w:sz w:val="24"/>
          <w:szCs w:val="24"/>
        </w:rPr>
        <w:t xml:space="preserve"> </w:t>
      </w:r>
    </w:p>
    <w:p w:rsidR="007F0201" w:rsidP="00E33BDF" w:rsidRDefault="007F0201" w14:paraId="14D31DA1" w14:textId="77777777">
      <w:pPr>
        <w:rPr>
          <w:rFonts w:ascii="Palatino Linotype" w:hAnsi="Palatino Linotype"/>
          <w:sz w:val="24"/>
          <w:szCs w:val="24"/>
        </w:rPr>
      </w:pPr>
    </w:p>
    <w:p w:rsidRPr="00D0245E" w:rsidR="00E33BDF" w:rsidP="00F21BE7" w:rsidRDefault="003E224C" w14:paraId="02246B81" w14:textId="77777777">
      <w:pPr>
        <w:rPr>
          <w:rFonts w:ascii="Palatino Linotype" w:hAnsi="Palatino Linotype"/>
          <w:b/>
          <w:bCs/>
          <w:sz w:val="24"/>
          <w:szCs w:val="24"/>
        </w:rPr>
      </w:pPr>
      <w:r w:rsidRPr="00D0245E">
        <w:rPr>
          <w:rFonts w:ascii="Palatino Linotype" w:hAnsi="Palatino Linotype"/>
          <w:b/>
          <w:bCs/>
          <w:sz w:val="24"/>
          <w:szCs w:val="24"/>
        </w:rPr>
        <w:t>Table 1</w:t>
      </w:r>
      <w:r w:rsidRPr="00D0245E" w:rsidR="00D0245E">
        <w:rPr>
          <w:rFonts w:ascii="Palatino Linotype" w:hAnsi="Palatino Linotype"/>
          <w:b/>
          <w:bCs/>
          <w:sz w:val="24"/>
          <w:szCs w:val="24"/>
        </w:rPr>
        <w:t xml:space="preserve">: </w:t>
      </w:r>
      <w:r w:rsidR="00E649E3">
        <w:rPr>
          <w:rFonts w:ascii="Palatino Linotype" w:hAnsi="Palatino Linotype"/>
          <w:b/>
          <w:bCs/>
          <w:sz w:val="24"/>
          <w:szCs w:val="24"/>
        </w:rPr>
        <w:t xml:space="preserve">Small Business California Climate </w:t>
      </w:r>
      <w:r w:rsidRPr="00D0245E" w:rsidR="00E33BDF">
        <w:rPr>
          <w:rFonts w:ascii="Palatino Linotype" w:hAnsi="Palatino Linotype"/>
          <w:b/>
          <w:bCs/>
          <w:sz w:val="24"/>
          <w:szCs w:val="24"/>
        </w:rPr>
        <w:t xml:space="preserve">Credits Distributed to Recipients with </w:t>
      </w:r>
      <w:r w:rsidR="00A54347">
        <w:rPr>
          <w:rFonts w:ascii="Palatino Linotype" w:hAnsi="Palatino Linotype"/>
          <w:b/>
          <w:bCs/>
          <w:sz w:val="24"/>
          <w:szCs w:val="24"/>
        </w:rPr>
        <w:t xml:space="preserve">≥ </w:t>
      </w:r>
      <w:r w:rsidRPr="00D0245E" w:rsidR="00E33BDF">
        <w:rPr>
          <w:rFonts w:ascii="Palatino Linotype" w:hAnsi="Palatino Linotype"/>
          <w:b/>
          <w:bCs/>
          <w:sz w:val="24"/>
          <w:szCs w:val="24"/>
        </w:rPr>
        <w:t>100 Eligible Accounts</w:t>
      </w:r>
    </w:p>
    <w:p w:rsidRPr="008C172A" w:rsidR="00E33BDF" w:rsidP="00F21BE7" w:rsidRDefault="00E33BDF" w14:paraId="4A3CE850" w14:textId="77777777">
      <w:pPr>
        <w:rPr>
          <w:rFonts w:ascii="Palatino Linotype" w:hAnsi="Palatino Linotype"/>
          <w:sz w:val="22"/>
          <w:szCs w:val="22"/>
        </w:rPr>
      </w:pPr>
      <w:r w:rsidRPr="008C172A">
        <w:rPr>
          <w:rFonts w:ascii="Palatino Linotype" w:hAnsi="Palatino Linotype"/>
          <w:sz w:val="22"/>
          <w:szCs w:val="22"/>
        </w:rPr>
        <w:t xml:space="preserve">2024 </w:t>
      </w:r>
      <w:r w:rsidRPr="008C172A" w:rsidR="00811B4A">
        <w:rPr>
          <w:rFonts w:ascii="Palatino Linotype" w:hAnsi="Palatino Linotype"/>
          <w:sz w:val="22"/>
          <w:szCs w:val="22"/>
        </w:rPr>
        <w:t xml:space="preserve">Spring </w:t>
      </w:r>
      <w:r w:rsidRPr="008C172A">
        <w:rPr>
          <w:rFonts w:ascii="Palatino Linotype" w:hAnsi="Palatino Linotype"/>
          <w:sz w:val="22"/>
          <w:szCs w:val="22"/>
        </w:rPr>
        <w:t>Data</w:t>
      </w:r>
    </w:p>
    <w:tbl>
      <w:tblPr>
        <w:tblW w:w="13055" w:type="dxa"/>
        <w:tblBorders>
          <w:top w:val="single" w:color="auto" w:sz="4" w:space="0"/>
          <w:bottom w:val="single" w:color="auto" w:sz="4" w:space="0"/>
          <w:insideH w:val="single" w:color="auto" w:sz="4" w:space="0"/>
        </w:tblBorders>
        <w:tblLayout w:type="fixed"/>
        <w:tblLook w:val="04A0" w:firstRow="1" w:lastRow="0" w:firstColumn="1" w:lastColumn="0" w:noHBand="0" w:noVBand="1"/>
      </w:tblPr>
      <w:tblGrid>
        <w:gridCol w:w="1800"/>
        <w:gridCol w:w="1140"/>
        <w:gridCol w:w="1140"/>
        <w:gridCol w:w="1140"/>
        <w:gridCol w:w="1080"/>
        <w:gridCol w:w="1080"/>
        <w:gridCol w:w="1080"/>
        <w:gridCol w:w="1531"/>
        <w:gridCol w:w="1532"/>
        <w:gridCol w:w="1532"/>
      </w:tblGrid>
      <w:tr w:rsidRPr="008762F4" w:rsidR="00173CED" w:rsidTr="00F20364" w14:paraId="47799895" w14:textId="77777777">
        <w:trPr>
          <w:trHeight w:val="300"/>
        </w:trPr>
        <w:tc>
          <w:tcPr>
            <w:tcW w:w="1800" w:type="dxa"/>
            <w:shd w:val="clear" w:color="auto" w:fill="FABF8F" w:themeFill="accent6" w:themeFillTint="99"/>
            <w:noWrap/>
            <w:vAlign w:val="center"/>
          </w:tcPr>
          <w:p w:rsidRPr="009C32B4" w:rsidR="00173CED" w:rsidP="00F21BE7" w:rsidRDefault="00173CED" w14:paraId="1DA9249A" w14:textId="77777777">
            <w:pPr>
              <w:contextualSpacing/>
              <w:rPr>
                <w:rFonts w:ascii="Times New Roman" w:hAnsi="Times New Roman"/>
                <w:sz w:val="20"/>
              </w:rPr>
            </w:pPr>
          </w:p>
        </w:tc>
        <w:tc>
          <w:tcPr>
            <w:tcW w:w="3420" w:type="dxa"/>
            <w:gridSpan w:val="3"/>
            <w:shd w:val="clear" w:color="auto" w:fill="FABF8F" w:themeFill="accent6" w:themeFillTint="99"/>
            <w:noWrap/>
            <w:vAlign w:val="center"/>
          </w:tcPr>
          <w:p w:rsidRPr="009C32B4" w:rsidR="00173CED" w:rsidP="00F21BE7" w:rsidRDefault="00173CED" w14:paraId="7CEDE2C3" w14:textId="77777777">
            <w:pPr>
              <w:contextualSpacing/>
              <w:jc w:val="center"/>
              <w:rPr>
                <w:rFonts w:ascii="Aptos Narrow" w:hAnsi="Aptos Narrow"/>
                <w:b/>
                <w:bCs/>
                <w:color w:val="000000"/>
                <w:sz w:val="20"/>
              </w:rPr>
            </w:pPr>
            <w:r>
              <w:rPr>
                <w:rFonts w:ascii="Aptos Narrow" w:hAnsi="Aptos Narrow"/>
                <w:b/>
                <w:bCs/>
                <w:color w:val="000000"/>
                <w:sz w:val="20"/>
              </w:rPr>
              <w:t>Number of Eligible Accounts</w:t>
            </w:r>
          </w:p>
        </w:tc>
        <w:tc>
          <w:tcPr>
            <w:tcW w:w="3240" w:type="dxa"/>
            <w:gridSpan w:val="3"/>
            <w:shd w:val="clear" w:color="auto" w:fill="FABF8F" w:themeFill="accent6" w:themeFillTint="99"/>
            <w:noWrap/>
            <w:vAlign w:val="center"/>
          </w:tcPr>
          <w:p w:rsidRPr="009C32B4" w:rsidR="00173CED" w:rsidP="00F21BE7" w:rsidRDefault="00173CED" w14:paraId="4D21433B" w14:textId="77777777">
            <w:pPr>
              <w:contextualSpacing/>
              <w:jc w:val="center"/>
              <w:rPr>
                <w:rFonts w:ascii="Aptos Narrow" w:hAnsi="Aptos Narrow"/>
                <w:b/>
                <w:bCs/>
                <w:color w:val="000000"/>
                <w:sz w:val="20"/>
              </w:rPr>
            </w:pPr>
            <w:r>
              <w:rPr>
                <w:rFonts w:ascii="Aptos Narrow" w:hAnsi="Aptos Narrow"/>
                <w:b/>
                <w:bCs/>
                <w:color w:val="000000"/>
                <w:sz w:val="20"/>
              </w:rPr>
              <w:t>Number of Recipients</w:t>
            </w:r>
          </w:p>
        </w:tc>
        <w:tc>
          <w:tcPr>
            <w:tcW w:w="4595" w:type="dxa"/>
            <w:gridSpan w:val="3"/>
            <w:shd w:val="clear" w:color="auto" w:fill="FABF8F" w:themeFill="accent6" w:themeFillTint="99"/>
            <w:noWrap/>
            <w:vAlign w:val="center"/>
          </w:tcPr>
          <w:p w:rsidRPr="009C32B4" w:rsidR="00173CED" w:rsidP="00F21BE7" w:rsidRDefault="00173CED" w14:paraId="101D19F5" w14:textId="77777777">
            <w:pPr>
              <w:contextualSpacing/>
              <w:jc w:val="center"/>
              <w:rPr>
                <w:rFonts w:ascii="Aptos Narrow" w:hAnsi="Aptos Narrow"/>
                <w:b/>
                <w:bCs/>
                <w:color w:val="000000"/>
                <w:sz w:val="20"/>
              </w:rPr>
            </w:pPr>
            <w:r>
              <w:rPr>
                <w:rFonts w:ascii="Aptos Narrow" w:hAnsi="Aptos Narrow"/>
                <w:b/>
                <w:bCs/>
                <w:color w:val="000000"/>
                <w:sz w:val="20"/>
              </w:rPr>
              <w:t>Value of Credit</w:t>
            </w:r>
          </w:p>
        </w:tc>
      </w:tr>
      <w:tr w:rsidRPr="008762F4" w:rsidR="00F830F4" w:rsidTr="00F20364" w14:paraId="370F8756" w14:textId="77777777">
        <w:trPr>
          <w:trHeight w:val="300"/>
        </w:trPr>
        <w:tc>
          <w:tcPr>
            <w:tcW w:w="1800" w:type="dxa"/>
            <w:shd w:val="clear" w:color="auto" w:fill="FDE9D9" w:themeFill="accent6" w:themeFillTint="33"/>
            <w:noWrap/>
            <w:vAlign w:val="center"/>
            <w:hideMark/>
          </w:tcPr>
          <w:p w:rsidRPr="00F21BE7" w:rsidR="008762F4" w:rsidP="00F21BE7" w:rsidRDefault="008762F4" w14:paraId="1EDF5809" w14:textId="77777777">
            <w:pPr>
              <w:contextualSpacing/>
              <w:rPr>
                <w:rFonts w:ascii="Times New Roman" w:hAnsi="Times New Roman"/>
                <w:sz w:val="22"/>
                <w:szCs w:val="22"/>
              </w:rPr>
            </w:pPr>
          </w:p>
        </w:tc>
        <w:tc>
          <w:tcPr>
            <w:tcW w:w="1140" w:type="dxa"/>
            <w:shd w:val="clear" w:color="auto" w:fill="FDE9D9" w:themeFill="accent6" w:themeFillTint="33"/>
            <w:noWrap/>
            <w:vAlign w:val="center"/>
            <w:hideMark/>
          </w:tcPr>
          <w:p w:rsidRPr="00F21BE7" w:rsidR="008762F4" w:rsidP="00F21BE7" w:rsidRDefault="008762F4" w14:paraId="794104D1"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PG&amp;E</w:t>
            </w:r>
          </w:p>
        </w:tc>
        <w:tc>
          <w:tcPr>
            <w:tcW w:w="1140" w:type="dxa"/>
            <w:shd w:val="clear" w:color="auto" w:fill="FDE9D9" w:themeFill="accent6" w:themeFillTint="33"/>
            <w:noWrap/>
            <w:vAlign w:val="center"/>
            <w:hideMark/>
          </w:tcPr>
          <w:p w:rsidRPr="00F21BE7" w:rsidR="008762F4" w:rsidP="00F21BE7" w:rsidRDefault="008762F4" w14:paraId="4E62C4EE"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SCE</w:t>
            </w:r>
          </w:p>
        </w:tc>
        <w:tc>
          <w:tcPr>
            <w:tcW w:w="1140" w:type="dxa"/>
            <w:shd w:val="clear" w:color="auto" w:fill="FDE9D9" w:themeFill="accent6" w:themeFillTint="33"/>
            <w:noWrap/>
            <w:vAlign w:val="center"/>
            <w:hideMark/>
          </w:tcPr>
          <w:p w:rsidRPr="00F21BE7" w:rsidR="008762F4" w:rsidP="00F21BE7" w:rsidRDefault="008762F4" w14:paraId="3E29B3CE"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SDG&amp;E</w:t>
            </w:r>
          </w:p>
        </w:tc>
        <w:tc>
          <w:tcPr>
            <w:tcW w:w="1080" w:type="dxa"/>
            <w:shd w:val="clear" w:color="auto" w:fill="FDE9D9" w:themeFill="accent6" w:themeFillTint="33"/>
            <w:noWrap/>
            <w:vAlign w:val="center"/>
            <w:hideMark/>
          </w:tcPr>
          <w:p w:rsidRPr="00F21BE7" w:rsidR="008762F4" w:rsidP="00F21BE7" w:rsidRDefault="008762F4" w14:paraId="60E3BB67"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PG&amp;E</w:t>
            </w:r>
          </w:p>
        </w:tc>
        <w:tc>
          <w:tcPr>
            <w:tcW w:w="1080" w:type="dxa"/>
            <w:shd w:val="clear" w:color="auto" w:fill="FDE9D9" w:themeFill="accent6" w:themeFillTint="33"/>
            <w:vAlign w:val="center"/>
          </w:tcPr>
          <w:p w:rsidRPr="00F21BE7" w:rsidR="008762F4" w:rsidP="00F21BE7" w:rsidRDefault="008762F4" w14:paraId="1B9948E5"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SCE</w:t>
            </w:r>
          </w:p>
        </w:tc>
        <w:tc>
          <w:tcPr>
            <w:tcW w:w="1080" w:type="dxa"/>
            <w:shd w:val="clear" w:color="auto" w:fill="FDE9D9" w:themeFill="accent6" w:themeFillTint="33"/>
            <w:vAlign w:val="center"/>
          </w:tcPr>
          <w:p w:rsidRPr="00F21BE7" w:rsidR="008762F4" w:rsidP="00F21BE7" w:rsidRDefault="008762F4" w14:paraId="628E30F0"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SDG&amp;E</w:t>
            </w:r>
          </w:p>
        </w:tc>
        <w:tc>
          <w:tcPr>
            <w:tcW w:w="1531" w:type="dxa"/>
            <w:shd w:val="clear" w:color="auto" w:fill="FDE9D9" w:themeFill="accent6" w:themeFillTint="33"/>
            <w:noWrap/>
            <w:vAlign w:val="center"/>
            <w:hideMark/>
          </w:tcPr>
          <w:p w:rsidRPr="00F21BE7" w:rsidR="008762F4" w:rsidP="00F21BE7" w:rsidRDefault="008762F4" w14:paraId="03F8466D"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PG&amp;E</w:t>
            </w:r>
          </w:p>
        </w:tc>
        <w:tc>
          <w:tcPr>
            <w:tcW w:w="1532" w:type="dxa"/>
            <w:shd w:val="clear" w:color="auto" w:fill="FDE9D9" w:themeFill="accent6" w:themeFillTint="33"/>
            <w:noWrap/>
            <w:vAlign w:val="center"/>
            <w:hideMark/>
          </w:tcPr>
          <w:p w:rsidRPr="00F21BE7" w:rsidR="008762F4" w:rsidP="00F21BE7" w:rsidRDefault="008762F4" w14:paraId="66B271E7"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SCE</w:t>
            </w:r>
          </w:p>
        </w:tc>
        <w:tc>
          <w:tcPr>
            <w:tcW w:w="1532" w:type="dxa"/>
            <w:shd w:val="clear" w:color="auto" w:fill="FDE9D9" w:themeFill="accent6" w:themeFillTint="33"/>
            <w:noWrap/>
            <w:vAlign w:val="center"/>
            <w:hideMark/>
          </w:tcPr>
          <w:p w:rsidRPr="00F21BE7" w:rsidR="008762F4" w:rsidP="00F21BE7" w:rsidRDefault="008762F4" w14:paraId="66C88E7F"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SDG&amp;E</w:t>
            </w:r>
          </w:p>
        </w:tc>
      </w:tr>
      <w:tr w:rsidRPr="008762F4" w:rsidR="008762F4" w:rsidTr="00F20364" w14:paraId="08607687" w14:textId="77777777">
        <w:trPr>
          <w:trHeight w:val="269"/>
        </w:trPr>
        <w:tc>
          <w:tcPr>
            <w:tcW w:w="1800" w:type="dxa"/>
            <w:shd w:val="clear" w:color="auto" w:fill="auto"/>
            <w:noWrap/>
            <w:vAlign w:val="center"/>
            <w:hideMark/>
          </w:tcPr>
          <w:p w:rsidRPr="00F21BE7" w:rsidR="008762F4" w:rsidP="00F21BE7" w:rsidRDefault="008762F4" w14:paraId="69C7C8FA" w14:textId="77777777">
            <w:pPr>
              <w:contextualSpacing/>
              <w:rPr>
                <w:rFonts w:ascii="Aptos Narrow" w:hAnsi="Aptos Narrow"/>
                <w:color w:val="000000"/>
                <w:sz w:val="22"/>
                <w:szCs w:val="22"/>
              </w:rPr>
            </w:pPr>
            <w:r w:rsidRPr="00F21BE7">
              <w:rPr>
                <w:rFonts w:ascii="Aptos Narrow" w:hAnsi="Aptos Narrow"/>
                <w:color w:val="000000"/>
                <w:sz w:val="22"/>
                <w:szCs w:val="22"/>
              </w:rPr>
              <w:t>Telecom</w:t>
            </w:r>
          </w:p>
        </w:tc>
        <w:tc>
          <w:tcPr>
            <w:tcW w:w="1140" w:type="dxa"/>
            <w:shd w:val="clear" w:color="auto" w:fill="auto"/>
            <w:noWrap/>
            <w:vAlign w:val="center"/>
            <w:hideMark/>
          </w:tcPr>
          <w:p w:rsidRPr="00D843D5" w:rsidR="008762F4" w:rsidP="003E3178" w:rsidRDefault="003E3178" w14:paraId="30761DC0" w14:textId="77777777">
            <w:pPr>
              <w:contextualSpacing/>
              <w:jc w:val="right"/>
              <w:rPr>
                <w:rFonts w:ascii="Aptos Narrow" w:hAnsi="Aptos Narrow"/>
                <w:color w:val="000000"/>
                <w:sz w:val="22"/>
                <w:szCs w:val="22"/>
              </w:rPr>
            </w:pPr>
            <w:r>
              <w:rPr>
                <w:rFonts w:ascii="Aptos Narrow" w:hAnsi="Aptos Narrow"/>
                <w:color w:val="000000"/>
                <w:sz w:val="22"/>
                <w:szCs w:val="22"/>
              </w:rPr>
              <w:t>39,036</w:t>
            </w:r>
          </w:p>
        </w:tc>
        <w:tc>
          <w:tcPr>
            <w:tcW w:w="1140" w:type="dxa"/>
            <w:shd w:val="clear" w:color="auto" w:fill="auto"/>
            <w:noWrap/>
            <w:vAlign w:val="center"/>
            <w:hideMark/>
          </w:tcPr>
          <w:p w:rsidRPr="00D843D5" w:rsidR="008762F4" w:rsidP="00F21BE7" w:rsidRDefault="008762F4" w14:paraId="3E601D0D"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31,681 </w:t>
            </w:r>
          </w:p>
        </w:tc>
        <w:tc>
          <w:tcPr>
            <w:tcW w:w="1140" w:type="dxa"/>
            <w:shd w:val="clear" w:color="auto" w:fill="auto"/>
            <w:noWrap/>
            <w:vAlign w:val="center"/>
            <w:hideMark/>
          </w:tcPr>
          <w:p w:rsidRPr="00D843D5" w:rsidR="008762F4" w:rsidP="00F21BE7" w:rsidRDefault="008762F4" w14:paraId="08474E72"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9,918 </w:t>
            </w:r>
          </w:p>
        </w:tc>
        <w:tc>
          <w:tcPr>
            <w:tcW w:w="1080" w:type="dxa"/>
            <w:shd w:val="clear" w:color="auto" w:fill="auto"/>
            <w:noWrap/>
            <w:vAlign w:val="center"/>
            <w:hideMark/>
          </w:tcPr>
          <w:p w:rsidRPr="00D843D5" w:rsidR="008762F4" w:rsidP="00F21BE7" w:rsidRDefault="003E3178" w14:paraId="32993345" w14:textId="77777777">
            <w:pPr>
              <w:contextualSpacing/>
              <w:jc w:val="right"/>
              <w:rPr>
                <w:rFonts w:ascii="Aptos Narrow" w:hAnsi="Aptos Narrow"/>
                <w:color w:val="000000"/>
                <w:sz w:val="22"/>
                <w:szCs w:val="22"/>
              </w:rPr>
            </w:pPr>
            <w:r>
              <w:rPr>
                <w:rFonts w:ascii="Aptos Narrow" w:hAnsi="Aptos Narrow"/>
                <w:color w:val="000000"/>
                <w:sz w:val="22"/>
                <w:szCs w:val="22"/>
              </w:rPr>
              <w:t>47</w:t>
            </w:r>
          </w:p>
        </w:tc>
        <w:tc>
          <w:tcPr>
            <w:tcW w:w="1080" w:type="dxa"/>
            <w:vAlign w:val="center"/>
          </w:tcPr>
          <w:p w:rsidRPr="00D843D5" w:rsidR="008762F4" w:rsidP="00F21BE7" w:rsidRDefault="008762F4" w14:paraId="3A50BF53"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31</w:t>
            </w:r>
          </w:p>
        </w:tc>
        <w:tc>
          <w:tcPr>
            <w:tcW w:w="1080" w:type="dxa"/>
            <w:vAlign w:val="center"/>
          </w:tcPr>
          <w:p w:rsidRPr="00D843D5" w:rsidR="008762F4" w:rsidP="00F21BE7" w:rsidRDefault="008762F4" w14:paraId="46C8A426"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11</w:t>
            </w:r>
          </w:p>
        </w:tc>
        <w:tc>
          <w:tcPr>
            <w:tcW w:w="1531" w:type="dxa"/>
            <w:shd w:val="clear" w:color="auto" w:fill="auto"/>
            <w:noWrap/>
            <w:vAlign w:val="center"/>
          </w:tcPr>
          <w:p w:rsidRPr="00D843D5" w:rsidR="008762F4" w:rsidP="003E3178" w:rsidRDefault="003E3178" w14:paraId="1A4E2D35" w14:textId="77777777">
            <w:pPr>
              <w:contextualSpacing/>
              <w:jc w:val="right"/>
              <w:rPr>
                <w:rFonts w:ascii="Aptos Narrow" w:hAnsi="Aptos Narrow"/>
                <w:color w:val="000000"/>
                <w:sz w:val="22"/>
                <w:szCs w:val="22"/>
              </w:rPr>
            </w:pPr>
            <w:r>
              <w:rPr>
                <w:rFonts w:ascii="Aptos Narrow" w:hAnsi="Aptos Narrow"/>
                <w:color w:val="000000"/>
                <w:sz w:val="22"/>
                <w:szCs w:val="22"/>
              </w:rPr>
              <w:t>$4,307,232</w:t>
            </w:r>
          </w:p>
        </w:tc>
        <w:tc>
          <w:tcPr>
            <w:tcW w:w="1532" w:type="dxa"/>
            <w:shd w:val="clear" w:color="auto" w:fill="auto"/>
            <w:noWrap/>
            <w:vAlign w:val="center"/>
            <w:hideMark/>
          </w:tcPr>
          <w:p w:rsidRPr="00D843D5" w:rsidR="008762F4" w:rsidP="00F21BE7" w:rsidRDefault="008762F4" w14:paraId="44291735"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$ 5,449,132 </w:t>
            </w:r>
          </w:p>
        </w:tc>
        <w:tc>
          <w:tcPr>
            <w:tcW w:w="1532" w:type="dxa"/>
            <w:shd w:val="clear" w:color="auto" w:fill="auto"/>
            <w:noWrap/>
            <w:vAlign w:val="center"/>
            <w:hideMark/>
          </w:tcPr>
          <w:p w:rsidRPr="00D843D5" w:rsidR="008762F4" w:rsidP="00F21BE7" w:rsidRDefault="008762F4" w14:paraId="776C14A2"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$ 1,551,572 </w:t>
            </w:r>
          </w:p>
        </w:tc>
      </w:tr>
      <w:tr w:rsidRPr="008762F4" w:rsidR="00F830F4" w:rsidTr="00F20364" w14:paraId="2540295B" w14:textId="77777777">
        <w:trPr>
          <w:trHeight w:val="300"/>
        </w:trPr>
        <w:tc>
          <w:tcPr>
            <w:tcW w:w="1800" w:type="dxa"/>
            <w:shd w:val="clear" w:color="auto" w:fill="F2F2F2" w:themeFill="background1" w:themeFillShade="F2"/>
            <w:noWrap/>
            <w:vAlign w:val="center"/>
            <w:hideMark/>
          </w:tcPr>
          <w:p w:rsidRPr="00F21BE7" w:rsidR="008762F4" w:rsidP="00F21BE7" w:rsidRDefault="008762F4" w14:paraId="77AFCD44" w14:textId="77777777">
            <w:pPr>
              <w:contextualSpacing/>
              <w:rPr>
                <w:rFonts w:ascii="Aptos Narrow" w:hAnsi="Aptos Narrow"/>
                <w:color w:val="000000"/>
                <w:sz w:val="22"/>
                <w:szCs w:val="22"/>
              </w:rPr>
            </w:pPr>
            <w:r w:rsidRPr="00F21BE7">
              <w:rPr>
                <w:rFonts w:ascii="Aptos Narrow" w:hAnsi="Aptos Narrow"/>
                <w:color w:val="000000"/>
                <w:sz w:val="22"/>
                <w:szCs w:val="22"/>
              </w:rPr>
              <w:t>Government</w:t>
            </w:r>
            <w:r w:rsidR="00444CB9">
              <w:rPr>
                <w:rStyle w:val="FootnoteReference"/>
                <w:rFonts w:ascii="Aptos Narrow" w:hAnsi="Aptos Narrow"/>
                <w:color w:val="000000"/>
                <w:sz w:val="22"/>
                <w:szCs w:val="22"/>
              </w:rPr>
              <w:footnoteReference w:id="9"/>
            </w:r>
          </w:p>
        </w:tc>
        <w:tc>
          <w:tcPr>
            <w:tcW w:w="1140" w:type="dxa"/>
            <w:shd w:val="clear" w:color="auto" w:fill="F2F2F2" w:themeFill="background1" w:themeFillShade="F2"/>
            <w:noWrap/>
            <w:vAlign w:val="center"/>
            <w:hideMark/>
          </w:tcPr>
          <w:p w:rsidRPr="00D843D5" w:rsidR="008762F4" w:rsidP="003E3178" w:rsidRDefault="00DB48BC" w14:paraId="2E629AB2" w14:textId="77777777">
            <w:pPr>
              <w:contextualSpacing/>
              <w:jc w:val="right"/>
              <w:rPr>
                <w:rFonts w:ascii="Aptos Narrow" w:hAnsi="Aptos Narrow"/>
                <w:color w:val="000000"/>
                <w:sz w:val="22"/>
                <w:szCs w:val="22"/>
              </w:rPr>
            </w:pPr>
            <w:r>
              <w:rPr>
                <w:rFonts w:ascii="Aptos Narrow" w:hAnsi="Aptos Narrow"/>
                <w:color w:val="000000"/>
                <w:sz w:val="22"/>
                <w:szCs w:val="22"/>
              </w:rPr>
              <w:t>17,048</w:t>
            </w:r>
          </w:p>
        </w:tc>
        <w:tc>
          <w:tcPr>
            <w:tcW w:w="1140" w:type="dxa"/>
            <w:shd w:val="clear" w:color="auto" w:fill="F2F2F2" w:themeFill="background1" w:themeFillShade="F2"/>
            <w:noWrap/>
            <w:vAlign w:val="center"/>
            <w:hideMark/>
          </w:tcPr>
          <w:p w:rsidRPr="00D843D5" w:rsidR="008762F4" w:rsidP="00F21BE7" w:rsidRDefault="008762F4" w14:paraId="17D57536"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18,763 </w:t>
            </w:r>
          </w:p>
        </w:tc>
        <w:tc>
          <w:tcPr>
            <w:tcW w:w="1140" w:type="dxa"/>
            <w:shd w:val="clear" w:color="auto" w:fill="F2F2F2" w:themeFill="background1" w:themeFillShade="F2"/>
            <w:noWrap/>
            <w:vAlign w:val="center"/>
            <w:hideMark/>
          </w:tcPr>
          <w:p w:rsidRPr="00D843D5" w:rsidR="008762F4" w:rsidP="00F21BE7" w:rsidRDefault="008762F4" w14:paraId="72FE4439"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7,664 </w:t>
            </w:r>
          </w:p>
        </w:tc>
        <w:tc>
          <w:tcPr>
            <w:tcW w:w="1080" w:type="dxa"/>
            <w:shd w:val="clear" w:color="auto" w:fill="F2F2F2" w:themeFill="background1" w:themeFillShade="F2"/>
            <w:noWrap/>
            <w:vAlign w:val="center"/>
            <w:hideMark/>
          </w:tcPr>
          <w:p w:rsidRPr="00D843D5" w:rsidR="008762F4" w:rsidP="00F21BE7" w:rsidRDefault="003E3178" w14:paraId="1F8C33F9" w14:textId="77777777">
            <w:pPr>
              <w:contextualSpacing/>
              <w:jc w:val="right"/>
              <w:rPr>
                <w:rFonts w:ascii="Aptos Narrow" w:hAnsi="Aptos Narrow"/>
                <w:color w:val="000000"/>
                <w:sz w:val="22"/>
                <w:szCs w:val="22"/>
              </w:rPr>
            </w:pPr>
            <w:r>
              <w:rPr>
                <w:rFonts w:ascii="Aptos Narrow" w:hAnsi="Aptos Narrow"/>
                <w:color w:val="000000"/>
                <w:sz w:val="22"/>
                <w:szCs w:val="22"/>
              </w:rPr>
              <w:t>7</w:t>
            </w:r>
            <w:r w:rsidR="00DB48BC">
              <w:rPr>
                <w:rFonts w:ascii="Aptos Narrow" w:hAnsi="Aptos Narrow"/>
                <w:color w:val="000000"/>
                <w:sz w:val="22"/>
                <w:szCs w:val="22"/>
              </w:rPr>
              <w:t>9</w:t>
            </w:r>
          </w:p>
        </w:tc>
        <w:tc>
          <w:tcPr>
            <w:tcW w:w="1080" w:type="dxa"/>
            <w:shd w:val="clear" w:color="auto" w:fill="F2F2F2" w:themeFill="background1" w:themeFillShade="F2"/>
            <w:vAlign w:val="center"/>
          </w:tcPr>
          <w:p w:rsidRPr="00D843D5" w:rsidR="008762F4" w:rsidP="00F21BE7" w:rsidRDefault="008762F4" w14:paraId="60B29545"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72</w:t>
            </w:r>
          </w:p>
        </w:tc>
        <w:tc>
          <w:tcPr>
            <w:tcW w:w="1080" w:type="dxa"/>
            <w:shd w:val="clear" w:color="auto" w:fill="F2F2F2" w:themeFill="background1" w:themeFillShade="F2"/>
            <w:vAlign w:val="center"/>
          </w:tcPr>
          <w:p w:rsidRPr="00D843D5" w:rsidR="008762F4" w:rsidP="00F21BE7" w:rsidRDefault="008762F4" w14:paraId="3E1572A6"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20</w:t>
            </w:r>
          </w:p>
        </w:tc>
        <w:tc>
          <w:tcPr>
            <w:tcW w:w="1531" w:type="dxa"/>
            <w:shd w:val="clear" w:color="auto" w:fill="F2F2F2" w:themeFill="background1" w:themeFillShade="F2"/>
            <w:noWrap/>
            <w:vAlign w:val="center"/>
          </w:tcPr>
          <w:p w:rsidRPr="00D843D5" w:rsidR="008762F4" w:rsidP="003E3178" w:rsidRDefault="003E3178" w14:paraId="57DC2A70" w14:textId="77777777">
            <w:pPr>
              <w:contextualSpacing/>
              <w:jc w:val="right"/>
              <w:rPr>
                <w:rFonts w:ascii="Aptos Narrow" w:hAnsi="Aptos Narrow"/>
                <w:color w:val="000000"/>
                <w:sz w:val="22"/>
                <w:szCs w:val="22"/>
              </w:rPr>
            </w:pPr>
            <w:r>
              <w:rPr>
                <w:rFonts w:ascii="Aptos Narrow" w:hAnsi="Aptos Narrow"/>
                <w:color w:val="000000"/>
                <w:sz w:val="22"/>
                <w:szCs w:val="22"/>
              </w:rPr>
              <w:t>$1,8</w:t>
            </w:r>
            <w:r w:rsidR="00DB48BC">
              <w:rPr>
                <w:rFonts w:ascii="Aptos Narrow" w:hAnsi="Aptos Narrow"/>
                <w:color w:val="000000"/>
                <w:sz w:val="22"/>
                <w:szCs w:val="22"/>
              </w:rPr>
              <w:t>81</w:t>
            </w:r>
            <w:r>
              <w:rPr>
                <w:rFonts w:ascii="Aptos Narrow" w:hAnsi="Aptos Narrow"/>
                <w:color w:val="000000"/>
                <w:sz w:val="22"/>
                <w:szCs w:val="22"/>
              </w:rPr>
              <w:t>,</w:t>
            </w:r>
            <w:r w:rsidR="00DB48BC">
              <w:rPr>
                <w:rFonts w:ascii="Aptos Narrow" w:hAnsi="Aptos Narrow"/>
                <w:color w:val="000000"/>
                <w:sz w:val="22"/>
                <w:szCs w:val="22"/>
              </w:rPr>
              <w:t>076</w:t>
            </w:r>
          </w:p>
        </w:tc>
        <w:tc>
          <w:tcPr>
            <w:tcW w:w="1532" w:type="dxa"/>
            <w:shd w:val="clear" w:color="auto" w:fill="F2F2F2" w:themeFill="background1" w:themeFillShade="F2"/>
            <w:noWrap/>
            <w:vAlign w:val="center"/>
            <w:hideMark/>
          </w:tcPr>
          <w:p w:rsidRPr="00D843D5" w:rsidR="008762F4" w:rsidP="00F21BE7" w:rsidRDefault="008762F4" w14:paraId="3454E640"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$ 3,227,236 </w:t>
            </w:r>
          </w:p>
        </w:tc>
        <w:tc>
          <w:tcPr>
            <w:tcW w:w="1532" w:type="dxa"/>
            <w:shd w:val="clear" w:color="auto" w:fill="F2F2F2" w:themeFill="background1" w:themeFillShade="F2"/>
            <w:noWrap/>
            <w:vAlign w:val="center"/>
            <w:hideMark/>
          </w:tcPr>
          <w:p w:rsidRPr="00D843D5" w:rsidR="008762F4" w:rsidP="00F21BE7" w:rsidRDefault="008762F4" w14:paraId="3811FDBE"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$ 1,198,956 </w:t>
            </w:r>
          </w:p>
        </w:tc>
      </w:tr>
      <w:tr w:rsidRPr="008762F4" w:rsidR="008762F4" w:rsidTr="00F20364" w14:paraId="46E7DAF1" w14:textId="77777777">
        <w:trPr>
          <w:trHeight w:val="300"/>
        </w:trPr>
        <w:tc>
          <w:tcPr>
            <w:tcW w:w="1800" w:type="dxa"/>
            <w:shd w:val="clear" w:color="auto" w:fill="auto"/>
            <w:noWrap/>
            <w:vAlign w:val="center"/>
            <w:hideMark/>
          </w:tcPr>
          <w:p w:rsidRPr="00F21BE7" w:rsidR="008762F4" w:rsidP="00F21BE7" w:rsidRDefault="008762F4" w14:paraId="297F5EE7" w14:textId="77777777">
            <w:pPr>
              <w:contextualSpacing/>
              <w:rPr>
                <w:rFonts w:ascii="Aptos Narrow" w:hAnsi="Aptos Narrow"/>
                <w:color w:val="000000"/>
                <w:sz w:val="22"/>
                <w:szCs w:val="22"/>
              </w:rPr>
            </w:pPr>
            <w:r w:rsidRPr="00F21BE7">
              <w:rPr>
                <w:rFonts w:ascii="Aptos Narrow" w:hAnsi="Aptos Narrow"/>
                <w:color w:val="000000"/>
                <w:sz w:val="22"/>
                <w:szCs w:val="22"/>
              </w:rPr>
              <w:t>Real Estate</w:t>
            </w:r>
            <w:r w:rsidRPr="00F21BE7">
              <w:rPr>
                <w:rStyle w:val="FootnoteReference"/>
                <w:rFonts w:ascii="Aptos Narrow" w:hAnsi="Aptos Narrow"/>
                <w:color w:val="000000"/>
                <w:sz w:val="22"/>
                <w:szCs w:val="22"/>
              </w:rPr>
              <w:footnoteReference w:id="10"/>
            </w:r>
          </w:p>
        </w:tc>
        <w:tc>
          <w:tcPr>
            <w:tcW w:w="1140" w:type="dxa"/>
            <w:shd w:val="clear" w:color="auto" w:fill="auto"/>
            <w:noWrap/>
            <w:vAlign w:val="center"/>
            <w:hideMark/>
          </w:tcPr>
          <w:p w:rsidRPr="00D843D5" w:rsidR="008762F4" w:rsidP="003E3178" w:rsidRDefault="003E3178" w14:paraId="16688B67" w14:textId="77777777">
            <w:pPr>
              <w:contextualSpacing/>
              <w:jc w:val="right"/>
              <w:rPr>
                <w:rFonts w:ascii="Aptos Narrow" w:hAnsi="Aptos Narrow"/>
                <w:color w:val="000000"/>
                <w:sz w:val="22"/>
                <w:szCs w:val="22"/>
              </w:rPr>
            </w:pPr>
            <w:r>
              <w:rPr>
                <w:rFonts w:ascii="Aptos Narrow" w:hAnsi="Aptos Narrow"/>
                <w:color w:val="000000"/>
                <w:sz w:val="22"/>
                <w:szCs w:val="22"/>
              </w:rPr>
              <w:t>193</w:t>
            </w:r>
          </w:p>
        </w:tc>
        <w:tc>
          <w:tcPr>
            <w:tcW w:w="1140" w:type="dxa"/>
            <w:shd w:val="clear" w:color="auto" w:fill="auto"/>
            <w:noWrap/>
            <w:vAlign w:val="center"/>
            <w:hideMark/>
          </w:tcPr>
          <w:p w:rsidRPr="00D843D5" w:rsidR="008762F4" w:rsidP="00F21BE7" w:rsidRDefault="008762F4" w14:paraId="43B8ACD5"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10,634 </w:t>
            </w:r>
          </w:p>
        </w:tc>
        <w:tc>
          <w:tcPr>
            <w:tcW w:w="1140" w:type="dxa"/>
            <w:shd w:val="clear" w:color="auto" w:fill="auto"/>
            <w:noWrap/>
            <w:vAlign w:val="center"/>
            <w:hideMark/>
          </w:tcPr>
          <w:p w:rsidRPr="00D843D5" w:rsidR="008762F4" w:rsidP="00F21BE7" w:rsidRDefault="008762F4" w14:paraId="1ECB4CFC"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955 </w:t>
            </w:r>
          </w:p>
        </w:tc>
        <w:tc>
          <w:tcPr>
            <w:tcW w:w="1080" w:type="dxa"/>
            <w:shd w:val="clear" w:color="auto" w:fill="auto"/>
            <w:noWrap/>
            <w:vAlign w:val="center"/>
            <w:hideMark/>
          </w:tcPr>
          <w:p w:rsidRPr="00D843D5" w:rsidR="008762F4" w:rsidP="00F21BE7" w:rsidRDefault="003E3178" w14:paraId="78551EB5" w14:textId="77777777">
            <w:pPr>
              <w:contextualSpacing/>
              <w:jc w:val="right"/>
              <w:rPr>
                <w:rFonts w:ascii="Aptos Narrow" w:hAnsi="Aptos Narrow"/>
                <w:color w:val="000000"/>
                <w:sz w:val="22"/>
                <w:szCs w:val="22"/>
              </w:rPr>
            </w:pPr>
            <w:r>
              <w:rPr>
                <w:rFonts w:ascii="Aptos Narrow" w:hAnsi="Aptos Narrow"/>
                <w:color w:val="000000"/>
                <w:sz w:val="22"/>
                <w:szCs w:val="22"/>
              </w:rPr>
              <w:t>1</w:t>
            </w:r>
          </w:p>
        </w:tc>
        <w:tc>
          <w:tcPr>
            <w:tcW w:w="1080" w:type="dxa"/>
            <w:vAlign w:val="center"/>
          </w:tcPr>
          <w:p w:rsidRPr="00D843D5" w:rsidR="008762F4" w:rsidP="00F21BE7" w:rsidRDefault="008762F4" w14:paraId="74880AAC"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42</w:t>
            </w:r>
          </w:p>
        </w:tc>
        <w:tc>
          <w:tcPr>
            <w:tcW w:w="1080" w:type="dxa"/>
            <w:vAlign w:val="center"/>
          </w:tcPr>
          <w:p w:rsidRPr="00D843D5" w:rsidR="008762F4" w:rsidP="00F21BE7" w:rsidRDefault="008762F4" w14:paraId="220E71AE"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5</w:t>
            </w:r>
          </w:p>
        </w:tc>
        <w:tc>
          <w:tcPr>
            <w:tcW w:w="1531" w:type="dxa"/>
            <w:shd w:val="clear" w:color="auto" w:fill="auto"/>
            <w:noWrap/>
            <w:vAlign w:val="center"/>
          </w:tcPr>
          <w:p w:rsidRPr="00D843D5" w:rsidR="008762F4" w:rsidP="003E3178" w:rsidRDefault="003E3178" w14:paraId="1F2BEA2B" w14:textId="77777777">
            <w:pPr>
              <w:contextualSpacing/>
              <w:jc w:val="right"/>
              <w:rPr>
                <w:rFonts w:ascii="Aptos Narrow" w:hAnsi="Aptos Narrow"/>
                <w:color w:val="000000"/>
                <w:sz w:val="22"/>
                <w:szCs w:val="22"/>
              </w:rPr>
            </w:pPr>
            <w:r>
              <w:rPr>
                <w:rFonts w:ascii="Aptos Narrow" w:hAnsi="Aptos Narrow"/>
                <w:color w:val="000000"/>
                <w:sz w:val="22"/>
                <w:szCs w:val="22"/>
              </w:rPr>
              <w:t>$21,296</w:t>
            </w:r>
          </w:p>
        </w:tc>
        <w:tc>
          <w:tcPr>
            <w:tcW w:w="1532" w:type="dxa"/>
            <w:shd w:val="clear" w:color="auto" w:fill="auto"/>
            <w:noWrap/>
            <w:vAlign w:val="center"/>
            <w:hideMark/>
          </w:tcPr>
          <w:p w:rsidRPr="00D843D5" w:rsidR="008762F4" w:rsidP="00F21BE7" w:rsidRDefault="008762F4" w14:paraId="72C331CF"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$ 1,829,048 </w:t>
            </w:r>
          </w:p>
        </w:tc>
        <w:tc>
          <w:tcPr>
            <w:tcW w:w="1532" w:type="dxa"/>
            <w:shd w:val="clear" w:color="auto" w:fill="auto"/>
            <w:noWrap/>
            <w:vAlign w:val="center"/>
            <w:hideMark/>
          </w:tcPr>
          <w:p w:rsidRPr="00D843D5" w:rsidR="008762F4" w:rsidP="00F21BE7" w:rsidRDefault="008762F4" w14:paraId="455AC943"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$ 149,400 </w:t>
            </w:r>
          </w:p>
        </w:tc>
      </w:tr>
      <w:tr w:rsidRPr="008762F4" w:rsidR="00F830F4" w:rsidTr="00F20364" w14:paraId="75244103" w14:textId="77777777">
        <w:trPr>
          <w:trHeight w:val="300"/>
        </w:trPr>
        <w:tc>
          <w:tcPr>
            <w:tcW w:w="1800" w:type="dxa"/>
            <w:shd w:val="clear" w:color="auto" w:fill="F2F2F2" w:themeFill="background1" w:themeFillShade="F2"/>
            <w:noWrap/>
            <w:vAlign w:val="center"/>
            <w:hideMark/>
          </w:tcPr>
          <w:p w:rsidRPr="00F21BE7" w:rsidR="008762F4" w:rsidP="00F21BE7" w:rsidRDefault="008762F4" w14:paraId="47C733F4" w14:textId="77777777">
            <w:pPr>
              <w:contextualSpacing/>
              <w:rPr>
                <w:rFonts w:ascii="Aptos Narrow" w:hAnsi="Aptos Narrow"/>
                <w:color w:val="000000"/>
                <w:sz w:val="22"/>
                <w:szCs w:val="22"/>
              </w:rPr>
            </w:pPr>
            <w:r w:rsidRPr="00F21BE7">
              <w:rPr>
                <w:rFonts w:ascii="Aptos Narrow" w:hAnsi="Aptos Narrow"/>
                <w:color w:val="000000"/>
                <w:sz w:val="22"/>
                <w:szCs w:val="22"/>
              </w:rPr>
              <w:t>Other</w:t>
            </w:r>
          </w:p>
        </w:tc>
        <w:tc>
          <w:tcPr>
            <w:tcW w:w="1140" w:type="dxa"/>
            <w:shd w:val="clear" w:color="auto" w:fill="F2F2F2" w:themeFill="background1" w:themeFillShade="F2"/>
            <w:noWrap/>
            <w:vAlign w:val="center"/>
            <w:hideMark/>
          </w:tcPr>
          <w:p w:rsidRPr="00D843D5" w:rsidR="008762F4" w:rsidP="003E3178" w:rsidRDefault="003E3178" w14:paraId="402100C4" w14:textId="77777777">
            <w:pPr>
              <w:contextualSpacing/>
              <w:jc w:val="right"/>
              <w:rPr>
                <w:rFonts w:ascii="Aptos Narrow" w:hAnsi="Aptos Narrow"/>
                <w:color w:val="000000"/>
                <w:sz w:val="22"/>
                <w:szCs w:val="22"/>
              </w:rPr>
            </w:pPr>
            <w:r>
              <w:rPr>
                <w:rFonts w:ascii="Aptos Narrow" w:hAnsi="Aptos Narrow"/>
                <w:color w:val="000000"/>
                <w:sz w:val="22"/>
                <w:szCs w:val="22"/>
              </w:rPr>
              <w:t>4,727</w:t>
            </w:r>
          </w:p>
        </w:tc>
        <w:tc>
          <w:tcPr>
            <w:tcW w:w="1140" w:type="dxa"/>
            <w:shd w:val="clear" w:color="auto" w:fill="F2F2F2" w:themeFill="background1" w:themeFillShade="F2"/>
            <w:noWrap/>
            <w:vAlign w:val="center"/>
            <w:hideMark/>
          </w:tcPr>
          <w:p w:rsidRPr="00D843D5" w:rsidR="008762F4" w:rsidP="00F21BE7" w:rsidRDefault="008762F4" w14:paraId="4D2732F9"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3,059 </w:t>
            </w:r>
          </w:p>
        </w:tc>
        <w:tc>
          <w:tcPr>
            <w:tcW w:w="1140" w:type="dxa"/>
            <w:shd w:val="clear" w:color="auto" w:fill="F2F2F2" w:themeFill="background1" w:themeFillShade="F2"/>
            <w:noWrap/>
            <w:vAlign w:val="center"/>
            <w:hideMark/>
          </w:tcPr>
          <w:p w:rsidRPr="00D843D5" w:rsidR="008762F4" w:rsidP="00F21BE7" w:rsidRDefault="008762F4" w14:paraId="73DB5724"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516 </w:t>
            </w:r>
          </w:p>
        </w:tc>
        <w:tc>
          <w:tcPr>
            <w:tcW w:w="1080" w:type="dxa"/>
            <w:shd w:val="clear" w:color="auto" w:fill="F2F2F2" w:themeFill="background1" w:themeFillShade="F2"/>
            <w:noWrap/>
            <w:vAlign w:val="center"/>
            <w:hideMark/>
          </w:tcPr>
          <w:p w:rsidRPr="00D843D5" w:rsidR="008762F4" w:rsidP="00F21BE7" w:rsidRDefault="003E3178" w14:paraId="40AAF45E" w14:textId="77777777">
            <w:pPr>
              <w:contextualSpacing/>
              <w:jc w:val="right"/>
              <w:rPr>
                <w:rFonts w:ascii="Aptos Narrow" w:hAnsi="Aptos Narrow"/>
                <w:color w:val="000000"/>
                <w:sz w:val="22"/>
                <w:szCs w:val="22"/>
              </w:rPr>
            </w:pPr>
            <w:r>
              <w:rPr>
                <w:rFonts w:ascii="Aptos Narrow" w:hAnsi="Aptos Narrow"/>
                <w:color w:val="000000"/>
                <w:sz w:val="22"/>
                <w:szCs w:val="22"/>
              </w:rPr>
              <w:t>26</w:t>
            </w:r>
          </w:p>
        </w:tc>
        <w:tc>
          <w:tcPr>
            <w:tcW w:w="1080" w:type="dxa"/>
            <w:shd w:val="clear" w:color="auto" w:fill="F2F2F2" w:themeFill="background1" w:themeFillShade="F2"/>
            <w:vAlign w:val="center"/>
          </w:tcPr>
          <w:p w:rsidRPr="00D843D5" w:rsidR="008762F4" w:rsidP="00F21BE7" w:rsidRDefault="008762F4" w14:paraId="796D9063"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20</w:t>
            </w:r>
          </w:p>
        </w:tc>
        <w:tc>
          <w:tcPr>
            <w:tcW w:w="1080" w:type="dxa"/>
            <w:shd w:val="clear" w:color="auto" w:fill="F2F2F2" w:themeFill="background1" w:themeFillShade="F2"/>
            <w:vAlign w:val="center"/>
          </w:tcPr>
          <w:p w:rsidRPr="00D843D5" w:rsidR="008762F4" w:rsidP="00F21BE7" w:rsidRDefault="008762F4" w14:paraId="7B4928C9"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4</w:t>
            </w:r>
          </w:p>
        </w:tc>
        <w:tc>
          <w:tcPr>
            <w:tcW w:w="1531" w:type="dxa"/>
            <w:shd w:val="clear" w:color="auto" w:fill="F2F2F2" w:themeFill="background1" w:themeFillShade="F2"/>
            <w:noWrap/>
            <w:vAlign w:val="center"/>
          </w:tcPr>
          <w:p w:rsidRPr="00D843D5" w:rsidR="008762F4" w:rsidP="003E3178" w:rsidRDefault="003E3178" w14:paraId="40AEACEB" w14:textId="77777777">
            <w:pPr>
              <w:contextualSpacing/>
              <w:jc w:val="right"/>
              <w:rPr>
                <w:rFonts w:ascii="Aptos Narrow" w:hAnsi="Aptos Narrow"/>
                <w:color w:val="000000"/>
                <w:sz w:val="22"/>
                <w:szCs w:val="22"/>
              </w:rPr>
            </w:pPr>
            <w:r>
              <w:rPr>
                <w:rFonts w:ascii="Aptos Narrow" w:hAnsi="Aptos Narrow"/>
                <w:color w:val="000000"/>
                <w:sz w:val="22"/>
                <w:szCs w:val="22"/>
              </w:rPr>
              <w:t>$521,577</w:t>
            </w:r>
          </w:p>
        </w:tc>
        <w:tc>
          <w:tcPr>
            <w:tcW w:w="1532" w:type="dxa"/>
            <w:shd w:val="clear" w:color="auto" w:fill="F2F2F2" w:themeFill="background1" w:themeFillShade="F2"/>
            <w:noWrap/>
            <w:vAlign w:val="center"/>
            <w:hideMark/>
          </w:tcPr>
          <w:p w:rsidRPr="00D843D5" w:rsidR="008762F4" w:rsidP="00F21BE7" w:rsidRDefault="008762F4" w14:paraId="082C7DA1"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$ 526,148 </w:t>
            </w:r>
          </w:p>
        </w:tc>
        <w:tc>
          <w:tcPr>
            <w:tcW w:w="1532" w:type="dxa"/>
            <w:shd w:val="clear" w:color="auto" w:fill="F2F2F2" w:themeFill="background1" w:themeFillShade="F2"/>
            <w:noWrap/>
            <w:vAlign w:val="center"/>
            <w:hideMark/>
          </w:tcPr>
          <w:p w:rsidRPr="00D843D5" w:rsidR="008762F4" w:rsidP="00F21BE7" w:rsidRDefault="008762F4" w14:paraId="2DDC3D31"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$ 80,723 </w:t>
            </w:r>
          </w:p>
        </w:tc>
      </w:tr>
      <w:tr w:rsidRPr="008762F4" w:rsidR="008762F4" w:rsidTr="00F20364" w14:paraId="1DB2C0FF" w14:textId="77777777">
        <w:trPr>
          <w:trHeight w:val="300"/>
        </w:trPr>
        <w:tc>
          <w:tcPr>
            <w:tcW w:w="1800" w:type="dxa"/>
            <w:shd w:val="clear" w:color="auto" w:fill="auto"/>
            <w:noWrap/>
            <w:vAlign w:val="center"/>
            <w:hideMark/>
          </w:tcPr>
          <w:p w:rsidRPr="00F21BE7" w:rsidR="008762F4" w:rsidP="00F21BE7" w:rsidRDefault="008762F4" w14:paraId="0ADF037C" w14:textId="77777777">
            <w:pPr>
              <w:contextualSpacing/>
              <w:rPr>
                <w:rFonts w:ascii="Aptos Narrow" w:hAnsi="Aptos Narrow"/>
                <w:color w:val="000000"/>
                <w:sz w:val="22"/>
                <w:szCs w:val="22"/>
              </w:rPr>
            </w:pPr>
            <w:r w:rsidRPr="00F21BE7">
              <w:rPr>
                <w:rFonts w:ascii="Aptos Narrow" w:hAnsi="Aptos Narrow"/>
                <w:color w:val="000000"/>
                <w:sz w:val="22"/>
                <w:szCs w:val="22"/>
              </w:rPr>
              <w:t>Utilities</w:t>
            </w:r>
          </w:p>
        </w:tc>
        <w:tc>
          <w:tcPr>
            <w:tcW w:w="1140" w:type="dxa"/>
            <w:shd w:val="clear" w:color="auto" w:fill="auto"/>
            <w:noWrap/>
            <w:vAlign w:val="center"/>
            <w:hideMark/>
          </w:tcPr>
          <w:p w:rsidRPr="00D843D5" w:rsidR="008762F4" w:rsidP="003E3178" w:rsidRDefault="003E3178" w14:paraId="28955509" w14:textId="77777777">
            <w:pPr>
              <w:contextualSpacing/>
              <w:jc w:val="right"/>
              <w:rPr>
                <w:rFonts w:ascii="Aptos Narrow" w:hAnsi="Aptos Narrow"/>
                <w:color w:val="000000"/>
                <w:sz w:val="22"/>
                <w:szCs w:val="22"/>
              </w:rPr>
            </w:pPr>
            <w:r>
              <w:rPr>
                <w:rFonts w:ascii="Aptos Narrow" w:hAnsi="Aptos Narrow"/>
                <w:color w:val="000000"/>
                <w:sz w:val="22"/>
                <w:szCs w:val="22"/>
              </w:rPr>
              <w:t>1,301</w:t>
            </w:r>
          </w:p>
        </w:tc>
        <w:tc>
          <w:tcPr>
            <w:tcW w:w="1140" w:type="dxa"/>
            <w:shd w:val="clear" w:color="auto" w:fill="auto"/>
            <w:noWrap/>
            <w:vAlign w:val="center"/>
            <w:hideMark/>
          </w:tcPr>
          <w:p w:rsidRPr="00D843D5" w:rsidR="008762F4" w:rsidP="00F21BE7" w:rsidRDefault="008762F4" w14:paraId="03EBFB76"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2,716 </w:t>
            </w:r>
          </w:p>
        </w:tc>
        <w:tc>
          <w:tcPr>
            <w:tcW w:w="1140" w:type="dxa"/>
            <w:shd w:val="clear" w:color="auto" w:fill="auto"/>
            <w:noWrap/>
            <w:vAlign w:val="center"/>
            <w:hideMark/>
          </w:tcPr>
          <w:p w:rsidRPr="00D843D5" w:rsidR="008762F4" w:rsidP="00F21BE7" w:rsidRDefault="008762F4" w14:paraId="0F1A9265"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100 </w:t>
            </w:r>
          </w:p>
        </w:tc>
        <w:tc>
          <w:tcPr>
            <w:tcW w:w="1080" w:type="dxa"/>
            <w:shd w:val="clear" w:color="auto" w:fill="auto"/>
            <w:noWrap/>
            <w:vAlign w:val="center"/>
            <w:hideMark/>
          </w:tcPr>
          <w:p w:rsidRPr="00D843D5" w:rsidR="008762F4" w:rsidP="00F21BE7" w:rsidRDefault="003E3178" w14:paraId="096EECD5" w14:textId="77777777">
            <w:pPr>
              <w:contextualSpacing/>
              <w:jc w:val="right"/>
              <w:rPr>
                <w:rFonts w:ascii="Aptos Narrow" w:hAnsi="Aptos Narrow"/>
                <w:color w:val="000000"/>
                <w:sz w:val="22"/>
                <w:szCs w:val="22"/>
              </w:rPr>
            </w:pPr>
            <w:r>
              <w:rPr>
                <w:rFonts w:ascii="Aptos Narrow" w:hAnsi="Aptos Narrow"/>
                <w:color w:val="000000"/>
                <w:sz w:val="22"/>
                <w:szCs w:val="22"/>
              </w:rPr>
              <w:t>7</w:t>
            </w:r>
          </w:p>
        </w:tc>
        <w:tc>
          <w:tcPr>
            <w:tcW w:w="1080" w:type="dxa"/>
            <w:vAlign w:val="center"/>
          </w:tcPr>
          <w:p w:rsidRPr="00D843D5" w:rsidR="008762F4" w:rsidP="00F21BE7" w:rsidRDefault="008762F4" w14:paraId="7F806D6F"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8</w:t>
            </w:r>
          </w:p>
        </w:tc>
        <w:tc>
          <w:tcPr>
            <w:tcW w:w="1080" w:type="dxa"/>
            <w:vAlign w:val="center"/>
          </w:tcPr>
          <w:p w:rsidRPr="00D843D5" w:rsidR="008762F4" w:rsidP="00F21BE7" w:rsidRDefault="008762F4" w14:paraId="7CF33527"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1</w:t>
            </w:r>
          </w:p>
        </w:tc>
        <w:tc>
          <w:tcPr>
            <w:tcW w:w="1531" w:type="dxa"/>
            <w:shd w:val="clear" w:color="auto" w:fill="auto"/>
            <w:noWrap/>
            <w:vAlign w:val="center"/>
          </w:tcPr>
          <w:p w:rsidRPr="00D843D5" w:rsidR="008762F4" w:rsidP="003E3178" w:rsidRDefault="003E3178" w14:paraId="194B26DC" w14:textId="77777777">
            <w:pPr>
              <w:contextualSpacing/>
              <w:jc w:val="right"/>
              <w:rPr>
                <w:rFonts w:ascii="Aptos Narrow" w:hAnsi="Aptos Narrow"/>
                <w:color w:val="000000"/>
                <w:sz w:val="22"/>
                <w:szCs w:val="22"/>
              </w:rPr>
            </w:pPr>
            <w:r>
              <w:rPr>
                <w:rFonts w:ascii="Aptos Narrow" w:hAnsi="Aptos Narrow"/>
                <w:color w:val="000000"/>
                <w:sz w:val="22"/>
                <w:szCs w:val="22"/>
              </w:rPr>
              <w:t>$143,552</w:t>
            </w:r>
          </w:p>
        </w:tc>
        <w:tc>
          <w:tcPr>
            <w:tcW w:w="1532" w:type="dxa"/>
            <w:shd w:val="clear" w:color="auto" w:fill="auto"/>
            <w:noWrap/>
            <w:vAlign w:val="center"/>
            <w:hideMark/>
          </w:tcPr>
          <w:p w:rsidRPr="00D843D5" w:rsidR="008762F4" w:rsidP="00F21BE7" w:rsidRDefault="008762F4" w14:paraId="731E8BFA"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$ 467,152 </w:t>
            </w:r>
          </w:p>
        </w:tc>
        <w:tc>
          <w:tcPr>
            <w:tcW w:w="1532" w:type="dxa"/>
            <w:shd w:val="clear" w:color="auto" w:fill="auto"/>
            <w:noWrap/>
            <w:vAlign w:val="center"/>
            <w:hideMark/>
          </w:tcPr>
          <w:p w:rsidRPr="00D843D5" w:rsidR="008762F4" w:rsidP="00F21BE7" w:rsidRDefault="008762F4" w14:paraId="75ECEFA7"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$ 15,644 </w:t>
            </w:r>
          </w:p>
        </w:tc>
      </w:tr>
      <w:tr w:rsidRPr="008762F4" w:rsidR="00F830F4" w:rsidTr="00F20364" w14:paraId="25D0ED0E" w14:textId="77777777">
        <w:trPr>
          <w:trHeight w:val="300"/>
        </w:trPr>
        <w:tc>
          <w:tcPr>
            <w:tcW w:w="1800" w:type="dxa"/>
            <w:shd w:val="clear" w:color="auto" w:fill="F2F2F2" w:themeFill="background1" w:themeFillShade="F2"/>
            <w:noWrap/>
            <w:vAlign w:val="center"/>
            <w:hideMark/>
          </w:tcPr>
          <w:p w:rsidRPr="00F21BE7" w:rsidR="008762F4" w:rsidP="00F21BE7" w:rsidRDefault="008762F4" w14:paraId="6DA2BCB1" w14:textId="77777777">
            <w:pPr>
              <w:contextualSpacing/>
              <w:rPr>
                <w:rFonts w:ascii="Aptos Narrow" w:hAnsi="Aptos Narrow"/>
                <w:color w:val="000000"/>
                <w:sz w:val="22"/>
                <w:szCs w:val="22"/>
              </w:rPr>
            </w:pPr>
            <w:r w:rsidRPr="00F21BE7">
              <w:rPr>
                <w:rFonts w:ascii="Aptos Narrow" w:hAnsi="Aptos Narrow"/>
                <w:color w:val="000000"/>
                <w:sz w:val="22"/>
                <w:szCs w:val="22"/>
              </w:rPr>
              <w:t>Transport</w:t>
            </w:r>
          </w:p>
        </w:tc>
        <w:tc>
          <w:tcPr>
            <w:tcW w:w="1140" w:type="dxa"/>
            <w:shd w:val="clear" w:color="auto" w:fill="F2F2F2" w:themeFill="background1" w:themeFillShade="F2"/>
            <w:noWrap/>
            <w:vAlign w:val="center"/>
            <w:hideMark/>
          </w:tcPr>
          <w:p w:rsidRPr="00D843D5" w:rsidR="008762F4" w:rsidP="003E3178" w:rsidRDefault="003E3178" w14:paraId="172DCC23" w14:textId="77777777">
            <w:pPr>
              <w:contextualSpacing/>
              <w:jc w:val="right"/>
              <w:rPr>
                <w:rFonts w:ascii="Aptos Narrow" w:hAnsi="Aptos Narrow"/>
                <w:color w:val="000000"/>
                <w:sz w:val="22"/>
                <w:szCs w:val="22"/>
              </w:rPr>
            </w:pPr>
            <w:r>
              <w:rPr>
                <w:rFonts w:ascii="Aptos Narrow" w:hAnsi="Aptos Narrow"/>
                <w:color w:val="000000"/>
                <w:sz w:val="22"/>
                <w:szCs w:val="22"/>
              </w:rPr>
              <w:t>2,175</w:t>
            </w:r>
          </w:p>
        </w:tc>
        <w:tc>
          <w:tcPr>
            <w:tcW w:w="1140" w:type="dxa"/>
            <w:shd w:val="clear" w:color="auto" w:fill="F2F2F2" w:themeFill="background1" w:themeFillShade="F2"/>
            <w:noWrap/>
            <w:vAlign w:val="center"/>
            <w:hideMark/>
          </w:tcPr>
          <w:p w:rsidRPr="00D843D5" w:rsidR="008762F4" w:rsidP="00F21BE7" w:rsidRDefault="008762F4" w14:paraId="52FD1BAD"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685 </w:t>
            </w:r>
          </w:p>
        </w:tc>
        <w:tc>
          <w:tcPr>
            <w:tcW w:w="1140" w:type="dxa"/>
            <w:shd w:val="clear" w:color="auto" w:fill="F2F2F2" w:themeFill="background1" w:themeFillShade="F2"/>
            <w:noWrap/>
            <w:vAlign w:val="center"/>
            <w:hideMark/>
          </w:tcPr>
          <w:p w:rsidRPr="00D843D5" w:rsidR="008762F4" w:rsidP="00F21BE7" w:rsidRDefault="008762F4" w14:paraId="531BA831"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1,520 </w:t>
            </w:r>
          </w:p>
        </w:tc>
        <w:tc>
          <w:tcPr>
            <w:tcW w:w="1080" w:type="dxa"/>
            <w:shd w:val="clear" w:color="auto" w:fill="F2F2F2" w:themeFill="background1" w:themeFillShade="F2"/>
            <w:noWrap/>
            <w:vAlign w:val="center"/>
            <w:hideMark/>
          </w:tcPr>
          <w:p w:rsidRPr="00D843D5" w:rsidR="008762F4" w:rsidP="00F21BE7" w:rsidRDefault="003E3178" w14:paraId="671052AA" w14:textId="77777777">
            <w:pPr>
              <w:contextualSpacing/>
              <w:jc w:val="right"/>
              <w:rPr>
                <w:rFonts w:ascii="Aptos Narrow" w:hAnsi="Aptos Narrow"/>
                <w:color w:val="000000"/>
                <w:sz w:val="22"/>
                <w:szCs w:val="22"/>
              </w:rPr>
            </w:pPr>
            <w:r>
              <w:rPr>
                <w:rFonts w:ascii="Aptos Narrow" w:hAnsi="Aptos Narrow"/>
                <w:color w:val="000000"/>
                <w:sz w:val="22"/>
                <w:szCs w:val="22"/>
              </w:rPr>
              <w:t>7</w:t>
            </w:r>
          </w:p>
        </w:tc>
        <w:tc>
          <w:tcPr>
            <w:tcW w:w="1080" w:type="dxa"/>
            <w:shd w:val="clear" w:color="auto" w:fill="F2F2F2" w:themeFill="background1" w:themeFillShade="F2"/>
            <w:vAlign w:val="center"/>
          </w:tcPr>
          <w:p w:rsidRPr="00D843D5" w:rsidR="008762F4" w:rsidP="00F21BE7" w:rsidRDefault="008762F4" w14:paraId="78402F0D"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3</w:t>
            </w:r>
          </w:p>
        </w:tc>
        <w:tc>
          <w:tcPr>
            <w:tcW w:w="1080" w:type="dxa"/>
            <w:shd w:val="clear" w:color="auto" w:fill="F2F2F2" w:themeFill="background1" w:themeFillShade="F2"/>
            <w:vAlign w:val="center"/>
          </w:tcPr>
          <w:p w:rsidRPr="00D843D5" w:rsidR="008762F4" w:rsidP="00F21BE7" w:rsidRDefault="008762F4" w14:paraId="515A0A1F"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3</w:t>
            </w:r>
          </w:p>
        </w:tc>
        <w:tc>
          <w:tcPr>
            <w:tcW w:w="1531" w:type="dxa"/>
            <w:shd w:val="clear" w:color="auto" w:fill="F2F2F2" w:themeFill="background1" w:themeFillShade="F2"/>
            <w:noWrap/>
            <w:vAlign w:val="center"/>
          </w:tcPr>
          <w:p w:rsidRPr="00D843D5" w:rsidR="008762F4" w:rsidP="003E3178" w:rsidRDefault="003E3178" w14:paraId="06431F9B" w14:textId="77777777">
            <w:pPr>
              <w:contextualSpacing/>
              <w:jc w:val="right"/>
              <w:rPr>
                <w:rFonts w:ascii="Aptos Narrow" w:hAnsi="Aptos Narrow"/>
                <w:color w:val="000000"/>
                <w:sz w:val="22"/>
                <w:szCs w:val="22"/>
              </w:rPr>
            </w:pPr>
            <w:r>
              <w:rPr>
                <w:rFonts w:ascii="Aptos Narrow" w:hAnsi="Aptos Narrow"/>
                <w:color w:val="000000"/>
                <w:sz w:val="22"/>
                <w:szCs w:val="22"/>
              </w:rPr>
              <w:t>$239,990</w:t>
            </w:r>
          </w:p>
        </w:tc>
        <w:tc>
          <w:tcPr>
            <w:tcW w:w="1532" w:type="dxa"/>
            <w:shd w:val="clear" w:color="auto" w:fill="F2F2F2" w:themeFill="background1" w:themeFillShade="F2"/>
            <w:noWrap/>
            <w:vAlign w:val="center"/>
            <w:hideMark/>
          </w:tcPr>
          <w:p w:rsidRPr="00D843D5" w:rsidR="008762F4" w:rsidP="00F21BE7" w:rsidRDefault="008762F4" w14:paraId="582036B4"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$ 117,820 </w:t>
            </w:r>
          </w:p>
        </w:tc>
        <w:tc>
          <w:tcPr>
            <w:tcW w:w="1532" w:type="dxa"/>
            <w:shd w:val="clear" w:color="auto" w:fill="F2F2F2" w:themeFill="background1" w:themeFillShade="F2"/>
            <w:noWrap/>
            <w:vAlign w:val="center"/>
            <w:hideMark/>
          </w:tcPr>
          <w:p w:rsidRPr="00D843D5" w:rsidR="008762F4" w:rsidP="00F21BE7" w:rsidRDefault="008762F4" w14:paraId="66DF7679"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$ 237,789 </w:t>
            </w:r>
          </w:p>
        </w:tc>
      </w:tr>
      <w:tr w:rsidRPr="008762F4" w:rsidR="008762F4" w:rsidTr="00F20364" w14:paraId="23E4D748" w14:textId="77777777">
        <w:trPr>
          <w:trHeight w:val="315"/>
        </w:trPr>
        <w:tc>
          <w:tcPr>
            <w:tcW w:w="1800" w:type="dxa"/>
            <w:shd w:val="clear" w:color="auto" w:fill="auto"/>
            <w:noWrap/>
            <w:vAlign w:val="center"/>
            <w:hideMark/>
          </w:tcPr>
          <w:p w:rsidRPr="00F21BE7" w:rsidR="008762F4" w:rsidP="00F21BE7" w:rsidRDefault="008762F4" w14:paraId="5B22F78B" w14:textId="77777777">
            <w:pPr>
              <w:contextualSpacing/>
              <w:rPr>
                <w:rFonts w:ascii="Aptos Narrow" w:hAnsi="Aptos Narrow"/>
                <w:color w:val="000000"/>
                <w:sz w:val="22"/>
                <w:szCs w:val="22"/>
              </w:rPr>
            </w:pPr>
            <w:r w:rsidRPr="00F21BE7">
              <w:rPr>
                <w:rFonts w:ascii="Aptos Narrow" w:hAnsi="Aptos Narrow"/>
                <w:color w:val="000000"/>
                <w:sz w:val="22"/>
                <w:szCs w:val="22"/>
              </w:rPr>
              <w:t>Agriculture</w:t>
            </w:r>
          </w:p>
        </w:tc>
        <w:tc>
          <w:tcPr>
            <w:tcW w:w="1140" w:type="dxa"/>
            <w:shd w:val="clear" w:color="auto" w:fill="auto"/>
            <w:noWrap/>
            <w:vAlign w:val="center"/>
            <w:hideMark/>
          </w:tcPr>
          <w:p w:rsidRPr="00D843D5" w:rsidR="008762F4" w:rsidP="003E3178" w:rsidRDefault="003E3178" w14:paraId="677F77F2" w14:textId="77777777">
            <w:pPr>
              <w:contextualSpacing/>
              <w:jc w:val="right"/>
              <w:rPr>
                <w:rFonts w:ascii="Aptos Narrow" w:hAnsi="Aptos Narrow"/>
                <w:color w:val="000000"/>
                <w:sz w:val="22"/>
                <w:szCs w:val="22"/>
              </w:rPr>
            </w:pPr>
            <w:r>
              <w:rPr>
                <w:rFonts w:ascii="Aptos Narrow" w:hAnsi="Aptos Narrow"/>
                <w:color w:val="000000"/>
                <w:sz w:val="22"/>
                <w:szCs w:val="22"/>
              </w:rPr>
              <w:t>1,940</w:t>
            </w:r>
          </w:p>
        </w:tc>
        <w:tc>
          <w:tcPr>
            <w:tcW w:w="1140" w:type="dxa"/>
            <w:shd w:val="clear" w:color="auto" w:fill="auto"/>
            <w:noWrap/>
            <w:vAlign w:val="center"/>
            <w:hideMark/>
          </w:tcPr>
          <w:p w:rsidRPr="00D843D5" w:rsidR="008762F4" w:rsidP="00F21BE7" w:rsidRDefault="008762F4" w14:paraId="202960B3"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296 </w:t>
            </w:r>
          </w:p>
        </w:tc>
        <w:tc>
          <w:tcPr>
            <w:tcW w:w="1140" w:type="dxa"/>
            <w:shd w:val="clear" w:color="auto" w:fill="auto"/>
            <w:noWrap/>
            <w:vAlign w:val="center"/>
            <w:hideMark/>
          </w:tcPr>
          <w:p w:rsidRPr="00D843D5" w:rsidR="008762F4" w:rsidP="00F21BE7" w:rsidRDefault="00B868D9" w14:paraId="6E6F6813" w14:textId="77777777">
            <w:pPr>
              <w:contextualSpacing/>
              <w:jc w:val="right"/>
              <w:rPr>
                <w:rFonts w:ascii="Aptos Narrow" w:hAnsi="Aptos Narrow"/>
                <w:color w:val="000000"/>
                <w:sz w:val="22"/>
                <w:szCs w:val="22"/>
              </w:rPr>
            </w:pPr>
            <w:r>
              <w:rPr>
                <w:rFonts w:ascii="Aptos Narrow" w:hAnsi="Aptos Narrow"/>
                <w:color w:val="000000"/>
                <w:sz w:val="22"/>
                <w:szCs w:val="22"/>
              </w:rPr>
              <w:t>0</w:t>
            </w:r>
            <w:r w:rsidRPr="00D843D5" w:rsidR="008762F4">
              <w:rPr>
                <w:rFonts w:ascii="Aptos Narrow" w:hAnsi="Aptos Narrow"/>
                <w:color w:val="000000"/>
                <w:sz w:val="22"/>
                <w:szCs w:val="22"/>
              </w:rPr>
              <w:t xml:space="preserve">   </w:t>
            </w:r>
          </w:p>
        </w:tc>
        <w:tc>
          <w:tcPr>
            <w:tcW w:w="1080" w:type="dxa"/>
            <w:shd w:val="clear" w:color="auto" w:fill="auto"/>
            <w:noWrap/>
            <w:vAlign w:val="center"/>
            <w:hideMark/>
          </w:tcPr>
          <w:p w:rsidRPr="00D843D5" w:rsidR="008762F4" w:rsidP="00F21BE7" w:rsidRDefault="003E3178" w14:paraId="42F891D2" w14:textId="77777777">
            <w:pPr>
              <w:contextualSpacing/>
              <w:jc w:val="right"/>
              <w:rPr>
                <w:rFonts w:ascii="Aptos Narrow" w:hAnsi="Aptos Narrow"/>
                <w:color w:val="000000"/>
                <w:sz w:val="22"/>
                <w:szCs w:val="22"/>
              </w:rPr>
            </w:pPr>
            <w:r>
              <w:rPr>
                <w:rFonts w:ascii="Aptos Narrow" w:hAnsi="Aptos Narrow"/>
                <w:color w:val="000000"/>
                <w:sz w:val="22"/>
                <w:szCs w:val="22"/>
              </w:rPr>
              <w:t>13</w:t>
            </w:r>
          </w:p>
        </w:tc>
        <w:tc>
          <w:tcPr>
            <w:tcW w:w="1080" w:type="dxa"/>
            <w:vAlign w:val="center"/>
          </w:tcPr>
          <w:p w:rsidRPr="00D843D5" w:rsidR="008762F4" w:rsidP="00F21BE7" w:rsidRDefault="008762F4" w14:paraId="54FEF4F0"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1</w:t>
            </w:r>
          </w:p>
        </w:tc>
        <w:tc>
          <w:tcPr>
            <w:tcW w:w="1080" w:type="dxa"/>
            <w:vAlign w:val="center"/>
          </w:tcPr>
          <w:p w:rsidRPr="00D843D5" w:rsidR="008762F4" w:rsidP="00F21BE7" w:rsidRDefault="008762F4" w14:paraId="5407783F"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0</w:t>
            </w:r>
          </w:p>
        </w:tc>
        <w:tc>
          <w:tcPr>
            <w:tcW w:w="1531" w:type="dxa"/>
            <w:shd w:val="clear" w:color="auto" w:fill="auto"/>
            <w:noWrap/>
            <w:vAlign w:val="center"/>
          </w:tcPr>
          <w:p w:rsidRPr="00D843D5" w:rsidR="008762F4" w:rsidP="003E3178" w:rsidRDefault="003E3178" w14:paraId="3D9CF9A7" w14:textId="77777777">
            <w:pPr>
              <w:contextualSpacing/>
              <w:jc w:val="right"/>
              <w:rPr>
                <w:rFonts w:ascii="Aptos Narrow" w:hAnsi="Aptos Narrow"/>
                <w:color w:val="000000"/>
                <w:sz w:val="22"/>
                <w:szCs w:val="22"/>
              </w:rPr>
            </w:pPr>
            <w:r>
              <w:rPr>
                <w:rFonts w:ascii="Aptos Narrow" w:hAnsi="Aptos Narrow"/>
                <w:color w:val="000000"/>
                <w:sz w:val="22"/>
                <w:szCs w:val="22"/>
              </w:rPr>
              <w:t>$214,060</w:t>
            </w:r>
          </w:p>
        </w:tc>
        <w:tc>
          <w:tcPr>
            <w:tcW w:w="1532" w:type="dxa"/>
            <w:shd w:val="clear" w:color="auto" w:fill="auto"/>
            <w:noWrap/>
            <w:vAlign w:val="center"/>
            <w:hideMark/>
          </w:tcPr>
          <w:p w:rsidRPr="00D843D5" w:rsidR="008762F4" w:rsidP="00F21BE7" w:rsidRDefault="008762F4" w14:paraId="4A2263AB"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$ 50,912 </w:t>
            </w:r>
          </w:p>
        </w:tc>
        <w:tc>
          <w:tcPr>
            <w:tcW w:w="1532" w:type="dxa"/>
            <w:shd w:val="clear" w:color="auto" w:fill="auto"/>
            <w:noWrap/>
            <w:vAlign w:val="center"/>
            <w:hideMark/>
          </w:tcPr>
          <w:p w:rsidRPr="00D843D5" w:rsidR="008762F4" w:rsidP="00F21BE7" w:rsidRDefault="008762F4" w14:paraId="24567575"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w:t>
            </w:r>
            <w:r w:rsidR="006F1E95">
              <w:rPr>
                <w:rFonts w:ascii="Aptos Narrow" w:hAnsi="Aptos Narrow"/>
                <w:color w:val="000000"/>
                <w:sz w:val="22"/>
                <w:szCs w:val="22"/>
              </w:rPr>
              <w:t>0</w:t>
            </w:r>
          </w:p>
        </w:tc>
      </w:tr>
      <w:tr w:rsidRPr="008762F4" w:rsidR="003E3178" w:rsidTr="00F20364" w14:paraId="67485D23" w14:textId="77777777">
        <w:trPr>
          <w:trHeight w:val="315"/>
        </w:trPr>
        <w:tc>
          <w:tcPr>
            <w:tcW w:w="1800" w:type="dxa"/>
            <w:shd w:val="clear" w:color="auto" w:fill="F2F2F2" w:themeFill="background1" w:themeFillShade="F2"/>
            <w:noWrap/>
            <w:vAlign w:val="center"/>
            <w:hideMark/>
          </w:tcPr>
          <w:p w:rsidRPr="00F21BE7" w:rsidR="003E3178" w:rsidP="003E3178" w:rsidRDefault="00E15307" w14:paraId="1D23AD77" w14:textId="77777777">
            <w:pPr>
              <w:contextualSpacing/>
              <w:rPr>
                <w:rFonts w:ascii="Aptos Narrow" w:hAnsi="Aptos Narrow"/>
                <w:color w:val="000000"/>
                <w:sz w:val="22"/>
                <w:szCs w:val="22"/>
              </w:rPr>
            </w:pPr>
            <w:r w:rsidRPr="00E15307">
              <w:rPr>
                <w:rFonts w:ascii="Aptos Narrow" w:hAnsi="Aptos Narrow"/>
                <w:color w:val="000000"/>
                <w:sz w:val="22"/>
                <w:szCs w:val="22"/>
              </w:rPr>
              <w:t xml:space="preserve">≥ 100 </w:t>
            </w:r>
            <w:r w:rsidRPr="00F21BE7" w:rsidR="003E3178">
              <w:rPr>
                <w:rFonts w:ascii="Aptos Narrow" w:hAnsi="Aptos Narrow"/>
                <w:color w:val="000000"/>
                <w:sz w:val="22"/>
                <w:szCs w:val="22"/>
              </w:rPr>
              <w:t>Subtotal</w:t>
            </w:r>
          </w:p>
        </w:tc>
        <w:tc>
          <w:tcPr>
            <w:tcW w:w="1140" w:type="dxa"/>
            <w:shd w:val="clear" w:color="auto" w:fill="F2F2F2" w:themeFill="background1" w:themeFillShade="F2"/>
            <w:noWrap/>
            <w:vAlign w:val="center"/>
            <w:hideMark/>
          </w:tcPr>
          <w:p w:rsidRPr="00D843D5" w:rsidR="003E3178" w:rsidP="003E3178" w:rsidRDefault="003E3178" w14:paraId="7CC26C91" w14:textId="77777777">
            <w:pPr>
              <w:contextualSpacing/>
              <w:jc w:val="right"/>
              <w:rPr>
                <w:rFonts w:ascii="Aptos Narrow" w:hAnsi="Aptos Narrow"/>
                <w:color w:val="000000"/>
                <w:sz w:val="22"/>
                <w:szCs w:val="22"/>
              </w:rPr>
            </w:pPr>
            <w:r>
              <w:rPr>
                <w:rFonts w:ascii="Aptos Narrow" w:hAnsi="Aptos Narrow"/>
                <w:color w:val="000000"/>
                <w:sz w:val="22"/>
                <w:szCs w:val="22"/>
              </w:rPr>
              <w:t>66,</w:t>
            </w:r>
            <w:r w:rsidR="00DB48BC">
              <w:rPr>
                <w:rFonts w:ascii="Aptos Narrow" w:hAnsi="Aptos Narrow"/>
                <w:color w:val="000000"/>
                <w:sz w:val="22"/>
                <w:szCs w:val="22"/>
              </w:rPr>
              <w:t>420</w:t>
            </w:r>
            <w:r w:rsidRPr="00D843D5">
              <w:rPr>
                <w:rFonts w:ascii="Aptos Narrow" w:hAnsi="Aptos Narrow"/>
                <w:color w:val="000000"/>
                <w:sz w:val="22"/>
                <w:szCs w:val="22"/>
              </w:rPr>
              <w:t> </w:t>
            </w:r>
          </w:p>
        </w:tc>
        <w:tc>
          <w:tcPr>
            <w:tcW w:w="1140" w:type="dxa"/>
            <w:shd w:val="clear" w:color="auto" w:fill="F2F2F2" w:themeFill="background1" w:themeFillShade="F2"/>
            <w:noWrap/>
            <w:vAlign w:val="center"/>
            <w:hideMark/>
          </w:tcPr>
          <w:p w:rsidRPr="00D843D5" w:rsidR="003E3178" w:rsidP="003E3178" w:rsidRDefault="003E3178" w14:paraId="49CBFBAC"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67,834 </w:t>
            </w:r>
          </w:p>
        </w:tc>
        <w:tc>
          <w:tcPr>
            <w:tcW w:w="1140" w:type="dxa"/>
            <w:shd w:val="clear" w:color="auto" w:fill="F2F2F2" w:themeFill="background1" w:themeFillShade="F2"/>
            <w:noWrap/>
            <w:vAlign w:val="center"/>
            <w:hideMark/>
          </w:tcPr>
          <w:p w:rsidRPr="00D843D5" w:rsidR="003E3178" w:rsidP="003E3178" w:rsidRDefault="003E3178" w14:paraId="3182DF36"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20,673 </w:t>
            </w:r>
          </w:p>
        </w:tc>
        <w:tc>
          <w:tcPr>
            <w:tcW w:w="1080" w:type="dxa"/>
            <w:shd w:val="clear" w:color="auto" w:fill="F2F2F2" w:themeFill="background1" w:themeFillShade="F2"/>
            <w:noWrap/>
            <w:vAlign w:val="center"/>
            <w:hideMark/>
          </w:tcPr>
          <w:p w:rsidRPr="00D843D5" w:rsidR="003E3178" w:rsidP="003E3178" w:rsidRDefault="003E3178" w14:paraId="04B9D969" w14:textId="77777777">
            <w:pPr>
              <w:contextualSpacing/>
              <w:jc w:val="right"/>
              <w:rPr>
                <w:rFonts w:ascii="Aptos Narrow" w:hAnsi="Aptos Narrow"/>
                <w:color w:val="000000"/>
                <w:sz w:val="22"/>
                <w:szCs w:val="22"/>
              </w:rPr>
            </w:pPr>
            <w:r>
              <w:rPr>
                <w:rFonts w:ascii="Aptos Narrow" w:hAnsi="Aptos Narrow"/>
                <w:sz w:val="22"/>
                <w:szCs w:val="22"/>
              </w:rPr>
              <w:t>1</w:t>
            </w:r>
            <w:r w:rsidR="00DB48BC">
              <w:rPr>
                <w:rFonts w:ascii="Aptos Narrow" w:hAnsi="Aptos Narrow"/>
                <w:sz w:val="22"/>
                <w:szCs w:val="22"/>
              </w:rPr>
              <w:t>80</w:t>
            </w:r>
          </w:p>
        </w:tc>
        <w:tc>
          <w:tcPr>
            <w:tcW w:w="1080" w:type="dxa"/>
            <w:shd w:val="clear" w:color="auto" w:fill="F2F2F2" w:themeFill="background1" w:themeFillShade="F2"/>
            <w:vAlign w:val="center"/>
          </w:tcPr>
          <w:p w:rsidRPr="00D843D5" w:rsidR="003E3178" w:rsidP="003E3178" w:rsidRDefault="003E3178" w14:paraId="68D64CDC" w14:textId="77777777">
            <w:pPr>
              <w:contextualSpacing/>
              <w:jc w:val="right"/>
              <w:rPr>
                <w:rFonts w:ascii="Aptos Narrow" w:hAnsi="Aptos Narrow"/>
                <w:color w:val="000000"/>
                <w:sz w:val="22"/>
                <w:szCs w:val="22"/>
              </w:rPr>
            </w:pPr>
            <w:r w:rsidRPr="00D843D5">
              <w:rPr>
                <w:rFonts w:ascii="Aptos Narrow" w:hAnsi="Aptos Narrow"/>
                <w:sz w:val="22"/>
                <w:szCs w:val="22"/>
              </w:rPr>
              <w:t>177</w:t>
            </w:r>
          </w:p>
        </w:tc>
        <w:tc>
          <w:tcPr>
            <w:tcW w:w="1080" w:type="dxa"/>
            <w:shd w:val="clear" w:color="auto" w:fill="F2F2F2" w:themeFill="background1" w:themeFillShade="F2"/>
            <w:vAlign w:val="center"/>
          </w:tcPr>
          <w:p w:rsidRPr="00D843D5" w:rsidR="003E3178" w:rsidP="003E3178" w:rsidRDefault="003E3178" w14:paraId="004F8B36" w14:textId="77777777">
            <w:pPr>
              <w:contextualSpacing/>
              <w:jc w:val="right"/>
              <w:rPr>
                <w:rFonts w:ascii="Aptos Narrow" w:hAnsi="Aptos Narrow"/>
                <w:color w:val="000000"/>
                <w:sz w:val="22"/>
                <w:szCs w:val="22"/>
              </w:rPr>
            </w:pPr>
            <w:r w:rsidRPr="00D843D5">
              <w:rPr>
                <w:rFonts w:ascii="Aptos Narrow" w:hAnsi="Aptos Narrow"/>
                <w:sz w:val="22"/>
                <w:szCs w:val="22"/>
              </w:rPr>
              <w:t>44</w:t>
            </w:r>
          </w:p>
        </w:tc>
        <w:tc>
          <w:tcPr>
            <w:tcW w:w="1531" w:type="dxa"/>
            <w:shd w:val="clear" w:color="auto" w:fill="F2F2F2" w:themeFill="background1" w:themeFillShade="F2"/>
            <w:noWrap/>
            <w:vAlign w:val="center"/>
          </w:tcPr>
          <w:p w:rsidRPr="00D843D5" w:rsidR="003E3178" w:rsidP="003E3178" w:rsidRDefault="003E3178" w14:paraId="069C50B1" w14:textId="77777777">
            <w:pPr>
              <w:contextualSpacing/>
              <w:jc w:val="right"/>
              <w:rPr>
                <w:rFonts w:ascii="Aptos Narrow" w:hAnsi="Aptos Narrow"/>
                <w:color w:val="000000"/>
                <w:sz w:val="22"/>
                <w:szCs w:val="22"/>
              </w:rPr>
            </w:pPr>
            <w:r>
              <w:rPr>
                <w:rFonts w:ascii="Aptos Narrow" w:hAnsi="Aptos Narrow"/>
                <w:color w:val="000000"/>
                <w:sz w:val="22"/>
                <w:szCs w:val="22"/>
              </w:rPr>
              <w:t>$7,3</w:t>
            </w:r>
            <w:r w:rsidR="00DB48BC">
              <w:rPr>
                <w:rFonts w:ascii="Aptos Narrow" w:hAnsi="Aptos Narrow"/>
                <w:color w:val="000000"/>
                <w:sz w:val="22"/>
                <w:szCs w:val="22"/>
              </w:rPr>
              <w:t>28,782</w:t>
            </w:r>
          </w:p>
        </w:tc>
        <w:tc>
          <w:tcPr>
            <w:tcW w:w="1532" w:type="dxa"/>
            <w:shd w:val="clear" w:color="auto" w:fill="F2F2F2" w:themeFill="background1" w:themeFillShade="F2"/>
            <w:noWrap/>
            <w:vAlign w:val="center"/>
            <w:hideMark/>
          </w:tcPr>
          <w:p w:rsidRPr="00D843D5" w:rsidR="003E3178" w:rsidP="003E3178" w:rsidRDefault="003E3178" w14:paraId="35D04103"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$ 11,667,448 </w:t>
            </w:r>
          </w:p>
        </w:tc>
        <w:tc>
          <w:tcPr>
            <w:tcW w:w="1532" w:type="dxa"/>
            <w:shd w:val="clear" w:color="auto" w:fill="F2F2F2" w:themeFill="background1" w:themeFillShade="F2"/>
            <w:noWrap/>
            <w:vAlign w:val="center"/>
            <w:hideMark/>
          </w:tcPr>
          <w:p w:rsidRPr="00D843D5" w:rsidR="003E3178" w:rsidP="003E3178" w:rsidRDefault="003E3178" w14:paraId="115AE679"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 xml:space="preserve">$ 3,234,084 </w:t>
            </w:r>
          </w:p>
        </w:tc>
      </w:tr>
      <w:tr w:rsidRPr="008762F4" w:rsidR="003E3178" w:rsidTr="004F0D36" w14:paraId="6D53D996" w14:textId="77777777">
        <w:trPr>
          <w:trHeight w:val="300"/>
        </w:trPr>
        <w:tc>
          <w:tcPr>
            <w:tcW w:w="1800" w:type="dxa"/>
            <w:shd w:val="clear" w:color="auto" w:fill="auto"/>
            <w:noWrap/>
            <w:vAlign w:val="center"/>
            <w:hideMark/>
          </w:tcPr>
          <w:p w:rsidRPr="00F21BE7" w:rsidR="003E3178" w:rsidP="003E3178" w:rsidRDefault="00E15307" w14:paraId="5E29F5DC" w14:textId="77777777">
            <w:pPr>
              <w:contextualSpacing/>
              <w:rPr>
                <w:rFonts w:ascii="Aptos Narrow" w:hAnsi="Aptos Narrow"/>
                <w:color w:val="000000"/>
                <w:sz w:val="22"/>
                <w:szCs w:val="22"/>
              </w:rPr>
            </w:pPr>
            <w:r w:rsidRPr="00E15307">
              <w:rPr>
                <w:rFonts w:ascii="Aptos Narrow" w:hAnsi="Aptos Narrow"/>
                <w:color w:val="000000"/>
                <w:sz w:val="22"/>
                <w:szCs w:val="22"/>
              </w:rPr>
              <w:t xml:space="preserve">≥ 100 </w:t>
            </w:r>
            <w:r w:rsidRPr="00F21BE7" w:rsidR="003E3178">
              <w:rPr>
                <w:rFonts w:ascii="Aptos Narrow" w:hAnsi="Aptos Narrow"/>
                <w:color w:val="000000"/>
                <w:sz w:val="22"/>
                <w:szCs w:val="22"/>
              </w:rPr>
              <w:t xml:space="preserve">Total </w:t>
            </w:r>
          </w:p>
        </w:tc>
        <w:tc>
          <w:tcPr>
            <w:tcW w:w="1140" w:type="dxa"/>
            <w:shd w:val="clear" w:color="auto" w:fill="auto"/>
            <w:noWrap/>
            <w:vAlign w:val="center"/>
            <w:hideMark/>
          </w:tcPr>
          <w:p w:rsidRPr="00D843D5" w:rsidR="003E3178" w:rsidP="003E3178" w:rsidRDefault="003E3178" w14:paraId="0AC9D337" w14:textId="77777777">
            <w:pPr>
              <w:contextualSpacing/>
              <w:jc w:val="right"/>
              <w:rPr>
                <w:rFonts w:ascii="Aptos Narrow" w:hAnsi="Aptos Narrow"/>
                <w:color w:val="000000"/>
                <w:sz w:val="22"/>
                <w:szCs w:val="22"/>
              </w:rPr>
            </w:pPr>
          </w:p>
        </w:tc>
        <w:tc>
          <w:tcPr>
            <w:tcW w:w="1140" w:type="dxa"/>
            <w:shd w:val="clear" w:color="auto" w:fill="auto"/>
            <w:noWrap/>
            <w:vAlign w:val="center"/>
            <w:hideMark/>
          </w:tcPr>
          <w:p w:rsidRPr="00D843D5" w:rsidR="003E3178" w:rsidP="003E3178" w:rsidRDefault="003E3178" w14:paraId="7BB893BB" w14:textId="77777777">
            <w:pPr>
              <w:contextualSpacing/>
              <w:jc w:val="right"/>
              <w:rPr>
                <w:rFonts w:ascii="Aptos Narrow" w:hAnsi="Aptos Narrow"/>
                <w:color w:val="000000"/>
                <w:sz w:val="22"/>
                <w:szCs w:val="22"/>
              </w:rPr>
            </w:pPr>
            <w:r>
              <w:rPr>
                <w:rFonts w:ascii="Aptos Narrow" w:hAnsi="Aptos Narrow"/>
                <w:color w:val="000000"/>
                <w:sz w:val="22"/>
                <w:szCs w:val="22"/>
              </w:rPr>
              <w:t>154</w:t>
            </w:r>
            <w:r w:rsidRPr="00D843D5">
              <w:rPr>
                <w:rFonts w:ascii="Aptos Narrow" w:hAnsi="Aptos Narrow"/>
                <w:color w:val="000000"/>
                <w:sz w:val="22"/>
                <w:szCs w:val="22"/>
              </w:rPr>
              <w:t>,</w:t>
            </w:r>
            <w:r w:rsidR="00DB48BC">
              <w:rPr>
                <w:rFonts w:ascii="Aptos Narrow" w:hAnsi="Aptos Narrow"/>
                <w:color w:val="000000"/>
                <w:sz w:val="22"/>
                <w:szCs w:val="22"/>
              </w:rPr>
              <w:t>927</w:t>
            </w:r>
          </w:p>
        </w:tc>
        <w:tc>
          <w:tcPr>
            <w:tcW w:w="1140" w:type="dxa"/>
            <w:shd w:val="clear" w:color="auto" w:fill="auto"/>
            <w:noWrap/>
            <w:vAlign w:val="center"/>
            <w:hideMark/>
          </w:tcPr>
          <w:p w:rsidRPr="00D843D5" w:rsidR="003E3178" w:rsidP="003E3178" w:rsidRDefault="003E3178" w14:paraId="73087A52" w14:textId="77777777">
            <w:pPr>
              <w:contextualSpacing/>
              <w:jc w:val="right"/>
              <w:rPr>
                <w:rFonts w:ascii="Aptos Narrow" w:hAnsi="Aptos Narrow"/>
                <w:color w:val="000000"/>
                <w:sz w:val="22"/>
                <w:szCs w:val="22"/>
              </w:rPr>
            </w:pPr>
          </w:p>
        </w:tc>
        <w:tc>
          <w:tcPr>
            <w:tcW w:w="3240" w:type="dxa"/>
            <w:gridSpan w:val="3"/>
            <w:shd w:val="clear" w:color="auto" w:fill="auto"/>
            <w:noWrap/>
            <w:vAlign w:val="center"/>
          </w:tcPr>
          <w:p w:rsidRPr="00D843D5" w:rsidR="003E3178" w:rsidP="003E3178" w:rsidRDefault="003E3178" w14:paraId="274992B4" w14:textId="77777777">
            <w:pPr>
              <w:contextualSpacing/>
              <w:jc w:val="center"/>
              <w:rPr>
                <w:rFonts w:ascii="Aptos Narrow" w:hAnsi="Aptos Narrow"/>
                <w:sz w:val="22"/>
                <w:szCs w:val="22"/>
              </w:rPr>
            </w:pPr>
            <w:r>
              <w:rPr>
                <w:rFonts w:ascii="Aptos Narrow" w:hAnsi="Aptos Narrow"/>
                <w:sz w:val="22"/>
                <w:szCs w:val="22"/>
              </w:rPr>
              <w:t>40</w:t>
            </w:r>
            <w:r w:rsidR="00DB48BC">
              <w:rPr>
                <w:rFonts w:ascii="Aptos Narrow" w:hAnsi="Aptos Narrow"/>
                <w:sz w:val="22"/>
                <w:szCs w:val="22"/>
              </w:rPr>
              <w:t>1</w:t>
            </w:r>
          </w:p>
        </w:tc>
        <w:tc>
          <w:tcPr>
            <w:tcW w:w="1531" w:type="dxa"/>
            <w:shd w:val="clear" w:color="auto" w:fill="auto"/>
            <w:noWrap/>
            <w:vAlign w:val="center"/>
            <w:hideMark/>
          </w:tcPr>
          <w:p w:rsidRPr="00D843D5" w:rsidR="003E3178" w:rsidP="004F0D36" w:rsidRDefault="003E3178" w14:paraId="4C8DC10E" w14:textId="77777777">
            <w:pPr>
              <w:contextualSpacing/>
              <w:jc w:val="center"/>
              <w:rPr>
                <w:rFonts w:ascii="Aptos Narrow" w:hAnsi="Aptos Narrow"/>
                <w:sz w:val="22"/>
                <w:szCs w:val="22"/>
              </w:rPr>
            </w:pPr>
          </w:p>
        </w:tc>
        <w:tc>
          <w:tcPr>
            <w:tcW w:w="1532" w:type="dxa"/>
            <w:shd w:val="clear" w:color="auto" w:fill="auto"/>
            <w:noWrap/>
            <w:vAlign w:val="center"/>
            <w:hideMark/>
          </w:tcPr>
          <w:p w:rsidRPr="00D843D5" w:rsidR="003E3178" w:rsidP="004F0D36" w:rsidRDefault="003E3178" w14:paraId="753422BB" w14:textId="77777777">
            <w:pPr>
              <w:contextualSpacing/>
              <w:jc w:val="center"/>
              <w:rPr>
                <w:rFonts w:ascii="Aptos Narrow" w:hAnsi="Aptos Narrow"/>
                <w:color w:val="000000"/>
                <w:sz w:val="22"/>
                <w:szCs w:val="22"/>
              </w:rPr>
            </w:pPr>
            <w:r w:rsidRPr="00D843D5">
              <w:rPr>
                <w:rFonts w:ascii="Aptos Narrow" w:hAnsi="Aptos Narrow"/>
                <w:color w:val="000000"/>
                <w:sz w:val="22"/>
                <w:szCs w:val="22"/>
              </w:rPr>
              <w:t>$</w:t>
            </w:r>
            <w:r w:rsidR="004F0D36">
              <w:rPr>
                <w:rFonts w:ascii="Aptos Narrow" w:hAnsi="Aptos Narrow"/>
                <w:color w:val="000000"/>
                <w:sz w:val="22"/>
                <w:szCs w:val="22"/>
              </w:rPr>
              <w:t xml:space="preserve"> </w:t>
            </w:r>
            <w:r>
              <w:rPr>
                <w:rFonts w:ascii="Aptos Narrow" w:hAnsi="Aptos Narrow"/>
                <w:color w:val="000000"/>
                <w:sz w:val="22"/>
                <w:szCs w:val="22"/>
              </w:rPr>
              <w:t>22</w:t>
            </w:r>
            <w:r w:rsidRPr="00D843D5">
              <w:rPr>
                <w:rFonts w:ascii="Aptos Narrow" w:hAnsi="Aptos Narrow"/>
                <w:color w:val="000000"/>
                <w:sz w:val="22"/>
                <w:szCs w:val="22"/>
              </w:rPr>
              <w:t>,</w:t>
            </w:r>
            <w:r>
              <w:rPr>
                <w:rFonts w:ascii="Aptos Narrow" w:hAnsi="Aptos Narrow"/>
                <w:color w:val="000000"/>
                <w:sz w:val="22"/>
                <w:szCs w:val="22"/>
              </w:rPr>
              <w:t>2</w:t>
            </w:r>
            <w:r w:rsidR="00DB48BC">
              <w:rPr>
                <w:rFonts w:ascii="Aptos Narrow" w:hAnsi="Aptos Narrow"/>
                <w:color w:val="000000"/>
                <w:sz w:val="22"/>
                <w:szCs w:val="22"/>
              </w:rPr>
              <w:t>30</w:t>
            </w:r>
            <w:r w:rsidRPr="00D843D5">
              <w:rPr>
                <w:rFonts w:ascii="Aptos Narrow" w:hAnsi="Aptos Narrow"/>
                <w:color w:val="000000"/>
                <w:sz w:val="22"/>
                <w:szCs w:val="22"/>
              </w:rPr>
              <w:t>,</w:t>
            </w:r>
            <w:r w:rsidR="00DB48BC">
              <w:rPr>
                <w:rFonts w:ascii="Aptos Narrow" w:hAnsi="Aptos Narrow"/>
                <w:color w:val="000000"/>
                <w:sz w:val="22"/>
                <w:szCs w:val="22"/>
              </w:rPr>
              <w:t>314</w:t>
            </w:r>
          </w:p>
        </w:tc>
        <w:tc>
          <w:tcPr>
            <w:tcW w:w="1532" w:type="dxa"/>
            <w:shd w:val="clear" w:color="auto" w:fill="auto"/>
            <w:noWrap/>
            <w:vAlign w:val="center"/>
            <w:hideMark/>
          </w:tcPr>
          <w:p w:rsidRPr="00D843D5" w:rsidR="003E3178" w:rsidP="004F0D36" w:rsidRDefault="003E3178" w14:paraId="6C25484E" w14:textId="77777777">
            <w:pPr>
              <w:contextualSpacing/>
              <w:jc w:val="center"/>
              <w:rPr>
                <w:rFonts w:ascii="Aptos Narrow" w:hAnsi="Aptos Narrow"/>
                <w:color w:val="000000"/>
                <w:sz w:val="22"/>
                <w:szCs w:val="22"/>
              </w:rPr>
            </w:pPr>
          </w:p>
        </w:tc>
      </w:tr>
      <w:tr w:rsidRPr="008762F4" w:rsidR="0094762E" w:rsidTr="00F20364" w14:paraId="218A3F1D" w14:textId="77777777">
        <w:trPr>
          <w:trHeight w:val="300"/>
        </w:trPr>
        <w:tc>
          <w:tcPr>
            <w:tcW w:w="1800" w:type="dxa"/>
            <w:shd w:val="clear" w:color="auto" w:fill="auto"/>
            <w:noWrap/>
            <w:vAlign w:val="center"/>
          </w:tcPr>
          <w:p w:rsidRPr="00F21BE7" w:rsidR="0094762E" w:rsidP="003E3178" w:rsidRDefault="0094762E" w14:paraId="44CF3612" w14:textId="77777777">
            <w:pPr>
              <w:contextualSpacing/>
              <w:rPr>
                <w:rFonts w:ascii="Aptos Narrow" w:hAnsi="Aptos Narrow"/>
                <w:color w:val="000000"/>
                <w:sz w:val="22"/>
                <w:szCs w:val="22"/>
              </w:rPr>
            </w:pPr>
            <w:r>
              <w:rPr>
                <w:rFonts w:ascii="Aptos Narrow" w:hAnsi="Aptos Narrow"/>
                <w:color w:val="000000"/>
                <w:sz w:val="22"/>
                <w:szCs w:val="22"/>
              </w:rPr>
              <w:t>Program Subtotal</w:t>
            </w:r>
          </w:p>
        </w:tc>
        <w:tc>
          <w:tcPr>
            <w:tcW w:w="1140" w:type="dxa"/>
            <w:shd w:val="clear" w:color="auto" w:fill="auto"/>
            <w:noWrap/>
            <w:vAlign w:val="center"/>
          </w:tcPr>
          <w:p w:rsidRPr="00D843D5" w:rsidR="0094762E" w:rsidP="003E3178" w:rsidRDefault="0094762E" w14:paraId="5C5A1DA4" w14:textId="77777777">
            <w:pPr>
              <w:contextualSpacing/>
              <w:jc w:val="right"/>
              <w:rPr>
                <w:rFonts w:ascii="Aptos Narrow" w:hAnsi="Aptos Narrow"/>
                <w:color w:val="000000"/>
                <w:sz w:val="22"/>
                <w:szCs w:val="22"/>
              </w:rPr>
            </w:pPr>
            <w:r>
              <w:rPr>
                <w:rFonts w:ascii="Aptos Narrow" w:hAnsi="Aptos Narrow"/>
                <w:color w:val="000000"/>
                <w:sz w:val="22"/>
                <w:szCs w:val="22"/>
              </w:rPr>
              <w:t>444,890</w:t>
            </w:r>
          </w:p>
        </w:tc>
        <w:tc>
          <w:tcPr>
            <w:tcW w:w="1140" w:type="dxa"/>
            <w:shd w:val="clear" w:color="auto" w:fill="auto"/>
            <w:noWrap/>
            <w:vAlign w:val="center"/>
          </w:tcPr>
          <w:p w:rsidRPr="00D843D5" w:rsidR="0094762E" w:rsidP="003E3178" w:rsidRDefault="0094762E" w14:paraId="082FF2E6" w14:textId="77777777">
            <w:pPr>
              <w:contextualSpacing/>
              <w:jc w:val="right"/>
              <w:rPr>
                <w:rFonts w:ascii="Aptos Narrow" w:hAnsi="Aptos Narrow"/>
                <w:color w:val="000000"/>
                <w:sz w:val="22"/>
                <w:szCs w:val="22"/>
              </w:rPr>
            </w:pPr>
            <w:r w:rsidRPr="00D843D5">
              <w:rPr>
                <w:rFonts w:ascii="Aptos Narrow" w:hAnsi="Aptos Narrow"/>
                <w:sz w:val="22"/>
                <w:szCs w:val="22"/>
              </w:rPr>
              <w:t>542,231</w:t>
            </w:r>
          </w:p>
        </w:tc>
        <w:tc>
          <w:tcPr>
            <w:tcW w:w="1140" w:type="dxa"/>
            <w:shd w:val="clear" w:color="auto" w:fill="auto"/>
            <w:noWrap/>
            <w:vAlign w:val="center"/>
          </w:tcPr>
          <w:p w:rsidRPr="00D843D5" w:rsidR="0094762E" w:rsidP="003E3178" w:rsidRDefault="0094762E" w14:paraId="32861E9F" w14:textId="77777777">
            <w:pPr>
              <w:contextualSpacing/>
              <w:jc w:val="right"/>
              <w:rPr>
                <w:rFonts w:ascii="Aptos Narrow" w:hAnsi="Aptos Narrow"/>
                <w:color w:val="000000"/>
                <w:sz w:val="22"/>
                <w:szCs w:val="22"/>
              </w:rPr>
            </w:pPr>
            <w:r w:rsidRPr="00D843D5">
              <w:rPr>
                <w:rFonts w:ascii="Aptos Narrow" w:hAnsi="Aptos Narrow"/>
                <w:color w:val="000000"/>
                <w:sz w:val="22"/>
                <w:szCs w:val="22"/>
              </w:rPr>
              <w:t>129,984</w:t>
            </w:r>
          </w:p>
        </w:tc>
        <w:tc>
          <w:tcPr>
            <w:tcW w:w="1080" w:type="dxa"/>
            <w:shd w:val="clear" w:color="auto" w:fill="auto"/>
            <w:noWrap/>
            <w:vAlign w:val="center"/>
          </w:tcPr>
          <w:p w:rsidRPr="00D843D5" w:rsidR="0094762E" w:rsidP="003E3178" w:rsidRDefault="0094762E" w14:paraId="5E519506" w14:textId="77777777">
            <w:pPr>
              <w:contextualSpacing/>
              <w:jc w:val="right"/>
              <w:rPr>
                <w:rFonts w:ascii="Aptos Narrow" w:hAnsi="Aptos Narrow"/>
                <w:sz w:val="22"/>
                <w:szCs w:val="22"/>
              </w:rPr>
            </w:pPr>
            <w:r>
              <w:rPr>
                <w:rFonts w:ascii="Aptos Narrow" w:hAnsi="Aptos Narrow"/>
                <w:sz w:val="22"/>
                <w:szCs w:val="22"/>
              </w:rPr>
              <w:t>211,108</w:t>
            </w:r>
          </w:p>
        </w:tc>
        <w:tc>
          <w:tcPr>
            <w:tcW w:w="1080" w:type="dxa"/>
            <w:vAlign w:val="center"/>
          </w:tcPr>
          <w:p w:rsidRPr="00D843D5" w:rsidR="0094762E" w:rsidP="003E3178" w:rsidRDefault="0094762E" w14:paraId="7ACEEA28" w14:textId="77777777">
            <w:pPr>
              <w:contextualSpacing/>
              <w:jc w:val="right"/>
              <w:rPr>
                <w:rFonts w:ascii="Aptos Narrow" w:hAnsi="Aptos Narrow"/>
                <w:sz w:val="22"/>
                <w:szCs w:val="22"/>
              </w:rPr>
            </w:pPr>
            <w:r w:rsidRPr="00D843D5">
              <w:rPr>
                <w:rFonts w:ascii="Aptos Narrow" w:hAnsi="Aptos Narrow"/>
                <w:sz w:val="22"/>
                <w:szCs w:val="22"/>
              </w:rPr>
              <w:t>262,406</w:t>
            </w:r>
          </w:p>
        </w:tc>
        <w:tc>
          <w:tcPr>
            <w:tcW w:w="1080" w:type="dxa"/>
            <w:vAlign w:val="center"/>
          </w:tcPr>
          <w:p w:rsidRPr="00D843D5" w:rsidR="0094762E" w:rsidP="003E3178" w:rsidRDefault="0094762E" w14:paraId="6EF9FEB5" w14:textId="77777777">
            <w:pPr>
              <w:contextualSpacing/>
              <w:jc w:val="right"/>
              <w:rPr>
                <w:rFonts w:ascii="Aptos Narrow" w:hAnsi="Aptos Narrow"/>
                <w:sz w:val="22"/>
                <w:szCs w:val="22"/>
              </w:rPr>
            </w:pPr>
            <w:r w:rsidRPr="00D843D5">
              <w:rPr>
                <w:rFonts w:ascii="Aptos Narrow" w:hAnsi="Aptos Narrow"/>
                <w:sz w:val="22"/>
                <w:szCs w:val="22"/>
              </w:rPr>
              <w:t>58,996</w:t>
            </w:r>
          </w:p>
        </w:tc>
        <w:tc>
          <w:tcPr>
            <w:tcW w:w="1531" w:type="dxa"/>
            <w:shd w:val="clear" w:color="auto" w:fill="auto"/>
            <w:noWrap/>
            <w:vAlign w:val="center"/>
          </w:tcPr>
          <w:p w:rsidRPr="00D843D5" w:rsidR="0094762E" w:rsidP="00CF735C" w:rsidRDefault="00F20364" w14:paraId="07AD6177" w14:textId="77777777">
            <w:pPr>
              <w:contextualSpacing/>
              <w:jc w:val="right"/>
              <w:rPr>
                <w:rFonts w:ascii="Aptos Narrow" w:hAnsi="Aptos Narrow"/>
                <w:color w:val="000000"/>
                <w:sz w:val="22"/>
                <w:szCs w:val="22"/>
              </w:rPr>
            </w:pPr>
            <w:r>
              <w:rPr>
                <w:rFonts w:ascii="Aptos Narrow" w:hAnsi="Aptos Narrow"/>
                <w:color w:val="000000"/>
                <w:sz w:val="22"/>
                <w:szCs w:val="22"/>
              </w:rPr>
              <w:t>$</w:t>
            </w:r>
            <w:r w:rsidR="004F0D36">
              <w:rPr>
                <w:rFonts w:ascii="Aptos Narrow" w:hAnsi="Aptos Narrow"/>
                <w:color w:val="000000"/>
                <w:sz w:val="22"/>
                <w:szCs w:val="22"/>
              </w:rPr>
              <w:t xml:space="preserve"> </w:t>
            </w:r>
            <w:r>
              <w:rPr>
                <w:rFonts w:ascii="Aptos Narrow" w:hAnsi="Aptos Narrow"/>
                <w:color w:val="000000"/>
                <w:sz w:val="22"/>
                <w:szCs w:val="22"/>
              </w:rPr>
              <w:t>53,032,604</w:t>
            </w:r>
          </w:p>
        </w:tc>
        <w:tc>
          <w:tcPr>
            <w:tcW w:w="1532" w:type="dxa"/>
            <w:shd w:val="clear" w:color="auto" w:fill="auto"/>
            <w:vAlign w:val="center"/>
          </w:tcPr>
          <w:p w:rsidRPr="00D843D5" w:rsidR="0094762E" w:rsidP="00CF735C" w:rsidRDefault="00F20364" w14:paraId="2180C183" w14:textId="77777777">
            <w:pPr>
              <w:contextualSpacing/>
              <w:jc w:val="right"/>
              <w:rPr>
                <w:rFonts w:ascii="Aptos Narrow" w:hAnsi="Aptos Narrow"/>
                <w:color w:val="000000"/>
                <w:sz w:val="22"/>
                <w:szCs w:val="22"/>
              </w:rPr>
            </w:pPr>
            <w:r>
              <w:rPr>
                <w:rFonts w:ascii="Aptos Narrow" w:hAnsi="Aptos Narrow"/>
                <w:color w:val="000000"/>
                <w:sz w:val="22"/>
                <w:szCs w:val="22"/>
              </w:rPr>
              <w:t>$</w:t>
            </w:r>
            <w:r w:rsidR="004F0D36">
              <w:rPr>
                <w:rFonts w:ascii="Aptos Narrow" w:hAnsi="Aptos Narrow"/>
                <w:color w:val="000000"/>
                <w:sz w:val="22"/>
                <w:szCs w:val="22"/>
              </w:rPr>
              <w:t xml:space="preserve"> </w:t>
            </w:r>
            <w:r>
              <w:rPr>
                <w:rFonts w:ascii="Aptos Narrow" w:hAnsi="Aptos Narrow"/>
                <w:color w:val="000000"/>
                <w:sz w:val="22"/>
                <w:szCs w:val="22"/>
              </w:rPr>
              <w:t>93,220,904</w:t>
            </w:r>
          </w:p>
        </w:tc>
        <w:tc>
          <w:tcPr>
            <w:tcW w:w="1532" w:type="dxa"/>
            <w:shd w:val="clear" w:color="auto" w:fill="auto"/>
            <w:vAlign w:val="center"/>
          </w:tcPr>
          <w:p w:rsidRPr="00D843D5" w:rsidR="0094762E" w:rsidP="00CF735C" w:rsidRDefault="00F20364" w14:paraId="638C89AB" w14:textId="77777777">
            <w:pPr>
              <w:contextualSpacing/>
              <w:jc w:val="right"/>
              <w:rPr>
                <w:rFonts w:ascii="Aptos Narrow" w:hAnsi="Aptos Narrow"/>
                <w:color w:val="000000"/>
                <w:sz w:val="22"/>
                <w:szCs w:val="22"/>
              </w:rPr>
            </w:pPr>
            <w:r>
              <w:rPr>
                <w:rFonts w:ascii="Aptos Narrow" w:hAnsi="Aptos Narrow"/>
                <w:color w:val="000000"/>
                <w:sz w:val="22"/>
                <w:szCs w:val="22"/>
              </w:rPr>
              <w:t>$</w:t>
            </w:r>
            <w:r w:rsidR="004F0D36">
              <w:rPr>
                <w:rFonts w:ascii="Aptos Narrow" w:hAnsi="Aptos Narrow"/>
                <w:color w:val="000000"/>
                <w:sz w:val="22"/>
                <w:szCs w:val="22"/>
              </w:rPr>
              <w:t xml:space="preserve"> </w:t>
            </w:r>
            <w:r>
              <w:rPr>
                <w:rFonts w:ascii="Aptos Narrow" w:hAnsi="Aptos Narrow"/>
                <w:color w:val="000000"/>
                <w:sz w:val="22"/>
                <w:szCs w:val="22"/>
              </w:rPr>
              <w:t>14,738,212</w:t>
            </w:r>
          </w:p>
        </w:tc>
      </w:tr>
      <w:tr w:rsidRPr="008762F4" w:rsidR="00AE3937" w:rsidTr="00F20364" w14:paraId="42956CA3" w14:textId="77777777">
        <w:trPr>
          <w:trHeight w:val="300"/>
        </w:trPr>
        <w:tc>
          <w:tcPr>
            <w:tcW w:w="1800" w:type="dxa"/>
            <w:shd w:val="clear" w:color="auto" w:fill="auto"/>
            <w:noWrap/>
            <w:vAlign w:val="center"/>
          </w:tcPr>
          <w:p w:rsidR="00AE3937" w:rsidP="003E3178" w:rsidRDefault="00AE3937" w14:paraId="4FA3F4C8" w14:textId="77777777">
            <w:pPr>
              <w:contextualSpacing/>
              <w:rPr>
                <w:rFonts w:ascii="Aptos Narrow" w:hAnsi="Aptos Narrow"/>
                <w:color w:val="000000"/>
                <w:sz w:val="22"/>
                <w:szCs w:val="22"/>
              </w:rPr>
            </w:pPr>
            <w:r>
              <w:rPr>
                <w:rFonts w:ascii="Aptos Narrow" w:hAnsi="Aptos Narrow"/>
                <w:color w:val="000000"/>
                <w:sz w:val="22"/>
                <w:szCs w:val="22"/>
              </w:rPr>
              <w:t>Program Total</w:t>
            </w:r>
          </w:p>
        </w:tc>
        <w:tc>
          <w:tcPr>
            <w:tcW w:w="3420" w:type="dxa"/>
            <w:gridSpan w:val="3"/>
            <w:shd w:val="clear" w:color="auto" w:fill="auto"/>
            <w:noWrap/>
            <w:vAlign w:val="center"/>
          </w:tcPr>
          <w:p w:rsidRPr="00D843D5" w:rsidR="00AE3937" w:rsidP="00AE3937" w:rsidRDefault="00AE3937" w14:paraId="5FF26DCD" w14:textId="77777777">
            <w:pPr>
              <w:contextualSpacing/>
              <w:jc w:val="center"/>
              <w:rPr>
                <w:rFonts w:ascii="Aptos Narrow" w:hAnsi="Aptos Narrow"/>
                <w:color w:val="000000"/>
                <w:sz w:val="22"/>
                <w:szCs w:val="22"/>
              </w:rPr>
            </w:pPr>
            <w:r>
              <w:rPr>
                <w:rFonts w:ascii="Aptos Narrow" w:hAnsi="Aptos Narrow"/>
                <w:color w:val="000000"/>
                <w:sz w:val="22"/>
                <w:szCs w:val="22"/>
              </w:rPr>
              <w:t>1,117,105</w:t>
            </w:r>
          </w:p>
        </w:tc>
        <w:tc>
          <w:tcPr>
            <w:tcW w:w="3240" w:type="dxa"/>
            <w:gridSpan w:val="3"/>
            <w:shd w:val="clear" w:color="auto" w:fill="auto"/>
            <w:noWrap/>
            <w:vAlign w:val="center"/>
          </w:tcPr>
          <w:p w:rsidRPr="00D843D5" w:rsidR="00AE3937" w:rsidP="00AE3937" w:rsidRDefault="00AE3937" w14:paraId="726B46CF" w14:textId="77777777">
            <w:pPr>
              <w:contextualSpacing/>
              <w:jc w:val="center"/>
              <w:rPr>
                <w:rFonts w:ascii="Aptos Narrow" w:hAnsi="Aptos Narrow"/>
                <w:sz w:val="22"/>
                <w:szCs w:val="22"/>
              </w:rPr>
            </w:pPr>
            <w:r>
              <w:rPr>
                <w:rFonts w:ascii="Aptos Narrow" w:hAnsi="Aptos Narrow"/>
                <w:sz w:val="22"/>
                <w:szCs w:val="22"/>
              </w:rPr>
              <w:t>532,510</w:t>
            </w:r>
          </w:p>
        </w:tc>
        <w:tc>
          <w:tcPr>
            <w:tcW w:w="4595" w:type="dxa"/>
            <w:gridSpan w:val="3"/>
            <w:shd w:val="clear" w:color="auto" w:fill="auto"/>
            <w:noWrap/>
            <w:vAlign w:val="center"/>
          </w:tcPr>
          <w:p w:rsidR="00AE3937" w:rsidP="00AE3937" w:rsidRDefault="00F20364" w14:paraId="18885E46" w14:textId="77777777">
            <w:pPr>
              <w:contextualSpacing/>
              <w:jc w:val="center"/>
              <w:rPr>
                <w:rFonts w:ascii="Aptos Narrow" w:hAnsi="Aptos Narrow"/>
                <w:color w:val="000000"/>
                <w:sz w:val="22"/>
                <w:szCs w:val="22"/>
              </w:rPr>
            </w:pPr>
            <w:r>
              <w:rPr>
                <w:rFonts w:ascii="Aptos Narrow" w:hAnsi="Aptos Narrow"/>
                <w:color w:val="000000"/>
                <w:sz w:val="22"/>
                <w:szCs w:val="22"/>
              </w:rPr>
              <w:t>$</w:t>
            </w:r>
            <w:r w:rsidR="004F0D36">
              <w:rPr>
                <w:rFonts w:ascii="Aptos Narrow" w:hAnsi="Aptos Narrow"/>
                <w:color w:val="000000"/>
                <w:sz w:val="22"/>
                <w:szCs w:val="22"/>
              </w:rPr>
              <w:t xml:space="preserve"> </w:t>
            </w:r>
            <w:r>
              <w:rPr>
                <w:rFonts w:ascii="Aptos Narrow" w:hAnsi="Aptos Narrow"/>
                <w:color w:val="000000"/>
                <w:sz w:val="22"/>
                <w:szCs w:val="22"/>
              </w:rPr>
              <w:t>160,991,720</w:t>
            </w:r>
          </w:p>
        </w:tc>
      </w:tr>
    </w:tbl>
    <w:p w:rsidR="009C32B4" w:rsidP="00F21BE7" w:rsidRDefault="009C32B4" w14:paraId="79756E72" w14:textId="77777777">
      <w:pPr>
        <w:rPr>
          <w:rFonts w:ascii="Palatino Linotype" w:hAnsi="Palatino Linotype"/>
          <w:sz w:val="24"/>
          <w:szCs w:val="24"/>
        </w:rPr>
      </w:pPr>
    </w:p>
    <w:p w:rsidRPr="00D0245E" w:rsidR="00A9436D" w:rsidP="00F21BE7" w:rsidRDefault="003E224C" w14:paraId="291B0553" w14:textId="77777777">
      <w:pPr>
        <w:rPr>
          <w:rFonts w:ascii="Palatino Linotype" w:hAnsi="Palatino Linotype"/>
          <w:b/>
          <w:bCs/>
          <w:sz w:val="24"/>
          <w:szCs w:val="24"/>
        </w:rPr>
      </w:pPr>
      <w:r w:rsidRPr="00D0245E">
        <w:rPr>
          <w:rFonts w:ascii="Palatino Linotype" w:hAnsi="Palatino Linotype"/>
          <w:b/>
          <w:bCs/>
          <w:sz w:val="24"/>
          <w:szCs w:val="24"/>
        </w:rPr>
        <w:t>Table 2</w:t>
      </w:r>
      <w:r w:rsidRPr="00D0245E" w:rsidR="00D0245E">
        <w:rPr>
          <w:rFonts w:ascii="Palatino Linotype" w:hAnsi="Palatino Linotype"/>
          <w:b/>
          <w:bCs/>
          <w:sz w:val="24"/>
          <w:szCs w:val="24"/>
        </w:rPr>
        <w:t xml:space="preserve">: </w:t>
      </w:r>
      <w:r w:rsidRPr="00D0245E" w:rsidR="00A9436D">
        <w:rPr>
          <w:rFonts w:ascii="Palatino Linotype" w:hAnsi="Palatino Linotype"/>
          <w:b/>
          <w:bCs/>
          <w:sz w:val="24"/>
          <w:szCs w:val="24"/>
        </w:rPr>
        <w:t xml:space="preserve">Largest Single </w:t>
      </w:r>
      <w:r w:rsidRPr="00D0245E" w:rsidR="007A7FC3">
        <w:rPr>
          <w:rFonts w:ascii="Palatino Linotype" w:hAnsi="Palatino Linotype"/>
          <w:b/>
          <w:bCs/>
          <w:sz w:val="24"/>
          <w:szCs w:val="24"/>
        </w:rPr>
        <w:t xml:space="preserve">Small Business California Climate Credit </w:t>
      </w:r>
      <w:r w:rsidR="00BD5BB1">
        <w:rPr>
          <w:rFonts w:ascii="Palatino Linotype" w:hAnsi="Palatino Linotype"/>
          <w:b/>
          <w:bCs/>
          <w:sz w:val="24"/>
          <w:szCs w:val="24"/>
        </w:rPr>
        <w:t>Aggregator</w:t>
      </w:r>
    </w:p>
    <w:p w:rsidRPr="008C172A" w:rsidR="00A9436D" w:rsidP="00F21BE7" w:rsidRDefault="000207EB" w14:paraId="0CA80903" w14:textId="77777777">
      <w:pPr>
        <w:rPr>
          <w:rFonts w:ascii="Palatino Linotype" w:hAnsi="Palatino Linotype"/>
          <w:sz w:val="22"/>
          <w:szCs w:val="22"/>
        </w:rPr>
      </w:pPr>
      <w:r w:rsidRPr="008C172A">
        <w:rPr>
          <w:rFonts w:ascii="Palatino Linotype" w:hAnsi="Palatino Linotype"/>
          <w:sz w:val="22"/>
          <w:szCs w:val="22"/>
        </w:rPr>
        <w:t xml:space="preserve">2024 </w:t>
      </w:r>
      <w:r w:rsidRPr="008C172A" w:rsidR="00811B4A">
        <w:rPr>
          <w:rFonts w:ascii="Palatino Linotype" w:hAnsi="Palatino Linotype"/>
          <w:sz w:val="22"/>
          <w:szCs w:val="22"/>
        </w:rPr>
        <w:t xml:space="preserve">Spring </w:t>
      </w:r>
      <w:r w:rsidRPr="008C172A">
        <w:rPr>
          <w:rFonts w:ascii="Palatino Linotype" w:hAnsi="Palatino Linotype"/>
          <w:sz w:val="22"/>
          <w:szCs w:val="22"/>
        </w:rPr>
        <w:t>Data</w:t>
      </w:r>
    </w:p>
    <w:tbl>
      <w:tblPr>
        <w:tblW w:w="13050" w:type="dxa"/>
        <w:tblBorders>
          <w:top w:val="single" w:color="auto" w:sz="4" w:space="0"/>
          <w:bottom w:val="single" w:color="auto" w:sz="4" w:space="0"/>
          <w:insideH w:val="single" w:color="auto" w:sz="4" w:space="0"/>
        </w:tblBorders>
        <w:tblLayout w:type="fixed"/>
        <w:tblLook w:val="04A0" w:firstRow="1" w:lastRow="0" w:firstColumn="1" w:lastColumn="0" w:noHBand="0" w:noVBand="1"/>
      </w:tblPr>
      <w:tblGrid>
        <w:gridCol w:w="1800"/>
        <w:gridCol w:w="1140"/>
        <w:gridCol w:w="1140"/>
        <w:gridCol w:w="1140"/>
        <w:gridCol w:w="3240"/>
        <w:gridCol w:w="1530"/>
        <w:gridCol w:w="1530"/>
        <w:gridCol w:w="1530"/>
      </w:tblGrid>
      <w:tr w:rsidRPr="009C32B4" w:rsidR="00173CED" w:rsidTr="00AE3937" w14:paraId="7F94C0AE" w14:textId="77777777">
        <w:trPr>
          <w:trHeight w:val="300"/>
        </w:trPr>
        <w:tc>
          <w:tcPr>
            <w:tcW w:w="1800" w:type="dxa"/>
            <w:shd w:val="clear" w:color="auto" w:fill="FABF8F" w:themeFill="accent6" w:themeFillTint="99"/>
            <w:noWrap/>
            <w:vAlign w:val="center"/>
          </w:tcPr>
          <w:p w:rsidRPr="00F21BE7" w:rsidR="00173CED" w:rsidP="00F21BE7" w:rsidRDefault="00173CED" w14:paraId="256E72FC" w14:textId="77777777">
            <w:pPr>
              <w:contextualSpacing/>
              <w:jc w:val="center"/>
              <w:rPr>
                <w:rFonts w:ascii="Aptos Narrow" w:hAnsi="Aptos Narrow"/>
                <w:sz w:val="22"/>
                <w:szCs w:val="22"/>
              </w:rPr>
            </w:pPr>
          </w:p>
        </w:tc>
        <w:tc>
          <w:tcPr>
            <w:tcW w:w="3420" w:type="dxa"/>
            <w:gridSpan w:val="3"/>
            <w:tcBorders>
              <w:right w:val="single" w:color="auto" w:sz="4" w:space="0"/>
            </w:tcBorders>
            <w:shd w:val="clear" w:color="auto" w:fill="FABF8F" w:themeFill="accent6" w:themeFillTint="99"/>
            <w:noWrap/>
            <w:vAlign w:val="center"/>
          </w:tcPr>
          <w:p w:rsidRPr="00F21BE7" w:rsidR="00173CED" w:rsidP="00F21BE7" w:rsidRDefault="00173CED" w14:paraId="193DFE8C"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Number of Eligible Accounts</w:t>
            </w:r>
          </w:p>
        </w:tc>
        <w:tc>
          <w:tcPr>
            <w:tcW w:w="3240" w:type="dxa"/>
            <w:vMerge w:val="restart"/>
            <w:tcBorders>
              <w:left w:val="single" w:color="auto" w:sz="4" w:space="0"/>
              <w:right w:val="single" w:color="auto" w:sz="4" w:space="0"/>
            </w:tcBorders>
            <w:shd w:val="clear" w:color="auto" w:fill="auto"/>
            <w:noWrap/>
            <w:vAlign w:val="center"/>
          </w:tcPr>
          <w:p w:rsidRPr="00F21BE7" w:rsidR="00173CED" w:rsidP="00F21BE7" w:rsidRDefault="00173CED" w14:paraId="7A5B01E5" w14:textId="77777777">
            <w:pPr>
              <w:contextualSpacing/>
              <w:jc w:val="center"/>
              <w:rPr>
                <w:rFonts w:ascii="Aptos Narrow" w:hAnsi="Aptos Narrow"/>
                <w:b/>
                <w:bCs/>
                <w:color w:val="000000"/>
                <w:sz w:val="22"/>
                <w:szCs w:val="22"/>
              </w:rPr>
            </w:pPr>
          </w:p>
        </w:tc>
        <w:tc>
          <w:tcPr>
            <w:tcW w:w="4590" w:type="dxa"/>
            <w:gridSpan w:val="3"/>
            <w:tcBorders>
              <w:left w:val="single" w:color="auto" w:sz="4" w:space="0"/>
            </w:tcBorders>
            <w:shd w:val="clear" w:color="auto" w:fill="FABF8F" w:themeFill="accent6" w:themeFillTint="99"/>
            <w:noWrap/>
            <w:vAlign w:val="center"/>
          </w:tcPr>
          <w:p w:rsidRPr="00F21BE7" w:rsidR="00173CED" w:rsidP="00F21BE7" w:rsidRDefault="00173CED" w14:paraId="1064A182"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Value of Credit</w:t>
            </w:r>
          </w:p>
        </w:tc>
      </w:tr>
      <w:tr w:rsidRPr="009C32B4" w:rsidR="00173CED" w:rsidTr="00AE3937" w14:paraId="01B70592" w14:textId="77777777">
        <w:trPr>
          <w:trHeight w:val="300"/>
        </w:trPr>
        <w:tc>
          <w:tcPr>
            <w:tcW w:w="1800" w:type="dxa"/>
            <w:shd w:val="clear" w:color="auto" w:fill="FDE9D9" w:themeFill="accent6" w:themeFillTint="33"/>
            <w:noWrap/>
            <w:vAlign w:val="center"/>
            <w:hideMark/>
          </w:tcPr>
          <w:p w:rsidRPr="00F21BE7" w:rsidR="00173CED" w:rsidP="00F21BE7" w:rsidRDefault="00173CED" w14:paraId="08B0C5DB" w14:textId="77777777">
            <w:pPr>
              <w:contextualSpacing/>
              <w:jc w:val="center"/>
              <w:rPr>
                <w:rFonts w:ascii="Aptos Narrow" w:hAnsi="Aptos Narrow"/>
                <w:sz w:val="22"/>
                <w:szCs w:val="22"/>
              </w:rPr>
            </w:pPr>
          </w:p>
        </w:tc>
        <w:tc>
          <w:tcPr>
            <w:tcW w:w="1140" w:type="dxa"/>
            <w:shd w:val="clear" w:color="auto" w:fill="FDE9D9" w:themeFill="accent6" w:themeFillTint="33"/>
            <w:noWrap/>
            <w:vAlign w:val="center"/>
            <w:hideMark/>
          </w:tcPr>
          <w:p w:rsidRPr="00F21BE7" w:rsidR="00173CED" w:rsidP="00F21BE7" w:rsidRDefault="00173CED" w14:paraId="00A312BE"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PG&amp;E</w:t>
            </w:r>
          </w:p>
        </w:tc>
        <w:tc>
          <w:tcPr>
            <w:tcW w:w="1140" w:type="dxa"/>
            <w:shd w:val="clear" w:color="auto" w:fill="FDE9D9" w:themeFill="accent6" w:themeFillTint="33"/>
            <w:noWrap/>
            <w:vAlign w:val="center"/>
            <w:hideMark/>
          </w:tcPr>
          <w:p w:rsidRPr="00F21BE7" w:rsidR="00173CED" w:rsidP="00F21BE7" w:rsidRDefault="00173CED" w14:paraId="0B12AEA3"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SCE</w:t>
            </w:r>
          </w:p>
        </w:tc>
        <w:tc>
          <w:tcPr>
            <w:tcW w:w="1140" w:type="dxa"/>
            <w:tcBorders>
              <w:right w:val="single" w:color="auto" w:sz="4" w:space="0"/>
            </w:tcBorders>
            <w:shd w:val="clear" w:color="auto" w:fill="FDE9D9" w:themeFill="accent6" w:themeFillTint="33"/>
            <w:noWrap/>
            <w:vAlign w:val="center"/>
            <w:hideMark/>
          </w:tcPr>
          <w:p w:rsidRPr="00F21BE7" w:rsidR="00173CED" w:rsidP="00F21BE7" w:rsidRDefault="00173CED" w14:paraId="66C24BC0"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SDG&amp;E</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46E0F45B" w14:textId="77777777">
            <w:pPr>
              <w:contextualSpacing/>
              <w:jc w:val="center"/>
              <w:rPr>
                <w:rFonts w:ascii="Aptos Narrow" w:hAnsi="Aptos Narrow"/>
                <w:b/>
                <w:bCs/>
                <w:color w:val="000000"/>
                <w:sz w:val="22"/>
                <w:szCs w:val="22"/>
              </w:rPr>
            </w:pPr>
          </w:p>
        </w:tc>
        <w:tc>
          <w:tcPr>
            <w:tcW w:w="1530" w:type="dxa"/>
            <w:tcBorders>
              <w:left w:val="single" w:color="auto" w:sz="4" w:space="0"/>
            </w:tcBorders>
            <w:shd w:val="clear" w:color="auto" w:fill="FDE9D9" w:themeFill="accent6" w:themeFillTint="33"/>
            <w:noWrap/>
            <w:vAlign w:val="center"/>
            <w:hideMark/>
          </w:tcPr>
          <w:p w:rsidRPr="00F21BE7" w:rsidR="00173CED" w:rsidP="00F21BE7" w:rsidRDefault="00173CED" w14:paraId="3F0B22EC"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PG&amp;E</w:t>
            </w:r>
          </w:p>
        </w:tc>
        <w:tc>
          <w:tcPr>
            <w:tcW w:w="1530" w:type="dxa"/>
            <w:shd w:val="clear" w:color="auto" w:fill="FDE9D9" w:themeFill="accent6" w:themeFillTint="33"/>
            <w:noWrap/>
            <w:vAlign w:val="center"/>
            <w:hideMark/>
          </w:tcPr>
          <w:p w:rsidRPr="00F21BE7" w:rsidR="00173CED" w:rsidP="00F21BE7" w:rsidRDefault="00173CED" w14:paraId="294785BD"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SCE</w:t>
            </w:r>
          </w:p>
        </w:tc>
        <w:tc>
          <w:tcPr>
            <w:tcW w:w="1530" w:type="dxa"/>
            <w:shd w:val="clear" w:color="auto" w:fill="FDE9D9" w:themeFill="accent6" w:themeFillTint="33"/>
            <w:noWrap/>
            <w:vAlign w:val="center"/>
            <w:hideMark/>
          </w:tcPr>
          <w:p w:rsidRPr="00F21BE7" w:rsidR="00173CED" w:rsidP="00F21BE7" w:rsidRDefault="00173CED" w14:paraId="37E25A82" w14:textId="77777777">
            <w:pPr>
              <w:contextualSpacing/>
              <w:jc w:val="center"/>
              <w:rPr>
                <w:rFonts w:ascii="Aptos Narrow" w:hAnsi="Aptos Narrow"/>
                <w:b/>
                <w:bCs/>
                <w:color w:val="000000"/>
                <w:sz w:val="22"/>
                <w:szCs w:val="22"/>
              </w:rPr>
            </w:pPr>
            <w:r w:rsidRPr="00F21BE7">
              <w:rPr>
                <w:rFonts w:ascii="Aptos Narrow" w:hAnsi="Aptos Narrow"/>
                <w:b/>
                <w:bCs/>
                <w:color w:val="000000"/>
                <w:sz w:val="22"/>
                <w:szCs w:val="22"/>
              </w:rPr>
              <w:t>SDG&amp;E</w:t>
            </w:r>
          </w:p>
        </w:tc>
      </w:tr>
      <w:tr w:rsidRPr="009C32B4" w:rsidR="00173CED" w:rsidTr="00AE3937" w14:paraId="60E055E3" w14:textId="77777777">
        <w:trPr>
          <w:trHeight w:val="269"/>
        </w:trPr>
        <w:tc>
          <w:tcPr>
            <w:tcW w:w="1800" w:type="dxa"/>
            <w:shd w:val="clear" w:color="auto" w:fill="auto"/>
            <w:noWrap/>
            <w:vAlign w:val="center"/>
            <w:hideMark/>
          </w:tcPr>
          <w:p w:rsidRPr="00F21BE7" w:rsidR="00173CED" w:rsidP="00F21BE7" w:rsidRDefault="00173CED" w14:paraId="655D6B6F" w14:textId="77777777">
            <w:pPr>
              <w:contextualSpacing/>
              <w:rPr>
                <w:rFonts w:ascii="Aptos Narrow" w:hAnsi="Aptos Narrow"/>
                <w:color w:val="000000"/>
                <w:sz w:val="22"/>
                <w:szCs w:val="22"/>
              </w:rPr>
            </w:pPr>
            <w:r w:rsidRPr="00F21BE7">
              <w:rPr>
                <w:rFonts w:ascii="Aptos Narrow" w:hAnsi="Aptos Narrow"/>
                <w:color w:val="000000"/>
                <w:sz w:val="22"/>
                <w:szCs w:val="22"/>
              </w:rPr>
              <w:t>Telecom</w:t>
            </w:r>
          </w:p>
        </w:tc>
        <w:tc>
          <w:tcPr>
            <w:tcW w:w="1140" w:type="dxa"/>
            <w:shd w:val="clear" w:color="auto" w:fill="auto"/>
            <w:noWrap/>
            <w:vAlign w:val="center"/>
            <w:hideMark/>
          </w:tcPr>
          <w:p w:rsidRPr="00F21BE7" w:rsidR="00173CED" w:rsidP="00F21BE7" w:rsidRDefault="00BF7A0F" w14:paraId="4BEF6069" w14:textId="77777777">
            <w:pPr>
              <w:contextualSpacing/>
              <w:jc w:val="right"/>
              <w:rPr>
                <w:rFonts w:ascii="Aptos Narrow" w:hAnsi="Aptos Narrow"/>
                <w:color w:val="000000"/>
                <w:sz w:val="22"/>
                <w:szCs w:val="22"/>
              </w:rPr>
            </w:pPr>
            <w:r>
              <w:rPr>
                <w:rFonts w:ascii="Aptos Narrow" w:hAnsi="Aptos Narrow"/>
                <w:color w:val="000000"/>
                <w:sz w:val="22"/>
                <w:szCs w:val="22"/>
              </w:rPr>
              <w:t>6,068</w:t>
            </w:r>
          </w:p>
        </w:tc>
        <w:tc>
          <w:tcPr>
            <w:tcW w:w="1140" w:type="dxa"/>
            <w:shd w:val="clear" w:color="auto" w:fill="auto"/>
            <w:noWrap/>
            <w:vAlign w:val="center"/>
          </w:tcPr>
          <w:p w:rsidRPr="00F21BE7" w:rsidR="00173CED" w:rsidP="00F21BE7" w:rsidRDefault="00173CED" w14:paraId="395279E1"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10,406</w:t>
            </w:r>
          </w:p>
        </w:tc>
        <w:tc>
          <w:tcPr>
            <w:tcW w:w="1140" w:type="dxa"/>
            <w:tcBorders>
              <w:right w:val="single" w:color="auto" w:sz="4" w:space="0"/>
            </w:tcBorders>
            <w:shd w:val="clear" w:color="auto" w:fill="auto"/>
            <w:noWrap/>
            <w:vAlign w:val="center"/>
          </w:tcPr>
          <w:p w:rsidRPr="00F21BE7" w:rsidR="00173CED" w:rsidP="00F21BE7" w:rsidRDefault="00173CED" w14:paraId="2C1A8F7F"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3,851</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11FFBE0D"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auto"/>
            <w:noWrap/>
            <w:vAlign w:val="center"/>
          </w:tcPr>
          <w:p w:rsidRPr="00F21BE7" w:rsidR="00173CED" w:rsidP="00F21BE7" w:rsidRDefault="00BF7A0F" w14:paraId="1B2AB412" w14:textId="77777777">
            <w:pPr>
              <w:contextualSpacing/>
              <w:jc w:val="right"/>
              <w:rPr>
                <w:rFonts w:ascii="Aptos Narrow" w:hAnsi="Aptos Narrow"/>
                <w:color w:val="000000"/>
                <w:sz w:val="22"/>
                <w:szCs w:val="22"/>
              </w:rPr>
            </w:pPr>
            <w:r>
              <w:rPr>
                <w:rFonts w:ascii="Aptos Narrow" w:hAnsi="Aptos Narrow"/>
                <w:color w:val="000000"/>
                <w:sz w:val="22"/>
                <w:szCs w:val="22"/>
              </w:rPr>
              <w:t>$669,543</w:t>
            </w:r>
          </w:p>
        </w:tc>
        <w:tc>
          <w:tcPr>
            <w:tcW w:w="1530" w:type="dxa"/>
            <w:shd w:val="clear" w:color="auto" w:fill="auto"/>
            <w:noWrap/>
            <w:vAlign w:val="center"/>
          </w:tcPr>
          <w:p w:rsidRPr="00F21BE7" w:rsidR="00173CED" w:rsidP="00F21BE7" w:rsidRDefault="00173CED" w14:paraId="504AC49F"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$1,789,832 </w:t>
            </w:r>
          </w:p>
        </w:tc>
        <w:tc>
          <w:tcPr>
            <w:tcW w:w="1530" w:type="dxa"/>
            <w:shd w:val="clear" w:color="auto" w:fill="auto"/>
            <w:noWrap/>
            <w:vAlign w:val="center"/>
          </w:tcPr>
          <w:p w:rsidRPr="00F21BE7" w:rsidR="00173CED" w:rsidP="00F21BE7" w:rsidRDefault="00173CED" w14:paraId="5F65D66F"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$602,450 </w:t>
            </w:r>
          </w:p>
        </w:tc>
      </w:tr>
      <w:tr w:rsidRPr="009C32B4" w:rsidR="00173CED" w:rsidTr="00AE3937" w14:paraId="6B1F3315" w14:textId="77777777">
        <w:trPr>
          <w:trHeight w:val="300"/>
        </w:trPr>
        <w:tc>
          <w:tcPr>
            <w:tcW w:w="1800" w:type="dxa"/>
            <w:shd w:val="clear" w:color="auto" w:fill="F2F2F2" w:themeFill="background1" w:themeFillShade="F2"/>
            <w:noWrap/>
            <w:vAlign w:val="center"/>
            <w:hideMark/>
          </w:tcPr>
          <w:p w:rsidRPr="00F21BE7" w:rsidR="00173CED" w:rsidP="00F21BE7" w:rsidRDefault="00173CED" w14:paraId="194BBF15" w14:textId="77777777">
            <w:pPr>
              <w:contextualSpacing/>
              <w:rPr>
                <w:rFonts w:ascii="Aptos Narrow" w:hAnsi="Aptos Narrow"/>
                <w:color w:val="000000"/>
                <w:sz w:val="22"/>
                <w:szCs w:val="22"/>
              </w:rPr>
            </w:pPr>
            <w:r w:rsidRPr="00F21BE7">
              <w:rPr>
                <w:rFonts w:ascii="Aptos Narrow" w:hAnsi="Aptos Narrow"/>
                <w:color w:val="000000"/>
                <w:sz w:val="22"/>
                <w:szCs w:val="22"/>
              </w:rPr>
              <w:t>Government</w:t>
            </w:r>
            <w:r w:rsidR="00F3284C">
              <w:rPr>
                <w:rFonts w:ascii="Aptos Narrow" w:hAnsi="Aptos Narrow"/>
                <w:color w:val="000000"/>
                <w:sz w:val="22"/>
                <w:szCs w:val="22"/>
                <w:vertAlign w:val="superscript"/>
              </w:rPr>
              <w:t>8</w:t>
            </w:r>
          </w:p>
        </w:tc>
        <w:tc>
          <w:tcPr>
            <w:tcW w:w="1140" w:type="dxa"/>
            <w:shd w:val="clear" w:color="auto" w:fill="F2F2F2" w:themeFill="background1" w:themeFillShade="F2"/>
            <w:noWrap/>
            <w:vAlign w:val="center"/>
            <w:hideMark/>
          </w:tcPr>
          <w:p w:rsidRPr="00F21BE7" w:rsidR="00173CED" w:rsidP="00F21BE7" w:rsidRDefault="00BF7A0F" w14:paraId="09EE4566" w14:textId="77777777">
            <w:pPr>
              <w:contextualSpacing/>
              <w:jc w:val="right"/>
              <w:rPr>
                <w:rFonts w:ascii="Aptos Narrow" w:hAnsi="Aptos Narrow"/>
                <w:color w:val="000000"/>
                <w:sz w:val="22"/>
                <w:szCs w:val="22"/>
              </w:rPr>
            </w:pPr>
            <w:r>
              <w:rPr>
                <w:rFonts w:ascii="Aptos Narrow" w:hAnsi="Aptos Narrow"/>
                <w:color w:val="000000"/>
                <w:sz w:val="22"/>
                <w:szCs w:val="22"/>
              </w:rPr>
              <w:t>2,316</w:t>
            </w:r>
          </w:p>
        </w:tc>
        <w:tc>
          <w:tcPr>
            <w:tcW w:w="1140" w:type="dxa"/>
            <w:shd w:val="clear" w:color="auto" w:fill="F2F2F2" w:themeFill="background1" w:themeFillShade="F2"/>
            <w:noWrap/>
            <w:vAlign w:val="center"/>
          </w:tcPr>
          <w:p w:rsidRPr="00F21BE7" w:rsidR="00173CED" w:rsidP="00F21BE7" w:rsidRDefault="00173CED" w14:paraId="14E91972"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2,102</w:t>
            </w:r>
          </w:p>
        </w:tc>
        <w:tc>
          <w:tcPr>
            <w:tcW w:w="1140" w:type="dxa"/>
            <w:tcBorders>
              <w:right w:val="single" w:color="auto" w:sz="4" w:space="0"/>
            </w:tcBorders>
            <w:shd w:val="clear" w:color="auto" w:fill="F2F2F2" w:themeFill="background1" w:themeFillShade="F2"/>
            <w:noWrap/>
            <w:vAlign w:val="center"/>
          </w:tcPr>
          <w:p w:rsidRPr="00F21BE7" w:rsidR="00173CED" w:rsidP="00F21BE7" w:rsidRDefault="00173CED" w14:paraId="4D81F784"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2,917</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0E015946"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F2F2F2" w:themeFill="background1" w:themeFillShade="F2"/>
            <w:noWrap/>
            <w:vAlign w:val="center"/>
          </w:tcPr>
          <w:p w:rsidRPr="00F21BE7" w:rsidR="00173CED" w:rsidP="00F21BE7" w:rsidRDefault="00BF7A0F" w14:paraId="64CA8F7F" w14:textId="77777777">
            <w:pPr>
              <w:contextualSpacing/>
              <w:jc w:val="right"/>
              <w:rPr>
                <w:rFonts w:ascii="Aptos Narrow" w:hAnsi="Aptos Narrow"/>
                <w:color w:val="000000"/>
                <w:sz w:val="22"/>
                <w:szCs w:val="22"/>
              </w:rPr>
            </w:pPr>
            <w:r>
              <w:rPr>
                <w:rFonts w:ascii="Aptos Narrow" w:hAnsi="Aptos Narrow"/>
                <w:color w:val="000000"/>
                <w:sz w:val="22"/>
                <w:szCs w:val="22"/>
              </w:rPr>
              <w:t>$225,547</w:t>
            </w:r>
          </w:p>
        </w:tc>
        <w:tc>
          <w:tcPr>
            <w:tcW w:w="1530" w:type="dxa"/>
            <w:shd w:val="clear" w:color="auto" w:fill="F2F2F2" w:themeFill="background1" w:themeFillShade="F2"/>
            <w:noWrap/>
            <w:vAlign w:val="center"/>
          </w:tcPr>
          <w:p w:rsidRPr="00F21BE7" w:rsidR="00173CED" w:rsidP="00F21BE7" w:rsidRDefault="00173CED" w14:paraId="49EFD666"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$361,544 </w:t>
            </w:r>
          </w:p>
        </w:tc>
        <w:tc>
          <w:tcPr>
            <w:tcW w:w="1530" w:type="dxa"/>
            <w:shd w:val="clear" w:color="auto" w:fill="F2F2F2" w:themeFill="background1" w:themeFillShade="F2"/>
            <w:noWrap/>
            <w:vAlign w:val="center"/>
          </w:tcPr>
          <w:p w:rsidRPr="00F21BE7" w:rsidR="00173CED" w:rsidP="00F21BE7" w:rsidRDefault="00173CED" w14:paraId="1100EA0A"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$456,335 </w:t>
            </w:r>
          </w:p>
        </w:tc>
      </w:tr>
      <w:tr w:rsidRPr="009C32B4" w:rsidR="00173CED" w:rsidTr="00AE3937" w14:paraId="5FFEBF2D" w14:textId="77777777">
        <w:trPr>
          <w:trHeight w:val="300"/>
        </w:trPr>
        <w:tc>
          <w:tcPr>
            <w:tcW w:w="1800" w:type="dxa"/>
            <w:shd w:val="clear" w:color="auto" w:fill="auto"/>
            <w:noWrap/>
            <w:vAlign w:val="center"/>
            <w:hideMark/>
          </w:tcPr>
          <w:p w:rsidRPr="00F21BE7" w:rsidR="00173CED" w:rsidP="00F21BE7" w:rsidRDefault="00173CED" w14:paraId="26F7A856" w14:textId="77777777">
            <w:pPr>
              <w:contextualSpacing/>
              <w:rPr>
                <w:rFonts w:ascii="Aptos Narrow" w:hAnsi="Aptos Narrow"/>
                <w:color w:val="000000"/>
                <w:sz w:val="22"/>
                <w:szCs w:val="22"/>
              </w:rPr>
            </w:pPr>
            <w:r w:rsidRPr="00F21BE7">
              <w:rPr>
                <w:rFonts w:ascii="Aptos Narrow" w:hAnsi="Aptos Narrow"/>
                <w:color w:val="000000"/>
                <w:sz w:val="22"/>
                <w:szCs w:val="22"/>
              </w:rPr>
              <w:t>Real Estate</w:t>
            </w:r>
            <w:r w:rsidR="005B5E76">
              <w:rPr>
                <w:rFonts w:ascii="Aptos Narrow" w:hAnsi="Aptos Narrow"/>
                <w:color w:val="000000"/>
                <w:sz w:val="22"/>
                <w:szCs w:val="22"/>
                <w:vertAlign w:val="superscript"/>
              </w:rPr>
              <w:t>9</w:t>
            </w:r>
          </w:p>
        </w:tc>
        <w:tc>
          <w:tcPr>
            <w:tcW w:w="1140" w:type="dxa"/>
            <w:shd w:val="clear" w:color="auto" w:fill="auto"/>
            <w:noWrap/>
            <w:vAlign w:val="center"/>
            <w:hideMark/>
          </w:tcPr>
          <w:p w:rsidRPr="00F21BE7" w:rsidR="00173CED" w:rsidP="00F21BE7" w:rsidRDefault="00BF7A0F" w14:paraId="0601C0E4" w14:textId="77777777">
            <w:pPr>
              <w:contextualSpacing/>
              <w:jc w:val="right"/>
              <w:rPr>
                <w:rFonts w:ascii="Aptos Narrow" w:hAnsi="Aptos Narrow"/>
                <w:color w:val="000000"/>
                <w:sz w:val="22"/>
                <w:szCs w:val="22"/>
              </w:rPr>
            </w:pPr>
            <w:r>
              <w:rPr>
                <w:rFonts w:ascii="Aptos Narrow" w:hAnsi="Aptos Narrow"/>
                <w:color w:val="000000"/>
                <w:sz w:val="22"/>
                <w:szCs w:val="22"/>
              </w:rPr>
              <w:t>193</w:t>
            </w:r>
          </w:p>
        </w:tc>
        <w:tc>
          <w:tcPr>
            <w:tcW w:w="1140" w:type="dxa"/>
            <w:shd w:val="clear" w:color="auto" w:fill="auto"/>
            <w:noWrap/>
            <w:vAlign w:val="center"/>
          </w:tcPr>
          <w:p w:rsidRPr="00F21BE7" w:rsidR="00173CED" w:rsidP="00F21BE7" w:rsidRDefault="00173CED" w14:paraId="0C518F8C"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1,798</w:t>
            </w:r>
          </w:p>
        </w:tc>
        <w:tc>
          <w:tcPr>
            <w:tcW w:w="1140" w:type="dxa"/>
            <w:tcBorders>
              <w:right w:val="single" w:color="auto" w:sz="4" w:space="0"/>
            </w:tcBorders>
            <w:shd w:val="clear" w:color="auto" w:fill="auto"/>
            <w:noWrap/>
            <w:vAlign w:val="center"/>
          </w:tcPr>
          <w:p w:rsidRPr="00F21BE7" w:rsidR="00173CED" w:rsidP="00F21BE7" w:rsidRDefault="00173CED" w14:paraId="2FFCA17C"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273</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09CBF1A9"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auto"/>
            <w:noWrap/>
            <w:vAlign w:val="center"/>
          </w:tcPr>
          <w:p w:rsidRPr="00F21BE7" w:rsidR="00173CED" w:rsidP="00F21BE7" w:rsidRDefault="00BF7A0F" w14:paraId="70028B2D" w14:textId="77777777">
            <w:pPr>
              <w:contextualSpacing/>
              <w:jc w:val="right"/>
              <w:rPr>
                <w:rFonts w:ascii="Aptos Narrow" w:hAnsi="Aptos Narrow"/>
                <w:color w:val="000000"/>
                <w:sz w:val="22"/>
                <w:szCs w:val="22"/>
              </w:rPr>
            </w:pPr>
            <w:r>
              <w:rPr>
                <w:rFonts w:ascii="Aptos Narrow" w:hAnsi="Aptos Narrow"/>
                <w:color w:val="000000"/>
                <w:sz w:val="22"/>
                <w:szCs w:val="22"/>
              </w:rPr>
              <w:t>$21,296</w:t>
            </w:r>
          </w:p>
        </w:tc>
        <w:tc>
          <w:tcPr>
            <w:tcW w:w="1530" w:type="dxa"/>
            <w:shd w:val="clear" w:color="auto" w:fill="auto"/>
            <w:noWrap/>
            <w:vAlign w:val="center"/>
          </w:tcPr>
          <w:p w:rsidRPr="00F21BE7" w:rsidR="00173CED" w:rsidP="00F21BE7" w:rsidRDefault="00173CED" w14:paraId="2CA232B0"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$309,256 </w:t>
            </w:r>
          </w:p>
        </w:tc>
        <w:tc>
          <w:tcPr>
            <w:tcW w:w="1530" w:type="dxa"/>
            <w:shd w:val="clear" w:color="auto" w:fill="auto"/>
            <w:noWrap/>
            <w:vAlign w:val="center"/>
          </w:tcPr>
          <w:p w:rsidRPr="00F21BE7" w:rsidR="00173CED" w:rsidP="00F21BE7" w:rsidRDefault="00173CED" w14:paraId="657F4ECB"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$42,708 </w:t>
            </w:r>
          </w:p>
        </w:tc>
      </w:tr>
      <w:tr w:rsidRPr="009C32B4" w:rsidR="00173CED" w:rsidTr="00AE3937" w14:paraId="0357FF42" w14:textId="77777777">
        <w:trPr>
          <w:trHeight w:val="300"/>
        </w:trPr>
        <w:tc>
          <w:tcPr>
            <w:tcW w:w="1800" w:type="dxa"/>
            <w:shd w:val="clear" w:color="auto" w:fill="F2F2F2" w:themeFill="background1" w:themeFillShade="F2"/>
            <w:noWrap/>
            <w:vAlign w:val="center"/>
            <w:hideMark/>
          </w:tcPr>
          <w:p w:rsidRPr="00F21BE7" w:rsidR="00173CED" w:rsidP="00F21BE7" w:rsidRDefault="00173CED" w14:paraId="4AF8FDBC" w14:textId="77777777">
            <w:pPr>
              <w:contextualSpacing/>
              <w:rPr>
                <w:rFonts w:ascii="Aptos Narrow" w:hAnsi="Aptos Narrow"/>
                <w:color w:val="000000"/>
                <w:sz w:val="22"/>
                <w:szCs w:val="22"/>
              </w:rPr>
            </w:pPr>
            <w:r w:rsidRPr="00F21BE7">
              <w:rPr>
                <w:rFonts w:ascii="Aptos Narrow" w:hAnsi="Aptos Narrow"/>
                <w:color w:val="000000"/>
                <w:sz w:val="22"/>
                <w:szCs w:val="22"/>
              </w:rPr>
              <w:t>Other</w:t>
            </w:r>
          </w:p>
        </w:tc>
        <w:tc>
          <w:tcPr>
            <w:tcW w:w="1140" w:type="dxa"/>
            <w:shd w:val="clear" w:color="auto" w:fill="F2F2F2" w:themeFill="background1" w:themeFillShade="F2"/>
            <w:noWrap/>
            <w:vAlign w:val="center"/>
            <w:hideMark/>
          </w:tcPr>
          <w:p w:rsidRPr="00F21BE7" w:rsidR="00173CED" w:rsidP="00F21BE7" w:rsidRDefault="00BF7A0F" w14:paraId="4D2AEDB6" w14:textId="77777777">
            <w:pPr>
              <w:contextualSpacing/>
              <w:jc w:val="right"/>
              <w:rPr>
                <w:rFonts w:ascii="Aptos Narrow" w:hAnsi="Aptos Narrow"/>
                <w:color w:val="000000"/>
                <w:sz w:val="22"/>
                <w:szCs w:val="22"/>
              </w:rPr>
            </w:pPr>
            <w:r>
              <w:rPr>
                <w:rFonts w:ascii="Aptos Narrow" w:hAnsi="Aptos Narrow"/>
                <w:color w:val="000000"/>
                <w:sz w:val="22"/>
                <w:szCs w:val="22"/>
              </w:rPr>
              <w:t>887</w:t>
            </w:r>
          </w:p>
        </w:tc>
        <w:tc>
          <w:tcPr>
            <w:tcW w:w="1140" w:type="dxa"/>
            <w:shd w:val="clear" w:color="auto" w:fill="F2F2F2" w:themeFill="background1" w:themeFillShade="F2"/>
            <w:noWrap/>
            <w:vAlign w:val="center"/>
          </w:tcPr>
          <w:p w:rsidRPr="00F21BE7" w:rsidR="00173CED" w:rsidP="00F21BE7" w:rsidRDefault="00173CED" w14:paraId="02EE45D9"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342</w:t>
            </w:r>
          </w:p>
        </w:tc>
        <w:tc>
          <w:tcPr>
            <w:tcW w:w="1140" w:type="dxa"/>
            <w:tcBorders>
              <w:right w:val="single" w:color="auto" w:sz="4" w:space="0"/>
            </w:tcBorders>
            <w:shd w:val="clear" w:color="auto" w:fill="F2F2F2" w:themeFill="background1" w:themeFillShade="F2"/>
            <w:noWrap/>
            <w:vAlign w:val="center"/>
          </w:tcPr>
          <w:p w:rsidRPr="00F21BE7" w:rsidR="00173CED" w:rsidP="00F21BE7" w:rsidRDefault="00173CED" w14:paraId="09FA4A6F"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188</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62064B6F"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F2F2F2" w:themeFill="background1" w:themeFillShade="F2"/>
            <w:noWrap/>
            <w:vAlign w:val="center"/>
          </w:tcPr>
          <w:p w:rsidRPr="00F21BE7" w:rsidR="00173CED" w:rsidP="00F21BE7" w:rsidRDefault="00BF7A0F" w14:paraId="2688BA42" w14:textId="77777777">
            <w:pPr>
              <w:contextualSpacing/>
              <w:jc w:val="right"/>
              <w:rPr>
                <w:rFonts w:ascii="Aptos Narrow" w:hAnsi="Aptos Narrow"/>
                <w:color w:val="000000"/>
                <w:sz w:val="22"/>
                <w:szCs w:val="22"/>
              </w:rPr>
            </w:pPr>
            <w:r>
              <w:rPr>
                <w:rFonts w:ascii="Aptos Narrow" w:hAnsi="Aptos Narrow"/>
                <w:color w:val="000000"/>
                <w:sz w:val="22"/>
                <w:szCs w:val="22"/>
              </w:rPr>
              <w:t>$97,872</w:t>
            </w:r>
          </w:p>
        </w:tc>
        <w:tc>
          <w:tcPr>
            <w:tcW w:w="1530" w:type="dxa"/>
            <w:shd w:val="clear" w:color="auto" w:fill="F2F2F2" w:themeFill="background1" w:themeFillShade="F2"/>
            <w:noWrap/>
            <w:vAlign w:val="center"/>
          </w:tcPr>
          <w:p w:rsidRPr="00F21BE7" w:rsidR="00173CED" w:rsidP="00F21BE7" w:rsidRDefault="00173CED" w14:paraId="665E3178"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$58,824 </w:t>
            </w:r>
          </w:p>
        </w:tc>
        <w:tc>
          <w:tcPr>
            <w:tcW w:w="1530" w:type="dxa"/>
            <w:shd w:val="clear" w:color="auto" w:fill="F2F2F2" w:themeFill="background1" w:themeFillShade="F2"/>
            <w:noWrap/>
            <w:vAlign w:val="center"/>
          </w:tcPr>
          <w:p w:rsidRPr="00F21BE7" w:rsidR="00173CED" w:rsidP="00F21BE7" w:rsidRDefault="00173CED" w14:paraId="469CAAF9"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$29,411 </w:t>
            </w:r>
          </w:p>
        </w:tc>
      </w:tr>
      <w:tr w:rsidRPr="009C32B4" w:rsidR="00173CED" w:rsidTr="00AE3937" w14:paraId="1D63BDD9" w14:textId="77777777">
        <w:trPr>
          <w:trHeight w:val="300"/>
        </w:trPr>
        <w:tc>
          <w:tcPr>
            <w:tcW w:w="1800" w:type="dxa"/>
            <w:shd w:val="clear" w:color="auto" w:fill="auto"/>
            <w:noWrap/>
            <w:vAlign w:val="center"/>
            <w:hideMark/>
          </w:tcPr>
          <w:p w:rsidRPr="00F21BE7" w:rsidR="00173CED" w:rsidP="00F21BE7" w:rsidRDefault="00173CED" w14:paraId="61E8308F" w14:textId="77777777">
            <w:pPr>
              <w:contextualSpacing/>
              <w:rPr>
                <w:rFonts w:ascii="Aptos Narrow" w:hAnsi="Aptos Narrow"/>
                <w:color w:val="000000"/>
                <w:sz w:val="22"/>
                <w:szCs w:val="22"/>
              </w:rPr>
            </w:pPr>
            <w:r w:rsidRPr="00F21BE7">
              <w:rPr>
                <w:rFonts w:ascii="Aptos Narrow" w:hAnsi="Aptos Narrow"/>
                <w:color w:val="000000"/>
                <w:sz w:val="22"/>
                <w:szCs w:val="22"/>
              </w:rPr>
              <w:t>Utilities</w:t>
            </w:r>
          </w:p>
        </w:tc>
        <w:tc>
          <w:tcPr>
            <w:tcW w:w="1140" w:type="dxa"/>
            <w:shd w:val="clear" w:color="auto" w:fill="auto"/>
            <w:noWrap/>
            <w:vAlign w:val="center"/>
            <w:hideMark/>
          </w:tcPr>
          <w:p w:rsidRPr="00F21BE7" w:rsidR="00173CED" w:rsidP="00F21BE7" w:rsidRDefault="00BF7A0F" w14:paraId="239BD6E3" w14:textId="77777777">
            <w:pPr>
              <w:contextualSpacing/>
              <w:jc w:val="right"/>
              <w:rPr>
                <w:rFonts w:ascii="Aptos Narrow" w:hAnsi="Aptos Narrow"/>
                <w:color w:val="000000"/>
                <w:sz w:val="22"/>
                <w:szCs w:val="22"/>
              </w:rPr>
            </w:pPr>
            <w:r>
              <w:rPr>
                <w:rFonts w:ascii="Aptos Narrow" w:hAnsi="Aptos Narrow"/>
                <w:color w:val="000000"/>
                <w:sz w:val="22"/>
                <w:szCs w:val="22"/>
              </w:rPr>
              <w:t>310</w:t>
            </w:r>
          </w:p>
        </w:tc>
        <w:tc>
          <w:tcPr>
            <w:tcW w:w="1140" w:type="dxa"/>
            <w:shd w:val="clear" w:color="auto" w:fill="auto"/>
            <w:noWrap/>
            <w:vAlign w:val="center"/>
          </w:tcPr>
          <w:p w:rsidRPr="00F21BE7" w:rsidR="00173CED" w:rsidP="00F21BE7" w:rsidRDefault="00173CED" w14:paraId="2C8F7C63"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1,243</w:t>
            </w:r>
          </w:p>
        </w:tc>
        <w:tc>
          <w:tcPr>
            <w:tcW w:w="1140" w:type="dxa"/>
            <w:tcBorders>
              <w:right w:val="single" w:color="auto" w:sz="4" w:space="0"/>
            </w:tcBorders>
            <w:shd w:val="clear" w:color="auto" w:fill="auto"/>
            <w:noWrap/>
            <w:vAlign w:val="center"/>
          </w:tcPr>
          <w:p w:rsidRPr="00F21BE7" w:rsidR="00173CED" w:rsidP="00F21BE7" w:rsidRDefault="00173CED" w14:paraId="17A3A51A"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100</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7C01A6B1"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auto"/>
            <w:noWrap/>
            <w:vAlign w:val="center"/>
          </w:tcPr>
          <w:p w:rsidRPr="00F21BE7" w:rsidR="00173CED" w:rsidP="00F21BE7" w:rsidRDefault="00BF7A0F" w14:paraId="6664C2BE" w14:textId="77777777">
            <w:pPr>
              <w:contextualSpacing/>
              <w:jc w:val="right"/>
              <w:rPr>
                <w:rFonts w:ascii="Aptos Narrow" w:hAnsi="Aptos Narrow"/>
                <w:color w:val="000000"/>
                <w:sz w:val="22"/>
                <w:szCs w:val="22"/>
              </w:rPr>
            </w:pPr>
            <w:r>
              <w:rPr>
                <w:rFonts w:ascii="Aptos Narrow" w:hAnsi="Aptos Narrow"/>
                <w:color w:val="000000"/>
                <w:sz w:val="22"/>
                <w:szCs w:val="22"/>
              </w:rPr>
              <w:t>$34,205</w:t>
            </w:r>
          </w:p>
        </w:tc>
        <w:tc>
          <w:tcPr>
            <w:tcW w:w="1530" w:type="dxa"/>
            <w:shd w:val="clear" w:color="auto" w:fill="auto"/>
            <w:noWrap/>
            <w:vAlign w:val="center"/>
          </w:tcPr>
          <w:p w:rsidRPr="00F21BE7" w:rsidR="00173CED" w:rsidP="00F21BE7" w:rsidRDefault="00173CED" w14:paraId="428FE956"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$213,796 </w:t>
            </w:r>
          </w:p>
        </w:tc>
        <w:tc>
          <w:tcPr>
            <w:tcW w:w="1530" w:type="dxa"/>
            <w:shd w:val="clear" w:color="auto" w:fill="auto"/>
            <w:noWrap/>
            <w:vAlign w:val="center"/>
          </w:tcPr>
          <w:p w:rsidRPr="00F21BE7" w:rsidR="00173CED" w:rsidP="00F21BE7" w:rsidRDefault="00173CED" w14:paraId="25F75AD1"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$15,644 </w:t>
            </w:r>
          </w:p>
        </w:tc>
      </w:tr>
      <w:tr w:rsidRPr="009C32B4" w:rsidR="00173CED" w:rsidTr="00AE3937" w14:paraId="254AAA8F" w14:textId="77777777">
        <w:trPr>
          <w:trHeight w:val="300"/>
        </w:trPr>
        <w:tc>
          <w:tcPr>
            <w:tcW w:w="1800" w:type="dxa"/>
            <w:shd w:val="clear" w:color="auto" w:fill="F2F2F2" w:themeFill="background1" w:themeFillShade="F2"/>
            <w:noWrap/>
            <w:vAlign w:val="center"/>
            <w:hideMark/>
          </w:tcPr>
          <w:p w:rsidRPr="00F21BE7" w:rsidR="00173CED" w:rsidP="00F21BE7" w:rsidRDefault="00173CED" w14:paraId="1676F0F8" w14:textId="77777777">
            <w:pPr>
              <w:contextualSpacing/>
              <w:rPr>
                <w:rFonts w:ascii="Aptos Narrow" w:hAnsi="Aptos Narrow"/>
                <w:color w:val="000000"/>
                <w:sz w:val="22"/>
                <w:szCs w:val="22"/>
              </w:rPr>
            </w:pPr>
            <w:r w:rsidRPr="00F21BE7">
              <w:rPr>
                <w:rFonts w:ascii="Aptos Narrow" w:hAnsi="Aptos Narrow"/>
                <w:color w:val="000000"/>
                <w:sz w:val="22"/>
                <w:szCs w:val="22"/>
              </w:rPr>
              <w:t>Transport</w:t>
            </w:r>
          </w:p>
        </w:tc>
        <w:tc>
          <w:tcPr>
            <w:tcW w:w="1140" w:type="dxa"/>
            <w:shd w:val="clear" w:color="auto" w:fill="F2F2F2" w:themeFill="background1" w:themeFillShade="F2"/>
            <w:noWrap/>
            <w:vAlign w:val="center"/>
            <w:hideMark/>
          </w:tcPr>
          <w:p w:rsidRPr="00F21BE7" w:rsidR="00173CED" w:rsidP="00F21BE7" w:rsidRDefault="00BF7A0F" w14:paraId="6C072A57" w14:textId="77777777">
            <w:pPr>
              <w:contextualSpacing/>
              <w:jc w:val="right"/>
              <w:rPr>
                <w:rFonts w:ascii="Aptos Narrow" w:hAnsi="Aptos Narrow"/>
                <w:color w:val="000000"/>
                <w:sz w:val="22"/>
                <w:szCs w:val="22"/>
              </w:rPr>
            </w:pPr>
            <w:r>
              <w:rPr>
                <w:rFonts w:ascii="Aptos Narrow" w:hAnsi="Aptos Narrow"/>
                <w:color w:val="000000"/>
                <w:sz w:val="22"/>
                <w:szCs w:val="22"/>
              </w:rPr>
              <w:t>1,320</w:t>
            </w:r>
          </w:p>
        </w:tc>
        <w:tc>
          <w:tcPr>
            <w:tcW w:w="1140" w:type="dxa"/>
            <w:shd w:val="clear" w:color="auto" w:fill="F2F2F2" w:themeFill="background1" w:themeFillShade="F2"/>
            <w:noWrap/>
            <w:vAlign w:val="center"/>
          </w:tcPr>
          <w:p w:rsidRPr="00F21BE7" w:rsidR="00173CED" w:rsidP="00F21BE7" w:rsidRDefault="00173CED" w14:paraId="69F03A0C"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339</w:t>
            </w:r>
          </w:p>
        </w:tc>
        <w:tc>
          <w:tcPr>
            <w:tcW w:w="1140" w:type="dxa"/>
            <w:tcBorders>
              <w:right w:val="single" w:color="auto" w:sz="4" w:space="0"/>
            </w:tcBorders>
            <w:shd w:val="clear" w:color="auto" w:fill="F2F2F2" w:themeFill="background1" w:themeFillShade="F2"/>
            <w:noWrap/>
            <w:vAlign w:val="center"/>
          </w:tcPr>
          <w:p w:rsidRPr="00F21BE7" w:rsidR="00173CED" w:rsidP="00F21BE7" w:rsidRDefault="00173CED" w14:paraId="3FEFD4AC"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1,093</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6EBE9D0E"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F2F2F2" w:themeFill="background1" w:themeFillShade="F2"/>
            <w:noWrap/>
            <w:vAlign w:val="center"/>
          </w:tcPr>
          <w:p w:rsidRPr="00F21BE7" w:rsidR="00173CED" w:rsidP="00F21BE7" w:rsidRDefault="00BF7A0F" w14:paraId="219C025F" w14:textId="77777777">
            <w:pPr>
              <w:contextualSpacing/>
              <w:jc w:val="right"/>
              <w:rPr>
                <w:rFonts w:ascii="Aptos Narrow" w:hAnsi="Aptos Narrow"/>
                <w:color w:val="000000"/>
                <w:sz w:val="22"/>
                <w:szCs w:val="22"/>
              </w:rPr>
            </w:pPr>
            <w:r>
              <w:rPr>
                <w:rFonts w:ascii="Aptos Narrow" w:hAnsi="Aptos Narrow"/>
                <w:color w:val="000000"/>
                <w:sz w:val="22"/>
                <w:szCs w:val="22"/>
              </w:rPr>
              <w:t>$145,649</w:t>
            </w:r>
          </w:p>
        </w:tc>
        <w:tc>
          <w:tcPr>
            <w:tcW w:w="1530" w:type="dxa"/>
            <w:shd w:val="clear" w:color="auto" w:fill="F2F2F2" w:themeFill="background1" w:themeFillShade="F2"/>
            <w:noWrap/>
            <w:vAlign w:val="center"/>
          </w:tcPr>
          <w:p w:rsidRPr="00F21BE7" w:rsidR="00173CED" w:rsidP="00F21BE7" w:rsidRDefault="00173CED" w14:paraId="7913B9B8"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$58,308 </w:t>
            </w:r>
          </w:p>
        </w:tc>
        <w:tc>
          <w:tcPr>
            <w:tcW w:w="1530" w:type="dxa"/>
            <w:shd w:val="clear" w:color="auto" w:fill="F2F2F2" w:themeFill="background1" w:themeFillShade="F2"/>
            <w:noWrap/>
            <w:vAlign w:val="center"/>
          </w:tcPr>
          <w:p w:rsidRPr="00F21BE7" w:rsidR="00173CED" w:rsidP="00F21BE7" w:rsidRDefault="00173CED" w14:paraId="04C8C56D"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$170,989 </w:t>
            </w:r>
          </w:p>
        </w:tc>
      </w:tr>
      <w:tr w:rsidRPr="009C32B4" w:rsidR="00173CED" w:rsidTr="00AE3937" w14:paraId="5641FA6F" w14:textId="77777777">
        <w:trPr>
          <w:trHeight w:val="315"/>
        </w:trPr>
        <w:tc>
          <w:tcPr>
            <w:tcW w:w="1800" w:type="dxa"/>
            <w:shd w:val="clear" w:color="auto" w:fill="auto"/>
            <w:noWrap/>
            <w:vAlign w:val="center"/>
            <w:hideMark/>
          </w:tcPr>
          <w:p w:rsidRPr="00F21BE7" w:rsidR="00173CED" w:rsidP="00F21BE7" w:rsidRDefault="00173CED" w14:paraId="3C7E001F" w14:textId="77777777">
            <w:pPr>
              <w:contextualSpacing/>
              <w:rPr>
                <w:rFonts w:ascii="Aptos Narrow" w:hAnsi="Aptos Narrow"/>
                <w:color w:val="000000"/>
                <w:sz w:val="22"/>
                <w:szCs w:val="22"/>
              </w:rPr>
            </w:pPr>
            <w:r w:rsidRPr="00F21BE7">
              <w:rPr>
                <w:rFonts w:ascii="Aptos Narrow" w:hAnsi="Aptos Narrow"/>
                <w:color w:val="000000"/>
                <w:sz w:val="22"/>
                <w:szCs w:val="22"/>
              </w:rPr>
              <w:t>Agriculture</w:t>
            </w:r>
          </w:p>
        </w:tc>
        <w:tc>
          <w:tcPr>
            <w:tcW w:w="1140" w:type="dxa"/>
            <w:shd w:val="clear" w:color="auto" w:fill="auto"/>
            <w:noWrap/>
            <w:vAlign w:val="center"/>
            <w:hideMark/>
          </w:tcPr>
          <w:p w:rsidRPr="00F21BE7" w:rsidR="00173CED" w:rsidP="00F21BE7" w:rsidRDefault="00BF7A0F" w14:paraId="48D78CBD" w14:textId="77777777">
            <w:pPr>
              <w:contextualSpacing/>
              <w:jc w:val="right"/>
              <w:rPr>
                <w:rFonts w:ascii="Aptos Narrow" w:hAnsi="Aptos Narrow"/>
                <w:color w:val="000000"/>
                <w:sz w:val="22"/>
                <w:szCs w:val="22"/>
              </w:rPr>
            </w:pPr>
            <w:r>
              <w:rPr>
                <w:rFonts w:ascii="Aptos Narrow" w:hAnsi="Aptos Narrow"/>
                <w:color w:val="000000"/>
                <w:sz w:val="22"/>
                <w:szCs w:val="22"/>
              </w:rPr>
              <w:t>251</w:t>
            </w:r>
          </w:p>
        </w:tc>
        <w:tc>
          <w:tcPr>
            <w:tcW w:w="1140" w:type="dxa"/>
            <w:shd w:val="clear" w:color="auto" w:fill="auto"/>
            <w:noWrap/>
            <w:vAlign w:val="center"/>
          </w:tcPr>
          <w:p w:rsidRPr="00F21BE7" w:rsidR="00173CED" w:rsidP="00F21BE7" w:rsidRDefault="00173CED" w14:paraId="103F0295"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296</w:t>
            </w:r>
          </w:p>
        </w:tc>
        <w:tc>
          <w:tcPr>
            <w:tcW w:w="1140" w:type="dxa"/>
            <w:tcBorders>
              <w:right w:val="single" w:color="auto" w:sz="4" w:space="0"/>
            </w:tcBorders>
            <w:shd w:val="clear" w:color="auto" w:fill="auto"/>
            <w:noWrap/>
            <w:vAlign w:val="center"/>
          </w:tcPr>
          <w:p w:rsidRPr="00F21BE7" w:rsidR="00173CED" w:rsidP="00F21BE7" w:rsidRDefault="006447EB" w14:paraId="5C52D263" w14:textId="77777777">
            <w:pPr>
              <w:contextualSpacing/>
              <w:jc w:val="right"/>
              <w:rPr>
                <w:rFonts w:ascii="Aptos Narrow" w:hAnsi="Aptos Narrow"/>
                <w:color w:val="000000"/>
                <w:sz w:val="22"/>
                <w:szCs w:val="22"/>
              </w:rPr>
            </w:pPr>
            <w:r>
              <w:rPr>
                <w:rFonts w:ascii="Aptos Narrow" w:hAnsi="Aptos Narrow"/>
                <w:color w:val="000000"/>
                <w:sz w:val="22"/>
                <w:szCs w:val="22"/>
              </w:rPr>
              <w:t>0</w:t>
            </w:r>
          </w:p>
        </w:tc>
        <w:tc>
          <w:tcPr>
            <w:tcW w:w="3240" w:type="dxa"/>
            <w:vMerge/>
            <w:tcBorders>
              <w:left w:val="single" w:color="auto" w:sz="4" w:space="0"/>
              <w:right w:val="single" w:color="auto" w:sz="4" w:space="0"/>
            </w:tcBorders>
            <w:shd w:val="clear" w:color="auto" w:fill="auto"/>
            <w:noWrap/>
            <w:vAlign w:val="center"/>
            <w:hideMark/>
          </w:tcPr>
          <w:p w:rsidRPr="00F21BE7" w:rsidR="00173CED" w:rsidP="00F21BE7" w:rsidRDefault="00173CED" w14:paraId="705E0C02" w14:textId="77777777">
            <w:pPr>
              <w:contextualSpacing/>
              <w:jc w:val="right"/>
              <w:rPr>
                <w:rFonts w:ascii="Aptos Narrow" w:hAnsi="Aptos Narrow"/>
                <w:color w:val="000000"/>
                <w:sz w:val="22"/>
                <w:szCs w:val="22"/>
              </w:rPr>
            </w:pPr>
          </w:p>
        </w:tc>
        <w:tc>
          <w:tcPr>
            <w:tcW w:w="1530" w:type="dxa"/>
            <w:tcBorders>
              <w:left w:val="single" w:color="auto" w:sz="4" w:space="0"/>
            </w:tcBorders>
            <w:shd w:val="clear" w:color="auto" w:fill="auto"/>
            <w:noWrap/>
            <w:vAlign w:val="center"/>
          </w:tcPr>
          <w:p w:rsidRPr="00F21BE7" w:rsidR="00BF7A0F" w:rsidP="00BF7A0F" w:rsidRDefault="00BF7A0F" w14:paraId="62FFA614" w14:textId="77777777">
            <w:pPr>
              <w:contextualSpacing/>
              <w:jc w:val="right"/>
              <w:rPr>
                <w:rFonts w:ascii="Aptos Narrow" w:hAnsi="Aptos Narrow"/>
                <w:color w:val="000000"/>
                <w:sz w:val="22"/>
                <w:szCs w:val="22"/>
              </w:rPr>
            </w:pPr>
            <w:r>
              <w:rPr>
                <w:rFonts w:ascii="Aptos Narrow" w:hAnsi="Aptos Narrow"/>
                <w:color w:val="000000"/>
                <w:sz w:val="22"/>
                <w:szCs w:val="22"/>
              </w:rPr>
              <w:t>$27,695</w:t>
            </w:r>
          </w:p>
        </w:tc>
        <w:tc>
          <w:tcPr>
            <w:tcW w:w="1530" w:type="dxa"/>
            <w:shd w:val="clear" w:color="auto" w:fill="auto"/>
            <w:noWrap/>
            <w:vAlign w:val="center"/>
          </w:tcPr>
          <w:p w:rsidRPr="00F21BE7" w:rsidR="00173CED" w:rsidP="00F21BE7" w:rsidRDefault="00173CED" w14:paraId="04934920"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$50,912 </w:t>
            </w:r>
          </w:p>
        </w:tc>
        <w:tc>
          <w:tcPr>
            <w:tcW w:w="1530" w:type="dxa"/>
            <w:shd w:val="clear" w:color="auto" w:fill="auto"/>
            <w:noWrap/>
            <w:vAlign w:val="center"/>
          </w:tcPr>
          <w:p w:rsidRPr="00F21BE7" w:rsidR="00173CED" w:rsidP="00F21BE7" w:rsidRDefault="00173CED" w14:paraId="21690DC5" w14:textId="77777777">
            <w:pPr>
              <w:contextualSpacing/>
              <w:jc w:val="right"/>
              <w:rPr>
                <w:rFonts w:ascii="Aptos Narrow" w:hAnsi="Aptos Narrow"/>
                <w:color w:val="000000"/>
                <w:sz w:val="22"/>
                <w:szCs w:val="22"/>
              </w:rPr>
            </w:pPr>
            <w:r w:rsidRPr="00F21BE7">
              <w:rPr>
                <w:rFonts w:ascii="Aptos Narrow" w:hAnsi="Aptos Narrow"/>
                <w:color w:val="000000"/>
                <w:sz w:val="22"/>
                <w:szCs w:val="22"/>
              </w:rPr>
              <w:t xml:space="preserve">$ </w:t>
            </w:r>
            <w:r w:rsidR="006447EB">
              <w:rPr>
                <w:rFonts w:ascii="Aptos Narrow" w:hAnsi="Aptos Narrow"/>
                <w:color w:val="000000"/>
                <w:sz w:val="22"/>
                <w:szCs w:val="22"/>
              </w:rPr>
              <w:t>0</w:t>
            </w:r>
          </w:p>
        </w:tc>
      </w:tr>
    </w:tbl>
    <w:p w:rsidR="004F0D36" w:rsidRDefault="004F0D36" w14:paraId="3C31532F" w14:textId="77777777">
      <w:pPr>
        <w:rPr>
          <w:rFonts w:ascii="Palatino Linotype" w:hAnsi="Palatino Linotype"/>
          <w:sz w:val="24"/>
          <w:szCs w:val="24"/>
        </w:rPr>
        <w:sectPr w:rsidR="004F0D36" w:rsidSect="00EB7054">
          <w:headerReference w:type="first" r:id="rId12"/>
          <w:pgSz w:w="15840" w:h="12240" w:orient="landscape" w:code="1"/>
          <w:pgMar w:top="900" w:right="1440" w:bottom="1260" w:left="1440" w:header="450" w:footer="720" w:gutter="0"/>
          <w:cols w:space="720"/>
          <w:titlePg/>
          <w:docGrid w:linePitch="354"/>
        </w:sectPr>
      </w:pPr>
    </w:p>
    <w:p w:rsidR="00A9436D" w:rsidRDefault="00A9436D" w14:paraId="4B510A44" w14:textId="77777777">
      <w:pPr>
        <w:rPr>
          <w:rFonts w:ascii="Palatino Linotype" w:hAnsi="Palatino Linotype"/>
          <w:sz w:val="24"/>
          <w:szCs w:val="24"/>
        </w:rPr>
      </w:pPr>
    </w:p>
    <w:p w:rsidR="008762F4" w:rsidRDefault="00D0245E" w14:paraId="7F03A485" w14:textId="77777777">
      <w:pPr>
        <w:rPr>
          <w:rFonts w:ascii="Palatino Linotype" w:hAnsi="Palatino Linotype"/>
          <w:sz w:val="24"/>
          <w:szCs w:val="24"/>
        </w:rPr>
      </w:pPr>
      <w:r>
        <w:rPr>
          <w:rFonts w:ascii="Palatino Linotype" w:hAnsi="Palatino Linotype"/>
          <w:sz w:val="24"/>
          <w:szCs w:val="24"/>
        </w:rPr>
        <w:t xml:space="preserve">Example - </w:t>
      </w:r>
      <w:r w:rsidR="008762F4">
        <w:rPr>
          <w:rFonts w:ascii="Palatino Linotype" w:hAnsi="Palatino Linotype"/>
          <w:sz w:val="24"/>
          <w:szCs w:val="24"/>
        </w:rPr>
        <w:t xml:space="preserve">Reading </w:t>
      </w:r>
      <w:r w:rsidR="00453ABC">
        <w:rPr>
          <w:rFonts w:ascii="Palatino Linotype" w:hAnsi="Palatino Linotype"/>
          <w:sz w:val="24"/>
          <w:szCs w:val="24"/>
        </w:rPr>
        <w:t>T</w:t>
      </w:r>
      <w:r w:rsidR="008762F4">
        <w:rPr>
          <w:rFonts w:ascii="Palatino Linotype" w:hAnsi="Palatino Linotype"/>
          <w:sz w:val="24"/>
          <w:szCs w:val="24"/>
        </w:rPr>
        <w:t>ables</w:t>
      </w:r>
      <w:r>
        <w:rPr>
          <w:rFonts w:ascii="Palatino Linotype" w:hAnsi="Palatino Linotype"/>
          <w:sz w:val="24"/>
          <w:szCs w:val="24"/>
        </w:rPr>
        <w:t xml:space="preserve"> 1 and 2</w:t>
      </w:r>
      <w:r w:rsidR="008762F4">
        <w:rPr>
          <w:rFonts w:ascii="Palatino Linotype" w:hAnsi="Palatino Linotype"/>
          <w:sz w:val="24"/>
          <w:szCs w:val="24"/>
        </w:rPr>
        <w:t>:</w:t>
      </w:r>
    </w:p>
    <w:p w:rsidR="002F1B1F" w:rsidP="002F1B1F" w:rsidRDefault="008762F4" w14:paraId="49CB9001" w14:textId="77777777">
      <w:pPr>
        <w:rPr>
          <w:rFonts w:ascii="Palatino Linotype" w:hAnsi="Palatino Linotype"/>
          <w:i/>
          <w:iCs/>
          <w:sz w:val="24"/>
          <w:szCs w:val="24"/>
        </w:rPr>
      </w:pPr>
      <w:r w:rsidRPr="00D0245E">
        <w:rPr>
          <w:rFonts w:ascii="Palatino Linotype" w:hAnsi="Palatino Linotype"/>
          <w:i/>
          <w:iCs/>
          <w:sz w:val="24"/>
          <w:szCs w:val="24"/>
        </w:rPr>
        <w:t xml:space="preserve">In SCE territory, there are 31 telecom companies with more than 100 eligible accounts each that in total will receive $5,449,132 in Small Business California Climate Credits from a total of 31,681 eligible accounts. The single largest </w:t>
      </w:r>
      <w:r w:rsidR="006043C9">
        <w:rPr>
          <w:rFonts w:ascii="Palatino Linotype" w:hAnsi="Palatino Linotype"/>
          <w:i/>
          <w:iCs/>
          <w:sz w:val="24"/>
          <w:szCs w:val="24"/>
        </w:rPr>
        <w:t xml:space="preserve">aggregator </w:t>
      </w:r>
      <w:r w:rsidRPr="00D0245E">
        <w:rPr>
          <w:rFonts w:ascii="Palatino Linotype" w:hAnsi="Palatino Linotype"/>
          <w:i/>
          <w:iCs/>
          <w:sz w:val="24"/>
          <w:szCs w:val="24"/>
        </w:rPr>
        <w:t xml:space="preserve">controls 10,406 eligible accounts and will receive 2024 Small Business California Climate Credits worth $1,789,832. </w:t>
      </w:r>
    </w:p>
    <w:p w:rsidR="002F1B1F" w:rsidP="002F1B1F" w:rsidRDefault="002F1B1F" w14:paraId="216062C9" w14:textId="77777777">
      <w:pPr>
        <w:rPr>
          <w:rFonts w:ascii="Palatino Linotype" w:hAnsi="Palatino Linotype"/>
          <w:i/>
          <w:iCs/>
          <w:sz w:val="24"/>
          <w:szCs w:val="24"/>
        </w:rPr>
      </w:pPr>
    </w:p>
    <w:p w:rsidR="002F1B1F" w:rsidP="002F1B1F" w:rsidRDefault="001E6220" w14:paraId="09BA8C7E" w14:textId="77777777">
      <w:pPr>
        <w:rPr>
          <w:rFonts w:ascii="Palatino Linotype" w:hAnsi="Palatino Linotype"/>
          <w:sz w:val="24"/>
          <w:szCs w:val="24"/>
        </w:rPr>
      </w:pPr>
      <w:r>
        <w:rPr>
          <w:rFonts w:ascii="Palatino Linotype" w:hAnsi="Palatino Linotype"/>
          <w:sz w:val="24"/>
          <w:szCs w:val="24"/>
        </w:rPr>
        <w:t>Tables 1 and 2 contain several notable aspects:</w:t>
      </w:r>
    </w:p>
    <w:p w:rsidR="001E6220" w:rsidP="001E6220" w:rsidRDefault="001E6220" w14:paraId="54AC7E96" w14:textId="77777777">
      <w:pPr>
        <w:pStyle w:val="ListParagraph"/>
        <w:numPr>
          <w:ilvl w:val="0"/>
          <w:numId w:val="13"/>
        </w:numPr>
        <w:rPr>
          <w:rFonts w:ascii="Palatino Linotype" w:hAnsi="Palatino Linotype"/>
          <w:sz w:val="24"/>
          <w:szCs w:val="24"/>
        </w:rPr>
      </w:pPr>
      <w:r>
        <w:rPr>
          <w:rFonts w:ascii="Palatino Linotype" w:hAnsi="Palatino Linotype"/>
          <w:sz w:val="24"/>
          <w:szCs w:val="24"/>
        </w:rPr>
        <w:t>The total number of recipients with more than 100 eligible accounts is very small (401) relative to the total number of recipients of the Small Business California Climate Credit (532,510)</w:t>
      </w:r>
      <w:r w:rsidR="006043C9">
        <w:rPr>
          <w:rFonts w:ascii="Palatino Linotype" w:hAnsi="Palatino Linotype"/>
          <w:sz w:val="24"/>
          <w:szCs w:val="24"/>
        </w:rPr>
        <w:t>.</w:t>
      </w:r>
    </w:p>
    <w:p w:rsidR="001E6220" w:rsidP="001E6220" w:rsidRDefault="001E6220" w14:paraId="78811EE6" w14:textId="77777777">
      <w:pPr>
        <w:pStyle w:val="ListParagraph"/>
        <w:numPr>
          <w:ilvl w:val="0"/>
          <w:numId w:val="13"/>
        </w:numPr>
        <w:rPr>
          <w:rFonts w:ascii="Palatino Linotype" w:hAnsi="Palatino Linotype"/>
          <w:sz w:val="24"/>
          <w:szCs w:val="24"/>
        </w:rPr>
      </w:pPr>
      <w:r>
        <w:rPr>
          <w:rFonts w:ascii="Palatino Linotype" w:hAnsi="Palatino Linotype"/>
          <w:sz w:val="24"/>
          <w:szCs w:val="24"/>
        </w:rPr>
        <w:t>The total number of eligible accounts controlled by those 401 recipients (154,927) is a notable percentage of the total number of eligible accounts (1,117,105).</w:t>
      </w:r>
    </w:p>
    <w:p w:rsidRPr="00B85517" w:rsidR="002F1B1F" w:rsidP="002F1B1F" w:rsidRDefault="00DC7550" w14:paraId="0C8B58AA" w14:textId="77777777">
      <w:pPr>
        <w:pStyle w:val="ListParagraph"/>
        <w:numPr>
          <w:ilvl w:val="0"/>
          <w:numId w:val="13"/>
        </w:numPr>
        <w:rPr>
          <w:rFonts w:ascii="Palatino Linotype" w:hAnsi="Palatino Linotype"/>
          <w:sz w:val="24"/>
          <w:szCs w:val="24"/>
        </w:rPr>
      </w:pPr>
      <w:r>
        <w:rPr>
          <w:rFonts w:ascii="Palatino Linotype" w:hAnsi="Palatino Linotype"/>
          <w:sz w:val="24"/>
          <w:szCs w:val="24"/>
        </w:rPr>
        <w:t>Taken t</w:t>
      </w:r>
      <w:r w:rsidR="001E6220">
        <w:rPr>
          <w:rFonts w:ascii="Palatino Linotype" w:hAnsi="Palatino Linotype"/>
          <w:sz w:val="24"/>
          <w:szCs w:val="24"/>
        </w:rPr>
        <w:t xml:space="preserve">ogether, </w:t>
      </w:r>
      <w:r>
        <w:rPr>
          <w:rFonts w:ascii="Palatino Linotype" w:hAnsi="Palatino Linotype"/>
          <w:sz w:val="24"/>
          <w:szCs w:val="24"/>
        </w:rPr>
        <w:t xml:space="preserve">these data points combine to reveal that </w:t>
      </w:r>
      <w:r w:rsidR="001E6220">
        <w:rPr>
          <w:rFonts w:ascii="Palatino Linotype" w:hAnsi="Palatino Linotype"/>
          <w:sz w:val="24"/>
          <w:szCs w:val="24"/>
        </w:rPr>
        <w:t xml:space="preserve">the top &lt;0.1% of recipients receive 14% of the value </w:t>
      </w:r>
      <w:r w:rsidR="006043C9">
        <w:rPr>
          <w:rFonts w:ascii="Palatino Linotype" w:hAnsi="Palatino Linotype"/>
          <w:sz w:val="24"/>
          <w:szCs w:val="24"/>
        </w:rPr>
        <w:t>from</w:t>
      </w:r>
      <w:r w:rsidR="001E6220">
        <w:rPr>
          <w:rFonts w:ascii="Palatino Linotype" w:hAnsi="Palatino Linotype"/>
          <w:sz w:val="24"/>
          <w:szCs w:val="24"/>
        </w:rPr>
        <w:t xml:space="preserve"> the Small Business California Climate Credit. </w:t>
      </w:r>
    </w:p>
    <w:p w:rsidR="00CF17DE" w:rsidRDefault="00CF17DE" w14:paraId="58D53604" w14:textId="77777777">
      <w:pPr>
        <w:rPr>
          <w:rFonts w:ascii="Palatino Linotype" w:hAnsi="Palatino Linotype"/>
          <w:sz w:val="24"/>
          <w:szCs w:val="24"/>
        </w:rPr>
      </w:pPr>
    </w:p>
    <w:p w:rsidRPr="00C771C6" w:rsidR="00FA4EB8" w:rsidP="00FA4EB8" w:rsidRDefault="00FA4EB8" w14:paraId="06862381" w14:textId="77777777">
      <w:pPr>
        <w:rPr>
          <w:rFonts w:ascii="Palatino Linotype" w:hAnsi="Palatino Linotype"/>
          <w:b/>
          <w:bCs/>
          <w:sz w:val="24"/>
          <w:szCs w:val="24"/>
        </w:rPr>
      </w:pPr>
      <w:r w:rsidRPr="00C771C6">
        <w:rPr>
          <w:rFonts w:ascii="Palatino Linotype" w:hAnsi="Palatino Linotype"/>
          <w:b/>
          <w:bCs/>
          <w:sz w:val="24"/>
          <w:szCs w:val="24"/>
        </w:rPr>
        <w:t xml:space="preserve">Impact </w:t>
      </w:r>
      <w:r w:rsidR="00763C64">
        <w:rPr>
          <w:rFonts w:ascii="Palatino Linotype" w:hAnsi="Palatino Linotype"/>
          <w:b/>
          <w:bCs/>
          <w:sz w:val="24"/>
          <w:szCs w:val="24"/>
        </w:rPr>
        <w:t xml:space="preserve">of Credit Aggregation </w:t>
      </w:r>
      <w:r w:rsidRPr="00C771C6">
        <w:rPr>
          <w:rFonts w:ascii="Palatino Linotype" w:hAnsi="Palatino Linotype"/>
          <w:b/>
          <w:bCs/>
          <w:sz w:val="24"/>
          <w:szCs w:val="24"/>
        </w:rPr>
        <w:t xml:space="preserve">on the </w:t>
      </w:r>
      <w:r w:rsidRPr="00C771C6" w:rsidR="00C771C6">
        <w:rPr>
          <w:rFonts w:ascii="Palatino Linotype" w:hAnsi="Palatino Linotype"/>
          <w:b/>
          <w:bCs/>
          <w:sz w:val="24"/>
          <w:szCs w:val="24"/>
        </w:rPr>
        <w:t>V</w:t>
      </w:r>
      <w:r w:rsidRPr="00C771C6">
        <w:rPr>
          <w:rFonts w:ascii="Palatino Linotype" w:hAnsi="Palatino Linotype"/>
          <w:b/>
          <w:bCs/>
          <w:sz w:val="24"/>
          <w:szCs w:val="24"/>
        </w:rPr>
        <w:t>alue of the California Climate Credit</w:t>
      </w:r>
    </w:p>
    <w:p w:rsidR="000252E5" w:rsidP="000252E5" w:rsidRDefault="000252E5" w14:paraId="630CBC7D" w14:textId="77777777">
      <w:pPr>
        <w:rPr>
          <w:rFonts w:ascii="Palatino Linotype" w:hAnsi="Palatino Linotype"/>
          <w:b/>
          <w:bCs/>
          <w:sz w:val="24"/>
          <w:szCs w:val="24"/>
        </w:rPr>
      </w:pPr>
    </w:p>
    <w:p w:rsidR="004058F9" w:rsidP="000252E5" w:rsidRDefault="00A76699" w14:paraId="7AA80330" w14:textId="77777777">
      <w:pPr>
        <w:rPr>
          <w:rFonts w:ascii="Palatino Linotype" w:hAnsi="Palatino Linotype"/>
          <w:sz w:val="24"/>
          <w:szCs w:val="24"/>
        </w:rPr>
      </w:pPr>
      <w:r>
        <w:rPr>
          <w:rFonts w:ascii="Palatino Linotype" w:hAnsi="Palatino Linotype"/>
          <w:sz w:val="24"/>
          <w:szCs w:val="24"/>
        </w:rPr>
        <w:t xml:space="preserve">Reducing the number of small business and residential California Climate Credit recipients increases the value of the credit for the remaining recipients. </w:t>
      </w:r>
      <w:r w:rsidR="004058F9">
        <w:rPr>
          <w:rFonts w:ascii="Palatino Linotype" w:hAnsi="Palatino Linotype"/>
          <w:sz w:val="24"/>
          <w:szCs w:val="24"/>
        </w:rPr>
        <w:t xml:space="preserve">The Small Business California Climate Credit and the Residential California Climate Credit are the final sink </w:t>
      </w:r>
      <w:r w:rsidR="00FD6E57">
        <w:rPr>
          <w:rFonts w:ascii="Palatino Linotype" w:hAnsi="Palatino Linotype"/>
          <w:sz w:val="24"/>
          <w:szCs w:val="24"/>
        </w:rPr>
        <w:t xml:space="preserve">each year </w:t>
      </w:r>
      <w:r w:rsidR="004058F9">
        <w:rPr>
          <w:rFonts w:ascii="Palatino Linotype" w:hAnsi="Palatino Linotype"/>
          <w:sz w:val="24"/>
          <w:szCs w:val="24"/>
        </w:rPr>
        <w:t xml:space="preserve">for </w:t>
      </w:r>
      <w:r w:rsidR="00FD6E57">
        <w:rPr>
          <w:rFonts w:ascii="Palatino Linotype" w:hAnsi="Palatino Linotype"/>
          <w:sz w:val="24"/>
          <w:szCs w:val="24"/>
        </w:rPr>
        <w:t>an</w:t>
      </w:r>
      <w:r w:rsidR="004058F9">
        <w:rPr>
          <w:rFonts w:ascii="Palatino Linotype" w:hAnsi="Palatino Linotype"/>
          <w:sz w:val="24"/>
          <w:szCs w:val="24"/>
        </w:rPr>
        <w:t xml:space="preserve"> </w:t>
      </w:r>
      <w:r w:rsidR="00FD6E57">
        <w:rPr>
          <w:rFonts w:ascii="Palatino Linotype" w:hAnsi="Palatino Linotype"/>
          <w:sz w:val="24"/>
          <w:szCs w:val="24"/>
        </w:rPr>
        <w:t>IOU</w:t>
      </w:r>
      <w:r>
        <w:rPr>
          <w:rFonts w:ascii="Palatino Linotype" w:hAnsi="Palatino Linotype"/>
          <w:sz w:val="24"/>
          <w:szCs w:val="24"/>
        </w:rPr>
        <w:t>’</w:t>
      </w:r>
      <w:r w:rsidR="004058F9">
        <w:rPr>
          <w:rFonts w:ascii="Palatino Linotype" w:hAnsi="Palatino Linotype"/>
          <w:sz w:val="24"/>
          <w:szCs w:val="24"/>
        </w:rPr>
        <w:t>s allocated allowance auction proceeds. Each year, all remaining allocated allowance auction proceeds not used for administrative/outreach costs, to fund approved clean energy and energy efficiency projects, or for the CA Industry Assistance are divided among the qualifying small business and residential customers of an IOU equally</w:t>
      </w:r>
      <w:r w:rsidR="00F52BBD">
        <w:rPr>
          <w:rFonts w:ascii="Palatino Linotype" w:hAnsi="Palatino Linotype"/>
          <w:sz w:val="24"/>
          <w:szCs w:val="24"/>
        </w:rPr>
        <w:t xml:space="preserve">. </w:t>
      </w:r>
    </w:p>
    <w:p w:rsidR="004058F9" w:rsidP="000252E5" w:rsidRDefault="004058F9" w14:paraId="1A8F4B57" w14:textId="77777777">
      <w:pPr>
        <w:rPr>
          <w:rFonts w:ascii="Palatino Linotype" w:hAnsi="Palatino Linotype"/>
          <w:sz w:val="24"/>
          <w:szCs w:val="24"/>
        </w:rPr>
      </w:pPr>
    </w:p>
    <w:p w:rsidRPr="004058F9" w:rsidR="00011F6C" w:rsidP="000252E5" w:rsidRDefault="00BC7DFB" w14:paraId="064A08AC" w14:textId="77777777">
      <w:pPr>
        <w:rPr>
          <w:rFonts w:ascii="Palatino Linotype" w:hAnsi="Palatino Linotype"/>
          <w:sz w:val="24"/>
          <w:szCs w:val="24"/>
        </w:rPr>
      </w:pPr>
      <w:r>
        <w:rPr>
          <w:rFonts w:ascii="Palatino Linotype" w:hAnsi="Palatino Linotype"/>
          <w:sz w:val="24"/>
          <w:szCs w:val="24"/>
        </w:rPr>
        <w:t xml:space="preserve">Table 3 summarizes the impact to remaining Small Business and Residential California Climate Credit recipients if existing recipients with greater than or equal to 100 eligible accounts were </w:t>
      </w:r>
      <w:r w:rsidR="00B8575F">
        <w:rPr>
          <w:rFonts w:ascii="Palatino Linotype" w:hAnsi="Palatino Linotype"/>
          <w:sz w:val="24"/>
          <w:szCs w:val="24"/>
        </w:rPr>
        <w:t>rendered</w:t>
      </w:r>
      <w:r>
        <w:rPr>
          <w:rFonts w:ascii="Palatino Linotype" w:hAnsi="Palatino Linotype"/>
          <w:sz w:val="24"/>
          <w:szCs w:val="24"/>
        </w:rPr>
        <w:t xml:space="preserve"> ineligible for the credit. </w:t>
      </w:r>
    </w:p>
    <w:p w:rsidR="00011F6C" w:rsidP="000252E5" w:rsidRDefault="00011F6C" w14:paraId="613B6D93" w14:textId="77777777">
      <w:pPr>
        <w:rPr>
          <w:rFonts w:ascii="Palatino Linotype" w:hAnsi="Palatino Linotype"/>
          <w:b/>
          <w:bCs/>
          <w:sz w:val="24"/>
          <w:szCs w:val="24"/>
        </w:rPr>
      </w:pPr>
    </w:p>
    <w:p w:rsidRPr="00D0245E" w:rsidR="000252E5" w:rsidP="00A76699" w:rsidRDefault="000252E5" w14:paraId="3FE777FE" w14:textId="77777777">
      <w:pPr>
        <w:keepNext/>
        <w:keepLines/>
        <w:rPr>
          <w:rFonts w:ascii="Palatino Linotype" w:hAnsi="Palatino Linotype"/>
          <w:b/>
          <w:bCs/>
          <w:sz w:val="24"/>
          <w:szCs w:val="24"/>
        </w:rPr>
      </w:pPr>
      <w:r w:rsidRPr="00D0245E">
        <w:rPr>
          <w:rFonts w:ascii="Palatino Linotype" w:hAnsi="Palatino Linotype"/>
          <w:b/>
          <w:bCs/>
          <w:sz w:val="24"/>
          <w:szCs w:val="24"/>
        </w:rPr>
        <w:lastRenderedPageBreak/>
        <w:t xml:space="preserve">Table </w:t>
      </w:r>
      <w:r>
        <w:rPr>
          <w:rFonts w:ascii="Palatino Linotype" w:hAnsi="Palatino Linotype"/>
          <w:b/>
          <w:bCs/>
          <w:sz w:val="24"/>
          <w:szCs w:val="24"/>
        </w:rPr>
        <w:t>3</w:t>
      </w:r>
      <w:r w:rsidRPr="00D0245E">
        <w:rPr>
          <w:rFonts w:ascii="Palatino Linotype" w:hAnsi="Palatino Linotype"/>
          <w:b/>
          <w:bCs/>
          <w:sz w:val="24"/>
          <w:szCs w:val="24"/>
        </w:rPr>
        <w:t xml:space="preserve">: </w:t>
      </w:r>
      <w:r w:rsidR="0051797B">
        <w:rPr>
          <w:rFonts w:ascii="Palatino Linotype" w:hAnsi="Palatino Linotype"/>
          <w:b/>
          <w:bCs/>
          <w:sz w:val="24"/>
          <w:szCs w:val="24"/>
        </w:rPr>
        <w:t xml:space="preserve">Per-Year </w:t>
      </w:r>
      <w:r w:rsidR="00173CED">
        <w:rPr>
          <w:rFonts w:ascii="Palatino Linotype" w:hAnsi="Palatino Linotype"/>
          <w:b/>
          <w:bCs/>
          <w:sz w:val="24"/>
          <w:szCs w:val="24"/>
        </w:rPr>
        <w:t>Impact of Aggregation on California Climate Credit</w:t>
      </w:r>
    </w:p>
    <w:p w:rsidRPr="000252E5" w:rsidR="00FA4EB8" w:rsidP="00A76699" w:rsidRDefault="000252E5" w14:paraId="2DF33214" w14:textId="77777777">
      <w:pPr>
        <w:keepNext/>
        <w:keepLines/>
        <w:rPr>
          <w:rFonts w:ascii="Palatino Linotype" w:hAnsi="Palatino Linotype"/>
          <w:sz w:val="20"/>
        </w:rPr>
      </w:pPr>
      <w:r w:rsidRPr="00D0245E">
        <w:rPr>
          <w:rFonts w:ascii="Palatino Linotype" w:hAnsi="Palatino Linotype"/>
          <w:sz w:val="20"/>
        </w:rPr>
        <w:t>2024 Spring Data</w:t>
      </w:r>
    </w:p>
    <w:tbl>
      <w:tblPr>
        <w:tblW w:w="9540" w:type="dxa"/>
        <w:tblBorders>
          <w:top w:val="single" w:color="auto" w:sz="4" w:space="0"/>
          <w:bottom w:val="single" w:color="auto" w:sz="4" w:space="0"/>
          <w:insideH w:val="single" w:color="auto" w:sz="4" w:space="0"/>
        </w:tblBorders>
        <w:tblLayout w:type="fixed"/>
        <w:tblLook w:val="04A0" w:firstRow="1" w:lastRow="0" w:firstColumn="1" w:lastColumn="0" w:noHBand="0" w:noVBand="1"/>
      </w:tblPr>
      <w:tblGrid>
        <w:gridCol w:w="5220"/>
        <w:gridCol w:w="1440"/>
        <w:gridCol w:w="1440"/>
        <w:gridCol w:w="1440"/>
      </w:tblGrid>
      <w:tr w:rsidRPr="000252E5" w:rsidR="001A2024" w:rsidTr="001A2024" w14:paraId="7A87D3AA" w14:textId="77777777">
        <w:trPr>
          <w:trHeight w:val="300"/>
        </w:trPr>
        <w:tc>
          <w:tcPr>
            <w:tcW w:w="5220" w:type="dxa"/>
            <w:shd w:val="clear" w:color="auto" w:fill="FABF8F" w:themeFill="accent6" w:themeFillTint="99"/>
            <w:noWrap/>
            <w:vAlign w:val="bottom"/>
          </w:tcPr>
          <w:p w:rsidRPr="000252E5" w:rsidR="001A2024" w:rsidP="00A76699" w:rsidRDefault="001A2024" w14:paraId="65D4E4D5" w14:textId="77777777">
            <w:pPr>
              <w:keepNext/>
              <w:keepLines/>
              <w:rPr>
                <w:rFonts w:ascii="Aptos Narrow" w:hAnsi="Aptos Narrow"/>
                <w:color w:val="000000"/>
                <w:sz w:val="22"/>
                <w:szCs w:val="22"/>
              </w:rPr>
            </w:pPr>
          </w:p>
        </w:tc>
        <w:tc>
          <w:tcPr>
            <w:tcW w:w="1440" w:type="dxa"/>
            <w:shd w:val="clear" w:color="auto" w:fill="FABF8F" w:themeFill="accent6" w:themeFillTint="99"/>
            <w:noWrap/>
            <w:vAlign w:val="center"/>
          </w:tcPr>
          <w:p w:rsidRPr="000252E5" w:rsidR="001A2024" w:rsidP="00A76699" w:rsidRDefault="001A2024" w14:paraId="335BA8BB" w14:textId="77777777">
            <w:pPr>
              <w:keepNext/>
              <w:keepLines/>
              <w:jc w:val="center"/>
              <w:rPr>
                <w:rFonts w:ascii="Aptos Narrow" w:hAnsi="Aptos Narrow"/>
                <w:color w:val="000000"/>
                <w:sz w:val="22"/>
                <w:szCs w:val="22"/>
              </w:rPr>
            </w:pPr>
            <w:r>
              <w:rPr>
                <w:rFonts w:ascii="Aptos Narrow" w:hAnsi="Aptos Narrow"/>
                <w:b/>
                <w:bCs/>
                <w:color w:val="000000"/>
                <w:sz w:val="22"/>
                <w:szCs w:val="22"/>
              </w:rPr>
              <w:t>PG&amp;E</w:t>
            </w:r>
          </w:p>
        </w:tc>
        <w:tc>
          <w:tcPr>
            <w:tcW w:w="1440" w:type="dxa"/>
            <w:shd w:val="clear" w:color="auto" w:fill="FABF8F" w:themeFill="accent6" w:themeFillTint="99"/>
            <w:noWrap/>
            <w:vAlign w:val="center"/>
          </w:tcPr>
          <w:p w:rsidRPr="000252E5" w:rsidR="001A2024" w:rsidP="00A76699" w:rsidRDefault="001A2024" w14:paraId="5E64D03E" w14:textId="77777777">
            <w:pPr>
              <w:keepNext/>
              <w:keepLines/>
              <w:jc w:val="center"/>
              <w:rPr>
                <w:rFonts w:ascii="Aptos Narrow" w:hAnsi="Aptos Narrow"/>
                <w:color w:val="000000"/>
                <w:sz w:val="22"/>
                <w:szCs w:val="22"/>
              </w:rPr>
            </w:pPr>
            <w:r>
              <w:rPr>
                <w:rFonts w:ascii="Aptos Narrow" w:hAnsi="Aptos Narrow"/>
                <w:b/>
                <w:bCs/>
                <w:color w:val="000000"/>
                <w:sz w:val="22"/>
                <w:szCs w:val="22"/>
              </w:rPr>
              <w:t>SCE</w:t>
            </w:r>
          </w:p>
        </w:tc>
        <w:tc>
          <w:tcPr>
            <w:tcW w:w="1440" w:type="dxa"/>
            <w:shd w:val="clear" w:color="auto" w:fill="FABF8F" w:themeFill="accent6" w:themeFillTint="99"/>
            <w:noWrap/>
            <w:vAlign w:val="center"/>
          </w:tcPr>
          <w:p w:rsidRPr="000252E5" w:rsidR="001A2024" w:rsidP="00A76699" w:rsidRDefault="001A2024" w14:paraId="5C95D135" w14:textId="77777777">
            <w:pPr>
              <w:keepNext/>
              <w:keepLines/>
              <w:jc w:val="center"/>
              <w:rPr>
                <w:rFonts w:ascii="Aptos Narrow" w:hAnsi="Aptos Narrow"/>
                <w:color w:val="000000"/>
                <w:sz w:val="22"/>
                <w:szCs w:val="22"/>
              </w:rPr>
            </w:pPr>
            <w:r>
              <w:rPr>
                <w:rFonts w:ascii="Aptos Narrow" w:hAnsi="Aptos Narrow"/>
                <w:b/>
                <w:bCs/>
                <w:color w:val="000000"/>
                <w:sz w:val="22"/>
                <w:szCs w:val="22"/>
              </w:rPr>
              <w:t>SDG&amp;E</w:t>
            </w:r>
          </w:p>
        </w:tc>
      </w:tr>
      <w:tr w:rsidRPr="000252E5" w:rsidR="001A2024" w:rsidTr="00E056ED" w14:paraId="4A1BD133" w14:textId="77777777">
        <w:trPr>
          <w:trHeight w:val="300"/>
        </w:trPr>
        <w:tc>
          <w:tcPr>
            <w:tcW w:w="5220" w:type="dxa"/>
            <w:shd w:val="clear" w:color="auto" w:fill="auto"/>
            <w:noWrap/>
            <w:vAlign w:val="center"/>
          </w:tcPr>
          <w:p w:rsidRPr="000252E5" w:rsidR="001A2024" w:rsidP="00A76699" w:rsidRDefault="001A2024" w14:paraId="47D012CC" w14:textId="77777777">
            <w:pPr>
              <w:keepNext/>
              <w:keepLines/>
              <w:rPr>
                <w:rFonts w:ascii="Aptos Narrow" w:hAnsi="Aptos Narrow"/>
                <w:color w:val="000000"/>
                <w:sz w:val="22"/>
                <w:szCs w:val="22"/>
              </w:rPr>
            </w:pPr>
            <w:r>
              <w:rPr>
                <w:rFonts w:ascii="Aptos Narrow" w:hAnsi="Aptos Narrow"/>
                <w:color w:val="000000"/>
                <w:sz w:val="22"/>
                <w:szCs w:val="22"/>
              </w:rPr>
              <w:t>2024 Total California Climate Credit</w:t>
            </w:r>
          </w:p>
        </w:tc>
        <w:tc>
          <w:tcPr>
            <w:tcW w:w="1440" w:type="dxa"/>
            <w:shd w:val="clear" w:color="auto" w:fill="auto"/>
            <w:noWrap/>
            <w:vAlign w:val="center"/>
          </w:tcPr>
          <w:p w:rsidRPr="000252E5" w:rsidR="001A2024" w:rsidP="00E056ED" w:rsidRDefault="001A2024" w14:paraId="146E07A2" w14:textId="77777777">
            <w:pPr>
              <w:keepNext/>
              <w:keepLines/>
              <w:jc w:val="center"/>
              <w:rPr>
                <w:rFonts w:ascii="Aptos Narrow" w:hAnsi="Aptos Narrow"/>
                <w:color w:val="000000"/>
                <w:sz w:val="22"/>
                <w:szCs w:val="22"/>
              </w:rPr>
            </w:pPr>
            <w:r>
              <w:rPr>
                <w:rFonts w:ascii="Aptos Narrow" w:hAnsi="Aptos Narrow"/>
                <w:color w:val="000000"/>
                <w:sz w:val="22"/>
                <w:szCs w:val="22"/>
              </w:rPr>
              <w:t>$110.34</w:t>
            </w:r>
          </w:p>
        </w:tc>
        <w:tc>
          <w:tcPr>
            <w:tcW w:w="1440" w:type="dxa"/>
            <w:shd w:val="clear" w:color="auto" w:fill="auto"/>
            <w:noWrap/>
            <w:vAlign w:val="center"/>
          </w:tcPr>
          <w:p w:rsidRPr="000252E5" w:rsidR="001A2024" w:rsidP="00E056ED" w:rsidRDefault="001A2024" w14:paraId="5C279E6D" w14:textId="77777777">
            <w:pPr>
              <w:keepNext/>
              <w:keepLines/>
              <w:jc w:val="center"/>
              <w:rPr>
                <w:rFonts w:ascii="Aptos Narrow" w:hAnsi="Aptos Narrow"/>
                <w:color w:val="000000"/>
                <w:sz w:val="22"/>
                <w:szCs w:val="22"/>
              </w:rPr>
            </w:pPr>
            <w:r>
              <w:rPr>
                <w:rFonts w:ascii="Aptos Narrow" w:hAnsi="Aptos Narrow"/>
                <w:color w:val="000000"/>
                <w:sz w:val="22"/>
                <w:szCs w:val="22"/>
              </w:rPr>
              <w:t>$172.00</w:t>
            </w:r>
          </w:p>
        </w:tc>
        <w:tc>
          <w:tcPr>
            <w:tcW w:w="1440" w:type="dxa"/>
            <w:shd w:val="clear" w:color="auto" w:fill="auto"/>
            <w:noWrap/>
            <w:vAlign w:val="center"/>
          </w:tcPr>
          <w:p w:rsidRPr="000252E5" w:rsidR="001A2024" w:rsidP="00E056ED" w:rsidRDefault="001A2024" w14:paraId="76F5ADDC" w14:textId="77777777">
            <w:pPr>
              <w:keepNext/>
              <w:keepLines/>
              <w:jc w:val="center"/>
              <w:rPr>
                <w:rFonts w:ascii="Aptos Narrow" w:hAnsi="Aptos Narrow"/>
                <w:color w:val="000000"/>
                <w:sz w:val="22"/>
                <w:szCs w:val="22"/>
              </w:rPr>
            </w:pPr>
            <w:r>
              <w:rPr>
                <w:rFonts w:ascii="Aptos Narrow" w:hAnsi="Aptos Narrow"/>
                <w:color w:val="000000"/>
                <w:sz w:val="22"/>
                <w:szCs w:val="22"/>
              </w:rPr>
              <w:t>$156.44</w:t>
            </w:r>
          </w:p>
        </w:tc>
      </w:tr>
      <w:tr w:rsidRPr="000252E5" w:rsidR="001A2024" w:rsidTr="00E056ED" w14:paraId="72D65289" w14:textId="77777777">
        <w:trPr>
          <w:trHeight w:val="300"/>
        </w:trPr>
        <w:tc>
          <w:tcPr>
            <w:tcW w:w="5220" w:type="dxa"/>
            <w:shd w:val="clear" w:color="auto" w:fill="auto"/>
            <w:noWrap/>
            <w:vAlign w:val="bottom"/>
            <w:hideMark/>
          </w:tcPr>
          <w:p w:rsidRPr="000252E5" w:rsidR="001A2024" w:rsidP="00A76699" w:rsidRDefault="001A2024" w14:paraId="28356A2B" w14:textId="77777777">
            <w:pPr>
              <w:keepNext/>
              <w:keepLines/>
              <w:rPr>
                <w:rFonts w:ascii="Aptos Narrow" w:hAnsi="Aptos Narrow"/>
                <w:color w:val="000000"/>
                <w:sz w:val="22"/>
                <w:szCs w:val="22"/>
              </w:rPr>
            </w:pPr>
            <w:r w:rsidRPr="000252E5">
              <w:rPr>
                <w:rFonts w:ascii="Aptos Narrow" w:hAnsi="Aptos Narrow"/>
                <w:color w:val="000000"/>
                <w:sz w:val="22"/>
                <w:szCs w:val="22"/>
              </w:rPr>
              <w:t>Number of Residential Credits</w:t>
            </w:r>
          </w:p>
        </w:tc>
        <w:tc>
          <w:tcPr>
            <w:tcW w:w="1440" w:type="dxa"/>
            <w:shd w:val="clear" w:color="auto" w:fill="auto"/>
            <w:noWrap/>
            <w:vAlign w:val="center"/>
            <w:hideMark/>
          </w:tcPr>
          <w:p w:rsidRPr="000252E5" w:rsidR="001A2024" w:rsidP="00E056ED" w:rsidRDefault="001A2024" w14:paraId="2436C8E4" w14:textId="77777777">
            <w:pPr>
              <w:keepNext/>
              <w:keepLines/>
              <w:jc w:val="center"/>
              <w:rPr>
                <w:rFonts w:ascii="Aptos Narrow" w:hAnsi="Aptos Narrow"/>
                <w:color w:val="000000"/>
                <w:sz w:val="22"/>
                <w:szCs w:val="22"/>
              </w:rPr>
            </w:pPr>
            <w:r w:rsidRPr="000252E5">
              <w:rPr>
                <w:rFonts w:ascii="Aptos Narrow" w:hAnsi="Aptos Narrow"/>
                <w:color w:val="000000"/>
                <w:sz w:val="22"/>
                <w:szCs w:val="22"/>
              </w:rPr>
              <w:t>5,392,335</w:t>
            </w:r>
          </w:p>
        </w:tc>
        <w:tc>
          <w:tcPr>
            <w:tcW w:w="1440" w:type="dxa"/>
            <w:shd w:val="clear" w:color="auto" w:fill="auto"/>
            <w:noWrap/>
            <w:vAlign w:val="center"/>
            <w:hideMark/>
          </w:tcPr>
          <w:p w:rsidRPr="000252E5" w:rsidR="001A2024" w:rsidP="00E056ED" w:rsidRDefault="001A2024" w14:paraId="64C5A16D" w14:textId="77777777">
            <w:pPr>
              <w:keepNext/>
              <w:keepLines/>
              <w:jc w:val="center"/>
              <w:rPr>
                <w:rFonts w:ascii="Aptos Narrow" w:hAnsi="Aptos Narrow"/>
                <w:color w:val="000000"/>
                <w:sz w:val="22"/>
                <w:szCs w:val="22"/>
              </w:rPr>
            </w:pPr>
            <w:r w:rsidRPr="000252E5">
              <w:rPr>
                <w:rFonts w:ascii="Aptos Narrow" w:hAnsi="Aptos Narrow"/>
                <w:color w:val="000000"/>
                <w:sz w:val="22"/>
                <w:szCs w:val="22"/>
              </w:rPr>
              <w:t>4,685,196</w:t>
            </w:r>
          </w:p>
        </w:tc>
        <w:tc>
          <w:tcPr>
            <w:tcW w:w="1440" w:type="dxa"/>
            <w:shd w:val="clear" w:color="auto" w:fill="auto"/>
            <w:noWrap/>
            <w:vAlign w:val="center"/>
            <w:hideMark/>
          </w:tcPr>
          <w:p w:rsidRPr="000252E5" w:rsidR="001A2024" w:rsidP="00E056ED" w:rsidRDefault="001A2024" w14:paraId="0CCEC132" w14:textId="77777777">
            <w:pPr>
              <w:keepNext/>
              <w:keepLines/>
              <w:jc w:val="center"/>
              <w:rPr>
                <w:rFonts w:ascii="Aptos Narrow" w:hAnsi="Aptos Narrow"/>
                <w:color w:val="000000"/>
                <w:sz w:val="22"/>
                <w:szCs w:val="22"/>
              </w:rPr>
            </w:pPr>
            <w:r w:rsidRPr="000252E5">
              <w:rPr>
                <w:rFonts w:ascii="Aptos Narrow" w:hAnsi="Aptos Narrow"/>
                <w:color w:val="000000"/>
                <w:sz w:val="22"/>
                <w:szCs w:val="22"/>
              </w:rPr>
              <w:t>1,392,484</w:t>
            </w:r>
          </w:p>
        </w:tc>
      </w:tr>
      <w:tr w:rsidRPr="000252E5" w:rsidR="001A2024" w:rsidTr="00E056ED" w14:paraId="625F2A1D" w14:textId="77777777">
        <w:trPr>
          <w:trHeight w:val="300"/>
        </w:trPr>
        <w:tc>
          <w:tcPr>
            <w:tcW w:w="5220" w:type="dxa"/>
            <w:shd w:val="clear" w:color="auto" w:fill="auto"/>
            <w:noWrap/>
            <w:vAlign w:val="center"/>
            <w:hideMark/>
          </w:tcPr>
          <w:p w:rsidRPr="000252E5" w:rsidR="001A2024" w:rsidP="00A76699" w:rsidRDefault="001A2024" w14:paraId="23293487" w14:textId="77777777">
            <w:pPr>
              <w:keepNext/>
              <w:keepLines/>
              <w:rPr>
                <w:rFonts w:ascii="Aptos Narrow" w:hAnsi="Aptos Narrow"/>
                <w:color w:val="000000"/>
                <w:sz w:val="22"/>
                <w:szCs w:val="22"/>
              </w:rPr>
            </w:pPr>
            <w:r w:rsidRPr="000252E5">
              <w:rPr>
                <w:rFonts w:ascii="Aptos Narrow" w:hAnsi="Aptos Narrow"/>
                <w:color w:val="000000"/>
                <w:sz w:val="22"/>
                <w:szCs w:val="22"/>
              </w:rPr>
              <w:t xml:space="preserve">Number of Current Small Business Credits </w:t>
            </w:r>
          </w:p>
        </w:tc>
        <w:tc>
          <w:tcPr>
            <w:tcW w:w="1440" w:type="dxa"/>
            <w:shd w:val="clear" w:color="auto" w:fill="auto"/>
            <w:noWrap/>
            <w:vAlign w:val="center"/>
            <w:hideMark/>
          </w:tcPr>
          <w:p w:rsidRPr="000252E5" w:rsidR="001A2024" w:rsidP="00E056ED" w:rsidRDefault="001A2024" w14:paraId="7ED0E21A" w14:textId="77777777">
            <w:pPr>
              <w:keepNext/>
              <w:keepLines/>
              <w:jc w:val="center"/>
              <w:rPr>
                <w:rFonts w:ascii="Aptos Narrow" w:hAnsi="Aptos Narrow"/>
                <w:color w:val="000000"/>
                <w:sz w:val="22"/>
                <w:szCs w:val="22"/>
              </w:rPr>
            </w:pPr>
            <w:r>
              <w:rPr>
                <w:rFonts w:ascii="Aptos Narrow" w:hAnsi="Aptos Narrow"/>
                <w:color w:val="000000"/>
                <w:sz w:val="22"/>
                <w:szCs w:val="22"/>
              </w:rPr>
              <w:t>444,890</w:t>
            </w:r>
          </w:p>
        </w:tc>
        <w:tc>
          <w:tcPr>
            <w:tcW w:w="1440" w:type="dxa"/>
            <w:shd w:val="clear" w:color="auto" w:fill="auto"/>
            <w:noWrap/>
            <w:vAlign w:val="center"/>
          </w:tcPr>
          <w:p w:rsidRPr="000252E5" w:rsidR="001A2024" w:rsidP="00E056ED" w:rsidRDefault="001A2024" w14:paraId="2E7EEF17" w14:textId="77777777">
            <w:pPr>
              <w:keepNext/>
              <w:keepLines/>
              <w:jc w:val="center"/>
              <w:rPr>
                <w:rFonts w:ascii="Aptos Narrow" w:hAnsi="Aptos Narrow"/>
                <w:color w:val="000000"/>
                <w:sz w:val="22"/>
                <w:szCs w:val="22"/>
              </w:rPr>
            </w:pPr>
            <w:r w:rsidRPr="00FC4F5A">
              <w:rPr>
                <w:rFonts w:ascii="Aptos Narrow" w:hAnsi="Aptos Narrow"/>
                <w:color w:val="000000"/>
                <w:sz w:val="22"/>
                <w:szCs w:val="22"/>
              </w:rPr>
              <w:t>542,231</w:t>
            </w:r>
          </w:p>
        </w:tc>
        <w:tc>
          <w:tcPr>
            <w:tcW w:w="1440" w:type="dxa"/>
            <w:shd w:val="clear" w:color="auto" w:fill="auto"/>
            <w:noWrap/>
            <w:vAlign w:val="center"/>
          </w:tcPr>
          <w:p w:rsidRPr="000252E5" w:rsidR="001A2024" w:rsidP="00E056ED" w:rsidRDefault="001A2024" w14:paraId="56A711B5" w14:textId="77777777">
            <w:pPr>
              <w:keepNext/>
              <w:keepLines/>
              <w:jc w:val="center"/>
              <w:rPr>
                <w:rFonts w:ascii="Aptos Narrow" w:hAnsi="Aptos Narrow"/>
                <w:color w:val="000000"/>
                <w:sz w:val="22"/>
                <w:szCs w:val="22"/>
              </w:rPr>
            </w:pPr>
            <w:r w:rsidRPr="00FC4F5A">
              <w:rPr>
                <w:rFonts w:ascii="Aptos Narrow" w:hAnsi="Aptos Narrow"/>
                <w:color w:val="000000"/>
                <w:sz w:val="22"/>
                <w:szCs w:val="22"/>
              </w:rPr>
              <w:t>129,984</w:t>
            </w:r>
          </w:p>
        </w:tc>
      </w:tr>
      <w:tr w:rsidRPr="000252E5" w:rsidR="001A2024" w:rsidTr="00E056ED" w14:paraId="6DE09853" w14:textId="77777777">
        <w:trPr>
          <w:trHeight w:val="300"/>
        </w:trPr>
        <w:tc>
          <w:tcPr>
            <w:tcW w:w="5220" w:type="dxa"/>
            <w:shd w:val="clear" w:color="auto" w:fill="auto"/>
            <w:noWrap/>
            <w:vAlign w:val="center"/>
            <w:hideMark/>
          </w:tcPr>
          <w:p w:rsidRPr="000252E5" w:rsidR="001A2024" w:rsidP="00A76699" w:rsidRDefault="001A2024" w14:paraId="77DF80CF" w14:textId="77777777">
            <w:pPr>
              <w:keepNext/>
              <w:keepLines/>
              <w:rPr>
                <w:rFonts w:ascii="Aptos Narrow" w:hAnsi="Aptos Narrow"/>
                <w:color w:val="000000"/>
                <w:sz w:val="22"/>
                <w:szCs w:val="22"/>
              </w:rPr>
            </w:pPr>
            <w:r>
              <w:rPr>
                <w:rFonts w:ascii="Aptos Narrow" w:hAnsi="Aptos Narrow"/>
                <w:color w:val="000000"/>
                <w:sz w:val="22"/>
                <w:szCs w:val="22"/>
              </w:rPr>
              <w:t>Added 2024 Credit value from Removing ≥100</w:t>
            </w:r>
          </w:p>
        </w:tc>
        <w:tc>
          <w:tcPr>
            <w:tcW w:w="1440" w:type="dxa"/>
            <w:shd w:val="clear" w:color="auto" w:fill="auto"/>
            <w:noWrap/>
            <w:vAlign w:val="center"/>
            <w:hideMark/>
          </w:tcPr>
          <w:p w:rsidRPr="000252E5" w:rsidR="001A2024" w:rsidP="00E056ED" w:rsidRDefault="001A2024" w14:paraId="545D8314" w14:textId="77777777">
            <w:pPr>
              <w:keepNext/>
              <w:keepLines/>
              <w:jc w:val="center"/>
              <w:rPr>
                <w:rFonts w:ascii="Aptos Narrow" w:hAnsi="Aptos Narrow"/>
                <w:color w:val="000000"/>
                <w:sz w:val="22"/>
                <w:szCs w:val="22"/>
              </w:rPr>
            </w:pPr>
            <w:r>
              <w:rPr>
                <w:rFonts w:ascii="Aptos Narrow" w:hAnsi="Aptos Narrow"/>
                <w:color w:val="000000"/>
                <w:sz w:val="22"/>
                <w:szCs w:val="22"/>
              </w:rPr>
              <w:t>$1.26</w:t>
            </w:r>
          </w:p>
        </w:tc>
        <w:tc>
          <w:tcPr>
            <w:tcW w:w="1440" w:type="dxa"/>
            <w:shd w:val="clear" w:color="auto" w:fill="auto"/>
            <w:noWrap/>
            <w:vAlign w:val="center"/>
          </w:tcPr>
          <w:p w:rsidRPr="000252E5" w:rsidR="001A2024" w:rsidP="00E056ED" w:rsidRDefault="001A2024" w14:paraId="227A761A" w14:textId="77777777">
            <w:pPr>
              <w:keepNext/>
              <w:keepLines/>
              <w:jc w:val="center"/>
              <w:rPr>
                <w:rFonts w:ascii="Aptos Narrow" w:hAnsi="Aptos Narrow"/>
                <w:color w:val="000000"/>
                <w:sz w:val="22"/>
                <w:szCs w:val="22"/>
              </w:rPr>
            </w:pPr>
            <w:r w:rsidRPr="00FC4F5A">
              <w:rPr>
                <w:rFonts w:ascii="Aptos Narrow" w:hAnsi="Aptos Narrow"/>
                <w:color w:val="000000"/>
                <w:sz w:val="22"/>
                <w:szCs w:val="22"/>
              </w:rPr>
              <w:t>$</w:t>
            </w:r>
            <w:r>
              <w:rPr>
                <w:rFonts w:ascii="Aptos Narrow" w:hAnsi="Aptos Narrow"/>
                <w:color w:val="000000"/>
                <w:sz w:val="22"/>
                <w:szCs w:val="22"/>
              </w:rPr>
              <w:t xml:space="preserve"> </w:t>
            </w:r>
            <w:r w:rsidRPr="00FC4F5A">
              <w:rPr>
                <w:rFonts w:ascii="Aptos Narrow" w:hAnsi="Aptos Narrow"/>
                <w:color w:val="000000"/>
                <w:sz w:val="22"/>
                <w:szCs w:val="22"/>
              </w:rPr>
              <w:t>2.26</w:t>
            </w:r>
          </w:p>
        </w:tc>
        <w:tc>
          <w:tcPr>
            <w:tcW w:w="1440" w:type="dxa"/>
            <w:shd w:val="clear" w:color="auto" w:fill="auto"/>
            <w:noWrap/>
            <w:vAlign w:val="center"/>
          </w:tcPr>
          <w:p w:rsidRPr="000252E5" w:rsidR="001A2024" w:rsidP="00E056ED" w:rsidRDefault="001A2024" w14:paraId="4F118322" w14:textId="77777777">
            <w:pPr>
              <w:keepNext/>
              <w:keepLines/>
              <w:jc w:val="center"/>
              <w:rPr>
                <w:rFonts w:ascii="Aptos Narrow" w:hAnsi="Aptos Narrow"/>
                <w:color w:val="000000"/>
                <w:sz w:val="22"/>
                <w:szCs w:val="22"/>
              </w:rPr>
            </w:pPr>
            <w:r>
              <w:rPr>
                <w:rFonts w:ascii="Aptos Narrow" w:hAnsi="Aptos Narrow"/>
                <w:color w:val="000000"/>
                <w:sz w:val="22"/>
                <w:szCs w:val="22"/>
              </w:rPr>
              <w:t>$</w:t>
            </w:r>
            <w:r w:rsidRPr="00FC4F5A">
              <w:rPr>
                <w:rFonts w:ascii="Aptos Narrow" w:hAnsi="Aptos Narrow"/>
                <w:color w:val="000000"/>
                <w:sz w:val="22"/>
                <w:szCs w:val="22"/>
              </w:rPr>
              <w:t xml:space="preserve"> 2.15</w:t>
            </w:r>
          </w:p>
        </w:tc>
      </w:tr>
      <w:tr w:rsidRPr="000252E5" w:rsidR="001A2024" w:rsidTr="00E056ED" w14:paraId="4BF9BE78" w14:textId="77777777">
        <w:trPr>
          <w:trHeight w:val="300"/>
        </w:trPr>
        <w:tc>
          <w:tcPr>
            <w:tcW w:w="5220" w:type="dxa"/>
            <w:shd w:val="clear" w:color="auto" w:fill="auto"/>
            <w:noWrap/>
            <w:vAlign w:val="center"/>
          </w:tcPr>
          <w:p w:rsidR="001A2024" w:rsidP="00A76699" w:rsidRDefault="00E056ED" w14:paraId="5C409459" w14:textId="77777777">
            <w:pPr>
              <w:keepNext/>
              <w:keepLines/>
              <w:rPr>
                <w:rFonts w:ascii="Aptos Narrow" w:hAnsi="Aptos Narrow"/>
                <w:color w:val="000000"/>
                <w:sz w:val="22"/>
                <w:szCs w:val="22"/>
              </w:rPr>
            </w:pPr>
            <w:r>
              <w:rPr>
                <w:rFonts w:ascii="Aptos Narrow" w:hAnsi="Aptos Narrow"/>
                <w:color w:val="000000"/>
                <w:sz w:val="22"/>
                <w:szCs w:val="22"/>
              </w:rPr>
              <w:t>Subt</w:t>
            </w:r>
            <w:r w:rsidR="001A2024">
              <w:rPr>
                <w:rFonts w:ascii="Aptos Narrow" w:hAnsi="Aptos Narrow"/>
                <w:color w:val="000000"/>
                <w:sz w:val="22"/>
                <w:szCs w:val="22"/>
              </w:rPr>
              <w:t>otal Increase to residential recipients</w:t>
            </w:r>
          </w:p>
        </w:tc>
        <w:tc>
          <w:tcPr>
            <w:tcW w:w="1440" w:type="dxa"/>
            <w:shd w:val="clear" w:color="auto" w:fill="auto"/>
            <w:noWrap/>
            <w:vAlign w:val="center"/>
          </w:tcPr>
          <w:p w:rsidRPr="00D53600" w:rsidR="001A2024" w:rsidP="00E056ED" w:rsidRDefault="001A2024" w14:paraId="3487FF43" w14:textId="77777777">
            <w:pPr>
              <w:keepNext/>
              <w:keepLines/>
              <w:jc w:val="center"/>
              <w:rPr>
                <w:rFonts w:ascii="Aptos Narrow" w:hAnsi="Aptos Narrow"/>
                <w:color w:val="000000"/>
                <w:sz w:val="22"/>
                <w:szCs w:val="22"/>
              </w:rPr>
            </w:pPr>
            <w:r>
              <w:rPr>
                <w:rFonts w:ascii="Aptos Narrow" w:hAnsi="Aptos Narrow"/>
                <w:color w:val="000000"/>
                <w:sz w:val="22"/>
                <w:szCs w:val="22"/>
              </w:rPr>
              <w:t>$6.8M</w:t>
            </w:r>
          </w:p>
        </w:tc>
        <w:tc>
          <w:tcPr>
            <w:tcW w:w="1440" w:type="dxa"/>
            <w:shd w:val="clear" w:color="auto" w:fill="auto"/>
            <w:noWrap/>
            <w:vAlign w:val="center"/>
          </w:tcPr>
          <w:p w:rsidRPr="00D53600" w:rsidR="001A2024" w:rsidP="00E056ED" w:rsidRDefault="001A2024" w14:paraId="60587A84" w14:textId="77777777">
            <w:pPr>
              <w:keepNext/>
              <w:keepLines/>
              <w:jc w:val="center"/>
              <w:rPr>
                <w:rFonts w:ascii="Aptos Narrow" w:hAnsi="Aptos Narrow"/>
                <w:color w:val="000000"/>
                <w:sz w:val="22"/>
                <w:szCs w:val="22"/>
              </w:rPr>
            </w:pPr>
            <w:r w:rsidRPr="00D53600">
              <w:rPr>
                <w:rFonts w:ascii="Aptos Narrow" w:hAnsi="Aptos Narrow"/>
                <w:color w:val="000000"/>
                <w:sz w:val="22"/>
                <w:szCs w:val="22"/>
              </w:rPr>
              <w:t>$1</w:t>
            </w:r>
            <w:r>
              <w:rPr>
                <w:rFonts w:ascii="Aptos Narrow" w:hAnsi="Aptos Narrow"/>
                <w:color w:val="000000"/>
                <w:sz w:val="22"/>
                <w:szCs w:val="22"/>
              </w:rPr>
              <w:t>0.6</w:t>
            </w:r>
            <w:r w:rsidRPr="00D53600">
              <w:rPr>
                <w:rFonts w:ascii="Aptos Narrow" w:hAnsi="Aptos Narrow"/>
                <w:color w:val="000000"/>
                <w:sz w:val="22"/>
                <w:szCs w:val="22"/>
              </w:rPr>
              <w:t>M</w:t>
            </w:r>
          </w:p>
        </w:tc>
        <w:tc>
          <w:tcPr>
            <w:tcW w:w="1440" w:type="dxa"/>
            <w:shd w:val="clear" w:color="auto" w:fill="auto"/>
            <w:noWrap/>
            <w:vAlign w:val="center"/>
          </w:tcPr>
          <w:p w:rsidRPr="00D53600" w:rsidR="001A2024" w:rsidP="00E056ED" w:rsidRDefault="001A2024" w14:paraId="3D60F73D" w14:textId="77777777">
            <w:pPr>
              <w:keepNext/>
              <w:keepLines/>
              <w:jc w:val="center"/>
              <w:rPr>
                <w:rFonts w:ascii="Aptos Narrow" w:hAnsi="Aptos Narrow"/>
                <w:color w:val="000000"/>
                <w:sz w:val="22"/>
                <w:szCs w:val="22"/>
              </w:rPr>
            </w:pPr>
            <w:r w:rsidRPr="00D53600">
              <w:rPr>
                <w:rFonts w:ascii="Aptos Narrow" w:hAnsi="Aptos Narrow"/>
                <w:color w:val="000000"/>
                <w:sz w:val="22"/>
                <w:szCs w:val="22"/>
              </w:rPr>
              <w:t>$3.</w:t>
            </w:r>
            <w:r>
              <w:rPr>
                <w:rFonts w:ascii="Aptos Narrow" w:hAnsi="Aptos Narrow"/>
                <w:color w:val="000000"/>
                <w:sz w:val="22"/>
                <w:szCs w:val="22"/>
              </w:rPr>
              <w:t>0</w:t>
            </w:r>
            <w:r w:rsidRPr="00D53600">
              <w:rPr>
                <w:rFonts w:ascii="Aptos Narrow" w:hAnsi="Aptos Narrow"/>
                <w:color w:val="000000"/>
                <w:sz w:val="22"/>
                <w:szCs w:val="22"/>
              </w:rPr>
              <w:t>M</w:t>
            </w:r>
          </w:p>
        </w:tc>
      </w:tr>
      <w:tr w:rsidRPr="000252E5" w:rsidR="001A2024" w:rsidTr="00E056ED" w14:paraId="7A914E2C" w14:textId="77777777">
        <w:trPr>
          <w:trHeight w:val="300"/>
        </w:trPr>
        <w:tc>
          <w:tcPr>
            <w:tcW w:w="5220" w:type="dxa"/>
            <w:tcBorders>
              <w:bottom w:val="single" w:color="auto" w:sz="4" w:space="0"/>
            </w:tcBorders>
            <w:shd w:val="clear" w:color="auto" w:fill="auto"/>
            <w:noWrap/>
            <w:vAlign w:val="center"/>
          </w:tcPr>
          <w:p w:rsidR="001A2024" w:rsidP="00A76699" w:rsidRDefault="00E056ED" w14:paraId="470CDD3B" w14:textId="77777777">
            <w:pPr>
              <w:keepNext/>
              <w:keepLines/>
              <w:rPr>
                <w:rFonts w:ascii="Aptos Narrow" w:hAnsi="Aptos Narrow"/>
                <w:color w:val="000000"/>
                <w:sz w:val="22"/>
                <w:szCs w:val="22"/>
              </w:rPr>
            </w:pPr>
            <w:r>
              <w:rPr>
                <w:rFonts w:ascii="Aptos Narrow" w:hAnsi="Aptos Narrow"/>
                <w:color w:val="000000"/>
                <w:sz w:val="22"/>
                <w:szCs w:val="22"/>
              </w:rPr>
              <w:t>Subt</w:t>
            </w:r>
            <w:r w:rsidR="001A2024">
              <w:rPr>
                <w:rFonts w:ascii="Aptos Narrow" w:hAnsi="Aptos Narrow"/>
                <w:color w:val="000000"/>
                <w:sz w:val="22"/>
                <w:szCs w:val="22"/>
              </w:rPr>
              <w:t>ot</w:t>
            </w:r>
            <w:r>
              <w:rPr>
                <w:rFonts w:ascii="Aptos Narrow" w:hAnsi="Aptos Narrow"/>
                <w:color w:val="000000"/>
                <w:sz w:val="22"/>
                <w:szCs w:val="22"/>
              </w:rPr>
              <w:t>al</w:t>
            </w:r>
            <w:r w:rsidR="001A2024">
              <w:rPr>
                <w:rFonts w:ascii="Aptos Narrow" w:hAnsi="Aptos Narrow"/>
                <w:color w:val="000000"/>
                <w:sz w:val="22"/>
                <w:szCs w:val="22"/>
              </w:rPr>
              <w:t xml:space="preserve"> Increase to remaining small business recipients</w:t>
            </w:r>
          </w:p>
        </w:tc>
        <w:tc>
          <w:tcPr>
            <w:tcW w:w="1440" w:type="dxa"/>
            <w:tcBorders>
              <w:bottom w:val="single" w:color="auto" w:sz="4" w:space="0"/>
            </w:tcBorders>
            <w:shd w:val="clear" w:color="auto" w:fill="auto"/>
            <w:noWrap/>
            <w:vAlign w:val="center"/>
          </w:tcPr>
          <w:p w:rsidRPr="00D53600" w:rsidR="001A2024" w:rsidP="00E056ED" w:rsidRDefault="001A2024" w14:paraId="538FFFE4" w14:textId="77777777">
            <w:pPr>
              <w:keepNext/>
              <w:keepLines/>
              <w:jc w:val="center"/>
              <w:rPr>
                <w:rFonts w:ascii="Aptos Narrow" w:hAnsi="Aptos Narrow"/>
                <w:color w:val="000000"/>
                <w:sz w:val="22"/>
                <w:szCs w:val="22"/>
              </w:rPr>
            </w:pPr>
            <w:r>
              <w:rPr>
                <w:rFonts w:ascii="Aptos Narrow" w:hAnsi="Aptos Narrow"/>
                <w:color w:val="000000"/>
                <w:sz w:val="22"/>
                <w:szCs w:val="22"/>
              </w:rPr>
              <w:t>$0.5M</w:t>
            </w:r>
          </w:p>
        </w:tc>
        <w:tc>
          <w:tcPr>
            <w:tcW w:w="1440" w:type="dxa"/>
            <w:tcBorders>
              <w:bottom w:val="single" w:color="auto" w:sz="4" w:space="0"/>
            </w:tcBorders>
            <w:shd w:val="clear" w:color="auto" w:fill="auto"/>
            <w:noWrap/>
            <w:vAlign w:val="center"/>
          </w:tcPr>
          <w:p w:rsidRPr="00D53600" w:rsidR="001A2024" w:rsidP="00E056ED" w:rsidRDefault="001A2024" w14:paraId="5658B767" w14:textId="77777777">
            <w:pPr>
              <w:keepNext/>
              <w:keepLines/>
              <w:jc w:val="center"/>
              <w:rPr>
                <w:rFonts w:ascii="Aptos Narrow" w:hAnsi="Aptos Narrow"/>
                <w:color w:val="000000"/>
                <w:sz w:val="22"/>
                <w:szCs w:val="22"/>
              </w:rPr>
            </w:pPr>
            <w:r w:rsidRPr="00D53600">
              <w:rPr>
                <w:rFonts w:ascii="Aptos Narrow" w:hAnsi="Aptos Narrow"/>
                <w:color w:val="000000"/>
                <w:sz w:val="22"/>
                <w:szCs w:val="22"/>
              </w:rPr>
              <w:t>$1.</w:t>
            </w:r>
            <w:r>
              <w:rPr>
                <w:rFonts w:ascii="Aptos Narrow" w:hAnsi="Aptos Narrow"/>
                <w:color w:val="000000"/>
                <w:sz w:val="22"/>
                <w:szCs w:val="22"/>
              </w:rPr>
              <w:t>1</w:t>
            </w:r>
            <w:r w:rsidRPr="00D53600">
              <w:rPr>
                <w:rFonts w:ascii="Aptos Narrow" w:hAnsi="Aptos Narrow"/>
                <w:color w:val="000000"/>
                <w:sz w:val="22"/>
                <w:szCs w:val="22"/>
              </w:rPr>
              <w:t>M</w:t>
            </w:r>
          </w:p>
        </w:tc>
        <w:tc>
          <w:tcPr>
            <w:tcW w:w="1440" w:type="dxa"/>
            <w:tcBorders>
              <w:bottom w:val="single" w:color="auto" w:sz="4" w:space="0"/>
            </w:tcBorders>
            <w:shd w:val="clear" w:color="auto" w:fill="auto"/>
            <w:noWrap/>
            <w:vAlign w:val="center"/>
          </w:tcPr>
          <w:p w:rsidRPr="00D53600" w:rsidR="001A2024" w:rsidP="00E056ED" w:rsidRDefault="001A2024" w14:paraId="2480C1A3" w14:textId="77777777">
            <w:pPr>
              <w:keepNext/>
              <w:keepLines/>
              <w:jc w:val="center"/>
              <w:rPr>
                <w:rFonts w:ascii="Aptos Narrow" w:hAnsi="Aptos Narrow"/>
                <w:color w:val="000000"/>
                <w:sz w:val="22"/>
                <w:szCs w:val="22"/>
              </w:rPr>
            </w:pPr>
            <w:r w:rsidRPr="00D53600">
              <w:rPr>
                <w:rFonts w:ascii="Aptos Narrow" w:hAnsi="Aptos Narrow"/>
                <w:color w:val="000000"/>
                <w:sz w:val="22"/>
                <w:szCs w:val="22"/>
              </w:rPr>
              <w:t>$0.</w:t>
            </w:r>
            <w:r>
              <w:rPr>
                <w:rFonts w:ascii="Aptos Narrow" w:hAnsi="Aptos Narrow"/>
                <w:color w:val="000000"/>
                <w:sz w:val="22"/>
                <w:szCs w:val="22"/>
              </w:rPr>
              <w:t>2</w:t>
            </w:r>
            <w:r w:rsidRPr="00D53600">
              <w:rPr>
                <w:rFonts w:ascii="Aptos Narrow" w:hAnsi="Aptos Narrow"/>
                <w:color w:val="000000"/>
                <w:sz w:val="22"/>
                <w:szCs w:val="22"/>
              </w:rPr>
              <w:t>M</w:t>
            </w:r>
          </w:p>
        </w:tc>
      </w:tr>
      <w:tr w:rsidRPr="000252E5" w:rsidR="001A2024" w:rsidTr="00E056ED" w14:paraId="1CE82DB1" w14:textId="77777777">
        <w:trPr>
          <w:trHeight w:val="300"/>
        </w:trPr>
        <w:tc>
          <w:tcPr>
            <w:tcW w:w="5220" w:type="dxa"/>
            <w:tcBorders>
              <w:left w:val="nil"/>
              <w:right w:val="nil"/>
            </w:tcBorders>
            <w:shd w:val="clear" w:color="auto" w:fill="auto"/>
            <w:noWrap/>
            <w:vAlign w:val="center"/>
          </w:tcPr>
          <w:p w:rsidR="001A2024" w:rsidP="00A76699" w:rsidRDefault="00E056ED" w14:paraId="3370E486" w14:textId="77777777">
            <w:pPr>
              <w:keepNext/>
              <w:keepLines/>
              <w:rPr>
                <w:rFonts w:ascii="Aptos Narrow" w:hAnsi="Aptos Narrow"/>
                <w:color w:val="000000"/>
                <w:sz w:val="22"/>
                <w:szCs w:val="22"/>
              </w:rPr>
            </w:pPr>
            <w:r>
              <w:rPr>
                <w:rFonts w:ascii="Aptos Narrow" w:hAnsi="Aptos Narrow"/>
                <w:color w:val="000000"/>
                <w:sz w:val="22"/>
                <w:szCs w:val="22"/>
              </w:rPr>
              <w:t>Subt</w:t>
            </w:r>
            <w:r w:rsidR="001A2024">
              <w:rPr>
                <w:rFonts w:ascii="Aptos Narrow" w:hAnsi="Aptos Narrow"/>
                <w:color w:val="000000"/>
                <w:sz w:val="22"/>
                <w:szCs w:val="22"/>
              </w:rPr>
              <w:t>otal Increase to all remaining recipients</w:t>
            </w:r>
          </w:p>
        </w:tc>
        <w:tc>
          <w:tcPr>
            <w:tcW w:w="1440" w:type="dxa"/>
            <w:tcBorders>
              <w:left w:val="nil"/>
              <w:right w:val="nil"/>
            </w:tcBorders>
            <w:shd w:val="clear" w:color="auto" w:fill="auto"/>
            <w:noWrap/>
            <w:vAlign w:val="center"/>
          </w:tcPr>
          <w:p w:rsidRPr="000252E5" w:rsidR="001A2024" w:rsidP="00E056ED" w:rsidRDefault="001A2024" w14:paraId="0CFBA9F2" w14:textId="77777777">
            <w:pPr>
              <w:keepNext/>
              <w:keepLines/>
              <w:jc w:val="center"/>
              <w:rPr>
                <w:rFonts w:ascii="Aptos Narrow" w:hAnsi="Aptos Narrow"/>
                <w:color w:val="000000"/>
                <w:sz w:val="22"/>
                <w:szCs w:val="22"/>
              </w:rPr>
            </w:pPr>
            <w:r>
              <w:rPr>
                <w:rFonts w:ascii="Aptos Narrow" w:hAnsi="Aptos Narrow"/>
                <w:color w:val="000000"/>
                <w:sz w:val="22"/>
                <w:szCs w:val="22"/>
              </w:rPr>
              <w:t>$7.3M</w:t>
            </w:r>
          </w:p>
        </w:tc>
        <w:tc>
          <w:tcPr>
            <w:tcW w:w="1440" w:type="dxa"/>
            <w:tcBorders>
              <w:left w:val="nil"/>
              <w:right w:val="nil"/>
            </w:tcBorders>
            <w:shd w:val="clear" w:color="auto" w:fill="auto"/>
            <w:noWrap/>
            <w:vAlign w:val="center"/>
          </w:tcPr>
          <w:p w:rsidR="001A2024" w:rsidP="00E056ED" w:rsidRDefault="001A2024" w14:paraId="2DB36469" w14:textId="77777777">
            <w:pPr>
              <w:keepNext/>
              <w:keepLines/>
              <w:jc w:val="center"/>
              <w:rPr>
                <w:rFonts w:ascii="Aptos Narrow" w:hAnsi="Aptos Narrow"/>
                <w:color w:val="000000"/>
                <w:sz w:val="22"/>
                <w:szCs w:val="22"/>
              </w:rPr>
            </w:pPr>
            <w:r>
              <w:rPr>
                <w:rFonts w:ascii="Aptos Narrow" w:hAnsi="Aptos Narrow"/>
                <w:color w:val="000000"/>
                <w:sz w:val="22"/>
                <w:szCs w:val="22"/>
              </w:rPr>
              <w:t>$11.7M</w:t>
            </w:r>
          </w:p>
        </w:tc>
        <w:tc>
          <w:tcPr>
            <w:tcW w:w="1440" w:type="dxa"/>
            <w:tcBorders>
              <w:left w:val="nil"/>
              <w:right w:val="nil"/>
            </w:tcBorders>
            <w:shd w:val="clear" w:color="auto" w:fill="auto"/>
            <w:noWrap/>
            <w:vAlign w:val="center"/>
          </w:tcPr>
          <w:p w:rsidR="001A2024" w:rsidP="00E056ED" w:rsidRDefault="001A2024" w14:paraId="561FCC29" w14:textId="77777777">
            <w:pPr>
              <w:keepNext/>
              <w:keepLines/>
              <w:jc w:val="center"/>
              <w:rPr>
                <w:rFonts w:ascii="Aptos Narrow" w:hAnsi="Aptos Narrow"/>
                <w:color w:val="000000"/>
                <w:sz w:val="22"/>
                <w:szCs w:val="22"/>
              </w:rPr>
            </w:pPr>
            <w:r>
              <w:rPr>
                <w:rFonts w:ascii="Aptos Narrow" w:hAnsi="Aptos Narrow"/>
                <w:color w:val="000000"/>
                <w:sz w:val="22"/>
                <w:szCs w:val="22"/>
              </w:rPr>
              <w:t>$3.2M</w:t>
            </w:r>
          </w:p>
        </w:tc>
      </w:tr>
      <w:tr w:rsidRPr="000252E5" w:rsidR="00E056ED" w:rsidTr="00E056ED" w14:paraId="56F7E492" w14:textId="77777777">
        <w:trPr>
          <w:trHeight w:val="300"/>
        </w:trPr>
        <w:tc>
          <w:tcPr>
            <w:tcW w:w="5220" w:type="dxa"/>
            <w:tcBorders>
              <w:left w:val="nil"/>
              <w:right w:val="nil"/>
            </w:tcBorders>
            <w:shd w:val="clear" w:color="auto" w:fill="auto"/>
            <w:noWrap/>
            <w:vAlign w:val="center"/>
          </w:tcPr>
          <w:p w:rsidR="00E056ED" w:rsidP="00A76699" w:rsidRDefault="00E056ED" w14:paraId="122DAF41" w14:textId="77777777">
            <w:pPr>
              <w:keepNext/>
              <w:keepLines/>
              <w:rPr>
                <w:rFonts w:ascii="Aptos Narrow" w:hAnsi="Aptos Narrow"/>
                <w:color w:val="000000"/>
                <w:sz w:val="22"/>
                <w:szCs w:val="22"/>
              </w:rPr>
            </w:pPr>
            <w:r>
              <w:rPr>
                <w:rFonts w:ascii="Aptos Narrow" w:hAnsi="Aptos Narrow"/>
                <w:color w:val="000000"/>
                <w:sz w:val="22"/>
                <w:szCs w:val="22"/>
              </w:rPr>
              <w:t>Total shift in credit value</w:t>
            </w:r>
          </w:p>
        </w:tc>
        <w:tc>
          <w:tcPr>
            <w:tcW w:w="4320" w:type="dxa"/>
            <w:gridSpan w:val="3"/>
            <w:tcBorders>
              <w:left w:val="nil"/>
              <w:right w:val="nil"/>
            </w:tcBorders>
            <w:shd w:val="clear" w:color="auto" w:fill="auto"/>
            <w:noWrap/>
            <w:vAlign w:val="center"/>
          </w:tcPr>
          <w:p w:rsidR="00E056ED" w:rsidP="00E056ED" w:rsidRDefault="00E056ED" w14:paraId="7DA8FCD1" w14:textId="77777777">
            <w:pPr>
              <w:keepNext/>
              <w:keepLines/>
              <w:jc w:val="center"/>
              <w:rPr>
                <w:rFonts w:ascii="Aptos Narrow" w:hAnsi="Aptos Narrow"/>
                <w:color w:val="000000"/>
                <w:sz w:val="22"/>
                <w:szCs w:val="22"/>
              </w:rPr>
            </w:pPr>
            <w:r>
              <w:rPr>
                <w:rFonts w:ascii="Aptos Narrow" w:hAnsi="Aptos Narrow"/>
                <w:color w:val="000000"/>
                <w:sz w:val="22"/>
                <w:szCs w:val="22"/>
              </w:rPr>
              <w:t>$22.2M</w:t>
            </w:r>
          </w:p>
        </w:tc>
      </w:tr>
    </w:tbl>
    <w:p w:rsidR="00FA4EB8" w:rsidP="00A76699" w:rsidRDefault="00FA4EB8" w14:paraId="7F089E9C" w14:textId="77777777">
      <w:pPr>
        <w:keepNext/>
        <w:keepLines/>
        <w:rPr>
          <w:rFonts w:ascii="Palatino Linotype" w:hAnsi="Palatino Linotype"/>
          <w:sz w:val="24"/>
          <w:szCs w:val="24"/>
        </w:rPr>
      </w:pPr>
    </w:p>
    <w:p w:rsidR="00323DC1" w:rsidP="00323DC1" w:rsidRDefault="00323DC1" w14:paraId="08B9C441" w14:textId="77777777">
      <w:pPr>
        <w:rPr>
          <w:rFonts w:ascii="Palatino Linotype" w:hAnsi="Palatino Linotype"/>
          <w:sz w:val="24"/>
          <w:szCs w:val="24"/>
        </w:rPr>
      </w:pPr>
      <w:r>
        <w:rPr>
          <w:rFonts w:ascii="Palatino Linotype" w:hAnsi="Palatino Linotype"/>
          <w:sz w:val="24"/>
          <w:szCs w:val="24"/>
        </w:rPr>
        <w:t xml:space="preserve">Example - Reading </w:t>
      </w:r>
      <w:r w:rsidR="00453ABC">
        <w:rPr>
          <w:rFonts w:ascii="Palatino Linotype" w:hAnsi="Palatino Linotype"/>
          <w:sz w:val="24"/>
          <w:szCs w:val="24"/>
        </w:rPr>
        <w:t>T</w:t>
      </w:r>
      <w:r>
        <w:rPr>
          <w:rFonts w:ascii="Palatino Linotype" w:hAnsi="Palatino Linotype"/>
          <w:sz w:val="24"/>
          <w:szCs w:val="24"/>
        </w:rPr>
        <w:t>able 3:</w:t>
      </w:r>
    </w:p>
    <w:p w:rsidR="00453ABC" w:rsidRDefault="00323DC1" w14:paraId="59AAB592" w14:textId="77777777">
      <w:pPr>
        <w:rPr>
          <w:rFonts w:ascii="Palatino Linotype" w:hAnsi="Palatino Linotype"/>
          <w:sz w:val="24"/>
          <w:szCs w:val="24"/>
        </w:rPr>
      </w:pPr>
      <w:r w:rsidRPr="00D0245E">
        <w:rPr>
          <w:rFonts w:ascii="Palatino Linotype" w:hAnsi="Palatino Linotype"/>
          <w:i/>
          <w:iCs/>
          <w:sz w:val="24"/>
          <w:szCs w:val="24"/>
        </w:rPr>
        <w:t xml:space="preserve">In SCE territory, </w:t>
      </w:r>
      <w:r>
        <w:rPr>
          <w:rFonts w:ascii="Palatino Linotype" w:hAnsi="Palatino Linotype"/>
          <w:i/>
          <w:iCs/>
          <w:sz w:val="24"/>
          <w:szCs w:val="24"/>
        </w:rPr>
        <w:t xml:space="preserve">removing all recipients who have 100 or more </w:t>
      </w:r>
      <w:r w:rsidR="00024686">
        <w:rPr>
          <w:rFonts w:ascii="Palatino Linotype" w:hAnsi="Palatino Linotype"/>
          <w:i/>
          <w:iCs/>
          <w:sz w:val="24"/>
          <w:szCs w:val="24"/>
        </w:rPr>
        <w:t>individually eligible</w:t>
      </w:r>
      <w:r>
        <w:rPr>
          <w:rFonts w:ascii="Palatino Linotype" w:hAnsi="Palatino Linotype"/>
          <w:i/>
          <w:iCs/>
          <w:sz w:val="24"/>
          <w:szCs w:val="24"/>
        </w:rPr>
        <w:t xml:space="preserve"> accounts from receiving any Small Business California Climate Credit </w:t>
      </w:r>
      <w:r w:rsidR="001452AB">
        <w:rPr>
          <w:rFonts w:ascii="Palatino Linotype" w:hAnsi="Palatino Linotype"/>
          <w:i/>
          <w:iCs/>
          <w:sz w:val="24"/>
          <w:szCs w:val="24"/>
        </w:rPr>
        <w:t xml:space="preserve">on any account </w:t>
      </w:r>
      <w:r>
        <w:rPr>
          <w:rFonts w:ascii="Palatino Linotype" w:hAnsi="Palatino Linotype"/>
          <w:i/>
          <w:iCs/>
          <w:sz w:val="24"/>
          <w:szCs w:val="24"/>
        </w:rPr>
        <w:t xml:space="preserve">would have resulted in an increase in the $172 value in the 2024 credit by $2.26. The total shift in value would have been </w:t>
      </w:r>
      <w:r w:rsidR="009260A3">
        <w:rPr>
          <w:rFonts w:ascii="Palatino Linotype" w:hAnsi="Palatino Linotype"/>
          <w:i/>
          <w:iCs/>
          <w:sz w:val="24"/>
          <w:szCs w:val="24"/>
        </w:rPr>
        <w:t xml:space="preserve">an increase of </w:t>
      </w:r>
      <w:r>
        <w:rPr>
          <w:rFonts w:ascii="Palatino Linotype" w:hAnsi="Palatino Linotype"/>
          <w:i/>
          <w:iCs/>
          <w:sz w:val="24"/>
          <w:szCs w:val="24"/>
        </w:rPr>
        <w:t>$1</w:t>
      </w:r>
      <w:r w:rsidR="009260A3">
        <w:rPr>
          <w:rFonts w:ascii="Palatino Linotype" w:hAnsi="Palatino Linotype"/>
          <w:i/>
          <w:iCs/>
          <w:sz w:val="24"/>
          <w:szCs w:val="24"/>
        </w:rPr>
        <w:t>1</w:t>
      </w:r>
      <w:r>
        <w:rPr>
          <w:rFonts w:ascii="Palatino Linotype" w:hAnsi="Palatino Linotype"/>
          <w:i/>
          <w:iCs/>
          <w:sz w:val="24"/>
          <w:szCs w:val="24"/>
        </w:rPr>
        <w:t>.</w:t>
      </w:r>
      <w:r w:rsidR="009260A3">
        <w:rPr>
          <w:rFonts w:ascii="Palatino Linotype" w:hAnsi="Palatino Linotype"/>
          <w:i/>
          <w:iCs/>
          <w:sz w:val="24"/>
          <w:szCs w:val="24"/>
        </w:rPr>
        <w:t>7</w:t>
      </w:r>
      <w:r>
        <w:rPr>
          <w:rFonts w:ascii="Palatino Linotype" w:hAnsi="Palatino Linotype"/>
          <w:i/>
          <w:iCs/>
          <w:sz w:val="24"/>
          <w:szCs w:val="24"/>
        </w:rPr>
        <w:t xml:space="preserve">M, with </w:t>
      </w:r>
      <w:r w:rsidRPr="00850ECE">
        <w:rPr>
          <w:rFonts w:ascii="Palatino Linotype" w:hAnsi="Palatino Linotype"/>
          <w:i/>
          <w:iCs/>
          <w:sz w:val="24"/>
          <w:szCs w:val="24"/>
        </w:rPr>
        <w:t>$</w:t>
      </w:r>
      <w:r w:rsidRPr="00850ECE" w:rsidR="00850ECE">
        <w:rPr>
          <w:rFonts w:ascii="Palatino Linotype" w:hAnsi="Palatino Linotype"/>
          <w:i/>
          <w:iCs/>
          <w:sz w:val="24"/>
          <w:szCs w:val="24"/>
        </w:rPr>
        <w:t>1</w:t>
      </w:r>
      <w:r w:rsidR="009260A3">
        <w:rPr>
          <w:rFonts w:ascii="Palatino Linotype" w:hAnsi="Palatino Linotype"/>
          <w:i/>
          <w:iCs/>
          <w:sz w:val="24"/>
          <w:szCs w:val="24"/>
        </w:rPr>
        <w:t>0</w:t>
      </w:r>
      <w:r w:rsidRPr="00850ECE" w:rsidR="00850ECE">
        <w:rPr>
          <w:rFonts w:ascii="Palatino Linotype" w:hAnsi="Palatino Linotype"/>
          <w:i/>
          <w:iCs/>
          <w:sz w:val="24"/>
          <w:szCs w:val="24"/>
        </w:rPr>
        <w:t>.</w:t>
      </w:r>
      <w:r w:rsidR="009260A3">
        <w:rPr>
          <w:rFonts w:ascii="Palatino Linotype" w:hAnsi="Palatino Linotype"/>
          <w:i/>
          <w:iCs/>
          <w:sz w:val="24"/>
          <w:szCs w:val="24"/>
        </w:rPr>
        <w:t>6</w:t>
      </w:r>
      <w:r w:rsidRPr="00850ECE">
        <w:rPr>
          <w:rFonts w:ascii="Palatino Linotype" w:hAnsi="Palatino Linotype"/>
          <w:i/>
          <w:iCs/>
          <w:sz w:val="24"/>
          <w:szCs w:val="24"/>
        </w:rPr>
        <w:t xml:space="preserve">M </w:t>
      </w:r>
      <w:r w:rsidR="009260A3">
        <w:rPr>
          <w:rFonts w:ascii="Palatino Linotype" w:hAnsi="Palatino Linotype"/>
          <w:i/>
          <w:iCs/>
          <w:sz w:val="24"/>
          <w:szCs w:val="24"/>
        </w:rPr>
        <w:t xml:space="preserve">more </w:t>
      </w:r>
      <w:r w:rsidRPr="00850ECE">
        <w:rPr>
          <w:rFonts w:ascii="Palatino Linotype" w:hAnsi="Palatino Linotype"/>
          <w:i/>
          <w:iCs/>
          <w:sz w:val="24"/>
          <w:szCs w:val="24"/>
        </w:rPr>
        <w:t>to residential ratepayers and $</w:t>
      </w:r>
      <w:r w:rsidRPr="00850ECE" w:rsidR="00850ECE">
        <w:rPr>
          <w:rFonts w:ascii="Palatino Linotype" w:hAnsi="Palatino Linotype"/>
          <w:i/>
          <w:iCs/>
          <w:sz w:val="24"/>
          <w:szCs w:val="24"/>
        </w:rPr>
        <w:t>1.</w:t>
      </w:r>
      <w:r w:rsidR="009260A3">
        <w:rPr>
          <w:rFonts w:ascii="Palatino Linotype" w:hAnsi="Palatino Linotype"/>
          <w:i/>
          <w:iCs/>
          <w:sz w:val="24"/>
          <w:szCs w:val="24"/>
        </w:rPr>
        <w:t>1</w:t>
      </w:r>
      <w:r w:rsidRPr="00850ECE">
        <w:rPr>
          <w:rFonts w:ascii="Palatino Linotype" w:hAnsi="Palatino Linotype"/>
          <w:i/>
          <w:iCs/>
          <w:sz w:val="24"/>
          <w:szCs w:val="24"/>
        </w:rPr>
        <w:t xml:space="preserve">M </w:t>
      </w:r>
      <w:r w:rsidR="009260A3">
        <w:rPr>
          <w:rFonts w:ascii="Palatino Linotype" w:hAnsi="Palatino Linotype"/>
          <w:i/>
          <w:iCs/>
          <w:sz w:val="24"/>
          <w:szCs w:val="24"/>
        </w:rPr>
        <w:t xml:space="preserve">more </w:t>
      </w:r>
      <w:r w:rsidRPr="00850ECE">
        <w:rPr>
          <w:rFonts w:ascii="Palatino Linotype" w:hAnsi="Palatino Linotype"/>
          <w:i/>
          <w:iCs/>
          <w:sz w:val="24"/>
          <w:szCs w:val="24"/>
        </w:rPr>
        <w:t>to remaining</w:t>
      </w:r>
      <w:r>
        <w:rPr>
          <w:rFonts w:ascii="Palatino Linotype" w:hAnsi="Palatino Linotype"/>
          <w:i/>
          <w:iCs/>
          <w:sz w:val="24"/>
          <w:szCs w:val="24"/>
        </w:rPr>
        <w:t xml:space="preserve"> qualifying small business</w:t>
      </w:r>
      <w:r w:rsidR="00F04C4C">
        <w:rPr>
          <w:rFonts w:ascii="Palatino Linotype" w:hAnsi="Palatino Linotype"/>
          <w:i/>
          <w:iCs/>
          <w:sz w:val="24"/>
          <w:szCs w:val="24"/>
        </w:rPr>
        <w:t>e</w:t>
      </w:r>
      <w:r>
        <w:rPr>
          <w:rFonts w:ascii="Palatino Linotype" w:hAnsi="Palatino Linotype"/>
          <w:i/>
          <w:iCs/>
          <w:sz w:val="24"/>
          <w:szCs w:val="24"/>
        </w:rPr>
        <w:t>s.</w:t>
      </w:r>
    </w:p>
    <w:p w:rsidRPr="00D865A9" w:rsidR="00E649E3" w:rsidRDefault="00E649E3" w14:paraId="05049894" w14:textId="77777777">
      <w:pPr>
        <w:rPr>
          <w:rFonts w:ascii="Palatino Linotype" w:hAnsi="Palatino Linotype"/>
          <w:sz w:val="24"/>
          <w:szCs w:val="24"/>
        </w:rPr>
      </w:pPr>
    </w:p>
    <w:p w:rsidR="00CF17DE" w:rsidRDefault="00CF17DE" w14:paraId="1C5E26E1" w14:textId="77777777">
      <w:pPr>
        <w:pStyle w:val="Heading1"/>
        <w:rPr>
          <w:rFonts w:ascii="Palatino Linotype" w:hAnsi="Palatino Linotype"/>
          <w:sz w:val="24"/>
          <w:szCs w:val="24"/>
        </w:rPr>
      </w:pPr>
      <w:r w:rsidRPr="00D865A9">
        <w:rPr>
          <w:rFonts w:ascii="Palatino Linotype" w:hAnsi="Palatino Linotype"/>
          <w:sz w:val="24"/>
          <w:szCs w:val="24"/>
        </w:rPr>
        <w:t>Discussion</w:t>
      </w:r>
    </w:p>
    <w:p w:rsidR="00133BA6" w:rsidP="00766526" w:rsidRDefault="0004248A" w14:paraId="630659A8" w14:textId="77777777">
      <w:pPr>
        <w:pStyle w:val="standard"/>
        <w:spacing w:line="240" w:lineRule="auto"/>
        <w:ind w:firstLine="0"/>
        <w:rPr>
          <w:rFonts w:ascii="Palatino Linotype" w:hAnsi="Palatino Linotype"/>
          <w:sz w:val="24"/>
          <w:szCs w:val="24"/>
        </w:rPr>
      </w:pPr>
      <w:r>
        <w:rPr>
          <w:rFonts w:ascii="Palatino Linotype" w:hAnsi="Palatino Linotype"/>
          <w:sz w:val="24"/>
          <w:szCs w:val="24"/>
        </w:rPr>
        <w:t xml:space="preserve">The Commission </w:t>
      </w:r>
      <w:r w:rsidRPr="009E4440">
        <w:rPr>
          <w:rFonts w:ascii="Palatino Linotype" w:hAnsi="Palatino Linotype"/>
          <w:sz w:val="24"/>
          <w:szCs w:val="24"/>
        </w:rPr>
        <w:t>recognize</w:t>
      </w:r>
      <w:r>
        <w:rPr>
          <w:rFonts w:ascii="Palatino Linotype" w:hAnsi="Palatino Linotype"/>
          <w:sz w:val="24"/>
          <w:szCs w:val="24"/>
        </w:rPr>
        <w:t>s</w:t>
      </w:r>
      <w:r w:rsidRPr="009E4440">
        <w:rPr>
          <w:rFonts w:ascii="Palatino Linotype" w:hAnsi="Palatino Linotype"/>
          <w:sz w:val="24"/>
          <w:szCs w:val="24"/>
        </w:rPr>
        <w:t xml:space="preserve"> the diversity of California’s small business community.</w:t>
      </w:r>
      <w:r>
        <w:rPr>
          <w:rFonts w:ascii="Palatino Linotype" w:hAnsi="Palatino Linotype"/>
          <w:sz w:val="24"/>
          <w:szCs w:val="24"/>
        </w:rPr>
        <w:t xml:space="preserve"> The Commission must also ensure that Cap-and-Trade proceeds are prudently administered as the State intended. Therefore, there is merit in acting quickly to protect small businesses and residential ratepayers by reducing the amount of aggregation from certain </w:t>
      </w:r>
      <w:r w:rsidR="001452AB">
        <w:rPr>
          <w:rFonts w:ascii="Palatino Linotype" w:hAnsi="Palatino Linotype"/>
          <w:sz w:val="24"/>
          <w:szCs w:val="24"/>
        </w:rPr>
        <w:t>recipients</w:t>
      </w:r>
      <w:r>
        <w:rPr>
          <w:rFonts w:ascii="Palatino Linotype" w:hAnsi="Palatino Linotype"/>
          <w:sz w:val="24"/>
          <w:szCs w:val="24"/>
        </w:rPr>
        <w:t xml:space="preserve">. </w:t>
      </w:r>
      <w:r w:rsidR="00D0681F">
        <w:rPr>
          <w:rFonts w:ascii="Palatino Linotype" w:hAnsi="Palatino Linotype"/>
          <w:sz w:val="24"/>
          <w:szCs w:val="24"/>
        </w:rPr>
        <w:t>T</w:t>
      </w:r>
      <w:r w:rsidR="00AA6F81">
        <w:rPr>
          <w:rFonts w:ascii="Palatino Linotype" w:hAnsi="Palatino Linotype"/>
          <w:sz w:val="24"/>
          <w:szCs w:val="24"/>
        </w:rPr>
        <w:t>he data discovery summarized in Tables 1</w:t>
      </w:r>
      <w:r w:rsidR="00634FFE">
        <w:rPr>
          <w:rFonts w:ascii="Palatino Linotype" w:hAnsi="Palatino Linotype"/>
          <w:sz w:val="24"/>
          <w:szCs w:val="24"/>
        </w:rPr>
        <w:t xml:space="preserve"> and 2</w:t>
      </w:r>
      <w:r w:rsidR="00AA6F81">
        <w:rPr>
          <w:rFonts w:ascii="Palatino Linotype" w:hAnsi="Palatino Linotype"/>
          <w:sz w:val="24"/>
          <w:szCs w:val="24"/>
        </w:rPr>
        <w:t xml:space="preserve"> reveal that the existing eligibility criteria for the Small Business California Climate Credit have resulted in an outcome contrary to the stated intent of the Commission in D.12-12-033</w:t>
      </w:r>
      <w:r w:rsidR="00AA6F81">
        <w:rPr>
          <w:rStyle w:val="FootnoteReference"/>
          <w:rFonts w:ascii="Palatino Linotype" w:hAnsi="Palatino Linotype"/>
          <w:sz w:val="24"/>
          <w:szCs w:val="24"/>
        </w:rPr>
        <w:footnoteReference w:id="11"/>
      </w:r>
      <w:r w:rsidR="00AA6F81">
        <w:rPr>
          <w:rFonts w:ascii="Palatino Linotype" w:hAnsi="Palatino Linotype"/>
          <w:sz w:val="24"/>
          <w:szCs w:val="24"/>
        </w:rPr>
        <w:t xml:space="preserve"> </w:t>
      </w:r>
      <w:r w:rsidR="007273C7">
        <w:rPr>
          <w:rFonts w:ascii="Palatino Linotype" w:hAnsi="Palatino Linotype"/>
          <w:sz w:val="24"/>
          <w:szCs w:val="24"/>
        </w:rPr>
        <w:t>a</w:t>
      </w:r>
      <w:r w:rsidR="00DA61C7">
        <w:rPr>
          <w:rFonts w:ascii="Palatino Linotype" w:hAnsi="Palatino Linotype"/>
          <w:sz w:val="24"/>
          <w:szCs w:val="24"/>
        </w:rPr>
        <w:t>nd</w:t>
      </w:r>
      <w:r w:rsidRPr="008731FF" w:rsidR="008731FF">
        <w:rPr>
          <w:rFonts w:ascii="Palatino Linotype" w:hAnsi="Palatino Linotype"/>
          <w:sz w:val="24"/>
          <w:szCs w:val="24"/>
        </w:rPr>
        <w:t xml:space="preserve"> the Legislature</w:t>
      </w:r>
      <w:r w:rsidR="002F5140">
        <w:rPr>
          <w:rFonts w:ascii="Palatino Linotype" w:hAnsi="Palatino Linotype"/>
          <w:sz w:val="24"/>
          <w:szCs w:val="24"/>
        </w:rPr>
        <w:t xml:space="preserve"> </w:t>
      </w:r>
      <w:r w:rsidRPr="008731FF" w:rsidR="008731FF">
        <w:rPr>
          <w:rFonts w:ascii="Palatino Linotype" w:hAnsi="Palatino Linotype"/>
          <w:sz w:val="24"/>
          <w:szCs w:val="24"/>
        </w:rPr>
        <w:t xml:space="preserve">in SB </w:t>
      </w:r>
      <w:r w:rsidRPr="009E511E" w:rsidR="008731FF">
        <w:rPr>
          <w:rFonts w:ascii="Palatino Linotype" w:hAnsi="Palatino Linotype"/>
          <w:sz w:val="24"/>
          <w:szCs w:val="24"/>
        </w:rPr>
        <w:t>1018</w:t>
      </w:r>
      <w:r w:rsidRPr="009E511E" w:rsidR="00DA61C7">
        <w:rPr>
          <w:rFonts w:ascii="Palatino Linotype" w:hAnsi="Palatino Linotype"/>
          <w:sz w:val="24"/>
          <w:szCs w:val="24"/>
        </w:rPr>
        <w:t xml:space="preserve"> to </w:t>
      </w:r>
      <w:proofErr w:type="gramStart"/>
      <w:r w:rsidR="00A4550A">
        <w:rPr>
          <w:rFonts w:ascii="Palatino Linotype" w:hAnsi="Palatino Linotype"/>
          <w:sz w:val="24"/>
          <w:szCs w:val="24"/>
        </w:rPr>
        <w:t>provide assistance to</w:t>
      </w:r>
      <w:proofErr w:type="gramEnd"/>
      <w:r w:rsidRPr="009E511E" w:rsidR="009E511E">
        <w:rPr>
          <w:rFonts w:ascii="Palatino Linotype" w:hAnsi="Palatino Linotype"/>
          <w:sz w:val="24"/>
          <w:szCs w:val="24"/>
        </w:rPr>
        <w:t xml:space="preserve"> small businesses</w:t>
      </w:r>
      <w:r w:rsidRPr="009E511E" w:rsidR="006C2891">
        <w:rPr>
          <w:rFonts w:ascii="Palatino Linotype" w:hAnsi="Palatino Linotype"/>
          <w:sz w:val="24"/>
          <w:szCs w:val="24"/>
        </w:rPr>
        <w:t xml:space="preserve">. </w:t>
      </w:r>
      <w:r w:rsidR="00603659">
        <w:rPr>
          <w:rFonts w:ascii="Palatino Linotype" w:hAnsi="Palatino Linotype"/>
          <w:sz w:val="24"/>
          <w:szCs w:val="24"/>
        </w:rPr>
        <w:t xml:space="preserve">Tables 1 &amp; 2 demonstrate that the </w:t>
      </w:r>
      <w:r w:rsidR="003026AA">
        <w:rPr>
          <w:rFonts w:ascii="Palatino Linotype" w:hAnsi="Palatino Linotype"/>
          <w:sz w:val="24"/>
          <w:szCs w:val="24"/>
        </w:rPr>
        <w:t>issue of credit aggregation</w:t>
      </w:r>
      <w:r w:rsidR="00603659">
        <w:rPr>
          <w:rFonts w:ascii="Palatino Linotype" w:hAnsi="Palatino Linotype"/>
          <w:sz w:val="24"/>
          <w:szCs w:val="24"/>
        </w:rPr>
        <w:t xml:space="preserve"> is not confined to one IOU or one sector of the economy, while Table 3 demonstrates that the impact is materially felt by </w:t>
      </w:r>
      <w:r w:rsidR="00133BA6">
        <w:rPr>
          <w:rFonts w:ascii="Palatino Linotype" w:hAnsi="Palatino Linotype"/>
          <w:sz w:val="24"/>
          <w:szCs w:val="24"/>
        </w:rPr>
        <w:t xml:space="preserve">other residential and small business ratepayers through a reduction in the value of their California Climate Credits. </w:t>
      </w:r>
    </w:p>
    <w:p w:rsidR="00133BA6" w:rsidP="00766526" w:rsidRDefault="00133BA6" w14:paraId="05AA6CA8" w14:textId="77777777">
      <w:pPr>
        <w:pStyle w:val="standard"/>
        <w:spacing w:line="240" w:lineRule="auto"/>
        <w:ind w:firstLine="0"/>
        <w:rPr>
          <w:rFonts w:ascii="Palatino Linotype" w:hAnsi="Palatino Linotype"/>
          <w:sz w:val="24"/>
          <w:szCs w:val="24"/>
        </w:rPr>
      </w:pPr>
    </w:p>
    <w:p w:rsidRPr="00766526" w:rsidR="00766526" w:rsidP="00766526" w:rsidRDefault="006C2891" w14:paraId="76172EB6" w14:textId="77777777">
      <w:pPr>
        <w:pStyle w:val="standard"/>
        <w:spacing w:line="240" w:lineRule="auto"/>
        <w:ind w:firstLine="0"/>
        <w:rPr>
          <w:rFonts w:ascii="Palatino Linotype" w:hAnsi="Palatino Linotype"/>
          <w:sz w:val="24"/>
          <w:szCs w:val="24"/>
        </w:rPr>
      </w:pPr>
      <w:r w:rsidRPr="009E511E">
        <w:rPr>
          <w:rFonts w:ascii="Palatino Linotype" w:hAnsi="Palatino Linotype"/>
          <w:sz w:val="24"/>
          <w:szCs w:val="24"/>
        </w:rPr>
        <w:lastRenderedPageBreak/>
        <w:t>Th</w:t>
      </w:r>
      <w:r w:rsidR="003026AA">
        <w:rPr>
          <w:rFonts w:ascii="Palatino Linotype" w:hAnsi="Palatino Linotype"/>
          <w:sz w:val="24"/>
          <w:szCs w:val="24"/>
        </w:rPr>
        <w:t>is</w:t>
      </w:r>
      <w:r w:rsidRPr="009E511E">
        <w:rPr>
          <w:rFonts w:ascii="Palatino Linotype" w:hAnsi="Palatino Linotype"/>
          <w:sz w:val="24"/>
          <w:szCs w:val="24"/>
        </w:rPr>
        <w:t xml:space="preserve"> </w:t>
      </w:r>
      <w:r>
        <w:rPr>
          <w:rFonts w:ascii="Palatino Linotype" w:hAnsi="Palatino Linotype"/>
          <w:sz w:val="24"/>
          <w:szCs w:val="24"/>
        </w:rPr>
        <w:t xml:space="preserve">resolution </w:t>
      </w:r>
      <w:r w:rsidR="004A4B01">
        <w:rPr>
          <w:rFonts w:ascii="Palatino Linotype" w:hAnsi="Palatino Linotype"/>
          <w:sz w:val="24"/>
          <w:szCs w:val="24"/>
        </w:rPr>
        <w:t xml:space="preserve">makes minor alterations to </w:t>
      </w:r>
      <w:r w:rsidR="00AB7A80">
        <w:rPr>
          <w:rFonts w:ascii="Palatino Linotype" w:hAnsi="Palatino Linotype"/>
          <w:sz w:val="24"/>
          <w:szCs w:val="24"/>
        </w:rPr>
        <w:t>S</w:t>
      </w:r>
      <w:r w:rsidR="00F25295">
        <w:rPr>
          <w:rFonts w:ascii="Palatino Linotype" w:hAnsi="Palatino Linotype"/>
          <w:sz w:val="24"/>
          <w:szCs w:val="24"/>
        </w:rPr>
        <w:t xml:space="preserve">mall </w:t>
      </w:r>
      <w:r w:rsidR="00AB7A80">
        <w:rPr>
          <w:rFonts w:ascii="Palatino Linotype" w:hAnsi="Palatino Linotype"/>
          <w:sz w:val="24"/>
          <w:szCs w:val="24"/>
        </w:rPr>
        <w:t>B</w:t>
      </w:r>
      <w:r w:rsidR="00F25295">
        <w:rPr>
          <w:rFonts w:ascii="Palatino Linotype" w:hAnsi="Palatino Linotype"/>
          <w:sz w:val="24"/>
          <w:szCs w:val="24"/>
        </w:rPr>
        <w:t xml:space="preserve">usiness </w:t>
      </w:r>
      <w:r w:rsidR="00F9191E">
        <w:rPr>
          <w:rFonts w:ascii="Palatino Linotype" w:hAnsi="Palatino Linotype"/>
          <w:sz w:val="24"/>
          <w:szCs w:val="24"/>
        </w:rPr>
        <w:t>California Climate Cr</w:t>
      </w:r>
      <w:r w:rsidR="00A56D76">
        <w:rPr>
          <w:rFonts w:ascii="Palatino Linotype" w:hAnsi="Palatino Linotype"/>
          <w:sz w:val="24"/>
          <w:szCs w:val="24"/>
        </w:rPr>
        <w:t xml:space="preserve">edit </w:t>
      </w:r>
      <w:r w:rsidR="00F25295">
        <w:rPr>
          <w:rFonts w:ascii="Palatino Linotype" w:hAnsi="Palatino Linotype"/>
          <w:sz w:val="24"/>
          <w:szCs w:val="24"/>
        </w:rPr>
        <w:t>eligibility</w:t>
      </w:r>
      <w:r w:rsidR="004A4B01">
        <w:rPr>
          <w:rFonts w:ascii="Palatino Linotype" w:hAnsi="Palatino Linotype"/>
          <w:sz w:val="24"/>
          <w:szCs w:val="24"/>
        </w:rPr>
        <w:t xml:space="preserve"> </w:t>
      </w:r>
      <w:r w:rsidR="00F25295">
        <w:rPr>
          <w:rFonts w:ascii="Palatino Linotype" w:hAnsi="Palatino Linotype"/>
          <w:sz w:val="24"/>
          <w:szCs w:val="24"/>
        </w:rPr>
        <w:t>to better align</w:t>
      </w:r>
      <w:r w:rsidR="00993D9F">
        <w:rPr>
          <w:rFonts w:ascii="Palatino Linotype" w:hAnsi="Palatino Linotype"/>
          <w:sz w:val="24"/>
          <w:szCs w:val="24"/>
        </w:rPr>
        <w:t xml:space="preserve"> with </w:t>
      </w:r>
      <w:r w:rsidR="00DA61C7">
        <w:rPr>
          <w:rFonts w:ascii="Palatino Linotype" w:hAnsi="Palatino Linotype"/>
          <w:sz w:val="24"/>
          <w:szCs w:val="24"/>
        </w:rPr>
        <w:t>t</w:t>
      </w:r>
      <w:r w:rsidR="00F25295">
        <w:rPr>
          <w:rFonts w:ascii="Palatino Linotype" w:hAnsi="Palatino Linotype"/>
          <w:sz w:val="24"/>
          <w:szCs w:val="24"/>
        </w:rPr>
        <w:t xml:space="preserve">he </w:t>
      </w:r>
      <w:r w:rsidR="002F5140">
        <w:rPr>
          <w:rFonts w:ascii="Palatino Linotype" w:hAnsi="Palatino Linotype"/>
          <w:sz w:val="24"/>
          <w:szCs w:val="24"/>
        </w:rPr>
        <w:t>S</w:t>
      </w:r>
      <w:r w:rsidR="00F25295">
        <w:rPr>
          <w:rFonts w:ascii="Palatino Linotype" w:hAnsi="Palatino Linotype"/>
          <w:sz w:val="24"/>
          <w:szCs w:val="24"/>
        </w:rPr>
        <w:t xml:space="preserve">tate’s </w:t>
      </w:r>
      <w:r w:rsidR="00DA61C7">
        <w:rPr>
          <w:rFonts w:ascii="Palatino Linotype" w:hAnsi="Palatino Linotype"/>
          <w:sz w:val="24"/>
          <w:szCs w:val="24"/>
        </w:rPr>
        <w:t>policy guidance</w:t>
      </w:r>
      <w:r w:rsidR="00083D7A">
        <w:rPr>
          <w:rFonts w:ascii="Palatino Linotype" w:hAnsi="Palatino Linotype"/>
          <w:sz w:val="24"/>
          <w:szCs w:val="24"/>
        </w:rPr>
        <w:t xml:space="preserve"> while seeking to avoid any harm to small businesses</w:t>
      </w:r>
      <w:r w:rsidR="004A4B01">
        <w:rPr>
          <w:rFonts w:ascii="Palatino Linotype" w:hAnsi="Palatino Linotype"/>
          <w:sz w:val="24"/>
          <w:szCs w:val="24"/>
        </w:rPr>
        <w:t>.</w:t>
      </w:r>
      <w:r w:rsidR="00EF4EFB">
        <w:rPr>
          <w:rFonts w:ascii="Palatino Linotype" w:hAnsi="Palatino Linotype"/>
          <w:sz w:val="24"/>
          <w:szCs w:val="24"/>
        </w:rPr>
        <w:t xml:space="preserve"> </w:t>
      </w:r>
      <w:r w:rsidR="00766526">
        <w:rPr>
          <w:rFonts w:ascii="Palatino Linotype" w:hAnsi="Palatino Linotype"/>
          <w:sz w:val="24"/>
          <w:szCs w:val="24"/>
        </w:rPr>
        <w:t xml:space="preserve">As </w:t>
      </w:r>
      <w:r w:rsidR="00BB46FA">
        <w:rPr>
          <w:rFonts w:ascii="Palatino Linotype" w:hAnsi="Palatino Linotype"/>
          <w:sz w:val="24"/>
          <w:szCs w:val="24"/>
        </w:rPr>
        <w:t xml:space="preserve">found in previous Commission decisions </w:t>
      </w:r>
      <w:r w:rsidR="00766526">
        <w:rPr>
          <w:rFonts w:ascii="Palatino Linotype" w:hAnsi="Palatino Linotype"/>
          <w:sz w:val="24"/>
          <w:szCs w:val="24"/>
        </w:rPr>
        <w:t>(See D.12-12-033, D.13-12-002, and D.21-08-026), IOUs have limited access to information about their customers’ businesses</w:t>
      </w:r>
      <w:r w:rsidR="00382DCC">
        <w:rPr>
          <w:rFonts w:ascii="Palatino Linotype" w:hAnsi="Palatino Linotype"/>
          <w:sz w:val="24"/>
          <w:szCs w:val="24"/>
        </w:rPr>
        <w:t xml:space="preserve"> </w:t>
      </w:r>
      <w:r w:rsidR="00BB46FA">
        <w:rPr>
          <w:rFonts w:ascii="Palatino Linotype" w:hAnsi="Palatino Linotype"/>
          <w:sz w:val="24"/>
          <w:szCs w:val="24"/>
        </w:rPr>
        <w:t>beyond</w:t>
      </w:r>
      <w:r w:rsidR="00382DCC">
        <w:rPr>
          <w:rFonts w:ascii="Palatino Linotype" w:hAnsi="Palatino Linotype"/>
          <w:sz w:val="24"/>
          <w:szCs w:val="24"/>
        </w:rPr>
        <w:t xml:space="preserve"> the energy usage of each account</w:t>
      </w:r>
      <w:r w:rsidR="00766526">
        <w:rPr>
          <w:rFonts w:ascii="Palatino Linotype" w:hAnsi="Palatino Linotype"/>
          <w:sz w:val="24"/>
          <w:szCs w:val="24"/>
        </w:rPr>
        <w:t xml:space="preserve">. The Commission </w:t>
      </w:r>
      <w:r w:rsidR="007E0B7D">
        <w:rPr>
          <w:rFonts w:ascii="Palatino Linotype" w:hAnsi="Palatino Linotype"/>
          <w:sz w:val="24"/>
          <w:szCs w:val="24"/>
        </w:rPr>
        <w:t>previously</w:t>
      </w:r>
      <w:r w:rsidR="00766526">
        <w:rPr>
          <w:rFonts w:ascii="Palatino Linotype" w:hAnsi="Palatino Linotype"/>
          <w:sz w:val="24"/>
          <w:szCs w:val="24"/>
        </w:rPr>
        <w:t xml:space="preserve"> rejected an attestation process for the Small Business California Climate Credit </w:t>
      </w:r>
      <w:r w:rsidR="00935FA7">
        <w:rPr>
          <w:rFonts w:ascii="Palatino Linotype" w:hAnsi="Palatino Linotype"/>
          <w:sz w:val="24"/>
          <w:szCs w:val="24"/>
        </w:rPr>
        <w:t xml:space="preserve">finding </w:t>
      </w:r>
      <w:r w:rsidR="00770F04">
        <w:rPr>
          <w:rFonts w:ascii="Palatino Linotype" w:hAnsi="Palatino Linotype"/>
          <w:sz w:val="24"/>
          <w:szCs w:val="24"/>
        </w:rPr>
        <w:t>a verification or attestation step</w:t>
      </w:r>
      <w:r w:rsidR="001F2BA8">
        <w:rPr>
          <w:rFonts w:ascii="Palatino Linotype" w:hAnsi="Palatino Linotype"/>
          <w:sz w:val="24"/>
          <w:szCs w:val="24"/>
        </w:rPr>
        <w:t xml:space="preserve"> </w:t>
      </w:r>
      <w:r w:rsidR="005D2B28">
        <w:rPr>
          <w:rFonts w:ascii="Palatino Linotype" w:hAnsi="Palatino Linotype"/>
          <w:sz w:val="24"/>
          <w:szCs w:val="24"/>
        </w:rPr>
        <w:t xml:space="preserve">would likely result in more harm than good, acting as a barrier </w:t>
      </w:r>
      <w:r w:rsidR="000852CF">
        <w:rPr>
          <w:rFonts w:ascii="Palatino Linotype" w:hAnsi="Palatino Linotype"/>
          <w:sz w:val="24"/>
          <w:szCs w:val="24"/>
        </w:rPr>
        <w:t>preventing small businesses from participating</w:t>
      </w:r>
      <w:r w:rsidR="001A2507">
        <w:rPr>
          <w:rFonts w:ascii="Palatino Linotype" w:hAnsi="Palatino Linotype"/>
          <w:sz w:val="24"/>
          <w:szCs w:val="24"/>
        </w:rPr>
        <w:t>.</w:t>
      </w:r>
      <w:r w:rsidR="00935FA7">
        <w:rPr>
          <w:rStyle w:val="FootnoteReference"/>
          <w:rFonts w:ascii="Palatino Linotype" w:hAnsi="Palatino Linotype"/>
          <w:sz w:val="24"/>
          <w:szCs w:val="24"/>
        </w:rPr>
        <w:footnoteReference w:id="12"/>
      </w:r>
      <w:r w:rsidR="00766526">
        <w:rPr>
          <w:rFonts w:ascii="Palatino Linotype" w:hAnsi="Palatino Linotype"/>
          <w:sz w:val="24"/>
          <w:szCs w:val="24"/>
        </w:rPr>
        <w:t xml:space="preserve"> </w:t>
      </w:r>
      <w:r w:rsidR="008E7F63">
        <w:rPr>
          <w:rFonts w:ascii="Palatino Linotype" w:hAnsi="Palatino Linotype"/>
          <w:sz w:val="24"/>
          <w:szCs w:val="24"/>
        </w:rPr>
        <w:t xml:space="preserve">Accordingly, we adopt </w:t>
      </w:r>
      <w:r w:rsidR="00766526">
        <w:rPr>
          <w:rFonts w:ascii="Palatino Linotype" w:hAnsi="Palatino Linotype"/>
          <w:sz w:val="24"/>
          <w:szCs w:val="24"/>
        </w:rPr>
        <w:t>Energy Division Staff</w:t>
      </w:r>
      <w:r w:rsidR="00EF0C5C">
        <w:rPr>
          <w:rFonts w:ascii="Palatino Linotype" w:hAnsi="Palatino Linotype"/>
          <w:sz w:val="24"/>
          <w:szCs w:val="24"/>
        </w:rPr>
        <w:t>’s recommendation to make</w:t>
      </w:r>
      <w:r w:rsidR="00766526">
        <w:rPr>
          <w:rFonts w:ascii="Palatino Linotype" w:hAnsi="Palatino Linotype"/>
          <w:sz w:val="24"/>
          <w:szCs w:val="24"/>
        </w:rPr>
        <w:t xml:space="preserve"> minor updates</w:t>
      </w:r>
      <w:r w:rsidR="008042C1">
        <w:rPr>
          <w:rFonts w:ascii="Palatino Linotype" w:hAnsi="Palatino Linotype"/>
          <w:sz w:val="24"/>
          <w:szCs w:val="24"/>
        </w:rPr>
        <w:t xml:space="preserve"> to the attestation process </w:t>
      </w:r>
      <w:r w:rsidR="002F667E">
        <w:rPr>
          <w:rFonts w:ascii="Palatino Linotype" w:hAnsi="Palatino Linotype"/>
          <w:sz w:val="24"/>
          <w:szCs w:val="24"/>
        </w:rPr>
        <w:t xml:space="preserve">to </w:t>
      </w:r>
      <w:r w:rsidR="00382DCC">
        <w:rPr>
          <w:rFonts w:ascii="Palatino Linotype" w:hAnsi="Palatino Linotype"/>
          <w:sz w:val="24"/>
          <w:szCs w:val="24"/>
        </w:rPr>
        <w:t>impos</w:t>
      </w:r>
      <w:r w:rsidR="002F667E">
        <w:rPr>
          <w:rFonts w:ascii="Palatino Linotype" w:hAnsi="Palatino Linotype"/>
          <w:sz w:val="24"/>
          <w:szCs w:val="24"/>
        </w:rPr>
        <w:t>e</w:t>
      </w:r>
      <w:r w:rsidR="00382DCC">
        <w:rPr>
          <w:rFonts w:ascii="Palatino Linotype" w:hAnsi="Palatino Linotype"/>
          <w:sz w:val="24"/>
          <w:szCs w:val="24"/>
        </w:rPr>
        <w:t xml:space="preserve"> a cap on the number of eligible accounts a single entity can aggregate</w:t>
      </w:r>
      <w:r w:rsidR="002F667E">
        <w:rPr>
          <w:rFonts w:ascii="Palatino Linotype" w:hAnsi="Palatino Linotype"/>
          <w:sz w:val="24"/>
          <w:szCs w:val="24"/>
        </w:rPr>
        <w:t xml:space="preserve"> while retaining the existing automatic energy usage eligibility criteria</w:t>
      </w:r>
      <w:r w:rsidR="00AE1671">
        <w:rPr>
          <w:rFonts w:ascii="Palatino Linotype" w:hAnsi="Palatino Linotype"/>
          <w:sz w:val="24"/>
          <w:szCs w:val="24"/>
        </w:rPr>
        <w:t>.</w:t>
      </w:r>
      <w:r w:rsidRPr="003310A5" w:rsidR="003310A5">
        <w:rPr>
          <w:rFonts w:ascii="Palatino Linotype" w:hAnsi="Palatino Linotype"/>
          <w:sz w:val="24"/>
          <w:szCs w:val="24"/>
        </w:rPr>
        <w:t xml:space="preserve"> </w:t>
      </w:r>
      <w:r w:rsidR="003310A5">
        <w:rPr>
          <w:rFonts w:ascii="Palatino Linotype" w:hAnsi="Palatino Linotype"/>
          <w:sz w:val="24"/>
          <w:szCs w:val="24"/>
        </w:rPr>
        <w:t xml:space="preserve">More extensive program modifications, which may result in further improved identification of small businesses, are reserved for a future proceeding </w:t>
      </w:r>
      <w:r w:rsidR="00314302">
        <w:rPr>
          <w:rFonts w:ascii="Palatino Linotype" w:hAnsi="Palatino Linotype"/>
          <w:sz w:val="24"/>
          <w:szCs w:val="24"/>
        </w:rPr>
        <w:t>or Commission action</w:t>
      </w:r>
      <w:r w:rsidR="00041632">
        <w:rPr>
          <w:rFonts w:ascii="Palatino Linotype" w:hAnsi="Palatino Linotype"/>
          <w:sz w:val="24"/>
          <w:szCs w:val="24"/>
        </w:rPr>
        <w:t xml:space="preserve"> </w:t>
      </w:r>
      <w:r w:rsidR="003310A5">
        <w:rPr>
          <w:rFonts w:ascii="Palatino Linotype" w:hAnsi="Palatino Linotype"/>
          <w:sz w:val="24"/>
          <w:szCs w:val="24"/>
        </w:rPr>
        <w:t xml:space="preserve">as the varied nature of California’s small business ecosystem requires input from an array of stakeholders </w:t>
      </w:r>
      <w:proofErr w:type="gramStart"/>
      <w:r w:rsidR="003310A5">
        <w:rPr>
          <w:rFonts w:ascii="Palatino Linotype" w:hAnsi="Palatino Linotype"/>
          <w:sz w:val="24"/>
          <w:szCs w:val="24"/>
        </w:rPr>
        <w:t>in order to</w:t>
      </w:r>
      <w:proofErr w:type="gramEnd"/>
      <w:r w:rsidR="003310A5">
        <w:rPr>
          <w:rFonts w:ascii="Palatino Linotype" w:hAnsi="Palatino Linotype"/>
          <w:sz w:val="24"/>
          <w:szCs w:val="24"/>
        </w:rPr>
        <w:t xml:space="preserve"> make informed program design decisions.</w:t>
      </w:r>
    </w:p>
    <w:p w:rsidRPr="00CD2869" w:rsidR="00EF30C1" w:rsidP="00CD2869" w:rsidRDefault="00EF30C1" w14:paraId="7267F978" w14:textId="77777777">
      <w:pPr>
        <w:pStyle w:val="standard"/>
        <w:spacing w:line="240" w:lineRule="auto"/>
        <w:ind w:firstLine="0"/>
        <w:rPr>
          <w:rFonts w:ascii="Palatino Linotype" w:hAnsi="Palatino Linotype"/>
          <w:sz w:val="24"/>
          <w:szCs w:val="24"/>
        </w:rPr>
      </w:pPr>
    </w:p>
    <w:p w:rsidRPr="00C44A7C" w:rsidR="00DC7550" w:rsidP="00DC7550" w:rsidRDefault="004627D5" w14:paraId="19DA6C74" w14:textId="77777777">
      <w:pPr>
        <w:rPr>
          <w:rFonts w:ascii="Palatino Linotype" w:hAnsi="Palatino Linotype"/>
          <w:b/>
          <w:bCs/>
          <w:sz w:val="24"/>
          <w:szCs w:val="24"/>
        </w:rPr>
      </w:pPr>
      <w:r>
        <w:rPr>
          <w:rFonts w:ascii="Palatino Linotype" w:hAnsi="Palatino Linotype"/>
          <w:b/>
          <w:bCs/>
          <w:sz w:val="24"/>
          <w:szCs w:val="24"/>
        </w:rPr>
        <w:t>Recipient</w:t>
      </w:r>
      <w:r w:rsidRPr="00C44A7C" w:rsidR="00DC7550">
        <w:rPr>
          <w:rFonts w:ascii="Palatino Linotype" w:hAnsi="Palatino Linotype"/>
          <w:b/>
          <w:bCs/>
          <w:sz w:val="24"/>
          <w:szCs w:val="24"/>
        </w:rPr>
        <w:t xml:space="preserve"> Aggregation Standard</w:t>
      </w:r>
    </w:p>
    <w:p w:rsidR="00DC7550" w:rsidP="00DC7550" w:rsidRDefault="00DC7550" w14:paraId="6B7F5B5B" w14:textId="77777777">
      <w:pPr>
        <w:rPr>
          <w:rFonts w:ascii="Palatino Linotype" w:hAnsi="Palatino Linotype"/>
          <w:sz w:val="24"/>
          <w:szCs w:val="24"/>
        </w:rPr>
      </w:pPr>
    </w:p>
    <w:p w:rsidRPr="00673F3E" w:rsidR="00DC7550" w:rsidP="00DC7550" w:rsidRDefault="00E21894" w14:paraId="0FE09B43" w14:textId="77777777">
      <w:pPr>
        <w:rPr>
          <w:rFonts w:ascii="Palatino Linotype" w:hAnsi="Palatino Linotype"/>
          <w:sz w:val="24"/>
          <w:szCs w:val="24"/>
        </w:rPr>
      </w:pPr>
      <w:r>
        <w:rPr>
          <w:rFonts w:ascii="Palatino Linotype" w:hAnsi="Palatino Linotype"/>
          <w:sz w:val="24"/>
          <w:szCs w:val="24"/>
        </w:rPr>
        <w:t>T</w:t>
      </w:r>
      <w:r w:rsidR="00DC7550">
        <w:rPr>
          <w:rFonts w:ascii="Palatino Linotype" w:hAnsi="Palatino Linotype"/>
          <w:sz w:val="24"/>
          <w:szCs w:val="24"/>
        </w:rPr>
        <w:t xml:space="preserve">he amount </w:t>
      </w:r>
      <w:r w:rsidR="00017377">
        <w:rPr>
          <w:rFonts w:ascii="Palatino Linotype" w:hAnsi="Palatino Linotype"/>
          <w:sz w:val="24"/>
          <w:szCs w:val="24"/>
        </w:rPr>
        <w:t xml:space="preserve">of </w:t>
      </w:r>
      <w:r w:rsidR="00DC7550">
        <w:rPr>
          <w:rFonts w:ascii="Palatino Linotype" w:hAnsi="Palatino Linotype"/>
          <w:sz w:val="24"/>
          <w:szCs w:val="24"/>
        </w:rPr>
        <w:t xml:space="preserve">information known by an IOU regarding an account is often extremely limited. Often, only the name, address, billing information, tariff type, and energy usage are available. </w:t>
      </w:r>
      <w:r w:rsidR="00B26B23">
        <w:rPr>
          <w:rFonts w:ascii="Palatino Linotype" w:hAnsi="Palatino Linotype"/>
          <w:sz w:val="24"/>
          <w:szCs w:val="24"/>
        </w:rPr>
        <w:t xml:space="preserve">Different IOUs will have access to different </w:t>
      </w:r>
      <w:r w:rsidR="00290473">
        <w:rPr>
          <w:rFonts w:ascii="Palatino Linotype" w:hAnsi="Palatino Linotype"/>
          <w:sz w:val="24"/>
          <w:szCs w:val="24"/>
        </w:rPr>
        <w:t xml:space="preserve">customer </w:t>
      </w:r>
      <w:r w:rsidR="00B26B23">
        <w:rPr>
          <w:rFonts w:ascii="Palatino Linotype" w:hAnsi="Palatino Linotype"/>
          <w:sz w:val="24"/>
          <w:szCs w:val="24"/>
        </w:rPr>
        <w:t xml:space="preserve">information based on their billing systems. </w:t>
      </w:r>
      <w:r w:rsidR="00DC7550">
        <w:rPr>
          <w:rFonts w:ascii="Palatino Linotype" w:hAnsi="Palatino Linotype"/>
          <w:sz w:val="24"/>
          <w:szCs w:val="24"/>
        </w:rPr>
        <w:t>Accordingly, IOUs</w:t>
      </w:r>
      <w:r>
        <w:rPr>
          <w:rFonts w:ascii="Palatino Linotype" w:hAnsi="Palatino Linotype"/>
          <w:sz w:val="24"/>
          <w:szCs w:val="24"/>
        </w:rPr>
        <w:t xml:space="preserve"> will </w:t>
      </w:r>
      <w:r w:rsidR="00DC7550">
        <w:rPr>
          <w:rFonts w:ascii="Palatino Linotype" w:hAnsi="Palatino Linotype"/>
          <w:sz w:val="24"/>
          <w:szCs w:val="24"/>
        </w:rPr>
        <w:t xml:space="preserve">aggregate accounts </w:t>
      </w:r>
      <w:r w:rsidRPr="00B26B23" w:rsidR="00B26B23">
        <w:rPr>
          <w:rFonts w:ascii="Palatino Linotype" w:hAnsi="Palatino Linotype"/>
          <w:sz w:val="24"/>
          <w:szCs w:val="24"/>
        </w:rPr>
        <w:t>based on a reasonable method available to each IOU based on the information available to the IOU</w:t>
      </w:r>
      <w:r w:rsidR="00DC7550">
        <w:rPr>
          <w:rFonts w:ascii="Palatino Linotype" w:hAnsi="Palatino Linotype"/>
          <w:sz w:val="24"/>
          <w:szCs w:val="24"/>
        </w:rPr>
        <w:t xml:space="preserve">.  </w:t>
      </w:r>
    </w:p>
    <w:p w:rsidRPr="00356C5D" w:rsidR="00DC7550" w:rsidP="00DC7550" w:rsidRDefault="00DC7550" w14:paraId="36B10DB7" w14:textId="77777777">
      <w:pPr>
        <w:rPr>
          <w:rFonts w:ascii="Palatino Linotype" w:hAnsi="Palatino Linotype"/>
          <w:sz w:val="24"/>
          <w:szCs w:val="24"/>
        </w:rPr>
      </w:pPr>
    </w:p>
    <w:p w:rsidR="00DC7550" w:rsidP="00DC7550" w:rsidRDefault="00DC7550" w14:paraId="4167FE0C" w14:textId="77777777">
      <w:pPr>
        <w:rPr>
          <w:rFonts w:ascii="Palatino Linotype" w:hAnsi="Palatino Linotype"/>
          <w:sz w:val="24"/>
          <w:szCs w:val="24"/>
        </w:rPr>
      </w:pPr>
      <w:r>
        <w:rPr>
          <w:rFonts w:ascii="Palatino Linotype" w:hAnsi="Palatino Linotype"/>
          <w:sz w:val="24"/>
          <w:szCs w:val="24"/>
        </w:rPr>
        <w:t>IOU accounts can exhibit significant name variation, even for the same business</w:t>
      </w:r>
      <w:r w:rsidR="00912DE9">
        <w:rPr>
          <w:rFonts w:ascii="Palatino Linotype" w:hAnsi="Palatino Linotype"/>
          <w:sz w:val="24"/>
          <w:szCs w:val="24"/>
        </w:rPr>
        <w:t>.</w:t>
      </w:r>
      <w:r>
        <w:rPr>
          <w:rFonts w:ascii="Palatino Linotype" w:hAnsi="Palatino Linotype"/>
          <w:sz w:val="24"/>
          <w:szCs w:val="24"/>
        </w:rPr>
        <w:t xml:space="preserve"> For example, California Café/California Café Incorporated/California Café Inc/ CA Café Inc. and its various permutations may be used on different accounts depending on the IOU account manager defaults or company naming preferences at the time the account was </w:t>
      </w:r>
      <w:r w:rsidR="00912DE9">
        <w:rPr>
          <w:rFonts w:ascii="Palatino Linotype" w:hAnsi="Palatino Linotype"/>
          <w:sz w:val="24"/>
          <w:szCs w:val="24"/>
        </w:rPr>
        <w:t>established</w:t>
      </w:r>
      <w:r>
        <w:rPr>
          <w:rFonts w:ascii="Palatino Linotype" w:hAnsi="Palatino Linotype"/>
          <w:sz w:val="24"/>
          <w:szCs w:val="24"/>
        </w:rPr>
        <w:t>. Additionally, larger companies may purposefully organize themselves into distinct sub</w:t>
      </w:r>
      <w:r w:rsidR="00912DE9">
        <w:rPr>
          <w:rFonts w:ascii="Palatino Linotype" w:hAnsi="Palatino Linotype"/>
          <w:sz w:val="24"/>
          <w:szCs w:val="24"/>
        </w:rPr>
        <w:t>-</w:t>
      </w:r>
      <w:r>
        <w:rPr>
          <w:rFonts w:ascii="Palatino Linotype" w:hAnsi="Palatino Linotype"/>
          <w:sz w:val="24"/>
          <w:szCs w:val="24"/>
        </w:rPr>
        <w:t>units for a variety of reasons (tax, liability, etc.). For example, CA Café – Sacramento / California Café – San Diego / California Café – SF may all be used for different division</w:t>
      </w:r>
      <w:r w:rsidR="00AB385F">
        <w:rPr>
          <w:rFonts w:ascii="Palatino Linotype" w:hAnsi="Palatino Linotype"/>
          <w:sz w:val="24"/>
          <w:szCs w:val="24"/>
        </w:rPr>
        <w:t>s</w:t>
      </w:r>
      <w:r>
        <w:rPr>
          <w:rFonts w:ascii="Palatino Linotype" w:hAnsi="Palatino Linotype"/>
          <w:sz w:val="24"/>
          <w:szCs w:val="24"/>
        </w:rPr>
        <w:t xml:space="preserve"> or branches of the same company. </w:t>
      </w:r>
    </w:p>
    <w:p w:rsidR="00DC7550" w:rsidP="00DC7550" w:rsidRDefault="00DC7550" w14:paraId="4D89E0A9" w14:textId="77777777">
      <w:pPr>
        <w:rPr>
          <w:rFonts w:ascii="Palatino Linotype" w:hAnsi="Palatino Linotype"/>
          <w:sz w:val="24"/>
          <w:szCs w:val="24"/>
        </w:rPr>
      </w:pPr>
    </w:p>
    <w:p w:rsidR="00DC7550" w:rsidP="00DC7550" w:rsidRDefault="00DC7550" w14:paraId="3D7C861E" w14:textId="77777777">
      <w:pPr>
        <w:rPr>
          <w:rFonts w:ascii="Palatino Linotype" w:hAnsi="Palatino Linotype"/>
          <w:sz w:val="24"/>
          <w:szCs w:val="24"/>
        </w:rPr>
      </w:pPr>
      <w:r>
        <w:rPr>
          <w:rFonts w:ascii="Palatino Linotype" w:hAnsi="Palatino Linotype"/>
          <w:sz w:val="24"/>
          <w:szCs w:val="24"/>
        </w:rPr>
        <w:t xml:space="preserve">In D.12-12-033, </w:t>
      </w:r>
      <w:r w:rsidR="00814EAF">
        <w:rPr>
          <w:rFonts w:ascii="Palatino Linotype" w:hAnsi="Palatino Linotype"/>
          <w:sz w:val="24"/>
          <w:szCs w:val="24"/>
        </w:rPr>
        <w:t>the Commission</w:t>
      </w:r>
      <w:r>
        <w:rPr>
          <w:rFonts w:ascii="Palatino Linotype" w:hAnsi="Palatino Linotype"/>
          <w:sz w:val="24"/>
          <w:szCs w:val="24"/>
        </w:rPr>
        <w:t xml:space="preserve"> considered </w:t>
      </w:r>
      <w:r w:rsidR="00814EAF">
        <w:rPr>
          <w:rFonts w:ascii="Palatino Linotype" w:hAnsi="Palatino Linotype"/>
          <w:sz w:val="24"/>
          <w:szCs w:val="24"/>
        </w:rPr>
        <w:t>criteria</w:t>
      </w:r>
      <w:r>
        <w:rPr>
          <w:rFonts w:ascii="Palatino Linotype" w:hAnsi="Palatino Linotype"/>
          <w:sz w:val="24"/>
          <w:szCs w:val="24"/>
        </w:rPr>
        <w:t xml:space="preserve"> for defining small businesses for crediting purpose</w:t>
      </w:r>
      <w:r w:rsidR="00E21894">
        <w:rPr>
          <w:rFonts w:ascii="Palatino Linotype" w:hAnsi="Palatino Linotype"/>
          <w:sz w:val="24"/>
          <w:szCs w:val="24"/>
        </w:rPr>
        <w:t>s</w:t>
      </w:r>
      <w:r w:rsidR="00814EAF">
        <w:rPr>
          <w:rFonts w:ascii="Palatino Linotype" w:hAnsi="Palatino Linotype"/>
          <w:sz w:val="24"/>
          <w:szCs w:val="24"/>
        </w:rPr>
        <w:t xml:space="preserve">. </w:t>
      </w:r>
      <w:r w:rsidR="007F6C6C">
        <w:rPr>
          <w:rFonts w:ascii="Palatino Linotype" w:hAnsi="Palatino Linotype"/>
          <w:sz w:val="24"/>
          <w:szCs w:val="24"/>
        </w:rPr>
        <w:t>T</w:t>
      </w:r>
      <w:r>
        <w:rPr>
          <w:rFonts w:ascii="Palatino Linotype" w:hAnsi="Palatino Linotype"/>
          <w:sz w:val="24"/>
          <w:szCs w:val="24"/>
        </w:rPr>
        <w:t xml:space="preserve">he Commission </w:t>
      </w:r>
      <w:r w:rsidR="00241712">
        <w:rPr>
          <w:rFonts w:ascii="Palatino Linotype" w:hAnsi="Palatino Linotype"/>
          <w:sz w:val="24"/>
          <w:szCs w:val="24"/>
        </w:rPr>
        <w:t xml:space="preserve">referenced </w:t>
      </w:r>
      <w:r>
        <w:rPr>
          <w:rFonts w:ascii="Palatino Linotype" w:hAnsi="Palatino Linotype"/>
          <w:sz w:val="24"/>
          <w:szCs w:val="24"/>
        </w:rPr>
        <w:t xml:space="preserve">the California Department of General Services definition of a small business, which in </w:t>
      </w:r>
      <w:r w:rsidRPr="00306496">
        <w:rPr>
          <w:rFonts w:ascii="Palatino Linotype" w:hAnsi="Palatino Linotype"/>
          <w:sz w:val="24"/>
          <w:szCs w:val="24"/>
        </w:rPr>
        <w:t>Government Code Section 14837</w:t>
      </w:r>
      <w:r>
        <w:rPr>
          <w:rFonts w:ascii="Palatino Linotype" w:hAnsi="Palatino Linotype"/>
          <w:sz w:val="24"/>
          <w:szCs w:val="24"/>
        </w:rPr>
        <w:t xml:space="preserve"> defines a small business in California as:</w:t>
      </w:r>
    </w:p>
    <w:p w:rsidR="00DC7550" w:rsidP="00DC7550" w:rsidRDefault="00DC7550" w14:paraId="6D31F4C1" w14:textId="77777777">
      <w:pPr>
        <w:rPr>
          <w:rFonts w:ascii="Palatino Linotype" w:hAnsi="Palatino Linotype"/>
          <w:sz w:val="24"/>
          <w:szCs w:val="24"/>
        </w:rPr>
      </w:pPr>
    </w:p>
    <w:p w:rsidRPr="00CF685B" w:rsidR="00DC7550" w:rsidP="00DC7550" w:rsidRDefault="00DC7550" w14:paraId="3087715F" w14:textId="77777777">
      <w:pPr>
        <w:ind w:left="720" w:right="720"/>
        <w:rPr>
          <w:rFonts w:ascii="Palatino Linotype" w:hAnsi="Palatino Linotype"/>
          <w:i/>
          <w:iCs/>
          <w:sz w:val="24"/>
          <w:szCs w:val="24"/>
        </w:rPr>
      </w:pPr>
      <w:r w:rsidRPr="00CF685B">
        <w:rPr>
          <w:rFonts w:ascii="Palatino Linotype" w:hAnsi="Palatino Linotype"/>
          <w:i/>
          <w:iCs/>
          <w:sz w:val="24"/>
          <w:szCs w:val="24"/>
        </w:rPr>
        <w:t>“Small business” means an independently owned and operated business that is not dominant in its field of operation, the principal office of which is located in California, the officers of which are domiciled in California, and which, together with affiliates, has 100 or fewer employees, and average annual gross receipts of ten million dollars ($10,000,000) or less over the previous three years, or is a manufacturer, as defined in subdivision (c), with 100 or fewer employees. Commencing January 1, 2019, the average annual gross receipts threshold shall be fifteen million dollars ($15,000,000).</w:t>
      </w:r>
    </w:p>
    <w:p w:rsidR="00DC7550" w:rsidP="00DC7550" w:rsidRDefault="00DC7550" w14:paraId="57151AA8" w14:textId="77777777">
      <w:pPr>
        <w:rPr>
          <w:rFonts w:ascii="Palatino Linotype" w:hAnsi="Palatino Linotype"/>
          <w:sz w:val="24"/>
          <w:szCs w:val="24"/>
        </w:rPr>
      </w:pPr>
    </w:p>
    <w:p w:rsidR="00DC7550" w:rsidP="00DC7550" w:rsidRDefault="00DC7550" w14:paraId="5FAC945E" w14:textId="77777777">
      <w:pPr>
        <w:rPr>
          <w:rFonts w:ascii="Palatino Linotype" w:hAnsi="Palatino Linotype"/>
          <w:sz w:val="24"/>
          <w:szCs w:val="24"/>
        </w:rPr>
      </w:pPr>
      <w:r>
        <w:rPr>
          <w:rFonts w:ascii="Palatino Linotype" w:hAnsi="Palatino Linotype"/>
          <w:sz w:val="24"/>
          <w:szCs w:val="24"/>
        </w:rPr>
        <w:t xml:space="preserve">This definition was not adopted by the Commission </w:t>
      </w:r>
      <w:r w:rsidR="00782233">
        <w:rPr>
          <w:rFonts w:ascii="Palatino Linotype" w:hAnsi="Palatino Linotype"/>
          <w:sz w:val="24"/>
          <w:szCs w:val="24"/>
        </w:rPr>
        <w:t>as D.12-12-033 found that</w:t>
      </w:r>
      <w:r>
        <w:rPr>
          <w:rFonts w:ascii="Palatino Linotype" w:hAnsi="Palatino Linotype"/>
          <w:sz w:val="24"/>
          <w:szCs w:val="24"/>
        </w:rPr>
        <w:t xml:space="preserve"> IOUs do not have access to gross receipts or staffing information </w:t>
      </w:r>
      <w:r w:rsidR="003716FD">
        <w:rPr>
          <w:rFonts w:ascii="Palatino Linotype" w:hAnsi="Palatino Linotype"/>
          <w:sz w:val="24"/>
          <w:szCs w:val="24"/>
        </w:rPr>
        <w:t>for small businesses</w:t>
      </w:r>
      <w:r>
        <w:rPr>
          <w:rFonts w:ascii="Palatino Linotype" w:hAnsi="Palatino Linotype"/>
          <w:sz w:val="24"/>
          <w:szCs w:val="24"/>
        </w:rPr>
        <w:t xml:space="preserve">. However, </w:t>
      </w:r>
      <w:r w:rsidR="00DB567D">
        <w:rPr>
          <w:rFonts w:ascii="Palatino Linotype" w:hAnsi="Palatino Linotype"/>
          <w:sz w:val="24"/>
          <w:szCs w:val="24"/>
        </w:rPr>
        <w:t>in making minor revisio</w:t>
      </w:r>
      <w:r w:rsidR="00D45317">
        <w:rPr>
          <w:rFonts w:ascii="Palatino Linotype" w:hAnsi="Palatino Linotype"/>
          <w:sz w:val="24"/>
          <w:szCs w:val="24"/>
        </w:rPr>
        <w:t>ns</w:t>
      </w:r>
      <w:r w:rsidR="00425148">
        <w:rPr>
          <w:rFonts w:ascii="Palatino Linotype" w:hAnsi="Palatino Linotype"/>
          <w:sz w:val="24"/>
          <w:szCs w:val="24"/>
        </w:rPr>
        <w:t xml:space="preserve"> here</w:t>
      </w:r>
      <w:r w:rsidR="00DB567D">
        <w:rPr>
          <w:rFonts w:ascii="Palatino Linotype" w:hAnsi="Palatino Linotype"/>
          <w:sz w:val="24"/>
          <w:szCs w:val="24"/>
        </w:rPr>
        <w:t>, we once again</w:t>
      </w:r>
      <w:r w:rsidR="007B0DDD">
        <w:rPr>
          <w:rFonts w:ascii="Palatino Linotype" w:hAnsi="Palatino Linotype"/>
          <w:sz w:val="24"/>
          <w:szCs w:val="24"/>
        </w:rPr>
        <w:t xml:space="preserve"> look</w:t>
      </w:r>
      <w:r w:rsidR="00DB567D">
        <w:rPr>
          <w:rFonts w:ascii="Palatino Linotype" w:hAnsi="Palatino Linotype"/>
          <w:sz w:val="24"/>
          <w:szCs w:val="24"/>
        </w:rPr>
        <w:t xml:space="preserve"> to </w:t>
      </w:r>
      <w:r w:rsidR="00C920D8">
        <w:rPr>
          <w:rFonts w:ascii="Palatino Linotype" w:hAnsi="Palatino Linotype"/>
          <w:sz w:val="24"/>
          <w:szCs w:val="24"/>
        </w:rPr>
        <w:t xml:space="preserve">the Department of General Services </w:t>
      </w:r>
      <w:r w:rsidR="00911CED">
        <w:rPr>
          <w:rFonts w:ascii="Palatino Linotype" w:hAnsi="Palatino Linotype"/>
          <w:sz w:val="24"/>
          <w:szCs w:val="24"/>
        </w:rPr>
        <w:t xml:space="preserve">and </w:t>
      </w:r>
      <w:r w:rsidR="00C920D8">
        <w:rPr>
          <w:rFonts w:ascii="Palatino Linotype" w:hAnsi="Palatino Linotype"/>
          <w:sz w:val="24"/>
          <w:szCs w:val="24"/>
        </w:rPr>
        <w:t>find</w:t>
      </w:r>
      <w:r>
        <w:rPr>
          <w:rFonts w:ascii="Palatino Linotype" w:hAnsi="Palatino Linotype"/>
          <w:sz w:val="24"/>
          <w:szCs w:val="24"/>
        </w:rPr>
        <w:t xml:space="preserve"> that </w:t>
      </w:r>
      <w:r w:rsidR="00911CED">
        <w:rPr>
          <w:rFonts w:ascii="Palatino Linotype" w:hAnsi="Palatino Linotype"/>
          <w:sz w:val="24"/>
          <w:szCs w:val="24"/>
        </w:rPr>
        <w:t xml:space="preserve">for </w:t>
      </w:r>
      <w:r w:rsidR="005D260B">
        <w:rPr>
          <w:rFonts w:ascii="Palatino Linotype" w:hAnsi="Palatino Linotype"/>
          <w:sz w:val="24"/>
          <w:szCs w:val="24"/>
        </w:rPr>
        <w:t xml:space="preserve">the purpose of determining </w:t>
      </w:r>
      <w:r w:rsidR="00911CED">
        <w:rPr>
          <w:rFonts w:ascii="Palatino Linotype" w:hAnsi="Palatino Linotype"/>
          <w:sz w:val="24"/>
          <w:szCs w:val="24"/>
        </w:rPr>
        <w:t xml:space="preserve">aggregation </w:t>
      </w:r>
      <w:r>
        <w:rPr>
          <w:rFonts w:ascii="Palatino Linotype" w:hAnsi="Palatino Linotype"/>
          <w:sz w:val="24"/>
          <w:szCs w:val="24"/>
        </w:rPr>
        <w:t xml:space="preserve">a </w:t>
      </w:r>
      <w:r w:rsidR="0024531E">
        <w:rPr>
          <w:rFonts w:ascii="Palatino Linotype" w:hAnsi="Palatino Linotype"/>
          <w:sz w:val="24"/>
          <w:szCs w:val="24"/>
        </w:rPr>
        <w:t xml:space="preserve">California </w:t>
      </w:r>
      <w:r>
        <w:rPr>
          <w:rFonts w:ascii="Palatino Linotype" w:hAnsi="Palatino Linotype"/>
          <w:sz w:val="24"/>
          <w:szCs w:val="24"/>
        </w:rPr>
        <w:t>“</w:t>
      </w:r>
      <w:r w:rsidR="00D45317">
        <w:rPr>
          <w:rFonts w:ascii="Palatino Linotype" w:hAnsi="Palatino Linotype"/>
          <w:sz w:val="24"/>
          <w:szCs w:val="24"/>
        </w:rPr>
        <w:t>s</w:t>
      </w:r>
      <w:r>
        <w:rPr>
          <w:rFonts w:ascii="Palatino Linotype" w:hAnsi="Palatino Linotype"/>
          <w:sz w:val="24"/>
          <w:szCs w:val="24"/>
        </w:rPr>
        <w:t xml:space="preserve">mall </w:t>
      </w:r>
      <w:r w:rsidR="00D45317">
        <w:rPr>
          <w:rFonts w:ascii="Palatino Linotype" w:hAnsi="Palatino Linotype"/>
          <w:sz w:val="24"/>
          <w:szCs w:val="24"/>
        </w:rPr>
        <w:t>b</w:t>
      </w:r>
      <w:r>
        <w:rPr>
          <w:rFonts w:ascii="Palatino Linotype" w:hAnsi="Palatino Linotype"/>
          <w:sz w:val="24"/>
          <w:szCs w:val="24"/>
        </w:rPr>
        <w:t xml:space="preserve">usiness” should be construed to include its affiliates. </w:t>
      </w:r>
      <w:r w:rsidR="00462B24">
        <w:rPr>
          <w:rFonts w:ascii="Palatino Linotype" w:hAnsi="Palatino Linotype"/>
          <w:sz w:val="24"/>
          <w:szCs w:val="24"/>
        </w:rPr>
        <w:t xml:space="preserve"> </w:t>
      </w:r>
      <w:r w:rsidR="0069405D">
        <w:rPr>
          <w:rFonts w:ascii="Palatino Linotype" w:hAnsi="Palatino Linotype"/>
          <w:sz w:val="24"/>
          <w:szCs w:val="24"/>
        </w:rPr>
        <w:t>Thus, n</w:t>
      </w:r>
      <w:r w:rsidR="00462B24">
        <w:rPr>
          <w:rFonts w:ascii="Palatino Linotype" w:hAnsi="Palatino Linotype"/>
          <w:sz w:val="24"/>
          <w:szCs w:val="24"/>
        </w:rPr>
        <w:t>o</w:t>
      </w:r>
      <w:r>
        <w:rPr>
          <w:rFonts w:ascii="Palatino Linotype" w:hAnsi="Palatino Linotype"/>
          <w:sz w:val="24"/>
          <w:szCs w:val="24"/>
        </w:rPr>
        <w:t xml:space="preserve"> </w:t>
      </w:r>
      <w:r w:rsidR="0069405D">
        <w:rPr>
          <w:rFonts w:ascii="Palatino Linotype" w:hAnsi="Palatino Linotype"/>
          <w:sz w:val="24"/>
          <w:szCs w:val="24"/>
        </w:rPr>
        <w:t>later than April 1, 2025</w:t>
      </w:r>
      <w:r>
        <w:rPr>
          <w:rFonts w:ascii="Palatino Linotype" w:hAnsi="Palatino Linotype"/>
          <w:sz w:val="24"/>
          <w:szCs w:val="24"/>
        </w:rPr>
        <w:t xml:space="preserve">, the IOUs </w:t>
      </w:r>
      <w:r w:rsidR="00B8575F">
        <w:rPr>
          <w:rFonts w:ascii="Palatino Linotype" w:hAnsi="Palatino Linotype"/>
          <w:sz w:val="24"/>
          <w:szCs w:val="24"/>
        </w:rPr>
        <w:t xml:space="preserve">will </w:t>
      </w:r>
      <w:r>
        <w:rPr>
          <w:rFonts w:ascii="Palatino Linotype" w:hAnsi="Palatino Linotype"/>
          <w:sz w:val="24"/>
          <w:szCs w:val="24"/>
        </w:rPr>
        <w:t xml:space="preserve">aggregate </w:t>
      </w:r>
      <w:r w:rsidR="006227CE">
        <w:rPr>
          <w:rFonts w:ascii="Palatino Linotype" w:hAnsi="Palatino Linotype"/>
          <w:sz w:val="24"/>
          <w:szCs w:val="24"/>
        </w:rPr>
        <w:t>their</w:t>
      </w:r>
      <w:r w:rsidR="0069405D">
        <w:rPr>
          <w:rFonts w:ascii="Palatino Linotype" w:hAnsi="Palatino Linotype"/>
          <w:sz w:val="24"/>
          <w:szCs w:val="24"/>
        </w:rPr>
        <w:t xml:space="preserve"> </w:t>
      </w:r>
      <w:r w:rsidR="00DC3F95">
        <w:rPr>
          <w:rFonts w:ascii="Palatino Linotype" w:hAnsi="Palatino Linotype"/>
          <w:sz w:val="24"/>
          <w:szCs w:val="24"/>
        </w:rPr>
        <w:t xml:space="preserve">count of </w:t>
      </w:r>
      <w:r w:rsidR="006227CE">
        <w:rPr>
          <w:rFonts w:ascii="Palatino Linotype" w:hAnsi="Palatino Linotype"/>
          <w:sz w:val="24"/>
          <w:szCs w:val="24"/>
        </w:rPr>
        <w:t>S</w:t>
      </w:r>
      <w:r w:rsidR="0069405D">
        <w:rPr>
          <w:rFonts w:ascii="Palatino Linotype" w:hAnsi="Palatino Linotype"/>
          <w:sz w:val="24"/>
          <w:szCs w:val="24"/>
        </w:rPr>
        <w:t xml:space="preserve">mall </w:t>
      </w:r>
      <w:r w:rsidR="006227CE">
        <w:rPr>
          <w:rFonts w:ascii="Palatino Linotype" w:hAnsi="Palatino Linotype"/>
          <w:sz w:val="24"/>
          <w:szCs w:val="24"/>
        </w:rPr>
        <w:t>B</w:t>
      </w:r>
      <w:r w:rsidR="0069405D">
        <w:rPr>
          <w:rFonts w:ascii="Palatino Linotype" w:hAnsi="Palatino Linotype"/>
          <w:sz w:val="24"/>
          <w:szCs w:val="24"/>
        </w:rPr>
        <w:t>usiness</w:t>
      </w:r>
      <w:r w:rsidR="006227CE">
        <w:rPr>
          <w:rFonts w:ascii="Palatino Linotype" w:hAnsi="Palatino Linotype"/>
          <w:sz w:val="24"/>
          <w:szCs w:val="24"/>
        </w:rPr>
        <w:t xml:space="preserve"> California Climate Credit </w:t>
      </w:r>
      <w:r w:rsidR="007A14C0">
        <w:rPr>
          <w:rFonts w:ascii="Palatino Linotype" w:hAnsi="Palatino Linotype"/>
          <w:sz w:val="24"/>
          <w:szCs w:val="24"/>
        </w:rPr>
        <w:t>recipients</w:t>
      </w:r>
      <w:r w:rsidR="0069405D">
        <w:rPr>
          <w:rFonts w:ascii="Palatino Linotype" w:hAnsi="Palatino Linotype"/>
          <w:sz w:val="24"/>
          <w:szCs w:val="24"/>
        </w:rPr>
        <w:t xml:space="preserve"> </w:t>
      </w:r>
      <w:r>
        <w:rPr>
          <w:rFonts w:ascii="Palatino Linotype" w:hAnsi="Palatino Linotype"/>
          <w:sz w:val="24"/>
          <w:szCs w:val="24"/>
        </w:rPr>
        <w:t>based on</w:t>
      </w:r>
      <w:r w:rsidRPr="00B26B23" w:rsidR="00B26B23">
        <w:rPr>
          <w:rFonts w:ascii="Palatino Linotype" w:hAnsi="Palatino Linotype"/>
          <w:sz w:val="24"/>
          <w:szCs w:val="24"/>
        </w:rPr>
        <w:t xml:space="preserve"> a reasonable method available to each IOU based on the information available to the IOU</w:t>
      </w:r>
      <w:r w:rsidR="00B26B23">
        <w:rPr>
          <w:rFonts w:ascii="Palatino Linotype" w:hAnsi="Palatino Linotype"/>
          <w:sz w:val="24"/>
          <w:szCs w:val="24"/>
        </w:rPr>
        <w:t xml:space="preserve"> </w:t>
      </w:r>
      <w:r>
        <w:rPr>
          <w:rFonts w:ascii="Palatino Linotype" w:hAnsi="Palatino Linotype"/>
          <w:sz w:val="24"/>
          <w:szCs w:val="24"/>
        </w:rPr>
        <w:t xml:space="preserve">where it can be reasonably construed by the IOU that the businesses are affiliated. </w:t>
      </w:r>
    </w:p>
    <w:p w:rsidR="00646A92" w:rsidP="00DC7550" w:rsidRDefault="00646A92" w14:paraId="7AC4C538" w14:textId="77777777">
      <w:pPr>
        <w:rPr>
          <w:rFonts w:ascii="Palatino Linotype" w:hAnsi="Palatino Linotype"/>
          <w:sz w:val="24"/>
          <w:szCs w:val="24"/>
        </w:rPr>
      </w:pPr>
    </w:p>
    <w:p w:rsidR="00646A92" w:rsidP="00DC7550" w:rsidRDefault="00646A92" w14:paraId="69CEE4D6" w14:textId="77777777">
      <w:pPr>
        <w:rPr>
          <w:rFonts w:ascii="Palatino Linotype" w:hAnsi="Palatino Linotype"/>
          <w:sz w:val="24"/>
          <w:szCs w:val="24"/>
        </w:rPr>
      </w:pPr>
      <w:r>
        <w:rPr>
          <w:rFonts w:ascii="Palatino Linotype" w:hAnsi="Palatino Linotype"/>
          <w:sz w:val="24"/>
          <w:szCs w:val="24"/>
        </w:rPr>
        <w:t>Costs expected to b</w:t>
      </w:r>
      <w:r w:rsidR="00397053">
        <w:rPr>
          <w:rFonts w:ascii="Palatino Linotype" w:hAnsi="Palatino Linotype"/>
          <w:sz w:val="24"/>
          <w:szCs w:val="24"/>
        </w:rPr>
        <w:t xml:space="preserve">e incurred by the IOUs </w:t>
      </w:r>
      <w:r w:rsidR="00386258">
        <w:rPr>
          <w:rFonts w:ascii="Palatino Linotype" w:hAnsi="Palatino Linotype"/>
          <w:sz w:val="24"/>
          <w:szCs w:val="24"/>
        </w:rPr>
        <w:t xml:space="preserve">for eligibility determination are expected to be minor. </w:t>
      </w:r>
    </w:p>
    <w:p w:rsidR="00DC7550" w:rsidP="00DC7550" w:rsidRDefault="00DC7550" w14:paraId="412DCA5F" w14:textId="77777777">
      <w:pPr>
        <w:rPr>
          <w:rFonts w:ascii="Palatino Linotype" w:hAnsi="Palatino Linotype"/>
          <w:sz w:val="24"/>
          <w:szCs w:val="24"/>
        </w:rPr>
      </w:pPr>
    </w:p>
    <w:p w:rsidR="004627D5" w:rsidP="004627D5" w:rsidRDefault="004627D5" w14:paraId="14B9762E" w14:textId="77777777">
      <w:pPr>
        <w:pStyle w:val="standard"/>
        <w:ind w:firstLine="0"/>
        <w:rPr>
          <w:rFonts w:ascii="Palatino Linotype" w:hAnsi="Palatino Linotype"/>
          <w:b/>
          <w:bCs/>
          <w:sz w:val="24"/>
          <w:szCs w:val="24"/>
        </w:rPr>
      </w:pPr>
      <w:r>
        <w:rPr>
          <w:rFonts w:ascii="Palatino Linotype" w:hAnsi="Palatino Linotype"/>
          <w:b/>
          <w:bCs/>
          <w:sz w:val="24"/>
          <w:szCs w:val="24"/>
        </w:rPr>
        <w:t xml:space="preserve">Recipient </w:t>
      </w:r>
      <w:r w:rsidRPr="00452EE2">
        <w:rPr>
          <w:rFonts w:ascii="Palatino Linotype" w:hAnsi="Palatino Linotype"/>
          <w:b/>
          <w:bCs/>
          <w:sz w:val="24"/>
          <w:szCs w:val="24"/>
        </w:rPr>
        <w:t>Account Cap</w:t>
      </w:r>
      <w:r w:rsidR="005C63CD">
        <w:rPr>
          <w:rFonts w:ascii="Palatino Linotype" w:hAnsi="Palatino Linotype"/>
          <w:b/>
          <w:bCs/>
          <w:sz w:val="24"/>
          <w:szCs w:val="24"/>
        </w:rPr>
        <w:t>/Limit</w:t>
      </w:r>
    </w:p>
    <w:p w:rsidR="004627D5" w:rsidP="004627D5" w:rsidRDefault="004627D5" w14:paraId="29F78A1F" w14:textId="77777777">
      <w:pPr>
        <w:pStyle w:val="standard"/>
        <w:spacing w:line="240" w:lineRule="auto"/>
        <w:ind w:firstLine="0"/>
        <w:rPr>
          <w:rFonts w:ascii="Palatino Linotype" w:hAnsi="Palatino Linotype"/>
          <w:sz w:val="24"/>
          <w:szCs w:val="24"/>
        </w:rPr>
      </w:pPr>
      <w:r>
        <w:rPr>
          <w:rFonts w:ascii="Palatino Linotype" w:hAnsi="Palatino Linotype"/>
          <w:sz w:val="24"/>
          <w:szCs w:val="24"/>
        </w:rPr>
        <w:t xml:space="preserve">Small Business California Climate Credit eligibility rules will be modified to limit credit aggregation and redirect those proceeds to remaining small business and residential climate credit recipients. </w:t>
      </w:r>
    </w:p>
    <w:p w:rsidR="004627D5" w:rsidP="004627D5" w:rsidRDefault="004627D5" w14:paraId="187A7EB6" w14:textId="77777777">
      <w:pPr>
        <w:pStyle w:val="standard"/>
        <w:spacing w:line="240" w:lineRule="auto"/>
        <w:ind w:firstLine="0"/>
        <w:rPr>
          <w:rFonts w:ascii="Palatino Linotype" w:hAnsi="Palatino Linotype"/>
          <w:sz w:val="24"/>
          <w:szCs w:val="24"/>
        </w:rPr>
      </w:pPr>
    </w:p>
    <w:p w:rsidR="004627D5" w:rsidP="004627D5" w:rsidRDefault="004627D5" w14:paraId="2E5BCF7B" w14:textId="77777777">
      <w:pPr>
        <w:pStyle w:val="standard"/>
        <w:spacing w:line="240" w:lineRule="auto"/>
        <w:ind w:firstLine="0"/>
        <w:rPr>
          <w:rFonts w:ascii="Palatino Linotype" w:hAnsi="Palatino Linotype"/>
          <w:sz w:val="24"/>
          <w:szCs w:val="24"/>
        </w:rPr>
      </w:pPr>
      <w:r>
        <w:rPr>
          <w:rFonts w:ascii="Palatino Linotype" w:hAnsi="Palatino Linotype"/>
          <w:sz w:val="24"/>
          <w:szCs w:val="24"/>
        </w:rPr>
        <w:t xml:space="preserve">We implement the proposal of Energy Division Staff to cap </w:t>
      </w:r>
      <w:r w:rsidR="000C4065">
        <w:rPr>
          <w:rFonts w:ascii="Palatino Linotype" w:hAnsi="Palatino Linotype"/>
          <w:sz w:val="24"/>
          <w:szCs w:val="24"/>
        </w:rPr>
        <w:t>S</w:t>
      </w:r>
      <w:r>
        <w:rPr>
          <w:rFonts w:ascii="Palatino Linotype" w:hAnsi="Palatino Linotype"/>
          <w:sz w:val="24"/>
          <w:szCs w:val="24"/>
        </w:rPr>
        <w:t xml:space="preserve">mall </w:t>
      </w:r>
      <w:r w:rsidR="000C4065">
        <w:rPr>
          <w:rFonts w:ascii="Palatino Linotype" w:hAnsi="Palatino Linotype"/>
          <w:sz w:val="24"/>
          <w:szCs w:val="24"/>
        </w:rPr>
        <w:t>B</w:t>
      </w:r>
      <w:r>
        <w:rPr>
          <w:rFonts w:ascii="Palatino Linotype" w:hAnsi="Palatino Linotype"/>
          <w:sz w:val="24"/>
          <w:szCs w:val="24"/>
        </w:rPr>
        <w:t>usiness</w:t>
      </w:r>
      <w:r w:rsidR="000C4065">
        <w:rPr>
          <w:rFonts w:ascii="Palatino Linotype" w:hAnsi="Palatino Linotype"/>
          <w:sz w:val="24"/>
          <w:szCs w:val="24"/>
        </w:rPr>
        <w:t xml:space="preserve"> California Climate Credit</w:t>
      </w:r>
      <w:r>
        <w:rPr>
          <w:rFonts w:ascii="Palatino Linotype" w:hAnsi="Palatino Linotype"/>
          <w:sz w:val="24"/>
          <w:szCs w:val="24"/>
        </w:rPr>
        <w:t xml:space="preserve"> eligibility to recipients with fewer than 100 </w:t>
      </w:r>
      <w:r w:rsidR="00102C2B">
        <w:rPr>
          <w:rFonts w:ascii="Palatino Linotype" w:hAnsi="Palatino Linotype"/>
          <w:sz w:val="24"/>
          <w:szCs w:val="24"/>
        </w:rPr>
        <w:t xml:space="preserve">qualifying </w:t>
      </w:r>
      <w:r>
        <w:rPr>
          <w:rFonts w:ascii="Palatino Linotype" w:hAnsi="Palatino Linotype"/>
          <w:sz w:val="24"/>
          <w:szCs w:val="24"/>
        </w:rPr>
        <w:t xml:space="preserve">accounts </w:t>
      </w:r>
      <w:r w:rsidRPr="00963590">
        <w:rPr>
          <w:rFonts w:ascii="Palatino Linotype" w:hAnsi="Palatino Linotype"/>
          <w:sz w:val="24"/>
          <w:szCs w:val="24"/>
        </w:rPr>
        <w:t>under the existing criteria</w:t>
      </w:r>
      <w:r w:rsidR="00446BA2">
        <w:rPr>
          <w:rFonts w:ascii="Palatino Linotype" w:hAnsi="Palatino Linotype"/>
          <w:sz w:val="24"/>
          <w:szCs w:val="24"/>
        </w:rPr>
        <w:t xml:space="preserve">, as determined by the aggregated account </w:t>
      </w:r>
      <w:r w:rsidR="00BE5992">
        <w:rPr>
          <w:rFonts w:ascii="Palatino Linotype" w:hAnsi="Palatino Linotype"/>
          <w:sz w:val="24"/>
          <w:szCs w:val="24"/>
        </w:rPr>
        <w:t>count</w:t>
      </w:r>
      <w:r>
        <w:rPr>
          <w:rFonts w:ascii="Palatino Linotype" w:hAnsi="Palatino Linotype"/>
          <w:sz w:val="24"/>
          <w:szCs w:val="24"/>
        </w:rPr>
        <w:t>. Recipients</w:t>
      </w:r>
      <w:r w:rsidRPr="00963590">
        <w:rPr>
          <w:rFonts w:ascii="Palatino Linotype" w:hAnsi="Palatino Linotype"/>
          <w:sz w:val="24"/>
          <w:szCs w:val="24"/>
        </w:rPr>
        <w:t xml:space="preserve"> with 100 or more eligible accounts under the existing </w:t>
      </w:r>
      <w:r>
        <w:rPr>
          <w:rFonts w:ascii="Palatino Linotype" w:hAnsi="Palatino Linotype"/>
          <w:sz w:val="24"/>
          <w:szCs w:val="24"/>
        </w:rPr>
        <w:t xml:space="preserve">Small Business California Climate Credit </w:t>
      </w:r>
      <w:r w:rsidRPr="00963590">
        <w:rPr>
          <w:rFonts w:ascii="Palatino Linotype" w:hAnsi="Palatino Linotype"/>
          <w:sz w:val="24"/>
          <w:szCs w:val="24"/>
        </w:rPr>
        <w:t>criteria are no longer eligible to receive the Small Business California Climate Credit on any account.</w:t>
      </w:r>
      <w:r>
        <w:rPr>
          <w:rFonts w:ascii="Palatino Linotype" w:hAnsi="Palatino Linotype"/>
          <w:sz w:val="24"/>
          <w:szCs w:val="24"/>
        </w:rPr>
        <w:t xml:space="preserve"> In the case of businesses that operate across IOU territories, the cap applies to each IOU territory independently. </w:t>
      </w:r>
    </w:p>
    <w:p w:rsidR="004627D5" w:rsidP="004627D5" w:rsidRDefault="004627D5" w14:paraId="1333607A" w14:textId="77777777">
      <w:pPr>
        <w:pStyle w:val="standard"/>
        <w:spacing w:line="240" w:lineRule="auto"/>
        <w:ind w:firstLine="0"/>
        <w:rPr>
          <w:rFonts w:ascii="Palatino Linotype" w:hAnsi="Palatino Linotype"/>
          <w:sz w:val="24"/>
          <w:szCs w:val="24"/>
        </w:rPr>
      </w:pPr>
    </w:p>
    <w:p w:rsidR="004627D5" w:rsidP="004627D5" w:rsidRDefault="004627D5" w14:paraId="3508E40A" w14:textId="77777777">
      <w:pPr>
        <w:pStyle w:val="standard"/>
        <w:spacing w:after="120" w:line="240" w:lineRule="auto"/>
        <w:ind w:firstLine="0"/>
        <w:rPr>
          <w:rFonts w:ascii="Palatino Linotype" w:hAnsi="Palatino Linotype"/>
          <w:sz w:val="24"/>
          <w:szCs w:val="24"/>
        </w:rPr>
      </w:pPr>
      <w:r>
        <w:rPr>
          <w:rFonts w:ascii="Palatino Linotype" w:hAnsi="Palatino Linotype"/>
          <w:sz w:val="24"/>
          <w:szCs w:val="24"/>
        </w:rPr>
        <w:t xml:space="preserve">Appendix A contains additional detail on Energy Division Staff’s analysis in determining the appropriateness of this cap. </w:t>
      </w:r>
    </w:p>
    <w:p w:rsidR="00DD264B" w:rsidP="004627D5" w:rsidRDefault="00DD264B" w14:paraId="3121248E" w14:textId="77777777">
      <w:pPr>
        <w:pStyle w:val="standard"/>
        <w:spacing w:after="120" w:line="240" w:lineRule="auto"/>
        <w:ind w:firstLine="0"/>
        <w:rPr>
          <w:rFonts w:ascii="Palatino Linotype" w:hAnsi="Palatino Linotype"/>
          <w:sz w:val="24"/>
          <w:szCs w:val="24"/>
        </w:rPr>
      </w:pPr>
      <w:r>
        <w:rPr>
          <w:rFonts w:ascii="Palatino Linotype" w:hAnsi="Palatino Linotype"/>
          <w:sz w:val="24"/>
          <w:szCs w:val="24"/>
        </w:rPr>
        <w:lastRenderedPageBreak/>
        <w:t xml:space="preserve">The Commission recognizes that this </w:t>
      </w:r>
      <w:r w:rsidR="00544995">
        <w:rPr>
          <w:rFonts w:ascii="Palatino Linotype" w:hAnsi="Palatino Linotype"/>
          <w:sz w:val="24"/>
          <w:szCs w:val="24"/>
        </w:rPr>
        <w:t xml:space="preserve">approach </w:t>
      </w:r>
      <w:r>
        <w:rPr>
          <w:rFonts w:ascii="Palatino Linotype" w:hAnsi="Palatino Linotype"/>
          <w:sz w:val="24"/>
          <w:szCs w:val="24"/>
        </w:rPr>
        <w:t xml:space="preserve">creates a </w:t>
      </w:r>
      <w:r w:rsidR="00DF608A">
        <w:rPr>
          <w:rFonts w:ascii="Palatino Linotype" w:hAnsi="Palatino Linotype"/>
          <w:sz w:val="24"/>
          <w:szCs w:val="24"/>
        </w:rPr>
        <w:t xml:space="preserve">crediting “cliff” </w:t>
      </w:r>
      <w:r w:rsidR="004805DB">
        <w:rPr>
          <w:rFonts w:ascii="Palatino Linotype" w:hAnsi="Palatino Linotype"/>
          <w:sz w:val="24"/>
          <w:szCs w:val="24"/>
        </w:rPr>
        <w:t xml:space="preserve">after </w:t>
      </w:r>
      <w:r w:rsidR="00DF608A">
        <w:rPr>
          <w:rFonts w:ascii="Palatino Linotype" w:hAnsi="Palatino Linotype"/>
          <w:sz w:val="24"/>
          <w:szCs w:val="24"/>
        </w:rPr>
        <w:t>99</w:t>
      </w:r>
      <w:r w:rsidR="004805DB">
        <w:rPr>
          <w:rFonts w:ascii="Palatino Linotype" w:hAnsi="Palatino Linotype"/>
          <w:sz w:val="24"/>
          <w:szCs w:val="24"/>
        </w:rPr>
        <w:t xml:space="preserve"> accounts. A future rulemaking or other </w:t>
      </w:r>
      <w:r w:rsidR="00FB667C">
        <w:rPr>
          <w:rFonts w:ascii="Palatino Linotype" w:hAnsi="Palatino Linotype"/>
          <w:sz w:val="24"/>
          <w:szCs w:val="24"/>
        </w:rPr>
        <w:t xml:space="preserve">procedural </w:t>
      </w:r>
      <w:r w:rsidR="0048472D">
        <w:rPr>
          <w:rFonts w:ascii="Palatino Linotype" w:hAnsi="Palatino Linotype"/>
          <w:sz w:val="24"/>
          <w:szCs w:val="24"/>
        </w:rPr>
        <w:t>forum is needed to</w:t>
      </w:r>
      <w:r w:rsidR="00544995">
        <w:rPr>
          <w:rFonts w:ascii="Palatino Linotype" w:hAnsi="Palatino Linotype"/>
          <w:sz w:val="24"/>
          <w:szCs w:val="24"/>
        </w:rPr>
        <w:t xml:space="preserve"> build a record </w:t>
      </w:r>
      <w:r w:rsidR="003F16F4">
        <w:rPr>
          <w:rFonts w:ascii="Palatino Linotype" w:hAnsi="Palatino Linotype"/>
          <w:sz w:val="24"/>
          <w:szCs w:val="24"/>
        </w:rPr>
        <w:t xml:space="preserve">about whether </w:t>
      </w:r>
      <w:r w:rsidR="0048472D">
        <w:rPr>
          <w:rFonts w:ascii="Palatino Linotype" w:hAnsi="Palatino Linotype"/>
          <w:sz w:val="24"/>
          <w:szCs w:val="24"/>
        </w:rPr>
        <w:t>different thresholds are needed for different</w:t>
      </w:r>
      <w:r w:rsidR="00544995">
        <w:rPr>
          <w:rFonts w:ascii="Palatino Linotype" w:hAnsi="Palatino Linotype"/>
          <w:sz w:val="24"/>
          <w:szCs w:val="24"/>
        </w:rPr>
        <w:t xml:space="preserve"> </w:t>
      </w:r>
      <w:r w:rsidR="0048472D">
        <w:rPr>
          <w:rFonts w:ascii="Palatino Linotype" w:hAnsi="Palatino Linotype"/>
          <w:sz w:val="24"/>
          <w:szCs w:val="24"/>
        </w:rPr>
        <w:t>sectors</w:t>
      </w:r>
      <w:r w:rsidR="00617780">
        <w:rPr>
          <w:rFonts w:ascii="Palatino Linotype" w:hAnsi="Palatino Linotype"/>
          <w:sz w:val="24"/>
          <w:szCs w:val="24"/>
        </w:rPr>
        <w:t xml:space="preserve"> based on the typical electric set-ups of small businesses in different sectors</w:t>
      </w:r>
      <w:r w:rsidR="0048472D">
        <w:rPr>
          <w:rFonts w:ascii="Palatino Linotype" w:hAnsi="Palatino Linotype"/>
          <w:sz w:val="24"/>
          <w:szCs w:val="24"/>
        </w:rPr>
        <w:t xml:space="preserve">. </w:t>
      </w:r>
    </w:p>
    <w:p w:rsidRPr="00CD2869" w:rsidR="00FB667C" w:rsidP="004627D5" w:rsidRDefault="00FB667C" w14:paraId="5F843C04" w14:textId="77777777">
      <w:pPr>
        <w:pStyle w:val="standard"/>
        <w:spacing w:after="120" w:line="240" w:lineRule="auto"/>
        <w:ind w:firstLine="0"/>
        <w:rPr>
          <w:rFonts w:ascii="Palatino Linotype" w:hAnsi="Palatino Linotype"/>
          <w:sz w:val="24"/>
          <w:szCs w:val="24"/>
        </w:rPr>
      </w:pPr>
    </w:p>
    <w:p w:rsidRPr="00C771C6" w:rsidR="00EA5C8C" w:rsidP="005C63CD" w:rsidRDefault="00EA5C8C" w14:paraId="6EFF5CE3" w14:textId="77777777">
      <w:pPr>
        <w:keepNext/>
        <w:rPr>
          <w:rFonts w:ascii="Palatino Linotype" w:hAnsi="Palatino Linotype"/>
          <w:b/>
          <w:bCs/>
          <w:sz w:val="24"/>
          <w:szCs w:val="24"/>
        </w:rPr>
      </w:pPr>
      <w:r w:rsidRPr="00C771C6">
        <w:rPr>
          <w:rFonts w:ascii="Palatino Linotype" w:hAnsi="Palatino Linotype"/>
          <w:b/>
          <w:bCs/>
          <w:sz w:val="24"/>
          <w:szCs w:val="24"/>
        </w:rPr>
        <w:t>Small and Multijurisdictional Investor Owned Utilities</w:t>
      </w:r>
    </w:p>
    <w:p w:rsidR="00EA5C8C" w:rsidP="005C63CD" w:rsidRDefault="00EA5C8C" w14:paraId="559B5ED5" w14:textId="77777777">
      <w:pPr>
        <w:keepNext/>
        <w:rPr>
          <w:rFonts w:ascii="Palatino Linotype" w:hAnsi="Palatino Linotype"/>
          <w:sz w:val="24"/>
          <w:szCs w:val="24"/>
        </w:rPr>
      </w:pPr>
    </w:p>
    <w:p w:rsidR="00EA5C8C" w:rsidP="005C63CD" w:rsidRDefault="00EA5C8C" w14:paraId="449200A6" w14:textId="77777777">
      <w:pPr>
        <w:keepNext/>
        <w:rPr>
          <w:rFonts w:ascii="Palatino Linotype" w:hAnsi="Palatino Linotype"/>
          <w:sz w:val="24"/>
          <w:szCs w:val="24"/>
        </w:rPr>
      </w:pPr>
      <w:r>
        <w:rPr>
          <w:rFonts w:ascii="Palatino Linotype" w:hAnsi="Palatino Linotype"/>
          <w:sz w:val="24"/>
          <w:szCs w:val="24"/>
        </w:rPr>
        <w:t xml:space="preserve">California’s small and multijurisdictional investor owned electric utilities (SMJUs) are PacifiCorp (Pacific Power), Liberty Utilities (Liberty), and Bear Valley Electric Service (Bear Valley). </w:t>
      </w:r>
      <w:r w:rsidR="00331184">
        <w:rPr>
          <w:rFonts w:ascii="Palatino Linotype" w:hAnsi="Palatino Linotype"/>
          <w:sz w:val="24"/>
          <w:szCs w:val="24"/>
        </w:rPr>
        <w:t>Like the large IOUs, t</w:t>
      </w:r>
      <w:r>
        <w:rPr>
          <w:rFonts w:ascii="Palatino Linotype" w:hAnsi="Palatino Linotype"/>
          <w:sz w:val="24"/>
          <w:szCs w:val="24"/>
        </w:rPr>
        <w:t xml:space="preserve">he SMJUs are required to distribute both the residential California Climate Credit and the Small Business California Climate Credit. </w:t>
      </w:r>
    </w:p>
    <w:p w:rsidR="00EA5C8C" w:rsidP="00EA5C8C" w:rsidRDefault="00EA5C8C" w14:paraId="302FB008" w14:textId="77777777">
      <w:pPr>
        <w:rPr>
          <w:rFonts w:ascii="Palatino Linotype" w:hAnsi="Palatino Linotype"/>
          <w:sz w:val="24"/>
          <w:szCs w:val="24"/>
        </w:rPr>
      </w:pPr>
    </w:p>
    <w:p w:rsidRPr="00331184" w:rsidR="00EA5C8C" w:rsidP="00DC7550" w:rsidRDefault="00EA5C8C" w14:paraId="3080E093" w14:textId="77777777">
      <w:pPr>
        <w:rPr>
          <w:rFonts w:ascii="Palatino Linotype" w:hAnsi="Palatino Linotype"/>
          <w:sz w:val="24"/>
          <w:szCs w:val="24"/>
        </w:rPr>
      </w:pPr>
      <w:r>
        <w:rPr>
          <w:rFonts w:ascii="Palatino Linotype" w:hAnsi="Palatino Linotype"/>
          <w:sz w:val="24"/>
          <w:szCs w:val="24"/>
        </w:rPr>
        <w:t>Energy Division</w:t>
      </w:r>
      <w:r w:rsidR="00331184">
        <w:rPr>
          <w:rFonts w:ascii="Palatino Linotype" w:hAnsi="Palatino Linotype"/>
          <w:sz w:val="24"/>
          <w:szCs w:val="24"/>
        </w:rPr>
        <w:t xml:space="preserve"> Staff</w:t>
      </w:r>
      <w:r>
        <w:rPr>
          <w:rFonts w:ascii="Palatino Linotype" w:hAnsi="Palatino Linotype"/>
          <w:sz w:val="24"/>
          <w:szCs w:val="24"/>
        </w:rPr>
        <w:t xml:space="preserve"> did not </w:t>
      </w:r>
      <w:r w:rsidR="00344CC8">
        <w:rPr>
          <w:rFonts w:ascii="Palatino Linotype" w:hAnsi="Palatino Linotype"/>
          <w:sz w:val="24"/>
          <w:szCs w:val="24"/>
        </w:rPr>
        <w:t xml:space="preserve">seek </w:t>
      </w:r>
      <w:r w:rsidR="00397330">
        <w:rPr>
          <w:rFonts w:ascii="Palatino Linotype" w:hAnsi="Palatino Linotype"/>
          <w:sz w:val="24"/>
          <w:szCs w:val="24"/>
        </w:rPr>
        <w:t>small business account data from the</w:t>
      </w:r>
      <w:r>
        <w:rPr>
          <w:rFonts w:ascii="Palatino Linotype" w:hAnsi="Palatino Linotype"/>
          <w:sz w:val="24"/>
          <w:szCs w:val="24"/>
        </w:rPr>
        <w:t xml:space="preserve"> SMJUs</w:t>
      </w:r>
      <w:r w:rsidR="004A3BD3">
        <w:rPr>
          <w:rFonts w:ascii="Palatino Linotype" w:hAnsi="Palatino Linotype"/>
          <w:sz w:val="24"/>
          <w:szCs w:val="24"/>
        </w:rPr>
        <w:t>.</w:t>
      </w:r>
      <w:r>
        <w:rPr>
          <w:rFonts w:ascii="Palatino Linotype" w:hAnsi="Palatino Linotype"/>
          <w:sz w:val="24"/>
          <w:szCs w:val="24"/>
        </w:rPr>
        <w:t xml:space="preserve"> As a result </w:t>
      </w:r>
      <w:r w:rsidR="00241D3D">
        <w:rPr>
          <w:rFonts w:ascii="Palatino Linotype" w:hAnsi="Palatino Linotype"/>
          <w:sz w:val="24"/>
          <w:szCs w:val="24"/>
        </w:rPr>
        <w:t>this resolution does not</w:t>
      </w:r>
      <w:r>
        <w:rPr>
          <w:rFonts w:ascii="Palatino Linotype" w:hAnsi="Palatino Linotype"/>
          <w:sz w:val="24"/>
          <w:szCs w:val="24"/>
        </w:rPr>
        <w:t xml:space="preserve"> includ</w:t>
      </w:r>
      <w:r w:rsidR="00E57342">
        <w:rPr>
          <w:rFonts w:ascii="Palatino Linotype" w:hAnsi="Palatino Linotype"/>
          <w:sz w:val="24"/>
          <w:szCs w:val="24"/>
        </w:rPr>
        <w:t>e</w:t>
      </w:r>
      <w:r>
        <w:rPr>
          <w:rFonts w:ascii="Palatino Linotype" w:hAnsi="Palatino Linotype"/>
          <w:sz w:val="24"/>
          <w:szCs w:val="24"/>
        </w:rPr>
        <w:t xml:space="preserve"> detailed impact analysis</w:t>
      </w:r>
      <w:r w:rsidR="00331184">
        <w:rPr>
          <w:rFonts w:ascii="Palatino Linotype" w:hAnsi="Palatino Linotype"/>
          <w:sz w:val="24"/>
          <w:szCs w:val="24"/>
        </w:rPr>
        <w:t xml:space="preserve"> for the SMJUs</w:t>
      </w:r>
      <w:r>
        <w:rPr>
          <w:rFonts w:ascii="Palatino Linotype" w:hAnsi="Palatino Linotype"/>
          <w:sz w:val="24"/>
          <w:szCs w:val="24"/>
        </w:rPr>
        <w:t xml:space="preserve"> </w:t>
      </w:r>
      <w:r w:rsidR="003C528A">
        <w:rPr>
          <w:rFonts w:ascii="Palatino Linotype" w:hAnsi="Palatino Linotype"/>
          <w:sz w:val="24"/>
          <w:szCs w:val="24"/>
        </w:rPr>
        <w:t>regarding</w:t>
      </w:r>
      <w:r>
        <w:rPr>
          <w:rFonts w:ascii="Palatino Linotype" w:hAnsi="Palatino Linotype"/>
          <w:sz w:val="24"/>
          <w:szCs w:val="24"/>
        </w:rPr>
        <w:t xml:space="preserve"> </w:t>
      </w:r>
      <w:r w:rsidR="00CE320D">
        <w:rPr>
          <w:rFonts w:ascii="Palatino Linotype" w:hAnsi="Palatino Linotype"/>
          <w:sz w:val="24"/>
          <w:szCs w:val="24"/>
        </w:rPr>
        <w:t>the</w:t>
      </w:r>
      <w:r>
        <w:rPr>
          <w:rFonts w:ascii="Palatino Linotype" w:hAnsi="Palatino Linotype"/>
          <w:sz w:val="24"/>
          <w:szCs w:val="24"/>
        </w:rPr>
        <w:t xml:space="preserve"> proposed </w:t>
      </w:r>
      <w:r w:rsidR="00331184">
        <w:rPr>
          <w:rFonts w:ascii="Palatino Linotype" w:hAnsi="Palatino Linotype"/>
          <w:sz w:val="24"/>
          <w:szCs w:val="24"/>
        </w:rPr>
        <w:t>aggregation eligibility cap</w:t>
      </w:r>
      <w:r w:rsidR="00C91F6F">
        <w:rPr>
          <w:rFonts w:ascii="Palatino Linotype" w:hAnsi="Palatino Linotype"/>
          <w:sz w:val="24"/>
          <w:szCs w:val="24"/>
        </w:rPr>
        <w:t>. Based on</w:t>
      </w:r>
      <w:r>
        <w:rPr>
          <w:rFonts w:ascii="Palatino Linotype" w:hAnsi="Palatino Linotype"/>
          <w:sz w:val="24"/>
          <w:szCs w:val="24"/>
        </w:rPr>
        <w:t xml:space="preserve"> Energy Division </w:t>
      </w:r>
      <w:r w:rsidR="00331184">
        <w:rPr>
          <w:rFonts w:ascii="Palatino Linotype" w:hAnsi="Palatino Linotype"/>
          <w:sz w:val="24"/>
          <w:szCs w:val="24"/>
        </w:rPr>
        <w:t>S</w:t>
      </w:r>
      <w:r>
        <w:rPr>
          <w:rFonts w:ascii="Palatino Linotype" w:hAnsi="Palatino Linotype"/>
          <w:sz w:val="24"/>
          <w:szCs w:val="24"/>
        </w:rPr>
        <w:t>taff</w:t>
      </w:r>
      <w:r w:rsidR="00C91F6F">
        <w:rPr>
          <w:rFonts w:ascii="Palatino Linotype" w:hAnsi="Palatino Linotype"/>
          <w:sz w:val="24"/>
          <w:szCs w:val="24"/>
        </w:rPr>
        <w:t xml:space="preserve">’s analysis of </w:t>
      </w:r>
      <w:r w:rsidR="00965AB4">
        <w:rPr>
          <w:rFonts w:ascii="Palatino Linotype" w:hAnsi="Palatino Linotype"/>
          <w:sz w:val="24"/>
          <w:szCs w:val="24"/>
        </w:rPr>
        <w:t>the three large IOUs</w:t>
      </w:r>
      <w:r w:rsidR="0001652F">
        <w:rPr>
          <w:rFonts w:ascii="Palatino Linotype" w:hAnsi="Palatino Linotype"/>
          <w:sz w:val="24"/>
          <w:szCs w:val="24"/>
        </w:rPr>
        <w:t>, we find that the trend would be similar for the SMJUs given</w:t>
      </w:r>
      <w:r>
        <w:rPr>
          <w:rFonts w:ascii="Palatino Linotype" w:hAnsi="Palatino Linotype"/>
          <w:sz w:val="24"/>
          <w:szCs w:val="24"/>
        </w:rPr>
        <w:t xml:space="preserve"> the three largest areas experiencing aggregation issues </w:t>
      </w:r>
      <w:r w:rsidR="00932BE1">
        <w:rPr>
          <w:rFonts w:ascii="Palatino Linotype" w:hAnsi="Palatino Linotype"/>
          <w:sz w:val="24"/>
          <w:szCs w:val="24"/>
        </w:rPr>
        <w:t>–</w:t>
      </w:r>
      <w:r>
        <w:rPr>
          <w:rFonts w:ascii="Palatino Linotype" w:hAnsi="Palatino Linotype"/>
          <w:sz w:val="24"/>
          <w:szCs w:val="24"/>
        </w:rPr>
        <w:t xml:space="preserve"> telecommunications, homeowners associations, and city/county/state governmental agencies – can also be found within the service territories of the SMJUs. </w:t>
      </w:r>
      <w:r w:rsidR="0001652F">
        <w:rPr>
          <w:rFonts w:ascii="Palatino Linotype" w:hAnsi="Palatino Linotype"/>
          <w:sz w:val="24"/>
          <w:szCs w:val="24"/>
        </w:rPr>
        <w:t xml:space="preserve">Accordingly, the </w:t>
      </w:r>
      <w:r w:rsidR="003B7B80">
        <w:rPr>
          <w:rFonts w:ascii="Palatino Linotype" w:hAnsi="Palatino Linotype"/>
          <w:sz w:val="24"/>
          <w:szCs w:val="24"/>
        </w:rPr>
        <w:t xml:space="preserve">less than </w:t>
      </w:r>
      <w:r w:rsidR="0001652F">
        <w:rPr>
          <w:rFonts w:ascii="Palatino Linotype" w:hAnsi="Palatino Linotype"/>
          <w:sz w:val="24"/>
          <w:szCs w:val="24"/>
        </w:rPr>
        <w:t xml:space="preserve">100 </w:t>
      </w:r>
      <w:r w:rsidR="0029527D">
        <w:rPr>
          <w:rFonts w:ascii="Palatino Linotype" w:hAnsi="Palatino Linotype"/>
          <w:sz w:val="24"/>
          <w:szCs w:val="24"/>
        </w:rPr>
        <w:t xml:space="preserve">eligible </w:t>
      </w:r>
      <w:r w:rsidR="00DF1642">
        <w:rPr>
          <w:rFonts w:ascii="Palatino Linotype" w:hAnsi="Palatino Linotype"/>
          <w:sz w:val="24"/>
          <w:szCs w:val="24"/>
        </w:rPr>
        <w:t xml:space="preserve">account per recipient </w:t>
      </w:r>
      <w:r w:rsidR="0001652F">
        <w:rPr>
          <w:rFonts w:ascii="Palatino Linotype" w:hAnsi="Palatino Linotype"/>
          <w:sz w:val="24"/>
          <w:szCs w:val="24"/>
        </w:rPr>
        <w:t>cap shall also be applied to SMJU</w:t>
      </w:r>
      <w:r w:rsidR="0029527D">
        <w:rPr>
          <w:rFonts w:ascii="Palatino Linotype" w:hAnsi="Palatino Linotype"/>
          <w:sz w:val="24"/>
          <w:szCs w:val="24"/>
        </w:rPr>
        <w:t>s</w:t>
      </w:r>
      <w:r w:rsidR="0001652F">
        <w:rPr>
          <w:rFonts w:ascii="Palatino Linotype" w:hAnsi="Palatino Linotype"/>
          <w:sz w:val="24"/>
          <w:szCs w:val="24"/>
        </w:rPr>
        <w:t xml:space="preserve"> to </w:t>
      </w:r>
      <w:r w:rsidR="00DE5C1C">
        <w:rPr>
          <w:rFonts w:ascii="Palatino Linotype" w:hAnsi="Palatino Linotype"/>
          <w:sz w:val="24"/>
          <w:szCs w:val="24"/>
        </w:rPr>
        <w:t>determine small business eligibility for the climate credit.</w:t>
      </w:r>
    </w:p>
    <w:p w:rsidR="00EA5C8C" w:rsidP="00DC7550" w:rsidRDefault="00EA5C8C" w14:paraId="5B342DAF" w14:textId="77777777">
      <w:pPr>
        <w:rPr>
          <w:rFonts w:ascii="Palatino Linotype" w:hAnsi="Palatino Linotype"/>
          <w:b/>
          <w:bCs/>
          <w:sz w:val="24"/>
          <w:szCs w:val="24"/>
        </w:rPr>
      </w:pPr>
    </w:p>
    <w:p w:rsidRPr="003720F8" w:rsidR="00DC7550" w:rsidP="00DC7550" w:rsidRDefault="00DC7550" w14:paraId="7BC97AF2" w14:textId="77777777">
      <w:pPr>
        <w:rPr>
          <w:rFonts w:ascii="Palatino Linotype" w:hAnsi="Palatino Linotype"/>
          <w:b/>
          <w:bCs/>
          <w:sz w:val="24"/>
          <w:szCs w:val="24"/>
        </w:rPr>
      </w:pPr>
      <w:r w:rsidRPr="003720F8">
        <w:rPr>
          <w:rFonts w:ascii="Palatino Linotype" w:hAnsi="Palatino Linotype"/>
          <w:b/>
          <w:bCs/>
          <w:sz w:val="24"/>
          <w:szCs w:val="24"/>
        </w:rPr>
        <w:t xml:space="preserve">Frequency of </w:t>
      </w:r>
      <w:r>
        <w:rPr>
          <w:rFonts w:ascii="Palatino Linotype" w:hAnsi="Palatino Linotype"/>
          <w:b/>
          <w:bCs/>
          <w:sz w:val="24"/>
          <w:szCs w:val="24"/>
        </w:rPr>
        <w:t>Eligibility Review</w:t>
      </w:r>
    </w:p>
    <w:p w:rsidR="00DC7550" w:rsidP="00DC7550" w:rsidRDefault="00DC7550" w14:paraId="7B7E9716" w14:textId="77777777">
      <w:pPr>
        <w:rPr>
          <w:rFonts w:ascii="Palatino Linotype" w:hAnsi="Palatino Linotype"/>
          <w:sz w:val="24"/>
          <w:szCs w:val="24"/>
        </w:rPr>
      </w:pPr>
    </w:p>
    <w:p w:rsidR="009A43AB" w:rsidP="00DC7550" w:rsidRDefault="00DC7550" w14:paraId="42772CE4" w14:textId="77777777">
      <w:pPr>
        <w:rPr>
          <w:rFonts w:ascii="Palatino Linotype" w:hAnsi="Palatino Linotype"/>
          <w:sz w:val="24"/>
          <w:szCs w:val="24"/>
        </w:rPr>
      </w:pPr>
      <w:r>
        <w:rPr>
          <w:rFonts w:ascii="Palatino Linotype" w:hAnsi="Palatino Linotype"/>
          <w:sz w:val="24"/>
          <w:szCs w:val="24"/>
        </w:rPr>
        <w:t xml:space="preserve">Businesses evolve and change over time. These changes may result in the opening or closure of utility accounts that could shift a business over or under any set account number eligibility threshold. As a result, IOUs should periodically revisit eligibility for </w:t>
      </w:r>
      <w:r w:rsidR="003B7B80">
        <w:rPr>
          <w:rFonts w:ascii="Palatino Linotype" w:hAnsi="Palatino Linotype"/>
          <w:sz w:val="24"/>
          <w:szCs w:val="24"/>
        </w:rPr>
        <w:t>the S</w:t>
      </w:r>
      <w:r>
        <w:rPr>
          <w:rFonts w:ascii="Palatino Linotype" w:hAnsi="Palatino Linotype"/>
          <w:sz w:val="24"/>
          <w:szCs w:val="24"/>
        </w:rPr>
        <w:t xml:space="preserve">mall </w:t>
      </w:r>
      <w:r w:rsidR="003B7B80">
        <w:rPr>
          <w:rFonts w:ascii="Palatino Linotype" w:hAnsi="Palatino Linotype"/>
          <w:sz w:val="24"/>
          <w:szCs w:val="24"/>
        </w:rPr>
        <w:t>B</w:t>
      </w:r>
      <w:r>
        <w:rPr>
          <w:rFonts w:ascii="Palatino Linotype" w:hAnsi="Palatino Linotype"/>
          <w:sz w:val="24"/>
          <w:szCs w:val="24"/>
        </w:rPr>
        <w:t>usiness</w:t>
      </w:r>
      <w:r w:rsidR="003B7B80">
        <w:rPr>
          <w:rFonts w:ascii="Palatino Linotype" w:hAnsi="Palatino Linotype"/>
          <w:sz w:val="24"/>
          <w:szCs w:val="24"/>
        </w:rPr>
        <w:t xml:space="preserve"> California Climate Credit</w:t>
      </w:r>
      <w:r>
        <w:rPr>
          <w:rFonts w:ascii="Palatino Linotype" w:hAnsi="Palatino Linotype"/>
          <w:sz w:val="24"/>
          <w:szCs w:val="24"/>
        </w:rPr>
        <w:t xml:space="preserve">. </w:t>
      </w:r>
    </w:p>
    <w:p w:rsidR="00C13E87" w:rsidP="00DC7550" w:rsidRDefault="00C13E87" w14:paraId="7101F114" w14:textId="77777777">
      <w:pPr>
        <w:rPr>
          <w:rFonts w:ascii="Palatino Linotype" w:hAnsi="Palatino Linotype"/>
          <w:sz w:val="24"/>
          <w:szCs w:val="24"/>
        </w:rPr>
      </w:pPr>
    </w:p>
    <w:p w:rsidR="0070081B" w:rsidP="00DC7550" w:rsidRDefault="009A43AB" w14:paraId="728A8CB1" w14:textId="77777777">
      <w:pPr>
        <w:rPr>
          <w:rFonts w:ascii="Palatino Linotype" w:hAnsi="Palatino Linotype"/>
          <w:sz w:val="24"/>
          <w:szCs w:val="24"/>
        </w:rPr>
      </w:pPr>
      <w:r>
        <w:rPr>
          <w:rFonts w:ascii="Palatino Linotype" w:hAnsi="Palatino Linotype"/>
          <w:sz w:val="24"/>
          <w:szCs w:val="24"/>
        </w:rPr>
        <w:t xml:space="preserve">In 2015, the Commission in Resolution E-4716 established attestation periods for CA Industry Assistance, the industrial analog to the Small Business California Climate Credit, as once-per-compliance period. Compliance periods are determined by CARB and typically span three years.  </w:t>
      </w:r>
      <w:r w:rsidR="00DF1642">
        <w:rPr>
          <w:rFonts w:ascii="Palatino Linotype" w:hAnsi="Palatino Linotype"/>
          <w:sz w:val="24"/>
          <w:szCs w:val="24"/>
        </w:rPr>
        <w:t>We</w:t>
      </w:r>
      <w:r w:rsidR="005F2FFF">
        <w:rPr>
          <w:rFonts w:ascii="Palatino Linotype" w:hAnsi="Palatino Linotype"/>
          <w:sz w:val="24"/>
          <w:szCs w:val="24"/>
        </w:rPr>
        <w:t xml:space="preserve"> </w:t>
      </w:r>
      <w:r w:rsidR="00DC7550">
        <w:rPr>
          <w:rFonts w:ascii="Palatino Linotype" w:hAnsi="Palatino Linotype"/>
          <w:sz w:val="24"/>
          <w:szCs w:val="24"/>
        </w:rPr>
        <w:t xml:space="preserve">adopt the same frequency </w:t>
      </w:r>
      <w:r w:rsidR="004D1FB3">
        <w:rPr>
          <w:rFonts w:ascii="Palatino Linotype" w:hAnsi="Palatino Linotype"/>
          <w:sz w:val="24"/>
          <w:szCs w:val="24"/>
        </w:rPr>
        <w:t xml:space="preserve">for Small Business California Climate Credit eligibility review </w:t>
      </w:r>
      <w:r w:rsidR="005F2FFF">
        <w:rPr>
          <w:rFonts w:ascii="Palatino Linotype" w:hAnsi="Palatino Linotype"/>
          <w:sz w:val="24"/>
          <w:szCs w:val="24"/>
        </w:rPr>
        <w:t xml:space="preserve">for consistency. </w:t>
      </w:r>
      <w:r w:rsidR="00DC7550">
        <w:rPr>
          <w:rFonts w:ascii="Palatino Linotype" w:hAnsi="Palatino Linotype"/>
          <w:sz w:val="24"/>
          <w:szCs w:val="24"/>
        </w:rPr>
        <w:t>IOUs should at a minimum reexamine eligibility at the start of each CARB compliance period. IOUs may choose to reexamine eligibility more often if they desire.</w:t>
      </w:r>
      <w:r w:rsidR="0070081B">
        <w:rPr>
          <w:rFonts w:ascii="Palatino Linotype" w:hAnsi="Palatino Linotype"/>
          <w:sz w:val="24"/>
          <w:szCs w:val="24"/>
        </w:rPr>
        <w:t xml:space="preserve"> IOUs </w:t>
      </w:r>
      <w:r w:rsidR="00421BBB">
        <w:rPr>
          <w:rFonts w:ascii="Palatino Linotype" w:hAnsi="Palatino Linotype"/>
          <w:sz w:val="24"/>
          <w:szCs w:val="24"/>
        </w:rPr>
        <w:t>must</w:t>
      </w:r>
      <w:r w:rsidR="0070081B">
        <w:rPr>
          <w:rFonts w:ascii="Palatino Linotype" w:hAnsi="Palatino Linotype"/>
          <w:sz w:val="24"/>
          <w:szCs w:val="24"/>
        </w:rPr>
        <w:t xml:space="preserve"> provide a list of any eligibility changes to Energy Division resultin</w:t>
      </w:r>
      <w:r w:rsidR="00677010">
        <w:rPr>
          <w:rFonts w:ascii="Palatino Linotype" w:hAnsi="Palatino Linotype"/>
          <w:sz w:val="24"/>
          <w:szCs w:val="24"/>
        </w:rPr>
        <w:t>g from an eligibility review</w:t>
      </w:r>
      <w:r w:rsidR="003B7FC0">
        <w:rPr>
          <w:rFonts w:ascii="Palatino Linotype" w:hAnsi="Palatino Linotype"/>
          <w:sz w:val="24"/>
          <w:szCs w:val="24"/>
        </w:rPr>
        <w:t xml:space="preserve"> via a Tier 1 advice letter</w:t>
      </w:r>
      <w:r w:rsidR="00842454">
        <w:rPr>
          <w:rFonts w:ascii="Palatino Linotype" w:hAnsi="Palatino Linotype"/>
          <w:sz w:val="24"/>
          <w:szCs w:val="24"/>
        </w:rPr>
        <w:t xml:space="preserve"> within 60 days of </w:t>
      </w:r>
      <w:r w:rsidR="00243C30">
        <w:rPr>
          <w:rFonts w:ascii="Palatino Linotype" w:hAnsi="Palatino Linotype"/>
          <w:sz w:val="24"/>
          <w:szCs w:val="24"/>
        </w:rPr>
        <w:t>a change in eligibility</w:t>
      </w:r>
      <w:r w:rsidR="0070081B">
        <w:rPr>
          <w:rFonts w:ascii="Palatino Linotype" w:hAnsi="Palatino Linotype"/>
          <w:sz w:val="24"/>
          <w:szCs w:val="24"/>
        </w:rPr>
        <w:t>.</w:t>
      </w:r>
    </w:p>
    <w:p w:rsidR="00DC7550" w:rsidP="00DC7550" w:rsidRDefault="00DC7550" w14:paraId="48444907" w14:textId="77777777">
      <w:pPr>
        <w:rPr>
          <w:rFonts w:ascii="Palatino Linotype" w:hAnsi="Palatino Linotype"/>
          <w:sz w:val="24"/>
          <w:szCs w:val="24"/>
        </w:rPr>
      </w:pPr>
    </w:p>
    <w:p w:rsidRPr="00A149A6" w:rsidR="00DC7550" w:rsidP="00E57342" w:rsidRDefault="00501BA1" w14:paraId="7EB26C94" w14:textId="77777777">
      <w:pPr>
        <w:keepNext/>
        <w:rPr>
          <w:rFonts w:ascii="Palatino Linotype" w:hAnsi="Palatino Linotype"/>
          <w:b/>
          <w:bCs/>
          <w:sz w:val="24"/>
          <w:szCs w:val="24"/>
        </w:rPr>
      </w:pPr>
      <w:r>
        <w:rPr>
          <w:rFonts w:ascii="Palatino Linotype" w:hAnsi="Palatino Linotype"/>
          <w:b/>
          <w:bCs/>
          <w:sz w:val="24"/>
          <w:szCs w:val="24"/>
        </w:rPr>
        <w:t xml:space="preserve">Implementation Timeline </w:t>
      </w:r>
    </w:p>
    <w:p w:rsidR="00DC7550" w:rsidP="00E57342" w:rsidRDefault="00DC7550" w14:paraId="1DFC5E35" w14:textId="77777777">
      <w:pPr>
        <w:keepNext/>
        <w:rPr>
          <w:rFonts w:ascii="Palatino Linotype" w:hAnsi="Palatino Linotype"/>
          <w:sz w:val="24"/>
          <w:szCs w:val="24"/>
        </w:rPr>
      </w:pPr>
    </w:p>
    <w:p w:rsidR="00B548F2" w:rsidP="00E57342" w:rsidRDefault="00B548F2" w14:paraId="75B6D537" w14:textId="77777777">
      <w:pPr>
        <w:keepNext/>
        <w:rPr>
          <w:rFonts w:ascii="Palatino Linotype" w:hAnsi="Palatino Linotype"/>
          <w:sz w:val="24"/>
          <w:szCs w:val="24"/>
        </w:rPr>
      </w:pPr>
      <w:r>
        <w:rPr>
          <w:rFonts w:ascii="Palatino Linotype" w:hAnsi="Palatino Linotype"/>
          <w:sz w:val="24"/>
          <w:szCs w:val="24"/>
        </w:rPr>
        <w:t xml:space="preserve">The IOUs are directed to implement these eligibility changes as soon as possible </w:t>
      </w:r>
      <w:r w:rsidR="008E25F3">
        <w:rPr>
          <w:rFonts w:ascii="Palatino Linotype" w:hAnsi="Palatino Linotype"/>
          <w:sz w:val="24"/>
          <w:szCs w:val="24"/>
        </w:rPr>
        <w:t xml:space="preserve">after </w:t>
      </w:r>
      <w:r w:rsidR="00BC32C3">
        <w:rPr>
          <w:rFonts w:ascii="Palatino Linotype" w:hAnsi="Palatino Linotype"/>
          <w:sz w:val="24"/>
          <w:szCs w:val="24"/>
        </w:rPr>
        <w:t xml:space="preserve">notifying impacted recipients (see following section) </w:t>
      </w:r>
      <w:r>
        <w:rPr>
          <w:rFonts w:ascii="Palatino Linotype" w:hAnsi="Palatino Linotype"/>
          <w:sz w:val="24"/>
          <w:szCs w:val="24"/>
        </w:rPr>
        <w:t xml:space="preserve">and no later than April 1, 2025. </w:t>
      </w:r>
      <w:r w:rsidR="00AC5CB1">
        <w:rPr>
          <w:rFonts w:ascii="Palatino Linotype" w:hAnsi="Palatino Linotype"/>
          <w:sz w:val="24"/>
          <w:szCs w:val="24"/>
        </w:rPr>
        <w:t xml:space="preserve">The account cap approach eliminates the </w:t>
      </w:r>
      <w:r w:rsidR="00B55861">
        <w:rPr>
          <w:rFonts w:ascii="Palatino Linotype" w:hAnsi="Palatino Linotype"/>
          <w:sz w:val="24"/>
          <w:szCs w:val="24"/>
        </w:rPr>
        <w:t>need for</w:t>
      </w:r>
      <w:r w:rsidR="00AC5CB1">
        <w:rPr>
          <w:rFonts w:ascii="Palatino Linotype" w:hAnsi="Palatino Linotype"/>
          <w:sz w:val="24"/>
          <w:szCs w:val="24"/>
        </w:rPr>
        <w:t xml:space="preserve"> IOUs to </w:t>
      </w:r>
      <w:r w:rsidR="00793516">
        <w:rPr>
          <w:rFonts w:ascii="Palatino Linotype" w:hAnsi="Palatino Linotype"/>
          <w:sz w:val="24"/>
          <w:szCs w:val="24"/>
        </w:rPr>
        <w:t>determine the nature of the business/</w:t>
      </w:r>
      <w:r w:rsidR="00536343">
        <w:rPr>
          <w:rFonts w:ascii="Palatino Linotype" w:hAnsi="Palatino Linotype"/>
          <w:sz w:val="24"/>
          <w:szCs w:val="24"/>
        </w:rPr>
        <w:t xml:space="preserve">economic </w:t>
      </w:r>
      <w:r w:rsidR="00793516">
        <w:rPr>
          <w:rFonts w:ascii="Palatino Linotype" w:hAnsi="Palatino Linotype"/>
          <w:sz w:val="24"/>
          <w:szCs w:val="24"/>
        </w:rPr>
        <w:t>sector</w:t>
      </w:r>
      <w:r w:rsidR="00536343">
        <w:rPr>
          <w:rFonts w:ascii="Palatino Linotype" w:hAnsi="Palatino Linotype"/>
          <w:sz w:val="24"/>
          <w:szCs w:val="24"/>
        </w:rPr>
        <w:t xml:space="preserve"> for each recipient</w:t>
      </w:r>
      <w:r w:rsidR="00180D9C">
        <w:rPr>
          <w:rFonts w:ascii="Palatino Linotype" w:hAnsi="Palatino Linotype"/>
          <w:sz w:val="24"/>
          <w:szCs w:val="24"/>
        </w:rPr>
        <w:t xml:space="preserve"> when making eligibility determinations</w:t>
      </w:r>
      <w:r w:rsidR="009A43AB">
        <w:rPr>
          <w:rFonts w:ascii="Palatino Linotype" w:hAnsi="Palatino Linotype"/>
          <w:sz w:val="24"/>
          <w:szCs w:val="24"/>
        </w:rPr>
        <w:t xml:space="preserve"> and should result in a speedier process</w:t>
      </w:r>
      <w:r w:rsidR="00180D9C">
        <w:rPr>
          <w:rFonts w:ascii="Palatino Linotype" w:hAnsi="Palatino Linotype"/>
          <w:sz w:val="24"/>
          <w:szCs w:val="24"/>
        </w:rPr>
        <w:t xml:space="preserve">. </w:t>
      </w:r>
      <w:r w:rsidR="0096467F">
        <w:rPr>
          <w:rFonts w:ascii="Palatino Linotype" w:hAnsi="Palatino Linotype"/>
          <w:sz w:val="24"/>
          <w:szCs w:val="24"/>
        </w:rPr>
        <w:t xml:space="preserve">Implementing eligibility </w:t>
      </w:r>
      <w:r w:rsidR="00D83139">
        <w:rPr>
          <w:rFonts w:ascii="Palatino Linotype" w:hAnsi="Palatino Linotype"/>
          <w:sz w:val="24"/>
          <w:szCs w:val="24"/>
        </w:rPr>
        <w:t xml:space="preserve">in time for the October 2024 California Climate Credit distribution would direct </w:t>
      </w:r>
      <w:r w:rsidR="006012D0">
        <w:rPr>
          <w:rFonts w:ascii="Palatino Linotype" w:hAnsi="Palatino Linotype"/>
          <w:sz w:val="24"/>
          <w:szCs w:val="24"/>
        </w:rPr>
        <w:t xml:space="preserve">approximately </w:t>
      </w:r>
      <w:r w:rsidR="00D83139">
        <w:rPr>
          <w:rFonts w:ascii="Palatino Linotype" w:hAnsi="Palatino Linotype"/>
          <w:sz w:val="24"/>
          <w:szCs w:val="24"/>
        </w:rPr>
        <w:t>an additional $11.1M to remaining eligible residential and small businesses recipients</w:t>
      </w:r>
      <w:r w:rsidR="00B46ED9">
        <w:rPr>
          <w:rFonts w:ascii="Palatino Linotype" w:hAnsi="Palatino Linotype"/>
          <w:sz w:val="24"/>
          <w:szCs w:val="24"/>
        </w:rPr>
        <w:t xml:space="preserve"> in a future California Climate Credit distribution</w:t>
      </w:r>
      <w:r w:rsidR="00D83139">
        <w:rPr>
          <w:rFonts w:ascii="Palatino Linotype" w:hAnsi="Palatino Linotype"/>
          <w:sz w:val="24"/>
          <w:szCs w:val="24"/>
        </w:rPr>
        <w:t xml:space="preserve">. </w:t>
      </w:r>
    </w:p>
    <w:p w:rsidR="00602781" w:rsidP="00E57342" w:rsidRDefault="00602781" w14:paraId="021EA781" w14:textId="77777777">
      <w:pPr>
        <w:keepNext/>
        <w:rPr>
          <w:rFonts w:ascii="Palatino Linotype" w:hAnsi="Palatino Linotype"/>
          <w:sz w:val="24"/>
          <w:szCs w:val="24"/>
        </w:rPr>
      </w:pPr>
    </w:p>
    <w:p w:rsidR="00602781" w:rsidP="00E57342" w:rsidRDefault="00602781" w14:paraId="6D0CB18A" w14:textId="77777777">
      <w:pPr>
        <w:keepNext/>
        <w:rPr>
          <w:rFonts w:ascii="Palatino Linotype" w:hAnsi="Palatino Linotype"/>
          <w:sz w:val="24"/>
          <w:szCs w:val="24"/>
        </w:rPr>
      </w:pPr>
      <w:r>
        <w:rPr>
          <w:rFonts w:ascii="Palatino Linotype" w:hAnsi="Palatino Linotype"/>
          <w:sz w:val="24"/>
          <w:szCs w:val="24"/>
        </w:rPr>
        <w:t xml:space="preserve">IOUs may need to update tariffs </w:t>
      </w:r>
      <w:r w:rsidR="001D1914">
        <w:rPr>
          <w:rFonts w:ascii="Palatino Linotype" w:hAnsi="Palatino Linotype"/>
          <w:sz w:val="24"/>
          <w:szCs w:val="24"/>
        </w:rPr>
        <w:t>if they include a description of the Small Business California Climate Credit or eligibility requirements</w:t>
      </w:r>
      <w:r w:rsidR="00510109">
        <w:rPr>
          <w:rFonts w:ascii="Palatino Linotype" w:hAnsi="Palatino Linotype"/>
          <w:sz w:val="24"/>
          <w:szCs w:val="24"/>
        </w:rPr>
        <w:t xml:space="preserve"> </w:t>
      </w:r>
      <w:proofErr w:type="gramStart"/>
      <w:r w:rsidR="00510109">
        <w:rPr>
          <w:rFonts w:ascii="Palatino Linotype" w:hAnsi="Palatino Linotype"/>
          <w:sz w:val="24"/>
          <w:szCs w:val="24"/>
        </w:rPr>
        <w:t>in order to</w:t>
      </w:r>
      <w:proofErr w:type="gramEnd"/>
      <w:r w:rsidR="00510109">
        <w:rPr>
          <w:rFonts w:ascii="Palatino Linotype" w:hAnsi="Palatino Linotype"/>
          <w:sz w:val="24"/>
          <w:szCs w:val="24"/>
        </w:rPr>
        <w:t xml:space="preserve"> implement the changes in this resolution</w:t>
      </w:r>
      <w:r w:rsidR="001D1914">
        <w:rPr>
          <w:rFonts w:ascii="Palatino Linotype" w:hAnsi="Palatino Linotype"/>
          <w:sz w:val="24"/>
          <w:szCs w:val="24"/>
        </w:rPr>
        <w:t xml:space="preserve">. </w:t>
      </w:r>
      <w:r w:rsidR="00536956">
        <w:rPr>
          <w:rFonts w:ascii="Palatino Linotype" w:hAnsi="Palatino Linotype"/>
          <w:sz w:val="24"/>
          <w:szCs w:val="24"/>
        </w:rPr>
        <w:t xml:space="preserve">Tariff changes can be made through the filing of </w:t>
      </w:r>
      <w:r w:rsidR="004C4D84">
        <w:rPr>
          <w:rFonts w:ascii="Palatino Linotype" w:hAnsi="Palatino Linotype"/>
          <w:sz w:val="24"/>
          <w:szCs w:val="24"/>
        </w:rPr>
        <w:t xml:space="preserve">a </w:t>
      </w:r>
      <w:r w:rsidR="00536956">
        <w:rPr>
          <w:rFonts w:ascii="Palatino Linotype" w:hAnsi="Palatino Linotype"/>
          <w:sz w:val="24"/>
          <w:szCs w:val="24"/>
        </w:rPr>
        <w:t>Tier 1 advice letter.</w:t>
      </w:r>
    </w:p>
    <w:p w:rsidR="0089524F" w:rsidP="00DC7550" w:rsidRDefault="0089524F" w14:paraId="1B03E563" w14:textId="77777777">
      <w:pPr>
        <w:rPr>
          <w:rFonts w:ascii="Palatino Linotype" w:hAnsi="Palatino Linotype"/>
          <w:sz w:val="24"/>
          <w:szCs w:val="24"/>
        </w:rPr>
      </w:pPr>
    </w:p>
    <w:p w:rsidR="00B548F2" w:rsidP="009E1B88" w:rsidRDefault="0089524F" w14:paraId="7F83C0E2" w14:textId="77777777">
      <w:pPr>
        <w:keepNext/>
        <w:keepLines/>
        <w:rPr>
          <w:rFonts w:ascii="Palatino Linotype" w:hAnsi="Palatino Linotype"/>
          <w:b/>
          <w:bCs/>
          <w:sz w:val="24"/>
          <w:szCs w:val="24"/>
        </w:rPr>
      </w:pPr>
      <w:r w:rsidRPr="00A149A6">
        <w:rPr>
          <w:rFonts w:ascii="Palatino Linotype" w:hAnsi="Palatino Linotype"/>
          <w:b/>
          <w:bCs/>
          <w:sz w:val="24"/>
          <w:szCs w:val="24"/>
        </w:rPr>
        <w:t>Notification of Ineligible Accounts</w:t>
      </w:r>
    </w:p>
    <w:p w:rsidR="0089524F" w:rsidP="009E1B88" w:rsidRDefault="0089524F" w14:paraId="7C8B8799" w14:textId="77777777">
      <w:pPr>
        <w:keepNext/>
        <w:keepLines/>
        <w:rPr>
          <w:rFonts w:ascii="Palatino Linotype" w:hAnsi="Palatino Linotype"/>
          <w:sz w:val="24"/>
          <w:szCs w:val="24"/>
        </w:rPr>
      </w:pPr>
    </w:p>
    <w:p w:rsidR="00472A2C" w:rsidP="009E1B88" w:rsidRDefault="00DC7550" w14:paraId="0FDDEF32" w14:textId="77777777">
      <w:pPr>
        <w:keepNext/>
        <w:keepLines/>
        <w:rPr>
          <w:rFonts w:ascii="Palatino Linotype" w:hAnsi="Palatino Linotype"/>
          <w:sz w:val="24"/>
          <w:szCs w:val="24"/>
        </w:rPr>
      </w:pPr>
      <w:r>
        <w:rPr>
          <w:rFonts w:ascii="Palatino Linotype" w:hAnsi="Palatino Linotype"/>
          <w:sz w:val="24"/>
          <w:szCs w:val="24"/>
        </w:rPr>
        <w:t>Small Business California Climate Credit recipients sh</w:t>
      </w:r>
      <w:r w:rsidR="00F8716E">
        <w:rPr>
          <w:rFonts w:ascii="Palatino Linotype" w:hAnsi="Palatino Linotype"/>
          <w:sz w:val="24"/>
          <w:szCs w:val="24"/>
        </w:rPr>
        <w:t>all</w:t>
      </w:r>
      <w:r>
        <w:rPr>
          <w:rFonts w:ascii="Palatino Linotype" w:hAnsi="Palatino Linotype"/>
          <w:sz w:val="24"/>
          <w:szCs w:val="24"/>
        </w:rPr>
        <w:t xml:space="preserve"> be notified of changes in crediting eligibility</w:t>
      </w:r>
      <w:r w:rsidR="00037A66">
        <w:rPr>
          <w:rFonts w:ascii="Palatino Linotype" w:hAnsi="Palatino Linotype"/>
          <w:sz w:val="24"/>
          <w:szCs w:val="24"/>
        </w:rPr>
        <w:t xml:space="preserve"> when the IOU makes an eligibility determination and in advance of </w:t>
      </w:r>
      <w:r w:rsidR="00600611">
        <w:rPr>
          <w:rFonts w:ascii="Palatino Linotype" w:hAnsi="Palatino Linotype"/>
          <w:sz w:val="24"/>
          <w:szCs w:val="24"/>
        </w:rPr>
        <w:t xml:space="preserve">when changes in </w:t>
      </w:r>
      <w:r w:rsidR="00037A66">
        <w:rPr>
          <w:rFonts w:ascii="Palatino Linotype" w:hAnsi="Palatino Linotype"/>
          <w:sz w:val="24"/>
          <w:szCs w:val="24"/>
        </w:rPr>
        <w:t>the distribution of the Small Business California Climate Credit</w:t>
      </w:r>
      <w:r w:rsidR="00600611">
        <w:rPr>
          <w:rFonts w:ascii="Palatino Linotype" w:hAnsi="Palatino Linotype"/>
          <w:sz w:val="24"/>
          <w:szCs w:val="24"/>
        </w:rPr>
        <w:t xml:space="preserve"> take effect</w:t>
      </w:r>
      <w:r>
        <w:rPr>
          <w:rFonts w:ascii="Palatino Linotype" w:hAnsi="Palatino Linotype"/>
          <w:sz w:val="24"/>
          <w:szCs w:val="24"/>
        </w:rPr>
        <w:t xml:space="preserve">. When the eligibility cap is first applied, some of the largest recipients may see </w:t>
      </w:r>
      <w:r w:rsidR="000A013A">
        <w:rPr>
          <w:rFonts w:ascii="Palatino Linotype" w:hAnsi="Palatino Linotype"/>
          <w:sz w:val="24"/>
          <w:szCs w:val="24"/>
        </w:rPr>
        <w:t xml:space="preserve">a significant loss </w:t>
      </w:r>
      <w:r>
        <w:rPr>
          <w:rFonts w:ascii="Palatino Linotype" w:hAnsi="Palatino Linotype"/>
          <w:sz w:val="24"/>
          <w:szCs w:val="24"/>
        </w:rPr>
        <w:t xml:space="preserve">in </w:t>
      </w:r>
      <w:r w:rsidR="005832B5">
        <w:rPr>
          <w:rFonts w:ascii="Palatino Linotype" w:hAnsi="Palatino Linotype"/>
          <w:sz w:val="24"/>
          <w:szCs w:val="24"/>
        </w:rPr>
        <w:t xml:space="preserve">the small business </w:t>
      </w:r>
      <w:r>
        <w:rPr>
          <w:rFonts w:ascii="Palatino Linotype" w:hAnsi="Palatino Linotype"/>
          <w:sz w:val="24"/>
          <w:szCs w:val="24"/>
        </w:rPr>
        <w:t xml:space="preserve">credit (see Table 2). Notification </w:t>
      </w:r>
      <w:r w:rsidR="00037A66">
        <w:rPr>
          <w:rFonts w:ascii="Palatino Linotype" w:hAnsi="Palatino Linotype"/>
          <w:sz w:val="24"/>
          <w:szCs w:val="24"/>
        </w:rPr>
        <w:t>must</w:t>
      </w:r>
      <w:r>
        <w:rPr>
          <w:rFonts w:ascii="Palatino Linotype" w:hAnsi="Palatino Linotype"/>
          <w:sz w:val="24"/>
          <w:szCs w:val="24"/>
        </w:rPr>
        <w:t xml:space="preserve"> include the eligibility threshold, the number of accounts </w:t>
      </w:r>
      <w:r w:rsidR="00AB0E0F">
        <w:rPr>
          <w:rFonts w:ascii="Palatino Linotype" w:hAnsi="Palatino Linotype"/>
          <w:sz w:val="24"/>
          <w:szCs w:val="24"/>
        </w:rPr>
        <w:t xml:space="preserve">determined by the </w:t>
      </w:r>
      <w:r>
        <w:rPr>
          <w:rFonts w:ascii="Palatino Linotype" w:hAnsi="Palatino Linotype"/>
          <w:sz w:val="24"/>
          <w:szCs w:val="24"/>
        </w:rPr>
        <w:t xml:space="preserve">utility </w:t>
      </w:r>
      <w:r w:rsidR="00AB0E0F">
        <w:rPr>
          <w:rFonts w:ascii="Palatino Linotype" w:hAnsi="Palatino Linotype"/>
          <w:sz w:val="24"/>
          <w:szCs w:val="24"/>
        </w:rPr>
        <w:t>to be aggregated</w:t>
      </w:r>
      <w:r>
        <w:rPr>
          <w:rFonts w:ascii="Palatino Linotype" w:hAnsi="Palatino Linotype"/>
          <w:sz w:val="24"/>
          <w:szCs w:val="24"/>
        </w:rPr>
        <w:t>,</w:t>
      </w:r>
      <w:r w:rsidR="00AB0E0F">
        <w:rPr>
          <w:rFonts w:ascii="Palatino Linotype" w:hAnsi="Palatino Linotype"/>
          <w:sz w:val="24"/>
          <w:szCs w:val="24"/>
        </w:rPr>
        <w:t xml:space="preserve"> and contact information for a representative at the utility familiar with the Small Business California Climate Credit. Additionally, the </w:t>
      </w:r>
      <w:r w:rsidR="00351B53">
        <w:rPr>
          <w:rFonts w:ascii="Palatino Linotype" w:hAnsi="Palatino Linotype"/>
          <w:sz w:val="24"/>
          <w:szCs w:val="24"/>
        </w:rPr>
        <w:t>outreach</w:t>
      </w:r>
      <w:r w:rsidR="00AB0E0F">
        <w:rPr>
          <w:rFonts w:ascii="Palatino Linotype" w:hAnsi="Palatino Linotype"/>
          <w:sz w:val="24"/>
          <w:szCs w:val="24"/>
        </w:rPr>
        <w:t xml:space="preserve"> </w:t>
      </w:r>
      <w:r w:rsidR="00037A66">
        <w:rPr>
          <w:rFonts w:ascii="Palatino Linotype" w:hAnsi="Palatino Linotype"/>
          <w:sz w:val="24"/>
          <w:szCs w:val="24"/>
        </w:rPr>
        <w:t>must</w:t>
      </w:r>
      <w:r w:rsidR="00AB0E0F">
        <w:rPr>
          <w:rFonts w:ascii="Palatino Linotype" w:hAnsi="Palatino Linotype"/>
          <w:sz w:val="24"/>
          <w:szCs w:val="24"/>
        </w:rPr>
        <w:t xml:space="preserve"> include notice that, if requested, the utility will provide the account numbers </w:t>
      </w:r>
      <w:r w:rsidR="00507EE5">
        <w:rPr>
          <w:rFonts w:ascii="Palatino Linotype" w:hAnsi="Palatino Linotype"/>
          <w:sz w:val="24"/>
          <w:szCs w:val="24"/>
        </w:rPr>
        <w:t xml:space="preserve">or other appropriate identifying information </w:t>
      </w:r>
      <w:r w:rsidR="00AB0E0F">
        <w:rPr>
          <w:rFonts w:ascii="Palatino Linotype" w:hAnsi="Palatino Linotype"/>
          <w:sz w:val="24"/>
          <w:szCs w:val="24"/>
        </w:rPr>
        <w:t xml:space="preserve">of the accounts aggregated so that the recipient can, if they chose, verify that the accounts attributed to the customer are in fact </w:t>
      </w:r>
      <w:r w:rsidR="00037A66">
        <w:rPr>
          <w:rFonts w:ascii="Palatino Linotype" w:hAnsi="Palatino Linotype"/>
          <w:sz w:val="24"/>
          <w:szCs w:val="24"/>
        </w:rPr>
        <w:t xml:space="preserve">affiliated to the same </w:t>
      </w:r>
      <w:r w:rsidR="002C4618">
        <w:rPr>
          <w:rFonts w:ascii="Palatino Linotype" w:hAnsi="Palatino Linotype"/>
          <w:sz w:val="24"/>
          <w:szCs w:val="24"/>
        </w:rPr>
        <w:t>r</w:t>
      </w:r>
      <w:r w:rsidR="00037A66">
        <w:rPr>
          <w:rFonts w:ascii="Palatino Linotype" w:hAnsi="Palatino Linotype"/>
          <w:sz w:val="24"/>
          <w:szCs w:val="24"/>
        </w:rPr>
        <w:t>e</w:t>
      </w:r>
      <w:r w:rsidR="002C4618">
        <w:rPr>
          <w:rFonts w:ascii="Palatino Linotype" w:hAnsi="Palatino Linotype"/>
          <w:sz w:val="24"/>
          <w:szCs w:val="24"/>
        </w:rPr>
        <w:t>cipient</w:t>
      </w:r>
      <w:r w:rsidR="009C3B64">
        <w:rPr>
          <w:rFonts w:ascii="Palatino Linotype" w:hAnsi="Palatino Linotype"/>
          <w:sz w:val="24"/>
          <w:szCs w:val="24"/>
        </w:rPr>
        <w:t>.</w:t>
      </w:r>
    </w:p>
    <w:p w:rsidR="00472A2C" w:rsidP="00472A2C" w:rsidRDefault="00472A2C" w14:paraId="502E1952" w14:textId="77777777">
      <w:pPr>
        <w:rPr>
          <w:rFonts w:ascii="Palatino Linotype" w:hAnsi="Palatino Linotype"/>
          <w:sz w:val="24"/>
          <w:szCs w:val="24"/>
        </w:rPr>
      </w:pPr>
    </w:p>
    <w:p w:rsidR="00472A2C" w:rsidP="00472A2C" w:rsidRDefault="00472A2C" w14:paraId="138E358F" w14:textId="77777777">
      <w:pPr>
        <w:rPr>
          <w:rFonts w:ascii="Palatino Linotype" w:hAnsi="Palatino Linotype"/>
          <w:sz w:val="24"/>
          <w:szCs w:val="24"/>
        </w:rPr>
      </w:pPr>
      <w:r>
        <w:rPr>
          <w:rFonts w:ascii="Palatino Linotype" w:hAnsi="Palatino Linotype"/>
          <w:sz w:val="24"/>
          <w:szCs w:val="24"/>
        </w:rPr>
        <w:t>IOUs may conduct other outreach related to the Small Business California Climate Credit if approved by Energy Division Staff through informal review. This may include outreach to customers nearing the eligibility threshold.</w:t>
      </w:r>
    </w:p>
    <w:p w:rsidR="00C15F3C" w:rsidP="00472A2C" w:rsidRDefault="00C15F3C" w14:paraId="51A96F76" w14:textId="77777777">
      <w:pPr>
        <w:rPr>
          <w:rFonts w:ascii="Palatino Linotype" w:hAnsi="Palatino Linotype"/>
          <w:sz w:val="24"/>
          <w:szCs w:val="24"/>
        </w:rPr>
      </w:pPr>
    </w:p>
    <w:p w:rsidR="00145428" w:rsidP="00472A2C" w:rsidRDefault="00C15F3C" w14:paraId="6C25EAC4" w14:textId="77777777">
      <w:pPr>
        <w:rPr>
          <w:rFonts w:ascii="Palatino Linotype" w:hAnsi="Palatino Linotype"/>
          <w:sz w:val="24"/>
          <w:szCs w:val="24"/>
        </w:rPr>
      </w:pPr>
      <w:r>
        <w:rPr>
          <w:rFonts w:ascii="Palatino Linotype" w:hAnsi="Palatino Linotype"/>
          <w:sz w:val="24"/>
          <w:szCs w:val="24"/>
        </w:rPr>
        <w:t>Costs associated with outreach to impacted recipients are expected to be minor.</w:t>
      </w:r>
    </w:p>
    <w:p w:rsidRPr="00AB0E0F" w:rsidR="00C15F3C" w:rsidP="00472A2C" w:rsidRDefault="00C15F3C" w14:paraId="05AC466F" w14:textId="77777777">
      <w:pPr>
        <w:rPr>
          <w:rFonts w:ascii="Palatino Linotype" w:hAnsi="Palatino Linotype"/>
          <w:sz w:val="24"/>
          <w:szCs w:val="24"/>
        </w:rPr>
      </w:pPr>
    </w:p>
    <w:p w:rsidRPr="00DD016A" w:rsidR="00472A2C" w:rsidP="007305D9" w:rsidRDefault="00472A2C" w14:paraId="3D16D316" w14:textId="77777777">
      <w:pPr>
        <w:keepNext/>
        <w:rPr>
          <w:rFonts w:ascii="Palatino Linotype" w:hAnsi="Palatino Linotype"/>
          <w:b/>
          <w:bCs/>
          <w:sz w:val="24"/>
          <w:szCs w:val="24"/>
        </w:rPr>
      </w:pPr>
      <w:r>
        <w:rPr>
          <w:rFonts w:ascii="Palatino Linotype" w:hAnsi="Palatino Linotype"/>
          <w:b/>
          <w:bCs/>
          <w:sz w:val="24"/>
          <w:szCs w:val="24"/>
        </w:rPr>
        <w:lastRenderedPageBreak/>
        <w:t>Error Handling</w:t>
      </w:r>
    </w:p>
    <w:p w:rsidR="00472A2C" w:rsidP="007305D9" w:rsidRDefault="00472A2C" w14:paraId="2FACC6C3" w14:textId="77777777">
      <w:pPr>
        <w:keepNext/>
        <w:rPr>
          <w:rFonts w:ascii="Palatino Linotype" w:hAnsi="Palatino Linotype"/>
          <w:sz w:val="24"/>
          <w:szCs w:val="24"/>
        </w:rPr>
      </w:pPr>
    </w:p>
    <w:p w:rsidR="00472A2C" w:rsidP="007305D9" w:rsidRDefault="00037A66" w14:paraId="12520387" w14:textId="77777777">
      <w:pPr>
        <w:keepNext/>
        <w:rPr>
          <w:rFonts w:ascii="Palatino Linotype" w:hAnsi="Palatino Linotype"/>
          <w:sz w:val="24"/>
          <w:szCs w:val="24"/>
        </w:rPr>
      </w:pPr>
      <w:r>
        <w:rPr>
          <w:rFonts w:ascii="Palatino Linotype" w:hAnsi="Palatino Linotype"/>
          <w:sz w:val="24"/>
          <w:szCs w:val="24"/>
        </w:rPr>
        <w:t xml:space="preserve">If a recipient </w:t>
      </w:r>
      <w:r w:rsidR="00F318D6">
        <w:rPr>
          <w:rFonts w:ascii="Palatino Linotype" w:hAnsi="Palatino Linotype"/>
          <w:sz w:val="24"/>
          <w:szCs w:val="24"/>
        </w:rPr>
        <w:t>is denied</w:t>
      </w:r>
      <w:r>
        <w:rPr>
          <w:rFonts w:ascii="Palatino Linotype" w:hAnsi="Palatino Linotype"/>
          <w:sz w:val="24"/>
          <w:szCs w:val="24"/>
        </w:rPr>
        <w:t xml:space="preserve"> </w:t>
      </w:r>
      <w:r w:rsidR="00925BA6">
        <w:rPr>
          <w:rFonts w:ascii="Palatino Linotype" w:hAnsi="Palatino Linotype"/>
          <w:sz w:val="24"/>
          <w:szCs w:val="24"/>
        </w:rPr>
        <w:t>the Small Business California Climate C</w:t>
      </w:r>
      <w:r>
        <w:rPr>
          <w:rFonts w:ascii="Palatino Linotype" w:hAnsi="Palatino Linotype"/>
          <w:sz w:val="24"/>
          <w:szCs w:val="24"/>
        </w:rPr>
        <w:t xml:space="preserve">redit due to an error by the IOU, the IOU must issue the </w:t>
      </w:r>
      <w:r w:rsidR="006F041F">
        <w:rPr>
          <w:rFonts w:ascii="Palatino Linotype" w:hAnsi="Palatino Linotype"/>
          <w:sz w:val="24"/>
          <w:szCs w:val="24"/>
        </w:rPr>
        <w:t>recipient</w:t>
      </w:r>
      <w:r>
        <w:rPr>
          <w:rFonts w:ascii="Palatino Linotype" w:hAnsi="Palatino Linotype"/>
          <w:sz w:val="24"/>
          <w:szCs w:val="24"/>
        </w:rPr>
        <w:t xml:space="preserve"> a </w:t>
      </w:r>
      <w:r w:rsidR="000243FF">
        <w:rPr>
          <w:rFonts w:ascii="Palatino Linotype" w:hAnsi="Palatino Linotype"/>
          <w:sz w:val="24"/>
          <w:szCs w:val="24"/>
        </w:rPr>
        <w:t xml:space="preserve">corrected </w:t>
      </w:r>
      <w:r>
        <w:rPr>
          <w:rFonts w:ascii="Palatino Linotype" w:hAnsi="Palatino Linotype"/>
          <w:sz w:val="24"/>
          <w:szCs w:val="24"/>
        </w:rPr>
        <w:t xml:space="preserve">credit as soon as the error is resolved. </w:t>
      </w:r>
      <w:r w:rsidR="001C46FA">
        <w:rPr>
          <w:rFonts w:ascii="Palatino Linotype" w:hAnsi="Palatino Linotype"/>
          <w:sz w:val="24"/>
          <w:szCs w:val="24"/>
        </w:rPr>
        <w:t xml:space="preserve">The lookback period for error correction is limited to the current and prior CARB </w:t>
      </w:r>
      <w:r w:rsidR="0011066D">
        <w:rPr>
          <w:rFonts w:ascii="Palatino Linotype" w:hAnsi="Palatino Linotype"/>
          <w:sz w:val="24"/>
          <w:szCs w:val="24"/>
        </w:rPr>
        <w:t xml:space="preserve">Cap-and-Trade Program </w:t>
      </w:r>
      <w:r w:rsidR="001C46FA">
        <w:rPr>
          <w:rFonts w:ascii="Palatino Linotype" w:hAnsi="Palatino Linotype"/>
          <w:sz w:val="24"/>
          <w:szCs w:val="24"/>
        </w:rPr>
        <w:t xml:space="preserve">compliance period. </w:t>
      </w:r>
    </w:p>
    <w:p w:rsidR="00E453E2" w:rsidRDefault="00E453E2" w14:paraId="6F5E1FF7" w14:textId="77777777">
      <w:pPr>
        <w:rPr>
          <w:rFonts w:ascii="Palatino Linotype" w:hAnsi="Palatino Linotype"/>
          <w:sz w:val="24"/>
          <w:szCs w:val="24"/>
        </w:rPr>
      </w:pPr>
    </w:p>
    <w:p w:rsidRPr="00485533" w:rsidR="000E4294" w:rsidP="00333835" w:rsidRDefault="000E4294" w14:paraId="08FD4357" w14:textId="77777777">
      <w:pPr>
        <w:keepNext/>
        <w:keepLines/>
        <w:rPr>
          <w:rFonts w:ascii="Palatino Linotype" w:hAnsi="Palatino Linotype"/>
          <w:b/>
          <w:sz w:val="24"/>
          <w:szCs w:val="24"/>
        </w:rPr>
      </w:pPr>
      <w:r w:rsidRPr="00485533">
        <w:rPr>
          <w:rFonts w:ascii="Palatino Linotype" w:hAnsi="Palatino Linotype"/>
          <w:b/>
          <w:sz w:val="24"/>
          <w:szCs w:val="24"/>
        </w:rPr>
        <w:t>Future Revisions to Eligibility Rules for Small Business</w:t>
      </w:r>
    </w:p>
    <w:p w:rsidR="00E453E2" w:rsidP="00333835" w:rsidRDefault="00E453E2" w14:paraId="770D16C7" w14:textId="77777777">
      <w:pPr>
        <w:keepNext/>
        <w:keepLines/>
        <w:rPr>
          <w:rFonts w:ascii="Palatino Linotype" w:hAnsi="Palatino Linotype"/>
          <w:sz w:val="24"/>
          <w:szCs w:val="24"/>
        </w:rPr>
      </w:pPr>
    </w:p>
    <w:p w:rsidR="004E2940" w:rsidP="00333835" w:rsidRDefault="004A0B41" w14:paraId="4C2FB6A5" w14:textId="77777777">
      <w:pPr>
        <w:keepNext/>
        <w:keepLines/>
        <w:rPr>
          <w:rFonts w:ascii="Palatino Linotype" w:hAnsi="Palatino Linotype"/>
          <w:sz w:val="24"/>
          <w:szCs w:val="24"/>
        </w:rPr>
      </w:pPr>
      <w:proofErr w:type="gramStart"/>
      <w:r>
        <w:rPr>
          <w:rFonts w:ascii="Palatino Linotype" w:hAnsi="Palatino Linotype"/>
          <w:sz w:val="24"/>
          <w:szCs w:val="24"/>
        </w:rPr>
        <w:t>In order to</w:t>
      </w:r>
      <w:proofErr w:type="gramEnd"/>
      <w:r>
        <w:rPr>
          <w:rFonts w:ascii="Palatino Linotype" w:hAnsi="Palatino Linotype"/>
          <w:sz w:val="24"/>
          <w:szCs w:val="24"/>
        </w:rPr>
        <w:t xml:space="preserve"> prudently exercise authority over funds derived from the Cap-and-Trade Program and ensure that the program designed by the Commission</w:t>
      </w:r>
      <w:r w:rsidR="00262EE1">
        <w:rPr>
          <w:rFonts w:ascii="Palatino Linotype" w:hAnsi="Palatino Linotype"/>
          <w:sz w:val="24"/>
          <w:szCs w:val="24"/>
        </w:rPr>
        <w:t xml:space="preserve"> </w:t>
      </w:r>
      <w:r w:rsidR="009E778C">
        <w:rPr>
          <w:rFonts w:ascii="Palatino Linotype" w:hAnsi="Palatino Linotype"/>
          <w:sz w:val="24"/>
          <w:szCs w:val="24"/>
        </w:rPr>
        <w:t xml:space="preserve">comports with the legislative intent to credit small businesses, </w:t>
      </w:r>
      <w:r w:rsidR="00294AE8">
        <w:rPr>
          <w:rFonts w:ascii="Palatino Linotype" w:hAnsi="Palatino Linotype"/>
          <w:sz w:val="24"/>
          <w:szCs w:val="24"/>
        </w:rPr>
        <w:t xml:space="preserve">this resolution uses the authority provided in </w:t>
      </w:r>
      <w:r w:rsidRPr="004E2940" w:rsidR="004E2940">
        <w:rPr>
          <w:rFonts w:ascii="Palatino Linotype" w:hAnsi="Palatino Linotype"/>
          <w:sz w:val="24"/>
          <w:szCs w:val="24"/>
        </w:rPr>
        <w:t xml:space="preserve">Conclusion of Law 9 in D.13-12-002 </w:t>
      </w:r>
      <w:r w:rsidR="00294AE8">
        <w:rPr>
          <w:rFonts w:ascii="Palatino Linotype" w:hAnsi="Palatino Linotype"/>
          <w:sz w:val="24"/>
          <w:szCs w:val="24"/>
        </w:rPr>
        <w:t>to make</w:t>
      </w:r>
      <w:r w:rsidRPr="004E2940" w:rsidR="004E2940">
        <w:rPr>
          <w:rFonts w:ascii="Palatino Linotype" w:hAnsi="Palatino Linotype"/>
          <w:sz w:val="24"/>
          <w:szCs w:val="24"/>
        </w:rPr>
        <w:t xml:space="preserve"> minor updates to the adopted small</w:t>
      </w:r>
      <w:r w:rsidR="004E2940">
        <w:rPr>
          <w:rFonts w:ascii="Palatino Linotype" w:hAnsi="Palatino Linotype"/>
          <w:sz w:val="24"/>
          <w:szCs w:val="24"/>
        </w:rPr>
        <w:t xml:space="preserve"> </w:t>
      </w:r>
      <w:r w:rsidRPr="004E2940" w:rsidR="004E2940">
        <w:rPr>
          <w:rFonts w:ascii="Palatino Linotype" w:hAnsi="Palatino Linotype"/>
          <w:sz w:val="24"/>
          <w:szCs w:val="24"/>
        </w:rPr>
        <w:t xml:space="preserve">business </w:t>
      </w:r>
      <w:r w:rsidR="00B90AA1">
        <w:rPr>
          <w:rFonts w:ascii="Palatino Linotype" w:hAnsi="Palatino Linotype"/>
          <w:sz w:val="24"/>
          <w:szCs w:val="24"/>
        </w:rPr>
        <w:t>greenhouse gas</w:t>
      </w:r>
      <w:r w:rsidRPr="004E2940" w:rsidR="004E2940">
        <w:rPr>
          <w:rFonts w:ascii="Palatino Linotype" w:hAnsi="Palatino Linotype"/>
          <w:sz w:val="24"/>
          <w:szCs w:val="24"/>
        </w:rPr>
        <w:t xml:space="preserve"> revenue allocation formula as necessary through a resolution process.</w:t>
      </w:r>
    </w:p>
    <w:p w:rsidR="00FF400D" w:rsidRDefault="00FF400D" w14:paraId="5D7EB693" w14:textId="77777777">
      <w:pPr>
        <w:rPr>
          <w:rFonts w:ascii="Palatino Linotype" w:hAnsi="Palatino Linotype"/>
          <w:sz w:val="24"/>
          <w:szCs w:val="24"/>
        </w:rPr>
      </w:pPr>
    </w:p>
    <w:p w:rsidR="00EF4DB8" w:rsidRDefault="00935A93" w14:paraId="612F0F0D" w14:textId="77777777">
      <w:pPr>
        <w:rPr>
          <w:rFonts w:ascii="Palatino Linotype" w:hAnsi="Palatino Linotype"/>
          <w:sz w:val="24"/>
          <w:szCs w:val="24"/>
        </w:rPr>
      </w:pPr>
      <w:r>
        <w:rPr>
          <w:rFonts w:ascii="Palatino Linotype" w:hAnsi="Palatino Linotype"/>
          <w:sz w:val="24"/>
          <w:szCs w:val="24"/>
        </w:rPr>
        <w:t>While these changes are welcome improvements</w:t>
      </w:r>
      <w:r w:rsidR="00950BC8">
        <w:rPr>
          <w:rFonts w:ascii="Palatino Linotype" w:hAnsi="Palatino Linotype"/>
          <w:sz w:val="24"/>
          <w:szCs w:val="24"/>
        </w:rPr>
        <w:t>,</w:t>
      </w:r>
      <w:r>
        <w:rPr>
          <w:rFonts w:ascii="Palatino Linotype" w:hAnsi="Palatino Linotype"/>
          <w:sz w:val="24"/>
          <w:szCs w:val="24"/>
        </w:rPr>
        <w:t xml:space="preserve"> staff analysis identified numerous </w:t>
      </w:r>
      <w:r w:rsidR="00245DBA">
        <w:rPr>
          <w:rFonts w:ascii="Palatino Linotype" w:hAnsi="Palatino Linotype"/>
          <w:sz w:val="24"/>
          <w:szCs w:val="24"/>
        </w:rPr>
        <w:t xml:space="preserve">other opportunities for program improvement. </w:t>
      </w:r>
      <w:r w:rsidR="00EF4DB8">
        <w:rPr>
          <w:rFonts w:ascii="Palatino Linotype" w:hAnsi="Palatino Linotype"/>
          <w:sz w:val="24"/>
          <w:szCs w:val="24"/>
        </w:rPr>
        <w:t>The eligibility changes in this resolution take a first-do-no-harm approach</w:t>
      </w:r>
      <w:r w:rsidR="00656638">
        <w:rPr>
          <w:rFonts w:ascii="Palatino Linotype" w:hAnsi="Palatino Linotype"/>
          <w:sz w:val="24"/>
          <w:szCs w:val="24"/>
        </w:rPr>
        <w:t xml:space="preserve">. With greater input from stakeholders and </w:t>
      </w:r>
      <w:r w:rsidR="00734E37">
        <w:rPr>
          <w:rFonts w:ascii="Palatino Linotype" w:hAnsi="Palatino Linotype"/>
          <w:sz w:val="24"/>
          <w:szCs w:val="24"/>
        </w:rPr>
        <w:t>a forum for discussion, the Commission may realize other ways to continue to improve the Small Business California Climate Credit</w:t>
      </w:r>
      <w:r w:rsidR="0054381C">
        <w:rPr>
          <w:rFonts w:ascii="Palatino Linotype" w:hAnsi="Palatino Linotype"/>
          <w:sz w:val="24"/>
          <w:szCs w:val="24"/>
        </w:rPr>
        <w:t xml:space="preserve"> while avoiding any adverse impacts to California’s small businesses</w:t>
      </w:r>
      <w:r w:rsidR="00734E37">
        <w:rPr>
          <w:rFonts w:ascii="Palatino Linotype" w:hAnsi="Palatino Linotype"/>
          <w:sz w:val="24"/>
          <w:szCs w:val="24"/>
        </w:rPr>
        <w:t>.</w:t>
      </w:r>
      <w:r w:rsidR="0054381C">
        <w:rPr>
          <w:rFonts w:ascii="Palatino Linotype" w:hAnsi="Palatino Linotype"/>
          <w:sz w:val="24"/>
          <w:szCs w:val="24"/>
        </w:rPr>
        <w:t xml:space="preserve"> The Commission </w:t>
      </w:r>
      <w:r w:rsidR="00F17E6F">
        <w:rPr>
          <w:rFonts w:ascii="Palatino Linotype" w:hAnsi="Palatino Linotype"/>
          <w:sz w:val="24"/>
          <w:szCs w:val="24"/>
        </w:rPr>
        <w:t xml:space="preserve">may </w:t>
      </w:r>
      <w:r w:rsidR="0054381C">
        <w:rPr>
          <w:rFonts w:ascii="Palatino Linotype" w:hAnsi="Palatino Linotype"/>
          <w:sz w:val="24"/>
          <w:szCs w:val="24"/>
        </w:rPr>
        <w:t>consider</w:t>
      </w:r>
      <w:r w:rsidR="00F17E6F">
        <w:rPr>
          <w:rFonts w:ascii="Palatino Linotype" w:hAnsi="Palatino Linotype"/>
          <w:sz w:val="24"/>
          <w:szCs w:val="24"/>
        </w:rPr>
        <w:t xml:space="preserve"> </w:t>
      </w:r>
      <w:r w:rsidR="0054381C">
        <w:rPr>
          <w:rFonts w:ascii="Palatino Linotype" w:hAnsi="Palatino Linotype"/>
          <w:sz w:val="24"/>
          <w:szCs w:val="24"/>
        </w:rPr>
        <w:t>continued improvements to the Small Business California Climate credit including alternative methods for demonstrating eligibility</w:t>
      </w:r>
      <w:r w:rsidR="00447DDD">
        <w:rPr>
          <w:rFonts w:ascii="Palatino Linotype" w:hAnsi="Palatino Linotype"/>
          <w:sz w:val="24"/>
          <w:szCs w:val="24"/>
        </w:rPr>
        <w:t xml:space="preserve">, handling of independently owned-franchises, </w:t>
      </w:r>
      <w:r w:rsidR="00262EE1">
        <w:rPr>
          <w:rFonts w:ascii="Palatino Linotype" w:hAnsi="Palatino Linotype"/>
          <w:sz w:val="24"/>
          <w:szCs w:val="24"/>
        </w:rPr>
        <w:t>businesses which operate in multiple IOU territories, and other issues not addressed by this resolution</w:t>
      </w:r>
      <w:r w:rsidR="0063416A">
        <w:rPr>
          <w:rFonts w:ascii="Palatino Linotype" w:hAnsi="Palatino Linotype"/>
          <w:sz w:val="24"/>
          <w:szCs w:val="24"/>
        </w:rPr>
        <w:t xml:space="preserve"> when an appropriate procedural forum to receive input on these topics is available</w:t>
      </w:r>
      <w:r w:rsidR="00262EE1">
        <w:rPr>
          <w:rFonts w:ascii="Palatino Linotype" w:hAnsi="Palatino Linotype"/>
          <w:sz w:val="24"/>
          <w:szCs w:val="24"/>
        </w:rPr>
        <w:t xml:space="preserve">. </w:t>
      </w:r>
      <w:r w:rsidR="00447DDD">
        <w:rPr>
          <w:rFonts w:ascii="Palatino Linotype" w:hAnsi="Palatino Linotype"/>
          <w:sz w:val="24"/>
          <w:szCs w:val="24"/>
        </w:rPr>
        <w:t xml:space="preserve"> </w:t>
      </w:r>
    </w:p>
    <w:p w:rsidR="00EF4DB8" w:rsidRDefault="00EF4DB8" w14:paraId="656143E8" w14:textId="77777777">
      <w:pPr>
        <w:rPr>
          <w:rFonts w:ascii="Palatino Linotype" w:hAnsi="Palatino Linotype"/>
          <w:sz w:val="24"/>
          <w:szCs w:val="24"/>
        </w:rPr>
      </w:pPr>
    </w:p>
    <w:p w:rsidRPr="00BE181F" w:rsidR="00BE181F" w:rsidP="00BE181F" w:rsidRDefault="00CF17DE" w14:paraId="5F77017B" w14:textId="77777777">
      <w:pPr>
        <w:pStyle w:val="Heading1"/>
        <w:rPr>
          <w:rFonts w:ascii="Palatino Linotype" w:hAnsi="Palatino Linotype"/>
          <w:sz w:val="24"/>
          <w:szCs w:val="24"/>
        </w:rPr>
      </w:pPr>
      <w:r w:rsidRPr="00D865A9">
        <w:rPr>
          <w:rFonts w:ascii="Palatino Linotype" w:hAnsi="Palatino Linotype"/>
          <w:sz w:val="24"/>
          <w:szCs w:val="24"/>
        </w:rPr>
        <w:t>Comments</w:t>
      </w:r>
    </w:p>
    <w:p w:rsidRPr="00995F38" w:rsidR="00995F38" w:rsidP="00995F38" w:rsidRDefault="00995F38" w14:paraId="7380C298" w14:textId="77777777">
      <w:pPr>
        <w:pStyle w:val="Default"/>
      </w:pPr>
      <w:r w:rsidRPr="00995F38">
        <w:t>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w:t>
      </w:r>
    </w:p>
    <w:p w:rsidRPr="00995F38" w:rsidR="00995F38" w:rsidP="00995F38" w:rsidRDefault="00995F38" w14:paraId="2DB6252D" w14:textId="77777777">
      <w:pPr>
        <w:pStyle w:val="Default"/>
      </w:pPr>
    </w:p>
    <w:p w:rsidR="00BE181F" w:rsidP="00995F38" w:rsidRDefault="00995F38" w14:paraId="3FBCEED0" w14:textId="77777777">
      <w:pPr>
        <w:pStyle w:val="Default"/>
      </w:pPr>
      <w:r w:rsidRPr="00995F38">
        <w:t xml:space="preserve">The 30-day review and 20-day comment period for the draft of this resolution was neither waived nor reduced. Accordingly, this draft resolution was mailed to parties for </w:t>
      </w:r>
      <w:r w:rsidRPr="00995F38">
        <w:lastRenderedPageBreak/>
        <w:t xml:space="preserve">comments, and </w:t>
      </w:r>
      <w:r w:rsidR="00A50EEC">
        <w:t>was</w:t>
      </w:r>
      <w:r w:rsidRPr="00995F38">
        <w:t xml:space="preserve"> placed on the Commission's agenda no earlier than 30 days from </w:t>
      </w:r>
      <w:r w:rsidR="00A50EEC">
        <w:t>mailing</w:t>
      </w:r>
      <w:r>
        <w:t>.</w:t>
      </w:r>
    </w:p>
    <w:p w:rsidR="00081213" w:rsidP="00995F38" w:rsidRDefault="00081213" w14:paraId="4E2275A2" w14:textId="77777777">
      <w:pPr>
        <w:pStyle w:val="Default"/>
      </w:pPr>
    </w:p>
    <w:p w:rsidR="00081213" w:rsidP="00995F38" w:rsidRDefault="00081213" w14:paraId="1B079A0D" w14:textId="77777777">
      <w:pPr>
        <w:pStyle w:val="Default"/>
      </w:pPr>
      <w:r>
        <w:t>On August 6, 2024 four parties filed comments on the draft resolution: all three large</w:t>
      </w:r>
      <w:r w:rsidR="005E7271">
        <w:t xml:space="preserve"> electric</w:t>
      </w:r>
      <w:r>
        <w:t xml:space="preserve"> IOUs (PG&amp;E, SCE, and SDG&amp;E) as well as the California Farm Bureau. </w:t>
      </w:r>
      <w:r w:rsidR="00AB60D0">
        <w:t>All three large IOUs agreed that the purpose of the resolution was to ensure the prudent use of allocated allowance auction proceeds</w:t>
      </w:r>
      <w:r w:rsidR="0037533F">
        <w:t>. SCE</w:t>
      </w:r>
      <w:r w:rsidR="00B96528">
        <w:t xml:space="preserve"> and SDG&amp;E</w:t>
      </w:r>
      <w:r w:rsidR="0037533F">
        <w:t xml:space="preserve"> noted that </w:t>
      </w:r>
      <w:r w:rsidR="00AB60D0">
        <w:t xml:space="preserve">the proposed </w:t>
      </w:r>
      <w:r w:rsidR="007467FB">
        <w:t>modifications</w:t>
      </w:r>
      <w:r w:rsidR="00AB60D0">
        <w:t xml:space="preserve"> would result in large</w:t>
      </w:r>
      <w:r w:rsidR="00A63B11">
        <w:t>r</w:t>
      </w:r>
      <w:r w:rsidR="00AB60D0">
        <w:t xml:space="preserve"> California Climate Credits for remaining residential and small business recipients. </w:t>
      </w:r>
      <w:r w:rsidR="00CB5362">
        <w:t>We address specific party comments below.</w:t>
      </w:r>
    </w:p>
    <w:p w:rsidR="00AB60D0" w:rsidP="00995F38" w:rsidRDefault="00AB60D0" w14:paraId="0DADA22B" w14:textId="77777777">
      <w:pPr>
        <w:pStyle w:val="Default"/>
      </w:pPr>
    </w:p>
    <w:p w:rsidRPr="00AB60D0" w:rsidR="00AB60D0" w:rsidP="00995F38" w:rsidRDefault="00AB60D0" w14:paraId="5932FCFF" w14:textId="77777777">
      <w:pPr>
        <w:pStyle w:val="Default"/>
        <w:rPr>
          <w:b/>
          <w:bCs/>
        </w:rPr>
      </w:pPr>
      <w:r w:rsidRPr="00AB60D0">
        <w:rPr>
          <w:b/>
          <w:bCs/>
        </w:rPr>
        <w:t>Implementing Methodological Changes</w:t>
      </w:r>
    </w:p>
    <w:p w:rsidR="00AB60D0" w:rsidP="00995F38" w:rsidRDefault="00AB60D0" w14:paraId="1420B761" w14:textId="77777777">
      <w:pPr>
        <w:pStyle w:val="Default"/>
      </w:pPr>
    </w:p>
    <w:p w:rsidR="00AB60D0" w:rsidP="00995F38" w:rsidRDefault="00AB60D0" w14:paraId="4627B790" w14:textId="77777777">
      <w:pPr>
        <w:pStyle w:val="Default"/>
      </w:pPr>
      <w:r>
        <w:t>SCE commented that to effectuate changes proposed by the resolution</w:t>
      </w:r>
      <w:r w:rsidR="00E975FB">
        <w:t>, its</w:t>
      </w:r>
      <w:r>
        <w:t xml:space="preserve"> tariffs would need to be updated as </w:t>
      </w:r>
      <w:r w:rsidR="00E975FB">
        <w:t>the</w:t>
      </w:r>
      <w:r w:rsidR="00713254">
        <w:t>ir</w:t>
      </w:r>
      <w:r w:rsidR="00E975FB">
        <w:t xml:space="preserve"> </w:t>
      </w:r>
      <w:r>
        <w:t xml:space="preserve">tariff </w:t>
      </w:r>
      <w:r w:rsidR="00713254">
        <w:t>describe</w:t>
      </w:r>
      <w:r w:rsidR="00F8287A">
        <w:t>s</w:t>
      </w:r>
      <w:r w:rsidR="00713254">
        <w:t xml:space="preserve"> eligibility </w:t>
      </w:r>
      <w:r w:rsidR="00F8287A">
        <w:t xml:space="preserve">requirements </w:t>
      </w:r>
      <w:r w:rsidR="00713254">
        <w:t>for the</w:t>
      </w:r>
      <w:r>
        <w:t xml:space="preserve"> Small Business California Climate Credit. To ensure that the changes to the Small Business California Climate Credit methodology can be </w:t>
      </w:r>
      <w:r w:rsidR="0096309F">
        <w:t>executed</w:t>
      </w:r>
      <w:r>
        <w:t xml:space="preserve"> as soon as possible</w:t>
      </w:r>
      <w:r w:rsidR="00CD5BA0">
        <w:t>,</w:t>
      </w:r>
      <w:r>
        <w:t xml:space="preserve"> this resolution implements SCE’s suggestion to </w:t>
      </w:r>
      <w:r w:rsidR="00847410">
        <w:t xml:space="preserve">include an ordering paragraph authorizing tariff sheet changes to implement the methodological changes to the Small Business California Climate Credit. </w:t>
      </w:r>
    </w:p>
    <w:p w:rsidR="00B77032" w:rsidP="00995F38" w:rsidRDefault="00B77032" w14:paraId="7CB9F968" w14:textId="77777777">
      <w:pPr>
        <w:pStyle w:val="Default"/>
      </w:pPr>
    </w:p>
    <w:p w:rsidRPr="00995F38" w:rsidR="009D1B66" w:rsidP="00995F38" w:rsidRDefault="00B77032" w14:paraId="05A212C8" w14:textId="77777777">
      <w:pPr>
        <w:pStyle w:val="Default"/>
      </w:pPr>
      <w:r>
        <w:t>PG&amp;E and SCE commented on the proposed timeline for implementing Small Business California Climate Credit methodological changes. PG&amp;E does not support a</w:t>
      </w:r>
      <w:r w:rsidR="00CD5BA0">
        <w:t>n</w:t>
      </w:r>
      <w:r>
        <w:t xml:space="preserve"> October 2024 implementation due to the </w:t>
      </w:r>
      <w:r w:rsidR="009D1B66">
        <w:t>limited time available to notify customers</w:t>
      </w:r>
      <w:r w:rsidR="00B90A16">
        <w:t xml:space="preserve"> in advance of any el</w:t>
      </w:r>
      <w:r w:rsidR="0099628B">
        <w:t>igibility changes</w:t>
      </w:r>
      <w:r w:rsidR="009D1B66">
        <w:t xml:space="preserve">. SCE’s comments </w:t>
      </w:r>
      <w:r w:rsidR="00CA3F0C">
        <w:t xml:space="preserve">note that </w:t>
      </w:r>
      <w:r w:rsidR="00C43307">
        <w:t xml:space="preserve">the effective date in </w:t>
      </w:r>
      <w:r w:rsidR="009E3763">
        <w:t>a</w:t>
      </w:r>
      <w:r w:rsidR="009D1B66">
        <w:t xml:space="preserve"> Tier 1 advice letter filing for tariff sheet updates </w:t>
      </w:r>
      <w:r w:rsidR="009E3763">
        <w:t>c</w:t>
      </w:r>
      <w:r w:rsidR="009D1B66">
        <w:t xml:space="preserve">ould </w:t>
      </w:r>
      <w:r w:rsidR="009E3763">
        <w:t xml:space="preserve">be used to </w:t>
      </w:r>
      <w:r w:rsidR="009D1B66">
        <w:t>signal an April 2025 implementation. This resolution does not require an October 2024 implementation; it requires implementation by April 2025 at the latest. Accordingly, the Commission has not modified the implementation timeline. The Commission</w:t>
      </w:r>
      <w:r w:rsidR="00CD5BA0">
        <w:t>, however, urges</w:t>
      </w:r>
      <w:r w:rsidR="009D1B66">
        <w:t xml:space="preserve"> IOUs to implement changes </w:t>
      </w:r>
      <w:r w:rsidR="002C61B1">
        <w:t>as soon as possible</w:t>
      </w:r>
      <w:r w:rsidR="009D1B66">
        <w:t xml:space="preserve"> </w:t>
      </w:r>
      <w:proofErr w:type="gramStart"/>
      <w:r w:rsidR="009D1B66">
        <w:t>in order to</w:t>
      </w:r>
      <w:proofErr w:type="gramEnd"/>
      <w:r w:rsidR="009D1B66">
        <w:t xml:space="preserve"> direct a larger share of </w:t>
      </w:r>
      <w:r w:rsidR="002C61B1">
        <w:t xml:space="preserve">Cap-and-Trade program </w:t>
      </w:r>
      <w:r w:rsidR="009D1B66">
        <w:t>benefits to residential customers.</w:t>
      </w:r>
    </w:p>
    <w:p w:rsidR="00BE181F" w:rsidP="00BE181F" w:rsidRDefault="00BE181F" w14:paraId="35B729D8" w14:textId="77777777">
      <w:pPr>
        <w:rPr>
          <w:sz w:val="23"/>
          <w:szCs w:val="23"/>
        </w:rPr>
      </w:pPr>
    </w:p>
    <w:p w:rsidR="000467D8" w:rsidP="00BE181F" w:rsidRDefault="000467D8" w14:paraId="4ECD1D3B" w14:textId="77777777">
      <w:pPr>
        <w:rPr>
          <w:rFonts w:ascii="Palatino Linotype" w:hAnsi="Palatino Linotype"/>
          <w:b/>
          <w:bCs/>
          <w:sz w:val="24"/>
          <w:szCs w:val="24"/>
        </w:rPr>
      </w:pPr>
      <w:r w:rsidRPr="000467D8">
        <w:rPr>
          <w:rFonts w:ascii="Palatino Linotype" w:hAnsi="Palatino Linotype"/>
          <w:b/>
          <w:bCs/>
          <w:sz w:val="24"/>
          <w:szCs w:val="24"/>
        </w:rPr>
        <w:t>Identification of Associated Accounts</w:t>
      </w:r>
    </w:p>
    <w:p w:rsidR="000467D8" w:rsidP="00BE181F" w:rsidRDefault="000467D8" w14:paraId="2DE75180" w14:textId="77777777">
      <w:pPr>
        <w:rPr>
          <w:rFonts w:ascii="Palatino Linotype" w:hAnsi="Palatino Linotype"/>
          <w:b/>
          <w:bCs/>
          <w:sz w:val="24"/>
          <w:szCs w:val="24"/>
        </w:rPr>
      </w:pPr>
    </w:p>
    <w:p w:rsidR="000467D8" w:rsidP="00BE181F" w:rsidRDefault="000467D8" w14:paraId="1E2E7903" w14:textId="77777777">
      <w:pPr>
        <w:rPr>
          <w:rFonts w:ascii="Palatino Linotype" w:hAnsi="Palatino Linotype"/>
          <w:sz w:val="24"/>
          <w:szCs w:val="24"/>
        </w:rPr>
      </w:pPr>
      <w:r>
        <w:rPr>
          <w:rFonts w:ascii="Palatino Linotype" w:hAnsi="Palatino Linotype"/>
          <w:sz w:val="24"/>
          <w:szCs w:val="24"/>
        </w:rPr>
        <w:t xml:space="preserve">PG&amp;E and SDG&amp;E requested changes to the process used to identify and aggregate associated accounts. </w:t>
      </w:r>
      <w:r w:rsidR="00494B2B">
        <w:rPr>
          <w:rFonts w:ascii="Palatino Linotype" w:hAnsi="Palatino Linotype"/>
          <w:sz w:val="24"/>
          <w:szCs w:val="24"/>
        </w:rPr>
        <w:t xml:space="preserve">SDG&amp;E’s comments request flexibility, broadly, in identifying customers for purposes of account number determination. </w:t>
      </w:r>
      <w:r w:rsidR="003D4FCB">
        <w:rPr>
          <w:rFonts w:ascii="Palatino Linotype" w:hAnsi="Palatino Linotype"/>
          <w:sz w:val="24"/>
          <w:szCs w:val="24"/>
        </w:rPr>
        <w:t xml:space="preserve">PG&amp;E requested authority to identity customers based on </w:t>
      </w:r>
      <w:r w:rsidR="00BE7D7E">
        <w:rPr>
          <w:rFonts w:ascii="Palatino Linotype" w:hAnsi="Palatino Linotype"/>
          <w:sz w:val="24"/>
          <w:szCs w:val="24"/>
        </w:rPr>
        <w:t>an</w:t>
      </w:r>
      <w:r w:rsidR="003D4FCB">
        <w:rPr>
          <w:rFonts w:ascii="Palatino Linotype" w:hAnsi="Palatino Linotype"/>
          <w:sz w:val="24"/>
          <w:szCs w:val="24"/>
        </w:rPr>
        <w:t xml:space="preserve"> account</w:t>
      </w:r>
      <w:r w:rsidR="00BE7D7E">
        <w:rPr>
          <w:rFonts w:ascii="Palatino Linotype" w:hAnsi="Palatino Linotype"/>
          <w:sz w:val="24"/>
          <w:szCs w:val="24"/>
        </w:rPr>
        <w:t>’s</w:t>
      </w:r>
      <w:r w:rsidR="003D4FCB">
        <w:rPr>
          <w:rFonts w:ascii="Palatino Linotype" w:hAnsi="Palatino Linotype"/>
          <w:sz w:val="24"/>
          <w:szCs w:val="24"/>
        </w:rPr>
        <w:t xml:space="preserve"> numeric ID, or “PERSON ID” as named by PG&amp;E</w:t>
      </w:r>
      <w:r w:rsidR="00570023">
        <w:rPr>
          <w:rFonts w:ascii="Palatino Linotype" w:hAnsi="Palatino Linotype"/>
          <w:sz w:val="24"/>
          <w:szCs w:val="24"/>
        </w:rPr>
        <w:t>, rather than by account name</w:t>
      </w:r>
      <w:r w:rsidR="003D4FCB">
        <w:rPr>
          <w:rFonts w:ascii="Palatino Linotype" w:hAnsi="Palatino Linotype"/>
          <w:sz w:val="24"/>
          <w:szCs w:val="24"/>
        </w:rPr>
        <w:t xml:space="preserve">. </w:t>
      </w:r>
      <w:r w:rsidR="00543EF3">
        <w:rPr>
          <w:rFonts w:ascii="Palatino Linotype" w:hAnsi="Palatino Linotype"/>
          <w:sz w:val="24"/>
          <w:szCs w:val="24"/>
        </w:rPr>
        <w:t xml:space="preserve">At their core, both SDG&amp;E and PG&amp;E are </w:t>
      </w:r>
      <w:r w:rsidR="00543EF3">
        <w:rPr>
          <w:rFonts w:ascii="Palatino Linotype" w:hAnsi="Palatino Linotype"/>
          <w:sz w:val="24"/>
          <w:szCs w:val="24"/>
        </w:rPr>
        <w:lastRenderedPageBreak/>
        <w:t xml:space="preserve">concerned about variations in customer names between accounts. </w:t>
      </w:r>
      <w:r w:rsidR="00570023">
        <w:rPr>
          <w:rFonts w:ascii="Palatino Linotype" w:hAnsi="Palatino Linotype"/>
          <w:sz w:val="24"/>
          <w:szCs w:val="24"/>
        </w:rPr>
        <w:t xml:space="preserve">PG&amp;E further commented that: </w:t>
      </w:r>
    </w:p>
    <w:p w:rsidRPr="00570023" w:rsidR="00570023" w:rsidP="00570023" w:rsidRDefault="00570023" w14:paraId="77E535F0" w14:textId="77777777">
      <w:pPr>
        <w:spacing w:before="120"/>
        <w:ind w:left="720"/>
        <w:rPr>
          <w:rFonts w:ascii="Palatino Linotype" w:hAnsi="Palatino Linotype"/>
          <w:i/>
          <w:iCs/>
          <w:sz w:val="24"/>
          <w:szCs w:val="24"/>
        </w:rPr>
      </w:pPr>
      <w:r w:rsidRPr="00570023">
        <w:rPr>
          <w:rFonts w:ascii="Palatino Linotype" w:hAnsi="Palatino Linotype"/>
          <w:i/>
          <w:iCs/>
          <w:sz w:val="24"/>
          <w:szCs w:val="24"/>
        </w:rPr>
        <w:t>… the optimal method to identify customers may vary by IOU, and each IOU should be provided the flexibility to effectively identify customers impacted by the Final Resolution’s eligibility changes.</w:t>
      </w:r>
      <w:r w:rsidR="002A7EFD">
        <w:rPr>
          <w:rStyle w:val="FootnoteReference"/>
          <w:rFonts w:ascii="Palatino Linotype" w:hAnsi="Palatino Linotype"/>
          <w:i/>
          <w:iCs/>
          <w:sz w:val="24"/>
          <w:szCs w:val="24"/>
        </w:rPr>
        <w:footnoteReference w:id="13"/>
      </w:r>
    </w:p>
    <w:p w:rsidR="000467D8" w:rsidP="00BE181F" w:rsidRDefault="000467D8" w14:paraId="2F532DD4" w14:textId="77777777">
      <w:pPr>
        <w:rPr>
          <w:rFonts w:ascii="Palatino Linotype" w:hAnsi="Palatino Linotype"/>
          <w:sz w:val="24"/>
          <w:szCs w:val="24"/>
        </w:rPr>
      </w:pPr>
    </w:p>
    <w:p w:rsidR="000467D8" w:rsidP="00BE181F" w:rsidRDefault="00570023" w14:paraId="2511D863" w14:textId="77777777">
      <w:pPr>
        <w:rPr>
          <w:rFonts w:ascii="Palatino Linotype" w:hAnsi="Palatino Linotype"/>
          <w:sz w:val="24"/>
          <w:szCs w:val="24"/>
        </w:rPr>
      </w:pPr>
      <w:r>
        <w:rPr>
          <w:rFonts w:ascii="Palatino Linotype" w:hAnsi="Palatino Linotype"/>
          <w:sz w:val="24"/>
          <w:szCs w:val="24"/>
        </w:rPr>
        <w:t xml:space="preserve">The Commission agrees with </w:t>
      </w:r>
      <w:r w:rsidR="00494B2B">
        <w:rPr>
          <w:rFonts w:ascii="Palatino Linotype" w:hAnsi="Palatino Linotype"/>
          <w:sz w:val="24"/>
          <w:szCs w:val="24"/>
        </w:rPr>
        <w:t>SDG&amp;E’</w:t>
      </w:r>
      <w:r w:rsidR="00543EF3">
        <w:rPr>
          <w:rFonts w:ascii="Palatino Linotype" w:hAnsi="Palatino Linotype"/>
          <w:sz w:val="24"/>
          <w:szCs w:val="24"/>
        </w:rPr>
        <w:t>s</w:t>
      </w:r>
      <w:r w:rsidR="00494B2B">
        <w:rPr>
          <w:rFonts w:ascii="Palatino Linotype" w:hAnsi="Palatino Linotype"/>
          <w:sz w:val="24"/>
          <w:szCs w:val="24"/>
        </w:rPr>
        <w:t xml:space="preserve"> and PG&amp;E’s</w:t>
      </w:r>
      <w:r>
        <w:rPr>
          <w:rFonts w:ascii="Palatino Linotype" w:hAnsi="Palatino Linotype"/>
          <w:sz w:val="24"/>
          <w:szCs w:val="24"/>
        </w:rPr>
        <w:t xml:space="preserve"> assessment</w:t>
      </w:r>
      <w:r w:rsidR="00543EF3">
        <w:rPr>
          <w:rFonts w:ascii="Palatino Linotype" w:hAnsi="Palatino Linotype"/>
          <w:sz w:val="24"/>
          <w:szCs w:val="24"/>
        </w:rPr>
        <w:t>s</w:t>
      </w:r>
      <w:r>
        <w:rPr>
          <w:rFonts w:ascii="Palatino Linotype" w:hAnsi="Palatino Linotype"/>
          <w:sz w:val="24"/>
          <w:szCs w:val="24"/>
        </w:rPr>
        <w:t>. Furthermore, w</w:t>
      </w:r>
      <w:r w:rsidR="000467D8">
        <w:rPr>
          <w:rFonts w:ascii="Palatino Linotype" w:hAnsi="Palatino Linotype"/>
          <w:sz w:val="24"/>
          <w:szCs w:val="24"/>
        </w:rPr>
        <w:t>hile the small and multijurisdictional investor-owned utilities (Bear Valley, Liberty, and Pac</w:t>
      </w:r>
      <w:r w:rsidR="00530797">
        <w:rPr>
          <w:rFonts w:ascii="Palatino Linotype" w:hAnsi="Palatino Linotype"/>
          <w:sz w:val="24"/>
          <w:szCs w:val="24"/>
        </w:rPr>
        <w:t>i</w:t>
      </w:r>
      <w:r w:rsidR="000467D8">
        <w:rPr>
          <w:rFonts w:ascii="Palatino Linotype" w:hAnsi="Palatino Linotype"/>
          <w:sz w:val="24"/>
          <w:szCs w:val="24"/>
        </w:rPr>
        <w:t>fiCorp (Pacific Power))</w:t>
      </w:r>
      <w:r w:rsidR="00530797">
        <w:rPr>
          <w:rFonts w:ascii="Palatino Linotype" w:hAnsi="Palatino Linotype"/>
          <w:sz w:val="24"/>
          <w:szCs w:val="24"/>
        </w:rPr>
        <w:t xml:space="preserve"> did not comment, the Commission recognizes that they may have</w:t>
      </w:r>
      <w:r w:rsidR="00085F06">
        <w:rPr>
          <w:rFonts w:ascii="Palatino Linotype" w:hAnsi="Palatino Linotype"/>
          <w:sz w:val="24"/>
          <w:szCs w:val="24"/>
        </w:rPr>
        <w:t xml:space="preserve"> unique billing systems that may require individualized solutions</w:t>
      </w:r>
      <w:r w:rsidR="00494B2B">
        <w:rPr>
          <w:rFonts w:ascii="Palatino Linotype" w:hAnsi="Palatino Linotype"/>
          <w:sz w:val="24"/>
          <w:szCs w:val="24"/>
        </w:rPr>
        <w:t>, not discussed here,</w:t>
      </w:r>
      <w:r w:rsidR="00085F06">
        <w:rPr>
          <w:rFonts w:ascii="Palatino Linotype" w:hAnsi="Palatino Linotype"/>
          <w:sz w:val="24"/>
          <w:szCs w:val="24"/>
        </w:rPr>
        <w:t xml:space="preserve"> </w:t>
      </w:r>
      <w:proofErr w:type="gramStart"/>
      <w:r w:rsidR="00085F06">
        <w:rPr>
          <w:rFonts w:ascii="Palatino Linotype" w:hAnsi="Palatino Linotype"/>
          <w:sz w:val="24"/>
          <w:szCs w:val="24"/>
        </w:rPr>
        <w:t>in order to</w:t>
      </w:r>
      <w:proofErr w:type="gramEnd"/>
      <w:r w:rsidR="00085F06">
        <w:rPr>
          <w:rFonts w:ascii="Palatino Linotype" w:hAnsi="Palatino Linotype"/>
          <w:sz w:val="24"/>
          <w:szCs w:val="24"/>
        </w:rPr>
        <w:t xml:space="preserve"> optimally implement the intent of this resolution. </w:t>
      </w:r>
      <w:r w:rsidR="00530797">
        <w:rPr>
          <w:rFonts w:ascii="Palatino Linotype" w:hAnsi="Palatino Linotype"/>
          <w:sz w:val="24"/>
          <w:szCs w:val="24"/>
        </w:rPr>
        <w:t xml:space="preserve"> </w:t>
      </w:r>
    </w:p>
    <w:p w:rsidR="003D4FCB" w:rsidP="00BE181F" w:rsidRDefault="003D4FCB" w14:paraId="38A7148C" w14:textId="77777777">
      <w:pPr>
        <w:rPr>
          <w:rFonts w:ascii="Palatino Linotype" w:hAnsi="Palatino Linotype"/>
          <w:sz w:val="24"/>
          <w:szCs w:val="24"/>
        </w:rPr>
      </w:pPr>
    </w:p>
    <w:p w:rsidR="003D4FCB" w:rsidP="00BE181F" w:rsidRDefault="003D4FCB" w14:paraId="7CCC1CBE" w14:textId="77777777">
      <w:pPr>
        <w:rPr>
          <w:rFonts w:ascii="Palatino Linotype" w:hAnsi="Palatino Linotype"/>
          <w:sz w:val="24"/>
          <w:szCs w:val="24"/>
        </w:rPr>
      </w:pPr>
      <w:r>
        <w:rPr>
          <w:rFonts w:ascii="Palatino Linotype" w:hAnsi="Palatino Linotype"/>
          <w:sz w:val="24"/>
          <w:szCs w:val="24"/>
        </w:rPr>
        <w:t>The resolution is amended to provide flexibility to IOUs in determining how to identify and aggregate small business customer accounts</w:t>
      </w:r>
      <w:r w:rsidR="009A3F91">
        <w:rPr>
          <w:rFonts w:ascii="Palatino Linotype" w:hAnsi="Palatino Linotype"/>
          <w:sz w:val="24"/>
          <w:szCs w:val="24"/>
        </w:rPr>
        <w:t xml:space="preserve"> </w:t>
      </w:r>
      <w:proofErr w:type="gramStart"/>
      <w:r w:rsidR="009A3F91">
        <w:rPr>
          <w:rFonts w:ascii="Palatino Linotype" w:hAnsi="Palatino Linotype"/>
          <w:sz w:val="24"/>
          <w:szCs w:val="24"/>
        </w:rPr>
        <w:t>in order to</w:t>
      </w:r>
      <w:proofErr w:type="gramEnd"/>
      <w:r w:rsidR="009A3F91">
        <w:rPr>
          <w:rFonts w:ascii="Palatino Linotype" w:hAnsi="Palatino Linotype"/>
          <w:sz w:val="24"/>
          <w:szCs w:val="24"/>
        </w:rPr>
        <w:t xml:space="preserve"> harness all of the information at an IOUs disposal</w:t>
      </w:r>
      <w:r>
        <w:rPr>
          <w:rFonts w:ascii="Palatino Linotype" w:hAnsi="Palatino Linotype"/>
          <w:sz w:val="24"/>
          <w:szCs w:val="24"/>
        </w:rPr>
        <w:t xml:space="preserve">. </w:t>
      </w:r>
    </w:p>
    <w:p w:rsidR="0073333B" w:rsidP="00BE181F" w:rsidRDefault="0073333B" w14:paraId="3D7795B7" w14:textId="77777777">
      <w:pPr>
        <w:rPr>
          <w:rFonts w:ascii="Palatino Linotype" w:hAnsi="Palatino Linotype"/>
          <w:sz w:val="24"/>
          <w:szCs w:val="24"/>
        </w:rPr>
      </w:pPr>
    </w:p>
    <w:p w:rsidR="0073333B" w:rsidP="00BE181F" w:rsidRDefault="0073333B" w14:paraId="2FB76E84" w14:textId="77777777">
      <w:pPr>
        <w:rPr>
          <w:rFonts w:ascii="Palatino Linotype" w:hAnsi="Palatino Linotype"/>
          <w:sz w:val="24"/>
          <w:szCs w:val="24"/>
        </w:rPr>
      </w:pPr>
      <w:r>
        <w:rPr>
          <w:rFonts w:ascii="Palatino Linotype" w:hAnsi="Palatino Linotype"/>
          <w:sz w:val="24"/>
          <w:szCs w:val="24"/>
        </w:rPr>
        <w:t xml:space="preserve">These changes also address the California Farm Bureau’s concerns that </w:t>
      </w:r>
      <w:r w:rsidR="00FD4D5D">
        <w:rPr>
          <w:rFonts w:ascii="Palatino Linotype" w:hAnsi="Palatino Linotype"/>
          <w:sz w:val="24"/>
          <w:szCs w:val="24"/>
        </w:rPr>
        <w:t xml:space="preserve">farm accounts may be misidentified and incorrectly aggregated by allowing </w:t>
      </w:r>
      <w:r w:rsidR="00EC0C45">
        <w:rPr>
          <w:rFonts w:ascii="Palatino Linotype" w:hAnsi="Palatino Linotype"/>
          <w:sz w:val="24"/>
          <w:szCs w:val="24"/>
        </w:rPr>
        <w:t>the</w:t>
      </w:r>
      <w:r w:rsidR="00FD4D5D">
        <w:rPr>
          <w:rFonts w:ascii="Palatino Linotype" w:hAnsi="Palatino Linotype"/>
          <w:sz w:val="24"/>
          <w:szCs w:val="24"/>
        </w:rPr>
        <w:t xml:space="preserve"> IOUs </w:t>
      </w:r>
      <w:r w:rsidR="00EC0C45">
        <w:rPr>
          <w:rFonts w:ascii="Palatino Linotype" w:hAnsi="Palatino Linotype"/>
          <w:sz w:val="24"/>
          <w:szCs w:val="24"/>
        </w:rPr>
        <w:t>to</w:t>
      </w:r>
      <w:r w:rsidR="00FD4D5D">
        <w:rPr>
          <w:rFonts w:ascii="Palatino Linotype" w:hAnsi="Palatino Linotype"/>
          <w:sz w:val="24"/>
          <w:szCs w:val="24"/>
        </w:rPr>
        <w:t xml:space="preserve"> take </w:t>
      </w:r>
      <w:r w:rsidR="00BE6180">
        <w:rPr>
          <w:rFonts w:ascii="Palatino Linotype" w:hAnsi="Palatino Linotype"/>
          <w:sz w:val="24"/>
          <w:szCs w:val="24"/>
        </w:rPr>
        <w:t xml:space="preserve">the </w:t>
      </w:r>
      <w:r w:rsidR="00FD4D5D">
        <w:rPr>
          <w:rFonts w:ascii="Palatino Linotype" w:hAnsi="Palatino Linotype"/>
          <w:sz w:val="24"/>
          <w:szCs w:val="24"/>
        </w:rPr>
        <w:t xml:space="preserve">greatest advantage of the customer information available to them to correctly aggregate accounts. Additionally, </w:t>
      </w:r>
      <w:r w:rsidR="00BE6180">
        <w:rPr>
          <w:rFonts w:ascii="Palatino Linotype" w:hAnsi="Palatino Linotype"/>
          <w:sz w:val="24"/>
          <w:szCs w:val="24"/>
        </w:rPr>
        <w:t>the</w:t>
      </w:r>
      <w:r w:rsidR="00FD4D5D">
        <w:rPr>
          <w:rFonts w:ascii="Palatino Linotype" w:hAnsi="Palatino Linotype"/>
          <w:sz w:val="24"/>
          <w:szCs w:val="24"/>
        </w:rPr>
        <w:t xml:space="preserve"> California Farm Bureau comments it is concerned that customers should remain eligible until they have had time to review a “…</w:t>
      </w:r>
      <w:r w:rsidRPr="00FD4D5D" w:rsidR="00FD4D5D">
        <w:rPr>
          <w:rFonts w:ascii="Palatino Linotype" w:hAnsi="Palatino Linotype"/>
          <w:i/>
          <w:iCs/>
          <w:sz w:val="24"/>
          <w:szCs w:val="24"/>
        </w:rPr>
        <w:t xml:space="preserve">potential </w:t>
      </w:r>
      <w:r w:rsidRPr="00FD4D5D" w:rsidR="00FD4D5D">
        <w:rPr>
          <w:rFonts w:ascii="Palatino Linotype" w:hAnsi="Palatino Linotype"/>
          <w:sz w:val="24"/>
          <w:szCs w:val="24"/>
        </w:rPr>
        <w:t>ineligibility notice and receive further detail from the IOU regarding their determination as well as an opportunity to protest their conclusions</w:t>
      </w:r>
      <w:r w:rsidR="00FD4D5D">
        <w:rPr>
          <w:rFonts w:ascii="Palatino Linotype" w:hAnsi="Palatino Linotype"/>
          <w:sz w:val="24"/>
          <w:szCs w:val="24"/>
        </w:rPr>
        <w:t>.”</w:t>
      </w:r>
      <w:r w:rsidR="00FD4D5D">
        <w:rPr>
          <w:rStyle w:val="FootnoteReference"/>
          <w:rFonts w:ascii="Palatino Linotype" w:hAnsi="Palatino Linotype"/>
          <w:sz w:val="24"/>
          <w:szCs w:val="24"/>
        </w:rPr>
        <w:footnoteReference w:id="14"/>
      </w:r>
      <w:r w:rsidR="00FD4D5D">
        <w:rPr>
          <w:rFonts w:ascii="Palatino Linotype" w:hAnsi="Palatino Linotype"/>
          <w:sz w:val="24"/>
          <w:szCs w:val="24"/>
        </w:rPr>
        <w:t xml:space="preserve">  The Commission agrees and clarifies that IOUs must notify customers of eligibility changes before implementing them. The Commission notes that the resolution already direct</w:t>
      </w:r>
      <w:r w:rsidR="009E371C">
        <w:rPr>
          <w:rFonts w:ascii="Palatino Linotype" w:hAnsi="Palatino Linotype"/>
          <w:sz w:val="24"/>
          <w:szCs w:val="24"/>
        </w:rPr>
        <w:t>s</w:t>
      </w:r>
      <w:r w:rsidR="00FD4D5D">
        <w:rPr>
          <w:rFonts w:ascii="Palatino Linotype" w:hAnsi="Palatino Linotype"/>
          <w:sz w:val="24"/>
          <w:szCs w:val="24"/>
        </w:rPr>
        <w:t xml:space="preserve"> the IOUs to provide impacted recipients with the basis for an eligibility determination so that they can </w:t>
      </w:r>
      <w:r w:rsidR="002A5142">
        <w:rPr>
          <w:rFonts w:ascii="Palatino Linotype" w:hAnsi="Palatino Linotype"/>
          <w:sz w:val="24"/>
          <w:szCs w:val="24"/>
        </w:rPr>
        <w:t xml:space="preserve">independently </w:t>
      </w:r>
      <w:r w:rsidR="00FD4D5D">
        <w:rPr>
          <w:rFonts w:ascii="Palatino Linotype" w:hAnsi="Palatino Linotype"/>
          <w:sz w:val="24"/>
          <w:szCs w:val="24"/>
        </w:rPr>
        <w:t xml:space="preserve">verify or protest the determination. Additionally, the resolution also requires IOUs to provide a list of eligibility changes to Energy Division so that staff can monitor </w:t>
      </w:r>
      <w:r w:rsidR="002A5142">
        <w:rPr>
          <w:rFonts w:ascii="Palatino Linotype" w:hAnsi="Palatino Linotype"/>
          <w:sz w:val="24"/>
          <w:szCs w:val="24"/>
        </w:rPr>
        <w:t xml:space="preserve">eligibility </w:t>
      </w:r>
      <w:r w:rsidR="00FD4D5D">
        <w:rPr>
          <w:rFonts w:ascii="Palatino Linotype" w:hAnsi="Palatino Linotype"/>
          <w:sz w:val="24"/>
          <w:szCs w:val="24"/>
        </w:rPr>
        <w:t>changes and provide an additional level of oversight.</w:t>
      </w:r>
    </w:p>
    <w:p w:rsidR="00B977ED" w:rsidP="00BE181F" w:rsidRDefault="00B977ED" w14:paraId="2B177A0C" w14:textId="77777777">
      <w:pPr>
        <w:rPr>
          <w:rFonts w:ascii="Palatino Linotype" w:hAnsi="Palatino Linotype"/>
          <w:sz w:val="24"/>
          <w:szCs w:val="24"/>
        </w:rPr>
      </w:pPr>
    </w:p>
    <w:p w:rsidRPr="00B977ED" w:rsidR="00B977ED" w:rsidP="00BE181F" w:rsidRDefault="00B977ED" w14:paraId="3EB1EBC3" w14:textId="77777777">
      <w:pPr>
        <w:rPr>
          <w:rFonts w:ascii="Palatino Linotype" w:hAnsi="Palatino Linotype"/>
          <w:b/>
          <w:bCs/>
          <w:sz w:val="24"/>
          <w:szCs w:val="24"/>
        </w:rPr>
      </w:pPr>
      <w:r w:rsidRPr="00B977ED">
        <w:rPr>
          <w:rFonts w:ascii="Palatino Linotype" w:hAnsi="Palatino Linotype"/>
          <w:b/>
          <w:bCs/>
          <w:sz w:val="24"/>
          <w:szCs w:val="24"/>
        </w:rPr>
        <w:t>Lookback Period</w:t>
      </w:r>
    </w:p>
    <w:p w:rsidR="00B977ED" w:rsidP="00BE181F" w:rsidRDefault="00B977ED" w14:paraId="4AAE63AB" w14:textId="77777777">
      <w:pPr>
        <w:rPr>
          <w:rFonts w:ascii="Palatino Linotype" w:hAnsi="Palatino Linotype"/>
          <w:sz w:val="24"/>
          <w:szCs w:val="24"/>
        </w:rPr>
      </w:pPr>
    </w:p>
    <w:p w:rsidR="00B977ED" w:rsidP="00BE181F" w:rsidRDefault="00B977ED" w14:paraId="1F326A12" w14:textId="77777777">
      <w:pPr>
        <w:rPr>
          <w:rFonts w:ascii="Palatino Linotype" w:hAnsi="Palatino Linotype"/>
          <w:sz w:val="24"/>
          <w:szCs w:val="24"/>
        </w:rPr>
      </w:pPr>
      <w:r>
        <w:rPr>
          <w:rFonts w:ascii="Palatino Linotype" w:hAnsi="Palatino Linotype"/>
          <w:sz w:val="24"/>
          <w:szCs w:val="24"/>
        </w:rPr>
        <w:t>The California Farm Bureau comments that the lookback period</w:t>
      </w:r>
      <w:r w:rsidR="0046672E">
        <w:rPr>
          <w:rFonts w:ascii="Palatino Linotype" w:hAnsi="Palatino Linotype"/>
          <w:sz w:val="24"/>
          <w:szCs w:val="24"/>
        </w:rPr>
        <w:t xml:space="preserve"> for error identification, currently provided as</w:t>
      </w:r>
      <w:r>
        <w:rPr>
          <w:rFonts w:ascii="Palatino Linotype" w:hAnsi="Palatino Linotype"/>
          <w:sz w:val="24"/>
          <w:szCs w:val="24"/>
        </w:rPr>
        <w:t xml:space="preserve"> the current and prior </w:t>
      </w:r>
      <w:r w:rsidR="002A5142">
        <w:rPr>
          <w:rFonts w:ascii="Palatino Linotype" w:hAnsi="Palatino Linotype"/>
          <w:sz w:val="24"/>
          <w:szCs w:val="24"/>
        </w:rPr>
        <w:t xml:space="preserve">Cap-and-Trade Program </w:t>
      </w:r>
      <w:r>
        <w:rPr>
          <w:rFonts w:ascii="Palatino Linotype" w:hAnsi="Palatino Linotype"/>
          <w:sz w:val="24"/>
          <w:szCs w:val="24"/>
        </w:rPr>
        <w:t>compliance period</w:t>
      </w:r>
      <w:r w:rsidR="0046672E">
        <w:rPr>
          <w:rFonts w:ascii="Palatino Linotype" w:hAnsi="Palatino Linotype"/>
          <w:sz w:val="24"/>
          <w:szCs w:val="24"/>
        </w:rPr>
        <w:t>,</w:t>
      </w:r>
      <w:r>
        <w:rPr>
          <w:rFonts w:ascii="Palatino Linotype" w:hAnsi="Palatino Linotype"/>
          <w:sz w:val="24"/>
          <w:szCs w:val="24"/>
        </w:rPr>
        <w:t xml:space="preserve"> is not </w:t>
      </w:r>
      <w:r w:rsidR="002A5142">
        <w:rPr>
          <w:rFonts w:ascii="Palatino Linotype" w:hAnsi="Palatino Linotype"/>
          <w:sz w:val="24"/>
          <w:szCs w:val="24"/>
        </w:rPr>
        <w:t>aligned</w:t>
      </w:r>
      <w:r>
        <w:rPr>
          <w:rFonts w:ascii="Palatino Linotype" w:hAnsi="Palatino Linotype"/>
          <w:sz w:val="24"/>
          <w:szCs w:val="24"/>
        </w:rPr>
        <w:t xml:space="preserve"> with Electric Rule 17.1, which provides a customer three years for </w:t>
      </w:r>
      <w:r w:rsidR="0046672E">
        <w:rPr>
          <w:rFonts w:ascii="Palatino Linotype" w:hAnsi="Palatino Linotype"/>
          <w:sz w:val="24"/>
          <w:szCs w:val="24"/>
        </w:rPr>
        <w:t xml:space="preserve">identifying </w:t>
      </w:r>
      <w:r>
        <w:rPr>
          <w:rFonts w:ascii="Palatino Linotype" w:hAnsi="Palatino Linotype"/>
          <w:sz w:val="24"/>
          <w:szCs w:val="24"/>
        </w:rPr>
        <w:t xml:space="preserve">billing errors resulting in overcharges. The Commission declines to make </w:t>
      </w:r>
      <w:r>
        <w:rPr>
          <w:rFonts w:ascii="Palatino Linotype" w:hAnsi="Palatino Linotype"/>
          <w:sz w:val="24"/>
          <w:szCs w:val="24"/>
        </w:rPr>
        <w:lastRenderedPageBreak/>
        <w:t>any change and notes that the current CARB compliance periods are three years. Therefore, the lookback period for error correction defined by th</w:t>
      </w:r>
      <w:r w:rsidR="00AC13D2">
        <w:rPr>
          <w:rFonts w:ascii="Palatino Linotype" w:hAnsi="Palatino Linotype"/>
          <w:sz w:val="24"/>
          <w:szCs w:val="24"/>
        </w:rPr>
        <w:t>is</w:t>
      </w:r>
      <w:r>
        <w:rPr>
          <w:rFonts w:ascii="Palatino Linotype" w:hAnsi="Palatino Linotype"/>
          <w:sz w:val="24"/>
          <w:szCs w:val="24"/>
        </w:rPr>
        <w:t xml:space="preserve"> resolution is somewhere between 3 and 6 years</w:t>
      </w:r>
      <w:r w:rsidR="00C24903">
        <w:rPr>
          <w:rFonts w:ascii="Palatino Linotype" w:hAnsi="Palatino Linotype"/>
          <w:sz w:val="24"/>
          <w:szCs w:val="24"/>
        </w:rPr>
        <w:t xml:space="preserve"> under current CARB </w:t>
      </w:r>
      <w:r w:rsidR="00696523">
        <w:rPr>
          <w:rFonts w:ascii="Palatino Linotype" w:hAnsi="Palatino Linotype"/>
          <w:sz w:val="24"/>
          <w:szCs w:val="24"/>
        </w:rPr>
        <w:t xml:space="preserve">Cap-and-Trade </w:t>
      </w:r>
      <w:r w:rsidR="00C24903">
        <w:rPr>
          <w:rFonts w:ascii="Palatino Linotype" w:hAnsi="Palatino Linotype"/>
          <w:sz w:val="24"/>
          <w:szCs w:val="24"/>
        </w:rPr>
        <w:t>regulations</w:t>
      </w:r>
      <w:r>
        <w:rPr>
          <w:rFonts w:ascii="Palatino Linotype" w:hAnsi="Palatino Linotype"/>
          <w:sz w:val="24"/>
          <w:szCs w:val="24"/>
        </w:rPr>
        <w:t xml:space="preserve">. </w:t>
      </w:r>
    </w:p>
    <w:p w:rsidR="00530303" w:rsidP="00BE181F" w:rsidRDefault="00530303" w14:paraId="6C1BEAEF" w14:textId="77777777">
      <w:pPr>
        <w:rPr>
          <w:rFonts w:ascii="Palatino Linotype" w:hAnsi="Palatino Linotype"/>
          <w:sz w:val="24"/>
          <w:szCs w:val="24"/>
        </w:rPr>
      </w:pPr>
    </w:p>
    <w:p w:rsidR="00530303" w:rsidP="00530303" w:rsidRDefault="007D4C0A" w14:paraId="0610CE16" w14:textId="77777777">
      <w:pPr>
        <w:rPr>
          <w:rFonts w:ascii="Palatino Linotype" w:hAnsi="Palatino Linotype"/>
          <w:b/>
          <w:bCs/>
          <w:sz w:val="24"/>
          <w:szCs w:val="24"/>
        </w:rPr>
      </w:pPr>
      <w:r>
        <w:rPr>
          <w:rFonts w:ascii="Palatino Linotype" w:hAnsi="Palatino Linotype"/>
          <w:b/>
          <w:bCs/>
          <w:sz w:val="24"/>
          <w:szCs w:val="24"/>
        </w:rPr>
        <w:t xml:space="preserve">An </w:t>
      </w:r>
      <w:r w:rsidR="00530303">
        <w:rPr>
          <w:rFonts w:ascii="Palatino Linotype" w:hAnsi="Palatino Linotype"/>
          <w:b/>
          <w:bCs/>
          <w:sz w:val="24"/>
          <w:szCs w:val="24"/>
        </w:rPr>
        <w:t xml:space="preserve">Eligibility </w:t>
      </w:r>
      <w:r w:rsidR="00FC0F36">
        <w:rPr>
          <w:rFonts w:ascii="Palatino Linotype" w:hAnsi="Palatino Linotype"/>
          <w:b/>
          <w:bCs/>
          <w:sz w:val="24"/>
          <w:szCs w:val="24"/>
        </w:rPr>
        <w:t>Threshold</w:t>
      </w:r>
      <w:r w:rsidR="0073333B">
        <w:rPr>
          <w:rFonts w:ascii="Palatino Linotype" w:hAnsi="Palatino Linotype"/>
          <w:b/>
          <w:bCs/>
          <w:sz w:val="24"/>
          <w:szCs w:val="24"/>
        </w:rPr>
        <w:t xml:space="preserve"> </w:t>
      </w:r>
      <w:r>
        <w:rPr>
          <w:rFonts w:ascii="Palatino Linotype" w:hAnsi="Palatino Linotype"/>
          <w:b/>
          <w:bCs/>
          <w:sz w:val="24"/>
          <w:szCs w:val="24"/>
        </w:rPr>
        <w:t>Versus</w:t>
      </w:r>
      <w:r w:rsidR="0073333B">
        <w:rPr>
          <w:rFonts w:ascii="Palatino Linotype" w:hAnsi="Palatino Linotype"/>
          <w:b/>
          <w:bCs/>
          <w:sz w:val="24"/>
          <w:szCs w:val="24"/>
        </w:rPr>
        <w:t xml:space="preserve"> </w:t>
      </w:r>
      <w:r w:rsidR="00B32AAB">
        <w:rPr>
          <w:rFonts w:ascii="Palatino Linotype" w:hAnsi="Palatino Linotype"/>
          <w:b/>
          <w:bCs/>
          <w:sz w:val="24"/>
          <w:szCs w:val="24"/>
        </w:rPr>
        <w:t>an</w:t>
      </w:r>
      <w:r>
        <w:rPr>
          <w:rFonts w:ascii="Palatino Linotype" w:hAnsi="Palatino Linotype"/>
          <w:b/>
          <w:bCs/>
          <w:sz w:val="24"/>
          <w:szCs w:val="24"/>
        </w:rPr>
        <w:t xml:space="preserve"> </w:t>
      </w:r>
      <w:r w:rsidR="0073333B">
        <w:rPr>
          <w:rFonts w:ascii="Palatino Linotype" w:hAnsi="Palatino Linotype"/>
          <w:b/>
          <w:bCs/>
          <w:sz w:val="24"/>
          <w:szCs w:val="24"/>
        </w:rPr>
        <w:t>Eligibility Cap</w:t>
      </w:r>
    </w:p>
    <w:p w:rsidR="00530303" w:rsidP="00530303" w:rsidRDefault="00530303" w14:paraId="4DBECDD3" w14:textId="77777777">
      <w:pPr>
        <w:rPr>
          <w:rFonts w:ascii="Palatino Linotype" w:hAnsi="Palatino Linotype"/>
          <w:b/>
          <w:bCs/>
          <w:sz w:val="24"/>
          <w:szCs w:val="24"/>
        </w:rPr>
      </w:pPr>
    </w:p>
    <w:p w:rsidR="00530303" w:rsidP="00530303" w:rsidRDefault="00F80F6E" w14:paraId="2BEAFB75" w14:textId="77777777">
      <w:pPr>
        <w:rPr>
          <w:rFonts w:ascii="Palatino Linotype" w:hAnsi="Palatino Linotype"/>
          <w:sz w:val="24"/>
          <w:szCs w:val="24"/>
        </w:rPr>
      </w:pPr>
      <w:r>
        <w:rPr>
          <w:rFonts w:ascii="Palatino Linotype" w:hAnsi="Palatino Linotype"/>
          <w:sz w:val="24"/>
          <w:szCs w:val="24"/>
        </w:rPr>
        <w:t xml:space="preserve">The California Farm Bureau commented they prefer a </w:t>
      </w:r>
      <w:r w:rsidR="006F34E5">
        <w:rPr>
          <w:rFonts w:ascii="Palatino Linotype" w:hAnsi="Palatino Linotype"/>
          <w:sz w:val="24"/>
          <w:szCs w:val="24"/>
        </w:rPr>
        <w:t xml:space="preserve">one hundred </w:t>
      </w:r>
      <w:r>
        <w:rPr>
          <w:rFonts w:ascii="Palatino Linotype" w:hAnsi="Palatino Linotype"/>
          <w:sz w:val="24"/>
          <w:szCs w:val="24"/>
        </w:rPr>
        <w:t>account eligibility maximum</w:t>
      </w:r>
      <w:r w:rsidR="00BE081A">
        <w:rPr>
          <w:rFonts w:ascii="Palatino Linotype" w:hAnsi="Palatino Linotype"/>
          <w:sz w:val="24"/>
          <w:szCs w:val="24"/>
        </w:rPr>
        <w:t xml:space="preserve"> rather than an eligibility threshold</w:t>
      </w:r>
      <w:r>
        <w:rPr>
          <w:rFonts w:ascii="Palatino Linotype" w:hAnsi="Palatino Linotype"/>
          <w:sz w:val="24"/>
          <w:szCs w:val="24"/>
        </w:rPr>
        <w:t xml:space="preserve">. </w:t>
      </w:r>
      <w:r w:rsidR="00BE081A">
        <w:rPr>
          <w:rFonts w:ascii="Palatino Linotype" w:hAnsi="Palatino Linotype"/>
          <w:sz w:val="24"/>
          <w:szCs w:val="24"/>
        </w:rPr>
        <w:t xml:space="preserve">Under the California Farm Bureau’s proposal, </w:t>
      </w:r>
      <w:r w:rsidR="0073333B">
        <w:rPr>
          <w:rFonts w:ascii="Palatino Linotype" w:hAnsi="Palatino Linotype"/>
          <w:sz w:val="24"/>
          <w:szCs w:val="24"/>
        </w:rPr>
        <w:t xml:space="preserve">qualifying small business </w:t>
      </w:r>
      <w:r w:rsidR="00BE081A">
        <w:rPr>
          <w:rFonts w:ascii="Palatino Linotype" w:hAnsi="Palatino Linotype"/>
          <w:sz w:val="24"/>
          <w:szCs w:val="24"/>
        </w:rPr>
        <w:t xml:space="preserve">customers would remain eligible for up to </w:t>
      </w:r>
      <w:r w:rsidR="0073333B">
        <w:rPr>
          <w:rFonts w:ascii="Palatino Linotype" w:hAnsi="Palatino Linotype"/>
          <w:sz w:val="24"/>
          <w:szCs w:val="24"/>
        </w:rPr>
        <w:t>one hundred</w:t>
      </w:r>
      <w:r w:rsidR="00BE081A">
        <w:rPr>
          <w:rFonts w:ascii="Palatino Linotype" w:hAnsi="Palatino Linotype"/>
          <w:sz w:val="24"/>
          <w:szCs w:val="24"/>
        </w:rPr>
        <w:t xml:space="preserve"> Small Business California Climate Credits</w:t>
      </w:r>
      <w:r w:rsidR="0074518D">
        <w:rPr>
          <w:rFonts w:ascii="Palatino Linotype" w:hAnsi="Palatino Linotype"/>
          <w:sz w:val="24"/>
          <w:szCs w:val="24"/>
        </w:rPr>
        <w:t>, but no more,</w:t>
      </w:r>
      <w:r w:rsidR="00BE081A">
        <w:rPr>
          <w:rFonts w:ascii="Palatino Linotype" w:hAnsi="Palatino Linotype"/>
          <w:sz w:val="24"/>
          <w:szCs w:val="24"/>
        </w:rPr>
        <w:t xml:space="preserve"> regardless of the total number of eligible accounts associated with the customer. </w:t>
      </w:r>
      <w:r w:rsidR="0079599F">
        <w:rPr>
          <w:rFonts w:ascii="Palatino Linotype" w:hAnsi="Palatino Linotype"/>
          <w:sz w:val="24"/>
          <w:szCs w:val="24"/>
        </w:rPr>
        <w:t xml:space="preserve">The California Farm Bureau is especially concerned for farms with </w:t>
      </w:r>
      <w:proofErr w:type="gramStart"/>
      <w:r w:rsidR="0079599F">
        <w:rPr>
          <w:rFonts w:ascii="Palatino Linotype" w:hAnsi="Palatino Linotype"/>
          <w:sz w:val="24"/>
          <w:szCs w:val="24"/>
        </w:rPr>
        <w:t>a number of</w:t>
      </w:r>
      <w:proofErr w:type="gramEnd"/>
      <w:r w:rsidR="0079599F">
        <w:rPr>
          <w:rFonts w:ascii="Palatino Linotype" w:hAnsi="Palatino Linotype"/>
          <w:sz w:val="24"/>
          <w:szCs w:val="24"/>
        </w:rPr>
        <w:t xml:space="preserve"> accounts just over the cap. </w:t>
      </w:r>
    </w:p>
    <w:p w:rsidR="0079599F" w:rsidP="00530303" w:rsidRDefault="0079599F" w14:paraId="70BD8F3E" w14:textId="77777777">
      <w:pPr>
        <w:rPr>
          <w:rFonts w:ascii="Palatino Linotype" w:hAnsi="Palatino Linotype"/>
          <w:sz w:val="24"/>
          <w:szCs w:val="24"/>
        </w:rPr>
      </w:pPr>
    </w:p>
    <w:p w:rsidR="008B2B3F" w:rsidP="00BE181F" w:rsidRDefault="00D21703" w14:paraId="332D3243" w14:textId="77777777">
      <w:pPr>
        <w:rPr>
          <w:rFonts w:ascii="Palatino Linotype" w:hAnsi="Palatino Linotype"/>
          <w:sz w:val="24"/>
          <w:szCs w:val="24"/>
        </w:rPr>
      </w:pPr>
      <w:r>
        <w:rPr>
          <w:rFonts w:ascii="Palatino Linotype" w:hAnsi="Palatino Linotype"/>
          <w:sz w:val="24"/>
          <w:szCs w:val="24"/>
        </w:rPr>
        <w:t xml:space="preserve">The Commission declines to make this change. </w:t>
      </w:r>
      <w:r w:rsidR="0079599F">
        <w:rPr>
          <w:rFonts w:ascii="Palatino Linotype" w:hAnsi="Palatino Linotype"/>
          <w:sz w:val="24"/>
          <w:szCs w:val="24"/>
        </w:rPr>
        <w:t>The C</w:t>
      </w:r>
      <w:r w:rsidR="0057347C">
        <w:rPr>
          <w:rFonts w:ascii="Palatino Linotype" w:hAnsi="Palatino Linotype"/>
          <w:sz w:val="24"/>
          <w:szCs w:val="24"/>
        </w:rPr>
        <w:t>alifornia Farm Bureau proposal is u</w:t>
      </w:r>
      <w:r w:rsidR="0079599F">
        <w:rPr>
          <w:rFonts w:ascii="Palatino Linotype" w:hAnsi="Palatino Linotype"/>
          <w:sz w:val="24"/>
          <w:szCs w:val="24"/>
        </w:rPr>
        <w:t xml:space="preserve">nduly punitive to remaining residential and commercial ratepayers. </w:t>
      </w:r>
      <w:r w:rsidR="002C4B96">
        <w:rPr>
          <w:rFonts w:ascii="Palatino Linotype" w:hAnsi="Palatino Linotype"/>
          <w:sz w:val="24"/>
          <w:szCs w:val="24"/>
        </w:rPr>
        <w:t>While the C</w:t>
      </w:r>
      <w:r w:rsidR="00E70D9C">
        <w:rPr>
          <w:rFonts w:ascii="Palatino Linotype" w:hAnsi="Palatino Linotype"/>
          <w:sz w:val="24"/>
          <w:szCs w:val="24"/>
        </w:rPr>
        <w:t xml:space="preserve">alifornia </w:t>
      </w:r>
      <w:r w:rsidR="002C4B96">
        <w:rPr>
          <w:rFonts w:ascii="Palatino Linotype" w:hAnsi="Palatino Linotype"/>
          <w:sz w:val="24"/>
          <w:szCs w:val="24"/>
        </w:rPr>
        <w:t>F</w:t>
      </w:r>
      <w:r w:rsidR="00E70D9C">
        <w:rPr>
          <w:rFonts w:ascii="Palatino Linotype" w:hAnsi="Palatino Linotype"/>
          <w:sz w:val="24"/>
          <w:szCs w:val="24"/>
        </w:rPr>
        <w:t xml:space="preserve">arm </w:t>
      </w:r>
      <w:r w:rsidR="002C4B96">
        <w:rPr>
          <w:rFonts w:ascii="Palatino Linotype" w:hAnsi="Palatino Linotype"/>
          <w:sz w:val="24"/>
          <w:szCs w:val="24"/>
        </w:rPr>
        <w:t>B</w:t>
      </w:r>
      <w:r w:rsidR="00E70D9C">
        <w:rPr>
          <w:rFonts w:ascii="Palatino Linotype" w:hAnsi="Palatino Linotype"/>
          <w:sz w:val="24"/>
          <w:szCs w:val="24"/>
        </w:rPr>
        <w:t>ureau</w:t>
      </w:r>
      <w:r w:rsidR="002C4B96">
        <w:rPr>
          <w:rFonts w:ascii="Palatino Linotype" w:hAnsi="Palatino Linotype"/>
          <w:sz w:val="24"/>
          <w:szCs w:val="24"/>
        </w:rPr>
        <w:t xml:space="preserve">’s comments correctly assert that Table 1 shows that the recipients identified as </w:t>
      </w:r>
      <w:r w:rsidR="00E30C63">
        <w:rPr>
          <w:rFonts w:ascii="Palatino Linotype" w:hAnsi="Palatino Linotype"/>
          <w:sz w:val="24"/>
          <w:szCs w:val="24"/>
        </w:rPr>
        <w:t>agriculture</w:t>
      </w:r>
      <w:r w:rsidR="002C4B96">
        <w:rPr>
          <w:rFonts w:ascii="Palatino Linotype" w:hAnsi="Palatino Linotype"/>
          <w:sz w:val="24"/>
          <w:szCs w:val="24"/>
        </w:rPr>
        <w:t xml:space="preserve"> are </w:t>
      </w:r>
      <w:proofErr w:type="gramStart"/>
      <w:r w:rsidR="002C4B96">
        <w:rPr>
          <w:rFonts w:ascii="Palatino Linotype" w:hAnsi="Palatino Linotype"/>
          <w:sz w:val="24"/>
          <w:szCs w:val="24"/>
        </w:rPr>
        <w:t>small in number</w:t>
      </w:r>
      <w:proofErr w:type="gramEnd"/>
      <w:r w:rsidR="002C4B96">
        <w:rPr>
          <w:rFonts w:ascii="Palatino Linotype" w:hAnsi="Palatino Linotype"/>
          <w:sz w:val="24"/>
          <w:szCs w:val="24"/>
        </w:rPr>
        <w:t xml:space="preserve"> (14 across all three large IOUs) and do not receive a significant amount of the crediting currently going to recipients with over 100 eligible accounts, the proposal of the C</w:t>
      </w:r>
      <w:r w:rsidR="0074518D">
        <w:rPr>
          <w:rFonts w:ascii="Palatino Linotype" w:hAnsi="Palatino Linotype"/>
          <w:sz w:val="24"/>
          <w:szCs w:val="24"/>
        </w:rPr>
        <w:t xml:space="preserve">alifornia </w:t>
      </w:r>
      <w:r w:rsidR="002C4B96">
        <w:rPr>
          <w:rFonts w:ascii="Palatino Linotype" w:hAnsi="Palatino Linotype"/>
          <w:sz w:val="24"/>
          <w:szCs w:val="24"/>
        </w:rPr>
        <w:t>F</w:t>
      </w:r>
      <w:r w:rsidR="0074518D">
        <w:rPr>
          <w:rFonts w:ascii="Palatino Linotype" w:hAnsi="Palatino Linotype"/>
          <w:sz w:val="24"/>
          <w:szCs w:val="24"/>
        </w:rPr>
        <w:t xml:space="preserve">arm </w:t>
      </w:r>
      <w:r w:rsidR="002C4B96">
        <w:rPr>
          <w:rFonts w:ascii="Palatino Linotype" w:hAnsi="Palatino Linotype"/>
          <w:sz w:val="24"/>
          <w:szCs w:val="24"/>
        </w:rPr>
        <w:t>B</w:t>
      </w:r>
      <w:r w:rsidR="0074518D">
        <w:rPr>
          <w:rFonts w:ascii="Palatino Linotype" w:hAnsi="Palatino Linotype"/>
          <w:sz w:val="24"/>
          <w:szCs w:val="24"/>
        </w:rPr>
        <w:t>ureau</w:t>
      </w:r>
      <w:r w:rsidR="002C4B96">
        <w:rPr>
          <w:rFonts w:ascii="Palatino Linotype" w:hAnsi="Palatino Linotype"/>
          <w:sz w:val="24"/>
          <w:szCs w:val="24"/>
        </w:rPr>
        <w:t xml:space="preserve"> would have a significant effect because it would impact all sectors. </w:t>
      </w:r>
      <w:r w:rsidR="0079599F">
        <w:rPr>
          <w:rFonts w:ascii="Palatino Linotype" w:hAnsi="Palatino Linotype"/>
          <w:sz w:val="24"/>
          <w:szCs w:val="24"/>
        </w:rPr>
        <w:t>According to Table 1, the California Farm Bureau proposal for a 100-credit limit would retain 38,700 eligible accounts</w:t>
      </w:r>
      <w:r w:rsidR="0057347C">
        <w:rPr>
          <w:rFonts w:ascii="Palatino Linotype" w:hAnsi="Palatino Linotype"/>
          <w:sz w:val="24"/>
          <w:szCs w:val="24"/>
        </w:rPr>
        <w:t xml:space="preserve"> across the remaining non-farm sectors</w:t>
      </w:r>
      <w:r w:rsidR="0079599F">
        <w:rPr>
          <w:rFonts w:ascii="Palatino Linotype" w:hAnsi="Palatino Linotype"/>
          <w:sz w:val="24"/>
          <w:szCs w:val="24"/>
        </w:rPr>
        <w:t xml:space="preserve"> for the benefit of only 14 </w:t>
      </w:r>
      <w:r w:rsidR="00DF37C7">
        <w:rPr>
          <w:rFonts w:ascii="Palatino Linotype" w:hAnsi="Palatino Linotype"/>
          <w:sz w:val="24"/>
          <w:szCs w:val="24"/>
        </w:rPr>
        <w:t>agricultural entities</w:t>
      </w:r>
      <w:r w:rsidR="0079599F">
        <w:rPr>
          <w:rFonts w:ascii="Palatino Linotype" w:hAnsi="Palatino Linotype"/>
          <w:sz w:val="24"/>
          <w:szCs w:val="24"/>
        </w:rPr>
        <w:t>.</w:t>
      </w:r>
      <w:r w:rsidR="00F665A6">
        <w:rPr>
          <w:rStyle w:val="FootnoteReference"/>
          <w:rFonts w:ascii="Palatino Linotype" w:hAnsi="Palatino Linotype"/>
          <w:sz w:val="24"/>
          <w:szCs w:val="24"/>
        </w:rPr>
        <w:footnoteReference w:id="15"/>
      </w:r>
      <w:r w:rsidR="0079599F">
        <w:rPr>
          <w:rFonts w:ascii="Palatino Linotype" w:hAnsi="Palatino Linotype"/>
          <w:sz w:val="24"/>
          <w:szCs w:val="24"/>
        </w:rPr>
        <w:t xml:space="preserve"> The credit value from those 38,700 accounts</w:t>
      </w:r>
      <w:r w:rsidR="0057347C">
        <w:rPr>
          <w:rFonts w:ascii="Palatino Linotype" w:hAnsi="Palatino Linotype"/>
          <w:sz w:val="24"/>
          <w:szCs w:val="24"/>
        </w:rPr>
        <w:t xml:space="preserve"> (approx. $5.6M in 2024)</w:t>
      </w:r>
      <w:r w:rsidR="001E3B98">
        <w:rPr>
          <w:rStyle w:val="FootnoteReference"/>
          <w:rFonts w:ascii="Palatino Linotype" w:hAnsi="Palatino Linotype"/>
          <w:sz w:val="24"/>
          <w:szCs w:val="24"/>
        </w:rPr>
        <w:footnoteReference w:id="16"/>
      </w:r>
      <w:r w:rsidR="0079599F">
        <w:rPr>
          <w:rFonts w:ascii="Palatino Linotype" w:hAnsi="Palatino Linotype"/>
          <w:sz w:val="24"/>
          <w:szCs w:val="24"/>
        </w:rPr>
        <w:t xml:space="preserve"> would have been distributed to all remaining residential and small businesses California Climate Credit recipients under the existing proposal.</w:t>
      </w:r>
      <w:r w:rsidR="001D47B0">
        <w:rPr>
          <w:rFonts w:ascii="Palatino Linotype" w:hAnsi="Palatino Linotype"/>
          <w:sz w:val="24"/>
          <w:szCs w:val="24"/>
        </w:rPr>
        <w:t xml:space="preserve"> $5.6M represents nearly a quarter</w:t>
      </w:r>
      <w:r w:rsidR="001D47B0">
        <w:rPr>
          <w:rStyle w:val="FootnoteReference"/>
          <w:rFonts w:ascii="Palatino Linotype" w:hAnsi="Palatino Linotype"/>
          <w:sz w:val="24"/>
          <w:szCs w:val="24"/>
        </w:rPr>
        <w:footnoteReference w:id="17"/>
      </w:r>
      <w:r w:rsidR="001D47B0">
        <w:rPr>
          <w:rFonts w:ascii="Palatino Linotype" w:hAnsi="Palatino Linotype"/>
          <w:sz w:val="24"/>
          <w:szCs w:val="24"/>
        </w:rPr>
        <w:t xml:space="preserve"> of the total 2024 annual estimated </w:t>
      </w:r>
      <w:r w:rsidR="008F26A9">
        <w:rPr>
          <w:rFonts w:ascii="Palatino Linotype" w:hAnsi="Palatino Linotype"/>
          <w:sz w:val="24"/>
          <w:szCs w:val="24"/>
        </w:rPr>
        <w:t>benefits to remaining customers from eligibility changes.</w:t>
      </w:r>
      <w:r w:rsidR="001D47B0">
        <w:rPr>
          <w:rFonts w:ascii="Palatino Linotype" w:hAnsi="Palatino Linotype"/>
          <w:sz w:val="24"/>
          <w:szCs w:val="24"/>
        </w:rPr>
        <w:t xml:space="preserve"> </w:t>
      </w:r>
      <w:r w:rsidR="0079599F">
        <w:rPr>
          <w:rFonts w:ascii="Palatino Linotype" w:hAnsi="Palatino Linotype"/>
          <w:sz w:val="24"/>
          <w:szCs w:val="24"/>
        </w:rPr>
        <w:t xml:space="preserve"> </w:t>
      </w:r>
    </w:p>
    <w:p w:rsidR="008B2B3F" w:rsidP="00BE181F" w:rsidRDefault="008B2B3F" w14:paraId="67EE0E2D" w14:textId="77777777">
      <w:pPr>
        <w:rPr>
          <w:rFonts w:ascii="Palatino Linotype" w:hAnsi="Palatino Linotype"/>
          <w:sz w:val="24"/>
          <w:szCs w:val="24"/>
        </w:rPr>
      </w:pPr>
    </w:p>
    <w:p w:rsidRPr="000467D8" w:rsidR="00530303" w:rsidP="00BE181F" w:rsidRDefault="0057347C" w14:paraId="32A2CC62" w14:textId="77777777">
      <w:pPr>
        <w:rPr>
          <w:rFonts w:ascii="Palatino Linotype" w:hAnsi="Palatino Linotype"/>
          <w:sz w:val="24"/>
          <w:szCs w:val="24"/>
        </w:rPr>
      </w:pPr>
      <w:r>
        <w:rPr>
          <w:rFonts w:ascii="Palatino Linotype" w:hAnsi="Palatino Linotype"/>
          <w:sz w:val="24"/>
          <w:szCs w:val="24"/>
        </w:rPr>
        <w:t>The Commission agrees that further refinement of the Small Business California Climate Credit methodology may be needed to address the wide variety of businesses, both farm and non-farm, that operate in California.</w:t>
      </w:r>
      <w:r w:rsidR="00CF007D">
        <w:rPr>
          <w:rFonts w:ascii="Palatino Linotype" w:hAnsi="Palatino Linotype"/>
          <w:sz w:val="24"/>
          <w:szCs w:val="24"/>
        </w:rPr>
        <w:t xml:space="preserve"> As discussed below under “Future Workshops” the Commission awaits </w:t>
      </w:r>
      <w:r w:rsidR="00036651">
        <w:rPr>
          <w:rFonts w:ascii="Palatino Linotype" w:hAnsi="Palatino Linotype"/>
          <w:sz w:val="24"/>
          <w:szCs w:val="24"/>
        </w:rPr>
        <w:t>CARB’s</w:t>
      </w:r>
      <w:r w:rsidR="00CF007D">
        <w:rPr>
          <w:rFonts w:ascii="Palatino Linotype" w:hAnsi="Palatino Linotype"/>
          <w:sz w:val="24"/>
          <w:szCs w:val="24"/>
        </w:rPr>
        <w:t xml:space="preserve"> updated Cap-and-Trade </w:t>
      </w:r>
      <w:r w:rsidR="00036651">
        <w:rPr>
          <w:rFonts w:ascii="Palatino Linotype" w:hAnsi="Palatino Linotype"/>
          <w:sz w:val="24"/>
          <w:szCs w:val="24"/>
        </w:rPr>
        <w:t xml:space="preserve">Program </w:t>
      </w:r>
      <w:r w:rsidR="00CF007D">
        <w:rPr>
          <w:rFonts w:ascii="Palatino Linotype" w:hAnsi="Palatino Linotype"/>
          <w:sz w:val="24"/>
          <w:szCs w:val="24"/>
        </w:rPr>
        <w:t>regulations and will assess appropriate procedural vehicles to gather stakeholder input and</w:t>
      </w:r>
      <w:r w:rsidR="004C4301">
        <w:rPr>
          <w:rFonts w:ascii="Palatino Linotype" w:hAnsi="Palatino Linotype"/>
          <w:sz w:val="24"/>
          <w:szCs w:val="24"/>
        </w:rPr>
        <w:t xml:space="preserve"> may</w:t>
      </w:r>
      <w:r w:rsidR="00CF007D">
        <w:rPr>
          <w:rFonts w:ascii="Palatino Linotype" w:hAnsi="Palatino Linotype"/>
          <w:sz w:val="24"/>
          <w:szCs w:val="24"/>
        </w:rPr>
        <w:t xml:space="preserve"> make </w:t>
      </w:r>
      <w:r w:rsidR="00F02FFA">
        <w:rPr>
          <w:rFonts w:ascii="Palatino Linotype" w:hAnsi="Palatino Linotype"/>
          <w:sz w:val="24"/>
          <w:szCs w:val="24"/>
        </w:rPr>
        <w:t xml:space="preserve">further </w:t>
      </w:r>
      <w:r w:rsidR="00CF007D">
        <w:rPr>
          <w:rFonts w:ascii="Palatino Linotype" w:hAnsi="Palatino Linotype"/>
          <w:sz w:val="24"/>
          <w:szCs w:val="24"/>
        </w:rPr>
        <w:t xml:space="preserve">adjustments to all uses of electric and gas allocated allowance auctions proceeds at that time. </w:t>
      </w:r>
    </w:p>
    <w:p w:rsidR="003D4FCB" w:rsidP="00D35AB9" w:rsidRDefault="003D4FCB" w14:paraId="2A87A4FE" w14:textId="77777777">
      <w:pPr>
        <w:keepNext/>
        <w:rPr>
          <w:rFonts w:ascii="Palatino Linotype" w:hAnsi="Palatino Linotype"/>
          <w:b/>
          <w:bCs/>
          <w:sz w:val="24"/>
          <w:szCs w:val="24"/>
        </w:rPr>
      </w:pPr>
      <w:r>
        <w:rPr>
          <w:rFonts w:ascii="Palatino Linotype" w:hAnsi="Palatino Linotype"/>
          <w:b/>
          <w:bCs/>
          <w:sz w:val="24"/>
          <w:szCs w:val="24"/>
        </w:rPr>
        <w:lastRenderedPageBreak/>
        <w:t>Future Workshops</w:t>
      </w:r>
    </w:p>
    <w:p w:rsidR="003D4FCB" w:rsidP="00D35AB9" w:rsidRDefault="003D4FCB" w14:paraId="30D17280" w14:textId="77777777">
      <w:pPr>
        <w:keepNext/>
        <w:rPr>
          <w:rFonts w:ascii="Palatino Linotype" w:hAnsi="Palatino Linotype"/>
          <w:b/>
          <w:bCs/>
          <w:sz w:val="24"/>
          <w:szCs w:val="24"/>
        </w:rPr>
      </w:pPr>
    </w:p>
    <w:p w:rsidR="003D4FCB" w:rsidP="00D35AB9" w:rsidRDefault="003D4FCB" w14:paraId="6E226440" w14:textId="77777777">
      <w:pPr>
        <w:keepNext/>
        <w:rPr>
          <w:rFonts w:ascii="Palatino Linotype" w:hAnsi="Palatino Linotype"/>
          <w:sz w:val="24"/>
          <w:szCs w:val="24"/>
        </w:rPr>
      </w:pPr>
      <w:r>
        <w:rPr>
          <w:rFonts w:ascii="Palatino Linotype" w:hAnsi="Palatino Linotype"/>
          <w:sz w:val="24"/>
          <w:szCs w:val="24"/>
        </w:rPr>
        <w:t>PG&amp;E</w:t>
      </w:r>
      <w:r w:rsidR="00BC3D69">
        <w:rPr>
          <w:rFonts w:ascii="Palatino Linotype" w:hAnsi="Palatino Linotype"/>
          <w:sz w:val="24"/>
          <w:szCs w:val="24"/>
        </w:rPr>
        <w:t xml:space="preserve">’s comments recommended informal workshops on matters related to the distribution of electric allowance proceeds, including California Climate Credit distribution timing. The Commission declines to order additional workshops </w:t>
      </w:r>
      <w:proofErr w:type="gramStart"/>
      <w:r w:rsidR="00BC3D69">
        <w:rPr>
          <w:rFonts w:ascii="Palatino Linotype" w:hAnsi="Palatino Linotype"/>
          <w:sz w:val="24"/>
          <w:szCs w:val="24"/>
        </w:rPr>
        <w:t>at this time</w:t>
      </w:r>
      <w:proofErr w:type="gramEnd"/>
      <w:r w:rsidR="00BC3D69">
        <w:rPr>
          <w:rFonts w:ascii="Palatino Linotype" w:hAnsi="Palatino Linotype"/>
          <w:sz w:val="24"/>
          <w:szCs w:val="24"/>
        </w:rPr>
        <w:t xml:space="preserve">. The California Air Resources Board is currently in the process of amending Cap-and-Trade Regulations. Changes made by </w:t>
      </w:r>
      <w:r w:rsidR="0075507E">
        <w:rPr>
          <w:rFonts w:ascii="Palatino Linotype" w:hAnsi="Palatino Linotype"/>
          <w:sz w:val="24"/>
          <w:szCs w:val="24"/>
        </w:rPr>
        <w:t>the California Air Resources Board</w:t>
      </w:r>
      <w:r w:rsidR="00BC3D69">
        <w:rPr>
          <w:rFonts w:ascii="Palatino Linotype" w:hAnsi="Palatino Linotype"/>
          <w:sz w:val="24"/>
          <w:szCs w:val="24"/>
        </w:rPr>
        <w:t xml:space="preserve"> to regulations may impact how </w:t>
      </w:r>
      <w:r w:rsidR="00F02FFA">
        <w:rPr>
          <w:rFonts w:ascii="Palatino Linotype" w:hAnsi="Palatino Linotype"/>
          <w:sz w:val="24"/>
          <w:szCs w:val="24"/>
        </w:rPr>
        <w:t xml:space="preserve">the </w:t>
      </w:r>
      <w:r w:rsidR="00BC3D69">
        <w:rPr>
          <w:rFonts w:ascii="Palatino Linotype" w:hAnsi="Palatino Linotype"/>
          <w:sz w:val="24"/>
          <w:szCs w:val="24"/>
        </w:rPr>
        <w:t xml:space="preserve">CPUC is able to distribute electric and gas allocated allowance auction proceeds. The Commission </w:t>
      </w:r>
      <w:r w:rsidR="006B5810">
        <w:rPr>
          <w:rFonts w:ascii="Palatino Linotype" w:hAnsi="Palatino Linotype"/>
          <w:sz w:val="24"/>
          <w:szCs w:val="24"/>
        </w:rPr>
        <w:t>finds it is prudent to</w:t>
      </w:r>
      <w:r w:rsidR="00BC3D69">
        <w:rPr>
          <w:rFonts w:ascii="Palatino Linotype" w:hAnsi="Palatino Linotype"/>
          <w:sz w:val="24"/>
          <w:szCs w:val="24"/>
        </w:rPr>
        <w:t xml:space="preserve"> wait for finalized regulations from </w:t>
      </w:r>
      <w:r w:rsidR="0075507E">
        <w:rPr>
          <w:rFonts w:ascii="Palatino Linotype" w:hAnsi="Palatino Linotype"/>
          <w:sz w:val="24"/>
          <w:szCs w:val="24"/>
        </w:rPr>
        <w:t>the California Air Resources Board</w:t>
      </w:r>
      <w:r w:rsidR="00BC3D69">
        <w:rPr>
          <w:rFonts w:ascii="Palatino Linotype" w:hAnsi="Palatino Linotype"/>
          <w:sz w:val="24"/>
          <w:szCs w:val="24"/>
        </w:rPr>
        <w:t xml:space="preserve"> </w:t>
      </w:r>
      <w:proofErr w:type="gramStart"/>
      <w:r w:rsidR="00BC3D69">
        <w:rPr>
          <w:rFonts w:ascii="Palatino Linotype" w:hAnsi="Palatino Linotype"/>
          <w:sz w:val="24"/>
          <w:szCs w:val="24"/>
        </w:rPr>
        <w:t>in order to</w:t>
      </w:r>
      <w:proofErr w:type="gramEnd"/>
      <w:r w:rsidR="00BC3D69">
        <w:rPr>
          <w:rFonts w:ascii="Palatino Linotype" w:hAnsi="Palatino Linotype"/>
          <w:sz w:val="24"/>
          <w:szCs w:val="24"/>
        </w:rPr>
        <w:t xml:space="preserve"> assess the best procedural vehicle</w:t>
      </w:r>
      <w:r w:rsidR="0059211E">
        <w:rPr>
          <w:rFonts w:ascii="Palatino Linotype" w:hAnsi="Palatino Linotype"/>
          <w:sz w:val="24"/>
          <w:szCs w:val="24"/>
        </w:rPr>
        <w:t xml:space="preserve"> and the scope needed</w:t>
      </w:r>
      <w:r w:rsidR="00BC3D69">
        <w:rPr>
          <w:rFonts w:ascii="Palatino Linotype" w:hAnsi="Palatino Linotype"/>
          <w:sz w:val="24"/>
          <w:szCs w:val="24"/>
        </w:rPr>
        <w:t xml:space="preserve"> to address potential future changes to the distribution of allocated allowance auction proceeds. </w:t>
      </w:r>
    </w:p>
    <w:p w:rsidR="003D4FCB" w:rsidP="003D4FCB" w:rsidRDefault="003D4FCB" w14:paraId="386CDD97" w14:textId="77777777">
      <w:pPr>
        <w:rPr>
          <w:rFonts w:ascii="Palatino Linotype" w:hAnsi="Palatino Linotype"/>
          <w:sz w:val="24"/>
          <w:szCs w:val="24"/>
        </w:rPr>
      </w:pPr>
    </w:p>
    <w:p w:rsidR="003D4FCB" w:rsidP="003D4FCB" w:rsidRDefault="003D4FCB" w14:paraId="437DCAE3" w14:textId="77777777">
      <w:pPr>
        <w:rPr>
          <w:sz w:val="23"/>
          <w:szCs w:val="23"/>
        </w:rPr>
      </w:pPr>
    </w:p>
    <w:p w:rsidRPr="000A5507" w:rsidR="000A5507" w:rsidP="000A5507" w:rsidRDefault="00CF17DE" w14:paraId="4BDD48EC" w14:textId="77777777">
      <w:pPr>
        <w:pStyle w:val="Heading1"/>
        <w:rPr>
          <w:rFonts w:ascii="Palatino Linotype" w:hAnsi="Palatino Linotype"/>
          <w:sz w:val="24"/>
          <w:szCs w:val="24"/>
        </w:rPr>
      </w:pPr>
      <w:r w:rsidRPr="00D865A9">
        <w:rPr>
          <w:rFonts w:ascii="Palatino Linotype" w:hAnsi="Palatino Linotype"/>
          <w:sz w:val="24"/>
          <w:szCs w:val="24"/>
        </w:rPr>
        <w:t>Findings</w:t>
      </w:r>
    </w:p>
    <w:p w:rsidRPr="000A5507" w:rsidR="000A5507" w:rsidP="00037A66" w:rsidRDefault="000A5507" w14:paraId="03435324"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For purposes of complying with Public Utilities Code section 748.5 the Commission established a per account usage-based definition of </w:t>
      </w:r>
      <w:r w:rsidR="00D226AF">
        <w:rPr>
          <w:rFonts w:ascii="Palatino Linotype" w:hAnsi="Palatino Linotype"/>
          <w:sz w:val="24"/>
          <w:szCs w:val="24"/>
        </w:rPr>
        <w:t xml:space="preserve">a </w:t>
      </w:r>
      <w:r w:rsidRPr="000A5507">
        <w:rPr>
          <w:rFonts w:ascii="Palatino Linotype" w:hAnsi="Palatino Linotype"/>
          <w:sz w:val="24"/>
          <w:szCs w:val="24"/>
        </w:rPr>
        <w:t xml:space="preserve">small business in D.12-12-022 and D.13-12-002. </w:t>
      </w:r>
    </w:p>
    <w:p w:rsidRPr="000A5507" w:rsidR="000A5507" w:rsidP="00037A66" w:rsidRDefault="000A5507" w14:paraId="48D9318B"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Small </w:t>
      </w:r>
      <w:r w:rsidRPr="000A5507" w:rsidR="00037A66">
        <w:rPr>
          <w:rFonts w:ascii="Palatino Linotype" w:hAnsi="Palatino Linotype"/>
          <w:sz w:val="24"/>
          <w:szCs w:val="24"/>
        </w:rPr>
        <w:t>Business</w:t>
      </w:r>
      <w:r w:rsidRPr="000A5507">
        <w:rPr>
          <w:rFonts w:ascii="Palatino Linotype" w:hAnsi="Palatino Linotype"/>
          <w:sz w:val="24"/>
          <w:szCs w:val="24"/>
        </w:rPr>
        <w:t xml:space="preserve"> California Climate Credit aggregation occurs when one </w:t>
      </w:r>
      <w:r w:rsidR="003B5731">
        <w:rPr>
          <w:rFonts w:ascii="Palatino Linotype" w:hAnsi="Palatino Linotype"/>
          <w:sz w:val="24"/>
          <w:szCs w:val="24"/>
        </w:rPr>
        <w:t>recipient</w:t>
      </w:r>
      <w:r w:rsidRPr="000A5507">
        <w:rPr>
          <w:rFonts w:ascii="Palatino Linotype" w:hAnsi="Palatino Linotype"/>
          <w:sz w:val="24"/>
          <w:szCs w:val="24"/>
        </w:rPr>
        <w:t xml:space="preserve"> </w:t>
      </w:r>
      <w:r w:rsidR="003B5731">
        <w:rPr>
          <w:rFonts w:ascii="Palatino Linotype" w:hAnsi="Palatino Linotype"/>
          <w:sz w:val="24"/>
          <w:szCs w:val="24"/>
        </w:rPr>
        <w:t>benefits from</w:t>
      </w:r>
      <w:r w:rsidRPr="000A5507">
        <w:rPr>
          <w:rFonts w:ascii="Palatino Linotype" w:hAnsi="Palatino Linotype"/>
          <w:sz w:val="24"/>
          <w:szCs w:val="24"/>
        </w:rPr>
        <w:t xml:space="preserve"> multiple accounts that are each individually eligible for the Small Business California Climate Credit. </w:t>
      </w:r>
    </w:p>
    <w:p w:rsidRPr="000A5507" w:rsidR="000A5507" w:rsidP="00037A66" w:rsidRDefault="000A5507" w14:paraId="4F4E7472"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In early 2024 Energy Division Staff became aware that some recipients controlled significant amounts of accounts eligible for the Small Business California </w:t>
      </w:r>
      <w:r w:rsidR="000050C5">
        <w:rPr>
          <w:rFonts w:ascii="Palatino Linotype" w:hAnsi="Palatino Linotype"/>
          <w:sz w:val="24"/>
          <w:szCs w:val="24"/>
        </w:rPr>
        <w:t>Cl</w:t>
      </w:r>
      <w:r w:rsidRPr="000A5507">
        <w:rPr>
          <w:rFonts w:ascii="Palatino Linotype" w:hAnsi="Palatino Linotype"/>
          <w:sz w:val="24"/>
          <w:szCs w:val="24"/>
        </w:rPr>
        <w:t>imate Credit.</w:t>
      </w:r>
    </w:p>
    <w:p w:rsidRPr="000A5507" w:rsidR="000A5507" w:rsidP="00037A66" w:rsidRDefault="000A5507" w14:paraId="0FD606D1"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The total number of recipients with more than 100 eligible accounts is very small (401) relative to the total number of recipients of the Small Business California Climate Credit (532,510)</w:t>
      </w:r>
      <w:r>
        <w:rPr>
          <w:rFonts w:ascii="Palatino Linotype" w:hAnsi="Palatino Linotype"/>
          <w:sz w:val="24"/>
          <w:szCs w:val="24"/>
        </w:rPr>
        <w:t>.</w:t>
      </w:r>
    </w:p>
    <w:p w:rsidRPr="000A5507" w:rsidR="000A5507" w:rsidP="00037A66" w:rsidRDefault="000A5507" w14:paraId="20D04BC1"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The total number of eligible accounts controlled by those 401 recipients (154,927) is a notable percentage of the total number of eligible accounts (1,117,105).</w:t>
      </w:r>
    </w:p>
    <w:p w:rsidRPr="000A5507" w:rsidR="000A5507" w:rsidP="00037A66" w:rsidRDefault="000A5507" w14:paraId="71F6FE0E"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Reducing the number of accounts eligible for the Small Business California Climate Credit increases the value of the credit for the remaining small business</w:t>
      </w:r>
      <w:r>
        <w:rPr>
          <w:rFonts w:ascii="Palatino Linotype" w:hAnsi="Palatino Linotype"/>
          <w:sz w:val="24"/>
          <w:szCs w:val="24"/>
        </w:rPr>
        <w:t>es</w:t>
      </w:r>
      <w:r w:rsidRPr="000A5507">
        <w:rPr>
          <w:rFonts w:ascii="Palatino Linotype" w:hAnsi="Palatino Linotype"/>
          <w:sz w:val="24"/>
          <w:szCs w:val="24"/>
        </w:rPr>
        <w:t xml:space="preserve"> and residential recipients. </w:t>
      </w:r>
    </w:p>
    <w:p w:rsidRPr="000A5507" w:rsidR="000A5507" w:rsidP="005E623C" w:rsidRDefault="000A5507" w14:paraId="2B7D6236" w14:textId="77777777">
      <w:pPr>
        <w:keepNext/>
        <w:keepLines/>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lastRenderedPageBreak/>
        <w:t xml:space="preserve">The existing eligibility criteria are leading to outcomes that do not comport with the Legislature’s apparent intent in SB 1018, defeat rather than promotes the statute’s general purpose, and arrive at absurd consequences (such as a single small business recipient qualifying over 10,000 accounts). </w:t>
      </w:r>
    </w:p>
    <w:p w:rsidRPr="000A5507" w:rsidR="000A5507" w:rsidP="00037A66" w:rsidRDefault="000A5507" w14:paraId="042D86AA"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Imposing a cap on the number of eligible accounts a recipient can </w:t>
      </w:r>
      <w:r w:rsidR="00AF1864">
        <w:rPr>
          <w:rFonts w:ascii="Palatino Linotype" w:hAnsi="Palatino Linotype"/>
          <w:sz w:val="24"/>
          <w:szCs w:val="24"/>
        </w:rPr>
        <w:t>benefit from</w:t>
      </w:r>
      <w:r w:rsidRPr="000A5507">
        <w:rPr>
          <w:rFonts w:ascii="Palatino Linotype" w:hAnsi="Palatino Linotype"/>
          <w:sz w:val="24"/>
          <w:szCs w:val="24"/>
        </w:rPr>
        <w:t xml:space="preserve"> is </w:t>
      </w:r>
      <w:r w:rsidR="003D1B2E">
        <w:rPr>
          <w:rFonts w:ascii="Palatino Linotype" w:hAnsi="Palatino Linotype"/>
          <w:sz w:val="24"/>
          <w:szCs w:val="24"/>
        </w:rPr>
        <w:t>an</w:t>
      </w:r>
      <w:r w:rsidRPr="000A5507">
        <w:rPr>
          <w:rFonts w:ascii="Palatino Linotype" w:hAnsi="Palatino Linotype"/>
          <w:sz w:val="24"/>
          <w:szCs w:val="24"/>
        </w:rPr>
        <w:t xml:space="preserve"> option to limit aggregation that does not involve the creation of an attestation process to collect additional information on recipients. </w:t>
      </w:r>
    </w:p>
    <w:p w:rsidRPr="000A5507" w:rsidR="00B97502" w:rsidP="00B97502" w:rsidRDefault="00B97502" w14:paraId="6193E173"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IOUs have limited information on account owners.  </w:t>
      </w:r>
      <w:r w:rsidR="004A7F95">
        <w:rPr>
          <w:rFonts w:ascii="Palatino Linotype" w:hAnsi="Palatino Linotype"/>
          <w:sz w:val="24"/>
          <w:szCs w:val="24"/>
        </w:rPr>
        <w:t xml:space="preserve">IOU systems differ from each other in the type and </w:t>
      </w:r>
      <w:r w:rsidR="0079082F">
        <w:rPr>
          <w:rFonts w:ascii="Palatino Linotype" w:hAnsi="Palatino Linotype"/>
          <w:sz w:val="24"/>
          <w:szCs w:val="24"/>
        </w:rPr>
        <w:t>quantity of information available on customers.</w:t>
      </w:r>
    </w:p>
    <w:p w:rsidRPr="000A5507" w:rsidR="00B97502" w:rsidP="00B97502" w:rsidRDefault="00B97502" w14:paraId="013CF3BD"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IOUs should aggregate based on </w:t>
      </w:r>
      <w:r w:rsidR="00543EF3">
        <w:rPr>
          <w:rFonts w:ascii="Palatino Linotype" w:hAnsi="Palatino Linotype"/>
          <w:sz w:val="24"/>
          <w:szCs w:val="24"/>
        </w:rPr>
        <w:t>a reasonable method available to each IOU based on the information available to the IOU</w:t>
      </w:r>
      <w:r w:rsidRPr="000A5507">
        <w:rPr>
          <w:rFonts w:ascii="Palatino Linotype" w:hAnsi="Palatino Linotype"/>
          <w:sz w:val="24"/>
          <w:szCs w:val="24"/>
        </w:rPr>
        <w:t xml:space="preserve"> where it can be reasonably construed by the IOU that the businesses are affiliated. </w:t>
      </w:r>
    </w:p>
    <w:p w:rsidRPr="000A5507" w:rsidR="000A5507" w:rsidP="00037A66" w:rsidRDefault="000A5507" w14:paraId="1A5F4FE9"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An eligibility cap of </w:t>
      </w:r>
      <w:r w:rsidR="00AF1864">
        <w:rPr>
          <w:rFonts w:ascii="Palatino Linotype" w:hAnsi="Palatino Linotype"/>
          <w:sz w:val="24"/>
          <w:szCs w:val="24"/>
        </w:rPr>
        <w:t xml:space="preserve">less than </w:t>
      </w:r>
      <w:r w:rsidRPr="000A5507">
        <w:rPr>
          <w:rFonts w:ascii="Palatino Linotype" w:hAnsi="Palatino Linotype"/>
          <w:sz w:val="24"/>
          <w:szCs w:val="24"/>
        </w:rPr>
        <w:t xml:space="preserve">100 accounts is reasonable in that it impacts only a small number of recipients, while delivering tangible financial benefits to remaining recipients in the form of a larger credit. </w:t>
      </w:r>
    </w:p>
    <w:p w:rsidRPr="000A5507" w:rsidR="000A5507" w:rsidP="00037A66" w:rsidRDefault="000A5507" w14:paraId="5589649A"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An eligibility cap based solely on the number of accounts is less administratively burdensome than a cap based on economic sector or other qualifier. </w:t>
      </w:r>
    </w:p>
    <w:p w:rsidRPr="000A5507" w:rsidR="000A5507" w:rsidP="00037A66" w:rsidRDefault="000A5507" w14:paraId="12E54DD0"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Energy Division Staff do not believe there is any reason why the credit aggregation issues found in SMJUs customer bases would differ from those of the large IOUs to any significant degree as the three largest areas experiencing aggregation issues</w:t>
      </w:r>
      <w:r w:rsidRPr="000A5507" w:rsidR="00E63191">
        <w:rPr>
          <w:rFonts w:ascii="Palatino Linotype" w:hAnsi="Palatino Linotype"/>
          <w:sz w:val="24"/>
          <w:szCs w:val="24"/>
        </w:rPr>
        <w:t xml:space="preserve"> – </w:t>
      </w:r>
      <w:r w:rsidRPr="000A5507">
        <w:rPr>
          <w:rFonts w:ascii="Palatino Linotype" w:hAnsi="Palatino Linotype"/>
          <w:sz w:val="24"/>
          <w:szCs w:val="24"/>
        </w:rPr>
        <w:t xml:space="preserve">telecommunications, </w:t>
      </w:r>
      <w:r w:rsidRPr="000A5507" w:rsidR="00D16800">
        <w:rPr>
          <w:rFonts w:ascii="Palatino Linotype" w:hAnsi="Palatino Linotype"/>
          <w:sz w:val="24"/>
          <w:szCs w:val="24"/>
        </w:rPr>
        <w:t>homeowners</w:t>
      </w:r>
      <w:r w:rsidRPr="000A5507">
        <w:rPr>
          <w:rFonts w:ascii="Palatino Linotype" w:hAnsi="Palatino Linotype"/>
          <w:sz w:val="24"/>
          <w:szCs w:val="24"/>
        </w:rPr>
        <w:t xml:space="preserve"> associations, and city/county/state governmental agencies – can also be found within the service territories of the SMJUs. </w:t>
      </w:r>
    </w:p>
    <w:p w:rsidRPr="000A5507" w:rsidR="000A5507" w:rsidP="00037A66" w:rsidRDefault="000A5507" w14:paraId="01E6E8E7"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SMJUs should also implement an eligibility cap identical to the large IOUs for the Small Business California Climate Credit. </w:t>
      </w:r>
    </w:p>
    <w:p w:rsidRPr="000A5507" w:rsidR="000A5507" w:rsidP="00037A66" w:rsidRDefault="000A5507" w14:paraId="12818C36"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Other credits funded from the same source as the Small Business Climate Credit require the IOUs to reexamine eligibility on set intervals. </w:t>
      </w:r>
    </w:p>
    <w:p w:rsidRPr="000A5507" w:rsidR="000A5507" w:rsidP="00037A66" w:rsidRDefault="000A5507" w14:paraId="0EECA021"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 xml:space="preserve">CA Industry Assistance requires eligibility examination once per CARB </w:t>
      </w:r>
      <w:r w:rsidR="00B2259C">
        <w:rPr>
          <w:rFonts w:ascii="Palatino Linotype" w:hAnsi="Palatino Linotype"/>
          <w:sz w:val="24"/>
          <w:szCs w:val="24"/>
        </w:rPr>
        <w:t xml:space="preserve">Cap-and-Trade </w:t>
      </w:r>
      <w:r w:rsidRPr="000A5507">
        <w:rPr>
          <w:rFonts w:ascii="Palatino Linotype" w:hAnsi="Palatino Linotype"/>
          <w:sz w:val="24"/>
          <w:szCs w:val="24"/>
        </w:rPr>
        <w:t xml:space="preserve">compliance period. </w:t>
      </w:r>
    </w:p>
    <w:p w:rsidRPr="000A5507" w:rsidR="000A5507" w:rsidP="00037A66" w:rsidRDefault="000A5507" w14:paraId="26C7D86C"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It is reasonable to require IOUs to notify Small Business California Climate Credit recipients of changes to eligibility requirements</w:t>
      </w:r>
      <w:r w:rsidR="00543EF3">
        <w:rPr>
          <w:rFonts w:ascii="Palatino Linotype" w:hAnsi="Palatino Linotype"/>
          <w:sz w:val="24"/>
          <w:szCs w:val="24"/>
        </w:rPr>
        <w:t xml:space="preserve"> in advance of any eligibility changes going into effect</w:t>
      </w:r>
      <w:r w:rsidRPr="000A5507">
        <w:rPr>
          <w:rFonts w:ascii="Palatino Linotype" w:hAnsi="Palatino Linotype"/>
          <w:sz w:val="24"/>
          <w:szCs w:val="24"/>
        </w:rPr>
        <w:t xml:space="preserve">. </w:t>
      </w:r>
    </w:p>
    <w:p w:rsidR="00CF17DE" w:rsidP="00037A66" w:rsidRDefault="000A5507" w14:paraId="5BC6772E" w14:textId="77777777">
      <w:pPr>
        <w:numPr>
          <w:ilvl w:val="0"/>
          <w:numId w:val="4"/>
        </w:numPr>
        <w:spacing w:after="120"/>
        <w:ind w:left="418" w:hanging="418"/>
        <w:rPr>
          <w:rFonts w:ascii="Palatino Linotype" w:hAnsi="Palatino Linotype"/>
          <w:sz w:val="24"/>
          <w:szCs w:val="24"/>
        </w:rPr>
      </w:pPr>
      <w:r w:rsidRPr="000A5507">
        <w:rPr>
          <w:rFonts w:ascii="Palatino Linotype" w:hAnsi="Palatino Linotype"/>
          <w:sz w:val="24"/>
          <w:szCs w:val="24"/>
        </w:rPr>
        <w:t>As IOUs may make misattributions when aggregating accounts, customers should have the opportunity to examine which accounts were attributed to them.</w:t>
      </w:r>
    </w:p>
    <w:p w:rsidR="00F16301" w:rsidP="00037A66" w:rsidRDefault="00F16301" w14:paraId="67D718A5" w14:textId="77777777">
      <w:pPr>
        <w:numPr>
          <w:ilvl w:val="0"/>
          <w:numId w:val="4"/>
        </w:numPr>
        <w:spacing w:after="120"/>
        <w:ind w:left="418" w:hanging="418"/>
        <w:rPr>
          <w:rFonts w:ascii="Palatino Linotype" w:hAnsi="Palatino Linotype"/>
          <w:sz w:val="24"/>
          <w:szCs w:val="24"/>
        </w:rPr>
      </w:pPr>
      <w:r>
        <w:rPr>
          <w:rFonts w:ascii="Palatino Linotype" w:hAnsi="Palatino Linotype"/>
          <w:sz w:val="24"/>
          <w:szCs w:val="24"/>
        </w:rPr>
        <w:t xml:space="preserve">IOU tariff sheets may </w:t>
      </w:r>
      <w:r w:rsidR="00D265EB">
        <w:rPr>
          <w:rFonts w:ascii="Palatino Linotype" w:hAnsi="Palatino Linotype"/>
          <w:sz w:val="24"/>
          <w:szCs w:val="24"/>
        </w:rPr>
        <w:t>describe the Small Business California Climate Credit.</w:t>
      </w:r>
    </w:p>
    <w:p w:rsidRPr="00D865A9" w:rsidR="00CF17DE" w:rsidRDefault="00CF17DE" w14:paraId="41D95239" w14:textId="77777777">
      <w:pPr>
        <w:pStyle w:val="Heading1"/>
        <w:rPr>
          <w:rFonts w:ascii="Palatino Linotype" w:hAnsi="Palatino Linotype"/>
          <w:sz w:val="24"/>
          <w:szCs w:val="24"/>
        </w:rPr>
      </w:pPr>
      <w:proofErr w:type="gramStart"/>
      <w:r w:rsidRPr="00D865A9">
        <w:rPr>
          <w:rFonts w:ascii="Palatino Linotype" w:hAnsi="Palatino Linotype"/>
          <w:sz w:val="24"/>
          <w:szCs w:val="24"/>
        </w:rPr>
        <w:lastRenderedPageBreak/>
        <w:t>Therefore</w:t>
      </w:r>
      <w:proofErr w:type="gramEnd"/>
      <w:r w:rsidRPr="00D865A9">
        <w:rPr>
          <w:rFonts w:ascii="Palatino Linotype" w:hAnsi="Palatino Linotype"/>
          <w:sz w:val="24"/>
          <w:szCs w:val="24"/>
        </w:rPr>
        <w:t xml:space="preserve"> it is ordered that:</w:t>
      </w:r>
    </w:p>
    <w:p w:rsidRPr="00037A66" w:rsidR="00952E1A" w:rsidP="00952E1A" w:rsidRDefault="00952E1A" w14:paraId="49343E35"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 xml:space="preserve">IOUs </w:t>
      </w:r>
      <w:r w:rsidR="00593A0C">
        <w:rPr>
          <w:rFonts w:ascii="Palatino Linotype" w:hAnsi="Palatino Linotype"/>
          <w:snapToGrid w:val="0"/>
          <w:sz w:val="24"/>
          <w:szCs w:val="24"/>
        </w:rPr>
        <w:t>will</w:t>
      </w:r>
      <w:r w:rsidR="00F850D6">
        <w:rPr>
          <w:rFonts w:ascii="Palatino Linotype" w:hAnsi="Palatino Linotype"/>
          <w:snapToGrid w:val="0"/>
          <w:sz w:val="24"/>
          <w:szCs w:val="24"/>
        </w:rPr>
        <w:t xml:space="preserve"> develop an</w:t>
      </w:r>
      <w:r>
        <w:rPr>
          <w:rFonts w:ascii="Palatino Linotype" w:hAnsi="Palatino Linotype"/>
          <w:snapToGrid w:val="0"/>
          <w:sz w:val="24"/>
          <w:szCs w:val="24"/>
        </w:rPr>
        <w:t xml:space="preserve"> </w:t>
      </w:r>
      <w:r w:rsidRPr="00037A66">
        <w:rPr>
          <w:rFonts w:ascii="Palatino Linotype" w:hAnsi="Palatino Linotype"/>
          <w:snapToGrid w:val="0"/>
          <w:sz w:val="24"/>
          <w:szCs w:val="24"/>
        </w:rPr>
        <w:t>aggregate</w:t>
      </w:r>
      <w:r w:rsidR="00C24EB7">
        <w:rPr>
          <w:rFonts w:ascii="Palatino Linotype" w:hAnsi="Palatino Linotype"/>
          <w:snapToGrid w:val="0"/>
          <w:sz w:val="24"/>
          <w:szCs w:val="24"/>
        </w:rPr>
        <w:t xml:space="preserve"> count of</w:t>
      </w:r>
      <w:r w:rsidRPr="00037A66">
        <w:rPr>
          <w:rFonts w:ascii="Palatino Linotype" w:hAnsi="Palatino Linotype"/>
          <w:snapToGrid w:val="0"/>
          <w:sz w:val="24"/>
          <w:szCs w:val="24"/>
        </w:rPr>
        <w:t xml:space="preserve"> </w:t>
      </w:r>
      <w:r w:rsidR="00F850D6">
        <w:rPr>
          <w:rFonts w:ascii="Palatino Linotype" w:hAnsi="Palatino Linotype"/>
          <w:snapToGrid w:val="0"/>
          <w:sz w:val="24"/>
          <w:szCs w:val="24"/>
        </w:rPr>
        <w:t>S</w:t>
      </w:r>
      <w:r>
        <w:rPr>
          <w:rFonts w:ascii="Palatino Linotype" w:hAnsi="Palatino Linotype"/>
          <w:snapToGrid w:val="0"/>
          <w:sz w:val="24"/>
          <w:szCs w:val="24"/>
        </w:rPr>
        <w:t xml:space="preserve">mall </w:t>
      </w:r>
      <w:r w:rsidR="00F850D6">
        <w:rPr>
          <w:rFonts w:ascii="Palatino Linotype" w:hAnsi="Palatino Linotype"/>
          <w:snapToGrid w:val="0"/>
          <w:sz w:val="24"/>
          <w:szCs w:val="24"/>
        </w:rPr>
        <w:t>B</w:t>
      </w:r>
      <w:r>
        <w:rPr>
          <w:rFonts w:ascii="Palatino Linotype" w:hAnsi="Palatino Linotype"/>
          <w:snapToGrid w:val="0"/>
          <w:sz w:val="24"/>
          <w:szCs w:val="24"/>
        </w:rPr>
        <w:t>usinesses</w:t>
      </w:r>
      <w:r w:rsidR="00F850D6">
        <w:rPr>
          <w:rFonts w:ascii="Palatino Linotype" w:hAnsi="Palatino Linotype"/>
          <w:snapToGrid w:val="0"/>
          <w:sz w:val="24"/>
          <w:szCs w:val="24"/>
        </w:rPr>
        <w:t xml:space="preserve"> California Climate Credit</w:t>
      </w:r>
      <w:r>
        <w:rPr>
          <w:rFonts w:ascii="Palatino Linotype" w:hAnsi="Palatino Linotype"/>
          <w:snapToGrid w:val="0"/>
          <w:sz w:val="24"/>
          <w:szCs w:val="24"/>
        </w:rPr>
        <w:t xml:space="preserve"> </w:t>
      </w:r>
      <w:r w:rsidR="00F850D6">
        <w:rPr>
          <w:rFonts w:ascii="Palatino Linotype" w:hAnsi="Palatino Linotype"/>
          <w:snapToGrid w:val="0"/>
          <w:sz w:val="24"/>
          <w:szCs w:val="24"/>
        </w:rPr>
        <w:t xml:space="preserve">eligible accounts </w:t>
      </w:r>
      <w:r w:rsidRPr="00037A66">
        <w:rPr>
          <w:rFonts w:ascii="Palatino Linotype" w:hAnsi="Palatino Linotype"/>
          <w:snapToGrid w:val="0"/>
          <w:sz w:val="24"/>
          <w:szCs w:val="24"/>
        </w:rPr>
        <w:t xml:space="preserve">based on </w:t>
      </w:r>
      <w:r w:rsidR="00530303">
        <w:rPr>
          <w:rFonts w:ascii="Palatino Linotype" w:hAnsi="Palatino Linotype"/>
          <w:sz w:val="24"/>
          <w:szCs w:val="24"/>
        </w:rPr>
        <w:t>a reasonable method available to each IOU based on the information available to the IOU</w:t>
      </w:r>
      <w:r w:rsidRPr="000A5507" w:rsidR="00530303">
        <w:rPr>
          <w:rFonts w:ascii="Palatino Linotype" w:hAnsi="Palatino Linotype"/>
          <w:sz w:val="24"/>
          <w:szCs w:val="24"/>
        </w:rPr>
        <w:t xml:space="preserve"> </w:t>
      </w:r>
      <w:r w:rsidRPr="00037A66">
        <w:rPr>
          <w:rFonts w:ascii="Palatino Linotype" w:hAnsi="Palatino Linotype"/>
          <w:snapToGrid w:val="0"/>
          <w:sz w:val="24"/>
          <w:szCs w:val="24"/>
        </w:rPr>
        <w:t xml:space="preserve">where it can be reasonably construed by the IOU that the businesses are affiliated. </w:t>
      </w:r>
    </w:p>
    <w:p w:rsidRPr="00037A66" w:rsidR="00037A66" w:rsidP="00037A66" w:rsidRDefault="00037A66" w14:paraId="74434780"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 xml:space="preserve">Any </w:t>
      </w:r>
      <w:r w:rsidR="002C4618">
        <w:rPr>
          <w:rFonts w:ascii="Palatino Linotype" w:hAnsi="Palatino Linotype"/>
          <w:snapToGrid w:val="0"/>
          <w:sz w:val="24"/>
          <w:szCs w:val="24"/>
        </w:rPr>
        <w:t>recipient</w:t>
      </w:r>
      <w:r w:rsidRPr="00037A66">
        <w:rPr>
          <w:rFonts w:ascii="Palatino Linotype" w:hAnsi="Palatino Linotype"/>
          <w:snapToGrid w:val="0"/>
          <w:sz w:val="24"/>
          <w:szCs w:val="24"/>
        </w:rPr>
        <w:t xml:space="preserve"> with 100 or more accounts in an IOU territory individually eligible for the Small Business California Climate Credit is ineligible to receive the Small Business California Climate Credit applied to any account in that territory. </w:t>
      </w:r>
    </w:p>
    <w:p w:rsidRPr="00037A66" w:rsidR="00037A66" w:rsidP="00037A66" w:rsidRDefault="00037A66" w14:paraId="541AE7F2"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The IOUs are directed to implement change</w:t>
      </w:r>
      <w:r w:rsidR="001E3EAE">
        <w:rPr>
          <w:rFonts w:ascii="Palatino Linotype" w:hAnsi="Palatino Linotype"/>
          <w:snapToGrid w:val="0"/>
          <w:sz w:val="24"/>
          <w:szCs w:val="24"/>
        </w:rPr>
        <w:t>s to eligibility for the Small Business California Climate Credit</w:t>
      </w:r>
      <w:r w:rsidRPr="00037A66">
        <w:rPr>
          <w:rFonts w:ascii="Palatino Linotype" w:hAnsi="Palatino Linotype"/>
          <w:snapToGrid w:val="0"/>
          <w:sz w:val="24"/>
          <w:szCs w:val="24"/>
        </w:rPr>
        <w:t xml:space="preserve"> as soon as possible </w:t>
      </w:r>
      <w:r w:rsidRPr="00037A66" w:rsidR="00AD1356">
        <w:rPr>
          <w:rFonts w:ascii="Palatino Linotype" w:hAnsi="Palatino Linotype"/>
          <w:snapToGrid w:val="0"/>
          <w:sz w:val="24"/>
          <w:szCs w:val="24"/>
        </w:rPr>
        <w:t xml:space="preserve">and no later than April </w:t>
      </w:r>
      <w:r w:rsidR="00AD1356">
        <w:rPr>
          <w:rFonts w:ascii="Palatino Linotype" w:hAnsi="Palatino Linotype"/>
          <w:snapToGrid w:val="0"/>
          <w:sz w:val="24"/>
          <w:szCs w:val="24"/>
        </w:rPr>
        <w:t xml:space="preserve">1, </w:t>
      </w:r>
      <w:r w:rsidRPr="00037A66" w:rsidR="00AD1356">
        <w:rPr>
          <w:rFonts w:ascii="Palatino Linotype" w:hAnsi="Palatino Linotype"/>
          <w:snapToGrid w:val="0"/>
          <w:sz w:val="24"/>
          <w:szCs w:val="24"/>
        </w:rPr>
        <w:t>2025</w:t>
      </w:r>
      <w:r w:rsidR="00AD1356">
        <w:rPr>
          <w:rFonts w:ascii="Palatino Linotype" w:hAnsi="Palatino Linotype"/>
          <w:snapToGrid w:val="0"/>
          <w:sz w:val="24"/>
          <w:szCs w:val="24"/>
        </w:rPr>
        <w:t xml:space="preserve"> </w:t>
      </w:r>
      <w:r w:rsidRPr="00530303" w:rsidR="00530303">
        <w:rPr>
          <w:rFonts w:ascii="Palatino Linotype" w:hAnsi="Palatino Linotype"/>
          <w:snapToGrid w:val="0"/>
          <w:sz w:val="24"/>
          <w:szCs w:val="24"/>
        </w:rPr>
        <w:t xml:space="preserve">following notification to Small Business California Climate Credit recipients </w:t>
      </w:r>
      <w:r w:rsidR="00AD1356">
        <w:rPr>
          <w:rFonts w:ascii="Palatino Linotype" w:hAnsi="Palatino Linotype"/>
          <w:snapToGrid w:val="0"/>
          <w:sz w:val="24"/>
          <w:szCs w:val="24"/>
        </w:rPr>
        <w:t>outlining</w:t>
      </w:r>
      <w:r w:rsidRPr="00530303" w:rsidR="00530303">
        <w:rPr>
          <w:rFonts w:ascii="Palatino Linotype" w:hAnsi="Palatino Linotype"/>
          <w:snapToGrid w:val="0"/>
          <w:sz w:val="24"/>
          <w:szCs w:val="24"/>
        </w:rPr>
        <w:t xml:space="preserve"> changes to eligibility requirements</w:t>
      </w:r>
      <w:r w:rsidRPr="00037A66">
        <w:rPr>
          <w:rFonts w:ascii="Palatino Linotype" w:hAnsi="Palatino Linotype"/>
          <w:snapToGrid w:val="0"/>
          <w:sz w:val="24"/>
          <w:szCs w:val="24"/>
        </w:rPr>
        <w:t>.</w:t>
      </w:r>
    </w:p>
    <w:p w:rsidRPr="00037A66" w:rsidR="00037A66" w:rsidP="00037A66" w:rsidRDefault="00037A66" w14:paraId="2740FEDD"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 xml:space="preserve">Small Business California Climate Credit recipients should be notified of changes in eligibility when </w:t>
      </w:r>
      <w:r w:rsidR="00D027AF">
        <w:rPr>
          <w:rFonts w:ascii="Palatino Linotype" w:hAnsi="Palatino Linotype"/>
          <w:snapToGrid w:val="0"/>
          <w:sz w:val="24"/>
          <w:szCs w:val="24"/>
        </w:rPr>
        <w:t>an</w:t>
      </w:r>
      <w:r w:rsidRPr="00037A66" w:rsidR="00D027AF">
        <w:rPr>
          <w:rFonts w:ascii="Palatino Linotype" w:hAnsi="Palatino Linotype"/>
          <w:snapToGrid w:val="0"/>
          <w:sz w:val="24"/>
          <w:szCs w:val="24"/>
        </w:rPr>
        <w:t xml:space="preserve"> </w:t>
      </w:r>
      <w:r w:rsidRPr="00037A66">
        <w:rPr>
          <w:rFonts w:ascii="Palatino Linotype" w:hAnsi="Palatino Linotype"/>
          <w:snapToGrid w:val="0"/>
          <w:sz w:val="24"/>
          <w:szCs w:val="24"/>
        </w:rPr>
        <w:t xml:space="preserve">IOU makes an eligibility determination and </w:t>
      </w:r>
      <w:r w:rsidR="001C46FA">
        <w:rPr>
          <w:rFonts w:ascii="Palatino Linotype" w:hAnsi="Palatino Linotype"/>
          <w:snapToGrid w:val="0"/>
          <w:sz w:val="24"/>
          <w:szCs w:val="24"/>
        </w:rPr>
        <w:t xml:space="preserve">as far </w:t>
      </w:r>
      <w:r w:rsidRPr="00037A66">
        <w:rPr>
          <w:rFonts w:ascii="Palatino Linotype" w:hAnsi="Palatino Linotype"/>
          <w:snapToGrid w:val="0"/>
          <w:sz w:val="24"/>
          <w:szCs w:val="24"/>
        </w:rPr>
        <w:t xml:space="preserve">in advance </w:t>
      </w:r>
      <w:r w:rsidR="00AE6CF5">
        <w:rPr>
          <w:rFonts w:ascii="Palatino Linotype" w:hAnsi="Palatino Linotype"/>
          <w:snapToGrid w:val="0"/>
          <w:sz w:val="24"/>
          <w:szCs w:val="24"/>
        </w:rPr>
        <w:t xml:space="preserve">prior to </w:t>
      </w:r>
      <w:r w:rsidRPr="00037A66">
        <w:rPr>
          <w:rFonts w:ascii="Palatino Linotype" w:hAnsi="Palatino Linotype"/>
          <w:snapToGrid w:val="0"/>
          <w:sz w:val="24"/>
          <w:szCs w:val="24"/>
        </w:rPr>
        <w:t>the distribution of the Small Business California Climate Credit</w:t>
      </w:r>
      <w:r w:rsidR="001C46FA">
        <w:rPr>
          <w:rFonts w:ascii="Palatino Linotype" w:hAnsi="Palatino Linotype"/>
          <w:snapToGrid w:val="0"/>
          <w:sz w:val="24"/>
          <w:szCs w:val="24"/>
        </w:rPr>
        <w:t xml:space="preserve"> as possible</w:t>
      </w:r>
      <w:r w:rsidRPr="00037A66">
        <w:rPr>
          <w:rFonts w:ascii="Palatino Linotype" w:hAnsi="Palatino Linotype"/>
          <w:snapToGrid w:val="0"/>
          <w:sz w:val="24"/>
          <w:szCs w:val="24"/>
        </w:rPr>
        <w:t>.</w:t>
      </w:r>
    </w:p>
    <w:p w:rsidRPr="00037A66" w:rsidR="00037A66" w:rsidP="00037A66" w:rsidRDefault="00037A66" w14:paraId="037E36DC"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 xml:space="preserve">IOUs are directed to reassess eligibility at </w:t>
      </w:r>
      <w:r w:rsidR="00F13ED7">
        <w:rPr>
          <w:rFonts w:ascii="Palatino Linotype" w:hAnsi="Palatino Linotype"/>
          <w:snapToGrid w:val="0"/>
          <w:sz w:val="24"/>
          <w:szCs w:val="24"/>
        </w:rPr>
        <w:t xml:space="preserve">minimum at the start of </w:t>
      </w:r>
      <w:r w:rsidR="00CE5AAA">
        <w:rPr>
          <w:rFonts w:ascii="Palatino Linotype" w:hAnsi="Palatino Linotype"/>
          <w:snapToGrid w:val="0"/>
          <w:sz w:val="24"/>
          <w:szCs w:val="24"/>
        </w:rPr>
        <w:t>each</w:t>
      </w:r>
      <w:r w:rsidRPr="00037A66">
        <w:rPr>
          <w:rFonts w:ascii="Palatino Linotype" w:hAnsi="Palatino Linotype"/>
          <w:snapToGrid w:val="0"/>
          <w:sz w:val="24"/>
          <w:szCs w:val="24"/>
        </w:rPr>
        <w:t xml:space="preserve"> California Air Resources Board (CARB) Cap-and-Trade Program compliance period. IOUs may choose to reexamine eligibility more often if they desire. </w:t>
      </w:r>
      <w:r w:rsidR="00A735CF">
        <w:rPr>
          <w:rFonts w:ascii="Palatino Linotype" w:hAnsi="Palatino Linotype"/>
          <w:sz w:val="24"/>
          <w:szCs w:val="24"/>
        </w:rPr>
        <w:t xml:space="preserve">IOUs </w:t>
      </w:r>
      <w:r w:rsidR="00243C30">
        <w:rPr>
          <w:rFonts w:ascii="Palatino Linotype" w:hAnsi="Palatino Linotype"/>
          <w:sz w:val="24"/>
          <w:szCs w:val="24"/>
        </w:rPr>
        <w:t>must</w:t>
      </w:r>
      <w:r w:rsidR="00A735CF">
        <w:rPr>
          <w:rFonts w:ascii="Palatino Linotype" w:hAnsi="Palatino Linotype"/>
          <w:sz w:val="24"/>
          <w:szCs w:val="24"/>
        </w:rPr>
        <w:t xml:space="preserve"> provide a list of any eligibility changes to Energy Division resulting from an eligibility review</w:t>
      </w:r>
      <w:r w:rsidR="003B7FC0">
        <w:rPr>
          <w:rFonts w:ascii="Palatino Linotype" w:hAnsi="Palatino Linotype"/>
          <w:sz w:val="24"/>
          <w:szCs w:val="24"/>
        </w:rPr>
        <w:t xml:space="preserve"> via a Tier 1 Advice Letter</w:t>
      </w:r>
      <w:r w:rsidR="00243C30">
        <w:rPr>
          <w:rFonts w:ascii="Palatino Linotype" w:hAnsi="Palatino Linotype"/>
          <w:sz w:val="24"/>
          <w:szCs w:val="24"/>
        </w:rPr>
        <w:t xml:space="preserve"> within 60 days of a change in eligibility</w:t>
      </w:r>
      <w:r w:rsidR="00A735CF">
        <w:rPr>
          <w:rFonts w:ascii="Palatino Linotype" w:hAnsi="Palatino Linotype"/>
          <w:sz w:val="24"/>
          <w:szCs w:val="24"/>
        </w:rPr>
        <w:t>.</w:t>
      </w:r>
    </w:p>
    <w:p w:rsidRPr="00037A66" w:rsidR="00037A66" w:rsidP="00037A66" w:rsidRDefault="00A70E49" w14:paraId="1C0B4FD8" w14:textId="77777777">
      <w:pPr>
        <w:numPr>
          <w:ilvl w:val="0"/>
          <w:numId w:val="5"/>
        </w:numPr>
        <w:spacing w:after="120"/>
        <w:rPr>
          <w:rFonts w:ascii="Palatino Linotype" w:hAnsi="Palatino Linotype"/>
          <w:snapToGrid w:val="0"/>
          <w:sz w:val="24"/>
          <w:szCs w:val="24"/>
        </w:rPr>
      </w:pPr>
      <w:r>
        <w:rPr>
          <w:rFonts w:ascii="Palatino Linotype" w:hAnsi="Palatino Linotype"/>
          <w:snapToGrid w:val="0"/>
          <w:sz w:val="24"/>
          <w:szCs w:val="24"/>
        </w:rPr>
        <w:t>Customer outreach e</w:t>
      </w:r>
      <w:r w:rsidRPr="00037A66" w:rsidR="00037A66">
        <w:rPr>
          <w:rFonts w:ascii="Palatino Linotype" w:hAnsi="Palatino Linotype"/>
          <w:snapToGrid w:val="0"/>
          <w:sz w:val="24"/>
          <w:szCs w:val="24"/>
        </w:rPr>
        <w:t xml:space="preserve">ligibility notifications must include the eligibility threshold, the number of accounts determined by the utility to be aggregated to the same </w:t>
      </w:r>
      <w:r w:rsidR="00022F7B">
        <w:rPr>
          <w:rFonts w:ascii="Palatino Linotype" w:hAnsi="Palatino Linotype"/>
          <w:snapToGrid w:val="0"/>
          <w:sz w:val="24"/>
          <w:szCs w:val="24"/>
        </w:rPr>
        <w:t>recipient</w:t>
      </w:r>
      <w:r w:rsidRPr="00037A66" w:rsidR="00037A66">
        <w:rPr>
          <w:rFonts w:ascii="Palatino Linotype" w:hAnsi="Palatino Linotype"/>
          <w:snapToGrid w:val="0"/>
          <w:sz w:val="24"/>
          <w:szCs w:val="24"/>
        </w:rPr>
        <w:t xml:space="preserve">, and contact information for a representative at the utility familiar with the Small Business California Climate Credit. Additionally, the </w:t>
      </w:r>
      <w:r w:rsidR="00351B53">
        <w:rPr>
          <w:rFonts w:ascii="Palatino Linotype" w:hAnsi="Palatino Linotype"/>
          <w:snapToGrid w:val="0"/>
          <w:sz w:val="24"/>
          <w:szCs w:val="24"/>
        </w:rPr>
        <w:t>outreach</w:t>
      </w:r>
      <w:r w:rsidRPr="00037A66" w:rsidR="00037A66">
        <w:rPr>
          <w:rFonts w:ascii="Palatino Linotype" w:hAnsi="Palatino Linotype"/>
          <w:snapToGrid w:val="0"/>
          <w:sz w:val="24"/>
          <w:szCs w:val="24"/>
        </w:rPr>
        <w:t xml:space="preserve"> must include notice that, if requested, the utility will provide the account numbers</w:t>
      </w:r>
      <w:r w:rsidR="000F7433">
        <w:rPr>
          <w:rFonts w:ascii="Palatino Linotype" w:hAnsi="Palatino Linotype"/>
          <w:snapToGrid w:val="0"/>
          <w:sz w:val="24"/>
          <w:szCs w:val="24"/>
        </w:rPr>
        <w:t xml:space="preserve"> or other appropriate identifying information</w:t>
      </w:r>
      <w:r w:rsidRPr="00037A66" w:rsidR="00037A66">
        <w:rPr>
          <w:rFonts w:ascii="Palatino Linotype" w:hAnsi="Palatino Linotype"/>
          <w:snapToGrid w:val="0"/>
          <w:sz w:val="24"/>
          <w:szCs w:val="24"/>
        </w:rPr>
        <w:t xml:space="preserve"> of the accounts aggregated so that the recipient can, if they chose, verify that the accounts attributed to the customer are in fact affiliated to the same </w:t>
      </w:r>
      <w:r w:rsidR="002C4618">
        <w:rPr>
          <w:rFonts w:ascii="Palatino Linotype" w:hAnsi="Palatino Linotype"/>
          <w:snapToGrid w:val="0"/>
          <w:sz w:val="24"/>
          <w:szCs w:val="24"/>
        </w:rPr>
        <w:t>recipient</w:t>
      </w:r>
      <w:r w:rsidRPr="00037A66" w:rsidR="00037A66">
        <w:rPr>
          <w:rFonts w:ascii="Palatino Linotype" w:hAnsi="Palatino Linotype"/>
          <w:snapToGrid w:val="0"/>
          <w:sz w:val="24"/>
          <w:szCs w:val="24"/>
        </w:rPr>
        <w:t xml:space="preserve">. </w:t>
      </w:r>
    </w:p>
    <w:p w:rsidRPr="00847410" w:rsidR="00037A66" w:rsidP="00037A66" w:rsidRDefault="00037A66" w14:paraId="7902D49A" w14:textId="77777777">
      <w:pPr>
        <w:numPr>
          <w:ilvl w:val="0"/>
          <w:numId w:val="5"/>
        </w:numPr>
        <w:spacing w:after="120"/>
        <w:rPr>
          <w:rFonts w:ascii="Palatino Linotype" w:hAnsi="Palatino Linotype"/>
          <w:snapToGrid w:val="0"/>
          <w:sz w:val="24"/>
          <w:szCs w:val="24"/>
        </w:rPr>
      </w:pPr>
      <w:r w:rsidRPr="00037A66">
        <w:rPr>
          <w:rFonts w:ascii="Palatino Linotype" w:hAnsi="Palatino Linotype"/>
          <w:snapToGrid w:val="0"/>
          <w:sz w:val="24"/>
          <w:szCs w:val="24"/>
        </w:rPr>
        <w:t xml:space="preserve">If a </w:t>
      </w:r>
      <w:r w:rsidR="00FD636C">
        <w:rPr>
          <w:rFonts w:ascii="Palatino Linotype" w:hAnsi="Palatino Linotype"/>
          <w:snapToGrid w:val="0"/>
          <w:sz w:val="24"/>
          <w:szCs w:val="24"/>
        </w:rPr>
        <w:t>recipient</w:t>
      </w:r>
      <w:r w:rsidR="001C46FA">
        <w:rPr>
          <w:rFonts w:ascii="Palatino Linotype" w:hAnsi="Palatino Linotype"/>
          <w:snapToGrid w:val="0"/>
          <w:sz w:val="24"/>
          <w:szCs w:val="24"/>
        </w:rPr>
        <w:t xml:space="preserve"> </w:t>
      </w:r>
      <w:r w:rsidRPr="00037A66">
        <w:rPr>
          <w:rFonts w:ascii="Palatino Linotype" w:hAnsi="Palatino Linotype"/>
          <w:snapToGrid w:val="0"/>
          <w:sz w:val="24"/>
          <w:szCs w:val="24"/>
        </w:rPr>
        <w:t xml:space="preserve">misses a credit </w:t>
      </w:r>
      <w:r w:rsidR="001C46FA">
        <w:rPr>
          <w:rFonts w:ascii="Palatino Linotype" w:hAnsi="Palatino Linotype"/>
          <w:snapToGrid w:val="0"/>
          <w:sz w:val="24"/>
          <w:szCs w:val="24"/>
        </w:rPr>
        <w:t xml:space="preserve">distribution </w:t>
      </w:r>
      <w:r w:rsidRPr="00037A66">
        <w:rPr>
          <w:rFonts w:ascii="Palatino Linotype" w:hAnsi="Palatino Linotype"/>
          <w:snapToGrid w:val="0"/>
          <w:sz w:val="24"/>
          <w:szCs w:val="24"/>
        </w:rPr>
        <w:t xml:space="preserve">due to an error by the IOU, the IOU must issue the </w:t>
      </w:r>
      <w:r w:rsidR="00FD636C">
        <w:rPr>
          <w:rFonts w:ascii="Palatino Linotype" w:hAnsi="Palatino Linotype"/>
          <w:snapToGrid w:val="0"/>
          <w:sz w:val="24"/>
          <w:szCs w:val="24"/>
        </w:rPr>
        <w:t>recipient</w:t>
      </w:r>
      <w:r w:rsidRPr="00037A66">
        <w:rPr>
          <w:rFonts w:ascii="Palatino Linotype" w:hAnsi="Palatino Linotype"/>
          <w:snapToGrid w:val="0"/>
          <w:sz w:val="24"/>
          <w:szCs w:val="24"/>
        </w:rPr>
        <w:t xml:space="preserve"> </w:t>
      </w:r>
      <w:r w:rsidR="001C7666">
        <w:rPr>
          <w:rFonts w:ascii="Palatino Linotype" w:hAnsi="Palatino Linotype"/>
          <w:snapToGrid w:val="0"/>
          <w:sz w:val="24"/>
          <w:szCs w:val="24"/>
        </w:rPr>
        <w:t>a corrected</w:t>
      </w:r>
      <w:r w:rsidR="001C46FA">
        <w:rPr>
          <w:rFonts w:ascii="Palatino Linotype" w:hAnsi="Palatino Linotype"/>
          <w:snapToGrid w:val="0"/>
          <w:sz w:val="24"/>
          <w:szCs w:val="24"/>
        </w:rPr>
        <w:t xml:space="preserve"> Small Business California Climate C</w:t>
      </w:r>
      <w:r w:rsidRPr="00037A66">
        <w:rPr>
          <w:rFonts w:ascii="Palatino Linotype" w:hAnsi="Palatino Linotype"/>
          <w:snapToGrid w:val="0"/>
          <w:sz w:val="24"/>
          <w:szCs w:val="24"/>
        </w:rPr>
        <w:t>redit as soon as the error is resolved.</w:t>
      </w:r>
      <w:r w:rsidRPr="001C46FA" w:rsidR="001C46FA">
        <w:rPr>
          <w:rFonts w:ascii="Palatino Linotype" w:hAnsi="Palatino Linotype"/>
          <w:sz w:val="24"/>
          <w:szCs w:val="24"/>
        </w:rPr>
        <w:t xml:space="preserve"> </w:t>
      </w:r>
      <w:r w:rsidR="001C46FA">
        <w:rPr>
          <w:rFonts w:ascii="Palatino Linotype" w:hAnsi="Palatino Linotype"/>
          <w:sz w:val="24"/>
          <w:szCs w:val="24"/>
        </w:rPr>
        <w:t xml:space="preserve">The lookback period for error correction is limited to the current and prior CARB </w:t>
      </w:r>
      <w:r w:rsidR="00E83BD7">
        <w:rPr>
          <w:rFonts w:ascii="Palatino Linotype" w:hAnsi="Palatino Linotype"/>
          <w:sz w:val="24"/>
          <w:szCs w:val="24"/>
        </w:rPr>
        <w:t xml:space="preserve">Cap-and-Trade Program </w:t>
      </w:r>
      <w:r w:rsidR="001C46FA">
        <w:rPr>
          <w:rFonts w:ascii="Palatino Linotype" w:hAnsi="Palatino Linotype"/>
          <w:sz w:val="24"/>
          <w:szCs w:val="24"/>
        </w:rPr>
        <w:t xml:space="preserve">compliance period. </w:t>
      </w:r>
    </w:p>
    <w:p w:rsidRPr="00D865A9" w:rsidR="00847410" w:rsidP="00037A66" w:rsidRDefault="00847410" w14:paraId="7CA30E8E" w14:textId="77777777">
      <w:pPr>
        <w:numPr>
          <w:ilvl w:val="0"/>
          <w:numId w:val="5"/>
        </w:numPr>
        <w:spacing w:after="120"/>
        <w:rPr>
          <w:rFonts w:ascii="Palatino Linotype" w:hAnsi="Palatino Linotype"/>
          <w:snapToGrid w:val="0"/>
          <w:sz w:val="24"/>
          <w:szCs w:val="24"/>
        </w:rPr>
      </w:pPr>
      <w:r>
        <w:rPr>
          <w:rFonts w:ascii="Palatino Linotype" w:hAnsi="Palatino Linotype"/>
          <w:snapToGrid w:val="0"/>
          <w:sz w:val="24"/>
          <w:szCs w:val="24"/>
        </w:rPr>
        <w:t xml:space="preserve">As needed </w:t>
      </w:r>
      <w:r w:rsidRPr="00847410">
        <w:rPr>
          <w:rFonts w:ascii="Palatino Linotype" w:hAnsi="Palatino Linotype"/>
          <w:snapToGrid w:val="0"/>
          <w:sz w:val="24"/>
          <w:szCs w:val="24"/>
        </w:rPr>
        <w:t>IOUs may update their tariff</w:t>
      </w:r>
      <w:r>
        <w:rPr>
          <w:rFonts w:ascii="Palatino Linotype" w:hAnsi="Palatino Linotype"/>
          <w:snapToGrid w:val="0"/>
          <w:sz w:val="24"/>
          <w:szCs w:val="24"/>
        </w:rPr>
        <w:t>s through a Tier 1 advice letter</w:t>
      </w:r>
      <w:r w:rsidRPr="00847410">
        <w:rPr>
          <w:rFonts w:ascii="Palatino Linotype" w:hAnsi="Palatino Linotype"/>
          <w:snapToGrid w:val="0"/>
          <w:sz w:val="24"/>
          <w:szCs w:val="24"/>
        </w:rPr>
        <w:t xml:space="preserve"> to change</w:t>
      </w:r>
      <w:r>
        <w:rPr>
          <w:rFonts w:ascii="Palatino Linotype" w:hAnsi="Palatino Linotype"/>
          <w:snapToGrid w:val="0"/>
          <w:sz w:val="24"/>
          <w:szCs w:val="24"/>
        </w:rPr>
        <w:t xml:space="preserve"> </w:t>
      </w:r>
      <w:r w:rsidRPr="00847410">
        <w:rPr>
          <w:rFonts w:ascii="Palatino Linotype" w:hAnsi="Palatino Linotype"/>
          <w:snapToGrid w:val="0"/>
          <w:sz w:val="24"/>
          <w:szCs w:val="24"/>
        </w:rPr>
        <w:t>definition</w:t>
      </w:r>
      <w:r>
        <w:rPr>
          <w:rFonts w:ascii="Palatino Linotype" w:hAnsi="Palatino Linotype"/>
          <w:snapToGrid w:val="0"/>
          <w:sz w:val="24"/>
          <w:szCs w:val="24"/>
        </w:rPr>
        <w:t>s related to the Small Business California Climate Credit</w:t>
      </w:r>
      <w:r w:rsidRPr="00847410">
        <w:rPr>
          <w:rFonts w:ascii="Palatino Linotype" w:hAnsi="Palatino Linotype"/>
          <w:snapToGrid w:val="0"/>
          <w:sz w:val="24"/>
          <w:szCs w:val="24"/>
        </w:rPr>
        <w:t xml:space="preserve"> </w:t>
      </w:r>
      <w:r>
        <w:rPr>
          <w:rFonts w:ascii="Palatino Linotype" w:hAnsi="Palatino Linotype"/>
          <w:snapToGrid w:val="0"/>
          <w:sz w:val="24"/>
          <w:szCs w:val="24"/>
        </w:rPr>
        <w:t>or make other changes needed</w:t>
      </w:r>
      <w:r w:rsidRPr="00847410">
        <w:rPr>
          <w:rFonts w:ascii="Palatino Linotype" w:hAnsi="Palatino Linotype"/>
          <w:snapToGrid w:val="0"/>
          <w:sz w:val="24"/>
          <w:szCs w:val="24"/>
        </w:rPr>
        <w:t xml:space="preserve"> to comply with th</w:t>
      </w:r>
      <w:r>
        <w:rPr>
          <w:rFonts w:ascii="Palatino Linotype" w:hAnsi="Palatino Linotype"/>
          <w:snapToGrid w:val="0"/>
          <w:sz w:val="24"/>
          <w:szCs w:val="24"/>
        </w:rPr>
        <w:t>is</w:t>
      </w:r>
      <w:r w:rsidRPr="00847410">
        <w:rPr>
          <w:rFonts w:ascii="Palatino Linotype" w:hAnsi="Palatino Linotype"/>
          <w:snapToGrid w:val="0"/>
          <w:sz w:val="24"/>
          <w:szCs w:val="24"/>
        </w:rPr>
        <w:t xml:space="preserve"> Resolution.</w:t>
      </w:r>
    </w:p>
    <w:p w:rsidRPr="00D865A9" w:rsidR="00CF17DE" w:rsidRDefault="00CF17DE" w14:paraId="16724C1C"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Pr="00D865A9" w:rsidR="00CF17DE" w:rsidP="005E623C" w:rsidRDefault="00CF17DE" w14:paraId="39DE7EA7" w14:textId="77777777">
      <w:pPr>
        <w:keepNext/>
        <w:keepLines/>
        <w:tabs>
          <w:tab w:val="left" w:pos="720"/>
          <w:tab w:val="left" w:pos="1296"/>
          <w:tab w:val="left" w:pos="2016"/>
          <w:tab w:val="left" w:pos="2736"/>
          <w:tab w:val="left" w:pos="3456"/>
          <w:tab w:val="left" w:pos="4176"/>
          <w:tab w:val="left" w:pos="5760"/>
        </w:tabs>
        <w:rPr>
          <w:rFonts w:ascii="Palatino Linotype" w:hAnsi="Palatino Linotype"/>
          <w:sz w:val="24"/>
          <w:szCs w:val="24"/>
        </w:rPr>
      </w:pPr>
      <w:r w:rsidRPr="00D865A9">
        <w:rPr>
          <w:rFonts w:ascii="Palatino Linotype" w:hAnsi="Palatino Linotype"/>
          <w:sz w:val="24"/>
          <w:szCs w:val="24"/>
        </w:rPr>
        <w:t>This Resolution is effective today.</w:t>
      </w:r>
    </w:p>
    <w:p w:rsidRPr="00D865A9" w:rsidR="00CB42C3" w:rsidP="005E623C" w:rsidRDefault="00CB42C3" w14:paraId="27AD9427" w14:textId="77777777">
      <w:pPr>
        <w:keepNext/>
        <w:keepLines/>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Pr="00D865A9" w:rsidR="00CF17DE" w:rsidP="005E623C" w:rsidRDefault="00CF17DE" w14:paraId="49195A95" w14:textId="77777777">
      <w:pPr>
        <w:keepNext/>
        <w:keepLines/>
        <w:rPr>
          <w:rFonts w:ascii="Palatino Linotype" w:hAnsi="Palatino Linotype"/>
          <w:snapToGrid w:val="0"/>
          <w:sz w:val="24"/>
          <w:szCs w:val="24"/>
        </w:rPr>
      </w:pPr>
      <w:r w:rsidRPr="00D865A9">
        <w:rPr>
          <w:rFonts w:ascii="Palatino Linotype" w:hAnsi="Palatino Linotype"/>
          <w:snapToGrid w:val="0"/>
          <w:sz w:val="24"/>
          <w:szCs w:val="24"/>
        </w:rPr>
        <w:t>I certify that the foregoing resolution was duly introduced, passed</w:t>
      </w:r>
      <w:r w:rsidR="00D865A9">
        <w:rPr>
          <w:rFonts w:ascii="Palatino Linotype" w:hAnsi="Palatino Linotype"/>
          <w:snapToGrid w:val="0"/>
          <w:sz w:val="24"/>
          <w:szCs w:val="24"/>
        </w:rPr>
        <w:t>,</w:t>
      </w:r>
      <w:r w:rsidRPr="00D865A9">
        <w:rPr>
          <w:rFonts w:ascii="Palatino Linotype" w:hAnsi="Palatino Linotype"/>
          <w:snapToGrid w:val="0"/>
          <w:sz w:val="24"/>
          <w:szCs w:val="24"/>
        </w:rPr>
        <w:t xml:space="preserve"> and adopted at a conference of the Public Utilities Commission of the State of California held on </w:t>
      </w:r>
      <w:r w:rsidR="00995F38">
        <w:rPr>
          <w:rFonts w:ascii="Palatino Linotype" w:hAnsi="Palatino Linotype"/>
          <w:snapToGrid w:val="0"/>
          <w:sz w:val="24"/>
          <w:szCs w:val="24"/>
        </w:rPr>
        <w:br/>
        <w:t>August 22, 2024</w:t>
      </w:r>
      <w:r w:rsidRPr="00D865A9">
        <w:rPr>
          <w:rFonts w:ascii="Palatino Linotype" w:hAnsi="Palatino Linotype"/>
          <w:snapToGrid w:val="0"/>
          <w:sz w:val="24"/>
          <w:szCs w:val="24"/>
        </w:rPr>
        <w:t>; the following Commissioners voting favorably thereon:</w:t>
      </w:r>
    </w:p>
    <w:p w:rsidRPr="00D865A9" w:rsidR="00CF17DE" w:rsidP="005E623C" w:rsidRDefault="00CF17DE" w14:paraId="6CB4EBBB" w14:textId="77777777">
      <w:pPr>
        <w:keepNext/>
        <w:keepLines/>
        <w:tabs>
          <w:tab w:val="left" w:pos="720"/>
          <w:tab w:val="left" w:pos="1152"/>
          <w:tab w:val="left" w:pos="1728"/>
          <w:tab w:val="left" w:pos="3168"/>
          <w:tab w:val="left" w:pos="5040"/>
        </w:tabs>
        <w:ind w:right="144"/>
        <w:rPr>
          <w:rFonts w:ascii="Palatino Linotype" w:hAnsi="Palatino Linotype"/>
          <w:sz w:val="24"/>
          <w:szCs w:val="24"/>
        </w:rPr>
      </w:pPr>
    </w:p>
    <w:p w:rsidRPr="00D865A9" w:rsidR="00CF17DE" w:rsidP="005E623C" w:rsidRDefault="00CF17DE" w14:paraId="73C44A75" w14:textId="77777777">
      <w:pPr>
        <w:keepNext/>
        <w:keepLines/>
        <w:tabs>
          <w:tab w:val="left" w:pos="720"/>
          <w:tab w:val="left" w:pos="1152"/>
          <w:tab w:val="left" w:pos="1728"/>
          <w:tab w:val="left" w:pos="3168"/>
          <w:tab w:val="left" w:pos="5040"/>
        </w:tabs>
        <w:ind w:right="144"/>
        <w:rPr>
          <w:rFonts w:ascii="Palatino Linotype" w:hAnsi="Palatino Linotype"/>
          <w:sz w:val="24"/>
          <w:szCs w:val="24"/>
        </w:rPr>
      </w:pPr>
    </w:p>
    <w:p w:rsidRPr="00D865A9" w:rsidR="00CF17DE" w:rsidP="005E623C" w:rsidRDefault="00CF17DE" w14:paraId="4C696F80" w14:textId="77777777">
      <w:pPr>
        <w:keepNext/>
        <w:keepLines/>
        <w:tabs>
          <w:tab w:val="left" w:pos="720"/>
          <w:tab w:val="left" w:pos="1152"/>
          <w:tab w:val="left" w:pos="1728"/>
          <w:tab w:val="left" w:pos="3168"/>
          <w:tab w:val="left" w:pos="5040"/>
        </w:tabs>
        <w:ind w:right="144"/>
        <w:rPr>
          <w:rFonts w:ascii="Palatino Linotype" w:hAnsi="Palatino Linotype"/>
          <w:sz w:val="24"/>
          <w:szCs w:val="24"/>
        </w:rPr>
      </w:pPr>
    </w:p>
    <w:p w:rsidRPr="00D865A9" w:rsidR="00CF17DE" w:rsidP="005E623C" w:rsidRDefault="00CF17DE" w14:paraId="03E76B3A" w14:textId="77777777">
      <w:pPr>
        <w:keepNext/>
        <w:keepLines/>
        <w:tabs>
          <w:tab w:val="left" w:pos="720"/>
          <w:tab w:val="left" w:pos="1152"/>
          <w:tab w:val="left" w:pos="1728"/>
          <w:tab w:val="left" w:pos="3168"/>
          <w:tab w:val="left" w:pos="5040"/>
        </w:tabs>
        <w:ind w:right="144"/>
        <w:rPr>
          <w:rFonts w:ascii="Palatino Linotype" w:hAnsi="Palatino Linotype"/>
          <w:sz w:val="24"/>
          <w:szCs w:val="24"/>
        </w:rPr>
      </w:pPr>
    </w:p>
    <w:p w:rsidRPr="00214D93" w:rsidR="00214D93" w:rsidP="00214D93" w:rsidRDefault="00CF17DE" w14:paraId="2D404BBE" w14:textId="77777777">
      <w:pPr>
        <w:pStyle w:val="Default"/>
        <w:ind w:left="5040" w:firstLine="720"/>
        <w:rPr>
          <w:u w:val="single"/>
        </w:rPr>
      </w:pPr>
      <w:r w:rsidRPr="00D865A9">
        <w:tab/>
      </w:r>
      <w:r w:rsidRPr="00D865A9">
        <w:tab/>
      </w:r>
      <w:r w:rsidRPr="00D865A9">
        <w:tab/>
      </w:r>
      <w:r w:rsidRPr="00D865A9">
        <w:tab/>
      </w:r>
      <w:r w:rsidRPr="00D865A9">
        <w:tab/>
      </w:r>
      <w:r w:rsidRPr="00D865A9">
        <w:tab/>
      </w:r>
      <w:r w:rsidRPr="00214D93" w:rsidR="00214D93">
        <w:rPr>
          <w:u w:val="single"/>
        </w:rPr>
        <w:t>/s/ RACHEL PETERSON</w:t>
      </w:r>
    </w:p>
    <w:p w:rsidRPr="00214D93" w:rsidR="00214D93" w:rsidP="00214D93" w:rsidRDefault="00214D93" w14:paraId="16A67D56" w14:textId="77777777">
      <w:pPr>
        <w:autoSpaceDE w:val="0"/>
        <w:autoSpaceDN w:val="0"/>
        <w:adjustRightInd w:val="0"/>
        <w:ind w:firstLine="5940"/>
        <w:rPr>
          <w:rFonts w:ascii="Palatino Linotype" w:hAnsi="Palatino Linotype"/>
          <w:color w:val="000000"/>
          <w:sz w:val="24"/>
          <w:szCs w:val="24"/>
        </w:rPr>
      </w:pPr>
      <w:r w:rsidRPr="00214D93">
        <w:rPr>
          <w:rFonts w:ascii="Palatino Linotype" w:hAnsi="Palatino Linotype"/>
          <w:color w:val="000000"/>
          <w:sz w:val="24"/>
          <w:szCs w:val="24"/>
        </w:rPr>
        <w:t xml:space="preserve">    Rachel Peterson</w:t>
      </w:r>
    </w:p>
    <w:p w:rsidRPr="00214D93" w:rsidR="00214D93" w:rsidP="00214D93" w:rsidRDefault="00214D93" w14:paraId="0C230065" w14:textId="77777777">
      <w:pPr>
        <w:autoSpaceDE w:val="0"/>
        <w:autoSpaceDN w:val="0"/>
        <w:adjustRightInd w:val="0"/>
        <w:ind w:firstLine="5940"/>
        <w:rPr>
          <w:rFonts w:ascii="Palatino Linotype" w:hAnsi="Palatino Linotype"/>
          <w:color w:val="000000"/>
          <w:sz w:val="24"/>
          <w:szCs w:val="24"/>
        </w:rPr>
      </w:pPr>
      <w:r w:rsidRPr="00214D93">
        <w:rPr>
          <w:rFonts w:ascii="Palatino Linotype" w:hAnsi="Palatino Linotype"/>
          <w:color w:val="000000"/>
          <w:sz w:val="24"/>
          <w:szCs w:val="24"/>
        </w:rPr>
        <w:t xml:space="preserve">  Executive Director</w:t>
      </w:r>
    </w:p>
    <w:p w:rsidRPr="00214D93" w:rsidR="00214D93" w:rsidP="00214D93" w:rsidRDefault="00214D93" w14:paraId="35D2E65A" w14:textId="77777777">
      <w:pPr>
        <w:autoSpaceDE w:val="0"/>
        <w:autoSpaceDN w:val="0"/>
        <w:adjustRightInd w:val="0"/>
        <w:rPr>
          <w:rFonts w:ascii="Palatino Linotype" w:hAnsi="Palatino Linotype"/>
          <w:color w:val="000000"/>
          <w:sz w:val="24"/>
          <w:szCs w:val="24"/>
        </w:rPr>
      </w:pPr>
    </w:p>
    <w:p w:rsidRPr="00214D93" w:rsidR="00214D93" w:rsidP="00214D93" w:rsidRDefault="00214D93" w14:paraId="76DBE55B"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ALICE REYNOLDS</w:t>
      </w:r>
    </w:p>
    <w:p w:rsidRPr="00214D93" w:rsidR="00214D93" w:rsidP="00214D93" w:rsidRDefault="00214D93" w14:paraId="6CFACC04"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 xml:space="preserve">       President</w:t>
      </w:r>
    </w:p>
    <w:p w:rsidRPr="00214D93" w:rsidR="00214D93" w:rsidP="00214D93" w:rsidRDefault="00214D93" w14:paraId="6C71AE4F" w14:textId="77777777">
      <w:pPr>
        <w:autoSpaceDE w:val="0"/>
        <w:autoSpaceDN w:val="0"/>
        <w:adjustRightInd w:val="0"/>
        <w:ind w:firstLine="6030"/>
        <w:rPr>
          <w:rFonts w:ascii="Arial" w:hAnsi="Arial"/>
          <w:color w:val="000000"/>
          <w:sz w:val="24"/>
          <w:szCs w:val="24"/>
        </w:rPr>
      </w:pPr>
    </w:p>
    <w:p w:rsidRPr="00214D93" w:rsidR="00214D93" w:rsidP="00214D93" w:rsidRDefault="00214D93" w14:paraId="60390C73"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DARCIE HOUCK</w:t>
      </w:r>
    </w:p>
    <w:p w:rsidRPr="00214D93" w:rsidR="00214D93" w:rsidP="00214D93" w:rsidRDefault="00214D93" w14:paraId="079F8C72"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JOHN REYNOLDS</w:t>
      </w:r>
    </w:p>
    <w:p w:rsidRPr="00214D93" w:rsidR="00214D93" w:rsidP="00214D93" w:rsidRDefault="00214D93" w14:paraId="0EDB9DC6"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KAREN DOUGLAS</w:t>
      </w:r>
    </w:p>
    <w:p w:rsidRPr="00214D93" w:rsidR="00214D93" w:rsidP="00214D93" w:rsidRDefault="00214D93" w14:paraId="1A407CCA" w14:textId="77777777">
      <w:pPr>
        <w:autoSpaceDE w:val="0"/>
        <w:autoSpaceDN w:val="0"/>
        <w:adjustRightInd w:val="0"/>
        <w:ind w:firstLine="6030"/>
        <w:rPr>
          <w:rFonts w:ascii="Palatino Linotype" w:hAnsi="Palatino Linotype"/>
          <w:color w:val="000000"/>
          <w:sz w:val="24"/>
          <w:szCs w:val="24"/>
        </w:rPr>
      </w:pPr>
      <w:r w:rsidRPr="00214D93">
        <w:rPr>
          <w:rFonts w:ascii="Palatino Linotype" w:hAnsi="Palatino Linotype"/>
          <w:color w:val="000000"/>
          <w:sz w:val="24"/>
          <w:szCs w:val="24"/>
        </w:rPr>
        <w:t>MATTHEW BAKER</w:t>
      </w:r>
    </w:p>
    <w:p w:rsidRPr="00214D93" w:rsidR="00214D93" w:rsidP="00214D93" w:rsidRDefault="00214D93" w14:paraId="37000C47" w14:textId="77777777">
      <w:pPr>
        <w:autoSpaceDE w:val="0"/>
        <w:autoSpaceDN w:val="0"/>
        <w:adjustRightInd w:val="0"/>
        <w:ind w:firstLine="5760"/>
        <w:rPr>
          <w:rFonts w:ascii="Palatino Linotype" w:hAnsi="Palatino Linotype"/>
          <w:color w:val="000000"/>
          <w:sz w:val="24"/>
          <w:szCs w:val="24"/>
        </w:rPr>
      </w:pPr>
      <w:r w:rsidRPr="00214D93">
        <w:rPr>
          <w:rFonts w:ascii="Palatino Linotype" w:hAnsi="Palatino Linotype"/>
          <w:color w:val="000000"/>
          <w:sz w:val="24"/>
          <w:szCs w:val="24"/>
        </w:rPr>
        <w:t xml:space="preserve">       Commissioners</w:t>
      </w:r>
    </w:p>
    <w:p w:rsidRPr="00214D93" w:rsidR="00214D93" w:rsidP="00214D93" w:rsidRDefault="00214D93" w14:paraId="17E3D0CB" w14:textId="77777777">
      <w:pPr>
        <w:tabs>
          <w:tab w:val="left" w:pos="720"/>
          <w:tab w:val="left" w:pos="1152"/>
          <w:tab w:val="left" w:pos="1728"/>
          <w:tab w:val="left" w:pos="3168"/>
          <w:tab w:val="left" w:pos="5040"/>
        </w:tabs>
        <w:ind w:right="144"/>
      </w:pPr>
    </w:p>
    <w:p w:rsidR="00FC112C" w:rsidP="00214D93" w:rsidRDefault="00FC112C" w14:paraId="0270D0B8" w14:textId="19CDBCC9">
      <w:pPr>
        <w:keepNext/>
        <w:keepLines/>
        <w:tabs>
          <w:tab w:val="left" w:pos="720"/>
          <w:tab w:val="left" w:pos="1152"/>
          <w:tab w:val="left" w:pos="1728"/>
          <w:tab w:val="left" w:pos="3168"/>
          <w:tab w:val="left" w:pos="5040"/>
        </w:tabs>
        <w:ind w:right="144"/>
        <w:rPr>
          <w:rFonts w:ascii="Palatino Linotype" w:hAnsi="Palatino Linotype"/>
          <w:sz w:val="24"/>
          <w:szCs w:val="24"/>
        </w:rPr>
      </w:pPr>
    </w:p>
    <w:p w:rsidR="00250397" w:rsidRDefault="00250397" w14:paraId="3D03C47D" w14:textId="77777777">
      <w:pPr>
        <w:rPr>
          <w:sz w:val="23"/>
          <w:szCs w:val="23"/>
        </w:rPr>
      </w:pPr>
      <w:r>
        <w:rPr>
          <w:sz w:val="23"/>
          <w:szCs w:val="23"/>
        </w:rPr>
        <w:br w:type="page"/>
      </w:r>
    </w:p>
    <w:p w:rsidR="00546F34" w:rsidP="00FC112C" w:rsidRDefault="00546F34" w14:paraId="5495B83E" w14:textId="77777777">
      <w:pPr>
        <w:ind w:left="5760" w:firstLine="720"/>
        <w:rPr>
          <w:sz w:val="23"/>
          <w:szCs w:val="23"/>
        </w:rPr>
        <w:sectPr w:rsidR="00546F34" w:rsidSect="00F21BE7">
          <w:headerReference w:type="first" r:id="rId13"/>
          <w:pgSz w:w="12240" w:h="15840" w:code="1"/>
          <w:pgMar w:top="1440" w:right="1440" w:bottom="1440" w:left="1440" w:header="720" w:footer="720" w:gutter="0"/>
          <w:cols w:space="720"/>
          <w:titlePg/>
        </w:sectPr>
      </w:pPr>
    </w:p>
    <w:p w:rsidR="009E1B88" w:rsidP="00FC112C" w:rsidRDefault="009E1B88" w14:paraId="0ECA0249" w14:textId="77777777">
      <w:pPr>
        <w:ind w:left="5760" w:firstLine="720"/>
        <w:rPr>
          <w:sz w:val="23"/>
          <w:szCs w:val="23"/>
        </w:rPr>
      </w:pPr>
    </w:p>
    <w:p w:rsidR="001624A8" w:rsidP="00FC112C" w:rsidRDefault="001624A8" w14:paraId="76C6633D" w14:textId="77777777">
      <w:pPr>
        <w:ind w:left="5760" w:firstLine="720"/>
        <w:rPr>
          <w:sz w:val="23"/>
          <w:szCs w:val="23"/>
        </w:rPr>
      </w:pPr>
    </w:p>
    <w:p w:rsidR="001624A8" w:rsidP="00FC112C" w:rsidRDefault="001624A8" w14:paraId="33DA0842" w14:textId="77777777">
      <w:pPr>
        <w:ind w:left="5760" w:firstLine="720"/>
        <w:rPr>
          <w:sz w:val="23"/>
          <w:szCs w:val="23"/>
        </w:rPr>
      </w:pPr>
    </w:p>
    <w:p w:rsidR="001624A8" w:rsidP="00FC112C" w:rsidRDefault="001624A8" w14:paraId="4E7B916F" w14:textId="77777777">
      <w:pPr>
        <w:ind w:left="5760" w:firstLine="720"/>
        <w:rPr>
          <w:sz w:val="23"/>
          <w:szCs w:val="23"/>
        </w:rPr>
      </w:pPr>
    </w:p>
    <w:p w:rsidR="001624A8" w:rsidP="00FC112C" w:rsidRDefault="001624A8" w14:paraId="758737C5" w14:textId="77777777">
      <w:pPr>
        <w:ind w:left="5760" w:firstLine="720"/>
        <w:rPr>
          <w:sz w:val="23"/>
          <w:szCs w:val="23"/>
        </w:rPr>
      </w:pPr>
    </w:p>
    <w:p w:rsidR="001624A8" w:rsidP="00FC112C" w:rsidRDefault="001624A8" w14:paraId="5F7388B6" w14:textId="77777777">
      <w:pPr>
        <w:ind w:left="5760" w:firstLine="720"/>
        <w:rPr>
          <w:sz w:val="23"/>
          <w:szCs w:val="23"/>
        </w:rPr>
      </w:pPr>
    </w:p>
    <w:p w:rsidR="001624A8" w:rsidP="00FC112C" w:rsidRDefault="001624A8" w14:paraId="6E50899A" w14:textId="77777777">
      <w:pPr>
        <w:ind w:left="5760" w:firstLine="720"/>
        <w:rPr>
          <w:sz w:val="23"/>
          <w:szCs w:val="23"/>
        </w:rPr>
      </w:pPr>
    </w:p>
    <w:p w:rsidR="001624A8" w:rsidP="00FC112C" w:rsidRDefault="001624A8" w14:paraId="22BBD0D5" w14:textId="77777777">
      <w:pPr>
        <w:ind w:left="5760" w:firstLine="720"/>
        <w:rPr>
          <w:sz w:val="23"/>
          <w:szCs w:val="23"/>
        </w:rPr>
      </w:pPr>
    </w:p>
    <w:p w:rsidR="001624A8" w:rsidP="00FC112C" w:rsidRDefault="001624A8" w14:paraId="1A4746D6" w14:textId="77777777">
      <w:pPr>
        <w:ind w:left="5760" w:firstLine="720"/>
        <w:rPr>
          <w:sz w:val="23"/>
          <w:szCs w:val="23"/>
        </w:rPr>
      </w:pPr>
    </w:p>
    <w:p w:rsidR="001624A8" w:rsidP="00FC112C" w:rsidRDefault="001624A8" w14:paraId="3B752FD9" w14:textId="77777777">
      <w:pPr>
        <w:ind w:left="5760" w:firstLine="720"/>
        <w:rPr>
          <w:sz w:val="23"/>
          <w:szCs w:val="23"/>
        </w:rPr>
      </w:pPr>
    </w:p>
    <w:p w:rsidR="00F37CD6" w:rsidP="00FC112C" w:rsidRDefault="00F37CD6" w14:paraId="19B962D7" w14:textId="77777777">
      <w:pPr>
        <w:ind w:left="5760" w:firstLine="720"/>
        <w:rPr>
          <w:sz w:val="23"/>
          <w:szCs w:val="23"/>
        </w:rPr>
      </w:pPr>
    </w:p>
    <w:p w:rsidR="00FC4158" w:rsidP="0001748E" w:rsidRDefault="00E73E72" w14:paraId="78117EC2" w14:textId="77777777">
      <w:pPr>
        <w:pStyle w:val="Heading1"/>
        <w:spacing w:after="0"/>
        <w:jc w:val="center"/>
        <w:rPr>
          <w:rFonts w:ascii="Palatino Linotype" w:hAnsi="Palatino Linotype"/>
          <w:sz w:val="36"/>
          <w:szCs w:val="36"/>
        </w:rPr>
      </w:pPr>
      <w:r w:rsidRPr="0001748E">
        <w:rPr>
          <w:rFonts w:ascii="Palatino Linotype" w:hAnsi="Palatino Linotype"/>
          <w:sz w:val="36"/>
          <w:szCs w:val="36"/>
        </w:rPr>
        <w:t>a</w:t>
      </w:r>
      <w:r w:rsidRPr="0001748E" w:rsidR="0001748E">
        <w:rPr>
          <w:rFonts w:ascii="Palatino Linotype" w:hAnsi="Palatino Linotype"/>
          <w:sz w:val="36"/>
          <w:szCs w:val="36"/>
        </w:rPr>
        <w:t>ppendix A</w:t>
      </w:r>
      <w:r w:rsidR="00FC4158">
        <w:rPr>
          <w:rFonts w:ascii="Palatino Linotype" w:hAnsi="Palatino Linotype"/>
          <w:sz w:val="36"/>
          <w:szCs w:val="36"/>
        </w:rPr>
        <w:br/>
      </w:r>
    </w:p>
    <w:p w:rsidR="008D248F" w:rsidRDefault="00FC4158" w14:paraId="5238E292" w14:textId="77777777">
      <w:pPr>
        <w:rPr>
          <w:rFonts w:ascii="Palatino Linotype" w:hAnsi="Palatino Linotype"/>
          <w:sz w:val="36"/>
          <w:szCs w:val="36"/>
        </w:rPr>
        <w:sectPr w:rsidR="008D248F" w:rsidSect="00EF44AA">
          <w:headerReference w:type="default" r:id="rId14"/>
          <w:footerReference w:type="default" r:id="rId15"/>
          <w:headerReference w:type="first" r:id="rId16"/>
          <w:footerReference w:type="first" r:id="rId17"/>
          <w:footnotePr>
            <w:numRestart w:val="eachSect"/>
          </w:footnotePr>
          <w:type w:val="continuous"/>
          <w:pgSz w:w="12240" w:h="15840" w:code="1"/>
          <w:pgMar w:top="1440" w:right="1440" w:bottom="1440" w:left="1440" w:header="720" w:footer="720" w:gutter="0"/>
          <w:pgNumType w:start="1"/>
          <w:cols w:space="720"/>
          <w:titlePg/>
        </w:sectPr>
      </w:pPr>
      <w:r>
        <w:rPr>
          <w:rFonts w:ascii="Palatino Linotype" w:hAnsi="Palatino Linotype"/>
          <w:sz w:val="36"/>
          <w:szCs w:val="36"/>
        </w:rPr>
        <w:br w:type="page"/>
      </w:r>
    </w:p>
    <w:p w:rsidR="00FC4158" w:rsidRDefault="00FC4158" w14:paraId="6B58CBE2" w14:textId="77777777">
      <w:pPr>
        <w:rPr>
          <w:rFonts w:ascii="Palatino Linotype" w:hAnsi="Palatino Linotype"/>
          <w:b/>
          <w:caps/>
          <w:kern w:val="28"/>
          <w:sz w:val="36"/>
          <w:szCs w:val="36"/>
          <w:u w:val="single"/>
        </w:rPr>
      </w:pPr>
    </w:p>
    <w:p w:rsidRPr="0001748E" w:rsidR="0001748E" w:rsidP="0001748E" w:rsidRDefault="0001748E" w14:paraId="48929CEE" w14:textId="77777777">
      <w:pPr>
        <w:pStyle w:val="Heading1"/>
        <w:jc w:val="center"/>
        <w:rPr>
          <w:rFonts w:ascii="Palatino Linotype" w:hAnsi="Palatino Linotype"/>
          <w:b w:val="0"/>
          <w:bCs/>
          <w:caps w:val="0"/>
          <w:u w:val="none"/>
        </w:rPr>
      </w:pPr>
      <w:r>
        <w:rPr>
          <w:rFonts w:ascii="Palatino Linotype" w:hAnsi="Palatino Linotype"/>
          <w:b w:val="0"/>
          <w:bCs/>
          <w:caps w:val="0"/>
          <w:u w:val="none"/>
        </w:rPr>
        <w:t>Energy Division Staff Analysis in Support of the Cap Determination</w:t>
      </w:r>
    </w:p>
    <w:p w:rsidRPr="00382DCC" w:rsidR="00BE5800" w:rsidP="00BE5800" w:rsidRDefault="00FB3D8C" w14:paraId="3B9B2BCE" w14:textId="77777777">
      <w:pPr>
        <w:pStyle w:val="standard"/>
        <w:spacing w:after="120" w:line="240" w:lineRule="auto"/>
        <w:ind w:firstLine="0"/>
        <w:rPr>
          <w:rFonts w:ascii="Palatino Linotype" w:hAnsi="Palatino Linotype"/>
          <w:sz w:val="24"/>
          <w:szCs w:val="24"/>
        </w:rPr>
      </w:pPr>
      <w:r>
        <w:rPr>
          <w:rFonts w:ascii="Palatino Linotype" w:hAnsi="Palatino Linotype"/>
          <w:sz w:val="24"/>
          <w:szCs w:val="24"/>
        </w:rPr>
        <w:t>Energy Division staff</w:t>
      </w:r>
      <w:r w:rsidR="003A4401">
        <w:rPr>
          <w:rFonts w:ascii="Palatino Linotype" w:hAnsi="Palatino Linotype"/>
          <w:sz w:val="24"/>
          <w:szCs w:val="24"/>
        </w:rPr>
        <w:t xml:space="preserve"> </w:t>
      </w:r>
      <w:r w:rsidR="000A23B3">
        <w:rPr>
          <w:rFonts w:ascii="Palatino Linotype" w:hAnsi="Palatino Linotype"/>
          <w:sz w:val="24"/>
          <w:szCs w:val="24"/>
        </w:rPr>
        <w:t xml:space="preserve">analyzed data </w:t>
      </w:r>
      <w:r w:rsidR="009E1B88">
        <w:rPr>
          <w:rFonts w:ascii="Palatino Linotype" w:hAnsi="Palatino Linotype"/>
          <w:sz w:val="24"/>
          <w:szCs w:val="24"/>
        </w:rPr>
        <w:t xml:space="preserve">from the large IOUs (PG&amp;E, SCE, and SDG&amp;E) </w:t>
      </w:r>
      <w:r w:rsidR="00A1507A">
        <w:rPr>
          <w:rFonts w:ascii="Palatino Linotype" w:hAnsi="Palatino Linotype"/>
          <w:sz w:val="24"/>
          <w:szCs w:val="24"/>
        </w:rPr>
        <w:t xml:space="preserve">on the Spring 2024 recipients of the Small Business California Climate Credit </w:t>
      </w:r>
      <w:r w:rsidR="000A23B3">
        <w:rPr>
          <w:rFonts w:ascii="Palatino Linotype" w:hAnsi="Palatino Linotype"/>
          <w:sz w:val="24"/>
          <w:szCs w:val="24"/>
        </w:rPr>
        <w:t>to determine a</w:t>
      </w:r>
      <w:r w:rsidR="0023436B">
        <w:rPr>
          <w:rFonts w:ascii="Palatino Linotype" w:hAnsi="Palatino Linotype"/>
          <w:sz w:val="24"/>
          <w:szCs w:val="24"/>
        </w:rPr>
        <w:t>n account cap that wou</w:t>
      </w:r>
      <w:r w:rsidR="00A1507A">
        <w:rPr>
          <w:rFonts w:ascii="Palatino Linotype" w:hAnsi="Palatino Linotype"/>
          <w:sz w:val="24"/>
          <w:szCs w:val="24"/>
        </w:rPr>
        <w:t>ld</w:t>
      </w:r>
      <w:r w:rsidRPr="00382DCC" w:rsidR="00BE5800">
        <w:rPr>
          <w:rFonts w:ascii="Palatino Linotype" w:hAnsi="Palatino Linotype"/>
          <w:sz w:val="24"/>
          <w:szCs w:val="24"/>
        </w:rPr>
        <w:t>:</w:t>
      </w:r>
    </w:p>
    <w:p w:rsidRPr="00CD2869" w:rsidR="00BE5800" w:rsidP="00BE5800" w:rsidRDefault="00BE5800" w14:paraId="4AEC5367" w14:textId="77777777">
      <w:pPr>
        <w:pStyle w:val="standard"/>
        <w:numPr>
          <w:ilvl w:val="0"/>
          <w:numId w:val="15"/>
        </w:numPr>
        <w:spacing w:line="240" w:lineRule="auto"/>
        <w:ind w:left="1080"/>
        <w:rPr>
          <w:rFonts w:ascii="Palatino Linotype" w:hAnsi="Palatino Linotype"/>
          <w:sz w:val="24"/>
          <w:szCs w:val="24"/>
        </w:rPr>
      </w:pPr>
      <w:r>
        <w:rPr>
          <w:rFonts w:ascii="Palatino Linotype" w:hAnsi="Palatino Linotype"/>
          <w:sz w:val="24"/>
          <w:szCs w:val="24"/>
        </w:rPr>
        <w:t>“First do no harm”/Reduce Type 1 Error (False Positives). This cap selection seeks to avoid errors in which small businesses are rendered ineligible even if that means some large aggregators remain eligible for the time being.</w:t>
      </w:r>
    </w:p>
    <w:p w:rsidRPr="00382DCC" w:rsidR="00BE5800" w:rsidP="00BE5800" w:rsidRDefault="00BE5800" w14:paraId="674880E4" w14:textId="77777777">
      <w:pPr>
        <w:pStyle w:val="standard"/>
        <w:numPr>
          <w:ilvl w:val="0"/>
          <w:numId w:val="15"/>
        </w:numPr>
        <w:spacing w:line="240" w:lineRule="auto"/>
        <w:ind w:left="1080"/>
        <w:rPr>
          <w:rFonts w:ascii="Palatino Linotype" w:hAnsi="Palatino Linotype"/>
          <w:sz w:val="24"/>
          <w:szCs w:val="24"/>
        </w:rPr>
      </w:pPr>
      <w:r>
        <w:rPr>
          <w:rFonts w:ascii="Palatino Linotype" w:hAnsi="Palatino Linotype"/>
          <w:sz w:val="24"/>
          <w:szCs w:val="24"/>
        </w:rPr>
        <w:t xml:space="preserve">Result in tangible benefits to remaining program recipients. The principal goal in acting quickly via resolution is to ensure that Cap-and-Trade Program benefits flow to the </w:t>
      </w:r>
      <w:r w:rsidR="00B83C9F">
        <w:rPr>
          <w:rFonts w:ascii="Palatino Linotype" w:hAnsi="Palatino Linotype"/>
          <w:sz w:val="24"/>
          <w:szCs w:val="24"/>
        </w:rPr>
        <w:t xml:space="preserve">intended </w:t>
      </w:r>
      <w:r>
        <w:rPr>
          <w:rFonts w:ascii="Palatino Linotype" w:hAnsi="Palatino Linotype"/>
          <w:sz w:val="24"/>
          <w:szCs w:val="24"/>
        </w:rPr>
        <w:t>groups of ratepayers. The potential risk of a Type 1 error should be offset by material gain to remaining ratepayers.</w:t>
      </w:r>
    </w:p>
    <w:p w:rsidR="00BE5800" w:rsidP="00BE5800" w:rsidRDefault="00BE5800" w14:paraId="638588F0" w14:textId="77777777">
      <w:pPr>
        <w:pStyle w:val="standard"/>
        <w:numPr>
          <w:ilvl w:val="0"/>
          <w:numId w:val="15"/>
        </w:numPr>
        <w:spacing w:line="240" w:lineRule="auto"/>
        <w:ind w:left="1080"/>
        <w:rPr>
          <w:rFonts w:ascii="Palatino Linotype" w:hAnsi="Palatino Linotype"/>
          <w:sz w:val="24"/>
          <w:szCs w:val="24"/>
        </w:rPr>
      </w:pPr>
      <w:r>
        <w:rPr>
          <w:rFonts w:ascii="Palatino Linotype" w:hAnsi="Palatino Linotype"/>
          <w:sz w:val="24"/>
          <w:szCs w:val="24"/>
        </w:rPr>
        <w:t xml:space="preserve">Minimize administrative burden. Any solution must be implementable on a short timeframe by the IOUs </w:t>
      </w:r>
      <w:proofErr w:type="gramStart"/>
      <w:r>
        <w:rPr>
          <w:rFonts w:ascii="Palatino Linotype" w:hAnsi="Palatino Linotype"/>
          <w:sz w:val="24"/>
          <w:szCs w:val="24"/>
        </w:rPr>
        <w:t>in order to</w:t>
      </w:r>
      <w:proofErr w:type="gramEnd"/>
      <w:r>
        <w:rPr>
          <w:rFonts w:ascii="Palatino Linotype" w:hAnsi="Palatino Linotype"/>
          <w:sz w:val="24"/>
          <w:szCs w:val="24"/>
        </w:rPr>
        <w:t xml:space="preserve"> maximize the tangible benefits to ratepayers. </w:t>
      </w:r>
    </w:p>
    <w:p w:rsidRPr="00382DCC" w:rsidR="00BE5800" w:rsidP="00BE5800" w:rsidRDefault="00BE5800" w14:paraId="14E33E6D" w14:textId="77777777">
      <w:pPr>
        <w:pStyle w:val="standard"/>
        <w:numPr>
          <w:ilvl w:val="0"/>
          <w:numId w:val="15"/>
        </w:numPr>
        <w:spacing w:line="240" w:lineRule="auto"/>
        <w:ind w:left="1080"/>
        <w:rPr>
          <w:rFonts w:ascii="Palatino Linotype" w:hAnsi="Palatino Linotype"/>
          <w:sz w:val="24"/>
          <w:szCs w:val="24"/>
        </w:rPr>
      </w:pPr>
      <w:r>
        <w:rPr>
          <w:rFonts w:ascii="Palatino Linotype" w:hAnsi="Palatino Linotype"/>
          <w:sz w:val="24"/>
          <w:szCs w:val="24"/>
        </w:rPr>
        <w:t>Maintain the legislative and Commission intent to credit small businesses.</w:t>
      </w:r>
    </w:p>
    <w:p w:rsidRPr="00CD2869" w:rsidR="00BE5800" w:rsidP="00BE5800" w:rsidRDefault="00BE5800" w14:paraId="6CDE89E7" w14:textId="77777777">
      <w:pPr>
        <w:pStyle w:val="standard"/>
        <w:spacing w:line="240" w:lineRule="auto"/>
        <w:ind w:firstLine="0"/>
        <w:rPr>
          <w:rFonts w:ascii="Palatino Linotype" w:hAnsi="Palatino Linotype"/>
          <w:sz w:val="24"/>
          <w:szCs w:val="24"/>
        </w:rPr>
      </w:pPr>
    </w:p>
    <w:p w:rsidR="0001748E" w:rsidP="0001748E" w:rsidRDefault="0001748E" w14:paraId="305D4680" w14:textId="77777777">
      <w:pPr>
        <w:pStyle w:val="standard"/>
        <w:spacing w:line="240" w:lineRule="auto"/>
        <w:ind w:firstLine="0"/>
        <w:rPr>
          <w:rFonts w:ascii="Palatino Linotype" w:hAnsi="Palatino Linotype"/>
          <w:sz w:val="24"/>
          <w:szCs w:val="24"/>
        </w:rPr>
      </w:pPr>
      <w:r w:rsidRPr="00CD2869">
        <w:rPr>
          <w:rFonts w:ascii="Palatino Linotype" w:hAnsi="Palatino Linotype"/>
          <w:sz w:val="24"/>
          <w:szCs w:val="24"/>
        </w:rPr>
        <w:t>Table 4, below</w:t>
      </w:r>
      <w:r>
        <w:rPr>
          <w:rFonts w:ascii="Palatino Linotype" w:hAnsi="Palatino Linotype"/>
          <w:sz w:val="24"/>
          <w:szCs w:val="24"/>
        </w:rPr>
        <w:t xml:space="preserve">, demonstrates that </w:t>
      </w:r>
      <w:r w:rsidRPr="00CD2869">
        <w:rPr>
          <w:rFonts w:ascii="Palatino Linotype" w:hAnsi="Palatino Linotype"/>
          <w:sz w:val="24"/>
          <w:szCs w:val="24"/>
        </w:rPr>
        <w:t xml:space="preserve">the 100 </w:t>
      </w:r>
      <w:r>
        <w:rPr>
          <w:rFonts w:ascii="Palatino Linotype" w:hAnsi="Palatino Linotype"/>
          <w:sz w:val="24"/>
          <w:szCs w:val="24"/>
        </w:rPr>
        <w:t xml:space="preserve">or more </w:t>
      </w:r>
      <w:r w:rsidRPr="00CD2869">
        <w:rPr>
          <w:rFonts w:ascii="Palatino Linotype" w:hAnsi="Palatino Linotype"/>
          <w:sz w:val="24"/>
          <w:szCs w:val="24"/>
        </w:rPr>
        <w:t>account eligibility cap</w:t>
      </w:r>
      <w:r>
        <w:rPr>
          <w:rFonts w:ascii="Palatino Linotype" w:hAnsi="Palatino Linotype"/>
          <w:sz w:val="24"/>
          <w:szCs w:val="24"/>
        </w:rPr>
        <w:t xml:space="preserve"> is an appropriate threshold to balance the above criteria</w:t>
      </w:r>
      <w:r w:rsidRPr="00CD2869">
        <w:rPr>
          <w:rFonts w:ascii="Palatino Linotype" w:hAnsi="Palatino Linotype"/>
          <w:sz w:val="24"/>
          <w:szCs w:val="24"/>
        </w:rPr>
        <w:t xml:space="preserve">. </w:t>
      </w:r>
      <w:r>
        <w:rPr>
          <w:rFonts w:ascii="Palatino Linotype" w:hAnsi="Palatino Linotype"/>
          <w:sz w:val="24"/>
          <w:szCs w:val="24"/>
        </w:rPr>
        <w:t xml:space="preserve">The selected cap impacts a small number of recipients, 401 </w:t>
      </w:r>
      <w:r w:rsidR="008207BA">
        <w:rPr>
          <w:rFonts w:ascii="Palatino Linotype" w:hAnsi="Palatino Linotype"/>
          <w:sz w:val="24"/>
          <w:szCs w:val="24"/>
        </w:rPr>
        <w:t xml:space="preserve">recipients </w:t>
      </w:r>
      <w:r>
        <w:rPr>
          <w:rFonts w:ascii="Palatino Linotype" w:hAnsi="Palatino Linotype"/>
          <w:sz w:val="24"/>
          <w:szCs w:val="24"/>
        </w:rPr>
        <w:t>(out of a total of more than 532K recipients, see Table 1).</w:t>
      </w:r>
      <w:r>
        <w:rPr>
          <w:rStyle w:val="FootnoteReference"/>
          <w:rFonts w:ascii="Palatino Linotype" w:hAnsi="Palatino Linotype"/>
          <w:sz w:val="24"/>
          <w:szCs w:val="24"/>
        </w:rPr>
        <w:footnoteReference w:id="18"/>
      </w:r>
      <w:r>
        <w:rPr>
          <w:rFonts w:ascii="Palatino Linotype" w:hAnsi="Palatino Linotype"/>
          <w:sz w:val="24"/>
          <w:szCs w:val="24"/>
        </w:rPr>
        <w:t xml:space="preserve"> While the exact number of impacted recipients may change when IOUs implement eligibility changes, the total number is expected to remain small. Maintaining a low number of impacted recipients reduces the number of opportunities for Type 1 error. Additionally, this threshold results in a tangible impact to ratepayers with an </w:t>
      </w:r>
      <w:r w:rsidR="007B50CB">
        <w:rPr>
          <w:rFonts w:ascii="Palatino Linotype" w:hAnsi="Palatino Linotype"/>
          <w:sz w:val="24"/>
          <w:szCs w:val="24"/>
        </w:rPr>
        <w:t xml:space="preserve">average total 2024 </w:t>
      </w:r>
      <w:r>
        <w:rPr>
          <w:rFonts w:ascii="Palatino Linotype" w:hAnsi="Palatino Linotype"/>
          <w:sz w:val="24"/>
          <w:szCs w:val="24"/>
        </w:rPr>
        <w:t xml:space="preserve">increase in </w:t>
      </w:r>
      <w:r w:rsidR="00EE5C94">
        <w:rPr>
          <w:rFonts w:ascii="Palatino Linotype" w:hAnsi="Palatino Linotype"/>
          <w:sz w:val="24"/>
          <w:szCs w:val="24"/>
        </w:rPr>
        <w:t xml:space="preserve">Residential and </w:t>
      </w:r>
      <w:r w:rsidR="007B50CB">
        <w:rPr>
          <w:rFonts w:ascii="Palatino Linotype" w:hAnsi="Palatino Linotype"/>
          <w:sz w:val="24"/>
          <w:szCs w:val="24"/>
        </w:rPr>
        <w:t xml:space="preserve">Small Business California Climate Credit value </w:t>
      </w:r>
      <w:r>
        <w:rPr>
          <w:rFonts w:ascii="Palatino Linotype" w:hAnsi="Palatino Linotype"/>
          <w:sz w:val="24"/>
          <w:szCs w:val="24"/>
        </w:rPr>
        <w:t xml:space="preserve">of $1.87. The construction of </w:t>
      </w:r>
      <w:r w:rsidR="00EC61EE">
        <w:rPr>
          <w:rFonts w:ascii="Palatino Linotype" w:hAnsi="Palatino Linotype"/>
          <w:sz w:val="24"/>
          <w:szCs w:val="24"/>
        </w:rPr>
        <w:t>the</w:t>
      </w:r>
      <w:r>
        <w:rPr>
          <w:rFonts w:ascii="Palatino Linotype" w:hAnsi="Palatino Linotype"/>
          <w:sz w:val="24"/>
          <w:szCs w:val="24"/>
        </w:rPr>
        <w:t xml:space="preserve"> cap is also administratively simple; IOUs do not have to </w:t>
      </w:r>
      <w:r w:rsidR="00285EEC">
        <w:rPr>
          <w:rFonts w:ascii="Palatino Linotype" w:hAnsi="Palatino Linotype"/>
          <w:sz w:val="24"/>
          <w:szCs w:val="24"/>
        </w:rPr>
        <w:t xml:space="preserve">gather </w:t>
      </w:r>
      <w:r>
        <w:rPr>
          <w:rFonts w:ascii="Palatino Linotype" w:hAnsi="Palatino Linotype"/>
          <w:sz w:val="24"/>
          <w:szCs w:val="24"/>
        </w:rPr>
        <w:t xml:space="preserve">any </w:t>
      </w:r>
      <w:r w:rsidR="00285EEC">
        <w:rPr>
          <w:rFonts w:ascii="Palatino Linotype" w:hAnsi="Palatino Linotype"/>
          <w:sz w:val="24"/>
          <w:szCs w:val="24"/>
        </w:rPr>
        <w:t xml:space="preserve">additional </w:t>
      </w:r>
      <w:r>
        <w:rPr>
          <w:rFonts w:ascii="Palatino Linotype" w:hAnsi="Palatino Linotype"/>
          <w:sz w:val="24"/>
          <w:szCs w:val="24"/>
        </w:rPr>
        <w:t xml:space="preserve">information about </w:t>
      </w:r>
      <w:r w:rsidR="00285EEC">
        <w:rPr>
          <w:rFonts w:ascii="Palatino Linotype" w:hAnsi="Palatino Linotype"/>
          <w:sz w:val="24"/>
          <w:szCs w:val="24"/>
        </w:rPr>
        <w:t>customers</w:t>
      </w:r>
      <w:r>
        <w:rPr>
          <w:rFonts w:ascii="Palatino Linotype" w:hAnsi="Palatino Linotype"/>
          <w:sz w:val="24"/>
          <w:szCs w:val="24"/>
        </w:rPr>
        <w:t xml:space="preserve"> </w:t>
      </w:r>
      <w:proofErr w:type="gramStart"/>
      <w:r>
        <w:rPr>
          <w:rFonts w:ascii="Palatino Linotype" w:hAnsi="Palatino Linotype"/>
          <w:sz w:val="24"/>
          <w:szCs w:val="24"/>
        </w:rPr>
        <w:t>in order to</w:t>
      </w:r>
      <w:proofErr w:type="gramEnd"/>
      <w:r>
        <w:rPr>
          <w:rFonts w:ascii="Palatino Linotype" w:hAnsi="Palatino Linotype"/>
          <w:sz w:val="24"/>
          <w:szCs w:val="24"/>
        </w:rPr>
        <w:t xml:space="preserve"> determine eligibility. For example, governmental accounts are not small businesses, but an IOU distinguishing between the “Department of Parks and Recreation” and a hypothetical store called “The Parks Department” that sells outdoor gear could </w:t>
      </w:r>
      <w:r w:rsidR="00947EC7">
        <w:rPr>
          <w:rFonts w:ascii="Palatino Linotype" w:hAnsi="Palatino Linotype"/>
          <w:sz w:val="24"/>
          <w:szCs w:val="24"/>
        </w:rPr>
        <w:t>face an</w:t>
      </w:r>
      <w:r>
        <w:rPr>
          <w:rFonts w:ascii="Palatino Linotype" w:hAnsi="Palatino Linotype"/>
          <w:sz w:val="24"/>
          <w:szCs w:val="24"/>
        </w:rPr>
        <w:t xml:space="preserve"> incredibly administratively complex</w:t>
      </w:r>
      <w:r w:rsidR="00947EC7">
        <w:rPr>
          <w:rFonts w:ascii="Palatino Linotype" w:hAnsi="Palatino Linotype"/>
          <w:sz w:val="24"/>
          <w:szCs w:val="24"/>
        </w:rPr>
        <w:t xml:space="preserve"> situation</w:t>
      </w:r>
      <w:r>
        <w:rPr>
          <w:rFonts w:ascii="Palatino Linotype" w:hAnsi="Palatino Linotype"/>
          <w:sz w:val="24"/>
          <w:szCs w:val="24"/>
        </w:rPr>
        <w:t xml:space="preserve">. This problem is exacerbated given there are over half-a-million unique recipients across the three large IOUs. Implementing a number-only cap avoids this burden and associated room for error. </w:t>
      </w:r>
    </w:p>
    <w:p w:rsidR="001A6D73" w:rsidP="0001748E" w:rsidRDefault="001A6D73" w14:paraId="05665F6A" w14:textId="77777777">
      <w:pPr>
        <w:pStyle w:val="standard"/>
        <w:spacing w:line="240" w:lineRule="auto"/>
        <w:ind w:firstLine="0"/>
        <w:rPr>
          <w:rFonts w:ascii="Palatino Linotype" w:hAnsi="Palatino Linotype"/>
          <w:sz w:val="24"/>
          <w:szCs w:val="24"/>
        </w:rPr>
      </w:pPr>
    </w:p>
    <w:p w:rsidR="00F37CD6" w:rsidP="00286C86" w:rsidRDefault="0001748E" w14:paraId="436720DA" w14:textId="77777777">
      <w:pPr>
        <w:pStyle w:val="standard"/>
        <w:spacing w:line="240" w:lineRule="auto"/>
        <w:ind w:firstLine="0"/>
        <w:rPr>
          <w:rFonts w:ascii="Palatino Linotype" w:hAnsi="Palatino Linotype"/>
          <w:sz w:val="24"/>
          <w:szCs w:val="24"/>
        </w:rPr>
      </w:pPr>
      <w:r>
        <w:rPr>
          <w:rFonts w:ascii="Palatino Linotype" w:hAnsi="Palatino Linotype"/>
          <w:sz w:val="24"/>
          <w:szCs w:val="24"/>
        </w:rPr>
        <w:t xml:space="preserve">In contrast, choosing a threshold lower than 100 accounts quickly ensnares significantly more recipients, greatly increasing the risk that some of these recipients are in fact small businesses. Lowering the cap does not also notably increase the benefit to remaining recipients. For example, reading Table 4, lowering the cap from 100 to 50 more than doubles the number of impacted recipients from 401 to 928 but only adds an additional $0.44 ($2.31-$1.87) </w:t>
      </w:r>
      <w:r w:rsidR="006612BE">
        <w:rPr>
          <w:rFonts w:ascii="Palatino Linotype" w:hAnsi="Palatino Linotype"/>
          <w:sz w:val="24"/>
          <w:szCs w:val="24"/>
        </w:rPr>
        <w:t>of</w:t>
      </w:r>
      <w:r>
        <w:rPr>
          <w:rFonts w:ascii="Palatino Linotype" w:hAnsi="Palatino Linotype"/>
          <w:sz w:val="24"/>
          <w:szCs w:val="24"/>
        </w:rPr>
        <w:t xml:space="preserve"> benefit of remaining recipients. </w:t>
      </w:r>
    </w:p>
    <w:p w:rsidR="0001748E" w:rsidP="0001748E" w:rsidRDefault="0001748E" w14:paraId="66641FA3" w14:textId="77777777">
      <w:pPr>
        <w:rPr>
          <w:rFonts w:ascii="Palatino Linotype" w:hAnsi="Palatino Linotype"/>
          <w:sz w:val="24"/>
          <w:szCs w:val="24"/>
        </w:rPr>
      </w:pPr>
    </w:p>
    <w:p w:rsidRPr="00D0245E" w:rsidR="0001748E" w:rsidP="0001748E" w:rsidRDefault="0001748E" w14:paraId="2A1EA541" w14:textId="77777777">
      <w:pPr>
        <w:keepNext/>
        <w:keepLines/>
        <w:rPr>
          <w:rFonts w:ascii="Palatino Linotype" w:hAnsi="Palatino Linotype"/>
          <w:b/>
          <w:bCs/>
          <w:sz w:val="24"/>
          <w:szCs w:val="24"/>
        </w:rPr>
      </w:pPr>
      <w:r w:rsidRPr="00D0245E">
        <w:rPr>
          <w:rFonts w:ascii="Palatino Linotype" w:hAnsi="Palatino Linotype"/>
          <w:b/>
          <w:bCs/>
          <w:sz w:val="24"/>
          <w:szCs w:val="24"/>
        </w:rPr>
        <w:t xml:space="preserve">Table </w:t>
      </w:r>
      <w:r>
        <w:rPr>
          <w:rFonts w:ascii="Palatino Linotype" w:hAnsi="Palatino Linotype"/>
          <w:b/>
          <w:bCs/>
          <w:sz w:val="24"/>
          <w:szCs w:val="24"/>
        </w:rPr>
        <w:t>4</w:t>
      </w:r>
      <w:r w:rsidRPr="00D0245E">
        <w:rPr>
          <w:rFonts w:ascii="Palatino Linotype" w:hAnsi="Palatino Linotype"/>
          <w:b/>
          <w:bCs/>
          <w:sz w:val="24"/>
          <w:szCs w:val="24"/>
        </w:rPr>
        <w:t xml:space="preserve">: </w:t>
      </w:r>
      <w:r>
        <w:rPr>
          <w:rFonts w:ascii="Palatino Linotype" w:hAnsi="Palatino Linotype"/>
          <w:b/>
          <w:bCs/>
          <w:sz w:val="24"/>
          <w:szCs w:val="24"/>
        </w:rPr>
        <w:t>Recipients Impacted Under Various Cap Limits</w:t>
      </w:r>
    </w:p>
    <w:p w:rsidRPr="000252E5" w:rsidR="0001748E" w:rsidP="0001748E" w:rsidRDefault="0001748E" w14:paraId="74B67DCF" w14:textId="77777777">
      <w:pPr>
        <w:keepNext/>
        <w:keepLines/>
        <w:rPr>
          <w:rFonts w:ascii="Palatino Linotype" w:hAnsi="Palatino Linotype"/>
          <w:sz w:val="20"/>
        </w:rPr>
      </w:pPr>
      <w:r w:rsidRPr="00D0245E">
        <w:rPr>
          <w:rFonts w:ascii="Palatino Linotype" w:hAnsi="Palatino Linotype"/>
          <w:sz w:val="20"/>
        </w:rPr>
        <w:t>2024 Spring Data</w:t>
      </w:r>
    </w:p>
    <w:tbl>
      <w:tblPr>
        <w:tblW w:w="9540" w:type="dxa"/>
        <w:tblInd w:w="-5" w:type="dxa"/>
        <w:tblBorders>
          <w:top w:val="single" w:color="auto" w:sz="4" w:space="0"/>
          <w:bottom w:val="single" w:color="auto" w:sz="4" w:space="0"/>
          <w:insideH w:val="single" w:color="auto" w:sz="4" w:space="0"/>
        </w:tblBorders>
        <w:tblLayout w:type="fixed"/>
        <w:tblLook w:val="04A0" w:firstRow="1" w:lastRow="0" w:firstColumn="1" w:lastColumn="0" w:noHBand="0" w:noVBand="1"/>
      </w:tblPr>
      <w:tblGrid>
        <w:gridCol w:w="1890"/>
        <w:gridCol w:w="1350"/>
        <w:gridCol w:w="1260"/>
        <w:gridCol w:w="1260"/>
        <w:gridCol w:w="1350"/>
        <w:gridCol w:w="1170"/>
        <w:gridCol w:w="1260"/>
      </w:tblGrid>
      <w:tr w:rsidRPr="000252E5" w:rsidR="0001748E" w:rsidTr="00771CD7" w14:paraId="5588EB01" w14:textId="77777777">
        <w:trPr>
          <w:trHeight w:val="300"/>
        </w:trPr>
        <w:tc>
          <w:tcPr>
            <w:tcW w:w="1890" w:type="dxa"/>
            <w:tcBorders>
              <w:left w:val="single" w:color="auto" w:sz="4" w:space="0"/>
              <w:right w:val="single" w:color="auto" w:sz="4" w:space="0"/>
            </w:tcBorders>
            <w:shd w:val="clear" w:color="auto" w:fill="FABF8F" w:themeFill="accent6" w:themeFillTint="99"/>
            <w:noWrap/>
            <w:vAlign w:val="center"/>
          </w:tcPr>
          <w:p w:rsidR="0001748E" w:rsidP="008A46A1" w:rsidRDefault="0001748E" w14:paraId="18056E2E" w14:textId="77777777">
            <w:pPr>
              <w:keepNext/>
              <w:keepLines/>
              <w:jc w:val="center"/>
              <w:rPr>
                <w:rFonts w:ascii="Aptos Narrow" w:hAnsi="Aptos Narrow"/>
                <w:color w:val="000000"/>
                <w:sz w:val="22"/>
                <w:szCs w:val="22"/>
              </w:rPr>
            </w:pPr>
          </w:p>
        </w:tc>
        <w:tc>
          <w:tcPr>
            <w:tcW w:w="3870" w:type="dxa"/>
            <w:gridSpan w:val="3"/>
            <w:tcBorders>
              <w:left w:val="single" w:color="auto" w:sz="4" w:space="0"/>
            </w:tcBorders>
            <w:shd w:val="clear" w:color="auto" w:fill="FABF8F" w:themeFill="accent6" w:themeFillTint="99"/>
            <w:noWrap/>
            <w:vAlign w:val="center"/>
          </w:tcPr>
          <w:p w:rsidR="0001748E" w:rsidP="008A46A1" w:rsidRDefault="0001748E" w14:paraId="2360977B" w14:textId="77777777">
            <w:pPr>
              <w:keepNext/>
              <w:keepLines/>
              <w:jc w:val="center"/>
              <w:rPr>
                <w:rFonts w:ascii="Aptos Narrow" w:hAnsi="Aptos Narrow"/>
                <w:color w:val="000000"/>
                <w:sz w:val="22"/>
                <w:szCs w:val="22"/>
              </w:rPr>
            </w:pPr>
            <w:r>
              <w:rPr>
                <w:rFonts w:ascii="Aptos Narrow" w:hAnsi="Aptos Narrow"/>
                <w:color w:val="000000"/>
                <w:sz w:val="22"/>
                <w:szCs w:val="22"/>
              </w:rPr>
              <w:t>Marginal Impact</w:t>
            </w:r>
          </w:p>
        </w:tc>
        <w:tc>
          <w:tcPr>
            <w:tcW w:w="3780" w:type="dxa"/>
            <w:gridSpan w:val="3"/>
            <w:tcBorders>
              <w:left w:val="single" w:color="auto" w:sz="4" w:space="0"/>
              <w:right w:val="single" w:color="auto" w:sz="4" w:space="0"/>
            </w:tcBorders>
            <w:shd w:val="clear" w:color="auto" w:fill="FABF8F" w:themeFill="accent6" w:themeFillTint="99"/>
            <w:vAlign w:val="center"/>
          </w:tcPr>
          <w:p w:rsidR="0001748E" w:rsidP="008A46A1" w:rsidRDefault="0001748E" w14:paraId="4BA00913" w14:textId="77777777">
            <w:pPr>
              <w:keepNext/>
              <w:keepLines/>
              <w:jc w:val="center"/>
              <w:rPr>
                <w:rFonts w:ascii="Aptos Narrow" w:hAnsi="Aptos Narrow"/>
                <w:color w:val="000000"/>
                <w:sz w:val="22"/>
                <w:szCs w:val="22"/>
              </w:rPr>
            </w:pPr>
            <w:r>
              <w:rPr>
                <w:rFonts w:ascii="Aptos Narrow" w:hAnsi="Aptos Narrow"/>
                <w:color w:val="000000"/>
                <w:sz w:val="22"/>
                <w:szCs w:val="22"/>
              </w:rPr>
              <w:t>Cumulative Impact</w:t>
            </w:r>
          </w:p>
        </w:tc>
      </w:tr>
      <w:tr w:rsidRPr="000252E5" w:rsidR="0001748E" w:rsidTr="00771CD7" w14:paraId="3FA22850" w14:textId="77777777">
        <w:trPr>
          <w:trHeight w:val="300"/>
        </w:trPr>
        <w:tc>
          <w:tcPr>
            <w:tcW w:w="1890" w:type="dxa"/>
            <w:tcBorders>
              <w:left w:val="single" w:color="auto" w:sz="4" w:space="0"/>
              <w:right w:val="single" w:color="auto" w:sz="4" w:space="0"/>
            </w:tcBorders>
            <w:shd w:val="clear" w:color="auto" w:fill="FABF8F" w:themeFill="accent6" w:themeFillTint="99"/>
            <w:noWrap/>
            <w:vAlign w:val="center"/>
          </w:tcPr>
          <w:p w:rsidRPr="000252E5" w:rsidR="0001748E" w:rsidP="008A46A1" w:rsidRDefault="0001748E" w14:paraId="00AC5BAF" w14:textId="77777777">
            <w:pPr>
              <w:keepNext/>
              <w:keepLines/>
              <w:jc w:val="center"/>
              <w:rPr>
                <w:rFonts w:ascii="Aptos Narrow" w:hAnsi="Aptos Narrow"/>
                <w:color w:val="000000"/>
                <w:sz w:val="22"/>
                <w:szCs w:val="22"/>
              </w:rPr>
            </w:pPr>
            <w:r>
              <w:rPr>
                <w:rFonts w:ascii="Aptos Narrow" w:hAnsi="Aptos Narrow"/>
                <w:color w:val="000000"/>
                <w:sz w:val="22"/>
                <w:szCs w:val="22"/>
              </w:rPr>
              <w:t>Cap  - Max Number of Accounts</w:t>
            </w:r>
          </w:p>
        </w:tc>
        <w:tc>
          <w:tcPr>
            <w:tcW w:w="1350" w:type="dxa"/>
            <w:tcBorders>
              <w:left w:val="single" w:color="auto" w:sz="4" w:space="0"/>
            </w:tcBorders>
            <w:shd w:val="clear" w:color="auto" w:fill="FABF8F" w:themeFill="accent6" w:themeFillTint="99"/>
            <w:noWrap/>
            <w:vAlign w:val="center"/>
          </w:tcPr>
          <w:p w:rsidRPr="000252E5" w:rsidR="0001748E" w:rsidP="008A46A1" w:rsidRDefault="0001748E" w14:paraId="6F4605A3" w14:textId="77777777">
            <w:pPr>
              <w:keepNext/>
              <w:keepLines/>
              <w:jc w:val="center"/>
              <w:rPr>
                <w:rFonts w:ascii="Aptos Narrow" w:hAnsi="Aptos Narrow"/>
                <w:color w:val="000000"/>
                <w:sz w:val="22"/>
                <w:szCs w:val="22"/>
              </w:rPr>
            </w:pPr>
            <w:r>
              <w:rPr>
                <w:rFonts w:ascii="Aptos Narrow" w:hAnsi="Aptos Narrow"/>
                <w:color w:val="000000"/>
                <w:sz w:val="22"/>
                <w:szCs w:val="22"/>
              </w:rPr>
              <w:t>$ redistributed</w:t>
            </w:r>
          </w:p>
        </w:tc>
        <w:tc>
          <w:tcPr>
            <w:tcW w:w="1260" w:type="dxa"/>
            <w:tcBorders>
              <w:left w:val="single" w:color="auto" w:sz="4" w:space="0"/>
            </w:tcBorders>
            <w:shd w:val="clear" w:color="auto" w:fill="FABF8F" w:themeFill="accent6" w:themeFillTint="99"/>
            <w:vAlign w:val="center"/>
          </w:tcPr>
          <w:p w:rsidR="0001748E" w:rsidP="008A46A1" w:rsidRDefault="0001748E" w14:paraId="6C533FD7" w14:textId="77777777">
            <w:pPr>
              <w:keepNext/>
              <w:keepLines/>
              <w:jc w:val="center"/>
              <w:rPr>
                <w:rFonts w:ascii="Aptos Narrow" w:hAnsi="Aptos Narrow"/>
                <w:color w:val="000000"/>
                <w:sz w:val="22"/>
                <w:szCs w:val="22"/>
              </w:rPr>
            </w:pPr>
            <w:r>
              <w:rPr>
                <w:rFonts w:ascii="Aptos Narrow" w:hAnsi="Aptos Narrow"/>
                <w:color w:val="000000"/>
                <w:sz w:val="22"/>
                <w:szCs w:val="22"/>
              </w:rPr>
              <w:t># Ineligible Recipients</w:t>
            </w:r>
          </w:p>
        </w:tc>
        <w:tc>
          <w:tcPr>
            <w:tcW w:w="1260" w:type="dxa"/>
            <w:tcBorders>
              <w:left w:val="single" w:color="auto" w:sz="4" w:space="0"/>
            </w:tcBorders>
            <w:shd w:val="clear" w:color="auto" w:fill="FABF8F" w:themeFill="accent6" w:themeFillTint="99"/>
            <w:vAlign w:val="center"/>
          </w:tcPr>
          <w:p w:rsidR="0001748E" w:rsidP="008A46A1" w:rsidRDefault="0001748E" w14:paraId="50C509A0" w14:textId="77777777">
            <w:pPr>
              <w:keepNext/>
              <w:keepLines/>
              <w:jc w:val="center"/>
              <w:rPr>
                <w:rFonts w:ascii="Aptos Narrow" w:hAnsi="Aptos Narrow"/>
                <w:color w:val="000000"/>
                <w:sz w:val="22"/>
                <w:szCs w:val="22"/>
              </w:rPr>
            </w:pPr>
            <w:r>
              <w:rPr>
                <w:rFonts w:ascii="Aptos Narrow" w:hAnsi="Aptos Narrow"/>
                <w:color w:val="000000"/>
                <w:sz w:val="22"/>
                <w:szCs w:val="22"/>
              </w:rPr>
              <w:t>$/Ineligible Recipient</w:t>
            </w:r>
          </w:p>
        </w:tc>
        <w:tc>
          <w:tcPr>
            <w:tcW w:w="1350" w:type="dxa"/>
            <w:tcBorders>
              <w:left w:val="single" w:color="auto" w:sz="4" w:space="0"/>
            </w:tcBorders>
            <w:shd w:val="clear" w:color="auto" w:fill="FABF8F" w:themeFill="accent6" w:themeFillTint="99"/>
            <w:vAlign w:val="center"/>
          </w:tcPr>
          <w:p w:rsidR="0001748E" w:rsidP="008A46A1" w:rsidRDefault="0001748E" w14:paraId="320F15F8" w14:textId="77777777">
            <w:pPr>
              <w:keepNext/>
              <w:keepLines/>
              <w:jc w:val="center"/>
              <w:rPr>
                <w:rFonts w:ascii="Aptos Narrow" w:hAnsi="Aptos Narrow"/>
                <w:color w:val="000000"/>
                <w:sz w:val="22"/>
                <w:szCs w:val="22"/>
              </w:rPr>
            </w:pPr>
            <w:r>
              <w:rPr>
                <w:rFonts w:ascii="Aptos Narrow" w:hAnsi="Aptos Narrow"/>
                <w:color w:val="000000"/>
                <w:sz w:val="22"/>
                <w:szCs w:val="22"/>
              </w:rPr>
              <w:t>$ redistributed</w:t>
            </w:r>
          </w:p>
        </w:tc>
        <w:tc>
          <w:tcPr>
            <w:tcW w:w="1170" w:type="dxa"/>
            <w:tcBorders>
              <w:left w:val="single" w:color="auto" w:sz="4" w:space="0"/>
            </w:tcBorders>
            <w:shd w:val="clear" w:color="auto" w:fill="FABF8F" w:themeFill="accent6" w:themeFillTint="99"/>
            <w:vAlign w:val="center"/>
          </w:tcPr>
          <w:p w:rsidR="0001748E" w:rsidP="008A46A1" w:rsidRDefault="0001748E" w14:paraId="07CA9294" w14:textId="77777777">
            <w:pPr>
              <w:keepNext/>
              <w:keepLines/>
              <w:jc w:val="center"/>
              <w:rPr>
                <w:rFonts w:ascii="Aptos Narrow" w:hAnsi="Aptos Narrow"/>
                <w:color w:val="000000"/>
                <w:sz w:val="22"/>
                <w:szCs w:val="22"/>
              </w:rPr>
            </w:pPr>
            <w:r>
              <w:rPr>
                <w:rFonts w:ascii="Aptos Narrow" w:hAnsi="Aptos Narrow"/>
                <w:color w:val="000000"/>
                <w:sz w:val="22"/>
                <w:szCs w:val="22"/>
              </w:rPr>
              <w:t># Ineligible Recipients</w:t>
            </w:r>
          </w:p>
        </w:tc>
        <w:tc>
          <w:tcPr>
            <w:tcW w:w="1260" w:type="dxa"/>
            <w:tcBorders>
              <w:left w:val="single" w:color="auto" w:sz="4" w:space="0"/>
              <w:right w:val="single" w:color="auto" w:sz="4" w:space="0"/>
            </w:tcBorders>
            <w:shd w:val="clear" w:color="auto" w:fill="FABF8F" w:themeFill="accent6" w:themeFillTint="99"/>
            <w:vAlign w:val="center"/>
          </w:tcPr>
          <w:p w:rsidR="0001748E" w:rsidP="008A46A1" w:rsidRDefault="0001748E" w14:paraId="0165F62F" w14:textId="77777777">
            <w:pPr>
              <w:keepNext/>
              <w:keepLines/>
              <w:jc w:val="center"/>
              <w:rPr>
                <w:rFonts w:ascii="Aptos Narrow" w:hAnsi="Aptos Narrow"/>
                <w:color w:val="000000"/>
                <w:sz w:val="22"/>
                <w:szCs w:val="22"/>
              </w:rPr>
            </w:pPr>
            <w:r>
              <w:rPr>
                <w:rFonts w:ascii="Aptos Narrow" w:hAnsi="Aptos Narrow"/>
                <w:color w:val="000000"/>
                <w:sz w:val="22"/>
                <w:szCs w:val="22"/>
              </w:rPr>
              <w:t>Climate Credit Impact*</w:t>
            </w:r>
          </w:p>
        </w:tc>
      </w:tr>
      <w:tr w:rsidRPr="000252E5" w:rsidR="0001748E" w:rsidTr="00771CD7" w14:paraId="3B7A76FE" w14:textId="77777777">
        <w:trPr>
          <w:trHeight w:val="300"/>
        </w:trPr>
        <w:tc>
          <w:tcPr>
            <w:tcW w:w="1890" w:type="dxa"/>
            <w:tcBorders>
              <w:left w:val="single" w:color="auto" w:sz="4" w:space="0"/>
              <w:right w:val="single" w:color="auto" w:sz="4" w:space="0"/>
            </w:tcBorders>
            <w:shd w:val="clear" w:color="auto" w:fill="auto"/>
            <w:noWrap/>
            <w:vAlign w:val="center"/>
          </w:tcPr>
          <w:p w:rsidRPr="000252E5" w:rsidR="0001748E" w:rsidP="008A46A1" w:rsidRDefault="0001748E" w14:paraId="4AF16A97" w14:textId="77777777">
            <w:pPr>
              <w:keepNext/>
              <w:keepLines/>
              <w:jc w:val="center"/>
              <w:rPr>
                <w:rFonts w:ascii="Aptos Narrow" w:hAnsi="Aptos Narrow"/>
                <w:color w:val="000000"/>
                <w:sz w:val="22"/>
                <w:szCs w:val="22"/>
              </w:rPr>
            </w:pPr>
            <w:r>
              <w:rPr>
                <w:rFonts w:ascii="Aptos Narrow" w:hAnsi="Aptos Narrow"/>
                <w:color w:val="000000"/>
                <w:sz w:val="22"/>
                <w:szCs w:val="22"/>
              </w:rPr>
              <w:t>≥ 500</w:t>
            </w:r>
          </w:p>
        </w:tc>
        <w:tc>
          <w:tcPr>
            <w:tcW w:w="1350" w:type="dxa"/>
            <w:tcBorders>
              <w:left w:val="single" w:color="auto" w:sz="4" w:space="0"/>
            </w:tcBorders>
            <w:shd w:val="clear" w:color="auto" w:fill="auto"/>
            <w:noWrap/>
            <w:vAlign w:val="center"/>
          </w:tcPr>
          <w:p w:rsidRPr="000252E5" w:rsidR="0001748E" w:rsidP="008A46A1" w:rsidRDefault="0001748E" w14:paraId="2A930CE1" w14:textId="77777777">
            <w:pPr>
              <w:keepNext/>
              <w:keepLines/>
              <w:jc w:val="center"/>
              <w:rPr>
                <w:rFonts w:ascii="Aptos Narrow" w:hAnsi="Aptos Narrow"/>
                <w:color w:val="000000"/>
                <w:sz w:val="22"/>
                <w:szCs w:val="22"/>
              </w:rPr>
            </w:pPr>
            <w:r>
              <w:rPr>
                <w:rFonts w:ascii="Aptos Narrow" w:hAnsi="Aptos Narrow"/>
                <w:color w:val="000000"/>
                <w:sz w:val="22"/>
                <w:szCs w:val="22"/>
              </w:rPr>
              <w:t>$12,849,826</w:t>
            </w:r>
          </w:p>
        </w:tc>
        <w:tc>
          <w:tcPr>
            <w:tcW w:w="1260" w:type="dxa"/>
            <w:tcBorders>
              <w:left w:val="single" w:color="auto" w:sz="4" w:space="0"/>
            </w:tcBorders>
            <w:vAlign w:val="center"/>
          </w:tcPr>
          <w:p w:rsidRPr="000252E5" w:rsidR="0001748E" w:rsidP="008A46A1" w:rsidRDefault="0001748E" w14:paraId="6661EE66" w14:textId="77777777">
            <w:pPr>
              <w:keepNext/>
              <w:keepLines/>
              <w:jc w:val="center"/>
              <w:rPr>
                <w:rFonts w:ascii="Aptos Narrow" w:hAnsi="Aptos Narrow"/>
                <w:color w:val="000000"/>
                <w:sz w:val="22"/>
                <w:szCs w:val="22"/>
              </w:rPr>
            </w:pPr>
            <w:r>
              <w:rPr>
                <w:rFonts w:ascii="Aptos Narrow" w:hAnsi="Aptos Narrow"/>
                <w:color w:val="000000"/>
                <w:sz w:val="22"/>
                <w:szCs w:val="22"/>
              </w:rPr>
              <w:t>56</w:t>
            </w:r>
          </w:p>
        </w:tc>
        <w:tc>
          <w:tcPr>
            <w:tcW w:w="1260" w:type="dxa"/>
            <w:tcBorders>
              <w:left w:val="single" w:color="auto" w:sz="4" w:space="0"/>
            </w:tcBorders>
            <w:vAlign w:val="center"/>
          </w:tcPr>
          <w:p w:rsidRPr="000252E5" w:rsidR="0001748E" w:rsidP="008A46A1" w:rsidRDefault="0001748E" w14:paraId="5603B704" w14:textId="77777777">
            <w:pPr>
              <w:keepNext/>
              <w:keepLines/>
              <w:jc w:val="center"/>
              <w:rPr>
                <w:rFonts w:ascii="Aptos Narrow" w:hAnsi="Aptos Narrow"/>
                <w:color w:val="000000"/>
                <w:sz w:val="22"/>
                <w:szCs w:val="22"/>
              </w:rPr>
            </w:pPr>
            <w:r>
              <w:rPr>
                <w:rFonts w:ascii="Aptos Narrow" w:hAnsi="Aptos Narrow"/>
                <w:color w:val="000000"/>
                <w:sz w:val="22"/>
                <w:szCs w:val="22"/>
              </w:rPr>
              <w:t>$229,461</w:t>
            </w:r>
          </w:p>
        </w:tc>
        <w:tc>
          <w:tcPr>
            <w:tcW w:w="1350" w:type="dxa"/>
            <w:tcBorders>
              <w:left w:val="single" w:color="auto" w:sz="4" w:space="0"/>
            </w:tcBorders>
            <w:shd w:val="clear" w:color="auto" w:fill="auto"/>
            <w:vAlign w:val="center"/>
          </w:tcPr>
          <w:p w:rsidRPr="000252E5" w:rsidR="0001748E" w:rsidP="008A46A1" w:rsidRDefault="0001748E" w14:paraId="6790E6DF" w14:textId="77777777">
            <w:pPr>
              <w:keepNext/>
              <w:keepLines/>
              <w:jc w:val="center"/>
              <w:rPr>
                <w:rFonts w:ascii="Aptos Narrow" w:hAnsi="Aptos Narrow"/>
                <w:color w:val="000000"/>
                <w:sz w:val="22"/>
                <w:szCs w:val="22"/>
              </w:rPr>
            </w:pPr>
            <w:r>
              <w:rPr>
                <w:rFonts w:ascii="Aptos Narrow" w:hAnsi="Aptos Narrow"/>
                <w:color w:val="000000"/>
                <w:sz w:val="22"/>
                <w:szCs w:val="22"/>
              </w:rPr>
              <w:t>$12,849,826</w:t>
            </w:r>
          </w:p>
        </w:tc>
        <w:tc>
          <w:tcPr>
            <w:tcW w:w="1170" w:type="dxa"/>
            <w:tcBorders>
              <w:left w:val="single" w:color="auto" w:sz="4" w:space="0"/>
            </w:tcBorders>
            <w:shd w:val="clear" w:color="auto" w:fill="auto"/>
            <w:vAlign w:val="center"/>
          </w:tcPr>
          <w:p w:rsidRPr="000252E5" w:rsidR="0001748E" w:rsidP="008A46A1" w:rsidRDefault="0001748E" w14:paraId="3CF5F1B9" w14:textId="77777777">
            <w:pPr>
              <w:keepNext/>
              <w:keepLines/>
              <w:jc w:val="center"/>
              <w:rPr>
                <w:rFonts w:ascii="Aptos Narrow" w:hAnsi="Aptos Narrow"/>
                <w:color w:val="000000"/>
                <w:sz w:val="22"/>
                <w:szCs w:val="22"/>
              </w:rPr>
            </w:pPr>
            <w:r>
              <w:rPr>
                <w:rFonts w:ascii="Aptos Narrow" w:hAnsi="Aptos Narrow"/>
                <w:color w:val="000000"/>
                <w:sz w:val="22"/>
                <w:szCs w:val="22"/>
              </w:rPr>
              <w:t>56</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42471196" w14:textId="77777777">
            <w:pPr>
              <w:keepNext/>
              <w:keepLines/>
              <w:jc w:val="center"/>
              <w:rPr>
                <w:rFonts w:ascii="Aptos Narrow" w:hAnsi="Aptos Narrow"/>
                <w:color w:val="000000"/>
                <w:sz w:val="22"/>
                <w:szCs w:val="22"/>
              </w:rPr>
            </w:pPr>
            <w:r>
              <w:rPr>
                <w:rFonts w:ascii="Aptos Narrow" w:hAnsi="Aptos Narrow"/>
                <w:color w:val="000000"/>
                <w:sz w:val="22"/>
                <w:szCs w:val="22"/>
              </w:rPr>
              <w:t>$1.08</w:t>
            </w:r>
          </w:p>
        </w:tc>
      </w:tr>
      <w:tr w:rsidRPr="000252E5" w:rsidR="0001748E" w:rsidTr="00771CD7" w14:paraId="111FEF38" w14:textId="77777777">
        <w:trPr>
          <w:trHeight w:val="300"/>
        </w:trPr>
        <w:tc>
          <w:tcPr>
            <w:tcW w:w="1890" w:type="dxa"/>
            <w:tcBorders>
              <w:left w:val="single" w:color="auto" w:sz="4" w:space="0"/>
              <w:right w:val="single" w:color="auto" w:sz="4" w:space="0"/>
            </w:tcBorders>
            <w:shd w:val="clear" w:color="auto" w:fill="auto"/>
            <w:noWrap/>
            <w:vAlign w:val="center"/>
          </w:tcPr>
          <w:p w:rsidRPr="000252E5" w:rsidR="0001748E" w:rsidP="008A46A1" w:rsidRDefault="0001748E" w14:paraId="6433BD65" w14:textId="77777777">
            <w:pPr>
              <w:keepNext/>
              <w:keepLines/>
              <w:jc w:val="center"/>
              <w:rPr>
                <w:rFonts w:ascii="Aptos Narrow" w:hAnsi="Aptos Narrow"/>
                <w:color w:val="000000"/>
                <w:sz w:val="22"/>
                <w:szCs w:val="22"/>
              </w:rPr>
            </w:pPr>
            <w:r>
              <w:rPr>
                <w:rFonts w:ascii="Aptos Narrow" w:hAnsi="Aptos Narrow"/>
                <w:color w:val="000000"/>
                <w:sz w:val="22"/>
                <w:szCs w:val="22"/>
              </w:rPr>
              <w:t>≥ 400</w:t>
            </w:r>
          </w:p>
        </w:tc>
        <w:tc>
          <w:tcPr>
            <w:tcW w:w="1350" w:type="dxa"/>
            <w:tcBorders>
              <w:left w:val="single" w:color="auto" w:sz="4" w:space="0"/>
            </w:tcBorders>
            <w:shd w:val="clear" w:color="auto" w:fill="auto"/>
            <w:noWrap/>
            <w:vAlign w:val="center"/>
          </w:tcPr>
          <w:p w:rsidRPr="000252E5" w:rsidR="0001748E" w:rsidP="008A46A1" w:rsidRDefault="0001748E" w14:paraId="2FF5C4B4" w14:textId="77777777">
            <w:pPr>
              <w:keepNext/>
              <w:keepLines/>
              <w:jc w:val="center"/>
              <w:rPr>
                <w:rFonts w:ascii="Aptos Narrow" w:hAnsi="Aptos Narrow"/>
                <w:color w:val="000000"/>
                <w:sz w:val="22"/>
                <w:szCs w:val="22"/>
              </w:rPr>
            </w:pPr>
            <w:r>
              <w:rPr>
                <w:rFonts w:ascii="Aptos Narrow" w:hAnsi="Aptos Narrow"/>
                <w:color w:val="000000"/>
                <w:sz w:val="22"/>
                <w:szCs w:val="22"/>
              </w:rPr>
              <w:t>$1,052,263</w:t>
            </w:r>
          </w:p>
        </w:tc>
        <w:tc>
          <w:tcPr>
            <w:tcW w:w="1260" w:type="dxa"/>
            <w:tcBorders>
              <w:left w:val="single" w:color="auto" w:sz="4" w:space="0"/>
            </w:tcBorders>
            <w:vAlign w:val="center"/>
          </w:tcPr>
          <w:p w:rsidRPr="000252E5" w:rsidR="0001748E" w:rsidP="008A46A1" w:rsidRDefault="0001748E" w14:paraId="0287EE48" w14:textId="77777777">
            <w:pPr>
              <w:keepNext/>
              <w:keepLines/>
              <w:jc w:val="center"/>
              <w:rPr>
                <w:rFonts w:ascii="Aptos Narrow" w:hAnsi="Aptos Narrow"/>
                <w:color w:val="000000"/>
                <w:sz w:val="22"/>
                <w:szCs w:val="22"/>
              </w:rPr>
            </w:pPr>
            <w:r>
              <w:rPr>
                <w:rFonts w:ascii="Aptos Narrow" w:hAnsi="Aptos Narrow"/>
                <w:color w:val="000000"/>
                <w:sz w:val="22"/>
                <w:szCs w:val="22"/>
              </w:rPr>
              <w:t>15</w:t>
            </w:r>
          </w:p>
        </w:tc>
        <w:tc>
          <w:tcPr>
            <w:tcW w:w="1260" w:type="dxa"/>
            <w:tcBorders>
              <w:left w:val="single" w:color="auto" w:sz="4" w:space="0"/>
            </w:tcBorders>
            <w:vAlign w:val="center"/>
          </w:tcPr>
          <w:p w:rsidRPr="000252E5" w:rsidR="0001748E" w:rsidP="008A46A1" w:rsidRDefault="0001748E" w14:paraId="33CCFF2C" w14:textId="77777777">
            <w:pPr>
              <w:keepNext/>
              <w:keepLines/>
              <w:jc w:val="center"/>
              <w:rPr>
                <w:rFonts w:ascii="Aptos Narrow" w:hAnsi="Aptos Narrow"/>
                <w:color w:val="000000"/>
                <w:sz w:val="22"/>
                <w:szCs w:val="22"/>
              </w:rPr>
            </w:pPr>
            <w:r>
              <w:rPr>
                <w:rFonts w:ascii="Aptos Narrow" w:hAnsi="Aptos Narrow"/>
                <w:color w:val="000000"/>
                <w:sz w:val="22"/>
                <w:szCs w:val="22"/>
              </w:rPr>
              <w:t>$70,151</w:t>
            </w:r>
          </w:p>
        </w:tc>
        <w:tc>
          <w:tcPr>
            <w:tcW w:w="1350" w:type="dxa"/>
            <w:tcBorders>
              <w:left w:val="single" w:color="auto" w:sz="4" w:space="0"/>
            </w:tcBorders>
            <w:shd w:val="clear" w:color="auto" w:fill="auto"/>
            <w:vAlign w:val="center"/>
          </w:tcPr>
          <w:p w:rsidRPr="000252E5" w:rsidR="0001748E" w:rsidP="008A46A1" w:rsidRDefault="0001748E" w14:paraId="5A660B9C" w14:textId="77777777">
            <w:pPr>
              <w:keepNext/>
              <w:keepLines/>
              <w:jc w:val="center"/>
              <w:rPr>
                <w:rFonts w:ascii="Aptos Narrow" w:hAnsi="Aptos Narrow"/>
                <w:color w:val="000000"/>
                <w:sz w:val="22"/>
                <w:szCs w:val="22"/>
              </w:rPr>
            </w:pPr>
            <w:r>
              <w:rPr>
                <w:rFonts w:ascii="Aptos Narrow" w:hAnsi="Aptos Narrow"/>
                <w:color w:val="000000"/>
                <w:sz w:val="22"/>
                <w:szCs w:val="22"/>
              </w:rPr>
              <w:t>$13,902,089</w:t>
            </w:r>
          </w:p>
        </w:tc>
        <w:tc>
          <w:tcPr>
            <w:tcW w:w="1170" w:type="dxa"/>
            <w:tcBorders>
              <w:left w:val="single" w:color="auto" w:sz="4" w:space="0"/>
            </w:tcBorders>
            <w:shd w:val="clear" w:color="auto" w:fill="auto"/>
            <w:vAlign w:val="center"/>
          </w:tcPr>
          <w:p w:rsidRPr="000252E5" w:rsidR="0001748E" w:rsidP="008A46A1" w:rsidRDefault="0001748E" w14:paraId="17D83B3D" w14:textId="77777777">
            <w:pPr>
              <w:keepNext/>
              <w:keepLines/>
              <w:jc w:val="center"/>
              <w:rPr>
                <w:rFonts w:ascii="Aptos Narrow" w:hAnsi="Aptos Narrow"/>
                <w:color w:val="000000"/>
                <w:sz w:val="22"/>
                <w:szCs w:val="22"/>
              </w:rPr>
            </w:pPr>
            <w:r>
              <w:rPr>
                <w:rFonts w:ascii="Aptos Narrow" w:hAnsi="Aptos Narrow"/>
                <w:color w:val="000000"/>
                <w:sz w:val="22"/>
                <w:szCs w:val="22"/>
              </w:rPr>
              <w:t>71</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5D654549" w14:textId="77777777">
            <w:pPr>
              <w:keepNext/>
              <w:keepLines/>
              <w:jc w:val="center"/>
              <w:rPr>
                <w:rFonts w:ascii="Aptos Narrow" w:hAnsi="Aptos Narrow"/>
                <w:color w:val="000000"/>
                <w:sz w:val="22"/>
                <w:szCs w:val="22"/>
              </w:rPr>
            </w:pPr>
            <w:r>
              <w:rPr>
                <w:rFonts w:ascii="Aptos Narrow" w:hAnsi="Aptos Narrow"/>
                <w:color w:val="000000"/>
                <w:sz w:val="22"/>
                <w:szCs w:val="22"/>
              </w:rPr>
              <w:t>$1.17</w:t>
            </w:r>
          </w:p>
        </w:tc>
      </w:tr>
      <w:tr w:rsidRPr="000252E5" w:rsidR="0001748E" w:rsidTr="00771CD7" w14:paraId="36C18400" w14:textId="77777777">
        <w:trPr>
          <w:trHeight w:val="300"/>
        </w:trPr>
        <w:tc>
          <w:tcPr>
            <w:tcW w:w="1890" w:type="dxa"/>
            <w:tcBorders>
              <w:left w:val="single" w:color="auto" w:sz="4" w:space="0"/>
              <w:right w:val="single" w:color="auto" w:sz="4" w:space="0"/>
            </w:tcBorders>
            <w:shd w:val="clear" w:color="auto" w:fill="auto"/>
            <w:noWrap/>
            <w:vAlign w:val="center"/>
          </w:tcPr>
          <w:p w:rsidRPr="000252E5" w:rsidR="0001748E" w:rsidP="008A46A1" w:rsidRDefault="0001748E" w14:paraId="1128E7D3" w14:textId="77777777">
            <w:pPr>
              <w:keepNext/>
              <w:keepLines/>
              <w:jc w:val="center"/>
              <w:rPr>
                <w:rFonts w:ascii="Aptos Narrow" w:hAnsi="Aptos Narrow"/>
                <w:color w:val="000000"/>
                <w:sz w:val="22"/>
                <w:szCs w:val="22"/>
              </w:rPr>
            </w:pPr>
            <w:r>
              <w:rPr>
                <w:rFonts w:ascii="Aptos Narrow" w:hAnsi="Aptos Narrow"/>
                <w:color w:val="000000"/>
                <w:sz w:val="22"/>
                <w:szCs w:val="22"/>
              </w:rPr>
              <w:t>≥ 300</w:t>
            </w:r>
          </w:p>
        </w:tc>
        <w:tc>
          <w:tcPr>
            <w:tcW w:w="1350" w:type="dxa"/>
            <w:tcBorders>
              <w:left w:val="single" w:color="auto" w:sz="4" w:space="0"/>
            </w:tcBorders>
            <w:shd w:val="clear" w:color="auto" w:fill="auto"/>
            <w:noWrap/>
            <w:vAlign w:val="center"/>
          </w:tcPr>
          <w:p w:rsidRPr="000252E5" w:rsidR="0001748E" w:rsidP="008A46A1" w:rsidRDefault="0001748E" w14:paraId="69525122" w14:textId="77777777">
            <w:pPr>
              <w:keepNext/>
              <w:keepLines/>
              <w:jc w:val="center"/>
              <w:rPr>
                <w:rFonts w:ascii="Aptos Narrow" w:hAnsi="Aptos Narrow"/>
                <w:color w:val="000000"/>
                <w:sz w:val="22"/>
                <w:szCs w:val="22"/>
              </w:rPr>
            </w:pPr>
            <w:r>
              <w:rPr>
                <w:rFonts w:ascii="Aptos Narrow" w:hAnsi="Aptos Narrow"/>
                <w:color w:val="000000"/>
                <w:sz w:val="22"/>
                <w:szCs w:val="22"/>
              </w:rPr>
              <w:t>$1,157,497</w:t>
            </w:r>
          </w:p>
        </w:tc>
        <w:tc>
          <w:tcPr>
            <w:tcW w:w="1260" w:type="dxa"/>
            <w:tcBorders>
              <w:left w:val="single" w:color="auto" w:sz="4" w:space="0"/>
            </w:tcBorders>
            <w:vAlign w:val="center"/>
          </w:tcPr>
          <w:p w:rsidRPr="000252E5" w:rsidR="0001748E" w:rsidP="008A46A1" w:rsidRDefault="0001748E" w14:paraId="15FF6A22" w14:textId="77777777">
            <w:pPr>
              <w:keepNext/>
              <w:keepLines/>
              <w:jc w:val="center"/>
              <w:rPr>
                <w:rFonts w:ascii="Aptos Narrow" w:hAnsi="Aptos Narrow"/>
                <w:color w:val="000000"/>
                <w:sz w:val="22"/>
                <w:szCs w:val="22"/>
              </w:rPr>
            </w:pPr>
            <w:r>
              <w:rPr>
                <w:rFonts w:ascii="Aptos Narrow" w:hAnsi="Aptos Narrow"/>
                <w:color w:val="000000"/>
                <w:sz w:val="22"/>
                <w:szCs w:val="22"/>
              </w:rPr>
              <w:t>23</w:t>
            </w:r>
          </w:p>
        </w:tc>
        <w:tc>
          <w:tcPr>
            <w:tcW w:w="1260" w:type="dxa"/>
            <w:tcBorders>
              <w:left w:val="single" w:color="auto" w:sz="4" w:space="0"/>
            </w:tcBorders>
            <w:vAlign w:val="center"/>
          </w:tcPr>
          <w:p w:rsidRPr="000252E5" w:rsidR="0001748E" w:rsidP="008A46A1" w:rsidRDefault="0001748E" w14:paraId="02975998" w14:textId="77777777">
            <w:pPr>
              <w:keepNext/>
              <w:keepLines/>
              <w:jc w:val="center"/>
              <w:rPr>
                <w:rFonts w:ascii="Aptos Narrow" w:hAnsi="Aptos Narrow"/>
                <w:color w:val="000000"/>
                <w:sz w:val="22"/>
                <w:szCs w:val="22"/>
              </w:rPr>
            </w:pPr>
            <w:r>
              <w:rPr>
                <w:rFonts w:ascii="Aptos Narrow" w:hAnsi="Aptos Narrow"/>
                <w:color w:val="000000"/>
                <w:sz w:val="22"/>
                <w:szCs w:val="22"/>
              </w:rPr>
              <w:t>$50,326</w:t>
            </w:r>
          </w:p>
        </w:tc>
        <w:tc>
          <w:tcPr>
            <w:tcW w:w="1350" w:type="dxa"/>
            <w:tcBorders>
              <w:left w:val="single" w:color="auto" w:sz="4" w:space="0"/>
            </w:tcBorders>
            <w:shd w:val="clear" w:color="auto" w:fill="auto"/>
            <w:vAlign w:val="center"/>
          </w:tcPr>
          <w:p w:rsidRPr="000252E5" w:rsidR="0001748E" w:rsidP="008A46A1" w:rsidRDefault="0001748E" w14:paraId="0354DB63" w14:textId="77777777">
            <w:pPr>
              <w:keepNext/>
              <w:keepLines/>
              <w:jc w:val="center"/>
              <w:rPr>
                <w:rFonts w:ascii="Aptos Narrow" w:hAnsi="Aptos Narrow"/>
                <w:color w:val="000000"/>
                <w:sz w:val="22"/>
                <w:szCs w:val="22"/>
              </w:rPr>
            </w:pPr>
            <w:r>
              <w:rPr>
                <w:rFonts w:ascii="Aptos Narrow" w:hAnsi="Aptos Narrow"/>
                <w:color w:val="000000"/>
                <w:sz w:val="22"/>
                <w:szCs w:val="22"/>
              </w:rPr>
              <w:t>$15,059,586</w:t>
            </w:r>
          </w:p>
        </w:tc>
        <w:tc>
          <w:tcPr>
            <w:tcW w:w="1170" w:type="dxa"/>
            <w:tcBorders>
              <w:left w:val="single" w:color="auto" w:sz="4" w:space="0"/>
            </w:tcBorders>
            <w:shd w:val="clear" w:color="auto" w:fill="auto"/>
            <w:vAlign w:val="center"/>
          </w:tcPr>
          <w:p w:rsidRPr="000252E5" w:rsidR="0001748E" w:rsidP="008A46A1" w:rsidRDefault="0001748E" w14:paraId="69711D29" w14:textId="77777777">
            <w:pPr>
              <w:keepNext/>
              <w:keepLines/>
              <w:jc w:val="center"/>
              <w:rPr>
                <w:rFonts w:ascii="Aptos Narrow" w:hAnsi="Aptos Narrow"/>
                <w:color w:val="000000"/>
                <w:sz w:val="22"/>
                <w:szCs w:val="22"/>
              </w:rPr>
            </w:pPr>
            <w:r>
              <w:rPr>
                <w:rFonts w:ascii="Aptos Narrow" w:hAnsi="Aptos Narrow"/>
                <w:color w:val="000000"/>
                <w:sz w:val="22"/>
                <w:szCs w:val="22"/>
              </w:rPr>
              <w:t>94</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3378A793" w14:textId="77777777">
            <w:pPr>
              <w:keepNext/>
              <w:keepLines/>
              <w:jc w:val="center"/>
              <w:rPr>
                <w:rFonts w:ascii="Aptos Narrow" w:hAnsi="Aptos Narrow"/>
                <w:color w:val="000000"/>
                <w:sz w:val="22"/>
                <w:szCs w:val="22"/>
              </w:rPr>
            </w:pPr>
            <w:r>
              <w:rPr>
                <w:rFonts w:ascii="Aptos Narrow" w:hAnsi="Aptos Narrow"/>
                <w:color w:val="000000"/>
                <w:sz w:val="22"/>
                <w:szCs w:val="22"/>
              </w:rPr>
              <w:t>$1.26</w:t>
            </w:r>
          </w:p>
        </w:tc>
      </w:tr>
      <w:tr w:rsidRPr="000252E5" w:rsidR="0001748E" w:rsidTr="00771CD7" w14:paraId="77BB89A7" w14:textId="77777777">
        <w:trPr>
          <w:trHeight w:val="300"/>
        </w:trPr>
        <w:tc>
          <w:tcPr>
            <w:tcW w:w="1890" w:type="dxa"/>
            <w:tcBorders>
              <w:left w:val="single" w:color="auto" w:sz="4" w:space="0"/>
              <w:right w:val="single" w:color="auto" w:sz="4" w:space="0"/>
            </w:tcBorders>
            <w:shd w:val="clear" w:color="auto" w:fill="auto"/>
            <w:noWrap/>
            <w:vAlign w:val="center"/>
          </w:tcPr>
          <w:p w:rsidRPr="000252E5" w:rsidR="0001748E" w:rsidP="008A46A1" w:rsidRDefault="0001748E" w14:paraId="38F1C66C" w14:textId="77777777">
            <w:pPr>
              <w:keepNext/>
              <w:keepLines/>
              <w:jc w:val="center"/>
              <w:rPr>
                <w:rFonts w:ascii="Aptos Narrow" w:hAnsi="Aptos Narrow"/>
                <w:color w:val="000000"/>
                <w:sz w:val="22"/>
                <w:szCs w:val="22"/>
              </w:rPr>
            </w:pPr>
            <w:r>
              <w:rPr>
                <w:rFonts w:ascii="Aptos Narrow" w:hAnsi="Aptos Narrow"/>
                <w:color w:val="000000"/>
                <w:sz w:val="22"/>
                <w:szCs w:val="22"/>
              </w:rPr>
              <w:t>≥ 200</w:t>
            </w:r>
          </w:p>
        </w:tc>
        <w:tc>
          <w:tcPr>
            <w:tcW w:w="1350" w:type="dxa"/>
            <w:tcBorders>
              <w:left w:val="single" w:color="auto" w:sz="4" w:space="0"/>
            </w:tcBorders>
            <w:shd w:val="clear" w:color="auto" w:fill="auto"/>
            <w:noWrap/>
            <w:vAlign w:val="center"/>
          </w:tcPr>
          <w:p w:rsidRPr="000252E5" w:rsidR="0001748E" w:rsidP="008A46A1" w:rsidRDefault="0001748E" w14:paraId="2E55EF95" w14:textId="77777777">
            <w:pPr>
              <w:keepNext/>
              <w:keepLines/>
              <w:jc w:val="center"/>
              <w:rPr>
                <w:rFonts w:ascii="Aptos Narrow" w:hAnsi="Aptos Narrow"/>
                <w:color w:val="000000"/>
                <w:sz w:val="22"/>
                <w:szCs w:val="22"/>
              </w:rPr>
            </w:pPr>
            <w:r>
              <w:rPr>
                <w:rFonts w:ascii="Aptos Narrow" w:hAnsi="Aptos Narrow"/>
                <w:color w:val="000000"/>
                <w:sz w:val="22"/>
                <w:szCs w:val="22"/>
              </w:rPr>
              <w:t>$2,638,117</w:t>
            </w:r>
          </w:p>
        </w:tc>
        <w:tc>
          <w:tcPr>
            <w:tcW w:w="1260" w:type="dxa"/>
            <w:tcBorders>
              <w:left w:val="single" w:color="auto" w:sz="4" w:space="0"/>
            </w:tcBorders>
            <w:vAlign w:val="center"/>
          </w:tcPr>
          <w:p w:rsidRPr="000252E5" w:rsidR="0001748E" w:rsidP="008A46A1" w:rsidRDefault="0001748E" w14:paraId="31D4F282" w14:textId="77777777">
            <w:pPr>
              <w:keepNext/>
              <w:keepLines/>
              <w:jc w:val="center"/>
              <w:rPr>
                <w:rFonts w:ascii="Aptos Narrow" w:hAnsi="Aptos Narrow"/>
                <w:color w:val="000000"/>
                <w:sz w:val="22"/>
                <w:szCs w:val="22"/>
              </w:rPr>
            </w:pPr>
            <w:r>
              <w:rPr>
                <w:rFonts w:ascii="Aptos Narrow" w:hAnsi="Aptos Narrow"/>
                <w:color w:val="000000"/>
                <w:sz w:val="22"/>
                <w:szCs w:val="22"/>
              </w:rPr>
              <w:t>75</w:t>
            </w:r>
          </w:p>
        </w:tc>
        <w:tc>
          <w:tcPr>
            <w:tcW w:w="1260" w:type="dxa"/>
            <w:tcBorders>
              <w:left w:val="single" w:color="auto" w:sz="4" w:space="0"/>
            </w:tcBorders>
            <w:vAlign w:val="center"/>
          </w:tcPr>
          <w:p w:rsidRPr="000252E5" w:rsidR="0001748E" w:rsidP="008A46A1" w:rsidRDefault="0001748E" w14:paraId="516834BA" w14:textId="77777777">
            <w:pPr>
              <w:keepNext/>
              <w:keepLines/>
              <w:jc w:val="center"/>
              <w:rPr>
                <w:rFonts w:ascii="Aptos Narrow" w:hAnsi="Aptos Narrow"/>
                <w:color w:val="000000"/>
                <w:sz w:val="22"/>
                <w:szCs w:val="22"/>
              </w:rPr>
            </w:pPr>
            <w:r>
              <w:rPr>
                <w:rFonts w:ascii="Aptos Narrow" w:hAnsi="Aptos Narrow"/>
                <w:color w:val="000000"/>
                <w:sz w:val="22"/>
                <w:szCs w:val="22"/>
              </w:rPr>
              <w:t>$35,175</w:t>
            </w:r>
          </w:p>
        </w:tc>
        <w:tc>
          <w:tcPr>
            <w:tcW w:w="1350" w:type="dxa"/>
            <w:tcBorders>
              <w:left w:val="single" w:color="auto" w:sz="4" w:space="0"/>
            </w:tcBorders>
            <w:shd w:val="clear" w:color="auto" w:fill="auto"/>
            <w:vAlign w:val="center"/>
          </w:tcPr>
          <w:p w:rsidRPr="000252E5" w:rsidR="0001748E" w:rsidP="008A46A1" w:rsidRDefault="0001748E" w14:paraId="25BB92B2" w14:textId="77777777">
            <w:pPr>
              <w:keepNext/>
              <w:keepLines/>
              <w:jc w:val="center"/>
              <w:rPr>
                <w:rFonts w:ascii="Aptos Narrow" w:hAnsi="Aptos Narrow"/>
                <w:color w:val="000000"/>
                <w:sz w:val="22"/>
                <w:szCs w:val="22"/>
              </w:rPr>
            </w:pPr>
            <w:r>
              <w:rPr>
                <w:rFonts w:ascii="Aptos Narrow" w:hAnsi="Aptos Narrow"/>
                <w:color w:val="000000"/>
                <w:sz w:val="22"/>
                <w:szCs w:val="22"/>
              </w:rPr>
              <w:t>$17,697,703</w:t>
            </w:r>
          </w:p>
        </w:tc>
        <w:tc>
          <w:tcPr>
            <w:tcW w:w="1170" w:type="dxa"/>
            <w:tcBorders>
              <w:left w:val="single" w:color="auto" w:sz="4" w:space="0"/>
            </w:tcBorders>
            <w:shd w:val="clear" w:color="auto" w:fill="auto"/>
            <w:vAlign w:val="center"/>
          </w:tcPr>
          <w:p w:rsidRPr="000252E5" w:rsidR="0001748E" w:rsidP="008A46A1" w:rsidRDefault="0001748E" w14:paraId="27F78950" w14:textId="77777777">
            <w:pPr>
              <w:keepNext/>
              <w:keepLines/>
              <w:jc w:val="center"/>
              <w:rPr>
                <w:rFonts w:ascii="Aptos Narrow" w:hAnsi="Aptos Narrow"/>
                <w:color w:val="000000"/>
                <w:sz w:val="22"/>
                <w:szCs w:val="22"/>
              </w:rPr>
            </w:pPr>
            <w:r>
              <w:rPr>
                <w:rFonts w:ascii="Aptos Narrow" w:hAnsi="Aptos Narrow"/>
                <w:color w:val="000000"/>
                <w:sz w:val="22"/>
                <w:szCs w:val="22"/>
              </w:rPr>
              <w:t>169</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5E5B82F3" w14:textId="77777777">
            <w:pPr>
              <w:keepNext/>
              <w:keepLines/>
              <w:jc w:val="center"/>
              <w:rPr>
                <w:rFonts w:ascii="Aptos Narrow" w:hAnsi="Aptos Narrow"/>
                <w:color w:val="000000"/>
                <w:sz w:val="22"/>
                <w:szCs w:val="22"/>
              </w:rPr>
            </w:pPr>
            <w:r>
              <w:rPr>
                <w:rFonts w:ascii="Aptos Narrow" w:hAnsi="Aptos Narrow"/>
                <w:color w:val="000000"/>
                <w:sz w:val="22"/>
                <w:szCs w:val="22"/>
              </w:rPr>
              <w:t>$1.49</w:t>
            </w:r>
          </w:p>
        </w:tc>
      </w:tr>
      <w:tr w:rsidRPr="000252E5" w:rsidR="0001748E" w:rsidTr="00771CD7" w14:paraId="4CF3EF5C" w14:textId="77777777">
        <w:trPr>
          <w:trHeight w:val="300"/>
        </w:trPr>
        <w:tc>
          <w:tcPr>
            <w:tcW w:w="1890" w:type="dxa"/>
            <w:tcBorders>
              <w:left w:val="single" w:color="auto" w:sz="4" w:space="0"/>
              <w:right w:val="single" w:color="auto" w:sz="4" w:space="0"/>
            </w:tcBorders>
            <w:shd w:val="clear" w:color="auto" w:fill="FCFCB6"/>
            <w:noWrap/>
            <w:vAlign w:val="center"/>
          </w:tcPr>
          <w:p w:rsidR="0001748E" w:rsidP="008A46A1" w:rsidRDefault="0001748E" w14:paraId="709CC2A7" w14:textId="77777777">
            <w:pPr>
              <w:keepNext/>
              <w:keepLines/>
              <w:jc w:val="center"/>
              <w:rPr>
                <w:rFonts w:ascii="Aptos Narrow" w:hAnsi="Aptos Narrow"/>
                <w:color w:val="000000"/>
                <w:sz w:val="22"/>
                <w:szCs w:val="22"/>
              </w:rPr>
            </w:pPr>
            <w:r>
              <w:rPr>
                <w:rFonts w:ascii="Aptos Narrow" w:hAnsi="Aptos Narrow"/>
                <w:color w:val="000000"/>
                <w:sz w:val="22"/>
                <w:szCs w:val="22"/>
              </w:rPr>
              <w:t>≥ 100</w:t>
            </w:r>
          </w:p>
        </w:tc>
        <w:tc>
          <w:tcPr>
            <w:tcW w:w="1350" w:type="dxa"/>
            <w:tcBorders>
              <w:left w:val="single" w:color="auto" w:sz="4" w:space="0"/>
            </w:tcBorders>
            <w:shd w:val="clear" w:color="auto" w:fill="FCFCB6"/>
            <w:noWrap/>
            <w:vAlign w:val="center"/>
          </w:tcPr>
          <w:p w:rsidRPr="000252E5" w:rsidR="0001748E" w:rsidP="008A46A1" w:rsidRDefault="0001748E" w14:paraId="48E46B97" w14:textId="77777777">
            <w:pPr>
              <w:keepNext/>
              <w:keepLines/>
              <w:jc w:val="center"/>
              <w:rPr>
                <w:rFonts w:ascii="Aptos Narrow" w:hAnsi="Aptos Narrow"/>
                <w:color w:val="000000"/>
                <w:sz w:val="22"/>
                <w:szCs w:val="22"/>
              </w:rPr>
            </w:pPr>
            <w:r>
              <w:rPr>
                <w:rFonts w:ascii="Aptos Narrow" w:hAnsi="Aptos Narrow"/>
                <w:color w:val="000000"/>
                <w:sz w:val="22"/>
                <w:szCs w:val="22"/>
              </w:rPr>
              <w:t>$4,534,611</w:t>
            </w:r>
          </w:p>
        </w:tc>
        <w:tc>
          <w:tcPr>
            <w:tcW w:w="1260" w:type="dxa"/>
            <w:tcBorders>
              <w:left w:val="single" w:color="auto" w:sz="4" w:space="0"/>
            </w:tcBorders>
            <w:shd w:val="clear" w:color="auto" w:fill="FCFCB6"/>
            <w:vAlign w:val="center"/>
          </w:tcPr>
          <w:p w:rsidRPr="000252E5" w:rsidR="0001748E" w:rsidP="008A46A1" w:rsidRDefault="0001748E" w14:paraId="7E00617C" w14:textId="77777777">
            <w:pPr>
              <w:keepNext/>
              <w:keepLines/>
              <w:jc w:val="center"/>
              <w:rPr>
                <w:rFonts w:ascii="Aptos Narrow" w:hAnsi="Aptos Narrow"/>
                <w:color w:val="000000"/>
                <w:sz w:val="22"/>
                <w:szCs w:val="22"/>
              </w:rPr>
            </w:pPr>
            <w:r>
              <w:rPr>
                <w:rFonts w:ascii="Aptos Narrow" w:hAnsi="Aptos Narrow"/>
                <w:color w:val="000000"/>
                <w:sz w:val="22"/>
                <w:szCs w:val="22"/>
              </w:rPr>
              <w:t>232</w:t>
            </w:r>
          </w:p>
        </w:tc>
        <w:tc>
          <w:tcPr>
            <w:tcW w:w="1260" w:type="dxa"/>
            <w:tcBorders>
              <w:left w:val="single" w:color="auto" w:sz="4" w:space="0"/>
            </w:tcBorders>
            <w:shd w:val="clear" w:color="auto" w:fill="FCFCB6"/>
            <w:vAlign w:val="center"/>
          </w:tcPr>
          <w:p w:rsidRPr="000252E5" w:rsidR="0001748E" w:rsidP="008A46A1" w:rsidRDefault="0001748E" w14:paraId="6FA8C5E2" w14:textId="77777777">
            <w:pPr>
              <w:keepNext/>
              <w:keepLines/>
              <w:jc w:val="center"/>
              <w:rPr>
                <w:rFonts w:ascii="Aptos Narrow" w:hAnsi="Aptos Narrow"/>
                <w:color w:val="000000"/>
                <w:sz w:val="22"/>
                <w:szCs w:val="22"/>
              </w:rPr>
            </w:pPr>
            <w:r>
              <w:rPr>
                <w:rFonts w:ascii="Aptos Narrow" w:hAnsi="Aptos Narrow"/>
                <w:color w:val="000000"/>
                <w:sz w:val="22"/>
                <w:szCs w:val="22"/>
              </w:rPr>
              <w:t>$19,546</w:t>
            </w:r>
          </w:p>
        </w:tc>
        <w:tc>
          <w:tcPr>
            <w:tcW w:w="1350" w:type="dxa"/>
            <w:tcBorders>
              <w:left w:val="single" w:color="auto" w:sz="4" w:space="0"/>
            </w:tcBorders>
            <w:shd w:val="clear" w:color="auto" w:fill="FCFCB6"/>
            <w:vAlign w:val="center"/>
          </w:tcPr>
          <w:p w:rsidRPr="000252E5" w:rsidR="0001748E" w:rsidP="008A46A1" w:rsidRDefault="0001748E" w14:paraId="38BC6869" w14:textId="77777777">
            <w:pPr>
              <w:keepNext/>
              <w:keepLines/>
              <w:jc w:val="center"/>
              <w:rPr>
                <w:rFonts w:ascii="Aptos Narrow" w:hAnsi="Aptos Narrow"/>
                <w:color w:val="000000"/>
                <w:sz w:val="22"/>
                <w:szCs w:val="22"/>
              </w:rPr>
            </w:pPr>
            <w:r>
              <w:rPr>
                <w:rFonts w:ascii="Aptos Narrow" w:hAnsi="Aptos Narrow"/>
                <w:color w:val="000000"/>
                <w:sz w:val="22"/>
                <w:szCs w:val="22"/>
              </w:rPr>
              <w:t>$22,232,314</w:t>
            </w:r>
          </w:p>
        </w:tc>
        <w:tc>
          <w:tcPr>
            <w:tcW w:w="1170" w:type="dxa"/>
            <w:tcBorders>
              <w:left w:val="single" w:color="auto" w:sz="4" w:space="0"/>
            </w:tcBorders>
            <w:shd w:val="clear" w:color="auto" w:fill="FCFCB6"/>
            <w:vAlign w:val="center"/>
          </w:tcPr>
          <w:p w:rsidRPr="000252E5" w:rsidR="0001748E" w:rsidP="008A46A1" w:rsidRDefault="0001748E" w14:paraId="2EFE60FB" w14:textId="77777777">
            <w:pPr>
              <w:keepNext/>
              <w:keepLines/>
              <w:jc w:val="center"/>
              <w:rPr>
                <w:rFonts w:ascii="Aptos Narrow" w:hAnsi="Aptos Narrow"/>
                <w:color w:val="000000"/>
                <w:sz w:val="22"/>
                <w:szCs w:val="22"/>
              </w:rPr>
            </w:pPr>
            <w:r>
              <w:rPr>
                <w:rFonts w:ascii="Aptos Narrow" w:hAnsi="Aptos Narrow"/>
                <w:color w:val="000000"/>
                <w:sz w:val="22"/>
                <w:szCs w:val="22"/>
              </w:rPr>
              <w:t>401</w:t>
            </w:r>
          </w:p>
        </w:tc>
        <w:tc>
          <w:tcPr>
            <w:tcW w:w="1260" w:type="dxa"/>
            <w:tcBorders>
              <w:left w:val="single" w:color="auto" w:sz="4" w:space="0"/>
              <w:right w:val="single" w:color="auto" w:sz="4" w:space="0"/>
            </w:tcBorders>
            <w:shd w:val="clear" w:color="auto" w:fill="FCFCB6"/>
            <w:vAlign w:val="center"/>
          </w:tcPr>
          <w:p w:rsidRPr="000252E5" w:rsidR="0001748E" w:rsidP="008A46A1" w:rsidRDefault="0001748E" w14:paraId="6FDB590B" w14:textId="77777777">
            <w:pPr>
              <w:keepNext/>
              <w:keepLines/>
              <w:jc w:val="center"/>
              <w:rPr>
                <w:rFonts w:ascii="Aptos Narrow" w:hAnsi="Aptos Narrow"/>
                <w:color w:val="000000"/>
                <w:sz w:val="22"/>
                <w:szCs w:val="22"/>
              </w:rPr>
            </w:pPr>
            <w:r>
              <w:rPr>
                <w:rFonts w:ascii="Aptos Narrow" w:hAnsi="Aptos Narrow"/>
                <w:color w:val="000000"/>
                <w:sz w:val="22"/>
                <w:szCs w:val="22"/>
              </w:rPr>
              <w:t>$1.87</w:t>
            </w:r>
          </w:p>
        </w:tc>
      </w:tr>
      <w:tr w:rsidRPr="000252E5" w:rsidR="0001748E" w:rsidTr="00771CD7" w14:paraId="72E3A05D" w14:textId="77777777">
        <w:trPr>
          <w:trHeight w:val="300"/>
        </w:trPr>
        <w:tc>
          <w:tcPr>
            <w:tcW w:w="1890" w:type="dxa"/>
            <w:tcBorders>
              <w:left w:val="single" w:color="auto" w:sz="4" w:space="0"/>
              <w:right w:val="single" w:color="auto" w:sz="4" w:space="0"/>
            </w:tcBorders>
            <w:shd w:val="clear" w:color="auto" w:fill="auto"/>
            <w:noWrap/>
            <w:vAlign w:val="center"/>
          </w:tcPr>
          <w:p w:rsidR="0001748E" w:rsidP="008A46A1" w:rsidRDefault="0001748E" w14:paraId="453279B5" w14:textId="77777777">
            <w:pPr>
              <w:keepNext/>
              <w:keepLines/>
              <w:jc w:val="center"/>
              <w:rPr>
                <w:rFonts w:ascii="Aptos Narrow" w:hAnsi="Aptos Narrow"/>
                <w:color w:val="000000"/>
                <w:sz w:val="22"/>
                <w:szCs w:val="22"/>
              </w:rPr>
            </w:pPr>
            <w:r>
              <w:rPr>
                <w:rFonts w:ascii="Aptos Narrow" w:hAnsi="Aptos Narrow"/>
                <w:color w:val="000000"/>
                <w:sz w:val="22"/>
                <w:szCs w:val="22"/>
              </w:rPr>
              <w:t>≥ 50</w:t>
            </w:r>
          </w:p>
        </w:tc>
        <w:tc>
          <w:tcPr>
            <w:tcW w:w="1350" w:type="dxa"/>
            <w:tcBorders>
              <w:left w:val="single" w:color="auto" w:sz="4" w:space="0"/>
            </w:tcBorders>
            <w:shd w:val="clear" w:color="auto" w:fill="auto"/>
            <w:noWrap/>
            <w:vAlign w:val="center"/>
          </w:tcPr>
          <w:p w:rsidR="0001748E" w:rsidP="008A46A1" w:rsidRDefault="0001748E" w14:paraId="3C73F410" w14:textId="77777777">
            <w:pPr>
              <w:keepNext/>
              <w:keepLines/>
              <w:jc w:val="center"/>
              <w:rPr>
                <w:rFonts w:ascii="Aptos Narrow" w:hAnsi="Aptos Narrow"/>
                <w:color w:val="000000"/>
                <w:sz w:val="22"/>
                <w:szCs w:val="22"/>
              </w:rPr>
            </w:pPr>
            <w:r>
              <w:rPr>
                <w:rFonts w:ascii="Aptos Narrow" w:hAnsi="Aptos Narrow"/>
                <w:color w:val="000000"/>
                <w:sz w:val="22"/>
                <w:szCs w:val="22"/>
              </w:rPr>
              <w:t>$5,142,911</w:t>
            </w:r>
          </w:p>
        </w:tc>
        <w:tc>
          <w:tcPr>
            <w:tcW w:w="1260" w:type="dxa"/>
            <w:tcBorders>
              <w:left w:val="single" w:color="auto" w:sz="4" w:space="0"/>
            </w:tcBorders>
            <w:vAlign w:val="center"/>
          </w:tcPr>
          <w:p w:rsidR="0001748E" w:rsidP="008A46A1" w:rsidRDefault="0001748E" w14:paraId="4766E573" w14:textId="77777777">
            <w:pPr>
              <w:keepNext/>
              <w:keepLines/>
              <w:jc w:val="center"/>
              <w:rPr>
                <w:rFonts w:ascii="Aptos Narrow" w:hAnsi="Aptos Narrow"/>
                <w:color w:val="000000"/>
                <w:sz w:val="22"/>
                <w:szCs w:val="22"/>
              </w:rPr>
            </w:pPr>
            <w:r>
              <w:rPr>
                <w:rFonts w:ascii="Aptos Narrow" w:hAnsi="Aptos Narrow"/>
                <w:color w:val="000000"/>
                <w:sz w:val="22"/>
                <w:szCs w:val="22"/>
              </w:rPr>
              <w:t>527</w:t>
            </w:r>
          </w:p>
        </w:tc>
        <w:tc>
          <w:tcPr>
            <w:tcW w:w="1260" w:type="dxa"/>
            <w:tcBorders>
              <w:left w:val="single" w:color="auto" w:sz="4" w:space="0"/>
            </w:tcBorders>
            <w:vAlign w:val="center"/>
          </w:tcPr>
          <w:p w:rsidR="0001748E" w:rsidP="008A46A1" w:rsidRDefault="0001748E" w14:paraId="517D4C3C" w14:textId="77777777">
            <w:pPr>
              <w:keepNext/>
              <w:keepLines/>
              <w:jc w:val="center"/>
              <w:rPr>
                <w:rFonts w:ascii="Aptos Narrow" w:hAnsi="Aptos Narrow"/>
                <w:color w:val="000000"/>
                <w:sz w:val="22"/>
                <w:szCs w:val="22"/>
              </w:rPr>
            </w:pPr>
            <w:r>
              <w:rPr>
                <w:rFonts w:ascii="Aptos Narrow" w:hAnsi="Aptos Narrow"/>
                <w:color w:val="000000"/>
                <w:sz w:val="22"/>
                <w:szCs w:val="22"/>
              </w:rPr>
              <w:t>$9,759</w:t>
            </w:r>
          </w:p>
        </w:tc>
        <w:tc>
          <w:tcPr>
            <w:tcW w:w="1350" w:type="dxa"/>
            <w:tcBorders>
              <w:left w:val="single" w:color="auto" w:sz="4" w:space="0"/>
            </w:tcBorders>
            <w:shd w:val="clear" w:color="auto" w:fill="auto"/>
            <w:vAlign w:val="center"/>
          </w:tcPr>
          <w:p w:rsidRPr="000252E5" w:rsidR="0001748E" w:rsidP="008A46A1" w:rsidRDefault="0001748E" w14:paraId="4EE2835F" w14:textId="77777777">
            <w:pPr>
              <w:keepNext/>
              <w:keepLines/>
              <w:jc w:val="center"/>
              <w:rPr>
                <w:rFonts w:ascii="Aptos Narrow" w:hAnsi="Aptos Narrow"/>
                <w:color w:val="000000"/>
                <w:sz w:val="22"/>
                <w:szCs w:val="22"/>
              </w:rPr>
            </w:pPr>
            <w:r>
              <w:rPr>
                <w:rFonts w:ascii="Aptos Narrow" w:hAnsi="Aptos Narrow"/>
                <w:color w:val="000000"/>
                <w:sz w:val="22"/>
                <w:szCs w:val="22"/>
              </w:rPr>
              <w:t>$27,375,225</w:t>
            </w:r>
          </w:p>
        </w:tc>
        <w:tc>
          <w:tcPr>
            <w:tcW w:w="1170" w:type="dxa"/>
            <w:tcBorders>
              <w:left w:val="single" w:color="auto" w:sz="4" w:space="0"/>
            </w:tcBorders>
            <w:shd w:val="clear" w:color="auto" w:fill="auto"/>
            <w:vAlign w:val="center"/>
          </w:tcPr>
          <w:p w:rsidRPr="000252E5" w:rsidR="0001748E" w:rsidP="008A46A1" w:rsidRDefault="0001748E" w14:paraId="62D6AABA" w14:textId="77777777">
            <w:pPr>
              <w:keepNext/>
              <w:keepLines/>
              <w:jc w:val="center"/>
              <w:rPr>
                <w:rFonts w:ascii="Aptos Narrow" w:hAnsi="Aptos Narrow"/>
                <w:color w:val="000000"/>
                <w:sz w:val="22"/>
                <w:szCs w:val="22"/>
              </w:rPr>
            </w:pPr>
            <w:r>
              <w:rPr>
                <w:rFonts w:ascii="Aptos Narrow" w:hAnsi="Aptos Narrow"/>
                <w:color w:val="000000"/>
                <w:sz w:val="22"/>
                <w:szCs w:val="22"/>
              </w:rPr>
              <w:t>928</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60608BE4" w14:textId="77777777">
            <w:pPr>
              <w:keepNext/>
              <w:keepLines/>
              <w:jc w:val="center"/>
              <w:rPr>
                <w:rFonts w:ascii="Aptos Narrow" w:hAnsi="Aptos Narrow"/>
                <w:color w:val="000000"/>
                <w:sz w:val="22"/>
                <w:szCs w:val="22"/>
              </w:rPr>
            </w:pPr>
            <w:r>
              <w:rPr>
                <w:rFonts w:ascii="Aptos Narrow" w:hAnsi="Aptos Narrow"/>
                <w:color w:val="000000"/>
                <w:sz w:val="22"/>
                <w:szCs w:val="22"/>
              </w:rPr>
              <w:t>$2.31</w:t>
            </w:r>
          </w:p>
        </w:tc>
      </w:tr>
      <w:tr w:rsidRPr="000252E5" w:rsidR="0001748E" w:rsidTr="00771CD7" w14:paraId="0FBC67B2" w14:textId="77777777">
        <w:trPr>
          <w:trHeight w:val="300"/>
        </w:trPr>
        <w:tc>
          <w:tcPr>
            <w:tcW w:w="1890" w:type="dxa"/>
            <w:tcBorders>
              <w:left w:val="single" w:color="auto" w:sz="4" w:space="0"/>
              <w:right w:val="single" w:color="auto" w:sz="4" w:space="0"/>
            </w:tcBorders>
            <w:shd w:val="clear" w:color="auto" w:fill="auto"/>
            <w:noWrap/>
            <w:vAlign w:val="center"/>
          </w:tcPr>
          <w:p w:rsidR="0001748E" w:rsidP="008A46A1" w:rsidRDefault="0001748E" w14:paraId="218BF743" w14:textId="77777777">
            <w:pPr>
              <w:keepNext/>
              <w:keepLines/>
              <w:jc w:val="center"/>
              <w:rPr>
                <w:rFonts w:ascii="Aptos Narrow" w:hAnsi="Aptos Narrow"/>
                <w:color w:val="000000"/>
                <w:sz w:val="22"/>
                <w:szCs w:val="22"/>
              </w:rPr>
            </w:pPr>
            <w:r>
              <w:rPr>
                <w:rFonts w:ascii="Aptos Narrow" w:hAnsi="Aptos Narrow"/>
                <w:color w:val="000000"/>
                <w:sz w:val="22"/>
                <w:szCs w:val="22"/>
              </w:rPr>
              <w:t>≥ 25</w:t>
            </w:r>
          </w:p>
        </w:tc>
        <w:tc>
          <w:tcPr>
            <w:tcW w:w="1350" w:type="dxa"/>
            <w:tcBorders>
              <w:left w:val="single" w:color="auto" w:sz="4" w:space="0"/>
            </w:tcBorders>
            <w:shd w:val="clear" w:color="auto" w:fill="auto"/>
            <w:noWrap/>
            <w:vAlign w:val="center"/>
          </w:tcPr>
          <w:p w:rsidR="0001748E" w:rsidP="008A46A1" w:rsidRDefault="0001748E" w14:paraId="11999956" w14:textId="77777777">
            <w:pPr>
              <w:keepNext/>
              <w:keepLines/>
              <w:jc w:val="center"/>
              <w:rPr>
                <w:rFonts w:ascii="Aptos Narrow" w:hAnsi="Aptos Narrow"/>
                <w:color w:val="000000"/>
                <w:sz w:val="22"/>
                <w:szCs w:val="22"/>
              </w:rPr>
            </w:pPr>
            <w:r>
              <w:rPr>
                <w:rFonts w:ascii="Aptos Narrow" w:hAnsi="Aptos Narrow"/>
                <w:color w:val="000000"/>
                <w:sz w:val="22"/>
                <w:szCs w:val="22"/>
              </w:rPr>
              <w:t>$7,550,013</w:t>
            </w:r>
          </w:p>
        </w:tc>
        <w:tc>
          <w:tcPr>
            <w:tcW w:w="1260" w:type="dxa"/>
            <w:tcBorders>
              <w:left w:val="single" w:color="auto" w:sz="4" w:space="0"/>
            </w:tcBorders>
            <w:vAlign w:val="center"/>
          </w:tcPr>
          <w:p w:rsidR="0001748E" w:rsidP="008A46A1" w:rsidRDefault="0001748E" w14:paraId="4C9C4378" w14:textId="77777777">
            <w:pPr>
              <w:keepNext/>
              <w:keepLines/>
              <w:jc w:val="center"/>
              <w:rPr>
                <w:rFonts w:ascii="Aptos Narrow" w:hAnsi="Aptos Narrow"/>
                <w:color w:val="000000"/>
                <w:sz w:val="22"/>
                <w:szCs w:val="22"/>
              </w:rPr>
            </w:pPr>
            <w:r>
              <w:rPr>
                <w:rFonts w:ascii="Aptos Narrow" w:hAnsi="Aptos Narrow"/>
                <w:color w:val="000000"/>
                <w:sz w:val="22"/>
                <w:szCs w:val="22"/>
              </w:rPr>
              <w:t>1,499</w:t>
            </w:r>
          </w:p>
        </w:tc>
        <w:tc>
          <w:tcPr>
            <w:tcW w:w="1260" w:type="dxa"/>
            <w:tcBorders>
              <w:left w:val="single" w:color="auto" w:sz="4" w:space="0"/>
            </w:tcBorders>
            <w:vAlign w:val="center"/>
          </w:tcPr>
          <w:p w:rsidR="0001748E" w:rsidP="008A46A1" w:rsidRDefault="0001748E" w14:paraId="21D53A85" w14:textId="77777777">
            <w:pPr>
              <w:keepNext/>
              <w:keepLines/>
              <w:jc w:val="center"/>
              <w:rPr>
                <w:rFonts w:ascii="Aptos Narrow" w:hAnsi="Aptos Narrow"/>
                <w:color w:val="000000"/>
                <w:sz w:val="22"/>
                <w:szCs w:val="22"/>
              </w:rPr>
            </w:pPr>
            <w:r>
              <w:rPr>
                <w:rFonts w:ascii="Aptos Narrow" w:hAnsi="Aptos Narrow"/>
                <w:color w:val="000000"/>
                <w:sz w:val="22"/>
                <w:szCs w:val="22"/>
              </w:rPr>
              <w:t>$5,037</w:t>
            </w:r>
          </w:p>
        </w:tc>
        <w:tc>
          <w:tcPr>
            <w:tcW w:w="1350" w:type="dxa"/>
            <w:tcBorders>
              <w:left w:val="single" w:color="auto" w:sz="4" w:space="0"/>
            </w:tcBorders>
            <w:shd w:val="clear" w:color="auto" w:fill="auto"/>
            <w:vAlign w:val="center"/>
          </w:tcPr>
          <w:p w:rsidRPr="000252E5" w:rsidR="0001748E" w:rsidP="008A46A1" w:rsidRDefault="0001748E" w14:paraId="0C32D7B0" w14:textId="77777777">
            <w:pPr>
              <w:keepNext/>
              <w:keepLines/>
              <w:jc w:val="center"/>
              <w:rPr>
                <w:rFonts w:ascii="Aptos Narrow" w:hAnsi="Aptos Narrow"/>
                <w:color w:val="000000"/>
                <w:sz w:val="22"/>
                <w:szCs w:val="22"/>
              </w:rPr>
            </w:pPr>
            <w:r>
              <w:rPr>
                <w:rFonts w:ascii="Aptos Narrow" w:hAnsi="Aptos Narrow"/>
                <w:color w:val="000000"/>
                <w:sz w:val="22"/>
                <w:szCs w:val="22"/>
              </w:rPr>
              <w:t>$34,925,238</w:t>
            </w:r>
          </w:p>
        </w:tc>
        <w:tc>
          <w:tcPr>
            <w:tcW w:w="1170" w:type="dxa"/>
            <w:tcBorders>
              <w:left w:val="single" w:color="auto" w:sz="4" w:space="0"/>
            </w:tcBorders>
            <w:shd w:val="clear" w:color="auto" w:fill="auto"/>
            <w:vAlign w:val="center"/>
          </w:tcPr>
          <w:p w:rsidRPr="000252E5" w:rsidR="0001748E" w:rsidP="008A46A1" w:rsidRDefault="0001748E" w14:paraId="15892679" w14:textId="77777777">
            <w:pPr>
              <w:keepNext/>
              <w:keepLines/>
              <w:jc w:val="center"/>
              <w:rPr>
                <w:rFonts w:ascii="Aptos Narrow" w:hAnsi="Aptos Narrow"/>
                <w:color w:val="000000"/>
                <w:sz w:val="22"/>
                <w:szCs w:val="22"/>
              </w:rPr>
            </w:pPr>
            <w:r>
              <w:rPr>
                <w:rFonts w:ascii="Aptos Narrow" w:hAnsi="Aptos Narrow"/>
                <w:color w:val="000000"/>
                <w:sz w:val="22"/>
                <w:szCs w:val="22"/>
              </w:rPr>
              <w:t>2427</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4995B7E3" w14:textId="77777777">
            <w:pPr>
              <w:keepNext/>
              <w:keepLines/>
              <w:jc w:val="center"/>
              <w:rPr>
                <w:rFonts w:ascii="Aptos Narrow" w:hAnsi="Aptos Narrow"/>
                <w:color w:val="000000"/>
                <w:sz w:val="22"/>
                <w:szCs w:val="22"/>
              </w:rPr>
            </w:pPr>
            <w:r>
              <w:rPr>
                <w:rFonts w:ascii="Aptos Narrow" w:hAnsi="Aptos Narrow"/>
                <w:color w:val="000000"/>
                <w:sz w:val="22"/>
                <w:szCs w:val="22"/>
              </w:rPr>
              <w:t>$2.96</w:t>
            </w:r>
          </w:p>
        </w:tc>
      </w:tr>
      <w:tr w:rsidRPr="000252E5" w:rsidR="0001748E" w:rsidTr="00771CD7" w14:paraId="02A317AB" w14:textId="77777777">
        <w:trPr>
          <w:trHeight w:val="300"/>
        </w:trPr>
        <w:tc>
          <w:tcPr>
            <w:tcW w:w="1890" w:type="dxa"/>
            <w:tcBorders>
              <w:left w:val="single" w:color="auto" w:sz="4" w:space="0"/>
              <w:right w:val="single" w:color="auto" w:sz="4" w:space="0"/>
            </w:tcBorders>
            <w:shd w:val="clear" w:color="auto" w:fill="auto"/>
            <w:noWrap/>
            <w:vAlign w:val="center"/>
          </w:tcPr>
          <w:p w:rsidR="0001748E" w:rsidP="008A46A1" w:rsidRDefault="0001748E" w14:paraId="49E2BE2D" w14:textId="77777777">
            <w:pPr>
              <w:keepNext/>
              <w:keepLines/>
              <w:jc w:val="center"/>
              <w:rPr>
                <w:rFonts w:ascii="Aptos Narrow" w:hAnsi="Aptos Narrow"/>
                <w:color w:val="000000"/>
                <w:sz w:val="22"/>
                <w:szCs w:val="22"/>
              </w:rPr>
            </w:pPr>
            <w:r>
              <w:rPr>
                <w:rFonts w:ascii="Aptos Narrow" w:hAnsi="Aptos Narrow"/>
                <w:color w:val="000000"/>
                <w:sz w:val="22"/>
                <w:szCs w:val="22"/>
              </w:rPr>
              <w:t>≥ 10</w:t>
            </w:r>
          </w:p>
        </w:tc>
        <w:tc>
          <w:tcPr>
            <w:tcW w:w="1350" w:type="dxa"/>
            <w:tcBorders>
              <w:left w:val="single" w:color="auto" w:sz="4" w:space="0"/>
            </w:tcBorders>
            <w:shd w:val="clear" w:color="auto" w:fill="auto"/>
            <w:noWrap/>
            <w:vAlign w:val="center"/>
          </w:tcPr>
          <w:p w:rsidR="0001748E" w:rsidP="008A46A1" w:rsidRDefault="0001748E" w14:paraId="1AA6AC20" w14:textId="77777777">
            <w:pPr>
              <w:keepNext/>
              <w:keepLines/>
              <w:jc w:val="center"/>
              <w:rPr>
                <w:rFonts w:ascii="Aptos Narrow" w:hAnsi="Aptos Narrow"/>
                <w:color w:val="000000"/>
                <w:sz w:val="22"/>
                <w:szCs w:val="22"/>
              </w:rPr>
            </w:pPr>
            <w:r>
              <w:rPr>
                <w:rFonts w:ascii="Aptos Narrow" w:hAnsi="Aptos Narrow"/>
                <w:color w:val="000000"/>
                <w:sz w:val="22"/>
                <w:szCs w:val="22"/>
              </w:rPr>
              <w:t>$14,087,248</w:t>
            </w:r>
          </w:p>
        </w:tc>
        <w:tc>
          <w:tcPr>
            <w:tcW w:w="1260" w:type="dxa"/>
            <w:tcBorders>
              <w:left w:val="single" w:color="auto" w:sz="4" w:space="0"/>
            </w:tcBorders>
            <w:vAlign w:val="center"/>
          </w:tcPr>
          <w:p w:rsidR="0001748E" w:rsidP="008A46A1" w:rsidRDefault="0001748E" w14:paraId="0726110F" w14:textId="77777777">
            <w:pPr>
              <w:keepNext/>
              <w:keepLines/>
              <w:jc w:val="center"/>
              <w:rPr>
                <w:rFonts w:ascii="Aptos Narrow" w:hAnsi="Aptos Narrow"/>
                <w:color w:val="000000"/>
                <w:sz w:val="22"/>
                <w:szCs w:val="22"/>
              </w:rPr>
            </w:pPr>
            <w:r>
              <w:rPr>
                <w:rFonts w:ascii="Aptos Narrow" w:hAnsi="Aptos Narrow"/>
                <w:color w:val="000000"/>
                <w:sz w:val="22"/>
                <w:szCs w:val="22"/>
              </w:rPr>
              <w:t>6,714</w:t>
            </w:r>
          </w:p>
        </w:tc>
        <w:tc>
          <w:tcPr>
            <w:tcW w:w="1260" w:type="dxa"/>
            <w:tcBorders>
              <w:left w:val="single" w:color="auto" w:sz="4" w:space="0"/>
            </w:tcBorders>
            <w:vAlign w:val="center"/>
          </w:tcPr>
          <w:p w:rsidR="0001748E" w:rsidP="008A46A1" w:rsidRDefault="0001748E" w14:paraId="5A692039" w14:textId="77777777">
            <w:pPr>
              <w:keepNext/>
              <w:keepLines/>
              <w:jc w:val="center"/>
              <w:rPr>
                <w:rFonts w:ascii="Aptos Narrow" w:hAnsi="Aptos Narrow"/>
                <w:color w:val="000000"/>
                <w:sz w:val="22"/>
                <w:szCs w:val="22"/>
              </w:rPr>
            </w:pPr>
            <w:r>
              <w:rPr>
                <w:rFonts w:ascii="Aptos Narrow" w:hAnsi="Aptos Narrow"/>
                <w:color w:val="000000"/>
                <w:sz w:val="22"/>
                <w:szCs w:val="22"/>
              </w:rPr>
              <w:t>$2,098</w:t>
            </w:r>
          </w:p>
        </w:tc>
        <w:tc>
          <w:tcPr>
            <w:tcW w:w="1350" w:type="dxa"/>
            <w:tcBorders>
              <w:left w:val="single" w:color="auto" w:sz="4" w:space="0"/>
            </w:tcBorders>
            <w:shd w:val="clear" w:color="auto" w:fill="auto"/>
            <w:vAlign w:val="center"/>
          </w:tcPr>
          <w:p w:rsidRPr="000252E5" w:rsidR="0001748E" w:rsidP="008A46A1" w:rsidRDefault="0001748E" w14:paraId="0E061841" w14:textId="77777777">
            <w:pPr>
              <w:keepNext/>
              <w:keepLines/>
              <w:jc w:val="center"/>
              <w:rPr>
                <w:rFonts w:ascii="Aptos Narrow" w:hAnsi="Aptos Narrow"/>
                <w:color w:val="000000"/>
                <w:sz w:val="22"/>
                <w:szCs w:val="22"/>
              </w:rPr>
            </w:pPr>
            <w:r>
              <w:rPr>
                <w:rFonts w:ascii="Aptos Narrow" w:hAnsi="Aptos Narrow"/>
                <w:color w:val="000000"/>
                <w:sz w:val="22"/>
                <w:szCs w:val="22"/>
              </w:rPr>
              <w:t>$49,012,486</w:t>
            </w:r>
          </w:p>
        </w:tc>
        <w:tc>
          <w:tcPr>
            <w:tcW w:w="1170" w:type="dxa"/>
            <w:tcBorders>
              <w:left w:val="single" w:color="auto" w:sz="4" w:space="0"/>
            </w:tcBorders>
            <w:shd w:val="clear" w:color="auto" w:fill="auto"/>
            <w:vAlign w:val="center"/>
          </w:tcPr>
          <w:p w:rsidRPr="000252E5" w:rsidR="0001748E" w:rsidP="008A46A1" w:rsidRDefault="0001748E" w14:paraId="1ADD3E85" w14:textId="77777777">
            <w:pPr>
              <w:keepNext/>
              <w:keepLines/>
              <w:jc w:val="center"/>
              <w:rPr>
                <w:rFonts w:ascii="Aptos Narrow" w:hAnsi="Aptos Narrow"/>
                <w:color w:val="000000"/>
                <w:sz w:val="22"/>
                <w:szCs w:val="22"/>
              </w:rPr>
            </w:pPr>
            <w:r>
              <w:rPr>
                <w:rFonts w:ascii="Aptos Narrow" w:hAnsi="Aptos Narrow"/>
                <w:color w:val="000000"/>
                <w:sz w:val="22"/>
                <w:szCs w:val="22"/>
              </w:rPr>
              <w:t>9141</w:t>
            </w:r>
          </w:p>
        </w:tc>
        <w:tc>
          <w:tcPr>
            <w:tcW w:w="1260" w:type="dxa"/>
            <w:tcBorders>
              <w:left w:val="single" w:color="auto" w:sz="4" w:space="0"/>
              <w:right w:val="single" w:color="auto" w:sz="4" w:space="0"/>
            </w:tcBorders>
            <w:shd w:val="clear" w:color="auto" w:fill="auto"/>
            <w:vAlign w:val="center"/>
          </w:tcPr>
          <w:p w:rsidRPr="000252E5" w:rsidR="0001748E" w:rsidP="008A46A1" w:rsidRDefault="0001748E" w14:paraId="34B4440B" w14:textId="77777777">
            <w:pPr>
              <w:keepNext/>
              <w:keepLines/>
              <w:jc w:val="center"/>
              <w:rPr>
                <w:rFonts w:ascii="Aptos Narrow" w:hAnsi="Aptos Narrow"/>
                <w:color w:val="000000"/>
                <w:sz w:val="22"/>
                <w:szCs w:val="22"/>
              </w:rPr>
            </w:pPr>
            <w:r>
              <w:rPr>
                <w:rFonts w:ascii="Aptos Narrow" w:hAnsi="Aptos Narrow"/>
                <w:color w:val="000000"/>
                <w:sz w:val="22"/>
                <w:szCs w:val="22"/>
              </w:rPr>
              <w:t>$4.19</w:t>
            </w:r>
          </w:p>
        </w:tc>
      </w:tr>
    </w:tbl>
    <w:p w:rsidRPr="00794D09" w:rsidR="0001748E" w:rsidP="0001748E" w:rsidRDefault="0001748E" w14:paraId="45CF9B0A" w14:textId="77777777">
      <w:pPr>
        <w:spacing w:after="120"/>
        <w:rPr>
          <w:rFonts w:ascii="Palatino Linotype" w:hAnsi="Palatino Linotype"/>
          <w:i/>
          <w:sz w:val="20"/>
        </w:rPr>
      </w:pPr>
      <w:r w:rsidRPr="00794D09">
        <w:rPr>
          <w:rFonts w:ascii="Palatino Linotype" w:hAnsi="Palatino Linotype"/>
          <w:i/>
          <w:iCs/>
          <w:sz w:val="20"/>
        </w:rPr>
        <w:t>*</w:t>
      </w:r>
      <w:r>
        <w:rPr>
          <w:rFonts w:ascii="Palatino Linotype" w:hAnsi="Palatino Linotype"/>
          <w:i/>
          <w:iCs/>
          <w:sz w:val="20"/>
        </w:rPr>
        <w:t>Total for all of 2024, average across all three large IOUs</w:t>
      </w:r>
      <w:r w:rsidR="00A2005D">
        <w:rPr>
          <w:rFonts w:ascii="Palatino Linotype" w:hAnsi="Palatino Linotype"/>
          <w:i/>
          <w:iCs/>
          <w:sz w:val="20"/>
        </w:rPr>
        <w:t>. I</w:t>
      </w:r>
      <w:r>
        <w:rPr>
          <w:rFonts w:ascii="Palatino Linotype" w:hAnsi="Palatino Linotype"/>
          <w:i/>
          <w:iCs/>
          <w:sz w:val="20"/>
        </w:rPr>
        <w:t>mpact larger for SCE/SDG&amp;E customers than PG&amp;E customers.</w:t>
      </w:r>
      <w:r w:rsidRPr="00794D09">
        <w:rPr>
          <w:rFonts w:ascii="Palatino Linotype" w:hAnsi="Palatino Linotype"/>
          <w:i/>
          <w:iCs/>
          <w:sz w:val="20"/>
        </w:rPr>
        <w:t xml:space="preserve"> </w:t>
      </w:r>
    </w:p>
    <w:p w:rsidR="0001748E" w:rsidP="0001748E" w:rsidRDefault="0001748E" w14:paraId="487BB703" w14:textId="77777777">
      <w:pPr>
        <w:rPr>
          <w:rFonts w:ascii="Palatino Linotype" w:hAnsi="Palatino Linotype"/>
          <w:sz w:val="24"/>
          <w:szCs w:val="24"/>
        </w:rPr>
      </w:pPr>
    </w:p>
    <w:p w:rsidR="008D248F" w:rsidP="0001748E" w:rsidRDefault="008D248F" w14:paraId="4D28B98B" w14:textId="77777777">
      <w:pPr>
        <w:rPr>
          <w:rFonts w:ascii="Palatino Linotype" w:hAnsi="Palatino Linotype"/>
          <w:sz w:val="24"/>
          <w:szCs w:val="24"/>
        </w:rPr>
      </w:pPr>
    </w:p>
    <w:p w:rsidR="008D248F" w:rsidP="0001748E" w:rsidRDefault="008D248F" w14:paraId="2E62DFF7" w14:textId="77777777">
      <w:pPr>
        <w:rPr>
          <w:rFonts w:ascii="Palatino Linotype" w:hAnsi="Palatino Linotype"/>
          <w:sz w:val="24"/>
          <w:szCs w:val="24"/>
        </w:rPr>
      </w:pPr>
    </w:p>
    <w:p w:rsidR="008D248F" w:rsidP="0001748E" w:rsidRDefault="008D248F" w14:paraId="2236D1BC" w14:textId="77777777">
      <w:pPr>
        <w:rPr>
          <w:rFonts w:ascii="Palatino Linotype" w:hAnsi="Palatino Linotype"/>
          <w:sz w:val="24"/>
          <w:szCs w:val="24"/>
        </w:rPr>
      </w:pPr>
    </w:p>
    <w:p w:rsidR="008D248F" w:rsidP="0001748E" w:rsidRDefault="008D248F" w14:paraId="2C18EC52" w14:textId="77777777">
      <w:pPr>
        <w:rPr>
          <w:rFonts w:ascii="Palatino Linotype" w:hAnsi="Palatino Linotype"/>
          <w:sz w:val="24"/>
          <w:szCs w:val="24"/>
        </w:rPr>
      </w:pPr>
    </w:p>
    <w:p w:rsidR="008D248F" w:rsidP="0001748E" w:rsidRDefault="008D248F" w14:paraId="532EC328" w14:textId="77777777">
      <w:pPr>
        <w:rPr>
          <w:rFonts w:ascii="Palatino Linotype" w:hAnsi="Palatino Linotype"/>
          <w:sz w:val="24"/>
          <w:szCs w:val="24"/>
        </w:rPr>
      </w:pPr>
    </w:p>
    <w:p w:rsidR="008D248F" w:rsidP="0001748E" w:rsidRDefault="008D248F" w14:paraId="4401A64E" w14:textId="77777777">
      <w:pPr>
        <w:rPr>
          <w:rFonts w:ascii="Palatino Linotype" w:hAnsi="Palatino Linotype"/>
          <w:sz w:val="24"/>
          <w:szCs w:val="24"/>
        </w:rPr>
      </w:pPr>
    </w:p>
    <w:p w:rsidR="008D248F" w:rsidP="0001748E" w:rsidRDefault="008D248F" w14:paraId="0E55D0D6" w14:textId="77777777">
      <w:pPr>
        <w:rPr>
          <w:rFonts w:ascii="Palatino Linotype" w:hAnsi="Palatino Linotype"/>
          <w:sz w:val="24"/>
          <w:szCs w:val="24"/>
        </w:rPr>
      </w:pPr>
    </w:p>
    <w:p w:rsidR="008D248F" w:rsidP="0001748E" w:rsidRDefault="008D248F" w14:paraId="0D3954B2" w14:textId="77777777">
      <w:pPr>
        <w:rPr>
          <w:rFonts w:ascii="Palatino Linotype" w:hAnsi="Palatino Linotype"/>
          <w:sz w:val="24"/>
          <w:szCs w:val="24"/>
        </w:rPr>
      </w:pPr>
    </w:p>
    <w:p w:rsidR="008D248F" w:rsidP="0001748E" w:rsidRDefault="008D248F" w14:paraId="6B72F7EB" w14:textId="77777777">
      <w:pPr>
        <w:rPr>
          <w:rFonts w:ascii="Palatino Linotype" w:hAnsi="Palatino Linotype"/>
          <w:sz w:val="24"/>
          <w:szCs w:val="24"/>
        </w:rPr>
      </w:pPr>
    </w:p>
    <w:p w:rsidR="008D248F" w:rsidP="0001748E" w:rsidRDefault="008D248F" w14:paraId="349DE89C" w14:textId="77777777">
      <w:pPr>
        <w:rPr>
          <w:rFonts w:ascii="Palatino Linotype" w:hAnsi="Palatino Linotype"/>
          <w:sz w:val="24"/>
          <w:szCs w:val="24"/>
        </w:rPr>
      </w:pPr>
    </w:p>
    <w:p w:rsidR="008D248F" w:rsidP="0001748E" w:rsidRDefault="008D248F" w14:paraId="28F1746D" w14:textId="77777777">
      <w:pPr>
        <w:rPr>
          <w:rFonts w:ascii="Palatino Linotype" w:hAnsi="Palatino Linotype"/>
          <w:sz w:val="24"/>
          <w:szCs w:val="24"/>
        </w:rPr>
      </w:pPr>
    </w:p>
    <w:p w:rsidR="008D248F" w:rsidP="0001748E" w:rsidRDefault="008D248F" w14:paraId="520C4593" w14:textId="77777777">
      <w:pPr>
        <w:rPr>
          <w:rFonts w:ascii="Palatino Linotype" w:hAnsi="Palatino Linotype"/>
          <w:sz w:val="24"/>
          <w:szCs w:val="24"/>
        </w:rPr>
      </w:pPr>
    </w:p>
    <w:p w:rsidR="008D248F" w:rsidP="0001748E" w:rsidRDefault="008D248F" w14:paraId="3BD5F949" w14:textId="77777777">
      <w:pPr>
        <w:rPr>
          <w:rFonts w:ascii="Palatino Linotype" w:hAnsi="Palatino Linotype"/>
          <w:sz w:val="24"/>
          <w:szCs w:val="24"/>
        </w:rPr>
      </w:pPr>
    </w:p>
    <w:p w:rsidR="008D248F" w:rsidP="0001748E" w:rsidRDefault="008D248F" w14:paraId="1AC93A0B" w14:textId="77777777">
      <w:pPr>
        <w:rPr>
          <w:rFonts w:ascii="Palatino Linotype" w:hAnsi="Palatino Linotype"/>
          <w:sz w:val="24"/>
          <w:szCs w:val="24"/>
        </w:rPr>
      </w:pPr>
    </w:p>
    <w:p w:rsidRPr="0001748E" w:rsidR="008D248F" w:rsidP="00657C7F" w:rsidRDefault="008D248F" w14:paraId="34C46747" w14:textId="77777777">
      <w:pPr>
        <w:jc w:val="center"/>
        <w:rPr>
          <w:rFonts w:ascii="Palatino Linotype" w:hAnsi="Palatino Linotype"/>
          <w:sz w:val="24"/>
          <w:szCs w:val="24"/>
        </w:rPr>
      </w:pPr>
      <w:r>
        <w:rPr>
          <w:rFonts w:ascii="Palatino Linotype" w:hAnsi="Palatino Linotype"/>
          <w:sz w:val="24"/>
          <w:szCs w:val="24"/>
        </w:rPr>
        <w:t xml:space="preserve">End of Appendix </w:t>
      </w:r>
      <w:r w:rsidR="00657C7F">
        <w:rPr>
          <w:rFonts w:ascii="Palatino Linotype" w:hAnsi="Palatino Linotype"/>
          <w:sz w:val="24"/>
          <w:szCs w:val="24"/>
        </w:rPr>
        <w:t>A</w:t>
      </w:r>
    </w:p>
    <w:sectPr w:rsidRPr="0001748E" w:rsidR="008D248F" w:rsidSect="008D248F">
      <w:footerReference w:type="first" r:id="rId18"/>
      <w:footnotePr>
        <w:numRestart w:val="eachSect"/>
      </w:footnotePr>
      <w:pgSz w:w="12240" w:h="15840" w:code="1"/>
      <w:pgMar w:top="1440" w:right="1440" w:bottom="1440" w:left="1440" w:header="720" w:footer="72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4F5F" w14:textId="77777777" w:rsidR="00D17C80" w:rsidRDefault="00D17C80">
      <w:r>
        <w:separator/>
      </w:r>
    </w:p>
  </w:endnote>
  <w:endnote w:type="continuationSeparator" w:id="0">
    <w:p w14:paraId="19B70DF0" w14:textId="77777777" w:rsidR="00D17C80" w:rsidRDefault="00D17C80">
      <w:r>
        <w:continuationSeparator/>
      </w:r>
    </w:p>
  </w:endnote>
  <w:endnote w:type="continuationNotice" w:id="1">
    <w:p w14:paraId="401FA2E0" w14:textId="77777777" w:rsidR="00D17C80" w:rsidRDefault="00D17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4"/>
        <w:szCs w:val="18"/>
      </w:rPr>
      <w:id w:val="-1998173742"/>
      <w:docPartObj>
        <w:docPartGallery w:val="Page Numbers (Bottom of Page)"/>
        <w:docPartUnique/>
      </w:docPartObj>
    </w:sdtPr>
    <w:sdtEndPr>
      <w:rPr>
        <w:noProof/>
      </w:rPr>
    </w:sdtEndPr>
    <w:sdtContent>
      <w:p w14:paraId="7AEBA12E" w14:textId="77777777" w:rsidR="00D865A9" w:rsidRPr="00D865A9" w:rsidRDefault="00D865A9" w:rsidP="00D865A9">
        <w:pPr>
          <w:pStyle w:val="Footer"/>
          <w:rPr>
            <w:rFonts w:ascii="Palatino Linotype" w:hAnsi="Palatino Linotype"/>
            <w:noProof/>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noProof/>
            <w:sz w:val="24"/>
            <w:szCs w:val="18"/>
          </w:rPr>
          <w:t>2</w:t>
        </w:r>
        <w:r w:rsidRPr="00D865A9">
          <w:rPr>
            <w:rFonts w:ascii="Palatino Linotype" w:hAnsi="Palatino Linotype"/>
            <w:noProof/>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B369" w14:textId="1C53A7CE" w:rsidR="00CF17DE" w:rsidRPr="001A1DB2" w:rsidRDefault="00341A73" w:rsidP="004D386C">
    <w:pPr>
      <w:pStyle w:val="Footer"/>
      <w:tabs>
        <w:tab w:val="clear" w:pos="4320"/>
        <w:tab w:val="center" w:pos="4680"/>
      </w:tabs>
      <w:jc w:val="left"/>
      <w:rPr>
        <w:rFonts w:ascii="Palatino Linotype" w:hAnsi="Palatino Linotype"/>
        <w:sz w:val="24"/>
        <w:szCs w:val="18"/>
      </w:rPr>
    </w:pPr>
    <w:r w:rsidRPr="00341A73">
      <w:rPr>
        <w:rFonts w:ascii="Tahoma" w:hAnsi="Tahoma" w:cs="Tahoma"/>
        <w:sz w:val="20"/>
      </w:rPr>
      <w:t>539163733</w:t>
    </w:r>
    <w:r w:rsidR="004D386C" w:rsidRPr="004D386C">
      <w:rPr>
        <w:rFonts w:ascii="Tahoma" w:hAnsi="Tahoma" w:cs="Tahoma"/>
        <w:sz w:val="18"/>
        <w:szCs w:val="18"/>
      </w:rPr>
      <w:t> </w:t>
    </w:r>
    <w:r w:rsidR="004D386C">
      <w:rPr>
        <w:rFonts w:ascii="Tahoma" w:hAnsi="Tahoma" w:cs="Tahoma"/>
        <w:sz w:val="18"/>
        <w:szCs w:val="18"/>
      </w:rPr>
      <w:t xml:space="preserve"> </w:t>
    </w:r>
    <w:r w:rsidR="004D386C" w:rsidRPr="004D386C">
      <w:rPr>
        <w:rFonts w:ascii="Tahoma" w:hAnsi="Tahoma" w:cs="Tahoma"/>
        <w:sz w:val="18"/>
        <w:szCs w:val="18"/>
      </w:rPr>
      <w:t> </w:t>
    </w:r>
    <w:r w:rsidR="0038589A">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noProof/>
        <w:sz w:val="24"/>
        <w:szCs w:val="18"/>
      </w:rPr>
      <w:t>1</w:t>
    </w:r>
    <w:r w:rsidR="00CF17DE" w:rsidRPr="001A1DB2">
      <w:rPr>
        <w:rStyle w:val="PageNumber"/>
        <w:rFonts w:ascii="Palatino Linotype" w:hAnsi="Palatino Linotype"/>
        <w:sz w:val="24"/>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z w:val="24"/>
        <w:szCs w:val="18"/>
      </w:rPr>
      <w:id w:val="-1104884848"/>
      <w:docPartObj>
        <w:docPartGallery w:val="Page Numbers (Bottom of Page)"/>
        <w:docPartUnique/>
      </w:docPartObj>
    </w:sdtPr>
    <w:sdtEndPr>
      <w:rPr>
        <w:noProof/>
      </w:rPr>
    </w:sdtEndPr>
    <w:sdtContent>
      <w:p w14:paraId="40593E88" w14:textId="77777777" w:rsidR="00EF44AA" w:rsidRPr="00D865A9" w:rsidRDefault="008D248F" w:rsidP="00D865A9">
        <w:pPr>
          <w:pStyle w:val="Footer"/>
          <w:rPr>
            <w:rFonts w:ascii="Palatino Linotype" w:hAnsi="Palatino Linotype"/>
            <w:noProof/>
            <w:sz w:val="24"/>
            <w:szCs w:val="18"/>
          </w:rPr>
        </w:pPr>
        <w:r>
          <w:rPr>
            <w:rFonts w:ascii="Palatino Linotype" w:hAnsi="Palatino Linotype"/>
            <w:sz w:val="24"/>
            <w:szCs w:val="18"/>
          </w:rPr>
          <w:t>Appendix A-</w:t>
        </w:r>
        <w:r w:rsidR="00EF44AA" w:rsidRPr="00D865A9">
          <w:rPr>
            <w:rFonts w:ascii="Palatino Linotype" w:hAnsi="Palatino Linotype"/>
            <w:sz w:val="24"/>
            <w:szCs w:val="18"/>
          </w:rPr>
          <w:fldChar w:fldCharType="begin"/>
        </w:r>
        <w:r w:rsidR="00EF44AA" w:rsidRPr="00D865A9">
          <w:rPr>
            <w:rFonts w:ascii="Palatino Linotype" w:hAnsi="Palatino Linotype"/>
            <w:sz w:val="24"/>
            <w:szCs w:val="18"/>
          </w:rPr>
          <w:instrText xml:space="preserve"> PAGE   \* MERGEFORMAT </w:instrText>
        </w:r>
        <w:r w:rsidR="00EF44AA" w:rsidRPr="00D865A9">
          <w:rPr>
            <w:rFonts w:ascii="Palatino Linotype" w:hAnsi="Palatino Linotype"/>
            <w:sz w:val="24"/>
            <w:szCs w:val="18"/>
          </w:rPr>
          <w:fldChar w:fldCharType="separate"/>
        </w:r>
        <w:r w:rsidR="00EF44AA" w:rsidRPr="00D865A9">
          <w:rPr>
            <w:rFonts w:ascii="Palatino Linotype" w:hAnsi="Palatino Linotype"/>
            <w:noProof/>
            <w:sz w:val="24"/>
            <w:szCs w:val="18"/>
          </w:rPr>
          <w:t>2</w:t>
        </w:r>
        <w:r w:rsidR="00EF44AA" w:rsidRPr="00D865A9">
          <w:rPr>
            <w:rFonts w:ascii="Palatino Linotype" w:hAnsi="Palatino Linotype"/>
            <w:noProof/>
            <w:sz w:val="24"/>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8030" w14:textId="77777777" w:rsidR="001624A8" w:rsidRPr="00EF44AA" w:rsidRDefault="001624A8" w:rsidP="00EF44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17A5" w14:textId="77777777" w:rsidR="008D248F" w:rsidRPr="00EF44AA" w:rsidRDefault="008D248F" w:rsidP="00EF4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476D" w14:textId="77777777" w:rsidR="00D17C80" w:rsidRDefault="00D17C80">
      <w:r>
        <w:separator/>
      </w:r>
    </w:p>
  </w:footnote>
  <w:footnote w:type="continuationSeparator" w:id="0">
    <w:p w14:paraId="339A03A4" w14:textId="77777777" w:rsidR="00D17C80" w:rsidRDefault="00D17C80">
      <w:r>
        <w:continuationSeparator/>
      </w:r>
    </w:p>
  </w:footnote>
  <w:footnote w:type="continuationNotice" w:id="1">
    <w:p w14:paraId="7724524A" w14:textId="77777777" w:rsidR="00D17C80" w:rsidRDefault="00D17C80">
      <w:pPr>
        <w:rPr>
          <w:sz w:val="22"/>
        </w:rPr>
      </w:pPr>
    </w:p>
    <w:p w14:paraId="4775DE03" w14:textId="77777777" w:rsidR="00D17C80" w:rsidRDefault="00D17C80">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 w:id="2">
    <w:p w14:paraId="1273D74D" w14:textId="77777777" w:rsidR="00057741" w:rsidRPr="00FE04B1" w:rsidRDefault="00057741" w:rsidP="008731FF">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w:t>
      </w:r>
      <w:r w:rsidR="00FE04B1" w:rsidRPr="00FE04B1">
        <w:rPr>
          <w:rFonts w:ascii="Palatino Linotype" w:hAnsi="Palatino Linotype"/>
          <w:sz w:val="20"/>
        </w:rPr>
        <w:t xml:space="preserve">In alphabetical order: Bear Valley Electric Service, Inc. (BVES), Liberty Utilities (CalPeco Electric) LLC (Liberty), Pacific Gas and Electric Company (PG&amp;E), PacifiCorp d.b.a. Pacific Power (PacifiCorp), </w:t>
      </w:r>
      <w:r w:rsidR="009A3F3F">
        <w:rPr>
          <w:rFonts w:ascii="Palatino Linotype" w:hAnsi="Palatino Linotype"/>
          <w:sz w:val="20"/>
        </w:rPr>
        <w:br/>
      </w:r>
      <w:r w:rsidR="00FE04B1" w:rsidRPr="00FE04B1">
        <w:rPr>
          <w:rFonts w:ascii="Palatino Linotype" w:hAnsi="Palatino Linotype"/>
          <w:sz w:val="20"/>
        </w:rPr>
        <w:t>San Diego Gas &amp; Electric Company (SDG&amp;E), Southern California Edison Company (SCE</w:t>
      </w:r>
      <w:r w:rsidR="00FE04B1">
        <w:rPr>
          <w:rFonts w:ascii="Palatino Linotype" w:hAnsi="Palatino Linotype"/>
          <w:sz w:val="20"/>
        </w:rPr>
        <w:t>)</w:t>
      </w:r>
      <w:r w:rsidR="00FE04B1" w:rsidRPr="00FE04B1">
        <w:rPr>
          <w:rFonts w:ascii="Palatino Linotype" w:hAnsi="Palatino Linotype"/>
          <w:sz w:val="20"/>
        </w:rPr>
        <w:t xml:space="preserve">  </w:t>
      </w:r>
    </w:p>
  </w:footnote>
  <w:footnote w:id="3">
    <w:p w14:paraId="01176B7C" w14:textId="77777777" w:rsidR="00F35B6E" w:rsidRPr="00FE04B1" w:rsidRDefault="00F35B6E" w:rsidP="008731FF">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D.21-08-026 modified the distribution methodology from a volumetric return to a flat-credit but did not alter the eligibility criteria.</w:t>
      </w:r>
    </w:p>
  </w:footnote>
  <w:footnote w:id="4">
    <w:p w14:paraId="7A832499" w14:textId="77777777" w:rsidR="001E2E9B" w:rsidRDefault="001E2E9B" w:rsidP="008731FF">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w:t>
      </w:r>
      <w:r w:rsidR="00EA7602">
        <w:rPr>
          <w:rFonts w:ascii="Palatino Linotype" w:hAnsi="Palatino Linotype"/>
          <w:sz w:val="20"/>
        </w:rPr>
        <w:t>California Public Utilities Code Section</w:t>
      </w:r>
      <w:r w:rsidRPr="00FE04B1">
        <w:rPr>
          <w:rFonts w:ascii="Palatino Linotype" w:hAnsi="Palatino Linotype"/>
          <w:sz w:val="20"/>
        </w:rPr>
        <w:t xml:space="preserve"> 748.5</w:t>
      </w:r>
      <w:r w:rsidR="00EA7602">
        <w:rPr>
          <w:rFonts w:ascii="Palatino Linotype" w:hAnsi="Palatino Linotype"/>
          <w:sz w:val="20"/>
        </w:rPr>
        <w:t xml:space="preserve">: </w:t>
      </w:r>
    </w:p>
    <w:p w14:paraId="141FF666" w14:textId="77777777" w:rsidR="00EA7602" w:rsidRPr="00EA7602" w:rsidRDefault="00EA7602" w:rsidP="00EA7602">
      <w:pPr>
        <w:pStyle w:val="FootnoteText"/>
        <w:numPr>
          <w:ilvl w:val="0"/>
          <w:numId w:val="0"/>
        </w:numPr>
        <w:spacing w:after="0"/>
        <w:ind w:left="720"/>
        <w:rPr>
          <w:rFonts w:ascii="Palatino Linotype" w:hAnsi="Palatino Linotype"/>
          <w:i/>
          <w:iCs/>
          <w:sz w:val="20"/>
        </w:rPr>
      </w:pPr>
      <w:r w:rsidRPr="00EA7602">
        <w:rPr>
          <w:rFonts w:ascii="Palatino Linotype" w:hAnsi="Palatino Linotype"/>
          <w:i/>
          <w:iCs/>
          <w:sz w:val="20"/>
        </w:rPr>
        <w:t xml:space="preserve">(a) Except as provided in subdivision (c), the commission shall require revenues, including any accrued interest, received by an electrical corporation as a result of the direct allocation of greenhouse gas allowances to electric utilities pursuant to subdivision (b) of Section 95890 of Title 17 of the California Code of Regulations to be credited directly to the residential, small business, and emissions-intensive </w:t>
      </w:r>
      <w:r w:rsidR="009A3F3F">
        <w:rPr>
          <w:rFonts w:ascii="Palatino Linotype" w:hAnsi="Palatino Linotype"/>
          <w:i/>
          <w:iCs/>
          <w:sz w:val="20"/>
        </w:rPr>
        <w:br/>
      </w:r>
      <w:r w:rsidRPr="00EA7602">
        <w:rPr>
          <w:rFonts w:ascii="Palatino Linotype" w:hAnsi="Palatino Linotype"/>
          <w:i/>
          <w:iCs/>
          <w:sz w:val="20"/>
        </w:rPr>
        <w:t>trade-exposed retail customers of the electrical corporation.</w:t>
      </w:r>
    </w:p>
  </w:footnote>
  <w:footnote w:id="5">
    <w:p w14:paraId="293C6CF7" w14:textId="77777777" w:rsidR="00EA7602" w:rsidRPr="00FE04B1" w:rsidRDefault="00EA7602" w:rsidP="00EA7602">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D.12-12-033 @ 73.</w:t>
      </w:r>
    </w:p>
  </w:footnote>
  <w:footnote w:id="6">
    <w:p w14:paraId="0E2D0544" w14:textId="77777777" w:rsidR="00431455" w:rsidRDefault="00431455" w:rsidP="00033444">
      <w:pPr>
        <w:pStyle w:val="FootnoteText"/>
        <w:numPr>
          <w:ilvl w:val="0"/>
          <w:numId w:val="0"/>
        </w:numPr>
        <w:spacing w:after="0"/>
      </w:pPr>
      <w:r w:rsidRPr="00431455">
        <w:rPr>
          <w:rFonts w:ascii="Palatino Linotype" w:hAnsi="Palatino Linotype"/>
          <w:sz w:val="20"/>
          <w:vertAlign w:val="superscript"/>
        </w:rPr>
        <w:footnoteRef/>
      </w:r>
      <w:r w:rsidRPr="00431455">
        <w:rPr>
          <w:rFonts w:ascii="Palatino Linotype" w:hAnsi="Palatino Linotype"/>
          <w:sz w:val="20"/>
        </w:rPr>
        <w:t xml:space="preserve"> See footnote 3.</w:t>
      </w:r>
    </w:p>
  </w:footnote>
  <w:footnote w:id="7">
    <w:p w14:paraId="702FCAC1" w14:textId="77777777" w:rsidR="00031053" w:rsidRPr="00FE04B1" w:rsidRDefault="00031053" w:rsidP="00033444">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D.12-12-033 Finding of Fact 50.</w:t>
      </w:r>
    </w:p>
  </w:footnote>
  <w:footnote w:id="8">
    <w:p w14:paraId="74825222" w14:textId="77777777" w:rsidR="008731FF" w:rsidRPr="00FE04B1" w:rsidRDefault="008731FF" w:rsidP="00033444">
      <w:pPr>
        <w:pStyle w:val="FootnoteText"/>
        <w:numPr>
          <w:ilvl w:val="0"/>
          <w:numId w:val="0"/>
        </w:numPr>
        <w:spacing w:after="0"/>
        <w:rPr>
          <w:rFonts w:ascii="Palatino Linotype" w:hAnsi="Palatino Linotype"/>
          <w:sz w:val="20"/>
        </w:rPr>
      </w:pPr>
      <w:r w:rsidRPr="00FE04B1">
        <w:rPr>
          <w:rStyle w:val="FootnoteReference"/>
          <w:rFonts w:ascii="Palatino Linotype" w:hAnsi="Palatino Linotype"/>
          <w:sz w:val="20"/>
        </w:rPr>
        <w:footnoteRef/>
      </w:r>
      <w:r w:rsidRPr="00FE04B1">
        <w:rPr>
          <w:rFonts w:ascii="Palatino Linotype" w:hAnsi="Palatino Linotype"/>
          <w:sz w:val="20"/>
        </w:rPr>
        <w:t xml:space="preserve"> D.12-12-033 @ 73. </w:t>
      </w:r>
    </w:p>
  </w:footnote>
  <w:footnote w:id="9">
    <w:p w14:paraId="4695E4A7" w14:textId="77777777" w:rsidR="00444CB9" w:rsidRPr="006937D5" w:rsidRDefault="00444CB9" w:rsidP="00444CB9">
      <w:pPr>
        <w:pStyle w:val="FootnoteText"/>
        <w:numPr>
          <w:ilvl w:val="0"/>
          <w:numId w:val="0"/>
        </w:numPr>
        <w:spacing w:after="0"/>
        <w:rPr>
          <w:rFonts w:ascii="Palatino Linotype" w:hAnsi="Palatino Linotype"/>
          <w:sz w:val="20"/>
        </w:rPr>
      </w:pPr>
      <w:r w:rsidRPr="006937D5">
        <w:rPr>
          <w:rStyle w:val="FootnoteReference"/>
          <w:rFonts w:ascii="Palatino Linotype" w:hAnsi="Palatino Linotype"/>
          <w:sz w:val="20"/>
        </w:rPr>
        <w:footnoteRef/>
      </w:r>
      <w:r w:rsidRPr="006937D5">
        <w:rPr>
          <w:rFonts w:ascii="Palatino Linotype" w:hAnsi="Palatino Linotype"/>
          <w:sz w:val="20"/>
        </w:rPr>
        <w:t xml:space="preserve"> </w:t>
      </w:r>
      <w:r w:rsidR="00E33C31">
        <w:rPr>
          <w:rFonts w:ascii="Palatino Linotype" w:hAnsi="Palatino Linotype"/>
          <w:sz w:val="20"/>
        </w:rPr>
        <w:t>Government i</w:t>
      </w:r>
      <w:r>
        <w:rPr>
          <w:rFonts w:ascii="Palatino Linotype" w:hAnsi="Palatino Linotype"/>
          <w:sz w:val="20"/>
        </w:rPr>
        <w:t xml:space="preserve">ncludes Federal, State, </w:t>
      </w:r>
      <w:r w:rsidR="00E33C31">
        <w:rPr>
          <w:rFonts w:ascii="Palatino Linotype" w:hAnsi="Palatino Linotype"/>
          <w:sz w:val="20"/>
        </w:rPr>
        <w:t xml:space="preserve">Tribal, </w:t>
      </w:r>
      <w:r>
        <w:rPr>
          <w:rFonts w:ascii="Palatino Linotype" w:hAnsi="Palatino Linotype"/>
          <w:sz w:val="20"/>
        </w:rPr>
        <w:t xml:space="preserve">Country, and local governments as well as </w:t>
      </w:r>
      <w:r w:rsidR="00416D63">
        <w:rPr>
          <w:rFonts w:ascii="Palatino Linotype" w:hAnsi="Palatino Linotype"/>
          <w:sz w:val="20"/>
        </w:rPr>
        <w:t xml:space="preserve">universities, </w:t>
      </w:r>
      <w:r w:rsidR="00962AD3" w:rsidRPr="006937D5">
        <w:rPr>
          <w:rFonts w:ascii="Palatino Linotype" w:hAnsi="Palatino Linotype"/>
          <w:sz w:val="20"/>
        </w:rPr>
        <w:t>school</w:t>
      </w:r>
      <w:r w:rsidR="00F2246F">
        <w:rPr>
          <w:rFonts w:ascii="Palatino Linotype" w:hAnsi="Palatino Linotype"/>
          <w:sz w:val="20"/>
        </w:rPr>
        <w:t xml:space="preserve"> districts</w:t>
      </w:r>
      <w:r w:rsidR="00962AD3">
        <w:rPr>
          <w:rFonts w:ascii="Palatino Linotype" w:hAnsi="Palatino Linotype"/>
          <w:sz w:val="20"/>
        </w:rPr>
        <w:t xml:space="preserve">, </w:t>
      </w:r>
      <w:r>
        <w:rPr>
          <w:rFonts w:ascii="Palatino Linotype" w:hAnsi="Palatino Linotype"/>
          <w:sz w:val="20"/>
        </w:rPr>
        <w:t>departments</w:t>
      </w:r>
      <w:r w:rsidR="00962AD3">
        <w:rPr>
          <w:rFonts w:ascii="Palatino Linotype" w:hAnsi="Palatino Linotype"/>
          <w:sz w:val="20"/>
        </w:rPr>
        <w:t>,</w:t>
      </w:r>
      <w:r>
        <w:rPr>
          <w:rFonts w:ascii="Palatino Linotype" w:hAnsi="Palatino Linotype"/>
          <w:sz w:val="20"/>
        </w:rPr>
        <w:t xml:space="preserve"> and agencies. </w:t>
      </w:r>
    </w:p>
  </w:footnote>
  <w:footnote w:id="10">
    <w:p w14:paraId="7F71AFB5" w14:textId="77777777" w:rsidR="008762F4" w:rsidRPr="007553F0" w:rsidRDefault="008762F4" w:rsidP="007553F0">
      <w:pPr>
        <w:pStyle w:val="FootnoteText"/>
        <w:numPr>
          <w:ilvl w:val="0"/>
          <w:numId w:val="0"/>
        </w:numPr>
        <w:spacing w:after="0"/>
        <w:rPr>
          <w:rFonts w:ascii="Palatino Linotype" w:hAnsi="Palatino Linotype"/>
          <w:sz w:val="20"/>
        </w:rPr>
      </w:pPr>
      <w:r w:rsidRPr="007553F0">
        <w:rPr>
          <w:rStyle w:val="FootnoteReference"/>
          <w:rFonts w:ascii="Palatino Linotype" w:hAnsi="Palatino Linotype"/>
          <w:sz w:val="20"/>
        </w:rPr>
        <w:footnoteRef/>
      </w:r>
      <w:r w:rsidRPr="007553F0">
        <w:rPr>
          <w:rFonts w:ascii="Palatino Linotype" w:hAnsi="Palatino Linotype"/>
          <w:sz w:val="20"/>
        </w:rPr>
        <w:t xml:space="preserve"> Real Estate includes property managers, developers, HOAs, and other cooperative housin</w:t>
      </w:r>
      <w:r w:rsidR="008E5282" w:rsidRPr="007553F0">
        <w:rPr>
          <w:rFonts w:ascii="Palatino Linotype" w:hAnsi="Palatino Linotype"/>
          <w:sz w:val="20"/>
        </w:rPr>
        <w:t>g</w:t>
      </w:r>
      <w:r w:rsidR="00704455" w:rsidRPr="007553F0">
        <w:rPr>
          <w:rFonts w:ascii="Palatino Linotype" w:hAnsi="Palatino Linotype"/>
          <w:sz w:val="20"/>
        </w:rPr>
        <w:t>.</w:t>
      </w:r>
      <w:r w:rsidR="00373745" w:rsidRPr="007553F0">
        <w:rPr>
          <w:rFonts w:ascii="Palatino Linotype" w:hAnsi="Palatino Linotype"/>
          <w:sz w:val="20"/>
        </w:rPr>
        <w:t xml:space="preserve"> </w:t>
      </w:r>
    </w:p>
  </w:footnote>
  <w:footnote w:id="11">
    <w:p w14:paraId="476EB92D" w14:textId="77777777" w:rsidR="00AA6F81" w:rsidRDefault="00AA6F81" w:rsidP="00AA6F81">
      <w:pPr>
        <w:pStyle w:val="FootnoteText"/>
        <w:numPr>
          <w:ilvl w:val="0"/>
          <w:numId w:val="0"/>
        </w:numPr>
        <w:spacing w:after="0"/>
      </w:pPr>
      <w:r w:rsidRPr="00AA6F81">
        <w:rPr>
          <w:rFonts w:ascii="Palatino Linotype" w:hAnsi="Palatino Linotype"/>
          <w:sz w:val="20"/>
          <w:vertAlign w:val="superscript"/>
        </w:rPr>
        <w:footnoteRef/>
      </w:r>
      <w:r w:rsidRPr="00AA6F81">
        <w:rPr>
          <w:rFonts w:ascii="Palatino Linotype" w:hAnsi="Palatino Linotype"/>
          <w:sz w:val="20"/>
          <w:vertAlign w:val="superscript"/>
        </w:rPr>
        <w:t xml:space="preserve"> </w:t>
      </w:r>
      <w:r w:rsidRPr="00AA6F81">
        <w:rPr>
          <w:rFonts w:ascii="Palatino Linotype" w:hAnsi="Palatino Linotype"/>
          <w:sz w:val="20"/>
        </w:rPr>
        <w:t>“Therefore, we rely upon previous Commission direction in adopting a definition of small business that we believe comports with the Legislature’s apparent intent, serves to promote, rather than defeat, the statute’s general purpose, and avoids a statutory construction that would lead to any absurd consequences.” D.12-12-.33 @ 73.</w:t>
      </w:r>
    </w:p>
  </w:footnote>
  <w:footnote w:id="12">
    <w:p w14:paraId="7DC2C817" w14:textId="77777777" w:rsidR="00935FA7" w:rsidRPr="00295B36" w:rsidRDefault="00935FA7" w:rsidP="00295B36">
      <w:pPr>
        <w:pStyle w:val="FootnoteText"/>
        <w:numPr>
          <w:ilvl w:val="0"/>
          <w:numId w:val="0"/>
        </w:numPr>
        <w:spacing w:after="0"/>
        <w:rPr>
          <w:rFonts w:ascii="Palatino Linotype" w:hAnsi="Palatino Linotype"/>
          <w:sz w:val="20"/>
        </w:rPr>
      </w:pPr>
      <w:r w:rsidRPr="00295B36">
        <w:rPr>
          <w:rStyle w:val="FootnoteReference"/>
          <w:rFonts w:ascii="Palatino Linotype" w:hAnsi="Palatino Linotype"/>
          <w:sz w:val="20"/>
        </w:rPr>
        <w:footnoteRef/>
      </w:r>
      <w:r w:rsidRPr="00295B36">
        <w:rPr>
          <w:rFonts w:ascii="Palatino Linotype" w:hAnsi="Palatino Linotype"/>
          <w:sz w:val="20"/>
        </w:rPr>
        <w:t xml:space="preserve"> </w:t>
      </w:r>
      <w:r w:rsidR="000852CF">
        <w:rPr>
          <w:rFonts w:ascii="Palatino Linotype" w:hAnsi="Palatino Linotype"/>
          <w:sz w:val="20"/>
        </w:rPr>
        <w:t>D.12-12-033 @ 78.</w:t>
      </w:r>
    </w:p>
  </w:footnote>
  <w:footnote w:id="13">
    <w:p w14:paraId="348304E8" w14:textId="77777777" w:rsidR="002A7EFD" w:rsidRPr="00CD1AF8" w:rsidRDefault="002A7EFD" w:rsidP="002A7EFD">
      <w:pPr>
        <w:pStyle w:val="FootnoteText"/>
        <w:numPr>
          <w:ilvl w:val="0"/>
          <w:numId w:val="0"/>
        </w:numPr>
        <w:spacing w:after="0"/>
        <w:rPr>
          <w:rFonts w:ascii="Palatino Linotype" w:hAnsi="Palatino Linotype"/>
          <w:sz w:val="20"/>
        </w:rPr>
      </w:pPr>
      <w:r w:rsidRPr="00CD1AF8">
        <w:rPr>
          <w:rStyle w:val="FootnoteReference"/>
          <w:rFonts w:ascii="Palatino Linotype" w:hAnsi="Palatino Linotype"/>
          <w:sz w:val="20"/>
        </w:rPr>
        <w:footnoteRef/>
      </w:r>
      <w:r w:rsidRPr="00CD1AF8">
        <w:rPr>
          <w:rFonts w:ascii="Palatino Linotype" w:hAnsi="Palatino Linotype"/>
          <w:sz w:val="20"/>
        </w:rPr>
        <w:t xml:space="preserve"> Pacific Gas and Electric Comments on draft resolution E-5339</w:t>
      </w:r>
      <w:r w:rsidR="00AA6141" w:rsidRPr="00CD1AF8">
        <w:rPr>
          <w:rFonts w:ascii="Palatino Linotype" w:hAnsi="Palatino Linotype"/>
          <w:sz w:val="20"/>
        </w:rPr>
        <w:t xml:space="preserve"> Page 3. August 6, 2024.</w:t>
      </w:r>
    </w:p>
  </w:footnote>
  <w:footnote w:id="14">
    <w:p w14:paraId="215FF726" w14:textId="77777777" w:rsidR="00FD4D5D" w:rsidRPr="00CD1AF8" w:rsidRDefault="00FD4D5D" w:rsidP="002A7EFD">
      <w:pPr>
        <w:pStyle w:val="FootnoteText"/>
        <w:numPr>
          <w:ilvl w:val="0"/>
          <w:numId w:val="0"/>
        </w:numPr>
        <w:spacing w:after="0"/>
        <w:rPr>
          <w:sz w:val="20"/>
        </w:rPr>
      </w:pPr>
      <w:r w:rsidRPr="00CD1AF8">
        <w:rPr>
          <w:rStyle w:val="FootnoteReference"/>
          <w:rFonts w:ascii="Palatino Linotype" w:hAnsi="Palatino Linotype"/>
          <w:sz w:val="20"/>
        </w:rPr>
        <w:footnoteRef/>
      </w:r>
      <w:r w:rsidRPr="00CD1AF8">
        <w:rPr>
          <w:rFonts w:ascii="Palatino Linotype" w:hAnsi="Palatino Linotype"/>
          <w:sz w:val="20"/>
        </w:rPr>
        <w:t xml:space="preserve"> California Farm Bureau Comments on draft resolution E-5339 page 7. August 6, 2024.</w:t>
      </w:r>
    </w:p>
  </w:footnote>
  <w:footnote w:id="15">
    <w:p w14:paraId="79992F7D" w14:textId="77777777" w:rsidR="00F665A6" w:rsidRPr="00CD1AF8" w:rsidRDefault="00F665A6" w:rsidP="0019301F">
      <w:pPr>
        <w:pStyle w:val="FootnoteText"/>
        <w:numPr>
          <w:ilvl w:val="0"/>
          <w:numId w:val="0"/>
        </w:numPr>
        <w:spacing w:after="0"/>
        <w:rPr>
          <w:rFonts w:ascii="Palatino Linotype" w:hAnsi="Palatino Linotype"/>
          <w:sz w:val="20"/>
        </w:rPr>
      </w:pPr>
      <w:r w:rsidRPr="00CD1AF8">
        <w:rPr>
          <w:rStyle w:val="FootnoteReference"/>
          <w:rFonts w:ascii="Palatino Linotype" w:hAnsi="Palatino Linotype"/>
          <w:sz w:val="20"/>
        </w:rPr>
        <w:footnoteRef/>
      </w:r>
      <w:r w:rsidRPr="00CD1AF8">
        <w:rPr>
          <w:rFonts w:ascii="Palatino Linotype" w:hAnsi="Palatino Linotype"/>
          <w:sz w:val="20"/>
        </w:rPr>
        <w:t xml:space="preserve"> Based on the “Agriculture” and “≥ 100 Subtotal” lines in Table 1: ((180-13)+(177-1)+(44))*100 = 38,700</w:t>
      </w:r>
    </w:p>
  </w:footnote>
  <w:footnote w:id="16">
    <w:p w14:paraId="04BFC194" w14:textId="77777777" w:rsidR="001E3B98" w:rsidRPr="007B293B" w:rsidRDefault="001E3B98" w:rsidP="007B293B">
      <w:pPr>
        <w:pStyle w:val="FootnoteText"/>
        <w:numPr>
          <w:ilvl w:val="0"/>
          <w:numId w:val="0"/>
        </w:numPr>
        <w:spacing w:after="0"/>
        <w:rPr>
          <w:rFonts w:ascii="Palatino Linotype" w:hAnsi="Palatino Linotype"/>
          <w:sz w:val="20"/>
        </w:rPr>
      </w:pPr>
      <w:r w:rsidRPr="007B293B">
        <w:rPr>
          <w:rStyle w:val="FootnoteReference"/>
          <w:rFonts w:ascii="Palatino Linotype" w:hAnsi="Palatino Linotype"/>
          <w:sz w:val="20"/>
        </w:rPr>
        <w:footnoteRef/>
      </w:r>
      <w:r w:rsidRPr="007B293B">
        <w:rPr>
          <w:rFonts w:ascii="Palatino Linotype" w:hAnsi="Palatino Linotype"/>
          <w:sz w:val="20"/>
        </w:rPr>
        <w:t xml:space="preserve"> </w:t>
      </w:r>
      <w:r w:rsidR="00A00AC1">
        <w:rPr>
          <w:rFonts w:ascii="Palatino Linotype" w:hAnsi="Palatino Linotype"/>
          <w:sz w:val="20"/>
        </w:rPr>
        <w:t xml:space="preserve">PG&amp;E+SCE+SDG&amp;E: </w:t>
      </w:r>
      <w:r w:rsidR="00F47C1E" w:rsidRPr="007B293B">
        <w:rPr>
          <w:rFonts w:ascii="Palatino Linotype" w:hAnsi="Palatino Linotype"/>
          <w:sz w:val="20"/>
        </w:rPr>
        <w:t>(((180-13)*</w:t>
      </w:r>
      <w:r w:rsidR="007B293B" w:rsidRPr="007B293B">
        <w:rPr>
          <w:rFonts w:ascii="Palatino Linotype" w:hAnsi="Palatino Linotype"/>
          <w:sz w:val="20"/>
        </w:rPr>
        <w:t>$</w:t>
      </w:r>
      <w:r w:rsidR="00F47C1E" w:rsidRPr="007B293B">
        <w:rPr>
          <w:rFonts w:ascii="Palatino Linotype" w:hAnsi="Palatino Linotype"/>
          <w:sz w:val="20"/>
        </w:rPr>
        <w:t>55.17)+((177-1)*</w:t>
      </w:r>
      <w:r w:rsidR="007B293B" w:rsidRPr="007B293B">
        <w:rPr>
          <w:rFonts w:ascii="Palatino Linotype" w:hAnsi="Palatino Linotype"/>
          <w:sz w:val="20"/>
        </w:rPr>
        <w:t>$</w:t>
      </w:r>
      <w:r w:rsidR="00F47C1E" w:rsidRPr="007B293B">
        <w:rPr>
          <w:rFonts w:ascii="Palatino Linotype" w:hAnsi="Palatino Linotype"/>
          <w:sz w:val="20"/>
        </w:rPr>
        <w:t>86)+((44)*</w:t>
      </w:r>
      <w:r w:rsidR="007B293B" w:rsidRPr="007B293B">
        <w:rPr>
          <w:rFonts w:ascii="Palatino Linotype" w:hAnsi="Palatino Linotype"/>
          <w:sz w:val="20"/>
        </w:rPr>
        <w:t>$</w:t>
      </w:r>
      <w:r w:rsidR="00F47C1E" w:rsidRPr="007B293B">
        <w:rPr>
          <w:rFonts w:ascii="Palatino Linotype" w:hAnsi="Palatino Linotype"/>
          <w:sz w:val="20"/>
        </w:rPr>
        <w:t xml:space="preserve">78.22)*2*100 = </w:t>
      </w:r>
      <w:r w:rsidR="007B293B" w:rsidRPr="007B293B">
        <w:rPr>
          <w:rFonts w:ascii="Palatino Linotype" w:hAnsi="Palatino Linotype"/>
          <w:sz w:val="20"/>
        </w:rPr>
        <w:t>$5,558,214</w:t>
      </w:r>
    </w:p>
  </w:footnote>
  <w:footnote w:id="17">
    <w:p w14:paraId="4B720549" w14:textId="77777777" w:rsidR="001D47B0" w:rsidRPr="0019301F" w:rsidRDefault="001D47B0" w:rsidP="0019301F">
      <w:pPr>
        <w:pStyle w:val="FootnoteText"/>
        <w:numPr>
          <w:ilvl w:val="0"/>
          <w:numId w:val="0"/>
        </w:numPr>
        <w:spacing w:after="0"/>
        <w:rPr>
          <w:rFonts w:ascii="Palatino Linotype" w:hAnsi="Palatino Linotype"/>
          <w:sz w:val="20"/>
        </w:rPr>
      </w:pPr>
      <w:r w:rsidRPr="0019301F">
        <w:rPr>
          <w:rStyle w:val="FootnoteReference"/>
          <w:rFonts w:ascii="Palatino Linotype" w:hAnsi="Palatino Linotype"/>
          <w:sz w:val="20"/>
        </w:rPr>
        <w:footnoteRef/>
      </w:r>
      <w:r w:rsidRPr="0019301F">
        <w:rPr>
          <w:rFonts w:ascii="Palatino Linotype" w:hAnsi="Palatino Linotype"/>
          <w:sz w:val="20"/>
        </w:rPr>
        <w:t xml:space="preserve"> See Table 1, “≥ 100</w:t>
      </w:r>
      <w:r w:rsidR="0019301F" w:rsidRPr="0019301F">
        <w:rPr>
          <w:rFonts w:ascii="Palatino Linotype" w:hAnsi="Palatino Linotype"/>
          <w:sz w:val="20"/>
        </w:rPr>
        <w:t xml:space="preserve"> total” of $</w:t>
      </w:r>
      <w:r w:rsidR="00A00AC1">
        <w:rPr>
          <w:rFonts w:ascii="Palatino Linotype" w:hAnsi="Palatino Linotype"/>
          <w:sz w:val="20"/>
        </w:rPr>
        <w:t>2</w:t>
      </w:r>
      <w:r w:rsidR="0019301F" w:rsidRPr="0019301F">
        <w:rPr>
          <w:rFonts w:ascii="Palatino Linotype" w:hAnsi="Palatino Linotype"/>
          <w:sz w:val="20"/>
        </w:rPr>
        <w:t>2.23M.</w:t>
      </w:r>
    </w:p>
  </w:footnote>
  <w:footnote w:id="18">
    <w:p w14:paraId="70419609" w14:textId="77777777" w:rsidR="0001748E" w:rsidRPr="001C46FA" w:rsidRDefault="0001748E" w:rsidP="0001748E">
      <w:pPr>
        <w:pStyle w:val="FootnoteText"/>
        <w:numPr>
          <w:ilvl w:val="0"/>
          <w:numId w:val="0"/>
        </w:numPr>
        <w:spacing w:after="0"/>
        <w:rPr>
          <w:rFonts w:ascii="Palatino Linotype" w:hAnsi="Palatino Linotype"/>
          <w:sz w:val="20"/>
        </w:rPr>
      </w:pPr>
      <w:r w:rsidRPr="001C46FA">
        <w:rPr>
          <w:rStyle w:val="FootnoteReference"/>
          <w:rFonts w:ascii="Palatino Linotype" w:hAnsi="Palatino Linotype"/>
          <w:sz w:val="20"/>
        </w:rPr>
        <w:footnoteRef/>
      </w:r>
      <w:r w:rsidRPr="001C46FA">
        <w:rPr>
          <w:rFonts w:ascii="Palatino Linotype" w:hAnsi="Palatino Linotype"/>
          <w:sz w:val="20"/>
        </w:rPr>
        <w:t xml:space="preserve"> </w:t>
      </w:r>
      <w:r>
        <w:rPr>
          <w:rFonts w:ascii="Palatino Linotype" w:hAnsi="Palatino Linotype"/>
          <w:sz w:val="20"/>
        </w:rPr>
        <w:t>T</w:t>
      </w:r>
      <w:r w:rsidRPr="001C46FA">
        <w:rPr>
          <w:rFonts w:ascii="Palatino Linotype" w:hAnsi="Palatino Linotype"/>
          <w:sz w:val="20"/>
        </w:rPr>
        <w:t xml:space="preserve">he number of </w:t>
      </w:r>
      <w:r>
        <w:rPr>
          <w:rFonts w:ascii="Palatino Linotype" w:hAnsi="Palatino Linotype"/>
          <w:sz w:val="20"/>
        </w:rPr>
        <w:t>newly ineligible</w:t>
      </w:r>
      <w:r w:rsidRPr="001C46FA">
        <w:rPr>
          <w:rFonts w:ascii="Palatino Linotype" w:hAnsi="Palatino Linotype"/>
          <w:sz w:val="20"/>
        </w:rPr>
        <w:t xml:space="preserve"> </w:t>
      </w:r>
      <w:r>
        <w:rPr>
          <w:rFonts w:ascii="Palatino Linotype" w:hAnsi="Palatino Linotype"/>
          <w:sz w:val="20"/>
        </w:rPr>
        <w:t>recipients</w:t>
      </w:r>
      <w:r w:rsidRPr="001C46FA">
        <w:rPr>
          <w:rFonts w:ascii="Palatino Linotype" w:hAnsi="Palatino Linotype"/>
          <w:sz w:val="20"/>
        </w:rPr>
        <w:t xml:space="preserve"> is likely lower as the data submitted by the IOUs still contains many entries which could be reasonably assumed to be affiliated businesses. For example, “Business – West Bay</w:t>
      </w:r>
      <w:r>
        <w:rPr>
          <w:rFonts w:ascii="Palatino Linotype" w:hAnsi="Palatino Linotype"/>
          <w:sz w:val="20"/>
        </w:rPr>
        <w:t>,</w:t>
      </w:r>
      <w:r w:rsidRPr="001C46FA">
        <w:rPr>
          <w:rFonts w:ascii="Palatino Linotype" w:hAnsi="Palatino Linotype"/>
          <w:sz w:val="20"/>
        </w:rPr>
        <w:t xml:space="preserve">” “Business – Central Valley”,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D0A9" w14:textId="3AF59962" w:rsidR="00CF17DE" w:rsidRPr="00D865A9" w:rsidRDefault="00CF17DE">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Resolution E-</w:t>
    </w:r>
    <w:r w:rsidR="008C2118">
      <w:rPr>
        <w:rFonts w:ascii="Palatino Linotype" w:hAnsi="Palatino Linotype"/>
        <w:sz w:val="24"/>
        <w:szCs w:val="18"/>
      </w:rPr>
      <w:t>5339</w:t>
    </w:r>
    <w:r w:rsidR="003F6E5A" w:rsidRPr="00D865A9">
      <w:rPr>
        <w:rFonts w:ascii="Palatino Linotype" w:hAnsi="Palatino Linotype"/>
        <w:sz w:val="24"/>
        <w:szCs w:val="18"/>
      </w:rPr>
      <w:tab/>
    </w:r>
    <w:r w:rsidRPr="00D865A9">
      <w:rPr>
        <w:rFonts w:ascii="Palatino Linotype" w:hAnsi="Palatino Linotype"/>
        <w:sz w:val="24"/>
        <w:szCs w:val="18"/>
      </w:rPr>
      <w:tab/>
    </w:r>
    <w:r w:rsidR="008C2118">
      <w:rPr>
        <w:rFonts w:ascii="Palatino Linotype" w:hAnsi="Palatino Linotype"/>
        <w:sz w:val="24"/>
        <w:szCs w:val="18"/>
      </w:rPr>
      <w:t>August 22, 2024</w:t>
    </w:r>
  </w:p>
  <w:p w14:paraId="4518B2AB" w14:textId="77777777" w:rsidR="00CF17DE" w:rsidRDefault="008C2118">
    <w:pPr>
      <w:pStyle w:val="Header"/>
      <w:rPr>
        <w:rFonts w:ascii="Palatino Linotype" w:hAnsi="Palatino Linotype"/>
        <w:sz w:val="24"/>
        <w:szCs w:val="18"/>
      </w:rPr>
    </w:pPr>
    <w:r w:rsidRPr="008C2118">
      <w:rPr>
        <w:rFonts w:ascii="Palatino Linotype" w:hAnsi="Palatino Linotype"/>
        <w:sz w:val="24"/>
        <w:szCs w:val="18"/>
      </w:rPr>
      <w:t xml:space="preserve">Small Business California Climate Credit Distribution </w:t>
    </w:r>
    <w:r>
      <w:rPr>
        <w:rFonts w:ascii="Palatino Linotype" w:hAnsi="Palatino Linotype"/>
        <w:sz w:val="24"/>
        <w:szCs w:val="18"/>
      </w:rPr>
      <w:t>Modifications</w:t>
    </w:r>
    <w:r w:rsidRPr="008C2118">
      <w:rPr>
        <w:rFonts w:ascii="Palatino Linotype" w:hAnsi="Palatino Linotype"/>
        <w:sz w:val="24"/>
        <w:szCs w:val="18"/>
      </w:rPr>
      <w:t xml:space="preserve"> </w:t>
    </w:r>
    <w:r>
      <w:rPr>
        <w:rFonts w:ascii="Palatino Linotype" w:hAnsi="Palatino Linotype"/>
        <w:sz w:val="24"/>
        <w:szCs w:val="18"/>
      </w:rPr>
      <w:t>/ADK</w:t>
    </w:r>
  </w:p>
  <w:p w14:paraId="5F8B2AB4" w14:textId="77777777" w:rsidR="008C2118" w:rsidRPr="00D865A9" w:rsidRDefault="008C2118">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4A55" w14:textId="1BDA8C60" w:rsidR="00214D93" w:rsidRPr="00E14D10" w:rsidRDefault="002F5485" w:rsidP="00214D93">
    <w:pPr>
      <w:pStyle w:val="Header"/>
      <w:jc w:val="right"/>
      <w:rPr>
        <w:rFonts w:ascii="Palatino Linotype" w:hAnsi="Palatino Linotype"/>
        <w:sz w:val="24"/>
        <w:szCs w:val="24"/>
      </w:rPr>
    </w:pPr>
    <w:r>
      <w:tab/>
    </w:r>
    <w:bookmarkStart w:id="1" w:name="_Hlk175574128"/>
    <w:r w:rsidR="00214D93" w:rsidRPr="00E14D10">
      <w:rPr>
        <w:rFonts w:ascii="Palatino Linotype" w:hAnsi="Palatino Linotype"/>
        <w:sz w:val="24"/>
        <w:szCs w:val="24"/>
      </w:rPr>
      <w:t xml:space="preserve">Date of Issuance: </w:t>
    </w:r>
    <w:r w:rsidR="00214D93">
      <w:rPr>
        <w:rFonts w:ascii="Palatino Linotype" w:hAnsi="Palatino Linotype"/>
        <w:sz w:val="24"/>
        <w:szCs w:val="24"/>
      </w:rPr>
      <w:t>August</w:t>
    </w:r>
    <w:r w:rsidR="00214D93" w:rsidRPr="00E14D10">
      <w:rPr>
        <w:rFonts w:ascii="Palatino Linotype" w:hAnsi="Palatino Linotype"/>
        <w:sz w:val="24"/>
        <w:szCs w:val="24"/>
      </w:rPr>
      <w:t xml:space="preserve"> </w:t>
    </w:r>
    <w:r w:rsidR="00214D93">
      <w:rPr>
        <w:rFonts w:ascii="Palatino Linotype" w:hAnsi="Palatino Linotype"/>
        <w:sz w:val="24"/>
        <w:szCs w:val="24"/>
      </w:rPr>
      <w:t>28</w:t>
    </w:r>
    <w:r w:rsidR="00214D93" w:rsidRPr="00E14D10">
      <w:rPr>
        <w:rFonts w:ascii="Palatino Linotype" w:hAnsi="Palatino Linotype"/>
        <w:sz w:val="24"/>
        <w:szCs w:val="24"/>
      </w:rPr>
      <w:t>, 2024</w:t>
    </w:r>
  </w:p>
  <w:bookmarkEnd w:id="1"/>
  <w:p w14:paraId="7AB33BB0" w14:textId="4E814F0F" w:rsidR="00CF17DE" w:rsidRPr="008C3964" w:rsidRDefault="00CF17DE" w:rsidP="002F5485">
    <w:pPr>
      <w:pStyle w:val="Header"/>
      <w:rPr>
        <w:rFonts w:ascii="Palatino Linotype" w:hAnsi="Palatino Linotyp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AA25" w14:textId="77777777" w:rsidR="00DA37F5" w:rsidRPr="00A7586F" w:rsidRDefault="00DA37F5" w:rsidP="002F5485">
    <w:pPr>
      <w:pStyle w:val="Header"/>
      <w:tabs>
        <w:tab w:val="clear" w:pos="4320"/>
        <w:tab w:val="clear" w:pos="8640"/>
        <w:tab w:val="center" w:pos="6480"/>
        <w:tab w:val="right" w:pos="12600"/>
      </w:tabs>
      <w:rPr>
        <w:rFonts w:ascii="Palatino Linotype" w:hAnsi="Palatino Linotype"/>
        <w:sz w:val="24"/>
        <w:szCs w:val="24"/>
      </w:rPr>
    </w:pPr>
    <w:r w:rsidRPr="00A7586F">
      <w:rPr>
        <w:rFonts w:ascii="Palatino Linotype" w:hAnsi="Palatino Linotype"/>
        <w:sz w:val="24"/>
        <w:szCs w:val="24"/>
      </w:rPr>
      <w:t>Resolution E-5339</w:t>
    </w:r>
    <w:r w:rsidRPr="00A7586F">
      <w:rPr>
        <w:rFonts w:ascii="Palatino Linotype" w:hAnsi="Palatino Linotype"/>
        <w:sz w:val="24"/>
        <w:szCs w:val="24"/>
      </w:rPr>
      <w:tab/>
      <w:t>DRAFT</w:t>
    </w:r>
    <w:r w:rsidRPr="00A7586F">
      <w:rPr>
        <w:rFonts w:ascii="Palatino Linotype" w:hAnsi="Palatino Linotype"/>
        <w:sz w:val="24"/>
        <w:szCs w:val="24"/>
      </w:rPr>
      <w:tab/>
      <w:t>August 22, 2024</w:t>
    </w:r>
  </w:p>
  <w:p w14:paraId="21DA39DD" w14:textId="77777777" w:rsidR="00DA37F5" w:rsidRDefault="00DA37F5" w:rsidP="00CE2EA1">
    <w:pPr>
      <w:pStyle w:val="Header"/>
      <w:rPr>
        <w:rFonts w:ascii="Palatino Linotype" w:hAnsi="Palatino Linotype"/>
        <w:sz w:val="24"/>
        <w:szCs w:val="24"/>
      </w:rPr>
    </w:pPr>
    <w:r w:rsidRPr="00A7586F">
      <w:rPr>
        <w:rFonts w:ascii="Palatino Linotype" w:hAnsi="Palatino Linotype"/>
        <w:sz w:val="24"/>
        <w:szCs w:val="24"/>
      </w:rPr>
      <w:t>Small Business California Climate Credit Distribution Modifications /AD</w:t>
    </w:r>
    <w:r w:rsidR="003D08E9">
      <w:rPr>
        <w:rFonts w:ascii="Palatino Linotype" w:hAnsi="Palatino Linotype"/>
        <w:sz w:val="24"/>
        <w:szCs w:val="24"/>
      </w:rPr>
      <w:t>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012A" w14:textId="77777777" w:rsidR="002F5485" w:rsidRPr="00A7586F" w:rsidRDefault="002F5485" w:rsidP="002F5485">
    <w:pPr>
      <w:pStyle w:val="Header"/>
      <w:tabs>
        <w:tab w:val="clear" w:pos="8640"/>
        <w:tab w:val="right" w:pos="12600"/>
      </w:tabs>
      <w:rPr>
        <w:rFonts w:ascii="Palatino Linotype" w:hAnsi="Palatino Linotype"/>
        <w:sz w:val="24"/>
        <w:szCs w:val="24"/>
      </w:rPr>
    </w:pPr>
    <w:r w:rsidRPr="00A7586F">
      <w:rPr>
        <w:rFonts w:ascii="Palatino Linotype" w:hAnsi="Palatino Linotype"/>
        <w:sz w:val="24"/>
        <w:szCs w:val="24"/>
      </w:rPr>
      <w:t>Resolution E-5339</w:t>
    </w:r>
    <w:r w:rsidRPr="00A7586F">
      <w:rPr>
        <w:rFonts w:ascii="Palatino Linotype" w:hAnsi="Palatino Linotype"/>
        <w:sz w:val="24"/>
        <w:szCs w:val="24"/>
      </w:rPr>
      <w:tab/>
      <w:t>DRAFT</w:t>
    </w:r>
    <w:r w:rsidRPr="00A7586F">
      <w:rPr>
        <w:rFonts w:ascii="Palatino Linotype" w:hAnsi="Palatino Linotype"/>
        <w:sz w:val="24"/>
        <w:szCs w:val="24"/>
      </w:rPr>
      <w:tab/>
      <w:t>August 22, 2024</w:t>
    </w:r>
  </w:p>
  <w:p w14:paraId="4EAC5C2F" w14:textId="77777777" w:rsidR="002F5485" w:rsidRDefault="002F5485" w:rsidP="00CE2EA1">
    <w:pPr>
      <w:pStyle w:val="Header"/>
      <w:rPr>
        <w:rFonts w:ascii="Palatino Linotype" w:hAnsi="Palatino Linotype"/>
        <w:sz w:val="24"/>
        <w:szCs w:val="24"/>
      </w:rPr>
    </w:pPr>
    <w:r w:rsidRPr="00A7586F">
      <w:rPr>
        <w:rFonts w:ascii="Palatino Linotype" w:hAnsi="Palatino Linotype"/>
        <w:sz w:val="24"/>
        <w:szCs w:val="24"/>
      </w:rPr>
      <w:t>Small Business California Climate Credit Distribution Modifications /AD</w:t>
    </w:r>
    <w:r w:rsidR="003D08E9">
      <w:rPr>
        <w:rFonts w:ascii="Palatino Linotype" w:hAnsi="Palatino Linotype"/>
        <w:sz w:val="24"/>
        <w:szCs w:val="24"/>
      </w:rPr>
      <w:t>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DAD5" w14:textId="77777777" w:rsidR="009843D4" w:rsidRPr="00D865A9" w:rsidRDefault="009843D4">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Resolution E-</w:t>
    </w:r>
    <w:r>
      <w:rPr>
        <w:rFonts w:ascii="Palatino Linotype" w:hAnsi="Palatino Linotype"/>
        <w:sz w:val="24"/>
        <w:szCs w:val="18"/>
      </w:rPr>
      <w:t>5339</w:t>
    </w:r>
    <w:r w:rsidRPr="00D865A9">
      <w:rPr>
        <w:rFonts w:ascii="Palatino Linotype" w:hAnsi="Palatino Linotype"/>
        <w:sz w:val="24"/>
        <w:szCs w:val="18"/>
      </w:rPr>
      <w:tab/>
    </w:r>
    <w:r w:rsidRPr="00D865A9">
      <w:rPr>
        <w:rFonts w:ascii="Palatino Linotype" w:hAnsi="Palatino Linotype"/>
        <w:sz w:val="24"/>
        <w:szCs w:val="18"/>
      </w:rPr>
      <w:tab/>
    </w:r>
    <w:r>
      <w:rPr>
        <w:rFonts w:ascii="Palatino Linotype" w:hAnsi="Palatino Linotype"/>
        <w:sz w:val="24"/>
        <w:szCs w:val="18"/>
      </w:rPr>
      <w:t>August 22, 2024</w:t>
    </w:r>
  </w:p>
  <w:p w14:paraId="06F3C77E" w14:textId="77777777" w:rsidR="009843D4" w:rsidRDefault="009843D4">
    <w:pPr>
      <w:pStyle w:val="Header"/>
      <w:rPr>
        <w:rFonts w:ascii="Palatino Linotype" w:hAnsi="Palatino Linotype"/>
        <w:sz w:val="24"/>
        <w:szCs w:val="18"/>
      </w:rPr>
    </w:pPr>
    <w:r w:rsidRPr="008C2118">
      <w:rPr>
        <w:rFonts w:ascii="Palatino Linotype" w:hAnsi="Palatino Linotype"/>
        <w:sz w:val="24"/>
        <w:szCs w:val="18"/>
      </w:rPr>
      <w:t xml:space="preserve">Small Business California Climate Credit Distribution </w:t>
    </w:r>
    <w:r>
      <w:rPr>
        <w:rFonts w:ascii="Palatino Linotype" w:hAnsi="Palatino Linotype"/>
        <w:sz w:val="24"/>
        <w:szCs w:val="18"/>
      </w:rPr>
      <w:t>Modifications</w:t>
    </w:r>
    <w:r w:rsidRPr="008C2118">
      <w:rPr>
        <w:rFonts w:ascii="Palatino Linotype" w:hAnsi="Palatino Linotype"/>
        <w:sz w:val="24"/>
        <w:szCs w:val="18"/>
      </w:rPr>
      <w:t xml:space="preserve"> </w:t>
    </w:r>
    <w:r>
      <w:rPr>
        <w:rFonts w:ascii="Palatino Linotype" w:hAnsi="Palatino Linotype"/>
        <w:sz w:val="24"/>
        <w:szCs w:val="18"/>
      </w:rPr>
      <w:t>/ADK</w:t>
    </w:r>
  </w:p>
  <w:p w14:paraId="5138E365" w14:textId="77777777" w:rsidR="009843D4" w:rsidRPr="00D865A9" w:rsidRDefault="009843D4">
    <w:pPr>
      <w:pStyle w:val="Header"/>
      <w:rPr>
        <w:rFonts w:ascii="Palatino Linotype" w:hAnsi="Palatino Linotype"/>
        <w:sz w:val="24"/>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7873" w14:textId="77777777" w:rsidR="00F37CD6" w:rsidRPr="00D865A9" w:rsidRDefault="00F37CD6" w:rsidP="00F37CD6">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Resolution E-</w:t>
    </w:r>
    <w:r>
      <w:rPr>
        <w:rFonts w:ascii="Palatino Linotype" w:hAnsi="Palatino Linotype"/>
        <w:sz w:val="24"/>
        <w:szCs w:val="18"/>
      </w:rPr>
      <w:t>5339</w:t>
    </w:r>
    <w:r w:rsidRPr="00D865A9">
      <w:rPr>
        <w:rFonts w:ascii="Palatino Linotype" w:hAnsi="Palatino Linotype"/>
        <w:sz w:val="24"/>
        <w:szCs w:val="18"/>
      </w:rPr>
      <w:tab/>
    </w:r>
    <w:r w:rsidRPr="00FC4158">
      <w:rPr>
        <w:rFonts w:ascii="Palatino Linotype" w:hAnsi="Palatino Linotype"/>
        <w:sz w:val="24"/>
        <w:szCs w:val="18"/>
      </w:rPr>
      <w:t>DRAFT</w:t>
    </w:r>
    <w:r w:rsidRPr="00D865A9">
      <w:rPr>
        <w:rFonts w:ascii="Palatino Linotype" w:hAnsi="Palatino Linotype"/>
        <w:sz w:val="24"/>
        <w:szCs w:val="18"/>
      </w:rPr>
      <w:tab/>
    </w:r>
    <w:r>
      <w:rPr>
        <w:rFonts w:ascii="Palatino Linotype" w:hAnsi="Palatino Linotype"/>
        <w:sz w:val="24"/>
        <w:szCs w:val="18"/>
      </w:rPr>
      <w:t>August 22, 2024</w:t>
    </w:r>
  </w:p>
  <w:p w14:paraId="5FF98A53" w14:textId="77777777" w:rsidR="00F37CD6" w:rsidRDefault="00F37CD6" w:rsidP="00F37CD6">
    <w:pPr>
      <w:pStyle w:val="Header"/>
      <w:rPr>
        <w:rFonts w:ascii="Palatino Linotype" w:hAnsi="Palatino Linotype"/>
        <w:sz w:val="24"/>
        <w:szCs w:val="18"/>
      </w:rPr>
    </w:pPr>
    <w:r w:rsidRPr="008C2118">
      <w:rPr>
        <w:rFonts w:ascii="Palatino Linotype" w:hAnsi="Palatino Linotype"/>
        <w:sz w:val="24"/>
        <w:szCs w:val="18"/>
      </w:rPr>
      <w:t xml:space="preserve">Small Business California Climate Credit Distribution </w:t>
    </w:r>
    <w:r>
      <w:rPr>
        <w:rFonts w:ascii="Palatino Linotype" w:hAnsi="Palatino Linotype"/>
        <w:sz w:val="24"/>
        <w:szCs w:val="18"/>
      </w:rPr>
      <w:t>Modifications</w:t>
    </w:r>
    <w:r w:rsidRPr="008C2118">
      <w:rPr>
        <w:rFonts w:ascii="Palatino Linotype" w:hAnsi="Palatino Linotype"/>
        <w:sz w:val="24"/>
        <w:szCs w:val="18"/>
      </w:rPr>
      <w:t xml:space="preserve"> </w:t>
    </w:r>
    <w:r>
      <w:rPr>
        <w:rFonts w:ascii="Palatino Linotype" w:hAnsi="Palatino Linotype"/>
        <w:sz w:val="24"/>
        <w:szCs w:val="18"/>
      </w:rPr>
      <w:t>/ADK</w:t>
    </w:r>
  </w:p>
  <w:p w14:paraId="033C74FD" w14:textId="77777777" w:rsidR="00F37CD6" w:rsidRPr="00D865A9" w:rsidRDefault="00F37CD6" w:rsidP="003F6E5A">
    <w:pPr>
      <w:pStyle w:val="Header"/>
      <w:jc w:val="center"/>
      <w:rPr>
        <w:rFonts w:ascii="Palatino Linotype" w:hAnsi="Palatino Linotyp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6F8414F"/>
    <w:multiLevelType w:val="hybridMultilevel"/>
    <w:tmpl w:val="71F40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481D08"/>
    <w:multiLevelType w:val="hybridMultilevel"/>
    <w:tmpl w:val="F71E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72565C7"/>
    <w:multiLevelType w:val="singleLevel"/>
    <w:tmpl w:val="41A60EC4"/>
    <w:lvl w:ilvl="0">
      <w:start w:val="1"/>
      <w:numFmt w:val="decimal"/>
      <w:lvlText w:val="%1."/>
      <w:lvlJc w:val="left"/>
      <w:pPr>
        <w:tabs>
          <w:tab w:val="num" w:pos="420"/>
        </w:tabs>
        <w:ind w:left="420" w:hanging="420"/>
      </w:pPr>
      <w:rPr>
        <w:rFonts w:ascii="Palatino Linotype" w:hAnsi="Palatino Linotype" w:hint="default"/>
        <w:sz w:val="24"/>
        <w:szCs w:val="24"/>
      </w:rPr>
    </w:lvl>
  </w:abstractNum>
  <w:abstractNum w:abstractNumId="9"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30C46"/>
    <w:multiLevelType w:val="hybridMultilevel"/>
    <w:tmpl w:val="B5C602B4"/>
    <w:lvl w:ilvl="0" w:tplc="172EC616">
      <w:start w:val="1"/>
      <w:numFmt w:val="decimal"/>
      <w:lvlText w:val="%1."/>
      <w:lvlJc w:val="left"/>
      <w:pPr>
        <w:ind w:left="1530" w:hanging="360"/>
      </w:pPr>
      <w:rPr>
        <w:b w:val="0"/>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2476969">
    <w:abstractNumId w:val="1"/>
  </w:num>
  <w:num w:numId="2" w16cid:durableId="1179659355">
    <w:abstractNumId w:val="7"/>
  </w:num>
  <w:num w:numId="3" w16cid:durableId="1184857078">
    <w:abstractNumId w:val="4"/>
  </w:num>
  <w:num w:numId="4" w16cid:durableId="1697269902">
    <w:abstractNumId w:val="8"/>
  </w:num>
  <w:num w:numId="5" w16cid:durableId="2024938905">
    <w:abstractNumId w:val="2"/>
  </w:num>
  <w:num w:numId="6" w16cid:durableId="1129127765">
    <w:abstractNumId w:val="5"/>
  </w:num>
  <w:num w:numId="7" w16cid:durableId="245842286">
    <w:abstractNumId w:val="12"/>
  </w:num>
  <w:num w:numId="8" w16cid:durableId="423575508">
    <w:abstractNumId w:val="13"/>
  </w:num>
  <w:num w:numId="9" w16cid:durableId="174535851">
    <w:abstractNumId w:val="3"/>
  </w:num>
  <w:num w:numId="10" w16cid:durableId="1982341160">
    <w:abstractNumId w:val="9"/>
  </w:num>
  <w:num w:numId="11" w16cid:durableId="1902793005">
    <w:abstractNumId w:val="0"/>
  </w:num>
  <w:num w:numId="12" w16cid:durableId="1803886517">
    <w:abstractNumId w:val="11"/>
  </w:num>
  <w:num w:numId="13" w16cid:durableId="32003772">
    <w:abstractNumId w:val="6"/>
  </w:num>
  <w:num w:numId="14" w16cid:durableId="1261529243">
    <w:abstractNumId w:val="4"/>
  </w:num>
  <w:num w:numId="15" w16cid:durableId="12388322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3377"/>
    <w:rsid w:val="000050C5"/>
    <w:rsid w:val="000057D0"/>
    <w:rsid w:val="000065E8"/>
    <w:rsid w:val="000114B7"/>
    <w:rsid w:val="000116F6"/>
    <w:rsid w:val="00011F6C"/>
    <w:rsid w:val="00012D45"/>
    <w:rsid w:val="00013008"/>
    <w:rsid w:val="00013EC8"/>
    <w:rsid w:val="0001652F"/>
    <w:rsid w:val="000165C8"/>
    <w:rsid w:val="00017377"/>
    <w:rsid w:val="0001748E"/>
    <w:rsid w:val="000207EB"/>
    <w:rsid w:val="0002172A"/>
    <w:rsid w:val="00022090"/>
    <w:rsid w:val="00022F7B"/>
    <w:rsid w:val="000243FF"/>
    <w:rsid w:val="00024686"/>
    <w:rsid w:val="00024C89"/>
    <w:rsid w:val="000252E5"/>
    <w:rsid w:val="00025975"/>
    <w:rsid w:val="0002645D"/>
    <w:rsid w:val="000276B9"/>
    <w:rsid w:val="00031053"/>
    <w:rsid w:val="00033147"/>
    <w:rsid w:val="00033444"/>
    <w:rsid w:val="00035F22"/>
    <w:rsid w:val="00036651"/>
    <w:rsid w:val="00037A66"/>
    <w:rsid w:val="00037D54"/>
    <w:rsid w:val="00040A37"/>
    <w:rsid w:val="00041632"/>
    <w:rsid w:val="00041917"/>
    <w:rsid w:val="0004248A"/>
    <w:rsid w:val="000436C1"/>
    <w:rsid w:val="00043FD4"/>
    <w:rsid w:val="0004477E"/>
    <w:rsid w:val="0004519F"/>
    <w:rsid w:val="00045F1A"/>
    <w:rsid w:val="000467D8"/>
    <w:rsid w:val="000514B2"/>
    <w:rsid w:val="00055467"/>
    <w:rsid w:val="00055D85"/>
    <w:rsid w:val="0005765C"/>
    <w:rsid w:val="00057741"/>
    <w:rsid w:val="000606A9"/>
    <w:rsid w:val="000643B2"/>
    <w:rsid w:val="00077249"/>
    <w:rsid w:val="00077684"/>
    <w:rsid w:val="00081213"/>
    <w:rsid w:val="0008156F"/>
    <w:rsid w:val="0008314D"/>
    <w:rsid w:val="00083D7A"/>
    <w:rsid w:val="000852CF"/>
    <w:rsid w:val="00085F06"/>
    <w:rsid w:val="000870B1"/>
    <w:rsid w:val="00090457"/>
    <w:rsid w:val="00092ACE"/>
    <w:rsid w:val="000943FF"/>
    <w:rsid w:val="00095AC9"/>
    <w:rsid w:val="000A013A"/>
    <w:rsid w:val="000A0CE0"/>
    <w:rsid w:val="000A23B3"/>
    <w:rsid w:val="000A43A6"/>
    <w:rsid w:val="000A4661"/>
    <w:rsid w:val="000A5507"/>
    <w:rsid w:val="000A61A0"/>
    <w:rsid w:val="000B206B"/>
    <w:rsid w:val="000B29AA"/>
    <w:rsid w:val="000B35EF"/>
    <w:rsid w:val="000B5D11"/>
    <w:rsid w:val="000B6EAF"/>
    <w:rsid w:val="000C4065"/>
    <w:rsid w:val="000C50E3"/>
    <w:rsid w:val="000C5B93"/>
    <w:rsid w:val="000C5BDB"/>
    <w:rsid w:val="000D222B"/>
    <w:rsid w:val="000D313F"/>
    <w:rsid w:val="000D3A75"/>
    <w:rsid w:val="000D665A"/>
    <w:rsid w:val="000E0B13"/>
    <w:rsid w:val="000E1C4C"/>
    <w:rsid w:val="000E4294"/>
    <w:rsid w:val="000E4307"/>
    <w:rsid w:val="000F42D2"/>
    <w:rsid w:val="000F5384"/>
    <w:rsid w:val="000F554D"/>
    <w:rsid w:val="000F5B1A"/>
    <w:rsid w:val="000F69FD"/>
    <w:rsid w:val="000F7433"/>
    <w:rsid w:val="000F7AF1"/>
    <w:rsid w:val="00102C2B"/>
    <w:rsid w:val="00102F6B"/>
    <w:rsid w:val="001046C9"/>
    <w:rsid w:val="00107EDB"/>
    <w:rsid w:val="0011066D"/>
    <w:rsid w:val="00113B1F"/>
    <w:rsid w:val="00113D83"/>
    <w:rsid w:val="0011644C"/>
    <w:rsid w:val="001229C1"/>
    <w:rsid w:val="00124710"/>
    <w:rsid w:val="00133BA6"/>
    <w:rsid w:val="0013452A"/>
    <w:rsid w:val="00135B43"/>
    <w:rsid w:val="00137BED"/>
    <w:rsid w:val="00142FB8"/>
    <w:rsid w:val="00144160"/>
    <w:rsid w:val="001452AB"/>
    <w:rsid w:val="00145428"/>
    <w:rsid w:val="00160908"/>
    <w:rsid w:val="001624A8"/>
    <w:rsid w:val="001651E9"/>
    <w:rsid w:val="00165280"/>
    <w:rsid w:val="00166FE6"/>
    <w:rsid w:val="00173CED"/>
    <w:rsid w:val="00174618"/>
    <w:rsid w:val="00177B57"/>
    <w:rsid w:val="00180D9C"/>
    <w:rsid w:val="00184137"/>
    <w:rsid w:val="001856C7"/>
    <w:rsid w:val="0019021D"/>
    <w:rsid w:val="00190277"/>
    <w:rsid w:val="00190517"/>
    <w:rsid w:val="00190C83"/>
    <w:rsid w:val="001914B6"/>
    <w:rsid w:val="0019273D"/>
    <w:rsid w:val="0019301F"/>
    <w:rsid w:val="00193F42"/>
    <w:rsid w:val="00195093"/>
    <w:rsid w:val="001978DF"/>
    <w:rsid w:val="001A1DB2"/>
    <w:rsid w:val="001A2024"/>
    <w:rsid w:val="001A2507"/>
    <w:rsid w:val="001A2C8C"/>
    <w:rsid w:val="001A39F4"/>
    <w:rsid w:val="001A6D73"/>
    <w:rsid w:val="001B36B8"/>
    <w:rsid w:val="001B4BF8"/>
    <w:rsid w:val="001B7FC9"/>
    <w:rsid w:val="001C2509"/>
    <w:rsid w:val="001C46FA"/>
    <w:rsid w:val="001C7666"/>
    <w:rsid w:val="001D1914"/>
    <w:rsid w:val="001D47B0"/>
    <w:rsid w:val="001D5790"/>
    <w:rsid w:val="001D6EA6"/>
    <w:rsid w:val="001D70E4"/>
    <w:rsid w:val="001E076C"/>
    <w:rsid w:val="001E0C26"/>
    <w:rsid w:val="001E1441"/>
    <w:rsid w:val="001E2E9B"/>
    <w:rsid w:val="001E3B98"/>
    <w:rsid w:val="001E3EAE"/>
    <w:rsid w:val="001E4328"/>
    <w:rsid w:val="001E6220"/>
    <w:rsid w:val="001E65D7"/>
    <w:rsid w:val="001F1173"/>
    <w:rsid w:val="001F2BA8"/>
    <w:rsid w:val="001F4190"/>
    <w:rsid w:val="001F5325"/>
    <w:rsid w:val="001F6207"/>
    <w:rsid w:val="0020108F"/>
    <w:rsid w:val="00211C92"/>
    <w:rsid w:val="00211E03"/>
    <w:rsid w:val="00214D93"/>
    <w:rsid w:val="00215475"/>
    <w:rsid w:val="002224A2"/>
    <w:rsid w:val="00224240"/>
    <w:rsid w:val="00225933"/>
    <w:rsid w:val="00226654"/>
    <w:rsid w:val="00233C3F"/>
    <w:rsid w:val="0023436B"/>
    <w:rsid w:val="00241712"/>
    <w:rsid w:val="00241760"/>
    <w:rsid w:val="00241B83"/>
    <w:rsid w:val="00241D3D"/>
    <w:rsid w:val="00242206"/>
    <w:rsid w:val="0024354C"/>
    <w:rsid w:val="00243C30"/>
    <w:rsid w:val="00244113"/>
    <w:rsid w:val="0024459D"/>
    <w:rsid w:val="00245138"/>
    <w:rsid w:val="0024531E"/>
    <w:rsid w:val="00245DBA"/>
    <w:rsid w:val="00245F89"/>
    <w:rsid w:val="00250397"/>
    <w:rsid w:val="00250771"/>
    <w:rsid w:val="0025096F"/>
    <w:rsid w:val="00252810"/>
    <w:rsid w:val="00255C6E"/>
    <w:rsid w:val="00256FCF"/>
    <w:rsid w:val="002572E9"/>
    <w:rsid w:val="0026012F"/>
    <w:rsid w:val="002618E0"/>
    <w:rsid w:val="00261D04"/>
    <w:rsid w:val="00261EB7"/>
    <w:rsid w:val="0026212A"/>
    <w:rsid w:val="00262EE1"/>
    <w:rsid w:val="00267F93"/>
    <w:rsid w:val="00272595"/>
    <w:rsid w:val="00272CA2"/>
    <w:rsid w:val="00274AF8"/>
    <w:rsid w:val="002754E9"/>
    <w:rsid w:val="00276001"/>
    <w:rsid w:val="002761FB"/>
    <w:rsid w:val="00276499"/>
    <w:rsid w:val="00282D87"/>
    <w:rsid w:val="00282FC6"/>
    <w:rsid w:val="00283AF8"/>
    <w:rsid w:val="00285EEC"/>
    <w:rsid w:val="002868A7"/>
    <w:rsid w:val="00286C86"/>
    <w:rsid w:val="00290473"/>
    <w:rsid w:val="00290554"/>
    <w:rsid w:val="002910DA"/>
    <w:rsid w:val="00294AE8"/>
    <w:rsid w:val="0029527D"/>
    <w:rsid w:val="00295B36"/>
    <w:rsid w:val="002977BF"/>
    <w:rsid w:val="00297CC1"/>
    <w:rsid w:val="002A5047"/>
    <w:rsid w:val="002A5142"/>
    <w:rsid w:val="002A7EFD"/>
    <w:rsid w:val="002B219E"/>
    <w:rsid w:val="002B26DC"/>
    <w:rsid w:val="002B3FEA"/>
    <w:rsid w:val="002B6681"/>
    <w:rsid w:val="002B74EF"/>
    <w:rsid w:val="002C4618"/>
    <w:rsid w:val="002C4B96"/>
    <w:rsid w:val="002C5D4E"/>
    <w:rsid w:val="002C61B1"/>
    <w:rsid w:val="002D2B2C"/>
    <w:rsid w:val="002D3C90"/>
    <w:rsid w:val="002D42A1"/>
    <w:rsid w:val="002D719B"/>
    <w:rsid w:val="002E1245"/>
    <w:rsid w:val="002E244B"/>
    <w:rsid w:val="002E2BC3"/>
    <w:rsid w:val="002E31D4"/>
    <w:rsid w:val="002E37D5"/>
    <w:rsid w:val="002F1B1F"/>
    <w:rsid w:val="002F5140"/>
    <w:rsid w:val="002F5485"/>
    <w:rsid w:val="002F667E"/>
    <w:rsid w:val="002F677D"/>
    <w:rsid w:val="002F7E58"/>
    <w:rsid w:val="00301A81"/>
    <w:rsid w:val="003026AA"/>
    <w:rsid w:val="00306496"/>
    <w:rsid w:val="0031020C"/>
    <w:rsid w:val="00313FF5"/>
    <w:rsid w:val="00314302"/>
    <w:rsid w:val="003149CD"/>
    <w:rsid w:val="00316A1B"/>
    <w:rsid w:val="00322BFA"/>
    <w:rsid w:val="00322D54"/>
    <w:rsid w:val="00322F19"/>
    <w:rsid w:val="00323DC1"/>
    <w:rsid w:val="0032527B"/>
    <w:rsid w:val="00326107"/>
    <w:rsid w:val="00327022"/>
    <w:rsid w:val="00330D8D"/>
    <w:rsid w:val="003310A5"/>
    <w:rsid w:val="00331184"/>
    <w:rsid w:val="00333835"/>
    <w:rsid w:val="0034016E"/>
    <w:rsid w:val="00341A73"/>
    <w:rsid w:val="00341EAF"/>
    <w:rsid w:val="003444D5"/>
    <w:rsid w:val="0034487E"/>
    <w:rsid w:val="00344CC8"/>
    <w:rsid w:val="00351754"/>
    <w:rsid w:val="00351B53"/>
    <w:rsid w:val="00353BB7"/>
    <w:rsid w:val="00354847"/>
    <w:rsid w:val="00356C5D"/>
    <w:rsid w:val="00357921"/>
    <w:rsid w:val="003601CB"/>
    <w:rsid w:val="00362FDA"/>
    <w:rsid w:val="003636A1"/>
    <w:rsid w:val="00363DAD"/>
    <w:rsid w:val="00365BFD"/>
    <w:rsid w:val="003716FD"/>
    <w:rsid w:val="003720F8"/>
    <w:rsid w:val="003728C8"/>
    <w:rsid w:val="00373745"/>
    <w:rsid w:val="0037533F"/>
    <w:rsid w:val="00376538"/>
    <w:rsid w:val="00376D64"/>
    <w:rsid w:val="00376EEE"/>
    <w:rsid w:val="003774F8"/>
    <w:rsid w:val="003804AC"/>
    <w:rsid w:val="003809E1"/>
    <w:rsid w:val="0038126D"/>
    <w:rsid w:val="00381A1E"/>
    <w:rsid w:val="00382DCC"/>
    <w:rsid w:val="0038526D"/>
    <w:rsid w:val="0038589A"/>
    <w:rsid w:val="00386258"/>
    <w:rsid w:val="003876E5"/>
    <w:rsid w:val="003914C0"/>
    <w:rsid w:val="003914E5"/>
    <w:rsid w:val="003932D6"/>
    <w:rsid w:val="00394B3A"/>
    <w:rsid w:val="00395381"/>
    <w:rsid w:val="00397053"/>
    <w:rsid w:val="00397330"/>
    <w:rsid w:val="003A0956"/>
    <w:rsid w:val="003A2D70"/>
    <w:rsid w:val="003A4401"/>
    <w:rsid w:val="003A5FBA"/>
    <w:rsid w:val="003B1839"/>
    <w:rsid w:val="003B1E18"/>
    <w:rsid w:val="003B28DC"/>
    <w:rsid w:val="003B29DA"/>
    <w:rsid w:val="003B5731"/>
    <w:rsid w:val="003B7286"/>
    <w:rsid w:val="003B7B80"/>
    <w:rsid w:val="003B7FC0"/>
    <w:rsid w:val="003C17E4"/>
    <w:rsid w:val="003C3095"/>
    <w:rsid w:val="003C4458"/>
    <w:rsid w:val="003C4C78"/>
    <w:rsid w:val="003C5145"/>
    <w:rsid w:val="003C528A"/>
    <w:rsid w:val="003C648A"/>
    <w:rsid w:val="003C773F"/>
    <w:rsid w:val="003D08E9"/>
    <w:rsid w:val="003D1B2E"/>
    <w:rsid w:val="003D27B8"/>
    <w:rsid w:val="003D4A94"/>
    <w:rsid w:val="003D4BFF"/>
    <w:rsid w:val="003D4FCB"/>
    <w:rsid w:val="003D6AC6"/>
    <w:rsid w:val="003E027E"/>
    <w:rsid w:val="003E224C"/>
    <w:rsid w:val="003E3178"/>
    <w:rsid w:val="003E5004"/>
    <w:rsid w:val="003E691D"/>
    <w:rsid w:val="003F16F4"/>
    <w:rsid w:val="003F25B1"/>
    <w:rsid w:val="003F6E5A"/>
    <w:rsid w:val="003F74C5"/>
    <w:rsid w:val="003F7F08"/>
    <w:rsid w:val="00400409"/>
    <w:rsid w:val="00400F6B"/>
    <w:rsid w:val="00402354"/>
    <w:rsid w:val="004058F9"/>
    <w:rsid w:val="00407E6C"/>
    <w:rsid w:val="00410158"/>
    <w:rsid w:val="00410BF5"/>
    <w:rsid w:val="00411D6C"/>
    <w:rsid w:val="00414270"/>
    <w:rsid w:val="00416D63"/>
    <w:rsid w:val="00421BBB"/>
    <w:rsid w:val="004221BE"/>
    <w:rsid w:val="00425148"/>
    <w:rsid w:val="00426463"/>
    <w:rsid w:val="00426F63"/>
    <w:rsid w:val="00430124"/>
    <w:rsid w:val="00431455"/>
    <w:rsid w:val="00431787"/>
    <w:rsid w:val="00431BF6"/>
    <w:rsid w:val="00434910"/>
    <w:rsid w:val="00436DB9"/>
    <w:rsid w:val="00440AB7"/>
    <w:rsid w:val="004438E3"/>
    <w:rsid w:val="00443AA8"/>
    <w:rsid w:val="00444920"/>
    <w:rsid w:val="00444CB9"/>
    <w:rsid w:val="00446BA2"/>
    <w:rsid w:val="00447D71"/>
    <w:rsid w:val="00447DDD"/>
    <w:rsid w:val="00452EE2"/>
    <w:rsid w:val="00453ABC"/>
    <w:rsid w:val="0045657C"/>
    <w:rsid w:val="0045721A"/>
    <w:rsid w:val="004606F2"/>
    <w:rsid w:val="00461D54"/>
    <w:rsid w:val="004627D5"/>
    <w:rsid w:val="00462B24"/>
    <w:rsid w:val="00463288"/>
    <w:rsid w:val="0046672E"/>
    <w:rsid w:val="00467956"/>
    <w:rsid w:val="00470B9B"/>
    <w:rsid w:val="00472823"/>
    <w:rsid w:val="00472A2C"/>
    <w:rsid w:val="004747EB"/>
    <w:rsid w:val="00474F72"/>
    <w:rsid w:val="00475AC0"/>
    <w:rsid w:val="00477AE0"/>
    <w:rsid w:val="004805DB"/>
    <w:rsid w:val="004808D3"/>
    <w:rsid w:val="0048472D"/>
    <w:rsid w:val="00485533"/>
    <w:rsid w:val="00485DBF"/>
    <w:rsid w:val="00485ED8"/>
    <w:rsid w:val="004905D3"/>
    <w:rsid w:val="00491D10"/>
    <w:rsid w:val="004939FE"/>
    <w:rsid w:val="00493E04"/>
    <w:rsid w:val="00494418"/>
    <w:rsid w:val="00494B2B"/>
    <w:rsid w:val="0049590D"/>
    <w:rsid w:val="004A0B41"/>
    <w:rsid w:val="004A0BC1"/>
    <w:rsid w:val="004A245B"/>
    <w:rsid w:val="004A3BD3"/>
    <w:rsid w:val="004A4B01"/>
    <w:rsid w:val="004A62B8"/>
    <w:rsid w:val="004A7F95"/>
    <w:rsid w:val="004B212A"/>
    <w:rsid w:val="004B697D"/>
    <w:rsid w:val="004C273B"/>
    <w:rsid w:val="004C4301"/>
    <w:rsid w:val="004C4D84"/>
    <w:rsid w:val="004C4EC8"/>
    <w:rsid w:val="004D0D7A"/>
    <w:rsid w:val="004D1FB3"/>
    <w:rsid w:val="004D275F"/>
    <w:rsid w:val="004D3212"/>
    <w:rsid w:val="004D386C"/>
    <w:rsid w:val="004D3A1C"/>
    <w:rsid w:val="004D4504"/>
    <w:rsid w:val="004D58F9"/>
    <w:rsid w:val="004D5FA0"/>
    <w:rsid w:val="004D6240"/>
    <w:rsid w:val="004E043A"/>
    <w:rsid w:val="004E0A27"/>
    <w:rsid w:val="004E12B0"/>
    <w:rsid w:val="004E2940"/>
    <w:rsid w:val="004E63E4"/>
    <w:rsid w:val="004E7CE5"/>
    <w:rsid w:val="004F0D36"/>
    <w:rsid w:val="004F29F7"/>
    <w:rsid w:val="004F2A1A"/>
    <w:rsid w:val="004F58D8"/>
    <w:rsid w:val="00501BA1"/>
    <w:rsid w:val="00501EFA"/>
    <w:rsid w:val="0050309D"/>
    <w:rsid w:val="005066FB"/>
    <w:rsid w:val="005072FC"/>
    <w:rsid w:val="00507EE5"/>
    <w:rsid w:val="00510109"/>
    <w:rsid w:val="005139A5"/>
    <w:rsid w:val="0051797B"/>
    <w:rsid w:val="00517C55"/>
    <w:rsid w:val="0052089A"/>
    <w:rsid w:val="005249DF"/>
    <w:rsid w:val="00526347"/>
    <w:rsid w:val="00530303"/>
    <w:rsid w:val="00530797"/>
    <w:rsid w:val="0053121F"/>
    <w:rsid w:val="005331FC"/>
    <w:rsid w:val="00534769"/>
    <w:rsid w:val="00535606"/>
    <w:rsid w:val="00536343"/>
    <w:rsid w:val="00536956"/>
    <w:rsid w:val="0054381C"/>
    <w:rsid w:val="00543EF3"/>
    <w:rsid w:val="00544995"/>
    <w:rsid w:val="00544EA4"/>
    <w:rsid w:val="00546F34"/>
    <w:rsid w:val="00547E17"/>
    <w:rsid w:val="00552469"/>
    <w:rsid w:val="0055336A"/>
    <w:rsid w:val="00554EE1"/>
    <w:rsid w:val="005550AF"/>
    <w:rsid w:val="00560C49"/>
    <w:rsid w:val="00561528"/>
    <w:rsid w:val="005619D0"/>
    <w:rsid w:val="005661F3"/>
    <w:rsid w:val="00570023"/>
    <w:rsid w:val="0057168A"/>
    <w:rsid w:val="005722BF"/>
    <w:rsid w:val="0057347C"/>
    <w:rsid w:val="0057398B"/>
    <w:rsid w:val="0057486D"/>
    <w:rsid w:val="00575792"/>
    <w:rsid w:val="00577CB9"/>
    <w:rsid w:val="005805BF"/>
    <w:rsid w:val="00582A99"/>
    <w:rsid w:val="00582F8B"/>
    <w:rsid w:val="005832B5"/>
    <w:rsid w:val="00583E24"/>
    <w:rsid w:val="005849E4"/>
    <w:rsid w:val="00585D2E"/>
    <w:rsid w:val="005900AB"/>
    <w:rsid w:val="0059211E"/>
    <w:rsid w:val="00592574"/>
    <w:rsid w:val="00593807"/>
    <w:rsid w:val="00593A0C"/>
    <w:rsid w:val="005951C7"/>
    <w:rsid w:val="00595FEC"/>
    <w:rsid w:val="00596F43"/>
    <w:rsid w:val="005A1092"/>
    <w:rsid w:val="005A5284"/>
    <w:rsid w:val="005A7AD4"/>
    <w:rsid w:val="005B4F16"/>
    <w:rsid w:val="005B5E76"/>
    <w:rsid w:val="005C41A9"/>
    <w:rsid w:val="005C63CD"/>
    <w:rsid w:val="005C6433"/>
    <w:rsid w:val="005C6E4E"/>
    <w:rsid w:val="005D02D9"/>
    <w:rsid w:val="005D260B"/>
    <w:rsid w:val="005D2B28"/>
    <w:rsid w:val="005D446C"/>
    <w:rsid w:val="005D5F2E"/>
    <w:rsid w:val="005D7C11"/>
    <w:rsid w:val="005D7C99"/>
    <w:rsid w:val="005E623C"/>
    <w:rsid w:val="005E7271"/>
    <w:rsid w:val="005F1942"/>
    <w:rsid w:val="005F2FFF"/>
    <w:rsid w:val="005F5E1E"/>
    <w:rsid w:val="00600611"/>
    <w:rsid w:val="00600FE6"/>
    <w:rsid w:val="006012D0"/>
    <w:rsid w:val="00601A5B"/>
    <w:rsid w:val="0060207F"/>
    <w:rsid w:val="00602781"/>
    <w:rsid w:val="0060279F"/>
    <w:rsid w:val="00602C95"/>
    <w:rsid w:val="00602E63"/>
    <w:rsid w:val="0060339E"/>
    <w:rsid w:val="00603659"/>
    <w:rsid w:val="006043C9"/>
    <w:rsid w:val="00606F1F"/>
    <w:rsid w:val="00613C9A"/>
    <w:rsid w:val="00613E94"/>
    <w:rsid w:val="00616B54"/>
    <w:rsid w:val="00617780"/>
    <w:rsid w:val="006211C9"/>
    <w:rsid w:val="006216D2"/>
    <w:rsid w:val="00621E0C"/>
    <w:rsid w:val="006227CE"/>
    <w:rsid w:val="00626E1C"/>
    <w:rsid w:val="0063416A"/>
    <w:rsid w:val="00634C8E"/>
    <w:rsid w:val="00634FFE"/>
    <w:rsid w:val="00637F35"/>
    <w:rsid w:val="006423FF"/>
    <w:rsid w:val="00643B59"/>
    <w:rsid w:val="006447EB"/>
    <w:rsid w:val="00646A92"/>
    <w:rsid w:val="00647252"/>
    <w:rsid w:val="00647490"/>
    <w:rsid w:val="00651AD0"/>
    <w:rsid w:val="00654B68"/>
    <w:rsid w:val="006565C6"/>
    <w:rsid w:val="00656638"/>
    <w:rsid w:val="00657C7F"/>
    <w:rsid w:val="006612BE"/>
    <w:rsid w:val="00661F85"/>
    <w:rsid w:val="0066201D"/>
    <w:rsid w:val="006645F7"/>
    <w:rsid w:val="00665766"/>
    <w:rsid w:val="006717AA"/>
    <w:rsid w:val="00673F3E"/>
    <w:rsid w:val="0067433B"/>
    <w:rsid w:val="00674C9F"/>
    <w:rsid w:val="00677010"/>
    <w:rsid w:val="00677B05"/>
    <w:rsid w:val="00685311"/>
    <w:rsid w:val="00686698"/>
    <w:rsid w:val="00687877"/>
    <w:rsid w:val="006924D1"/>
    <w:rsid w:val="006924DD"/>
    <w:rsid w:val="006937D5"/>
    <w:rsid w:val="0069405D"/>
    <w:rsid w:val="00695283"/>
    <w:rsid w:val="0069631C"/>
    <w:rsid w:val="00696523"/>
    <w:rsid w:val="00696660"/>
    <w:rsid w:val="006A03B6"/>
    <w:rsid w:val="006A0BF7"/>
    <w:rsid w:val="006A352E"/>
    <w:rsid w:val="006B05EE"/>
    <w:rsid w:val="006B1608"/>
    <w:rsid w:val="006B4C3B"/>
    <w:rsid w:val="006B5810"/>
    <w:rsid w:val="006C04A2"/>
    <w:rsid w:val="006C2891"/>
    <w:rsid w:val="006C2C70"/>
    <w:rsid w:val="006C6D9B"/>
    <w:rsid w:val="006C7C15"/>
    <w:rsid w:val="006C7CE8"/>
    <w:rsid w:val="006D0218"/>
    <w:rsid w:val="006D1AA4"/>
    <w:rsid w:val="006D30D5"/>
    <w:rsid w:val="006D42B0"/>
    <w:rsid w:val="006D494A"/>
    <w:rsid w:val="006E049B"/>
    <w:rsid w:val="006E102C"/>
    <w:rsid w:val="006E1043"/>
    <w:rsid w:val="006E2863"/>
    <w:rsid w:val="006E446C"/>
    <w:rsid w:val="006F041F"/>
    <w:rsid w:val="006F1E95"/>
    <w:rsid w:val="006F34E5"/>
    <w:rsid w:val="006F3C34"/>
    <w:rsid w:val="006F4903"/>
    <w:rsid w:val="006F6444"/>
    <w:rsid w:val="0070081B"/>
    <w:rsid w:val="00700BD8"/>
    <w:rsid w:val="00704455"/>
    <w:rsid w:val="007047CA"/>
    <w:rsid w:val="00704AEF"/>
    <w:rsid w:val="00705DE0"/>
    <w:rsid w:val="00707166"/>
    <w:rsid w:val="00707A86"/>
    <w:rsid w:val="00712C62"/>
    <w:rsid w:val="00712D70"/>
    <w:rsid w:val="00713254"/>
    <w:rsid w:val="00713440"/>
    <w:rsid w:val="00716216"/>
    <w:rsid w:val="00717FC5"/>
    <w:rsid w:val="00725E20"/>
    <w:rsid w:val="007273C7"/>
    <w:rsid w:val="007305D9"/>
    <w:rsid w:val="0073333B"/>
    <w:rsid w:val="00734E37"/>
    <w:rsid w:val="00735B34"/>
    <w:rsid w:val="00737236"/>
    <w:rsid w:val="00737354"/>
    <w:rsid w:val="0073799B"/>
    <w:rsid w:val="0074518D"/>
    <w:rsid w:val="007467FB"/>
    <w:rsid w:val="00746DF6"/>
    <w:rsid w:val="007476FA"/>
    <w:rsid w:val="00752647"/>
    <w:rsid w:val="0075507E"/>
    <w:rsid w:val="007553F0"/>
    <w:rsid w:val="00756F17"/>
    <w:rsid w:val="00760A8F"/>
    <w:rsid w:val="00761AAA"/>
    <w:rsid w:val="00762151"/>
    <w:rsid w:val="00763A51"/>
    <w:rsid w:val="00763C64"/>
    <w:rsid w:val="00766526"/>
    <w:rsid w:val="00766D11"/>
    <w:rsid w:val="00770964"/>
    <w:rsid w:val="00770F04"/>
    <w:rsid w:val="00771CD7"/>
    <w:rsid w:val="007735E4"/>
    <w:rsid w:val="007802EA"/>
    <w:rsid w:val="007802FE"/>
    <w:rsid w:val="00781613"/>
    <w:rsid w:val="00782233"/>
    <w:rsid w:val="007829A8"/>
    <w:rsid w:val="00783B39"/>
    <w:rsid w:val="007847C3"/>
    <w:rsid w:val="00785644"/>
    <w:rsid w:val="0079082F"/>
    <w:rsid w:val="00792631"/>
    <w:rsid w:val="007933AB"/>
    <w:rsid w:val="00793516"/>
    <w:rsid w:val="00794561"/>
    <w:rsid w:val="00794D09"/>
    <w:rsid w:val="00794D67"/>
    <w:rsid w:val="0079599F"/>
    <w:rsid w:val="007A11CB"/>
    <w:rsid w:val="007A14C0"/>
    <w:rsid w:val="007A281A"/>
    <w:rsid w:val="007A54F4"/>
    <w:rsid w:val="007A7FC3"/>
    <w:rsid w:val="007B0DDD"/>
    <w:rsid w:val="007B293B"/>
    <w:rsid w:val="007B341E"/>
    <w:rsid w:val="007B4EEA"/>
    <w:rsid w:val="007B50CB"/>
    <w:rsid w:val="007B6BB8"/>
    <w:rsid w:val="007C33B9"/>
    <w:rsid w:val="007C3DC0"/>
    <w:rsid w:val="007C5053"/>
    <w:rsid w:val="007C506E"/>
    <w:rsid w:val="007C6699"/>
    <w:rsid w:val="007D4C0A"/>
    <w:rsid w:val="007D578F"/>
    <w:rsid w:val="007D67CA"/>
    <w:rsid w:val="007E0B7D"/>
    <w:rsid w:val="007F0201"/>
    <w:rsid w:val="007F1348"/>
    <w:rsid w:val="007F3BAA"/>
    <w:rsid w:val="007F5459"/>
    <w:rsid w:val="007F641D"/>
    <w:rsid w:val="007F6C6C"/>
    <w:rsid w:val="007F789D"/>
    <w:rsid w:val="00801D70"/>
    <w:rsid w:val="008042C1"/>
    <w:rsid w:val="00806D83"/>
    <w:rsid w:val="00811B4A"/>
    <w:rsid w:val="00814EAF"/>
    <w:rsid w:val="008170EC"/>
    <w:rsid w:val="008207BA"/>
    <w:rsid w:val="00821147"/>
    <w:rsid w:val="00821275"/>
    <w:rsid w:val="00821ED3"/>
    <w:rsid w:val="00822061"/>
    <w:rsid w:val="008334AE"/>
    <w:rsid w:val="00833894"/>
    <w:rsid w:val="00836F2D"/>
    <w:rsid w:val="00840F91"/>
    <w:rsid w:val="0084177B"/>
    <w:rsid w:val="00842454"/>
    <w:rsid w:val="00843736"/>
    <w:rsid w:val="00847391"/>
    <w:rsid w:val="00847410"/>
    <w:rsid w:val="00847613"/>
    <w:rsid w:val="00850BAA"/>
    <w:rsid w:val="00850ECE"/>
    <w:rsid w:val="008510D6"/>
    <w:rsid w:val="0085665A"/>
    <w:rsid w:val="008566E0"/>
    <w:rsid w:val="008570C2"/>
    <w:rsid w:val="0086106B"/>
    <w:rsid w:val="00862A32"/>
    <w:rsid w:val="00864A4C"/>
    <w:rsid w:val="00866192"/>
    <w:rsid w:val="00870890"/>
    <w:rsid w:val="008731FF"/>
    <w:rsid w:val="00873A9A"/>
    <w:rsid w:val="008762F4"/>
    <w:rsid w:val="00880700"/>
    <w:rsid w:val="00881224"/>
    <w:rsid w:val="00882492"/>
    <w:rsid w:val="00885676"/>
    <w:rsid w:val="00892873"/>
    <w:rsid w:val="00892CAF"/>
    <w:rsid w:val="008937BB"/>
    <w:rsid w:val="00893EC2"/>
    <w:rsid w:val="0089524F"/>
    <w:rsid w:val="00895743"/>
    <w:rsid w:val="00896120"/>
    <w:rsid w:val="0089620E"/>
    <w:rsid w:val="008A3996"/>
    <w:rsid w:val="008A4010"/>
    <w:rsid w:val="008A46A1"/>
    <w:rsid w:val="008B1CD1"/>
    <w:rsid w:val="008B269C"/>
    <w:rsid w:val="008B2B3F"/>
    <w:rsid w:val="008B70FB"/>
    <w:rsid w:val="008C172A"/>
    <w:rsid w:val="008C1880"/>
    <w:rsid w:val="008C2118"/>
    <w:rsid w:val="008C2DDC"/>
    <w:rsid w:val="008C32B0"/>
    <w:rsid w:val="008C36B0"/>
    <w:rsid w:val="008C3964"/>
    <w:rsid w:val="008C3F0A"/>
    <w:rsid w:val="008D1057"/>
    <w:rsid w:val="008D248F"/>
    <w:rsid w:val="008D2D9A"/>
    <w:rsid w:val="008D588D"/>
    <w:rsid w:val="008D6C66"/>
    <w:rsid w:val="008D7708"/>
    <w:rsid w:val="008E11C2"/>
    <w:rsid w:val="008E1B3D"/>
    <w:rsid w:val="008E20FF"/>
    <w:rsid w:val="008E25F3"/>
    <w:rsid w:val="008E3046"/>
    <w:rsid w:val="008E4B12"/>
    <w:rsid w:val="008E5282"/>
    <w:rsid w:val="008E5EA3"/>
    <w:rsid w:val="008E6755"/>
    <w:rsid w:val="008E6797"/>
    <w:rsid w:val="008E7F63"/>
    <w:rsid w:val="008F26A9"/>
    <w:rsid w:val="008F6506"/>
    <w:rsid w:val="008F68DD"/>
    <w:rsid w:val="008F6C33"/>
    <w:rsid w:val="00911CED"/>
    <w:rsid w:val="00912124"/>
    <w:rsid w:val="0091227D"/>
    <w:rsid w:val="00912DE9"/>
    <w:rsid w:val="0091428A"/>
    <w:rsid w:val="00915E92"/>
    <w:rsid w:val="009162F4"/>
    <w:rsid w:val="009175DF"/>
    <w:rsid w:val="00922213"/>
    <w:rsid w:val="00923AC6"/>
    <w:rsid w:val="00923E6B"/>
    <w:rsid w:val="00924AB4"/>
    <w:rsid w:val="00925BA6"/>
    <w:rsid w:val="00925DAF"/>
    <w:rsid w:val="009260A3"/>
    <w:rsid w:val="009264D4"/>
    <w:rsid w:val="00927145"/>
    <w:rsid w:val="009308D3"/>
    <w:rsid w:val="009329E7"/>
    <w:rsid w:val="00932BE1"/>
    <w:rsid w:val="00935A93"/>
    <w:rsid w:val="00935FA7"/>
    <w:rsid w:val="00937685"/>
    <w:rsid w:val="00937C9E"/>
    <w:rsid w:val="00937E7F"/>
    <w:rsid w:val="009408A1"/>
    <w:rsid w:val="00941BD5"/>
    <w:rsid w:val="00942140"/>
    <w:rsid w:val="00946106"/>
    <w:rsid w:val="00946E2C"/>
    <w:rsid w:val="0094762E"/>
    <w:rsid w:val="00947EC7"/>
    <w:rsid w:val="00950BC8"/>
    <w:rsid w:val="00951995"/>
    <w:rsid w:val="00952E1A"/>
    <w:rsid w:val="00952E8A"/>
    <w:rsid w:val="0095433E"/>
    <w:rsid w:val="00960CC5"/>
    <w:rsid w:val="00961ECE"/>
    <w:rsid w:val="00962867"/>
    <w:rsid w:val="00962AD3"/>
    <w:rsid w:val="0096309F"/>
    <w:rsid w:val="00963590"/>
    <w:rsid w:val="00963B1E"/>
    <w:rsid w:val="0096467F"/>
    <w:rsid w:val="00965AB4"/>
    <w:rsid w:val="00966821"/>
    <w:rsid w:val="009748AC"/>
    <w:rsid w:val="009809B1"/>
    <w:rsid w:val="00980DEA"/>
    <w:rsid w:val="009811B2"/>
    <w:rsid w:val="009843D4"/>
    <w:rsid w:val="00990169"/>
    <w:rsid w:val="00990BC7"/>
    <w:rsid w:val="009910DB"/>
    <w:rsid w:val="00991650"/>
    <w:rsid w:val="00993D9F"/>
    <w:rsid w:val="0099417F"/>
    <w:rsid w:val="00995F38"/>
    <w:rsid w:val="0099628B"/>
    <w:rsid w:val="009A0E2F"/>
    <w:rsid w:val="009A1B74"/>
    <w:rsid w:val="009A23BD"/>
    <w:rsid w:val="009A24A8"/>
    <w:rsid w:val="009A3F3F"/>
    <w:rsid w:val="009A3F91"/>
    <w:rsid w:val="009A43AB"/>
    <w:rsid w:val="009A50E0"/>
    <w:rsid w:val="009A5344"/>
    <w:rsid w:val="009A6C41"/>
    <w:rsid w:val="009A6F90"/>
    <w:rsid w:val="009B41A0"/>
    <w:rsid w:val="009B5111"/>
    <w:rsid w:val="009B5967"/>
    <w:rsid w:val="009B5CA7"/>
    <w:rsid w:val="009C2A4C"/>
    <w:rsid w:val="009C32B4"/>
    <w:rsid w:val="009C3B64"/>
    <w:rsid w:val="009C3C62"/>
    <w:rsid w:val="009C5424"/>
    <w:rsid w:val="009D1513"/>
    <w:rsid w:val="009D1B66"/>
    <w:rsid w:val="009D369C"/>
    <w:rsid w:val="009D63EA"/>
    <w:rsid w:val="009D7160"/>
    <w:rsid w:val="009E1B88"/>
    <w:rsid w:val="009E2B1F"/>
    <w:rsid w:val="009E371C"/>
    <w:rsid w:val="009E3763"/>
    <w:rsid w:val="009E4440"/>
    <w:rsid w:val="009E511E"/>
    <w:rsid w:val="009E57FF"/>
    <w:rsid w:val="009E7183"/>
    <w:rsid w:val="009E778C"/>
    <w:rsid w:val="009F257A"/>
    <w:rsid w:val="009F3C9A"/>
    <w:rsid w:val="00A00AC1"/>
    <w:rsid w:val="00A02E2C"/>
    <w:rsid w:val="00A04BA0"/>
    <w:rsid w:val="00A06C97"/>
    <w:rsid w:val="00A103F5"/>
    <w:rsid w:val="00A1173C"/>
    <w:rsid w:val="00A12681"/>
    <w:rsid w:val="00A149A6"/>
    <w:rsid w:val="00A1507A"/>
    <w:rsid w:val="00A1526C"/>
    <w:rsid w:val="00A17721"/>
    <w:rsid w:val="00A17DF0"/>
    <w:rsid w:val="00A2005D"/>
    <w:rsid w:val="00A20B0E"/>
    <w:rsid w:val="00A218B6"/>
    <w:rsid w:val="00A221C1"/>
    <w:rsid w:val="00A234E2"/>
    <w:rsid w:val="00A257F8"/>
    <w:rsid w:val="00A27398"/>
    <w:rsid w:val="00A3089D"/>
    <w:rsid w:val="00A32525"/>
    <w:rsid w:val="00A33169"/>
    <w:rsid w:val="00A40897"/>
    <w:rsid w:val="00A40D69"/>
    <w:rsid w:val="00A4550A"/>
    <w:rsid w:val="00A46BB8"/>
    <w:rsid w:val="00A47880"/>
    <w:rsid w:val="00A47DF9"/>
    <w:rsid w:val="00A50EEC"/>
    <w:rsid w:val="00A53B4C"/>
    <w:rsid w:val="00A54347"/>
    <w:rsid w:val="00A559E0"/>
    <w:rsid w:val="00A56B82"/>
    <w:rsid w:val="00A56D76"/>
    <w:rsid w:val="00A57391"/>
    <w:rsid w:val="00A576F9"/>
    <w:rsid w:val="00A60201"/>
    <w:rsid w:val="00A60991"/>
    <w:rsid w:val="00A616EE"/>
    <w:rsid w:val="00A62B53"/>
    <w:rsid w:val="00A62E7E"/>
    <w:rsid w:val="00A63B11"/>
    <w:rsid w:val="00A70E49"/>
    <w:rsid w:val="00A735CF"/>
    <w:rsid w:val="00A7512C"/>
    <w:rsid w:val="00A7586F"/>
    <w:rsid w:val="00A76699"/>
    <w:rsid w:val="00A7740A"/>
    <w:rsid w:val="00A7796B"/>
    <w:rsid w:val="00A77CDC"/>
    <w:rsid w:val="00A816A1"/>
    <w:rsid w:val="00A83970"/>
    <w:rsid w:val="00A87682"/>
    <w:rsid w:val="00A929FC"/>
    <w:rsid w:val="00A93886"/>
    <w:rsid w:val="00A9399A"/>
    <w:rsid w:val="00A942D7"/>
    <w:rsid w:val="00A9436D"/>
    <w:rsid w:val="00A979B1"/>
    <w:rsid w:val="00AA6141"/>
    <w:rsid w:val="00AA6874"/>
    <w:rsid w:val="00AA6F81"/>
    <w:rsid w:val="00AB0E0F"/>
    <w:rsid w:val="00AB385F"/>
    <w:rsid w:val="00AB45B8"/>
    <w:rsid w:val="00AB5F74"/>
    <w:rsid w:val="00AB60D0"/>
    <w:rsid w:val="00AB77D4"/>
    <w:rsid w:val="00AB7A80"/>
    <w:rsid w:val="00AC13D2"/>
    <w:rsid w:val="00AC3F07"/>
    <w:rsid w:val="00AC4F97"/>
    <w:rsid w:val="00AC5CB1"/>
    <w:rsid w:val="00AD1356"/>
    <w:rsid w:val="00AD20E7"/>
    <w:rsid w:val="00AD288A"/>
    <w:rsid w:val="00AD4D2D"/>
    <w:rsid w:val="00AD73A3"/>
    <w:rsid w:val="00AD7678"/>
    <w:rsid w:val="00AD7A21"/>
    <w:rsid w:val="00AD7AE3"/>
    <w:rsid w:val="00AD7F97"/>
    <w:rsid w:val="00AE1671"/>
    <w:rsid w:val="00AE3420"/>
    <w:rsid w:val="00AE3937"/>
    <w:rsid w:val="00AE4296"/>
    <w:rsid w:val="00AE664C"/>
    <w:rsid w:val="00AE6CF5"/>
    <w:rsid w:val="00AE6E94"/>
    <w:rsid w:val="00AE6EE8"/>
    <w:rsid w:val="00AF1864"/>
    <w:rsid w:val="00AF1DF6"/>
    <w:rsid w:val="00AF3DD4"/>
    <w:rsid w:val="00AF62BB"/>
    <w:rsid w:val="00B01684"/>
    <w:rsid w:val="00B02985"/>
    <w:rsid w:val="00B03F31"/>
    <w:rsid w:val="00B061C7"/>
    <w:rsid w:val="00B06424"/>
    <w:rsid w:val="00B114E7"/>
    <w:rsid w:val="00B118E9"/>
    <w:rsid w:val="00B15637"/>
    <w:rsid w:val="00B167CB"/>
    <w:rsid w:val="00B20AB3"/>
    <w:rsid w:val="00B2259C"/>
    <w:rsid w:val="00B236CE"/>
    <w:rsid w:val="00B26B23"/>
    <w:rsid w:val="00B27B7B"/>
    <w:rsid w:val="00B30C89"/>
    <w:rsid w:val="00B320C0"/>
    <w:rsid w:val="00B32AAB"/>
    <w:rsid w:val="00B35447"/>
    <w:rsid w:val="00B454EE"/>
    <w:rsid w:val="00B46ED9"/>
    <w:rsid w:val="00B47E96"/>
    <w:rsid w:val="00B5228D"/>
    <w:rsid w:val="00B53268"/>
    <w:rsid w:val="00B546B9"/>
    <w:rsid w:val="00B548F2"/>
    <w:rsid w:val="00B55572"/>
    <w:rsid w:val="00B55861"/>
    <w:rsid w:val="00B61034"/>
    <w:rsid w:val="00B6206A"/>
    <w:rsid w:val="00B63D45"/>
    <w:rsid w:val="00B63F88"/>
    <w:rsid w:val="00B67EE7"/>
    <w:rsid w:val="00B700A7"/>
    <w:rsid w:val="00B76993"/>
    <w:rsid w:val="00B77032"/>
    <w:rsid w:val="00B770EA"/>
    <w:rsid w:val="00B80798"/>
    <w:rsid w:val="00B83C9F"/>
    <w:rsid w:val="00B85517"/>
    <w:rsid w:val="00B8575F"/>
    <w:rsid w:val="00B85DB5"/>
    <w:rsid w:val="00B868D9"/>
    <w:rsid w:val="00B90A16"/>
    <w:rsid w:val="00B90AA1"/>
    <w:rsid w:val="00B927B5"/>
    <w:rsid w:val="00B934DF"/>
    <w:rsid w:val="00B93865"/>
    <w:rsid w:val="00B96528"/>
    <w:rsid w:val="00B970BA"/>
    <w:rsid w:val="00B97502"/>
    <w:rsid w:val="00B977ED"/>
    <w:rsid w:val="00BA0B2B"/>
    <w:rsid w:val="00BA1517"/>
    <w:rsid w:val="00BA1C5A"/>
    <w:rsid w:val="00BA30F6"/>
    <w:rsid w:val="00BB387A"/>
    <w:rsid w:val="00BB3E22"/>
    <w:rsid w:val="00BB46FA"/>
    <w:rsid w:val="00BB5341"/>
    <w:rsid w:val="00BB7772"/>
    <w:rsid w:val="00BB7AAD"/>
    <w:rsid w:val="00BC32C3"/>
    <w:rsid w:val="00BC3D69"/>
    <w:rsid w:val="00BC51F5"/>
    <w:rsid w:val="00BC77F7"/>
    <w:rsid w:val="00BC7DFB"/>
    <w:rsid w:val="00BD5BB1"/>
    <w:rsid w:val="00BD6FF5"/>
    <w:rsid w:val="00BE043C"/>
    <w:rsid w:val="00BE081A"/>
    <w:rsid w:val="00BE181F"/>
    <w:rsid w:val="00BE5800"/>
    <w:rsid w:val="00BE5992"/>
    <w:rsid w:val="00BE5A02"/>
    <w:rsid w:val="00BE5E41"/>
    <w:rsid w:val="00BE6180"/>
    <w:rsid w:val="00BE7D7E"/>
    <w:rsid w:val="00BF242B"/>
    <w:rsid w:val="00BF5E69"/>
    <w:rsid w:val="00BF6200"/>
    <w:rsid w:val="00BF7A0F"/>
    <w:rsid w:val="00C022E3"/>
    <w:rsid w:val="00C034B7"/>
    <w:rsid w:val="00C03CF8"/>
    <w:rsid w:val="00C04373"/>
    <w:rsid w:val="00C04A7A"/>
    <w:rsid w:val="00C05541"/>
    <w:rsid w:val="00C072B9"/>
    <w:rsid w:val="00C1106A"/>
    <w:rsid w:val="00C1106B"/>
    <w:rsid w:val="00C13E87"/>
    <w:rsid w:val="00C15F3C"/>
    <w:rsid w:val="00C21382"/>
    <w:rsid w:val="00C24812"/>
    <w:rsid w:val="00C24903"/>
    <w:rsid w:val="00C24EB7"/>
    <w:rsid w:val="00C255AA"/>
    <w:rsid w:val="00C260A8"/>
    <w:rsid w:val="00C267A0"/>
    <w:rsid w:val="00C27629"/>
    <w:rsid w:val="00C346D3"/>
    <w:rsid w:val="00C36253"/>
    <w:rsid w:val="00C36722"/>
    <w:rsid w:val="00C43307"/>
    <w:rsid w:val="00C44A7C"/>
    <w:rsid w:val="00C462DF"/>
    <w:rsid w:val="00C46AE6"/>
    <w:rsid w:val="00C5162E"/>
    <w:rsid w:val="00C52839"/>
    <w:rsid w:val="00C53D31"/>
    <w:rsid w:val="00C5529F"/>
    <w:rsid w:val="00C55376"/>
    <w:rsid w:val="00C62A57"/>
    <w:rsid w:val="00C62E89"/>
    <w:rsid w:val="00C63465"/>
    <w:rsid w:val="00C64B97"/>
    <w:rsid w:val="00C71E6E"/>
    <w:rsid w:val="00C72F98"/>
    <w:rsid w:val="00C74CC0"/>
    <w:rsid w:val="00C74EB2"/>
    <w:rsid w:val="00C75EF3"/>
    <w:rsid w:val="00C76C00"/>
    <w:rsid w:val="00C76F16"/>
    <w:rsid w:val="00C771C6"/>
    <w:rsid w:val="00C82A06"/>
    <w:rsid w:val="00C862B7"/>
    <w:rsid w:val="00C86308"/>
    <w:rsid w:val="00C86909"/>
    <w:rsid w:val="00C90C14"/>
    <w:rsid w:val="00C91F6F"/>
    <w:rsid w:val="00C920D8"/>
    <w:rsid w:val="00C969FA"/>
    <w:rsid w:val="00C96C94"/>
    <w:rsid w:val="00CA033F"/>
    <w:rsid w:val="00CA1371"/>
    <w:rsid w:val="00CA25DC"/>
    <w:rsid w:val="00CA28A1"/>
    <w:rsid w:val="00CA3F0C"/>
    <w:rsid w:val="00CA475F"/>
    <w:rsid w:val="00CB0103"/>
    <w:rsid w:val="00CB2E1F"/>
    <w:rsid w:val="00CB3C1B"/>
    <w:rsid w:val="00CB3C59"/>
    <w:rsid w:val="00CB42C3"/>
    <w:rsid w:val="00CB5362"/>
    <w:rsid w:val="00CC17E2"/>
    <w:rsid w:val="00CC428E"/>
    <w:rsid w:val="00CC6135"/>
    <w:rsid w:val="00CD1AF8"/>
    <w:rsid w:val="00CD2869"/>
    <w:rsid w:val="00CD5BA0"/>
    <w:rsid w:val="00CD5FDB"/>
    <w:rsid w:val="00CE1159"/>
    <w:rsid w:val="00CE2EA1"/>
    <w:rsid w:val="00CE320D"/>
    <w:rsid w:val="00CE39DC"/>
    <w:rsid w:val="00CE4FF7"/>
    <w:rsid w:val="00CE5278"/>
    <w:rsid w:val="00CE5AAA"/>
    <w:rsid w:val="00CE7048"/>
    <w:rsid w:val="00CF007D"/>
    <w:rsid w:val="00CF0F6A"/>
    <w:rsid w:val="00CF17DE"/>
    <w:rsid w:val="00CF242D"/>
    <w:rsid w:val="00CF5332"/>
    <w:rsid w:val="00CF61E0"/>
    <w:rsid w:val="00CF685B"/>
    <w:rsid w:val="00CF735C"/>
    <w:rsid w:val="00D007AA"/>
    <w:rsid w:val="00D0245E"/>
    <w:rsid w:val="00D027AF"/>
    <w:rsid w:val="00D0484A"/>
    <w:rsid w:val="00D0681F"/>
    <w:rsid w:val="00D07E31"/>
    <w:rsid w:val="00D12509"/>
    <w:rsid w:val="00D133A4"/>
    <w:rsid w:val="00D137B9"/>
    <w:rsid w:val="00D147CE"/>
    <w:rsid w:val="00D15F3C"/>
    <w:rsid w:val="00D16800"/>
    <w:rsid w:val="00D17C80"/>
    <w:rsid w:val="00D2025D"/>
    <w:rsid w:val="00D20F6C"/>
    <w:rsid w:val="00D21703"/>
    <w:rsid w:val="00D21DED"/>
    <w:rsid w:val="00D226AF"/>
    <w:rsid w:val="00D228F7"/>
    <w:rsid w:val="00D22FDD"/>
    <w:rsid w:val="00D265EB"/>
    <w:rsid w:val="00D266B2"/>
    <w:rsid w:val="00D306DA"/>
    <w:rsid w:val="00D30756"/>
    <w:rsid w:val="00D30AFC"/>
    <w:rsid w:val="00D33535"/>
    <w:rsid w:val="00D340E3"/>
    <w:rsid w:val="00D34FF4"/>
    <w:rsid w:val="00D35AB9"/>
    <w:rsid w:val="00D36351"/>
    <w:rsid w:val="00D36E73"/>
    <w:rsid w:val="00D4007F"/>
    <w:rsid w:val="00D41C28"/>
    <w:rsid w:val="00D42018"/>
    <w:rsid w:val="00D44ED9"/>
    <w:rsid w:val="00D451A4"/>
    <w:rsid w:val="00D45317"/>
    <w:rsid w:val="00D471C9"/>
    <w:rsid w:val="00D515F8"/>
    <w:rsid w:val="00D52F2C"/>
    <w:rsid w:val="00D53600"/>
    <w:rsid w:val="00D57653"/>
    <w:rsid w:val="00D61BDD"/>
    <w:rsid w:val="00D64819"/>
    <w:rsid w:val="00D71629"/>
    <w:rsid w:val="00D741F3"/>
    <w:rsid w:val="00D822FD"/>
    <w:rsid w:val="00D83139"/>
    <w:rsid w:val="00D835ED"/>
    <w:rsid w:val="00D843D5"/>
    <w:rsid w:val="00D865A9"/>
    <w:rsid w:val="00D876D2"/>
    <w:rsid w:val="00D9189E"/>
    <w:rsid w:val="00D936EA"/>
    <w:rsid w:val="00D93864"/>
    <w:rsid w:val="00D942A8"/>
    <w:rsid w:val="00DA07F7"/>
    <w:rsid w:val="00DA0CCB"/>
    <w:rsid w:val="00DA37F5"/>
    <w:rsid w:val="00DA3A9A"/>
    <w:rsid w:val="00DA50E4"/>
    <w:rsid w:val="00DA51EC"/>
    <w:rsid w:val="00DA54C4"/>
    <w:rsid w:val="00DA5B67"/>
    <w:rsid w:val="00DA61C7"/>
    <w:rsid w:val="00DA674B"/>
    <w:rsid w:val="00DA6753"/>
    <w:rsid w:val="00DA6B3E"/>
    <w:rsid w:val="00DA7460"/>
    <w:rsid w:val="00DB08CE"/>
    <w:rsid w:val="00DB2A62"/>
    <w:rsid w:val="00DB48BC"/>
    <w:rsid w:val="00DB5455"/>
    <w:rsid w:val="00DB567D"/>
    <w:rsid w:val="00DB619F"/>
    <w:rsid w:val="00DB6F2C"/>
    <w:rsid w:val="00DC03FA"/>
    <w:rsid w:val="00DC055C"/>
    <w:rsid w:val="00DC3F95"/>
    <w:rsid w:val="00DC6088"/>
    <w:rsid w:val="00DC7550"/>
    <w:rsid w:val="00DD016A"/>
    <w:rsid w:val="00DD0316"/>
    <w:rsid w:val="00DD264B"/>
    <w:rsid w:val="00DD4B1E"/>
    <w:rsid w:val="00DD4BC3"/>
    <w:rsid w:val="00DE06EB"/>
    <w:rsid w:val="00DE0B61"/>
    <w:rsid w:val="00DE3076"/>
    <w:rsid w:val="00DE5C1C"/>
    <w:rsid w:val="00DE5DE5"/>
    <w:rsid w:val="00DE6552"/>
    <w:rsid w:val="00DF1642"/>
    <w:rsid w:val="00DF3278"/>
    <w:rsid w:val="00DF35CC"/>
    <w:rsid w:val="00DF37C7"/>
    <w:rsid w:val="00DF608A"/>
    <w:rsid w:val="00DF62F4"/>
    <w:rsid w:val="00DF7A43"/>
    <w:rsid w:val="00DF7C75"/>
    <w:rsid w:val="00E02127"/>
    <w:rsid w:val="00E02621"/>
    <w:rsid w:val="00E056ED"/>
    <w:rsid w:val="00E05858"/>
    <w:rsid w:val="00E070FA"/>
    <w:rsid w:val="00E106E5"/>
    <w:rsid w:val="00E1192E"/>
    <w:rsid w:val="00E11C64"/>
    <w:rsid w:val="00E12330"/>
    <w:rsid w:val="00E15307"/>
    <w:rsid w:val="00E1690A"/>
    <w:rsid w:val="00E2060E"/>
    <w:rsid w:val="00E21894"/>
    <w:rsid w:val="00E223E3"/>
    <w:rsid w:val="00E257C9"/>
    <w:rsid w:val="00E30A9D"/>
    <w:rsid w:val="00E30C63"/>
    <w:rsid w:val="00E3137C"/>
    <w:rsid w:val="00E33BDF"/>
    <w:rsid w:val="00E33C31"/>
    <w:rsid w:val="00E33F56"/>
    <w:rsid w:val="00E40DBB"/>
    <w:rsid w:val="00E423DB"/>
    <w:rsid w:val="00E445D4"/>
    <w:rsid w:val="00E453E2"/>
    <w:rsid w:val="00E45F3D"/>
    <w:rsid w:val="00E46169"/>
    <w:rsid w:val="00E46648"/>
    <w:rsid w:val="00E544F3"/>
    <w:rsid w:val="00E5479B"/>
    <w:rsid w:val="00E54A36"/>
    <w:rsid w:val="00E56034"/>
    <w:rsid w:val="00E56315"/>
    <w:rsid w:val="00E56EE2"/>
    <w:rsid w:val="00E57342"/>
    <w:rsid w:val="00E57DFC"/>
    <w:rsid w:val="00E63191"/>
    <w:rsid w:val="00E649E3"/>
    <w:rsid w:val="00E659C0"/>
    <w:rsid w:val="00E67C3D"/>
    <w:rsid w:val="00E70D9C"/>
    <w:rsid w:val="00E73E72"/>
    <w:rsid w:val="00E743E5"/>
    <w:rsid w:val="00E760E9"/>
    <w:rsid w:val="00E826D1"/>
    <w:rsid w:val="00E83BD7"/>
    <w:rsid w:val="00E8767F"/>
    <w:rsid w:val="00E928CF"/>
    <w:rsid w:val="00E95F59"/>
    <w:rsid w:val="00E9721C"/>
    <w:rsid w:val="00E975FB"/>
    <w:rsid w:val="00EA2826"/>
    <w:rsid w:val="00EA5C8C"/>
    <w:rsid w:val="00EA646D"/>
    <w:rsid w:val="00EA6A3F"/>
    <w:rsid w:val="00EA6F6F"/>
    <w:rsid w:val="00EA7602"/>
    <w:rsid w:val="00EB0FD4"/>
    <w:rsid w:val="00EB5398"/>
    <w:rsid w:val="00EB7054"/>
    <w:rsid w:val="00EC0C45"/>
    <w:rsid w:val="00EC2554"/>
    <w:rsid w:val="00EC3536"/>
    <w:rsid w:val="00EC3A73"/>
    <w:rsid w:val="00EC3C3B"/>
    <w:rsid w:val="00EC4033"/>
    <w:rsid w:val="00EC4F2F"/>
    <w:rsid w:val="00EC56DE"/>
    <w:rsid w:val="00EC61EE"/>
    <w:rsid w:val="00ED01A3"/>
    <w:rsid w:val="00ED134B"/>
    <w:rsid w:val="00ED2F26"/>
    <w:rsid w:val="00ED3F7F"/>
    <w:rsid w:val="00ED409D"/>
    <w:rsid w:val="00ED450E"/>
    <w:rsid w:val="00ED4AB0"/>
    <w:rsid w:val="00ED5434"/>
    <w:rsid w:val="00EE0015"/>
    <w:rsid w:val="00EE5C94"/>
    <w:rsid w:val="00EE690F"/>
    <w:rsid w:val="00EE70CB"/>
    <w:rsid w:val="00EF0C5C"/>
    <w:rsid w:val="00EF30C1"/>
    <w:rsid w:val="00EF44AA"/>
    <w:rsid w:val="00EF4A31"/>
    <w:rsid w:val="00EF4DB8"/>
    <w:rsid w:val="00EF4E00"/>
    <w:rsid w:val="00EF4EFB"/>
    <w:rsid w:val="00EF5E94"/>
    <w:rsid w:val="00F00A16"/>
    <w:rsid w:val="00F00D7C"/>
    <w:rsid w:val="00F02CFD"/>
    <w:rsid w:val="00F02FFA"/>
    <w:rsid w:val="00F032F2"/>
    <w:rsid w:val="00F04C4C"/>
    <w:rsid w:val="00F06EF2"/>
    <w:rsid w:val="00F07026"/>
    <w:rsid w:val="00F07527"/>
    <w:rsid w:val="00F11B26"/>
    <w:rsid w:val="00F13ED7"/>
    <w:rsid w:val="00F16301"/>
    <w:rsid w:val="00F17E6F"/>
    <w:rsid w:val="00F20364"/>
    <w:rsid w:val="00F21BE7"/>
    <w:rsid w:val="00F2246F"/>
    <w:rsid w:val="00F24996"/>
    <w:rsid w:val="00F25295"/>
    <w:rsid w:val="00F25C8B"/>
    <w:rsid w:val="00F30BAD"/>
    <w:rsid w:val="00F310FA"/>
    <w:rsid w:val="00F318D6"/>
    <w:rsid w:val="00F3284C"/>
    <w:rsid w:val="00F35B6E"/>
    <w:rsid w:val="00F36C9D"/>
    <w:rsid w:val="00F37157"/>
    <w:rsid w:val="00F3725B"/>
    <w:rsid w:val="00F372A9"/>
    <w:rsid w:val="00F37CD6"/>
    <w:rsid w:val="00F44A07"/>
    <w:rsid w:val="00F44D6D"/>
    <w:rsid w:val="00F47C1E"/>
    <w:rsid w:val="00F50A3A"/>
    <w:rsid w:val="00F51F8B"/>
    <w:rsid w:val="00F52A3B"/>
    <w:rsid w:val="00F52BBD"/>
    <w:rsid w:val="00F538A5"/>
    <w:rsid w:val="00F54859"/>
    <w:rsid w:val="00F54CF1"/>
    <w:rsid w:val="00F55D68"/>
    <w:rsid w:val="00F56086"/>
    <w:rsid w:val="00F60660"/>
    <w:rsid w:val="00F607E1"/>
    <w:rsid w:val="00F614D0"/>
    <w:rsid w:val="00F63D59"/>
    <w:rsid w:val="00F665A6"/>
    <w:rsid w:val="00F6756A"/>
    <w:rsid w:val="00F67A6A"/>
    <w:rsid w:val="00F72EEC"/>
    <w:rsid w:val="00F80F6E"/>
    <w:rsid w:val="00F80FF8"/>
    <w:rsid w:val="00F8287A"/>
    <w:rsid w:val="00F830F4"/>
    <w:rsid w:val="00F850D6"/>
    <w:rsid w:val="00F85881"/>
    <w:rsid w:val="00F862BD"/>
    <w:rsid w:val="00F8716E"/>
    <w:rsid w:val="00F90D96"/>
    <w:rsid w:val="00F9191E"/>
    <w:rsid w:val="00F92EFE"/>
    <w:rsid w:val="00F92F69"/>
    <w:rsid w:val="00F93B01"/>
    <w:rsid w:val="00F93D27"/>
    <w:rsid w:val="00F9403D"/>
    <w:rsid w:val="00F961DC"/>
    <w:rsid w:val="00FA40CB"/>
    <w:rsid w:val="00FA4EB8"/>
    <w:rsid w:val="00FB10F5"/>
    <w:rsid w:val="00FB12B5"/>
    <w:rsid w:val="00FB2398"/>
    <w:rsid w:val="00FB3D8C"/>
    <w:rsid w:val="00FB5CCD"/>
    <w:rsid w:val="00FB667C"/>
    <w:rsid w:val="00FC0F36"/>
    <w:rsid w:val="00FC112C"/>
    <w:rsid w:val="00FC2DE4"/>
    <w:rsid w:val="00FC4158"/>
    <w:rsid w:val="00FC4F5A"/>
    <w:rsid w:val="00FC5FCD"/>
    <w:rsid w:val="00FC67DF"/>
    <w:rsid w:val="00FD2BE2"/>
    <w:rsid w:val="00FD3955"/>
    <w:rsid w:val="00FD3F5D"/>
    <w:rsid w:val="00FD436F"/>
    <w:rsid w:val="00FD4BBC"/>
    <w:rsid w:val="00FD4D5D"/>
    <w:rsid w:val="00FD636C"/>
    <w:rsid w:val="00FD6A8C"/>
    <w:rsid w:val="00FD6E1F"/>
    <w:rsid w:val="00FD6E57"/>
    <w:rsid w:val="00FE04B1"/>
    <w:rsid w:val="00FE35B4"/>
    <w:rsid w:val="00FE6C44"/>
    <w:rsid w:val="00FE6CAC"/>
    <w:rsid w:val="00FE6CEA"/>
    <w:rsid w:val="00FF0005"/>
    <w:rsid w:val="00FF0103"/>
    <w:rsid w:val="00FF169F"/>
    <w:rsid w:val="00FF3A9F"/>
    <w:rsid w:val="00FF3DC6"/>
    <w:rsid w:val="00FF400D"/>
    <w:rsid w:val="00FF46CD"/>
    <w:rsid w:val="00FF46D6"/>
    <w:rsid w:val="00FF48A3"/>
    <w:rsid w:val="00FF4AFC"/>
    <w:rsid w:val="00FF5816"/>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1C5DF"/>
  <w15:docId w15:val="{E4053320-F4F3-4137-A86E-35C4A00A47C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86F"/>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D865A9"/>
    <w:rPr>
      <w:rFonts w:ascii="Palatino" w:hAnsi="Palatino"/>
      <w:sz w:val="26"/>
    </w:rPr>
  </w:style>
  <w:style w:type="character" w:styleId="CommentReference">
    <w:name w:val="annotation reference"/>
    <w:basedOn w:val="DefaultParagraphFont"/>
    <w:semiHidden/>
    <w:unhideWhenUsed/>
    <w:rsid w:val="009E7183"/>
    <w:rPr>
      <w:sz w:val="16"/>
      <w:szCs w:val="16"/>
    </w:rPr>
  </w:style>
  <w:style w:type="paragraph" w:styleId="CommentText">
    <w:name w:val="annotation text"/>
    <w:basedOn w:val="Normal"/>
    <w:link w:val="CommentTextChar"/>
    <w:unhideWhenUsed/>
    <w:rsid w:val="009E7183"/>
    <w:rPr>
      <w:sz w:val="20"/>
    </w:rPr>
  </w:style>
  <w:style w:type="character" w:customStyle="1" w:styleId="CommentTextChar">
    <w:name w:val="Comment Text Char"/>
    <w:basedOn w:val="DefaultParagraphFont"/>
    <w:link w:val="CommentText"/>
    <w:rsid w:val="009E7183"/>
    <w:rPr>
      <w:rFonts w:ascii="Palatino" w:hAnsi="Palatino"/>
    </w:rPr>
  </w:style>
  <w:style w:type="paragraph" w:styleId="CommentSubject">
    <w:name w:val="annotation subject"/>
    <w:basedOn w:val="CommentText"/>
    <w:next w:val="CommentText"/>
    <w:link w:val="CommentSubjectChar"/>
    <w:semiHidden/>
    <w:unhideWhenUsed/>
    <w:rsid w:val="009E7183"/>
    <w:rPr>
      <w:b/>
      <w:bCs/>
    </w:rPr>
  </w:style>
  <w:style w:type="character" w:customStyle="1" w:styleId="CommentSubjectChar">
    <w:name w:val="Comment Subject Char"/>
    <w:basedOn w:val="CommentTextChar"/>
    <w:link w:val="CommentSubject"/>
    <w:semiHidden/>
    <w:rsid w:val="009E7183"/>
    <w:rPr>
      <w:rFonts w:ascii="Palatino" w:hAnsi="Palatino"/>
      <w:b/>
      <w:bCs/>
    </w:rPr>
  </w:style>
  <w:style w:type="paragraph" w:customStyle="1" w:styleId="Default">
    <w:name w:val="Default"/>
    <w:rsid w:val="00BE181F"/>
    <w:pPr>
      <w:autoSpaceDE w:val="0"/>
      <w:autoSpaceDN w:val="0"/>
      <w:adjustRightInd w:val="0"/>
    </w:pPr>
    <w:rPr>
      <w:rFonts w:ascii="Palatino Linotype" w:hAnsi="Palatino Linotype" w:cs="Palatino Linotype"/>
      <w:color w:val="000000"/>
      <w:sz w:val="24"/>
      <w:szCs w:val="24"/>
    </w:rPr>
  </w:style>
  <w:style w:type="character" w:customStyle="1" w:styleId="def">
    <w:name w:val="def"/>
    <w:basedOn w:val="DefaultParagraphFont"/>
    <w:rsid w:val="004D4504"/>
  </w:style>
  <w:style w:type="paragraph" w:styleId="NormalWeb">
    <w:name w:val="Normal (Web)"/>
    <w:basedOn w:val="Normal"/>
    <w:uiPriority w:val="99"/>
    <w:semiHidden/>
    <w:unhideWhenUsed/>
    <w:rsid w:val="008731FF"/>
    <w:pPr>
      <w:spacing w:before="100" w:beforeAutospacing="1" w:after="100" w:afterAutospacing="1"/>
    </w:pPr>
    <w:rPr>
      <w:rFonts w:ascii="Times New Roman" w:hAnsi="Times New Roman"/>
      <w:sz w:val="24"/>
      <w:szCs w:val="24"/>
    </w:rPr>
  </w:style>
  <w:style w:type="character" w:customStyle="1" w:styleId="cite">
    <w:name w:val="cite"/>
    <w:basedOn w:val="DefaultParagraphFont"/>
    <w:rsid w:val="00EA7602"/>
  </w:style>
  <w:style w:type="paragraph" w:styleId="Revision">
    <w:name w:val="Revision"/>
    <w:hidden/>
    <w:uiPriority w:val="99"/>
    <w:semiHidden/>
    <w:rsid w:val="00B47E96"/>
    <w:rPr>
      <w:rFonts w:ascii="Palatino" w:hAnsi="Palatino"/>
      <w:sz w:val="26"/>
    </w:rPr>
  </w:style>
  <w:style w:type="character" w:styleId="Mention">
    <w:name w:val="Mention"/>
    <w:basedOn w:val="DefaultParagraphFont"/>
    <w:uiPriority w:val="99"/>
    <w:unhideWhenUsed/>
    <w:rsid w:val="00F614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349">
      <w:bodyDiv w:val="1"/>
      <w:marLeft w:val="0"/>
      <w:marRight w:val="0"/>
      <w:marTop w:val="0"/>
      <w:marBottom w:val="0"/>
      <w:divBdr>
        <w:top w:val="none" w:sz="0" w:space="0" w:color="auto"/>
        <w:left w:val="none" w:sz="0" w:space="0" w:color="auto"/>
        <w:bottom w:val="none" w:sz="0" w:space="0" w:color="auto"/>
        <w:right w:val="none" w:sz="0" w:space="0" w:color="auto"/>
      </w:divBdr>
    </w:div>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08560571">
      <w:bodyDiv w:val="1"/>
      <w:marLeft w:val="0"/>
      <w:marRight w:val="0"/>
      <w:marTop w:val="0"/>
      <w:marBottom w:val="0"/>
      <w:divBdr>
        <w:top w:val="none" w:sz="0" w:space="0" w:color="auto"/>
        <w:left w:val="none" w:sz="0" w:space="0" w:color="auto"/>
        <w:bottom w:val="none" w:sz="0" w:space="0" w:color="auto"/>
        <w:right w:val="none" w:sz="0" w:space="0" w:color="auto"/>
      </w:divBdr>
    </w:div>
    <w:div w:id="1093628272">
      <w:bodyDiv w:val="1"/>
      <w:marLeft w:val="0"/>
      <w:marRight w:val="0"/>
      <w:marTop w:val="0"/>
      <w:marBottom w:val="0"/>
      <w:divBdr>
        <w:top w:val="none" w:sz="0" w:space="0" w:color="auto"/>
        <w:left w:val="none" w:sz="0" w:space="0" w:color="auto"/>
        <w:bottom w:val="none" w:sz="0" w:space="0" w:color="auto"/>
        <w:right w:val="none" w:sz="0" w:space="0" w:color="auto"/>
      </w:divBdr>
    </w:div>
    <w:div w:id="1154639741">
      <w:bodyDiv w:val="1"/>
      <w:marLeft w:val="0"/>
      <w:marRight w:val="0"/>
      <w:marTop w:val="0"/>
      <w:marBottom w:val="0"/>
      <w:divBdr>
        <w:top w:val="none" w:sz="0" w:space="0" w:color="auto"/>
        <w:left w:val="none" w:sz="0" w:space="0" w:color="auto"/>
        <w:bottom w:val="none" w:sz="0" w:space="0" w:color="auto"/>
        <w:right w:val="none" w:sz="0" w:space="0" w:color="auto"/>
      </w:divBdr>
    </w:div>
    <w:div w:id="1186401352">
      <w:bodyDiv w:val="1"/>
      <w:marLeft w:val="0"/>
      <w:marRight w:val="0"/>
      <w:marTop w:val="0"/>
      <w:marBottom w:val="0"/>
      <w:divBdr>
        <w:top w:val="none" w:sz="0" w:space="0" w:color="auto"/>
        <w:left w:val="none" w:sz="0" w:space="0" w:color="auto"/>
        <w:bottom w:val="none" w:sz="0" w:space="0" w:color="auto"/>
        <w:right w:val="none" w:sz="0" w:space="0" w:color="auto"/>
      </w:divBdr>
    </w:div>
    <w:div w:id="16614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2423-5A9F-4A0C-86D2-3B5CC8E2483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6633</ap:Words>
  <ap:Characters>37811</ap:Characters>
  <ap:Application>Microsoft Office Word</ap:Application>
  <ap:DocSecurity>0</ap:DocSecurity>
  <ap:Lines>315</ap:Lines>
  <ap:Paragraphs>88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44356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2024-08-14T16:37:00Z</cp:lastPrinted>
  <dcterms:created xsi:type="dcterms:W3CDTF">2024-08-28T11:51:14Z</dcterms:created>
  <dcterms:modified xsi:type="dcterms:W3CDTF">2024-08-28T11:51:14Z</dcterms:modified>
</cp:coreProperties>
</file>