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0DDA" w:rsidR="008D32EF" w:rsidP="008D32EF" w:rsidRDefault="002A2AFF" w14:paraId="17525E65" w14:textId="57FF4245">
      <w:pPr>
        <w:pStyle w:val="Header"/>
        <w:tabs>
          <w:tab w:val="clear" w:pos="4320"/>
          <w:tab w:val="clear" w:pos="8640"/>
          <w:tab w:val="center" w:pos="4680"/>
          <w:tab w:val="right" w:pos="9360"/>
        </w:tabs>
        <w:rPr>
          <w:b/>
        </w:rPr>
      </w:pPr>
      <w:r>
        <w:t>ALJ</w:t>
      </w:r>
      <w:r w:rsidRPr="00703DFA">
        <w:t>/</w:t>
      </w:r>
      <w:r w:rsidR="003C42A3">
        <w:t>CR2/</w:t>
      </w:r>
      <w:proofErr w:type="spellStart"/>
      <w:r w:rsidR="003C42A3">
        <w:t>mva</w:t>
      </w:r>
      <w:proofErr w:type="spellEnd"/>
      <w:r w:rsidR="00095757">
        <w:t>/hma</w:t>
      </w:r>
      <w:r w:rsidR="008D32EF">
        <w:tab/>
      </w:r>
      <w:r w:rsidRPr="00F6589F" w:rsidR="008D32EF">
        <w:rPr>
          <w:sz w:val="32"/>
          <w:szCs w:val="32"/>
        </w:rPr>
        <w:t xml:space="preserve"> </w:t>
      </w:r>
      <w:r w:rsidRPr="007B05D0" w:rsidR="008D32EF">
        <w:rPr>
          <w:rFonts w:ascii="Helvetica" w:hAnsi="Helvetica"/>
          <w:b/>
          <w:sz w:val="28"/>
        </w:rPr>
        <w:t>PROPOSED DECISION</w:t>
      </w:r>
      <w:r w:rsidRPr="00F6589F" w:rsidR="008D32EF">
        <w:tab/>
      </w:r>
      <w:r w:rsidRPr="00237DAC" w:rsidR="00F042AB">
        <w:rPr>
          <w:b/>
          <w:szCs w:val="26"/>
        </w:rPr>
        <w:t>Agenda ID #</w:t>
      </w:r>
      <w:r w:rsidRPr="00095757" w:rsidR="00095757">
        <w:rPr>
          <w:b/>
          <w:szCs w:val="26"/>
        </w:rPr>
        <w:t>22911</w:t>
      </w:r>
    </w:p>
    <w:p w:rsidRPr="00620DDA" w:rsidR="008D32EF" w:rsidP="008D32EF" w:rsidRDefault="008D32EF" w14:paraId="4DFC168B" w14:textId="60558EE6">
      <w:pPr>
        <w:tabs>
          <w:tab w:val="center" w:pos="4320"/>
          <w:tab w:val="right" w:pos="9360"/>
        </w:tabs>
        <w:rPr>
          <w:b/>
        </w:rPr>
      </w:pPr>
      <w:r w:rsidRPr="00620DDA">
        <w:rPr>
          <w:b/>
        </w:rPr>
        <w:tab/>
      </w:r>
      <w:r w:rsidRPr="00620DDA">
        <w:rPr>
          <w:b/>
        </w:rPr>
        <w:tab/>
      </w:r>
      <w:r w:rsidR="00F042AB">
        <w:rPr>
          <w:b/>
        </w:rPr>
        <w:t>Quasi-legislative</w:t>
      </w:r>
    </w:p>
    <w:p w:rsidR="008D32EF" w:rsidP="008D32EF" w:rsidRDefault="008D32EF" w14:paraId="5AF9A1C5" w14:textId="77777777">
      <w:pPr>
        <w:tabs>
          <w:tab w:val="center" w:pos="4680"/>
          <w:tab w:val="right" w:pos="9360"/>
        </w:tabs>
      </w:pPr>
    </w:p>
    <w:p w:rsidRPr="00F6589F" w:rsidR="00095757" w:rsidP="008D32EF" w:rsidRDefault="00095757" w14:paraId="25BD91A1" w14:textId="77777777">
      <w:pPr>
        <w:tabs>
          <w:tab w:val="center" w:pos="4680"/>
          <w:tab w:val="right" w:pos="9360"/>
        </w:tabs>
      </w:pPr>
    </w:p>
    <w:p w:rsidR="007E448B" w:rsidP="00095757" w:rsidRDefault="008D32EF" w14:paraId="1D7A07D1" w14:textId="7488872E">
      <w:pPr>
        <w:suppressAutoHyphens/>
      </w:pPr>
      <w:r w:rsidRPr="00F6589F">
        <w:t>Decision ____________</w:t>
      </w:r>
    </w:p>
    <w:p w:rsidR="00AD387C" w:rsidP="007C256A" w:rsidRDefault="00AD387C" w14:paraId="6D8A9CB0" w14:textId="77777777">
      <w:pPr>
        <w:widowControl w:val="0"/>
        <w:tabs>
          <w:tab w:val="center" w:pos="4680"/>
          <w:tab w:val="right" w:pos="9360"/>
        </w:tabs>
      </w:pPr>
    </w:p>
    <w:p w:rsidR="0089195D" w:rsidRDefault="0089195D" w14:paraId="79A9FBE1" w14:textId="77777777">
      <w:pPr>
        <w:pStyle w:val="titlebar"/>
        <w:rPr>
          <w:sz w:val="24"/>
        </w:rPr>
      </w:pPr>
      <w:r>
        <w:rPr>
          <w:sz w:val="24"/>
        </w:rPr>
        <w:t>BEFORE THE PUBLIC UTILITIES COMMISSION OF THE STATE OF CALIFORNIA</w:t>
      </w:r>
    </w:p>
    <w:p w:rsidR="0089195D" w:rsidRDefault="0089195D" w14:paraId="0930CEF8" w14:textId="77777777">
      <w:pPr>
        <w:suppressAutoHyphens/>
      </w:pPr>
    </w:p>
    <w:tbl>
      <w:tblPr>
        <w:tblW w:w="9558" w:type="dxa"/>
        <w:tblLayout w:type="fixed"/>
        <w:tblLook w:val="0000" w:firstRow="0" w:lastRow="0" w:firstColumn="0" w:lastColumn="0" w:noHBand="0" w:noVBand="0"/>
      </w:tblPr>
      <w:tblGrid>
        <w:gridCol w:w="4680"/>
        <w:gridCol w:w="4878"/>
      </w:tblGrid>
      <w:tr w:rsidR="00D16326" w:rsidTr="00620DDA" w14:paraId="42E87756" w14:textId="77777777">
        <w:tc>
          <w:tcPr>
            <w:tcW w:w="4680" w:type="dxa"/>
            <w:tcBorders>
              <w:bottom w:val="single" w:color="auto" w:sz="6" w:space="0"/>
              <w:right w:val="single" w:color="auto" w:sz="6" w:space="0"/>
            </w:tcBorders>
            <w:shd w:val="clear" w:color="auto" w:fill="auto"/>
          </w:tcPr>
          <w:p w:rsidR="002C0C14" w:rsidP="00D16326" w:rsidRDefault="00635F26" w14:paraId="6285F1A6" w14:textId="77777777">
            <w:r w:rsidRPr="00635F26">
              <w:t>Order Instituting Rulemaking to Develop Safety Culture Assessments for Electric and Natural Gas Utilities.</w:t>
            </w:r>
          </w:p>
          <w:p w:rsidRPr="00825448" w:rsidR="00635F26" w:rsidP="00D16326" w:rsidRDefault="00635F26" w14:paraId="52874FF4" w14:textId="4FABE80A"/>
        </w:tc>
        <w:tc>
          <w:tcPr>
            <w:tcW w:w="4878" w:type="dxa"/>
            <w:tcBorders>
              <w:left w:val="nil"/>
            </w:tcBorders>
            <w:shd w:val="clear" w:color="auto" w:fill="auto"/>
          </w:tcPr>
          <w:p w:rsidR="00D16326" w:rsidP="00322A20" w:rsidRDefault="00D16326" w14:paraId="770AEA93" w14:textId="77777777"/>
          <w:p w:rsidR="00D16326" w:rsidP="007E448B" w:rsidRDefault="00896DFC" w14:paraId="78D5F36C" w14:textId="7E0E2CFF">
            <w:pPr>
              <w:jc w:val="center"/>
            </w:pPr>
            <w:r>
              <w:t>Rulemaking</w:t>
            </w:r>
            <w:r w:rsidR="002C0C14">
              <w:t xml:space="preserve"> </w:t>
            </w:r>
            <w:r>
              <w:t>2</w:t>
            </w:r>
            <w:r w:rsidR="000E1670">
              <w:t>1</w:t>
            </w:r>
            <w:r>
              <w:t>-10-00</w:t>
            </w:r>
            <w:r w:rsidR="000E1670">
              <w:t>1</w:t>
            </w:r>
          </w:p>
        </w:tc>
      </w:tr>
    </w:tbl>
    <w:p w:rsidR="0089195D" w:rsidRDefault="0089195D" w14:paraId="6352B93F" w14:textId="77777777">
      <w:pPr>
        <w:suppressAutoHyphens/>
      </w:pPr>
    </w:p>
    <w:p w:rsidR="0089195D" w:rsidRDefault="0089195D" w14:paraId="7799850B" w14:textId="77777777"/>
    <w:p w:rsidR="0089195D" w:rsidRDefault="0089195D" w14:paraId="5791EB0F" w14:textId="77777777">
      <w:pPr>
        <w:jc w:val="center"/>
        <w:rPr>
          <w:rFonts w:ascii="Helvetica" w:hAnsi="Helvetica"/>
          <w:b/>
          <w:szCs w:val="26"/>
        </w:rPr>
      </w:pPr>
      <w:bookmarkStart w:name="_Toc370798909" w:id="0"/>
      <w:r>
        <w:rPr>
          <w:rFonts w:ascii="Helvetica" w:hAnsi="Helvetica"/>
          <w:b/>
          <w:szCs w:val="26"/>
        </w:rPr>
        <w:t>ORDER EXTENDING STATUTORY DEADLINE</w:t>
      </w:r>
    </w:p>
    <w:bookmarkEnd w:id="0"/>
    <w:p w:rsidR="0089195D" w:rsidP="00107949" w:rsidRDefault="0089195D" w14:paraId="13F3863A" w14:textId="77777777">
      <w:pPr>
        <w:tabs>
          <w:tab w:val="left" w:pos="3493"/>
        </w:tabs>
        <w:suppressAutoHyphens/>
      </w:pPr>
    </w:p>
    <w:p w:rsidRPr="003A3FFB" w:rsidR="003A3FFB" w:rsidP="007A6B7B" w:rsidRDefault="003A3FFB" w14:paraId="00712881" w14:textId="77777777">
      <w:pPr>
        <w:keepNext/>
        <w:tabs>
          <w:tab w:val="center" w:pos="4680"/>
        </w:tabs>
        <w:spacing w:before="120" w:after="120"/>
        <w:outlineLvl w:val="0"/>
        <w:rPr>
          <w:rFonts w:ascii="Helvetica" w:hAnsi="Helvetica"/>
          <w:b/>
        </w:rPr>
      </w:pPr>
      <w:bookmarkStart w:name="_Toc370798910" w:id="1"/>
      <w:r w:rsidRPr="003A3FFB">
        <w:rPr>
          <w:rFonts w:ascii="Helvetica" w:hAnsi="Helvetica"/>
          <w:b/>
        </w:rPr>
        <w:t>Summary</w:t>
      </w:r>
    </w:p>
    <w:p w:rsidRPr="003A3FFB" w:rsidR="003A3FFB" w:rsidP="003A3FFB" w:rsidRDefault="003A3FFB" w14:paraId="102B90A4" w14:textId="1B60D4E8">
      <w:pPr>
        <w:spacing w:line="360" w:lineRule="auto"/>
        <w:ind w:firstLine="720"/>
      </w:pPr>
      <w:r w:rsidRPr="003A3FFB">
        <w:t xml:space="preserve">This decision extends the statutory deadline </w:t>
      </w:r>
      <w:r w:rsidR="00896DFC">
        <w:t>for</w:t>
      </w:r>
      <w:r w:rsidRPr="003A3FFB">
        <w:t xml:space="preserve"> th</w:t>
      </w:r>
      <w:r w:rsidR="00896DFC">
        <w:t xml:space="preserve">is </w:t>
      </w:r>
      <w:r w:rsidRPr="003A3FFB">
        <w:t>proceeding</w:t>
      </w:r>
      <w:r w:rsidR="00A61D1B">
        <w:t xml:space="preserve"> </w:t>
      </w:r>
      <w:r w:rsidR="000E1670">
        <w:t>until</w:t>
      </w:r>
      <w:r w:rsidR="000102B2">
        <w:t xml:space="preserve"> October</w:t>
      </w:r>
      <w:r w:rsidR="00620DDA">
        <w:t> </w:t>
      </w:r>
      <w:r w:rsidR="000102B2">
        <w:t>7, 202</w:t>
      </w:r>
      <w:r w:rsidR="000E1670">
        <w:t>5</w:t>
      </w:r>
      <w:r w:rsidRPr="003A3FFB">
        <w:t>.</w:t>
      </w:r>
    </w:p>
    <w:p w:rsidRPr="009429BA" w:rsidR="003A3FFB" w:rsidP="00DC5B6A" w:rsidRDefault="003A3FFB" w14:paraId="7258AAC2" w14:textId="77777777">
      <w:pPr>
        <w:pStyle w:val="ListParagraph"/>
        <w:keepNext/>
        <w:numPr>
          <w:ilvl w:val="0"/>
          <w:numId w:val="8"/>
        </w:numPr>
        <w:spacing w:before="120" w:after="120"/>
        <w:ind w:hanging="720"/>
        <w:outlineLvl w:val="0"/>
        <w:rPr>
          <w:rFonts w:ascii="Helvetica" w:hAnsi="Helvetica"/>
          <w:b/>
        </w:rPr>
      </w:pPr>
      <w:r w:rsidRPr="009429BA">
        <w:rPr>
          <w:rFonts w:ascii="Helvetica" w:hAnsi="Helvetica"/>
          <w:b/>
        </w:rPr>
        <w:t>Background</w:t>
      </w:r>
      <w:bookmarkEnd w:id="1"/>
    </w:p>
    <w:p w:rsidR="009A1097" w:rsidP="009A1097" w:rsidRDefault="009A1097" w14:paraId="4E9BCF3F" w14:textId="27410853">
      <w:pPr>
        <w:spacing w:line="360" w:lineRule="auto"/>
        <w:ind w:firstLine="720"/>
      </w:pPr>
      <w:r w:rsidRPr="00463B0F">
        <w:t xml:space="preserve">Public </w:t>
      </w:r>
      <w:r w:rsidRPr="008510ED">
        <w:rPr>
          <w:rFonts w:cs="Arial"/>
          <w:color w:val="000000"/>
          <w:szCs w:val="26"/>
        </w:rPr>
        <w:t>Utilities Code (Pub. Util.</w:t>
      </w:r>
      <w:r w:rsidR="00DC5BBC">
        <w:rPr>
          <w:rFonts w:cs="Arial"/>
          <w:color w:val="000000"/>
          <w:szCs w:val="26"/>
        </w:rPr>
        <w:t>)</w:t>
      </w:r>
      <w:r w:rsidRPr="008510ED">
        <w:rPr>
          <w:rFonts w:cs="Arial"/>
          <w:color w:val="000000"/>
          <w:szCs w:val="26"/>
        </w:rPr>
        <w:t xml:space="preserve"> Code Section 1701.5</w:t>
      </w:r>
      <w:r>
        <w:rPr>
          <w:rFonts w:cs="Arial"/>
          <w:color w:val="000000"/>
          <w:szCs w:val="26"/>
        </w:rPr>
        <w:t>(a)</w:t>
      </w:r>
      <w:r w:rsidRPr="008510ED">
        <w:rPr>
          <w:rFonts w:cs="Arial"/>
          <w:color w:val="000000"/>
          <w:szCs w:val="26"/>
        </w:rPr>
        <w:t xml:space="preserve"> provides that the Commission shall resolve the issues raised in the scoping memo of a </w:t>
      </w:r>
      <w:r w:rsidR="00896DFC">
        <w:rPr>
          <w:rFonts w:cs="Arial"/>
          <w:color w:val="000000"/>
          <w:szCs w:val="26"/>
        </w:rPr>
        <w:t>quasi</w:t>
      </w:r>
      <w:r w:rsidR="00620DDA">
        <w:rPr>
          <w:rFonts w:cs="Arial"/>
          <w:color w:val="000000"/>
          <w:szCs w:val="26"/>
        </w:rPr>
        <w:noBreakHyphen/>
      </w:r>
      <w:r w:rsidR="00896DFC">
        <w:rPr>
          <w:rFonts w:cs="Arial"/>
          <w:color w:val="000000"/>
          <w:szCs w:val="26"/>
        </w:rPr>
        <w:t xml:space="preserve">legislative </w:t>
      </w:r>
      <w:r w:rsidRPr="008510ED">
        <w:rPr>
          <w:rFonts w:cs="Arial"/>
          <w:color w:val="000000"/>
          <w:szCs w:val="26"/>
        </w:rPr>
        <w:t xml:space="preserve">proceeding, within 18 months of the date the proceeding is initiated, unless the Commission makes a written determination that the deadline cannot be </w:t>
      </w:r>
      <w:r w:rsidRPr="008510ED" w:rsidR="00896DFC">
        <w:rPr>
          <w:rFonts w:cs="Arial"/>
          <w:color w:val="000000"/>
          <w:szCs w:val="26"/>
        </w:rPr>
        <w:t>met and</w:t>
      </w:r>
      <w:r w:rsidRPr="008510ED">
        <w:rPr>
          <w:rFonts w:cs="Arial"/>
          <w:color w:val="000000"/>
          <w:szCs w:val="26"/>
        </w:rPr>
        <w:t xml:space="preserve"> issues an order extending the deadline.</w:t>
      </w:r>
      <w:r>
        <w:rPr>
          <w:rFonts w:cs="Arial"/>
          <w:color w:val="000000"/>
          <w:szCs w:val="26"/>
        </w:rPr>
        <w:t xml:space="preserve"> </w:t>
      </w:r>
      <w:r w:rsidRPr="008510ED">
        <w:rPr>
          <w:rFonts w:cs="Arial"/>
          <w:color w:val="000000"/>
          <w:szCs w:val="26"/>
        </w:rPr>
        <w:t xml:space="preserve"> </w:t>
      </w:r>
      <w:r w:rsidR="00E469BD">
        <w:rPr>
          <w:szCs w:val="26"/>
        </w:rPr>
        <w:t xml:space="preserve">The current statutory deadline for completion of </w:t>
      </w:r>
      <w:r w:rsidR="00E469BD">
        <w:t>Rulemaking (R.) 21-10-001</w:t>
      </w:r>
      <w:r w:rsidRPr="00DF270E" w:rsidR="00E469BD">
        <w:rPr>
          <w:szCs w:val="26"/>
        </w:rPr>
        <w:t xml:space="preserve"> is </w:t>
      </w:r>
      <w:bookmarkStart w:name="_Hlk83721507" w:id="2"/>
      <w:r w:rsidR="00E469BD">
        <w:rPr>
          <w:szCs w:val="26"/>
        </w:rPr>
        <w:t xml:space="preserve">October 7, </w:t>
      </w:r>
      <w:r w:rsidRPr="00DF270E" w:rsidR="00E469BD">
        <w:rPr>
          <w:szCs w:val="26"/>
        </w:rPr>
        <w:t>202</w:t>
      </w:r>
      <w:r w:rsidR="00E469BD">
        <w:rPr>
          <w:szCs w:val="26"/>
        </w:rPr>
        <w:t>4</w:t>
      </w:r>
      <w:r w:rsidRPr="00DF270E" w:rsidR="00E469BD">
        <w:rPr>
          <w:szCs w:val="26"/>
        </w:rPr>
        <w:t>.</w:t>
      </w:r>
      <w:bookmarkStart w:name="_Hlk56520884" w:id="3"/>
      <w:bookmarkEnd w:id="2"/>
      <w:r w:rsidR="00E469BD">
        <w:rPr>
          <w:szCs w:val="26"/>
        </w:rPr>
        <w:t xml:space="preserve">  </w:t>
      </w:r>
      <w:bookmarkEnd w:id="3"/>
    </w:p>
    <w:p w:rsidR="00F23EE9" w:rsidP="00E469BD" w:rsidRDefault="00E469BD" w14:paraId="396B668D" w14:textId="4F40A90F">
      <w:pPr>
        <w:pStyle w:val="Standard0"/>
      </w:pPr>
      <w:r>
        <w:t>On October 7, 2021</w:t>
      </w:r>
      <w:r w:rsidR="00D57172">
        <w:t>,</w:t>
      </w:r>
      <w:r w:rsidRPr="00E469BD">
        <w:t xml:space="preserve"> </w:t>
      </w:r>
      <w:r>
        <w:t>the California Public Utilities Commission (Commission)</w:t>
      </w:r>
      <w:r w:rsidRPr="00F23EE9" w:rsidR="00F23EE9">
        <w:rPr>
          <w:rFonts w:eastAsia="Times New Roman" w:cs="Times New Roman"/>
          <w:szCs w:val="20"/>
        </w:rPr>
        <w:t xml:space="preserve"> </w:t>
      </w:r>
      <w:r w:rsidRPr="00F23EE9" w:rsidR="00F23EE9">
        <w:t>opened this Order Instituting Rulemaking</w:t>
      </w:r>
      <w:r w:rsidR="00F23EE9">
        <w:t xml:space="preserve"> (OIR) to</w:t>
      </w:r>
      <w:r>
        <w:t xml:space="preserve"> </w:t>
      </w:r>
      <w:r w:rsidRPr="00F23EE9" w:rsidR="00F23EE9">
        <w:t xml:space="preserve">develop and adopt a safety culture assessment framework for the regulated investor-owned electric and natural gas corporations as well as for the gas storage operators </w:t>
      </w:r>
      <w:r w:rsidRPr="00F23EE9" w:rsidR="00F23EE9">
        <w:lastRenderedPageBreak/>
        <w:t>serving California. Additionally, this OIR was instituted to identify the structure, elements, and process necessary to drive each regulated investorowned electric and natural gas utility and gas storage operator to establish and continuously improve their organization-wide safety culture. Accordingly, this OIR provides guidance on the form and content of the safety culture assessments for regulated electric and natural gas investor-owned utilities and gas storage operators, provides a venue for a review of their safety culture as an</w:t>
      </w:r>
      <w:r w:rsidR="00F23EE9">
        <w:t xml:space="preserve"> </w:t>
      </w:r>
      <w:r w:rsidRPr="00F23EE9" w:rsidR="00F23EE9">
        <w:t xml:space="preserve">organization, and will determine a process for ongoing review and refinement of their safety culture assessments in future years. </w:t>
      </w:r>
    </w:p>
    <w:p w:rsidR="00F23EE9" w:rsidP="00E469BD" w:rsidRDefault="00F23EE9" w14:paraId="7CAC0C93" w14:textId="69C4750F">
      <w:pPr>
        <w:pStyle w:val="Standard0"/>
      </w:pPr>
      <w:r w:rsidRPr="00F23EE9">
        <w:t>A prehearing conference was held on March 30, 2022</w:t>
      </w:r>
      <w:r w:rsidR="00B90CFD">
        <w:t>,</w:t>
      </w:r>
      <w:r w:rsidRPr="00F23EE9">
        <w:t xml:space="preserve"> to address the issues of law and fact, determine the need for hearing, set the schedule for resolving the matter, and address other matters as necessary. </w:t>
      </w:r>
    </w:p>
    <w:p w:rsidR="00C679C0" w:rsidP="00C679C0" w:rsidRDefault="00D05FA4" w14:paraId="3F119F68" w14:textId="57055AD5">
      <w:pPr>
        <w:pStyle w:val="Standard0"/>
      </w:pPr>
      <w:r>
        <w:t>On April 28, 2022</w:t>
      </w:r>
      <w:r w:rsidR="00B90CFD">
        <w:t>,</w:t>
      </w:r>
      <w:r>
        <w:t xml:space="preserve"> the assigned Commissioner issued a Scoping Memo and Ruling, </w:t>
      </w:r>
      <w:r w:rsidR="00AD28B3">
        <w:t xml:space="preserve">establishing the Commission’s intention to resolve this proceeding within </w:t>
      </w:r>
      <w:r w:rsidRPr="00AD28B3" w:rsidR="00AD28B3">
        <w:t xml:space="preserve">36 months of the date this Rulemaking </w:t>
      </w:r>
      <w:r w:rsidR="00AD28B3">
        <w:t>wa</w:t>
      </w:r>
      <w:r w:rsidRPr="00AD28B3" w:rsidR="00AD28B3">
        <w:t>s adopted.</w:t>
      </w:r>
      <w:r w:rsidR="00C53242">
        <w:t xml:space="preserve"> Consequently, the current statutory deadline is October 7, 2024.</w:t>
      </w:r>
    </w:p>
    <w:p w:rsidR="00B16A3C" w:rsidP="00B16A3C" w:rsidRDefault="002D4973" w14:paraId="0157EBAA" w14:textId="6605A514">
      <w:pPr>
        <w:pStyle w:val="Standard0"/>
      </w:pPr>
      <w:r>
        <w:t>On July 22, 2022</w:t>
      </w:r>
      <w:r w:rsidR="006F31EB">
        <w:t xml:space="preserve">, </w:t>
      </w:r>
      <w:r w:rsidR="008B6779">
        <w:t>September 13, 2022</w:t>
      </w:r>
      <w:r w:rsidR="00912594">
        <w:t>,</w:t>
      </w:r>
      <w:r w:rsidR="006F31EB">
        <w:t xml:space="preserve"> and June 10, 2024,</w:t>
      </w:r>
      <w:r w:rsidR="008B6779">
        <w:t xml:space="preserve"> </w:t>
      </w:r>
      <w:r>
        <w:t>the assigned Administrative Law Judge (ALJ) issued ruling</w:t>
      </w:r>
      <w:r w:rsidR="008B6779">
        <w:t>s</w:t>
      </w:r>
      <w:r>
        <w:t xml:space="preserve"> seeking comment on policy Questions for safety culture assessments.</w:t>
      </w:r>
    </w:p>
    <w:p w:rsidR="0089195D" w:rsidP="00B16A3C" w:rsidRDefault="00B16A3C" w14:paraId="5911D24C" w14:textId="387E3DD6">
      <w:pPr>
        <w:pStyle w:val="Standard0"/>
      </w:pPr>
      <w:r>
        <w:t xml:space="preserve">Throughout this time, the Commission has received numerous comments from interested parties. </w:t>
      </w:r>
      <w:r w:rsidR="00B90CFD">
        <w:t>The Commission is reviewing these comments</w:t>
      </w:r>
      <w:r w:rsidR="00FE586F">
        <w:t>. The Commission needs additional time to consider the implications of these comments</w:t>
      </w:r>
      <w:r w:rsidR="00B90CFD">
        <w:t xml:space="preserve"> and available options </w:t>
      </w:r>
      <w:r w:rsidR="00FE586F">
        <w:t>in view thereof</w:t>
      </w:r>
      <w:r w:rsidR="00B90CFD">
        <w:t xml:space="preserve">. </w:t>
      </w:r>
      <w:r w:rsidR="0092571A">
        <w:t xml:space="preserve">Therefore, </w:t>
      </w:r>
      <w:r w:rsidR="00C92DF5">
        <w:t>an</w:t>
      </w:r>
      <w:r w:rsidR="0092571A">
        <w:t xml:space="preserve"> extension of the statutory deadline until </w:t>
      </w:r>
      <w:r w:rsidR="000102B2">
        <w:t>October 7, 202</w:t>
      </w:r>
      <w:r>
        <w:t>5</w:t>
      </w:r>
      <w:r w:rsidR="00FC4E74">
        <w:t>, is appro</w:t>
      </w:r>
      <w:r w:rsidR="0092571A">
        <w:t>priate</w:t>
      </w:r>
      <w:r w:rsidR="00C92DF5">
        <w:t xml:space="preserve"> to</w:t>
      </w:r>
      <w:r w:rsidR="00FC4E74">
        <w:t xml:space="preserve"> allow sufficient time </w:t>
      </w:r>
      <w:r w:rsidR="00CE0BC8">
        <w:t>to</w:t>
      </w:r>
      <w:r w:rsidR="00FE586F">
        <w:t xml:space="preserve"> </w:t>
      </w:r>
      <w:r w:rsidR="00FE586F">
        <w:lastRenderedPageBreak/>
        <w:t>complete the envisioned work</w:t>
      </w:r>
      <w:r w:rsidR="00B90CFD">
        <w:t xml:space="preserve"> and adopt a decision resolving the issues in this proceeding</w:t>
      </w:r>
      <w:r w:rsidR="005E59AE">
        <w:t>.</w:t>
      </w:r>
    </w:p>
    <w:p w:rsidR="0089195D" w:rsidP="002F4CF3" w:rsidRDefault="00841B13" w14:paraId="1BBD904B" w14:textId="77777777">
      <w:pPr>
        <w:pStyle w:val="Heading1"/>
        <w:numPr>
          <w:ilvl w:val="0"/>
          <w:numId w:val="8"/>
        </w:numPr>
        <w:ind w:hanging="720"/>
      </w:pPr>
      <w:r>
        <w:t>Waiver of Comment Period</w:t>
      </w:r>
    </w:p>
    <w:p w:rsidR="0089195D" w:rsidRDefault="0089195D" w14:paraId="52554930" w14:textId="5E1719F9">
      <w:pPr>
        <w:pStyle w:val="standard"/>
      </w:pPr>
      <w:r>
        <w:t>Under Rule 14.6(c)(4) of the Commission’s Rules of Practice and Procedure</w:t>
      </w:r>
      <w:r w:rsidRPr="00E51FDB">
        <w:t>,</w:t>
      </w:r>
      <w:r>
        <w:t xml:space="preserve"> the Commission may reduce or waive the period for public review and comment of</w:t>
      </w:r>
      <w:r w:rsidR="00C8610C">
        <w:t xml:space="preserve"> proposed</w:t>
      </w:r>
      <w:r>
        <w:t xml:space="preserve"> decisions extending the deadline for resolving </w:t>
      </w:r>
      <w:proofErr w:type="spellStart"/>
      <w:r>
        <w:t>ratesetting</w:t>
      </w:r>
      <w:proofErr w:type="spellEnd"/>
      <w:r>
        <w:t xml:space="preserve"> proceedings. </w:t>
      </w:r>
      <w:r w:rsidR="005F4AC7">
        <w:t>Accordingly, the otherwise applicable period for public review and comment is being waived</w:t>
      </w:r>
      <w:r w:rsidRPr="00C8610C" w:rsidR="00C8610C">
        <w:t>.</w:t>
      </w:r>
    </w:p>
    <w:p w:rsidR="0089195D" w:rsidP="002F4CF3" w:rsidRDefault="0089195D" w14:paraId="2CE59C44" w14:textId="77777777">
      <w:pPr>
        <w:pStyle w:val="Heading1"/>
        <w:numPr>
          <w:ilvl w:val="0"/>
          <w:numId w:val="8"/>
        </w:numPr>
        <w:ind w:hanging="720"/>
      </w:pPr>
      <w:r>
        <w:t>Assignment of Proceeding</w:t>
      </w:r>
    </w:p>
    <w:p w:rsidRPr="00530498" w:rsidR="0089195D" w:rsidRDefault="005E59AE" w14:paraId="7FA8B0C5" w14:textId="3DCEA773">
      <w:pPr>
        <w:pStyle w:val="standard"/>
      </w:pPr>
      <w:r>
        <w:t>Darcie L. Houck</w:t>
      </w:r>
      <w:r w:rsidRPr="00530498" w:rsidR="0092571A">
        <w:t xml:space="preserve"> </w:t>
      </w:r>
      <w:r w:rsidRPr="00530498" w:rsidR="00EA39F7">
        <w:t xml:space="preserve">is the assigned Commissioner and </w:t>
      </w:r>
      <w:r w:rsidR="00713475">
        <w:t>Colin Rizzo</w:t>
      </w:r>
      <w:r w:rsidRPr="00530498" w:rsidR="009F342C">
        <w:t xml:space="preserve"> </w:t>
      </w:r>
      <w:r w:rsidR="00FC4E74">
        <w:t>is</w:t>
      </w:r>
      <w:r w:rsidRPr="00530498" w:rsidR="009F342C">
        <w:t xml:space="preserve"> </w:t>
      </w:r>
      <w:r w:rsidRPr="00530498" w:rsidR="00EA39F7">
        <w:t xml:space="preserve">the assigned </w:t>
      </w:r>
      <w:r w:rsidRPr="00530498" w:rsidR="009F342C">
        <w:t>ALJ</w:t>
      </w:r>
      <w:r w:rsidRPr="00530498" w:rsidR="00EA39F7">
        <w:t xml:space="preserve"> in th</w:t>
      </w:r>
      <w:r w:rsidRPr="00530498" w:rsidR="009F342C">
        <w:t>ese</w:t>
      </w:r>
      <w:r w:rsidRPr="00530498" w:rsidR="00EA39F7">
        <w:t xml:space="preserve"> </w:t>
      </w:r>
      <w:r w:rsidR="00C10B88">
        <w:t>proceedings</w:t>
      </w:r>
      <w:r w:rsidRPr="00530498" w:rsidR="00EA39F7">
        <w:t>.</w:t>
      </w:r>
    </w:p>
    <w:p w:rsidRPr="00530498" w:rsidR="00553B36" w:rsidP="005330B4" w:rsidRDefault="00553B36" w14:paraId="05926E21" w14:textId="77777777">
      <w:pPr>
        <w:pStyle w:val="dummy"/>
        <w:tabs>
          <w:tab w:val="left" w:pos="6973"/>
        </w:tabs>
        <w:spacing w:after="0" w:line="360" w:lineRule="auto"/>
      </w:pPr>
      <w:bookmarkStart w:name="_Toc370798913" w:id="4"/>
      <w:r w:rsidRPr="00530498">
        <w:t>Findin</w:t>
      </w:r>
      <w:r w:rsidRPr="00530498" w:rsidR="00EA27F8">
        <w:t>g</w:t>
      </w:r>
      <w:r w:rsidRPr="00530498">
        <w:t>s of Fact</w:t>
      </w:r>
    </w:p>
    <w:p w:rsidR="00D57172" w:rsidP="00D57172" w:rsidRDefault="00CA0A6C" w14:paraId="145CAC25" w14:textId="6CD0A1E8">
      <w:pPr>
        <w:pStyle w:val="num1"/>
        <w:numPr>
          <w:ilvl w:val="0"/>
          <w:numId w:val="5"/>
        </w:numPr>
      </w:pPr>
      <w:r>
        <w:t xml:space="preserve">On </w:t>
      </w:r>
      <w:r w:rsidR="00C53242">
        <w:t>October 7</w:t>
      </w:r>
      <w:r>
        <w:t>, 20</w:t>
      </w:r>
      <w:r w:rsidR="005E59AE">
        <w:t>21</w:t>
      </w:r>
      <w:r>
        <w:t>, th</w:t>
      </w:r>
      <w:r w:rsidR="00FE586F">
        <w:t>e OIR was adopted and issued and this Rulemaking</w:t>
      </w:r>
      <w:r w:rsidR="005E59AE">
        <w:t>i</w:t>
      </w:r>
      <w:r w:rsidR="00FE586F">
        <w:t>nitiated</w:t>
      </w:r>
      <w:r w:rsidR="005E59AE">
        <w:t xml:space="preserve">. </w:t>
      </w:r>
    </w:p>
    <w:p w:rsidRPr="00530498" w:rsidR="00CA0A6C" w:rsidP="00D57172" w:rsidRDefault="00C53242" w14:paraId="5337D74B" w14:textId="46A11512">
      <w:pPr>
        <w:pStyle w:val="num1"/>
        <w:numPr>
          <w:ilvl w:val="0"/>
          <w:numId w:val="5"/>
        </w:numPr>
      </w:pPr>
      <w:r>
        <w:t>On April 28, 2022</w:t>
      </w:r>
      <w:r w:rsidR="00022303">
        <w:t>,</w:t>
      </w:r>
      <w:r>
        <w:t xml:space="preserve"> the assigned Commissioner issued a Scoping Memo and Ruling, establishing the Commission’s intention to resolve this proceeding within </w:t>
      </w:r>
      <w:r w:rsidRPr="00AD28B3">
        <w:t xml:space="preserve">36 months of the date this Rulemaking </w:t>
      </w:r>
      <w:r>
        <w:t>wa</w:t>
      </w:r>
      <w:r w:rsidRPr="00AD28B3">
        <w:t>s adopted.</w:t>
      </w:r>
      <w:r>
        <w:t xml:space="preserve"> Consequently, the current statutory deadline is October 7, 2024.</w:t>
      </w:r>
    </w:p>
    <w:p w:rsidR="005E59AE" w:rsidP="00D25C3C" w:rsidRDefault="00FE586F" w14:paraId="02EA9532" w14:textId="751D3AD5">
      <w:pPr>
        <w:pStyle w:val="num1"/>
        <w:numPr>
          <w:ilvl w:val="0"/>
          <w:numId w:val="5"/>
        </w:numPr>
      </w:pPr>
      <w:r>
        <w:t xml:space="preserve">The </w:t>
      </w:r>
      <w:r w:rsidRPr="00FE586F">
        <w:t>Commission needs additional time to consider the implications of the comments and available options in view thereof</w:t>
      </w:r>
      <w:r w:rsidR="000102B2">
        <w:t>.</w:t>
      </w:r>
    </w:p>
    <w:p w:rsidRPr="00AC22A7" w:rsidR="002D0E69" w:rsidP="00986A6C" w:rsidRDefault="003855F1" w14:paraId="650E2ADD" w14:textId="2E414C77">
      <w:pPr>
        <w:pStyle w:val="num1"/>
        <w:numPr>
          <w:ilvl w:val="0"/>
          <w:numId w:val="5"/>
        </w:numPr>
        <w:spacing w:after="120"/>
      </w:pPr>
      <w:r>
        <w:t>A</w:t>
      </w:r>
      <w:r w:rsidR="00CA0A6C">
        <w:t>n</w:t>
      </w:r>
      <w:r>
        <w:t xml:space="preserve"> extension of the statutory deadline</w:t>
      </w:r>
      <w:r w:rsidR="004E6B2C">
        <w:t xml:space="preserve"> </w:t>
      </w:r>
      <w:r w:rsidR="00AE533D">
        <w:t xml:space="preserve">until </w:t>
      </w:r>
      <w:r w:rsidR="00863612">
        <w:t>October 7, 202</w:t>
      </w:r>
      <w:r w:rsidR="00AE533D">
        <w:t>5</w:t>
      </w:r>
      <w:r w:rsidR="00863612">
        <w:t>,</w:t>
      </w:r>
      <w:r w:rsidR="004E6B2C">
        <w:t xml:space="preserve"> </w:t>
      </w:r>
      <w:r>
        <w:t>is necessary</w:t>
      </w:r>
      <w:r w:rsidRPr="00AC22A7" w:rsidR="002D0E69">
        <w:t>.</w:t>
      </w:r>
    </w:p>
    <w:bookmarkEnd w:id="4"/>
    <w:p w:rsidR="003067E6" w:rsidP="002D0E69" w:rsidRDefault="003067E6" w14:paraId="70DDED7C" w14:textId="77777777">
      <w:pPr>
        <w:pStyle w:val="dummy"/>
        <w:keepLines/>
      </w:pPr>
      <w:r>
        <w:t>Conclusion</w:t>
      </w:r>
      <w:r w:rsidR="002F6BD1">
        <w:t xml:space="preserve"> </w:t>
      </w:r>
      <w:r>
        <w:t>of Law</w:t>
      </w:r>
    </w:p>
    <w:p w:rsidR="00BF5098" w:rsidP="00986A6C" w:rsidRDefault="00B16C20" w14:paraId="0CEC9A79" w14:textId="1E35D10F">
      <w:pPr>
        <w:pStyle w:val="standard"/>
      </w:pPr>
      <w:r>
        <w:t xml:space="preserve">Pursuant to the authority granted to the Commission under Pub. Util. Code § 1701.5(a), the statutory deadline should be extended </w:t>
      </w:r>
      <w:r w:rsidR="00713475">
        <w:t xml:space="preserve">until October </w:t>
      </w:r>
      <w:r w:rsidR="00863612">
        <w:t>7</w:t>
      </w:r>
      <w:r w:rsidR="002C0C14">
        <w:t>, 20</w:t>
      </w:r>
      <w:r w:rsidR="00863612">
        <w:t>2</w:t>
      </w:r>
      <w:r w:rsidR="00713475">
        <w:t>5</w:t>
      </w:r>
      <w:r w:rsidR="00BD4C49">
        <w:t>.</w:t>
      </w:r>
    </w:p>
    <w:p w:rsidRPr="00C32098" w:rsidR="00B24AA2" w:rsidP="00A44D0F" w:rsidRDefault="0089195D" w14:paraId="6BEEC123" w14:textId="2BDF9375">
      <w:pPr>
        <w:pStyle w:val="standard"/>
        <w:keepNext/>
        <w:keepLines/>
        <w:spacing w:before="120"/>
      </w:pPr>
      <w:r>
        <w:rPr>
          <w:b/>
        </w:rPr>
        <w:lastRenderedPageBreak/>
        <w:t>IT IS ORDERED</w:t>
      </w:r>
      <w:r>
        <w:t xml:space="preserve"> that</w:t>
      </w:r>
      <w:r w:rsidR="00A44D0F">
        <w:t xml:space="preserve"> t</w:t>
      </w:r>
      <w:r w:rsidRPr="00C32098" w:rsidR="00B24AA2">
        <w:t xml:space="preserve">he </w:t>
      </w:r>
      <w:r w:rsidR="00B24AA2">
        <w:t>stat</w:t>
      </w:r>
      <w:r w:rsidRPr="00C32098" w:rsidR="00B24AA2">
        <w:t>utory deadline in th</w:t>
      </w:r>
      <w:r w:rsidR="00BD4C49">
        <w:t>ese</w:t>
      </w:r>
      <w:r w:rsidRPr="00C32098" w:rsidR="00B24AA2">
        <w:t xml:space="preserve"> proceeding</w:t>
      </w:r>
      <w:r w:rsidR="00BD4C49">
        <w:t>s</w:t>
      </w:r>
      <w:r w:rsidRPr="00C32098" w:rsidR="00B24AA2">
        <w:t xml:space="preserve"> is extended until </w:t>
      </w:r>
      <w:r w:rsidR="00863612">
        <w:t>October 7, 202</w:t>
      </w:r>
      <w:r w:rsidR="00713475">
        <w:t>5</w:t>
      </w:r>
      <w:r w:rsidRPr="00C32098" w:rsidR="00B24AA2">
        <w:t>.</w:t>
      </w:r>
    </w:p>
    <w:p w:rsidR="00B16C20" w:rsidP="002D0E69" w:rsidRDefault="00B16C20" w14:paraId="417449DC" w14:textId="77777777">
      <w:pPr>
        <w:pStyle w:val="standard"/>
        <w:keepNext/>
        <w:keepLines/>
      </w:pPr>
      <w:r>
        <w:t>This order is effective today.</w:t>
      </w:r>
    </w:p>
    <w:p w:rsidR="006D06DB" w:rsidP="002D0E69" w:rsidRDefault="00517EAF" w14:paraId="2542575D" w14:textId="77777777">
      <w:pPr>
        <w:pStyle w:val="standard"/>
        <w:keepNext/>
        <w:keepLines/>
        <w:rPr>
          <w:szCs w:val="26"/>
        </w:rPr>
      </w:pPr>
      <w:r w:rsidRPr="002D46C4">
        <w:rPr>
          <w:szCs w:val="26"/>
        </w:rPr>
        <w:t>Dated</w:t>
      </w:r>
      <w:r w:rsidRPr="002D46C4" w:rsidR="00522D3D">
        <w:rPr>
          <w:szCs w:val="26"/>
        </w:rPr>
        <w:t xml:space="preserve"> </w:t>
      </w:r>
      <w:r w:rsidR="00FC4E74">
        <w:rPr>
          <w:szCs w:val="26"/>
        </w:rPr>
        <w:t>__________________</w:t>
      </w:r>
      <w:r w:rsidRPr="002D46C4" w:rsidR="00B16C20">
        <w:rPr>
          <w:szCs w:val="26"/>
        </w:rPr>
        <w:t>, at San Francisco, California</w:t>
      </w:r>
      <w:r w:rsidRPr="002D46C4" w:rsidR="0089195D">
        <w:rPr>
          <w:szCs w:val="26"/>
        </w:rPr>
        <w:t>.</w:t>
      </w:r>
    </w:p>
    <w:sectPr w:rsidR="006D06DB" w:rsidSect="00FF43CE">
      <w:headerReference w:type="default" r:id="rId9"/>
      <w:footerReference w:type="default" r:id="rId10"/>
      <w:headerReference w:type="first" r:id="rId11"/>
      <w:footerReference w:type="first" r:id="rId12"/>
      <w:pgSz w:w="12240" w:h="15840" w:code="1"/>
      <w:pgMar w:top="1800" w:right="1440" w:bottom="16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9A68" w14:textId="77777777" w:rsidR="00394FE3" w:rsidRDefault="00394FE3">
      <w:r>
        <w:separator/>
      </w:r>
    </w:p>
  </w:endnote>
  <w:endnote w:type="continuationSeparator" w:id="0">
    <w:p w14:paraId="5C8D61BF" w14:textId="77777777" w:rsidR="00394FE3" w:rsidRDefault="003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56E6" w14:textId="77777777" w:rsidR="00DD1176" w:rsidRDefault="00DD1176" w:rsidP="00FD568F">
    <w:pPr>
      <w:pStyle w:val="Footer"/>
      <w:tabs>
        <w:tab w:val="clear" w:pos="4320"/>
        <w:tab w:val="center" w:pos="4680"/>
      </w:tabs>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FF2D48">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313A" w14:textId="64742AE7" w:rsidR="00DD1176" w:rsidRPr="00586B57" w:rsidRDefault="004E4209" w:rsidP="00FD568F">
    <w:pPr>
      <w:pStyle w:val="Footer"/>
      <w:tabs>
        <w:tab w:val="clear" w:pos="4320"/>
        <w:tab w:val="center" w:pos="4680"/>
      </w:tabs>
      <w:jc w:val="left"/>
      <w:rPr>
        <w:rStyle w:val="PageNumber"/>
        <w:sz w:val="24"/>
        <w:szCs w:val="24"/>
      </w:rPr>
    </w:pPr>
    <w:r w:rsidRPr="004E4209">
      <w:rPr>
        <w:rFonts w:cs="Arial"/>
        <w:color w:val="000000"/>
        <w:sz w:val="16"/>
        <w:szCs w:val="16"/>
        <w:shd w:val="clear" w:color="auto" w:fill="FFFFFF"/>
      </w:rPr>
      <w:t>540159146</w:t>
    </w:r>
    <w:r w:rsidR="00DD1176">
      <w:rPr>
        <w:rFonts w:asciiTheme="majorHAnsi" w:eastAsiaTheme="majorEastAsia" w:hAnsiTheme="majorHAnsi" w:cstheme="majorBidi"/>
        <w:sz w:val="16"/>
        <w:szCs w:val="16"/>
      </w:rPr>
      <w:tab/>
    </w:r>
    <w:r w:rsidR="00DD1176" w:rsidRPr="00586B57">
      <w:rPr>
        <w:rStyle w:val="PageNumber"/>
        <w:sz w:val="24"/>
        <w:szCs w:val="24"/>
      </w:rP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5795" w14:textId="77777777" w:rsidR="00394FE3" w:rsidRDefault="00394FE3">
      <w:r>
        <w:separator/>
      </w:r>
    </w:p>
  </w:footnote>
  <w:footnote w:type="continuationSeparator" w:id="0">
    <w:p w14:paraId="5DD87C86" w14:textId="77777777" w:rsidR="00394FE3" w:rsidRDefault="00394FE3">
      <w:r>
        <w:continuationSeparator/>
      </w:r>
    </w:p>
  </w:footnote>
  <w:footnote w:type="continuationNotice" w:id="1">
    <w:p w14:paraId="62E48FF9" w14:textId="77777777" w:rsidR="00394FE3" w:rsidRDefault="00394FE3">
      <w:pPr>
        <w:rPr>
          <w:sz w:val="22"/>
        </w:rPr>
      </w:pPr>
    </w:p>
    <w:p w14:paraId="7574398B" w14:textId="77777777" w:rsidR="00394FE3" w:rsidRDefault="00394FE3">
      <w:pPr>
        <w:jc w:val="right"/>
        <w:rPr>
          <w:sz w:val="22"/>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FFAB1" w14:textId="424805D4" w:rsidR="00131E5E" w:rsidRDefault="00620DDA" w:rsidP="00131E5E">
    <w:pPr>
      <w:pStyle w:val="Header"/>
      <w:tabs>
        <w:tab w:val="clear" w:pos="8640"/>
        <w:tab w:val="right" w:pos="9360"/>
      </w:tabs>
    </w:pPr>
    <w:r>
      <w:t>R.2</w:t>
    </w:r>
    <w:r w:rsidR="000E1670">
      <w:t>1</w:t>
    </w:r>
    <w:r>
      <w:t>-10-00</w:t>
    </w:r>
    <w:r w:rsidR="000E1670">
      <w:t>1</w:t>
    </w:r>
    <w:r w:rsidR="00DD1176" w:rsidRPr="008C572C">
      <w:t xml:space="preserve">  ALJ/</w:t>
    </w:r>
    <w:r w:rsidR="000E1670">
      <w:t>CR2</w:t>
    </w:r>
    <w:r>
      <w:t>/</w:t>
    </w:r>
    <w:proofErr w:type="spellStart"/>
    <w:r w:rsidR="000E1670">
      <w:t>mva</w:t>
    </w:r>
    <w:proofErr w:type="spellEnd"/>
    <w:r w:rsidR="00DC5B6A">
      <w:t>/hma</w:t>
    </w:r>
    <w:r w:rsidR="00DE58E7">
      <w:tab/>
    </w:r>
    <w:r w:rsidR="00131E5E">
      <w:tab/>
    </w:r>
    <w:r w:rsidR="00131E5E">
      <w:rPr>
        <w:rFonts w:ascii="Helvetica" w:hAnsi="Helvetica"/>
        <w:b/>
        <w:sz w:val="32"/>
        <w:szCs w:val="32"/>
      </w:rPr>
      <w:t>PROPOSED DECISION</w:t>
    </w:r>
  </w:p>
  <w:p w14:paraId="39516655" w14:textId="77777777" w:rsidR="00620DDA" w:rsidRPr="008C572C" w:rsidRDefault="00620DDA" w:rsidP="00131E5E">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CE40" w14:textId="77777777" w:rsidR="00131E5E" w:rsidRDefault="00131E5E" w:rsidP="00092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381E"/>
    <w:multiLevelType w:val="singleLevel"/>
    <w:tmpl w:val="2FB6A734"/>
    <w:lvl w:ilvl="0">
      <w:start w:val="1"/>
      <w:numFmt w:val="decimal"/>
      <w:lvlText w:val="%1."/>
      <w:legacy w:legacy="1" w:legacySpace="144" w:legacyIndent="0"/>
      <w:lvlJc w:val="left"/>
    </w:lvl>
  </w:abstractNum>
  <w:abstractNum w:abstractNumId="1" w15:restartNumberingAfterBreak="0">
    <w:nsid w:val="2DD46003"/>
    <w:multiLevelType w:val="singleLevel"/>
    <w:tmpl w:val="2FB6A734"/>
    <w:lvl w:ilvl="0">
      <w:start w:val="1"/>
      <w:numFmt w:val="decimal"/>
      <w:lvlText w:val="%1."/>
      <w:legacy w:legacy="1" w:legacySpace="144" w:legacyIndent="0"/>
      <w:lvlJc w:val="left"/>
    </w:lvl>
  </w:abstractNum>
  <w:abstractNum w:abstractNumId="2" w15:restartNumberingAfterBreak="0">
    <w:nsid w:val="463765A4"/>
    <w:multiLevelType w:val="hybridMultilevel"/>
    <w:tmpl w:val="48009896"/>
    <w:lvl w:ilvl="0" w:tplc="408002C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9636B5"/>
    <w:multiLevelType w:val="hybridMultilevel"/>
    <w:tmpl w:val="D030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E4892"/>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6B0A06"/>
    <w:multiLevelType w:val="singleLevel"/>
    <w:tmpl w:val="21AE8D44"/>
    <w:lvl w:ilvl="0">
      <w:start w:val="1"/>
      <w:numFmt w:val="decimal"/>
      <w:lvlText w:val="%1."/>
      <w:legacy w:legacy="1" w:legacySpace="0" w:legacyIndent="360"/>
      <w:lvlJc w:val="left"/>
    </w:lvl>
  </w:abstractNum>
  <w:abstractNum w:abstractNumId="6" w15:restartNumberingAfterBreak="0">
    <w:nsid w:val="7B1C30FD"/>
    <w:multiLevelType w:val="singleLevel"/>
    <w:tmpl w:val="2FB6A734"/>
    <w:lvl w:ilvl="0">
      <w:start w:val="1"/>
      <w:numFmt w:val="decimal"/>
      <w:lvlText w:val="%1."/>
      <w:legacy w:legacy="1" w:legacySpace="144" w:legacyIndent="0"/>
      <w:lvlJc w:val="left"/>
    </w:lvl>
  </w:abstractNum>
  <w:abstractNum w:abstractNumId="7" w15:restartNumberingAfterBreak="0">
    <w:nsid w:val="7D905FC4"/>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14448601">
    <w:abstractNumId w:val="1"/>
  </w:num>
  <w:num w:numId="2" w16cid:durableId="173500680">
    <w:abstractNumId w:val="0"/>
  </w:num>
  <w:num w:numId="3" w16cid:durableId="903756251">
    <w:abstractNumId w:val="6"/>
  </w:num>
  <w:num w:numId="4" w16cid:durableId="23332034">
    <w:abstractNumId w:val="5"/>
  </w:num>
  <w:num w:numId="5" w16cid:durableId="905190439">
    <w:abstractNumId w:val="7"/>
  </w:num>
  <w:num w:numId="6" w16cid:durableId="1952780949">
    <w:abstractNumId w:val="4"/>
  </w:num>
  <w:num w:numId="7" w16cid:durableId="957758527">
    <w:abstractNumId w:val="2"/>
  </w:num>
  <w:num w:numId="8" w16cid:durableId="204565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4"/>
    <w:rsid w:val="000062D4"/>
    <w:rsid w:val="00006E50"/>
    <w:rsid w:val="000102B2"/>
    <w:rsid w:val="00022303"/>
    <w:rsid w:val="000328ED"/>
    <w:rsid w:val="00057A92"/>
    <w:rsid w:val="00057AD7"/>
    <w:rsid w:val="00061C1D"/>
    <w:rsid w:val="00061CE8"/>
    <w:rsid w:val="00074C89"/>
    <w:rsid w:val="000925BF"/>
    <w:rsid w:val="00092F95"/>
    <w:rsid w:val="00094579"/>
    <w:rsid w:val="00095757"/>
    <w:rsid w:val="000A502E"/>
    <w:rsid w:val="000E1670"/>
    <w:rsid w:val="000F13F5"/>
    <w:rsid w:val="000F1F94"/>
    <w:rsid w:val="000F41FC"/>
    <w:rsid w:val="00101E24"/>
    <w:rsid w:val="00105F5C"/>
    <w:rsid w:val="00107949"/>
    <w:rsid w:val="00110C8E"/>
    <w:rsid w:val="001139A6"/>
    <w:rsid w:val="001244AC"/>
    <w:rsid w:val="00130693"/>
    <w:rsid w:val="00131E5E"/>
    <w:rsid w:val="001401B6"/>
    <w:rsid w:val="0014247A"/>
    <w:rsid w:val="0014760F"/>
    <w:rsid w:val="0016171E"/>
    <w:rsid w:val="0017399C"/>
    <w:rsid w:val="00173E34"/>
    <w:rsid w:val="00175B9B"/>
    <w:rsid w:val="001851A1"/>
    <w:rsid w:val="001949BB"/>
    <w:rsid w:val="00195C02"/>
    <w:rsid w:val="001A11FD"/>
    <w:rsid w:val="001C418A"/>
    <w:rsid w:val="001C4BD2"/>
    <w:rsid w:val="001C722A"/>
    <w:rsid w:val="001D1BD0"/>
    <w:rsid w:val="00210F9F"/>
    <w:rsid w:val="00215C8F"/>
    <w:rsid w:val="00220160"/>
    <w:rsid w:val="00222429"/>
    <w:rsid w:val="0023415A"/>
    <w:rsid w:val="00234684"/>
    <w:rsid w:val="002356BA"/>
    <w:rsid w:val="00253EE7"/>
    <w:rsid w:val="00262344"/>
    <w:rsid w:val="002639BB"/>
    <w:rsid w:val="00271F0C"/>
    <w:rsid w:val="002870D2"/>
    <w:rsid w:val="002915AB"/>
    <w:rsid w:val="002A2AFF"/>
    <w:rsid w:val="002C0607"/>
    <w:rsid w:val="002C0C14"/>
    <w:rsid w:val="002C7D21"/>
    <w:rsid w:val="002D0E69"/>
    <w:rsid w:val="002D46C4"/>
    <w:rsid w:val="002D4973"/>
    <w:rsid w:val="002D63F2"/>
    <w:rsid w:val="002F21CE"/>
    <w:rsid w:val="002F4CF3"/>
    <w:rsid w:val="002F4EC8"/>
    <w:rsid w:val="002F625C"/>
    <w:rsid w:val="002F6BD1"/>
    <w:rsid w:val="00304495"/>
    <w:rsid w:val="0030460C"/>
    <w:rsid w:val="003067E6"/>
    <w:rsid w:val="00307993"/>
    <w:rsid w:val="00314534"/>
    <w:rsid w:val="0031653E"/>
    <w:rsid w:val="00322A20"/>
    <w:rsid w:val="00322E9A"/>
    <w:rsid w:val="00323EF8"/>
    <w:rsid w:val="00330349"/>
    <w:rsid w:val="00340309"/>
    <w:rsid w:val="00340CAF"/>
    <w:rsid w:val="00341908"/>
    <w:rsid w:val="00342D73"/>
    <w:rsid w:val="003462B8"/>
    <w:rsid w:val="00347B3F"/>
    <w:rsid w:val="00354DF4"/>
    <w:rsid w:val="00362FEC"/>
    <w:rsid w:val="003855F1"/>
    <w:rsid w:val="0039260C"/>
    <w:rsid w:val="003941C4"/>
    <w:rsid w:val="00394FE3"/>
    <w:rsid w:val="003975E4"/>
    <w:rsid w:val="003A28F6"/>
    <w:rsid w:val="003A3FFB"/>
    <w:rsid w:val="003A6C30"/>
    <w:rsid w:val="003C42A3"/>
    <w:rsid w:val="003D2753"/>
    <w:rsid w:val="003D293C"/>
    <w:rsid w:val="003D7A1A"/>
    <w:rsid w:val="003E1FAB"/>
    <w:rsid w:val="003E6DFD"/>
    <w:rsid w:val="003F3DDF"/>
    <w:rsid w:val="00406E09"/>
    <w:rsid w:val="00410098"/>
    <w:rsid w:val="00421D42"/>
    <w:rsid w:val="00424493"/>
    <w:rsid w:val="00434F77"/>
    <w:rsid w:val="00443117"/>
    <w:rsid w:val="00447572"/>
    <w:rsid w:val="00450831"/>
    <w:rsid w:val="00452F5B"/>
    <w:rsid w:val="00465654"/>
    <w:rsid w:val="004724A9"/>
    <w:rsid w:val="004923AE"/>
    <w:rsid w:val="004A48F7"/>
    <w:rsid w:val="004A75C0"/>
    <w:rsid w:val="004A79DE"/>
    <w:rsid w:val="004B10B1"/>
    <w:rsid w:val="004B5B63"/>
    <w:rsid w:val="004D767B"/>
    <w:rsid w:val="004E4209"/>
    <w:rsid w:val="004E51D1"/>
    <w:rsid w:val="004E6B2C"/>
    <w:rsid w:val="005004A5"/>
    <w:rsid w:val="0050422A"/>
    <w:rsid w:val="00505391"/>
    <w:rsid w:val="00512357"/>
    <w:rsid w:val="00513E80"/>
    <w:rsid w:val="0051774C"/>
    <w:rsid w:val="00517BEF"/>
    <w:rsid w:val="00517EAF"/>
    <w:rsid w:val="00522D3D"/>
    <w:rsid w:val="00530498"/>
    <w:rsid w:val="005330B4"/>
    <w:rsid w:val="00540B67"/>
    <w:rsid w:val="005474E3"/>
    <w:rsid w:val="00550CD4"/>
    <w:rsid w:val="00552330"/>
    <w:rsid w:val="00553B36"/>
    <w:rsid w:val="00554B56"/>
    <w:rsid w:val="005562ED"/>
    <w:rsid w:val="00586B57"/>
    <w:rsid w:val="0059642F"/>
    <w:rsid w:val="005A19D9"/>
    <w:rsid w:val="005A6278"/>
    <w:rsid w:val="005C2D36"/>
    <w:rsid w:val="005C52D2"/>
    <w:rsid w:val="005D6082"/>
    <w:rsid w:val="005E1B52"/>
    <w:rsid w:val="005E2FD8"/>
    <w:rsid w:val="005E59AE"/>
    <w:rsid w:val="005F4AC7"/>
    <w:rsid w:val="005F589A"/>
    <w:rsid w:val="005F698C"/>
    <w:rsid w:val="005F6E68"/>
    <w:rsid w:val="00600EF8"/>
    <w:rsid w:val="00607F12"/>
    <w:rsid w:val="00614CA6"/>
    <w:rsid w:val="00620DDA"/>
    <w:rsid w:val="0062368C"/>
    <w:rsid w:val="00625BDB"/>
    <w:rsid w:val="00635F26"/>
    <w:rsid w:val="00642AB4"/>
    <w:rsid w:val="0064703F"/>
    <w:rsid w:val="00654214"/>
    <w:rsid w:val="00655970"/>
    <w:rsid w:val="00660256"/>
    <w:rsid w:val="0067542A"/>
    <w:rsid w:val="0067623F"/>
    <w:rsid w:val="006A2C2A"/>
    <w:rsid w:val="006A7E18"/>
    <w:rsid w:val="006B5192"/>
    <w:rsid w:val="006B5C09"/>
    <w:rsid w:val="006B6D82"/>
    <w:rsid w:val="006C11E7"/>
    <w:rsid w:val="006C259F"/>
    <w:rsid w:val="006C502C"/>
    <w:rsid w:val="006C50E8"/>
    <w:rsid w:val="006D002C"/>
    <w:rsid w:val="006D06DB"/>
    <w:rsid w:val="006D74B1"/>
    <w:rsid w:val="006E3718"/>
    <w:rsid w:val="006E754F"/>
    <w:rsid w:val="006F31EB"/>
    <w:rsid w:val="006F5823"/>
    <w:rsid w:val="00703294"/>
    <w:rsid w:val="00703FDC"/>
    <w:rsid w:val="00713475"/>
    <w:rsid w:val="007178BA"/>
    <w:rsid w:val="00727FF5"/>
    <w:rsid w:val="00734AB4"/>
    <w:rsid w:val="007375AD"/>
    <w:rsid w:val="00740AE3"/>
    <w:rsid w:val="007438DD"/>
    <w:rsid w:val="00745C7E"/>
    <w:rsid w:val="00763165"/>
    <w:rsid w:val="00763F27"/>
    <w:rsid w:val="00780122"/>
    <w:rsid w:val="00783368"/>
    <w:rsid w:val="007873B3"/>
    <w:rsid w:val="007938C2"/>
    <w:rsid w:val="007A4A8A"/>
    <w:rsid w:val="007A6B7B"/>
    <w:rsid w:val="007B05D0"/>
    <w:rsid w:val="007B5FEE"/>
    <w:rsid w:val="007C256A"/>
    <w:rsid w:val="007C3C63"/>
    <w:rsid w:val="007D0F17"/>
    <w:rsid w:val="007E2869"/>
    <w:rsid w:val="007E448B"/>
    <w:rsid w:val="007E6897"/>
    <w:rsid w:val="007E7B14"/>
    <w:rsid w:val="007F3737"/>
    <w:rsid w:val="007F63A9"/>
    <w:rsid w:val="00801D2B"/>
    <w:rsid w:val="00803F45"/>
    <w:rsid w:val="00804CB2"/>
    <w:rsid w:val="0080650C"/>
    <w:rsid w:val="0080689B"/>
    <w:rsid w:val="00826873"/>
    <w:rsid w:val="00831599"/>
    <w:rsid w:val="00835FFA"/>
    <w:rsid w:val="0083777F"/>
    <w:rsid w:val="00837CC2"/>
    <w:rsid w:val="00841B13"/>
    <w:rsid w:val="00863612"/>
    <w:rsid w:val="0087177D"/>
    <w:rsid w:val="0089195D"/>
    <w:rsid w:val="008950C0"/>
    <w:rsid w:val="00896DFC"/>
    <w:rsid w:val="008A19B5"/>
    <w:rsid w:val="008A7141"/>
    <w:rsid w:val="008B0907"/>
    <w:rsid w:val="008B44A1"/>
    <w:rsid w:val="008B6779"/>
    <w:rsid w:val="008C4825"/>
    <w:rsid w:val="008C572C"/>
    <w:rsid w:val="008C6949"/>
    <w:rsid w:val="008D04ED"/>
    <w:rsid w:val="008D32EF"/>
    <w:rsid w:val="008D3390"/>
    <w:rsid w:val="008D351D"/>
    <w:rsid w:val="008E071B"/>
    <w:rsid w:val="008E1AAD"/>
    <w:rsid w:val="008F17F2"/>
    <w:rsid w:val="008F2E4B"/>
    <w:rsid w:val="008F6067"/>
    <w:rsid w:val="00901AE0"/>
    <w:rsid w:val="0090244F"/>
    <w:rsid w:val="00912594"/>
    <w:rsid w:val="00922F40"/>
    <w:rsid w:val="0092571A"/>
    <w:rsid w:val="00927A42"/>
    <w:rsid w:val="00932552"/>
    <w:rsid w:val="00932ECF"/>
    <w:rsid w:val="009362C1"/>
    <w:rsid w:val="009429BA"/>
    <w:rsid w:val="00950C51"/>
    <w:rsid w:val="00960C1A"/>
    <w:rsid w:val="00964994"/>
    <w:rsid w:val="00965925"/>
    <w:rsid w:val="00971649"/>
    <w:rsid w:val="00972D20"/>
    <w:rsid w:val="00975976"/>
    <w:rsid w:val="009772DE"/>
    <w:rsid w:val="00984A45"/>
    <w:rsid w:val="00986A6C"/>
    <w:rsid w:val="009906D4"/>
    <w:rsid w:val="00994A7E"/>
    <w:rsid w:val="00996C01"/>
    <w:rsid w:val="009A1097"/>
    <w:rsid w:val="009B3BEE"/>
    <w:rsid w:val="009B666F"/>
    <w:rsid w:val="009D6F4E"/>
    <w:rsid w:val="009E2DB4"/>
    <w:rsid w:val="009E3647"/>
    <w:rsid w:val="009E5EC3"/>
    <w:rsid w:val="009F342C"/>
    <w:rsid w:val="009F58A6"/>
    <w:rsid w:val="009F75F2"/>
    <w:rsid w:val="00A032BB"/>
    <w:rsid w:val="00A13543"/>
    <w:rsid w:val="00A151EB"/>
    <w:rsid w:val="00A202E2"/>
    <w:rsid w:val="00A234EA"/>
    <w:rsid w:val="00A43AAA"/>
    <w:rsid w:val="00A44D0F"/>
    <w:rsid w:val="00A606B2"/>
    <w:rsid w:val="00A60B61"/>
    <w:rsid w:val="00A61055"/>
    <w:rsid w:val="00A61D1B"/>
    <w:rsid w:val="00A77338"/>
    <w:rsid w:val="00A773CB"/>
    <w:rsid w:val="00AA6D92"/>
    <w:rsid w:val="00AB19EA"/>
    <w:rsid w:val="00AB4D07"/>
    <w:rsid w:val="00AC1974"/>
    <w:rsid w:val="00AC22A7"/>
    <w:rsid w:val="00AD28B3"/>
    <w:rsid w:val="00AD387C"/>
    <w:rsid w:val="00AD69AE"/>
    <w:rsid w:val="00AE1676"/>
    <w:rsid w:val="00AE4F8A"/>
    <w:rsid w:val="00AE51E8"/>
    <w:rsid w:val="00AE533D"/>
    <w:rsid w:val="00AE7D6C"/>
    <w:rsid w:val="00B074AC"/>
    <w:rsid w:val="00B10965"/>
    <w:rsid w:val="00B14034"/>
    <w:rsid w:val="00B1451B"/>
    <w:rsid w:val="00B16A3C"/>
    <w:rsid w:val="00B16C20"/>
    <w:rsid w:val="00B20BD9"/>
    <w:rsid w:val="00B22B31"/>
    <w:rsid w:val="00B24AA2"/>
    <w:rsid w:val="00B26F0F"/>
    <w:rsid w:val="00B32B8D"/>
    <w:rsid w:val="00B45072"/>
    <w:rsid w:val="00B46D2B"/>
    <w:rsid w:val="00B60541"/>
    <w:rsid w:val="00B618AF"/>
    <w:rsid w:val="00B74C6A"/>
    <w:rsid w:val="00B77102"/>
    <w:rsid w:val="00B81FCE"/>
    <w:rsid w:val="00B84D59"/>
    <w:rsid w:val="00B90CFD"/>
    <w:rsid w:val="00B91922"/>
    <w:rsid w:val="00BA0468"/>
    <w:rsid w:val="00BB6F20"/>
    <w:rsid w:val="00BD198E"/>
    <w:rsid w:val="00BD28CE"/>
    <w:rsid w:val="00BD36CB"/>
    <w:rsid w:val="00BD3A7D"/>
    <w:rsid w:val="00BD4C49"/>
    <w:rsid w:val="00BE024E"/>
    <w:rsid w:val="00BF29BD"/>
    <w:rsid w:val="00BF5098"/>
    <w:rsid w:val="00C00C91"/>
    <w:rsid w:val="00C10B88"/>
    <w:rsid w:val="00C1545C"/>
    <w:rsid w:val="00C15B7D"/>
    <w:rsid w:val="00C2195E"/>
    <w:rsid w:val="00C24AB7"/>
    <w:rsid w:val="00C30C22"/>
    <w:rsid w:val="00C36CA6"/>
    <w:rsid w:val="00C40F05"/>
    <w:rsid w:val="00C465F8"/>
    <w:rsid w:val="00C53242"/>
    <w:rsid w:val="00C53620"/>
    <w:rsid w:val="00C61421"/>
    <w:rsid w:val="00C64F42"/>
    <w:rsid w:val="00C6728B"/>
    <w:rsid w:val="00C679C0"/>
    <w:rsid w:val="00C80ACE"/>
    <w:rsid w:val="00C84781"/>
    <w:rsid w:val="00C8610C"/>
    <w:rsid w:val="00C92C19"/>
    <w:rsid w:val="00C92DF5"/>
    <w:rsid w:val="00C93A54"/>
    <w:rsid w:val="00C96CA3"/>
    <w:rsid w:val="00CA0A6C"/>
    <w:rsid w:val="00CA1880"/>
    <w:rsid w:val="00CA590F"/>
    <w:rsid w:val="00CC097B"/>
    <w:rsid w:val="00CC71A1"/>
    <w:rsid w:val="00CD223B"/>
    <w:rsid w:val="00CD7C25"/>
    <w:rsid w:val="00CE0BC8"/>
    <w:rsid w:val="00CE2CE7"/>
    <w:rsid w:val="00D0297D"/>
    <w:rsid w:val="00D03233"/>
    <w:rsid w:val="00D05FA4"/>
    <w:rsid w:val="00D1025D"/>
    <w:rsid w:val="00D11EB2"/>
    <w:rsid w:val="00D159C6"/>
    <w:rsid w:val="00D16326"/>
    <w:rsid w:val="00D2565F"/>
    <w:rsid w:val="00D4121E"/>
    <w:rsid w:val="00D42567"/>
    <w:rsid w:val="00D45AEF"/>
    <w:rsid w:val="00D46888"/>
    <w:rsid w:val="00D57172"/>
    <w:rsid w:val="00D707CD"/>
    <w:rsid w:val="00D86F4A"/>
    <w:rsid w:val="00DB2B65"/>
    <w:rsid w:val="00DB5F3F"/>
    <w:rsid w:val="00DB7725"/>
    <w:rsid w:val="00DC1094"/>
    <w:rsid w:val="00DC5B6A"/>
    <w:rsid w:val="00DC5BBC"/>
    <w:rsid w:val="00DC67C5"/>
    <w:rsid w:val="00DC7DD7"/>
    <w:rsid w:val="00DD0A38"/>
    <w:rsid w:val="00DD1176"/>
    <w:rsid w:val="00DD6095"/>
    <w:rsid w:val="00DE2A82"/>
    <w:rsid w:val="00DE58E7"/>
    <w:rsid w:val="00DE78BF"/>
    <w:rsid w:val="00E12A50"/>
    <w:rsid w:val="00E13BC0"/>
    <w:rsid w:val="00E2131A"/>
    <w:rsid w:val="00E23751"/>
    <w:rsid w:val="00E2406A"/>
    <w:rsid w:val="00E469BD"/>
    <w:rsid w:val="00E51FDB"/>
    <w:rsid w:val="00E54F74"/>
    <w:rsid w:val="00E56F14"/>
    <w:rsid w:val="00E6252E"/>
    <w:rsid w:val="00E75E91"/>
    <w:rsid w:val="00E808DE"/>
    <w:rsid w:val="00E81113"/>
    <w:rsid w:val="00E8152E"/>
    <w:rsid w:val="00E84C0C"/>
    <w:rsid w:val="00E92284"/>
    <w:rsid w:val="00E93F4E"/>
    <w:rsid w:val="00E952D7"/>
    <w:rsid w:val="00E96632"/>
    <w:rsid w:val="00EA27F8"/>
    <w:rsid w:val="00EA2808"/>
    <w:rsid w:val="00EA39F7"/>
    <w:rsid w:val="00EB269F"/>
    <w:rsid w:val="00EC6F5D"/>
    <w:rsid w:val="00EC757F"/>
    <w:rsid w:val="00ED039D"/>
    <w:rsid w:val="00ED2EBF"/>
    <w:rsid w:val="00EE6CFE"/>
    <w:rsid w:val="00EF12D5"/>
    <w:rsid w:val="00F01EFE"/>
    <w:rsid w:val="00F0305F"/>
    <w:rsid w:val="00F042AB"/>
    <w:rsid w:val="00F04812"/>
    <w:rsid w:val="00F05623"/>
    <w:rsid w:val="00F1271A"/>
    <w:rsid w:val="00F16256"/>
    <w:rsid w:val="00F23EE9"/>
    <w:rsid w:val="00F30959"/>
    <w:rsid w:val="00F32788"/>
    <w:rsid w:val="00F4498F"/>
    <w:rsid w:val="00F60909"/>
    <w:rsid w:val="00F62153"/>
    <w:rsid w:val="00F63717"/>
    <w:rsid w:val="00F74A51"/>
    <w:rsid w:val="00F83166"/>
    <w:rsid w:val="00F90B38"/>
    <w:rsid w:val="00F94675"/>
    <w:rsid w:val="00F977D9"/>
    <w:rsid w:val="00FA471C"/>
    <w:rsid w:val="00FA72C3"/>
    <w:rsid w:val="00FB227D"/>
    <w:rsid w:val="00FC4362"/>
    <w:rsid w:val="00FC4E74"/>
    <w:rsid w:val="00FC591C"/>
    <w:rsid w:val="00FD4C17"/>
    <w:rsid w:val="00FD568F"/>
    <w:rsid w:val="00FE0125"/>
    <w:rsid w:val="00FE31DA"/>
    <w:rsid w:val="00FE38AE"/>
    <w:rsid w:val="00FE586F"/>
    <w:rsid w:val="00FF2D48"/>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5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B14"/>
    <w:rPr>
      <w:rFonts w:ascii="Book Antiqua" w:hAnsi="Book Antiqua"/>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pPr>
    <w:rPr>
      <w:sz w:val="24"/>
    </w:rPr>
  </w:style>
  <w:style w:type="character" w:styleId="FootnoteReference">
    <w:name w:val="footnote reference"/>
    <w:aliases w:val="o,fr,Style 3,o1,o2,o3,o4,o5,o6,o11,o21,o7,o + Times New Roman,Style 12,(NECG) Footnote Reference,Appel note de bas de p,Style 124"/>
    <w:basedOn w:val="DefaultParagraphFont"/>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basedOn w:val="DefaultParagraphFont"/>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basedOn w:val="DefaultParagraphFont"/>
    <w:link w:val="main"/>
    <w:rPr>
      <w:rFonts w:ascii="Helvetica" w:hAnsi="Helvetica"/>
      <w:b/>
      <w:sz w:val="26"/>
      <w:lang w:val="en-US" w:eastAsia="en-US" w:bidi="ar-SA"/>
    </w:rPr>
  </w:style>
  <w:style w:type="paragraph" w:customStyle="1" w:styleId="PageXofY">
    <w:name w:val="Page X of Y"/>
    <w:rPr>
      <w:sz w:val="24"/>
      <w:szCs w:val="24"/>
    </w:rPr>
  </w:style>
  <w:style w:type="character" w:customStyle="1" w:styleId="FooterChar">
    <w:name w:val="Footer Char"/>
    <w:basedOn w:val="DefaultParagraphFont"/>
    <w:link w:val="Footer"/>
    <w:uiPriority w:val="99"/>
    <w:rsid w:val="004A79DE"/>
    <w:rPr>
      <w:rFonts w:ascii="Palatino" w:hAnsi="Palatino"/>
      <w:sz w:val="26"/>
    </w:rPr>
  </w:style>
  <w:style w:type="paragraph" w:styleId="BalloonText">
    <w:name w:val="Balloon Text"/>
    <w:basedOn w:val="Normal"/>
    <w:link w:val="BalloonTextChar"/>
    <w:rsid w:val="004A79DE"/>
    <w:rPr>
      <w:rFonts w:ascii="Tahoma" w:hAnsi="Tahoma" w:cs="Tahoma"/>
      <w:sz w:val="16"/>
      <w:szCs w:val="16"/>
    </w:rPr>
  </w:style>
  <w:style w:type="character" w:customStyle="1" w:styleId="BalloonTextChar">
    <w:name w:val="Balloon Text Char"/>
    <w:basedOn w:val="DefaultParagraphFont"/>
    <w:link w:val="BalloonText"/>
    <w:rsid w:val="004A79DE"/>
    <w:rPr>
      <w:rFonts w:ascii="Tahoma" w:hAnsi="Tahoma" w:cs="Tahoma"/>
      <w:sz w:val="16"/>
      <w:szCs w:val="16"/>
    </w:rPr>
  </w:style>
  <w:style w:type="paragraph" w:customStyle="1" w:styleId="Default">
    <w:name w:val="Default"/>
    <w:rsid w:val="00F16256"/>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DB7725"/>
    <w:rPr>
      <w:rFonts w:ascii="Palatino" w:hAnsi="Palatino"/>
      <w:sz w:val="26"/>
    </w:rPr>
  </w:style>
  <w:style w:type="paragraph" w:styleId="ListParagraph">
    <w:name w:val="List Paragraph"/>
    <w:basedOn w:val="Normal"/>
    <w:uiPriority w:val="34"/>
    <w:qFormat/>
    <w:rsid w:val="009429BA"/>
    <w:pPr>
      <w:ind w:left="720"/>
      <w:contextualSpacing/>
    </w:pPr>
  </w:style>
  <w:style w:type="paragraph" w:customStyle="1" w:styleId="Standard0">
    <w:name w:val="Standard"/>
    <w:basedOn w:val="Normal"/>
    <w:qFormat/>
    <w:rsid w:val="00E469BD"/>
    <w:pPr>
      <w:spacing w:line="360" w:lineRule="auto"/>
      <w:ind w:firstLine="720"/>
    </w:pPr>
    <w:rPr>
      <w:rFonts w:eastAsiaTheme="minorHAnsi" w:cstheme="minorBidi"/>
      <w:szCs w:val="22"/>
    </w:rPr>
  </w:style>
  <w:style w:type="paragraph" w:styleId="Revision">
    <w:name w:val="Revision"/>
    <w:hidden/>
    <w:uiPriority w:val="99"/>
    <w:semiHidden/>
    <w:rsid w:val="00B90CFD"/>
    <w:rPr>
      <w:rFonts w:ascii="Book Antiqua" w:hAnsi="Book Antiqua"/>
      <w:sz w:val="26"/>
    </w:rPr>
  </w:style>
  <w:style w:type="character" w:styleId="CommentReference">
    <w:name w:val="annotation reference"/>
    <w:basedOn w:val="DefaultParagraphFont"/>
    <w:semiHidden/>
    <w:unhideWhenUsed/>
    <w:rsid w:val="00B90CFD"/>
    <w:rPr>
      <w:sz w:val="16"/>
      <w:szCs w:val="16"/>
    </w:rPr>
  </w:style>
  <w:style w:type="paragraph" w:styleId="CommentText">
    <w:name w:val="annotation text"/>
    <w:basedOn w:val="Normal"/>
    <w:link w:val="CommentTextChar"/>
    <w:unhideWhenUsed/>
    <w:rsid w:val="00B90CFD"/>
    <w:rPr>
      <w:sz w:val="20"/>
    </w:rPr>
  </w:style>
  <w:style w:type="character" w:customStyle="1" w:styleId="CommentTextChar">
    <w:name w:val="Comment Text Char"/>
    <w:basedOn w:val="DefaultParagraphFont"/>
    <w:link w:val="CommentText"/>
    <w:rsid w:val="00B90CFD"/>
    <w:rPr>
      <w:rFonts w:ascii="Book Antiqua" w:hAnsi="Book Antiqua"/>
    </w:rPr>
  </w:style>
  <w:style w:type="paragraph" w:styleId="CommentSubject">
    <w:name w:val="annotation subject"/>
    <w:basedOn w:val="CommentText"/>
    <w:next w:val="CommentText"/>
    <w:link w:val="CommentSubjectChar"/>
    <w:semiHidden/>
    <w:unhideWhenUsed/>
    <w:rsid w:val="00B90CFD"/>
    <w:rPr>
      <w:b/>
      <w:bCs/>
    </w:rPr>
  </w:style>
  <w:style w:type="character" w:customStyle="1" w:styleId="CommentSubjectChar">
    <w:name w:val="Comment Subject Char"/>
    <w:basedOn w:val="CommentTextChar"/>
    <w:link w:val="CommentSubject"/>
    <w:semiHidden/>
    <w:rsid w:val="00B90CFD"/>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7231">
      <w:bodyDiv w:val="1"/>
      <w:marLeft w:val="0"/>
      <w:marRight w:val="0"/>
      <w:marTop w:val="0"/>
      <w:marBottom w:val="0"/>
      <w:divBdr>
        <w:top w:val="none" w:sz="0" w:space="0" w:color="auto"/>
        <w:left w:val="none" w:sz="0" w:space="0" w:color="auto"/>
        <w:bottom w:val="none" w:sz="0" w:space="0" w:color="auto"/>
        <w:right w:val="none" w:sz="0" w:space="0" w:color="auto"/>
      </w:divBdr>
    </w:div>
    <w:div w:id="249192913">
      <w:bodyDiv w:val="1"/>
      <w:marLeft w:val="0"/>
      <w:marRight w:val="0"/>
      <w:marTop w:val="0"/>
      <w:marBottom w:val="0"/>
      <w:divBdr>
        <w:top w:val="none" w:sz="0" w:space="0" w:color="auto"/>
        <w:left w:val="none" w:sz="0" w:space="0" w:color="auto"/>
        <w:bottom w:val="none" w:sz="0" w:space="0" w:color="auto"/>
        <w:right w:val="none" w:sz="0" w:space="0" w:color="auto"/>
      </w:divBdr>
    </w:div>
    <w:div w:id="1387801279">
      <w:bodyDiv w:val="1"/>
      <w:marLeft w:val="0"/>
      <w:marRight w:val="0"/>
      <w:marTop w:val="0"/>
      <w:marBottom w:val="0"/>
      <w:divBdr>
        <w:top w:val="none" w:sz="0" w:space="0" w:color="auto"/>
        <w:left w:val="none" w:sz="0" w:space="0" w:color="auto"/>
        <w:bottom w:val="none" w:sz="0" w:space="0" w:color="auto"/>
        <w:right w:val="none" w:sz="0" w:space="0" w:color="auto"/>
      </w:divBdr>
    </w:div>
    <w:div w:id="14529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58C89-4B73-4B6E-BDED-E7446E62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CF352-24B9-4FA3-A830-11A6AA89E6D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655</ap:Words>
  <ap:Characters>3735</ap:Characters>
  <ap:Application>Microsoft Office Word</ap:Application>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R2110001 Rizzo OESD 9-26 Agenda (NON)</vt:lpstr>
    </vt:vector>
  </ap:TitlesOfParts>
  <ap:Manager/>
  <ap:Company/>
  <ap:LinksUpToDate>false</ap:LinksUpToDate>
  <ap:CharactersWithSpaces>4382</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2012-05-29T17:03:00Z</cp:lastPrinted>
  <dcterms:created xsi:type="dcterms:W3CDTF">2024-09-17T14:46:04Z</dcterms:created>
  <dcterms:modified xsi:type="dcterms:W3CDTF">2024-09-17T14:46:04Z</dcterms:modified>
</cp:coreProperties>
</file>