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E4C33" w:rsidP="00B724F4" w:rsidRDefault="00BE4C33" w14:paraId="58E8A238" w14:textId="548C3D50">
      <w:pPr>
        <w:suppressAutoHyphens/>
        <w:rPr>
          <w:color w:val="000000"/>
        </w:rPr>
      </w:pPr>
      <w:r>
        <w:rPr>
          <w:color w:val="000000"/>
        </w:rPr>
        <w:t>ALJ/KWZ</w:t>
      </w:r>
      <w:r w:rsidRPr="00BE4C33">
        <w:rPr>
          <w:color w:val="000000"/>
        </w:rPr>
        <w:t>/abb</w:t>
      </w:r>
      <w:r>
        <w:rPr>
          <w:b/>
          <w:bCs/>
          <w:color w:val="000000"/>
        </w:rPr>
        <w:tab/>
      </w:r>
      <w:r>
        <w:rPr>
          <w:b/>
          <w:bCs/>
          <w:color w:val="000000"/>
        </w:rPr>
        <w:tab/>
      </w:r>
      <w:r>
        <w:rPr>
          <w:b/>
          <w:bCs/>
          <w:color w:val="000000"/>
        </w:rPr>
        <w:tab/>
      </w:r>
      <w:r w:rsidR="00B724F4">
        <w:rPr>
          <w:b/>
          <w:bCs/>
          <w:color w:val="000000"/>
        </w:rPr>
        <w:tab/>
      </w:r>
      <w:r w:rsidR="00B724F4">
        <w:rPr>
          <w:b/>
          <w:bCs/>
          <w:color w:val="000000"/>
        </w:rPr>
        <w:tab/>
      </w:r>
      <w:r w:rsidR="00B724F4">
        <w:rPr>
          <w:b/>
          <w:bCs/>
          <w:color w:val="000000"/>
        </w:rPr>
        <w:tab/>
      </w:r>
      <w:r w:rsidR="00B724F4">
        <w:rPr>
          <w:b/>
          <w:bCs/>
          <w:color w:val="000000"/>
        </w:rPr>
        <w:tab/>
      </w:r>
      <w:r w:rsidR="00B724F4">
        <w:rPr>
          <w:b/>
          <w:bCs/>
          <w:color w:val="000000"/>
        </w:rPr>
        <w:tab/>
      </w:r>
      <w:r w:rsidRPr="00B724F4" w:rsidR="00B724F4">
        <w:rPr>
          <w:b/>
          <w:bCs/>
          <w:szCs w:val="26"/>
        </w:rPr>
        <w:t>Date of Issuance 9/1</w:t>
      </w:r>
      <w:r w:rsidR="00E70045">
        <w:rPr>
          <w:b/>
          <w:bCs/>
          <w:szCs w:val="26"/>
        </w:rPr>
        <w:t>7</w:t>
      </w:r>
      <w:r w:rsidRPr="00B724F4" w:rsidR="00B724F4">
        <w:rPr>
          <w:b/>
          <w:bCs/>
          <w:szCs w:val="26"/>
        </w:rPr>
        <w:t>/2024</w:t>
      </w:r>
    </w:p>
    <w:p w:rsidR="00BE4C33" w:rsidP="00625B30" w:rsidRDefault="00BE4C33" w14:paraId="1B8B6627" w14:textId="77777777">
      <w:pPr>
        <w:suppressAutoHyphens/>
        <w:rPr>
          <w:color w:val="000000"/>
        </w:rPr>
      </w:pPr>
    </w:p>
    <w:p w:rsidRPr="00B724F4" w:rsidR="00B724F4" w:rsidP="00B724F4" w:rsidRDefault="00625B30" w14:paraId="3C2A4347" w14:textId="1EE3DA4B">
      <w:pPr>
        <w:suppressAutoHyphens/>
        <w:rPr>
          <w:color w:val="000000"/>
        </w:rPr>
      </w:pPr>
      <w:r w:rsidRPr="007F620E">
        <w:rPr>
          <w:color w:val="000000"/>
        </w:rPr>
        <w:t xml:space="preserve">Decision </w:t>
      </w:r>
      <w:r w:rsidRPr="00B724F4" w:rsidR="00B724F4">
        <w:rPr>
          <w:color w:val="000000"/>
        </w:rPr>
        <w:t>24</w:t>
      </w:r>
      <w:r w:rsidR="00084666">
        <w:rPr>
          <w:color w:val="000000"/>
        </w:rPr>
        <w:t>-</w:t>
      </w:r>
      <w:r w:rsidRPr="00B724F4" w:rsidR="00B724F4">
        <w:rPr>
          <w:color w:val="000000"/>
        </w:rPr>
        <w:t>09</w:t>
      </w:r>
      <w:r w:rsidR="00084666">
        <w:rPr>
          <w:color w:val="000000"/>
        </w:rPr>
        <w:t>-</w:t>
      </w:r>
      <w:r w:rsidRPr="00B724F4" w:rsidR="00B724F4">
        <w:rPr>
          <w:color w:val="000000"/>
        </w:rPr>
        <w:t>016</w:t>
      </w:r>
      <w:r w:rsidR="00E70045">
        <w:rPr>
          <w:color w:val="000000"/>
        </w:rPr>
        <w:t xml:space="preserve"> </w:t>
      </w:r>
      <w:r w:rsidRPr="0081103A" w:rsidR="00E70045">
        <w:rPr>
          <w:color w:val="000000"/>
        </w:rPr>
        <w:t>September 12, 2024</w:t>
      </w:r>
    </w:p>
    <w:p w:rsidRPr="007F620E" w:rsidR="00625B30" w:rsidP="00625B30" w:rsidRDefault="00625B30" w14:paraId="25D36F66" w14:textId="3C63CD11">
      <w:pPr>
        <w:suppressAutoHyphens/>
        <w:rPr>
          <w:color w:val="000000"/>
        </w:rPr>
      </w:pPr>
    </w:p>
    <w:p w:rsidRPr="007F620E" w:rsidR="003457F0" w:rsidP="00B724F4" w:rsidRDefault="003457F0" w14:paraId="6E19EDFC" w14:textId="77777777">
      <w:pPr>
        <w:pStyle w:val="titlebar"/>
        <w:jc w:val="left"/>
        <w:rPr>
          <w:rFonts w:ascii="Times New Roman" w:hAnsi="Times New Roman"/>
          <w:color w:val="000000"/>
          <w:sz w:val="24"/>
          <w:szCs w:val="24"/>
        </w:rPr>
      </w:pPr>
    </w:p>
    <w:p w:rsidRPr="0057088A" w:rsidR="00625B30" w:rsidP="00625B30" w:rsidRDefault="00625B30" w14:paraId="1481C028" w14:textId="77777777">
      <w:pPr>
        <w:pStyle w:val="titlebar"/>
        <w:rPr>
          <w:rFonts w:ascii="Arial" w:hAnsi="Arial"/>
          <w:color w:val="000000"/>
          <w:sz w:val="24"/>
          <w:szCs w:val="24"/>
        </w:rPr>
      </w:pPr>
      <w:r w:rsidRPr="0057088A">
        <w:rPr>
          <w:rFonts w:ascii="Arial" w:hAnsi="Arial"/>
          <w:color w:val="000000"/>
          <w:sz w:val="24"/>
          <w:szCs w:val="24"/>
        </w:rPr>
        <w:t>BEFORE THE PUBLIC UTILITIES COMMISSION OF THE STATE OF CALIFORNIA</w:t>
      </w:r>
    </w:p>
    <w:p w:rsidRPr="007F620E" w:rsidR="00625B30" w:rsidP="00625B30" w:rsidRDefault="00625B30" w14:paraId="50B58BC8" w14:textId="77777777">
      <w:pPr>
        <w:suppressAutoHyphens/>
        <w:rPr>
          <w:color w:val="000000"/>
        </w:rPr>
      </w:pPr>
    </w:p>
    <w:tbl>
      <w:tblPr>
        <w:tblW w:w="9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FFCC"/>
        <w:tblLayout w:type="fixed"/>
        <w:tblLook w:val="0000" w:firstRow="0" w:lastRow="0" w:firstColumn="0" w:lastColumn="0" w:noHBand="0" w:noVBand="0"/>
      </w:tblPr>
      <w:tblGrid>
        <w:gridCol w:w="6295"/>
        <w:gridCol w:w="3240"/>
      </w:tblGrid>
      <w:tr w:rsidRPr="007F620E" w:rsidR="00656D9C" w:rsidTr="002B7E1E" w14:paraId="3118FF93" w14:textId="77777777">
        <w:tc>
          <w:tcPr>
            <w:tcW w:w="6295" w:type="dxa"/>
            <w:shd w:val="clear" w:color="auto" w:fill="auto"/>
          </w:tcPr>
          <w:p w:rsidRPr="00BE4C33" w:rsidR="00BE4C33" w:rsidP="002B7E1E" w:rsidRDefault="001B5087" w14:paraId="7192D4D4" w14:textId="3D33EDC8">
            <w:pPr>
              <w:spacing w:before="120" w:after="120"/>
            </w:pPr>
            <w:r w:rsidRPr="001B5087">
              <w:t>Application of Pacific Gas and Electric Company for Recovery of Recorded Expenditures in Memorandum and Balancing Accounts Related to Wildfire and Gas Safety (U 39 M)</w:t>
            </w:r>
          </w:p>
        </w:tc>
        <w:tc>
          <w:tcPr>
            <w:tcW w:w="3240" w:type="dxa"/>
            <w:shd w:val="clear" w:color="auto" w:fill="auto"/>
            <w:vAlign w:val="center"/>
          </w:tcPr>
          <w:p w:rsidRPr="00850E6F" w:rsidR="00656D9C" w:rsidP="002B7E1E" w:rsidRDefault="00656D9C" w14:paraId="28FBCB65" w14:textId="76B062C0">
            <w:pPr>
              <w:tabs>
                <w:tab w:val="left" w:pos="1440"/>
                <w:tab w:val="left" w:pos="3600"/>
              </w:tabs>
              <w:spacing w:before="120"/>
              <w:jc w:val="center"/>
              <w:rPr>
                <w:color w:val="000000"/>
              </w:rPr>
            </w:pPr>
            <w:r w:rsidRPr="00850E6F">
              <w:rPr>
                <w:color w:val="000000"/>
              </w:rPr>
              <w:t>Application</w:t>
            </w:r>
            <w:r w:rsidR="00BE4C33">
              <w:rPr>
                <w:color w:val="000000"/>
              </w:rPr>
              <w:t> </w:t>
            </w:r>
            <w:r w:rsidRPr="00850E6F">
              <w:rPr>
                <w:color w:val="000000"/>
              </w:rPr>
              <w:t>2</w:t>
            </w:r>
            <w:r>
              <w:rPr>
                <w:color w:val="000000"/>
              </w:rPr>
              <w:t>3</w:t>
            </w:r>
            <w:r w:rsidR="00BE4C33">
              <w:rPr>
                <w:color w:val="000000"/>
              </w:rPr>
              <w:noBreakHyphen/>
            </w:r>
            <w:r>
              <w:rPr>
                <w:color w:val="000000"/>
              </w:rPr>
              <w:t>06</w:t>
            </w:r>
            <w:r w:rsidR="00BE4C33">
              <w:rPr>
                <w:color w:val="000000"/>
              </w:rPr>
              <w:noBreakHyphen/>
            </w:r>
            <w:r>
              <w:rPr>
                <w:color w:val="000000"/>
              </w:rPr>
              <w:t>008</w:t>
            </w:r>
          </w:p>
          <w:p w:rsidRPr="007F620E" w:rsidR="00656D9C" w:rsidP="002B7E1E" w:rsidRDefault="00656D9C" w14:paraId="5EB69743" w14:textId="6011ABDB">
            <w:pPr>
              <w:tabs>
                <w:tab w:val="left" w:pos="1440"/>
                <w:tab w:val="left" w:pos="3600"/>
              </w:tabs>
              <w:jc w:val="center"/>
              <w:rPr>
                <w:color w:val="000000"/>
              </w:rPr>
            </w:pPr>
            <w:r w:rsidRPr="00850E6F">
              <w:rPr>
                <w:color w:val="000000"/>
              </w:rPr>
              <w:t>(</w:t>
            </w:r>
            <w:bookmarkStart w:name="OLE_LINK1" w:id="0"/>
            <w:bookmarkStart w:name="OLE_LINK2" w:id="1"/>
            <w:r w:rsidRPr="00850E6F">
              <w:rPr>
                <w:color w:val="000000"/>
              </w:rPr>
              <w:t xml:space="preserve">Filed </w:t>
            </w:r>
            <w:bookmarkEnd w:id="0"/>
            <w:bookmarkEnd w:id="1"/>
            <w:r>
              <w:rPr>
                <w:color w:val="000000"/>
              </w:rPr>
              <w:t>June</w:t>
            </w:r>
            <w:r w:rsidR="00BE4C33">
              <w:rPr>
                <w:color w:val="000000"/>
              </w:rPr>
              <w:t> </w:t>
            </w:r>
            <w:r>
              <w:rPr>
                <w:color w:val="000000"/>
              </w:rPr>
              <w:t>15,</w:t>
            </w:r>
            <w:r w:rsidR="00BE4C33">
              <w:rPr>
                <w:color w:val="000000"/>
              </w:rPr>
              <w:t> </w:t>
            </w:r>
            <w:r w:rsidR="00FC3C97">
              <w:rPr>
                <w:color w:val="000000"/>
              </w:rPr>
              <w:t>2023</w:t>
            </w:r>
            <w:r w:rsidRPr="00850E6F">
              <w:rPr>
                <w:color w:val="000000"/>
              </w:rPr>
              <w:t>)</w:t>
            </w:r>
          </w:p>
          <w:p w:rsidRPr="007F620E" w:rsidR="00656D9C" w:rsidP="002B7E1E" w:rsidRDefault="00656D9C" w14:paraId="1DD5E0AD" w14:textId="77777777">
            <w:pPr>
              <w:jc w:val="center"/>
              <w:rPr>
                <w:color w:val="000000"/>
              </w:rPr>
            </w:pPr>
          </w:p>
        </w:tc>
      </w:tr>
    </w:tbl>
    <w:p w:rsidRPr="007F620E" w:rsidR="003457F0" w:rsidP="00625B30" w:rsidRDefault="003457F0" w14:paraId="12A766EB" w14:textId="77777777">
      <w:pPr>
        <w:jc w:val="center"/>
        <w:rPr>
          <w:b/>
          <w:color w:val="000000"/>
        </w:rPr>
      </w:pPr>
    </w:p>
    <w:p w:rsidR="006921C9" w:rsidP="006921C9" w:rsidRDefault="006921C9" w14:paraId="5CE5BA63" w14:textId="54B7EAF4">
      <w:pPr>
        <w:jc w:val="center"/>
        <w:rPr>
          <w:rStyle w:val="normaltextrun"/>
          <w:b/>
          <w:bCs/>
          <w:color w:val="000000"/>
          <w:shd w:val="clear" w:color="auto" w:fill="FFFFFF"/>
        </w:rPr>
      </w:pPr>
      <w:r>
        <w:rPr>
          <w:rStyle w:val="normaltextrun"/>
          <w:b/>
          <w:bCs/>
          <w:color w:val="000000"/>
          <w:shd w:val="clear" w:color="auto" w:fill="FFFFFF"/>
        </w:rPr>
        <w:t xml:space="preserve">DECISION GRANTING COMPENSATION TO </w:t>
      </w:r>
      <w:r w:rsidR="00D45397">
        <w:rPr>
          <w:rStyle w:val="normaltextrun"/>
          <w:b/>
          <w:bCs/>
          <w:color w:val="000000"/>
          <w:shd w:val="clear" w:color="auto" w:fill="FFFFFF"/>
        </w:rPr>
        <w:t xml:space="preserve">THE UTILITY REFORM NETWORK </w:t>
      </w:r>
      <w:r>
        <w:rPr>
          <w:rStyle w:val="normaltextrun"/>
          <w:b/>
          <w:bCs/>
          <w:color w:val="000000"/>
          <w:shd w:val="clear" w:color="auto" w:fill="FFFFFF"/>
        </w:rPr>
        <w:t xml:space="preserve">FOR SUBSTANTIAL CONTRIBUTION </w:t>
      </w:r>
      <w:r w:rsidRPr="005F515B">
        <w:rPr>
          <w:rStyle w:val="normaltextrun"/>
          <w:b/>
          <w:bCs/>
          <w:color w:val="000000"/>
          <w:shd w:val="clear" w:color="auto" w:fill="FFFFFF"/>
        </w:rPr>
        <w:t xml:space="preserve">TO </w:t>
      </w:r>
      <w:r w:rsidRPr="005F515B">
        <w:rPr>
          <w:rStyle w:val="normaltextrun"/>
          <w:b/>
          <w:color w:val="000000"/>
          <w:shd w:val="clear" w:color="auto" w:fill="FFFFFF"/>
        </w:rPr>
        <w:t xml:space="preserve">DECISION </w:t>
      </w:r>
      <w:r w:rsidR="00CC1244">
        <w:rPr>
          <w:rStyle w:val="normaltextrun"/>
          <w:b/>
          <w:color w:val="000000"/>
          <w:shd w:val="clear" w:color="auto" w:fill="FFFFFF"/>
        </w:rPr>
        <w:t>24-03-006</w:t>
      </w:r>
    </w:p>
    <w:p w:rsidRPr="007F620E" w:rsidR="00625B30" w:rsidP="00625B30" w:rsidRDefault="00625B30" w14:paraId="1D4406A6" w14:textId="77777777">
      <w:pPr>
        <w:suppressAutoHyphens/>
        <w:rPr>
          <w:color w:val="000000"/>
        </w:rPr>
      </w:pPr>
    </w:p>
    <w:tbl>
      <w:tblPr>
        <w:tblW w:w="9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5215"/>
        <w:gridCol w:w="4320"/>
      </w:tblGrid>
      <w:tr w:rsidRPr="007F620E" w:rsidR="00625B30" w:rsidTr="00470C55" w14:paraId="0E272B2D" w14:textId="77777777">
        <w:tc>
          <w:tcPr>
            <w:tcW w:w="5215" w:type="dxa"/>
            <w:shd w:val="clear" w:color="auto" w:fill="auto"/>
          </w:tcPr>
          <w:p w:rsidRPr="00691528" w:rsidR="00625B30" w:rsidP="0036244B" w:rsidRDefault="00625B30" w14:paraId="55BFC873" w14:textId="7D095513">
            <w:pPr>
              <w:tabs>
                <w:tab w:val="left" w:pos="1620"/>
                <w:tab w:val="right" w:pos="4500"/>
              </w:tabs>
              <w:rPr>
                <w:color w:val="000000"/>
              </w:rPr>
            </w:pPr>
            <w:r w:rsidRPr="007F620E">
              <w:rPr>
                <w:b/>
                <w:color w:val="000000"/>
              </w:rPr>
              <w:t>Intervenor:</w:t>
            </w:r>
            <w:r w:rsidR="00BE4C33">
              <w:rPr>
                <w:b/>
                <w:color w:val="000000"/>
              </w:rPr>
              <w:t xml:space="preserve">  </w:t>
            </w:r>
            <w:r>
              <w:rPr>
                <w:bCs/>
                <w:color w:val="000000"/>
              </w:rPr>
              <w:t>The Utility Reform Network (TURN)</w:t>
            </w:r>
          </w:p>
        </w:tc>
        <w:tc>
          <w:tcPr>
            <w:tcW w:w="4320" w:type="dxa"/>
            <w:shd w:val="clear" w:color="auto" w:fill="auto"/>
          </w:tcPr>
          <w:p w:rsidRPr="007F620E" w:rsidR="00625B30" w:rsidP="0036244B" w:rsidRDefault="00625B30" w14:paraId="3979BBD2" w14:textId="4A8DF616">
            <w:pPr>
              <w:tabs>
                <w:tab w:val="left" w:pos="1872"/>
                <w:tab w:val="right" w:pos="3672"/>
              </w:tabs>
              <w:rPr>
                <w:b/>
                <w:color w:val="000000"/>
              </w:rPr>
            </w:pPr>
            <w:r w:rsidRPr="007F620E">
              <w:rPr>
                <w:b/>
                <w:color w:val="000000"/>
              </w:rPr>
              <w:t xml:space="preserve">For contribution to </w:t>
            </w:r>
            <w:r w:rsidR="00FC3C97">
              <w:rPr>
                <w:b/>
                <w:color w:val="000000"/>
              </w:rPr>
              <w:t>Decision</w:t>
            </w:r>
            <w:r w:rsidR="00BE4C33">
              <w:rPr>
                <w:b/>
                <w:color w:val="000000"/>
              </w:rPr>
              <w:t> </w:t>
            </w:r>
            <w:r w:rsidR="00FC3C97">
              <w:rPr>
                <w:bCs/>
                <w:color w:val="000000"/>
              </w:rPr>
              <w:t>24</w:t>
            </w:r>
            <w:r w:rsidR="00BE4C33">
              <w:rPr>
                <w:bCs/>
                <w:color w:val="000000"/>
              </w:rPr>
              <w:noBreakHyphen/>
            </w:r>
            <w:r w:rsidR="00FC3C97">
              <w:rPr>
                <w:bCs/>
                <w:color w:val="000000"/>
              </w:rPr>
              <w:t>03</w:t>
            </w:r>
            <w:r w:rsidR="00BE4C33">
              <w:rPr>
                <w:bCs/>
                <w:color w:val="000000"/>
              </w:rPr>
              <w:noBreakHyphen/>
            </w:r>
            <w:r w:rsidR="00FC3C97">
              <w:rPr>
                <w:bCs/>
                <w:color w:val="000000"/>
              </w:rPr>
              <w:t>006</w:t>
            </w:r>
          </w:p>
        </w:tc>
      </w:tr>
      <w:tr w:rsidRPr="007F620E" w:rsidR="00625B30" w:rsidTr="00470C55" w14:paraId="3BAE7DD6" w14:textId="77777777">
        <w:tc>
          <w:tcPr>
            <w:tcW w:w="5215" w:type="dxa"/>
            <w:shd w:val="clear" w:color="auto" w:fill="auto"/>
          </w:tcPr>
          <w:p w:rsidRPr="002A4432" w:rsidR="00625B30" w:rsidP="0036244B" w:rsidRDefault="00625B30" w14:paraId="0FB0268E" w14:textId="2D502F66">
            <w:pPr>
              <w:tabs>
                <w:tab w:val="left" w:pos="1620"/>
                <w:tab w:val="right" w:pos="4500"/>
              </w:tabs>
              <w:rPr>
                <w:b/>
                <w:color w:val="000000"/>
              </w:rPr>
            </w:pPr>
            <w:r w:rsidRPr="007F620E">
              <w:rPr>
                <w:b/>
                <w:color w:val="000000"/>
              </w:rPr>
              <w:t>Claimed</w:t>
            </w:r>
            <w:r w:rsidRPr="00A03087">
              <w:rPr>
                <w:b/>
                <w:color w:val="000000"/>
              </w:rPr>
              <w:t xml:space="preserve">:  </w:t>
            </w:r>
            <w:r w:rsidRPr="00050176">
              <w:rPr>
                <w:bCs/>
                <w:color w:val="000000"/>
              </w:rPr>
              <w:t>$</w:t>
            </w:r>
            <w:r w:rsidRPr="00050176" w:rsidR="00660170">
              <w:rPr>
                <w:bCs/>
                <w:color w:val="000000"/>
              </w:rPr>
              <w:t>53,766.25</w:t>
            </w:r>
          </w:p>
        </w:tc>
        <w:tc>
          <w:tcPr>
            <w:tcW w:w="4320" w:type="dxa"/>
            <w:tcBorders>
              <w:bottom w:val="single" w:color="auto" w:sz="4" w:space="0"/>
            </w:tcBorders>
            <w:shd w:val="clear" w:color="auto" w:fill="auto"/>
          </w:tcPr>
          <w:p w:rsidRPr="007F620E" w:rsidR="00625B30" w:rsidP="0036244B" w:rsidRDefault="00625B30" w14:paraId="73C3DAD1" w14:textId="75C2BD9F">
            <w:pPr>
              <w:tabs>
                <w:tab w:val="left" w:pos="1872"/>
                <w:tab w:val="right" w:pos="3672"/>
              </w:tabs>
              <w:rPr>
                <w:b/>
                <w:color w:val="000000"/>
                <w:u w:val="single"/>
              </w:rPr>
            </w:pPr>
            <w:r w:rsidRPr="007F620E">
              <w:rPr>
                <w:b/>
                <w:color w:val="000000"/>
              </w:rPr>
              <w:t>Awarded:</w:t>
            </w:r>
            <w:r w:rsidR="00BE4C33">
              <w:rPr>
                <w:b/>
                <w:color w:val="000000"/>
              </w:rPr>
              <w:t xml:space="preserve">  </w:t>
            </w:r>
            <w:r w:rsidRPr="00050176" w:rsidR="00050176">
              <w:rPr>
                <w:bCs/>
                <w:iCs/>
                <w:color w:val="000000"/>
              </w:rPr>
              <w:t>$</w:t>
            </w:r>
            <w:r w:rsidRPr="00B351AF" w:rsidR="00A93E41">
              <w:rPr>
                <w:bCs/>
                <w:iCs/>
                <w:color w:val="000000"/>
              </w:rPr>
              <w:t>53,166.25</w:t>
            </w:r>
          </w:p>
        </w:tc>
      </w:tr>
      <w:tr w:rsidRPr="007F620E" w:rsidR="00625B30" w:rsidTr="00470C55" w14:paraId="243EB11B" w14:textId="77777777">
        <w:tc>
          <w:tcPr>
            <w:tcW w:w="5215" w:type="dxa"/>
            <w:shd w:val="clear" w:color="auto" w:fill="auto"/>
          </w:tcPr>
          <w:p w:rsidRPr="00691528" w:rsidR="00625B30" w:rsidP="0036244B" w:rsidRDefault="00625B30" w14:paraId="301E429A" w14:textId="4E56D351">
            <w:pPr>
              <w:tabs>
                <w:tab w:val="left" w:pos="3060"/>
                <w:tab w:val="right" w:pos="4500"/>
              </w:tabs>
              <w:rPr>
                <w:color w:val="000000"/>
                <w:u w:val="single"/>
              </w:rPr>
            </w:pPr>
            <w:r w:rsidRPr="007F620E">
              <w:rPr>
                <w:b/>
                <w:color w:val="000000"/>
              </w:rPr>
              <w:t>Assigned Commissioner:</w:t>
            </w:r>
            <w:r w:rsidR="00BE4C33">
              <w:rPr>
                <w:b/>
                <w:color w:val="000000"/>
              </w:rPr>
              <w:t xml:space="preserve">  </w:t>
            </w:r>
            <w:r w:rsidRPr="004A3FED" w:rsidR="00FC3C97">
              <w:rPr>
                <w:color w:val="000000"/>
              </w:rPr>
              <w:t>John</w:t>
            </w:r>
            <w:r w:rsidR="00BE4C33">
              <w:rPr>
                <w:color w:val="000000"/>
              </w:rPr>
              <w:t> </w:t>
            </w:r>
            <w:r w:rsidRPr="004A3FED" w:rsidR="00FC3C97">
              <w:rPr>
                <w:color w:val="000000"/>
              </w:rPr>
              <w:t>Reynolds</w:t>
            </w:r>
          </w:p>
        </w:tc>
        <w:tc>
          <w:tcPr>
            <w:tcW w:w="4320" w:type="dxa"/>
            <w:shd w:val="clear" w:color="auto" w:fill="auto"/>
          </w:tcPr>
          <w:p w:rsidRPr="00691528" w:rsidR="00625B30" w:rsidP="0036244B" w:rsidRDefault="00625B30" w14:paraId="13EDC8D8" w14:textId="4502DBC5">
            <w:pPr>
              <w:tabs>
                <w:tab w:val="left" w:pos="1872"/>
                <w:tab w:val="right" w:pos="3672"/>
              </w:tabs>
              <w:rPr>
                <w:color w:val="000000"/>
                <w:u w:val="single"/>
              </w:rPr>
            </w:pPr>
            <w:r w:rsidRPr="007F620E">
              <w:rPr>
                <w:b/>
                <w:color w:val="000000"/>
              </w:rPr>
              <w:t>Assigned ALJ:</w:t>
            </w:r>
            <w:r w:rsidR="00BE4C33">
              <w:rPr>
                <w:b/>
                <w:color w:val="000000"/>
              </w:rPr>
              <w:t xml:space="preserve">  </w:t>
            </w:r>
            <w:r w:rsidRPr="004A3FED" w:rsidR="00FC3C97">
              <w:rPr>
                <w:color w:val="000000"/>
              </w:rPr>
              <w:t>Camille</w:t>
            </w:r>
            <w:r w:rsidR="00BE4C33">
              <w:rPr>
                <w:color w:val="000000"/>
              </w:rPr>
              <w:t> </w:t>
            </w:r>
            <w:r w:rsidRPr="004A3FED" w:rsidR="00FC3C97">
              <w:rPr>
                <w:color w:val="000000"/>
              </w:rPr>
              <w:t>Watts</w:t>
            </w:r>
            <w:r w:rsidR="00BE4C33">
              <w:rPr>
                <w:color w:val="000000"/>
              </w:rPr>
              <w:noBreakHyphen/>
            </w:r>
            <w:r w:rsidRPr="004A3FED" w:rsidR="00FC3C97">
              <w:rPr>
                <w:color w:val="000000"/>
              </w:rPr>
              <w:t>Zagha</w:t>
            </w:r>
          </w:p>
        </w:tc>
      </w:tr>
    </w:tbl>
    <w:p w:rsidR="00AE5191" w:rsidP="00AE5191" w:rsidRDefault="00AE5191" w14:paraId="5E9485B5" w14:textId="77777777">
      <w:pPr>
        <w:keepNext/>
        <w:spacing w:before="120" w:after="120"/>
        <w:jc w:val="center"/>
        <w:rPr>
          <w:b/>
          <w:color w:val="000000"/>
        </w:rPr>
      </w:pPr>
    </w:p>
    <w:p w:rsidR="00625B30" w:rsidP="00AE5191" w:rsidRDefault="00625B30" w14:paraId="2B9B63D7" w14:textId="5BC2E33D">
      <w:pPr>
        <w:keepNext/>
        <w:spacing w:before="120" w:after="120"/>
        <w:jc w:val="center"/>
        <w:rPr>
          <w:b/>
          <w:color w:val="000000"/>
        </w:rPr>
      </w:pPr>
      <w:r w:rsidRPr="007F620E">
        <w:rPr>
          <w:b/>
          <w:color w:val="000000"/>
        </w:rPr>
        <w:t>PART I:</w:t>
      </w:r>
      <w:r>
        <w:rPr>
          <w:b/>
          <w:color w:val="000000"/>
        </w:rPr>
        <w:t xml:space="preserve">  </w:t>
      </w:r>
      <w:r w:rsidRPr="007F620E">
        <w:rPr>
          <w:b/>
          <w:color w:val="000000"/>
        </w:rPr>
        <w:t>PROCEDURAL ISSUES</w:t>
      </w:r>
    </w:p>
    <w:p w:rsidRPr="00AE5191" w:rsidR="00AE5191" w:rsidP="00AE5191" w:rsidRDefault="00AE5191" w14:paraId="3773CC05" w14:textId="06BE53FB">
      <w:pPr>
        <w:pStyle w:val="ListParagraph"/>
        <w:keepNext/>
        <w:numPr>
          <w:ilvl w:val="0"/>
          <w:numId w:val="11"/>
        </w:numPr>
        <w:spacing w:after="120"/>
        <w:rPr>
          <w:b/>
          <w:color w:val="000000"/>
        </w:rPr>
      </w:pPr>
      <w:r w:rsidRPr="00AE5191">
        <w:rPr>
          <w:b/>
          <w:color w:val="000000"/>
        </w:rPr>
        <w:t>Brief description of Decision:</w:t>
      </w:r>
    </w:p>
    <w:p w:rsidRPr="00AE5191" w:rsidR="00625B30" w:rsidP="00AE5191" w:rsidRDefault="00AE5191" w14:paraId="3074DED3" w14:textId="0CF8226E">
      <w:pPr>
        <w:keepNext/>
        <w:spacing w:after="120"/>
        <w:rPr>
          <w:b/>
          <w:color w:val="000000"/>
        </w:rPr>
      </w:pPr>
      <w:r>
        <w:rPr>
          <w:color w:val="000000"/>
        </w:rPr>
        <w:t>D.24</w:t>
      </w:r>
      <w:r>
        <w:rPr>
          <w:color w:val="000000"/>
        </w:rPr>
        <w:noBreakHyphen/>
        <w:t>03</w:t>
      </w:r>
      <w:r>
        <w:rPr>
          <w:color w:val="000000"/>
        </w:rPr>
        <w:noBreakHyphen/>
        <w:t xml:space="preserve">006 </w:t>
      </w:r>
      <w:r w:rsidRPr="0020057D">
        <w:rPr>
          <w:color w:val="000000"/>
        </w:rPr>
        <w:t>grants the request of Pacific Gas and Electric Company</w:t>
      </w:r>
      <w:r>
        <w:rPr>
          <w:color w:val="000000"/>
        </w:rPr>
        <w:t xml:space="preserve"> </w:t>
      </w:r>
      <w:r w:rsidRPr="0020057D">
        <w:rPr>
          <w:color w:val="000000"/>
        </w:rPr>
        <w:t>(PG&amp;E) for interim rate relief, pending a final decision on what permanent cost</w:t>
      </w:r>
      <w:r>
        <w:rPr>
          <w:color w:val="000000"/>
        </w:rPr>
        <w:t xml:space="preserve"> </w:t>
      </w:r>
      <w:r w:rsidRPr="0020057D">
        <w:rPr>
          <w:color w:val="000000"/>
        </w:rPr>
        <w:t>increase, if any, is reasonable based on the evidence. PG&amp;E is authorized to</w:t>
      </w:r>
      <w:r>
        <w:rPr>
          <w:color w:val="000000"/>
        </w:rPr>
        <w:t xml:space="preserve"> </w:t>
      </w:r>
      <w:r w:rsidRPr="0020057D">
        <w:rPr>
          <w:color w:val="000000"/>
        </w:rPr>
        <w:t>recover a maximum of $516</w:t>
      </w:r>
      <w:r>
        <w:rPr>
          <w:color w:val="000000"/>
        </w:rPr>
        <w:t> </w:t>
      </w:r>
      <w:r w:rsidRPr="0020057D">
        <w:rPr>
          <w:color w:val="000000"/>
        </w:rPr>
        <w:t>million (75</w:t>
      </w:r>
      <w:r>
        <w:rPr>
          <w:color w:val="000000"/>
        </w:rPr>
        <w:t> </w:t>
      </w:r>
      <w:r w:rsidRPr="0020057D">
        <w:rPr>
          <w:color w:val="000000"/>
        </w:rPr>
        <w:t>percent of PG&amp;E’s total request of $688</w:t>
      </w:r>
      <w:r>
        <w:rPr>
          <w:color w:val="000000"/>
        </w:rPr>
        <w:t> </w:t>
      </w:r>
      <w:r w:rsidRPr="0020057D">
        <w:rPr>
          <w:color w:val="000000"/>
        </w:rPr>
        <w:t>million) in interim rates</w:t>
      </w:r>
      <w:r>
        <w:rPr>
          <w:color w:val="000000"/>
        </w:rPr>
        <w:t>.</w:t>
      </w:r>
    </w:p>
    <w:p w:rsidRPr="007F620E" w:rsidR="00625B30" w:rsidP="00625B30" w:rsidRDefault="00625B30" w14:paraId="6916740E" w14:textId="6C3BD02C">
      <w:pPr>
        <w:keepNext/>
        <w:numPr>
          <w:ilvl w:val="0"/>
          <w:numId w:val="1"/>
        </w:numPr>
        <w:spacing w:before="240" w:after="240"/>
        <w:rPr>
          <w:b/>
          <w:color w:val="000000"/>
        </w:rPr>
      </w:pPr>
      <w:r w:rsidRPr="007F620E">
        <w:rPr>
          <w:b/>
          <w:color w:val="000000"/>
        </w:rPr>
        <w:t>Intervenor must satisfy intervenor compensation requirements set forth in Pub.</w:t>
      </w:r>
      <w:r w:rsidR="003457F0">
        <w:rPr>
          <w:b/>
          <w:color w:val="000000"/>
        </w:rPr>
        <w:t> </w:t>
      </w:r>
      <w:r w:rsidRPr="007F620E">
        <w:rPr>
          <w:b/>
          <w:color w:val="000000"/>
        </w:rPr>
        <w:t>Util.</w:t>
      </w:r>
      <w:r w:rsidR="003457F0">
        <w:rPr>
          <w:b/>
          <w:color w:val="000000"/>
        </w:rPr>
        <w:t> </w:t>
      </w:r>
      <w:r w:rsidRPr="007F620E">
        <w:rPr>
          <w:b/>
          <w:color w:val="000000"/>
        </w:rPr>
        <w:t>Code</w:t>
      </w:r>
      <w:r w:rsidR="003457F0">
        <w:rPr>
          <w:b/>
          <w:color w:val="000000"/>
        </w:rPr>
        <w:t> </w:t>
      </w:r>
      <w:r w:rsidRPr="007F620E">
        <w:rPr>
          <w:b/>
          <w:color w:val="000000"/>
        </w:rPr>
        <w:t>§§801</w:t>
      </w:r>
      <w:r w:rsidR="003457F0">
        <w:rPr>
          <w:b/>
          <w:color w:val="000000"/>
        </w:rPr>
        <w:noBreakHyphen/>
      </w:r>
      <w:r w:rsidRPr="007F620E">
        <w:rPr>
          <w:b/>
          <w:color w:val="000000"/>
        </w:rPr>
        <w:t>1812</w:t>
      </w:r>
      <w:r>
        <w:rPr>
          <w:rStyle w:val="FootnoteReference"/>
          <w:rFonts w:eastAsiaTheme="majorEastAsia"/>
          <w:b/>
          <w:color w:val="000000"/>
        </w:rPr>
        <w:footnoteReference w:id="2"/>
      </w:r>
      <w:r w:rsidRPr="007F620E">
        <w:rPr>
          <w:b/>
          <w:color w:val="000000"/>
        </w:rPr>
        <w:t>:</w:t>
      </w:r>
    </w:p>
    <w:tbl>
      <w:tblPr>
        <w:tblpPr w:leftFromText="187" w:rightFromText="187" w:vertAnchor="text" w:tblpY="1"/>
        <w:tblOverlap w:val="never"/>
        <w:tblW w:w="9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6025"/>
        <w:gridCol w:w="1890"/>
        <w:gridCol w:w="1620"/>
      </w:tblGrid>
      <w:tr w:rsidRPr="007F620E" w:rsidR="00625B30" w:rsidTr="00470C55" w14:paraId="399A957E" w14:textId="77777777">
        <w:trPr>
          <w:tblHeader/>
        </w:trPr>
        <w:tc>
          <w:tcPr>
            <w:tcW w:w="6025" w:type="dxa"/>
            <w:tcBorders>
              <w:bottom w:val="single" w:color="auto" w:sz="4" w:space="0"/>
            </w:tcBorders>
            <w:shd w:val="clear" w:color="auto" w:fill="auto"/>
          </w:tcPr>
          <w:p w:rsidRPr="007F620E" w:rsidR="00625B30" w:rsidP="00ED55FC" w:rsidRDefault="00625B30" w14:paraId="1D6F2E4E" w14:textId="77777777">
            <w:pPr>
              <w:tabs>
                <w:tab w:val="left" w:pos="360"/>
              </w:tabs>
              <w:jc w:val="center"/>
              <w:rPr>
                <w:color w:val="000000"/>
              </w:rPr>
            </w:pPr>
          </w:p>
        </w:tc>
        <w:tc>
          <w:tcPr>
            <w:tcW w:w="1890" w:type="dxa"/>
            <w:tcBorders>
              <w:bottom w:val="single" w:color="auto" w:sz="4" w:space="0"/>
            </w:tcBorders>
            <w:shd w:val="clear" w:color="auto" w:fill="auto"/>
          </w:tcPr>
          <w:p w:rsidRPr="007F620E" w:rsidR="00625B30" w:rsidP="00ED55FC" w:rsidRDefault="00625B30" w14:paraId="4D502B6B" w14:textId="77777777">
            <w:pPr>
              <w:tabs>
                <w:tab w:val="left" w:pos="360"/>
              </w:tabs>
              <w:jc w:val="center"/>
              <w:rPr>
                <w:b/>
                <w:color w:val="000000"/>
              </w:rPr>
            </w:pPr>
            <w:r w:rsidRPr="007F620E">
              <w:rPr>
                <w:b/>
                <w:color w:val="000000"/>
              </w:rPr>
              <w:t>Intervenor</w:t>
            </w:r>
          </w:p>
        </w:tc>
        <w:tc>
          <w:tcPr>
            <w:tcW w:w="1620" w:type="dxa"/>
            <w:tcBorders>
              <w:bottom w:val="single" w:color="auto" w:sz="4" w:space="0"/>
            </w:tcBorders>
            <w:shd w:val="clear" w:color="auto" w:fill="auto"/>
          </w:tcPr>
          <w:p w:rsidRPr="007F620E" w:rsidR="00625B30" w:rsidP="00ED55FC" w:rsidRDefault="00625B30" w14:paraId="179E93D8" w14:textId="77777777">
            <w:pPr>
              <w:tabs>
                <w:tab w:val="left" w:pos="360"/>
              </w:tabs>
              <w:jc w:val="center"/>
              <w:rPr>
                <w:b/>
                <w:color w:val="000000"/>
              </w:rPr>
            </w:pPr>
            <w:r w:rsidRPr="007F620E">
              <w:rPr>
                <w:b/>
                <w:color w:val="000000"/>
              </w:rPr>
              <w:t xml:space="preserve">CPUC </w:t>
            </w:r>
            <w:r>
              <w:rPr>
                <w:b/>
                <w:color w:val="000000"/>
              </w:rPr>
              <w:t>Verification</w:t>
            </w:r>
          </w:p>
        </w:tc>
      </w:tr>
      <w:tr w:rsidRPr="007F620E" w:rsidR="00625B30" w:rsidTr="00470C55" w14:paraId="30C1C53A" w14:textId="77777777">
        <w:tc>
          <w:tcPr>
            <w:tcW w:w="9535"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F620E" w:rsidR="00625B30" w:rsidP="00ED55FC" w:rsidRDefault="00625B30" w14:paraId="7A65DC4F" w14:textId="3A2E7243">
            <w:pPr>
              <w:keepNext/>
              <w:tabs>
                <w:tab w:val="left" w:pos="360"/>
              </w:tabs>
              <w:jc w:val="center"/>
              <w:rPr>
                <w:b/>
              </w:rPr>
            </w:pPr>
            <w:r w:rsidRPr="007F620E">
              <w:rPr>
                <w:b/>
              </w:rPr>
              <w:t>Timely filing of notice of intent to claim compensation (NOI) (§1804(a)):</w:t>
            </w:r>
          </w:p>
        </w:tc>
      </w:tr>
      <w:tr w:rsidRPr="007F620E" w:rsidR="00625B30" w:rsidTr="00470C55" w14:paraId="29C972CE" w14:textId="77777777">
        <w:tc>
          <w:tcPr>
            <w:tcW w:w="6025" w:type="dxa"/>
            <w:tcBorders>
              <w:top w:val="single" w:color="auto" w:sz="4" w:space="0"/>
            </w:tcBorders>
            <w:shd w:val="clear" w:color="auto" w:fill="auto"/>
          </w:tcPr>
          <w:p w:rsidRPr="007F620E" w:rsidR="00625B30" w:rsidP="00ED55FC" w:rsidRDefault="00625B30" w14:paraId="14B80595" w14:textId="77777777">
            <w:pPr>
              <w:keepNext/>
              <w:tabs>
                <w:tab w:val="left" w:pos="360"/>
              </w:tabs>
              <w:ind w:left="360" w:hanging="360"/>
              <w:rPr>
                <w:color w:val="000000"/>
              </w:rPr>
            </w:pPr>
            <w:r w:rsidRPr="007F620E">
              <w:rPr>
                <w:color w:val="000000"/>
              </w:rPr>
              <w:t>1.</w:t>
            </w:r>
            <w:r>
              <w:rPr>
                <w:color w:val="000000"/>
              </w:rPr>
              <w:tab/>
            </w:r>
            <w:r w:rsidRPr="007F620E">
              <w:rPr>
                <w:color w:val="000000"/>
              </w:rPr>
              <w:t>Date of Prehearing Conference:</w:t>
            </w:r>
          </w:p>
        </w:tc>
        <w:tc>
          <w:tcPr>
            <w:tcW w:w="1890" w:type="dxa"/>
            <w:tcBorders>
              <w:top w:val="single" w:color="auto" w:sz="4" w:space="0"/>
            </w:tcBorders>
            <w:shd w:val="clear" w:color="auto" w:fill="auto"/>
          </w:tcPr>
          <w:p w:rsidRPr="007F620E" w:rsidR="00625B30" w:rsidP="00470C55" w:rsidRDefault="0092189A" w14:paraId="72BAF1DA" w14:textId="5A62D0F1">
            <w:pPr>
              <w:keepNext/>
              <w:keepLines/>
              <w:tabs>
                <w:tab w:val="left" w:pos="360"/>
              </w:tabs>
              <w:ind w:left="360" w:hanging="360"/>
              <w:jc w:val="center"/>
              <w:rPr>
                <w:color w:val="000000"/>
              </w:rPr>
            </w:pPr>
            <w:r>
              <w:rPr>
                <w:color w:val="000000"/>
              </w:rPr>
              <w:t>9/1/</w:t>
            </w:r>
            <w:r w:rsidR="00470C55">
              <w:rPr>
                <w:color w:val="000000"/>
              </w:rPr>
              <w:t>20</w:t>
            </w:r>
            <w:r>
              <w:rPr>
                <w:color w:val="000000"/>
              </w:rPr>
              <w:t>23</w:t>
            </w:r>
          </w:p>
        </w:tc>
        <w:tc>
          <w:tcPr>
            <w:tcW w:w="1620" w:type="dxa"/>
            <w:tcBorders>
              <w:top w:val="single" w:color="auto" w:sz="4" w:space="0"/>
            </w:tcBorders>
            <w:shd w:val="clear" w:color="auto" w:fill="auto"/>
          </w:tcPr>
          <w:p w:rsidRPr="007F620E" w:rsidR="00625B30" w:rsidP="00470C55" w:rsidRDefault="007A68B0" w14:paraId="08DD3867" w14:textId="67045600">
            <w:pPr>
              <w:keepNext/>
              <w:tabs>
                <w:tab w:val="left" w:pos="360"/>
              </w:tabs>
              <w:jc w:val="center"/>
              <w:rPr>
                <w:color w:val="000000"/>
              </w:rPr>
            </w:pPr>
            <w:r>
              <w:rPr>
                <w:color w:val="000000"/>
              </w:rPr>
              <w:t>Verified</w:t>
            </w:r>
          </w:p>
        </w:tc>
      </w:tr>
      <w:tr w:rsidRPr="007F620E" w:rsidR="00625B30" w:rsidTr="00470C55" w14:paraId="4988EACE" w14:textId="77777777">
        <w:tc>
          <w:tcPr>
            <w:tcW w:w="6025" w:type="dxa"/>
            <w:shd w:val="clear" w:color="auto" w:fill="auto"/>
          </w:tcPr>
          <w:p w:rsidRPr="007F620E" w:rsidR="00625B30" w:rsidP="00ED55FC" w:rsidRDefault="00625B30" w14:paraId="304602D5" w14:textId="77777777">
            <w:pPr>
              <w:tabs>
                <w:tab w:val="left" w:pos="360"/>
              </w:tabs>
              <w:ind w:left="360" w:hanging="360"/>
              <w:rPr>
                <w:color w:val="000000"/>
              </w:rPr>
            </w:pPr>
            <w:r w:rsidRPr="007F620E">
              <w:rPr>
                <w:color w:val="000000"/>
              </w:rPr>
              <w:t>2.</w:t>
            </w:r>
            <w:r>
              <w:rPr>
                <w:color w:val="000000"/>
              </w:rPr>
              <w:tab/>
            </w:r>
            <w:r w:rsidRPr="007F620E">
              <w:rPr>
                <w:color w:val="000000"/>
              </w:rPr>
              <w:t>Other specified date for NOI:</w:t>
            </w:r>
          </w:p>
        </w:tc>
        <w:tc>
          <w:tcPr>
            <w:tcW w:w="1890" w:type="dxa"/>
            <w:shd w:val="clear" w:color="auto" w:fill="auto"/>
          </w:tcPr>
          <w:p w:rsidRPr="007F620E" w:rsidR="00625B30" w:rsidP="00470C55" w:rsidRDefault="00625B30" w14:paraId="08E76F7D" w14:textId="77777777">
            <w:pPr>
              <w:keepNext/>
              <w:keepLines/>
              <w:tabs>
                <w:tab w:val="left" w:pos="360"/>
              </w:tabs>
              <w:ind w:left="360" w:hanging="360"/>
              <w:jc w:val="center"/>
              <w:rPr>
                <w:color w:val="000000"/>
              </w:rPr>
            </w:pPr>
            <w:r>
              <w:rPr>
                <w:color w:val="000000"/>
              </w:rPr>
              <w:t>N/A</w:t>
            </w:r>
          </w:p>
        </w:tc>
        <w:tc>
          <w:tcPr>
            <w:tcW w:w="1620" w:type="dxa"/>
            <w:shd w:val="clear" w:color="auto" w:fill="auto"/>
          </w:tcPr>
          <w:p w:rsidRPr="007F620E" w:rsidR="00625B30" w:rsidP="00470C55" w:rsidRDefault="00625B30" w14:paraId="31ACB42D" w14:textId="77777777">
            <w:pPr>
              <w:tabs>
                <w:tab w:val="left" w:pos="360"/>
              </w:tabs>
              <w:jc w:val="center"/>
              <w:rPr>
                <w:color w:val="000000"/>
              </w:rPr>
            </w:pPr>
          </w:p>
        </w:tc>
      </w:tr>
      <w:tr w:rsidRPr="007F620E" w:rsidR="00625B30" w:rsidTr="00470C55" w14:paraId="62DE5447" w14:textId="77777777">
        <w:tc>
          <w:tcPr>
            <w:tcW w:w="6025" w:type="dxa"/>
            <w:shd w:val="clear" w:color="auto" w:fill="auto"/>
          </w:tcPr>
          <w:p w:rsidRPr="007F620E" w:rsidR="00625B30" w:rsidP="00ED55FC" w:rsidRDefault="00625B30" w14:paraId="24A4AD1D" w14:textId="77777777">
            <w:pPr>
              <w:tabs>
                <w:tab w:val="left" w:pos="360"/>
              </w:tabs>
              <w:ind w:left="360" w:hanging="360"/>
              <w:rPr>
                <w:color w:val="000000"/>
              </w:rPr>
            </w:pPr>
            <w:r w:rsidRPr="007F620E">
              <w:rPr>
                <w:color w:val="000000"/>
              </w:rPr>
              <w:t>3.</w:t>
            </w:r>
            <w:r>
              <w:rPr>
                <w:color w:val="000000"/>
              </w:rPr>
              <w:tab/>
            </w:r>
            <w:r w:rsidRPr="007F620E">
              <w:rPr>
                <w:color w:val="000000"/>
              </w:rPr>
              <w:t>Date NOI filed:</w:t>
            </w:r>
          </w:p>
        </w:tc>
        <w:tc>
          <w:tcPr>
            <w:tcW w:w="1890" w:type="dxa"/>
            <w:tcBorders>
              <w:bottom w:val="single" w:color="auto" w:sz="4" w:space="0"/>
            </w:tcBorders>
            <w:shd w:val="clear" w:color="auto" w:fill="auto"/>
          </w:tcPr>
          <w:p w:rsidRPr="007F620E" w:rsidR="00625B30" w:rsidP="00470C55" w:rsidRDefault="0092189A" w14:paraId="5C9207ED" w14:textId="5F5DEED7">
            <w:pPr>
              <w:keepNext/>
              <w:keepLines/>
              <w:tabs>
                <w:tab w:val="left" w:pos="360"/>
              </w:tabs>
              <w:ind w:left="360" w:hanging="360"/>
              <w:jc w:val="center"/>
              <w:rPr>
                <w:color w:val="000000"/>
              </w:rPr>
            </w:pPr>
            <w:r>
              <w:rPr>
                <w:color w:val="000000"/>
              </w:rPr>
              <w:t>9/29/</w:t>
            </w:r>
            <w:r w:rsidR="00470C55">
              <w:rPr>
                <w:color w:val="000000"/>
              </w:rPr>
              <w:t>20</w:t>
            </w:r>
            <w:r>
              <w:rPr>
                <w:color w:val="000000"/>
              </w:rPr>
              <w:t>23</w:t>
            </w:r>
          </w:p>
        </w:tc>
        <w:tc>
          <w:tcPr>
            <w:tcW w:w="1620" w:type="dxa"/>
            <w:tcBorders>
              <w:bottom w:val="single" w:color="auto" w:sz="4" w:space="0"/>
            </w:tcBorders>
            <w:shd w:val="clear" w:color="auto" w:fill="auto"/>
          </w:tcPr>
          <w:p w:rsidRPr="007F620E" w:rsidR="00625B30" w:rsidP="00470C55" w:rsidRDefault="00266AA2" w14:paraId="6946F97E" w14:textId="06EAAEFD">
            <w:pPr>
              <w:tabs>
                <w:tab w:val="left" w:pos="360"/>
              </w:tabs>
              <w:jc w:val="center"/>
              <w:rPr>
                <w:color w:val="000000"/>
              </w:rPr>
            </w:pPr>
            <w:r>
              <w:rPr>
                <w:color w:val="000000"/>
              </w:rPr>
              <w:t>Verified</w:t>
            </w:r>
          </w:p>
        </w:tc>
      </w:tr>
      <w:tr w:rsidRPr="007F620E" w:rsidR="00625B30" w:rsidTr="00470C55" w14:paraId="69CAF72E" w14:textId="77777777">
        <w:tc>
          <w:tcPr>
            <w:tcW w:w="7915" w:type="dxa"/>
            <w:gridSpan w:val="2"/>
            <w:tcBorders>
              <w:bottom w:val="single" w:color="auto" w:sz="4" w:space="0"/>
            </w:tcBorders>
            <w:shd w:val="clear" w:color="auto" w:fill="auto"/>
          </w:tcPr>
          <w:p w:rsidRPr="007F620E" w:rsidR="00625B30" w:rsidP="00ED55FC" w:rsidRDefault="00625B30" w14:paraId="06540B27" w14:textId="77777777">
            <w:pPr>
              <w:tabs>
                <w:tab w:val="left" w:pos="360"/>
              </w:tabs>
              <w:ind w:left="360" w:hanging="360"/>
              <w:rPr>
                <w:color w:val="000000"/>
              </w:rPr>
            </w:pPr>
            <w:r w:rsidRPr="007F620E">
              <w:rPr>
                <w:color w:val="000000"/>
              </w:rPr>
              <w:t>4.</w:t>
            </w:r>
            <w:r>
              <w:rPr>
                <w:color w:val="000000"/>
              </w:rPr>
              <w:tab/>
            </w:r>
            <w:r w:rsidRPr="007F620E">
              <w:rPr>
                <w:color w:val="000000"/>
              </w:rPr>
              <w:t>Was the NOI timely filed?</w:t>
            </w:r>
          </w:p>
        </w:tc>
        <w:tc>
          <w:tcPr>
            <w:tcW w:w="1620" w:type="dxa"/>
            <w:tcBorders>
              <w:bottom w:val="single" w:color="auto" w:sz="4" w:space="0"/>
            </w:tcBorders>
            <w:shd w:val="clear" w:color="auto" w:fill="auto"/>
          </w:tcPr>
          <w:p w:rsidRPr="007F620E" w:rsidR="00625B30" w:rsidP="00470C55" w:rsidRDefault="000005AE" w14:paraId="613C8519" w14:textId="74611F47">
            <w:pPr>
              <w:tabs>
                <w:tab w:val="left" w:pos="360"/>
              </w:tabs>
              <w:jc w:val="center"/>
              <w:rPr>
                <w:color w:val="000000"/>
              </w:rPr>
            </w:pPr>
            <w:r>
              <w:rPr>
                <w:color w:val="000000"/>
              </w:rPr>
              <w:t>Yes</w:t>
            </w:r>
          </w:p>
        </w:tc>
      </w:tr>
      <w:tr w:rsidRPr="007F620E" w:rsidR="00625B30" w:rsidTr="00470C55" w14:paraId="132BA11A" w14:textId="77777777">
        <w:tc>
          <w:tcPr>
            <w:tcW w:w="9535" w:type="dxa"/>
            <w:gridSpan w:val="3"/>
            <w:tcBorders>
              <w:top w:val="single" w:color="auto" w:sz="4" w:space="0"/>
              <w:left w:val="single" w:color="auto" w:sz="4" w:space="0"/>
              <w:bottom w:val="single" w:color="auto" w:sz="4" w:space="0"/>
              <w:right w:val="single" w:color="auto" w:sz="4" w:space="0"/>
            </w:tcBorders>
            <w:shd w:val="clear" w:color="auto" w:fill="E6E6E6"/>
          </w:tcPr>
          <w:p w:rsidR="00625B30" w:rsidP="00ED55FC" w:rsidRDefault="00625B30" w14:paraId="2A799D84" w14:textId="73CBCBD0">
            <w:pPr>
              <w:keepNext/>
              <w:keepLines/>
              <w:tabs>
                <w:tab w:val="left" w:pos="360"/>
              </w:tabs>
              <w:jc w:val="center"/>
              <w:rPr>
                <w:b/>
                <w:color w:val="000000"/>
              </w:rPr>
            </w:pPr>
            <w:r w:rsidRPr="007F620E">
              <w:rPr>
                <w:b/>
                <w:color w:val="000000"/>
              </w:rPr>
              <w:t>Showing of eligible customer status (§1802(b)</w:t>
            </w:r>
            <w:r>
              <w:rPr>
                <w:b/>
                <w:color w:val="000000"/>
              </w:rPr>
              <w:t>)</w:t>
            </w:r>
          </w:p>
          <w:p w:rsidRPr="007F620E" w:rsidR="00625B30" w:rsidP="00ED55FC" w:rsidRDefault="00625B30" w14:paraId="169CA9D2" w14:textId="6C56E0B9">
            <w:pPr>
              <w:keepNext/>
              <w:keepLines/>
              <w:tabs>
                <w:tab w:val="left" w:pos="360"/>
              </w:tabs>
              <w:jc w:val="center"/>
              <w:rPr>
                <w:b/>
                <w:color w:val="000000"/>
              </w:rPr>
            </w:pPr>
            <w:r w:rsidRPr="007F620E">
              <w:rPr>
                <w:b/>
                <w:color w:val="000000"/>
              </w:rPr>
              <w:t xml:space="preserve"> or eligible local government entity </w:t>
            </w:r>
            <w:r>
              <w:rPr>
                <w:b/>
                <w:color w:val="000000"/>
              </w:rPr>
              <w:t xml:space="preserve">status </w:t>
            </w:r>
            <w:r w:rsidRPr="007F620E">
              <w:rPr>
                <w:b/>
                <w:color w:val="000000"/>
              </w:rPr>
              <w:t>(§§1802(d), 1802.4):</w:t>
            </w:r>
          </w:p>
        </w:tc>
      </w:tr>
      <w:tr w:rsidRPr="007F620E" w:rsidR="00625B30" w:rsidTr="00470C55" w14:paraId="4D9BC127" w14:textId="77777777">
        <w:tc>
          <w:tcPr>
            <w:tcW w:w="6025" w:type="dxa"/>
            <w:tcBorders>
              <w:top w:val="single" w:color="auto" w:sz="4" w:space="0"/>
            </w:tcBorders>
            <w:shd w:val="clear" w:color="auto" w:fill="auto"/>
          </w:tcPr>
          <w:p w:rsidRPr="007F620E" w:rsidR="00625B30" w:rsidP="00ED55FC" w:rsidRDefault="00625B30" w14:paraId="0BD024AF" w14:textId="77777777">
            <w:pPr>
              <w:keepNext/>
              <w:keepLines/>
              <w:ind w:left="360" w:hanging="360"/>
              <w:rPr>
                <w:color w:val="000000"/>
              </w:rPr>
            </w:pPr>
            <w:r w:rsidRPr="007F620E">
              <w:rPr>
                <w:color w:val="000000"/>
              </w:rPr>
              <w:lastRenderedPageBreak/>
              <w:t>5.</w:t>
            </w:r>
            <w:r>
              <w:rPr>
                <w:color w:val="000000"/>
              </w:rPr>
              <w:tab/>
            </w:r>
            <w:r w:rsidRPr="007F620E">
              <w:rPr>
                <w:color w:val="000000"/>
              </w:rPr>
              <w:t>Based on ALJ ruling issued in proceeding   number:</w:t>
            </w:r>
          </w:p>
        </w:tc>
        <w:tc>
          <w:tcPr>
            <w:tcW w:w="1890" w:type="dxa"/>
            <w:tcBorders>
              <w:top w:val="single" w:color="auto" w:sz="4" w:space="0"/>
            </w:tcBorders>
            <w:shd w:val="clear" w:color="auto" w:fill="auto"/>
          </w:tcPr>
          <w:p w:rsidRPr="007F620E" w:rsidR="00625B30" w:rsidP="00470C55" w:rsidRDefault="00625B30" w14:paraId="4B1C16EE" w14:textId="75493877">
            <w:pPr>
              <w:keepNext/>
              <w:keepLines/>
              <w:tabs>
                <w:tab w:val="left" w:pos="360"/>
              </w:tabs>
              <w:ind w:left="360" w:hanging="360"/>
              <w:jc w:val="center"/>
              <w:rPr>
                <w:color w:val="000000"/>
              </w:rPr>
            </w:pPr>
            <w:r>
              <w:rPr>
                <w:color w:val="000000"/>
              </w:rPr>
              <w:t>A.2</w:t>
            </w:r>
            <w:r w:rsidR="00286A24">
              <w:rPr>
                <w:color w:val="000000"/>
              </w:rPr>
              <w:t>3-06-008</w:t>
            </w:r>
          </w:p>
        </w:tc>
        <w:tc>
          <w:tcPr>
            <w:tcW w:w="1620" w:type="dxa"/>
            <w:tcBorders>
              <w:top w:val="single" w:color="auto" w:sz="4" w:space="0"/>
            </w:tcBorders>
            <w:shd w:val="clear" w:color="auto" w:fill="auto"/>
          </w:tcPr>
          <w:p w:rsidRPr="007F620E" w:rsidR="00625B30" w:rsidP="00470C55" w:rsidRDefault="000F192E" w14:paraId="0FA87BA2" w14:textId="7A0C0EE7">
            <w:pPr>
              <w:keepNext/>
              <w:keepLines/>
              <w:tabs>
                <w:tab w:val="left" w:pos="360"/>
              </w:tabs>
              <w:jc w:val="center"/>
              <w:rPr>
                <w:color w:val="000000"/>
              </w:rPr>
            </w:pPr>
            <w:r>
              <w:rPr>
                <w:color w:val="000000"/>
              </w:rPr>
              <w:t>Verified</w:t>
            </w:r>
          </w:p>
        </w:tc>
      </w:tr>
      <w:tr w:rsidRPr="007F620E" w:rsidR="00625B30" w:rsidTr="00470C55" w14:paraId="0DD8BF7E" w14:textId="77777777">
        <w:tc>
          <w:tcPr>
            <w:tcW w:w="6025" w:type="dxa"/>
            <w:shd w:val="clear" w:color="auto" w:fill="auto"/>
          </w:tcPr>
          <w:p w:rsidRPr="007F620E" w:rsidR="00625B30" w:rsidP="00ED55FC" w:rsidRDefault="00625B30" w14:paraId="6B4DE40F" w14:textId="77777777">
            <w:pPr>
              <w:tabs>
                <w:tab w:val="left" w:pos="360"/>
              </w:tabs>
              <w:ind w:left="360" w:hanging="360"/>
              <w:rPr>
                <w:color w:val="000000"/>
              </w:rPr>
            </w:pPr>
            <w:r w:rsidRPr="007F620E">
              <w:rPr>
                <w:color w:val="000000"/>
              </w:rPr>
              <w:t>6.</w:t>
            </w:r>
            <w:r>
              <w:rPr>
                <w:color w:val="000000"/>
              </w:rPr>
              <w:tab/>
            </w:r>
            <w:r w:rsidRPr="007F620E">
              <w:rPr>
                <w:color w:val="000000"/>
              </w:rPr>
              <w:t>Date of ALJ ruling:</w:t>
            </w:r>
          </w:p>
        </w:tc>
        <w:tc>
          <w:tcPr>
            <w:tcW w:w="1890" w:type="dxa"/>
            <w:shd w:val="clear" w:color="auto" w:fill="auto"/>
          </w:tcPr>
          <w:p w:rsidRPr="007F620E" w:rsidR="00625B30" w:rsidP="00470C55" w:rsidRDefault="00286A24" w14:paraId="26330D0F" w14:textId="765E22A7">
            <w:pPr>
              <w:tabs>
                <w:tab w:val="left" w:pos="360"/>
              </w:tabs>
              <w:ind w:left="360" w:hanging="360"/>
              <w:jc w:val="center"/>
              <w:rPr>
                <w:color w:val="000000"/>
              </w:rPr>
            </w:pPr>
            <w:r>
              <w:rPr>
                <w:color w:val="000000"/>
              </w:rPr>
              <w:t>3/30/</w:t>
            </w:r>
            <w:r w:rsidR="00470C55">
              <w:rPr>
                <w:color w:val="000000"/>
              </w:rPr>
              <w:t>20</w:t>
            </w:r>
            <w:r>
              <w:rPr>
                <w:color w:val="000000"/>
              </w:rPr>
              <w:t>24</w:t>
            </w:r>
          </w:p>
        </w:tc>
        <w:tc>
          <w:tcPr>
            <w:tcW w:w="1620" w:type="dxa"/>
            <w:shd w:val="clear" w:color="auto" w:fill="auto"/>
          </w:tcPr>
          <w:p w:rsidRPr="007F620E" w:rsidR="00625B30" w:rsidP="00470C55" w:rsidRDefault="00470C55" w14:paraId="0F88CACC" w14:textId="5E6B5BEA">
            <w:pPr>
              <w:tabs>
                <w:tab w:val="left" w:pos="360"/>
              </w:tabs>
              <w:jc w:val="center"/>
              <w:rPr>
                <w:color w:val="000000"/>
              </w:rPr>
            </w:pPr>
            <w:r>
              <w:rPr>
                <w:color w:val="000000"/>
              </w:rPr>
              <w:t>3/</w:t>
            </w:r>
            <w:r w:rsidR="000F192E">
              <w:rPr>
                <w:color w:val="000000"/>
              </w:rPr>
              <w:t>20</w:t>
            </w:r>
            <w:r>
              <w:rPr>
                <w:color w:val="000000"/>
              </w:rPr>
              <w:t>/</w:t>
            </w:r>
            <w:r w:rsidR="000F192E">
              <w:rPr>
                <w:color w:val="000000"/>
              </w:rPr>
              <w:t>2024</w:t>
            </w:r>
          </w:p>
        </w:tc>
      </w:tr>
      <w:tr w:rsidRPr="007F620E" w:rsidR="00625B30" w:rsidTr="00470C55" w14:paraId="29CED8DF" w14:textId="77777777">
        <w:tc>
          <w:tcPr>
            <w:tcW w:w="6025" w:type="dxa"/>
            <w:shd w:val="clear" w:color="auto" w:fill="auto"/>
          </w:tcPr>
          <w:p w:rsidRPr="007F620E" w:rsidR="00625B30" w:rsidP="00ED55FC" w:rsidRDefault="00625B30" w14:paraId="4F36EDE9" w14:textId="77777777">
            <w:pPr>
              <w:tabs>
                <w:tab w:val="left" w:pos="360"/>
              </w:tabs>
              <w:ind w:left="360" w:hanging="360"/>
              <w:rPr>
                <w:color w:val="000000"/>
              </w:rPr>
            </w:pPr>
            <w:r w:rsidRPr="007F620E">
              <w:rPr>
                <w:color w:val="000000"/>
              </w:rPr>
              <w:t>7.</w:t>
            </w:r>
            <w:r>
              <w:rPr>
                <w:color w:val="000000"/>
              </w:rPr>
              <w:tab/>
            </w:r>
            <w:r w:rsidRPr="007F620E">
              <w:rPr>
                <w:color w:val="000000"/>
              </w:rPr>
              <w:t>Based on another CPUC determination (specify):</w:t>
            </w:r>
          </w:p>
        </w:tc>
        <w:tc>
          <w:tcPr>
            <w:tcW w:w="1890" w:type="dxa"/>
            <w:tcBorders>
              <w:bottom w:val="single" w:color="auto" w:sz="4" w:space="0"/>
            </w:tcBorders>
            <w:shd w:val="clear" w:color="auto" w:fill="auto"/>
          </w:tcPr>
          <w:p w:rsidRPr="007F620E" w:rsidR="00625B30" w:rsidP="00470C55" w:rsidRDefault="00625B30" w14:paraId="0951D2C6" w14:textId="77777777">
            <w:pPr>
              <w:tabs>
                <w:tab w:val="left" w:pos="360"/>
              </w:tabs>
              <w:ind w:left="360" w:hanging="360"/>
              <w:jc w:val="center"/>
              <w:rPr>
                <w:color w:val="000000"/>
              </w:rPr>
            </w:pPr>
          </w:p>
        </w:tc>
        <w:tc>
          <w:tcPr>
            <w:tcW w:w="1620" w:type="dxa"/>
            <w:tcBorders>
              <w:bottom w:val="single" w:color="auto" w:sz="4" w:space="0"/>
            </w:tcBorders>
            <w:shd w:val="clear" w:color="auto" w:fill="auto"/>
          </w:tcPr>
          <w:p w:rsidRPr="007F620E" w:rsidR="00625B30" w:rsidP="00470C55" w:rsidRDefault="00625B30" w14:paraId="230FA237" w14:textId="77777777">
            <w:pPr>
              <w:tabs>
                <w:tab w:val="left" w:pos="360"/>
              </w:tabs>
              <w:jc w:val="center"/>
              <w:rPr>
                <w:color w:val="000000"/>
              </w:rPr>
            </w:pPr>
          </w:p>
        </w:tc>
      </w:tr>
      <w:tr w:rsidRPr="007F620E" w:rsidR="00625B30" w:rsidTr="00470C55" w14:paraId="31F5B12F" w14:textId="77777777">
        <w:tc>
          <w:tcPr>
            <w:tcW w:w="7915" w:type="dxa"/>
            <w:gridSpan w:val="2"/>
            <w:tcBorders>
              <w:bottom w:val="single" w:color="auto" w:sz="4" w:space="0"/>
            </w:tcBorders>
            <w:shd w:val="clear" w:color="auto" w:fill="auto"/>
          </w:tcPr>
          <w:p w:rsidRPr="007F620E" w:rsidR="00625B30" w:rsidP="00ED55FC" w:rsidRDefault="00625B30" w14:paraId="7F62A206" w14:textId="77777777">
            <w:pPr>
              <w:tabs>
                <w:tab w:val="left" w:pos="360"/>
              </w:tabs>
              <w:ind w:left="360" w:hanging="360"/>
              <w:rPr>
                <w:color w:val="000000"/>
              </w:rPr>
            </w:pPr>
            <w:r w:rsidRPr="007F620E">
              <w:rPr>
                <w:color w:val="000000"/>
              </w:rPr>
              <w:t>8.</w:t>
            </w:r>
            <w:r>
              <w:rPr>
                <w:color w:val="000000"/>
              </w:rPr>
              <w:tab/>
            </w:r>
            <w:r w:rsidRPr="007F620E">
              <w:rPr>
                <w:color w:val="000000"/>
              </w:rPr>
              <w:t xml:space="preserve">Has the Intervenor demonstrated </w:t>
            </w:r>
            <w:r w:rsidRPr="00ED6B6B">
              <w:t>customer</w:t>
            </w:r>
            <w:r w:rsidRPr="007F620E">
              <w:rPr>
                <w:color w:val="000000"/>
              </w:rPr>
              <w:t xml:space="preserve"> </w:t>
            </w:r>
            <w:r>
              <w:rPr>
                <w:color w:val="000000"/>
              </w:rPr>
              <w:t>status or eligible government entity status</w:t>
            </w:r>
            <w:r w:rsidRPr="007F620E">
              <w:rPr>
                <w:color w:val="000000"/>
              </w:rPr>
              <w:t>?</w:t>
            </w:r>
          </w:p>
        </w:tc>
        <w:tc>
          <w:tcPr>
            <w:tcW w:w="1620" w:type="dxa"/>
            <w:tcBorders>
              <w:bottom w:val="single" w:color="auto" w:sz="4" w:space="0"/>
            </w:tcBorders>
            <w:shd w:val="clear" w:color="auto" w:fill="auto"/>
          </w:tcPr>
          <w:p w:rsidRPr="007F620E" w:rsidR="00625B30" w:rsidP="00470C55" w:rsidRDefault="000F192E" w14:paraId="05EEB72B" w14:textId="5010BB7A">
            <w:pPr>
              <w:tabs>
                <w:tab w:val="left" w:pos="360"/>
              </w:tabs>
              <w:jc w:val="center"/>
              <w:rPr>
                <w:color w:val="000000"/>
              </w:rPr>
            </w:pPr>
            <w:r>
              <w:rPr>
                <w:color w:val="000000"/>
              </w:rPr>
              <w:t>Yes</w:t>
            </w:r>
          </w:p>
        </w:tc>
      </w:tr>
      <w:tr w:rsidRPr="007F620E" w:rsidR="00625B30" w:rsidTr="00470C55" w14:paraId="0D3F0494" w14:textId="77777777">
        <w:tc>
          <w:tcPr>
            <w:tcW w:w="9535" w:type="dxa"/>
            <w:gridSpan w:val="3"/>
            <w:tcBorders>
              <w:top w:val="single" w:color="auto" w:sz="4" w:space="0"/>
              <w:left w:val="single" w:color="auto" w:sz="4" w:space="0"/>
              <w:bottom w:val="single" w:color="auto" w:sz="4" w:space="0"/>
              <w:right w:val="single" w:color="auto" w:sz="4" w:space="0"/>
            </w:tcBorders>
            <w:shd w:val="clear" w:color="auto" w:fill="E6E6E6"/>
          </w:tcPr>
          <w:p w:rsidRPr="007F620E" w:rsidR="00625B30" w:rsidP="00ED55FC" w:rsidRDefault="00625B30" w14:paraId="399B1345" w14:textId="77777777">
            <w:pPr>
              <w:keepNext/>
              <w:tabs>
                <w:tab w:val="left" w:pos="360"/>
              </w:tabs>
              <w:jc w:val="center"/>
              <w:rPr>
                <w:color w:val="000000"/>
              </w:rPr>
            </w:pPr>
            <w:r w:rsidRPr="007F620E">
              <w:rPr>
                <w:b/>
                <w:color w:val="000000"/>
              </w:rPr>
              <w:t>Showing of “significant financial hardship” (§1802(</w:t>
            </w:r>
            <w:r>
              <w:rPr>
                <w:b/>
                <w:color w:val="000000"/>
              </w:rPr>
              <w:t>h</w:t>
            </w:r>
            <w:r w:rsidRPr="007F620E">
              <w:rPr>
                <w:b/>
                <w:color w:val="000000"/>
              </w:rPr>
              <w:t>) or §1803.1(b))</w:t>
            </w:r>
            <w:r>
              <w:rPr>
                <w:b/>
                <w:color w:val="000000"/>
              </w:rPr>
              <w:t>:</w:t>
            </w:r>
          </w:p>
        </w:tc>
      </w:tr>
      <w:tr w:rsidRPr="007F620E" w:rsidR="00625B30" w:rsidTr="00470C55" w14:paraId="565C1DE7" w14:textId="77777777">
        <w:tc>
          <w:tcPr>
            <w:tcW w:w="6025" w:type="dxa"/>
            <w:tcBorders>
              <w:top w:val="single" w:color="auto" w:sz="4" w:space="0"/>
            </w:tcBorders>
            <w:shd w:val="clear" w:color="auto" w:fill="auto"/>
          </w:tcPr>
          <w:p w:rsidRPr="007F620E" w:rsidR="00625B30" w:rsidP="00ED55FC" w:rsidRDefault="00625B30" w14:paraId="459F5252" w14:textId="77777777">
            <w:pPr>
              <w:tabs>
                <w:tab w:val="left" w:pos="315"/>
              </w:tabs>
              <w:ind w:left="360" w:hanging="360"/>
              <w:rPr>
                <w:color w:val="000000"/>
              </w:rPr>
            </w:pPr>
            <w:r w:rsidRPr="007F620E">
              <w:rPr>
                <w:color w:val="000000"/>
              </w:rPr>
              <w:t>9.</w:t>
            </w:r>
            <w:r>
              <w:rPr>
                <w:color w:val="000000"/>
              </w:rPr>
              <w:tab/>
            </w:r>
            <w:r w:rsidRPr="007F620E">
              <w:rPr>
                <w:color w:val="000000"/>
              </w:rPr>
              <w:t>Based on ALJ ruling issued in proceeding number:</w:t>
            </w:r>
          </w:p>
        </w:tc>
        <w:tc>
          <w:tcPr>
            <w:tcW w:w="1890" w:type="dxa"/>
            <w:tcBorders>
              <w:top w:val="single" w:color="auto" w:sz="4" w:space="0"/>
            </w:tcBorders>
            <w:shd w:val="clear" w:color="auto" w:fill="auto"/>
          </w:tcPr>
          <w:p w:rsidRPr="007F620E" w:rsidR="00625B30" w:rsidP="00470C55" w:rsidRDefault="00625B30" w14:paraId="0C25E23E" w14:textId="6EC51AF7">
            <w:pPr>
              <w:tabs>
                <w:tab w:val="left" w:pos="360"/>
              </w:tabs>
              <w:ind w:left="360" w:hanging="360"/>
              <w:jc w:val="center"/>
              <w:rPr>
                <w:color w:val="000000"/>
              </w:rPr>
            </w:pPr>
            <w:r>
              <w:rPr>
                <w:color w:val="000000"/>
              </w:rPr>
              <w:t>A.</w:t>
            </w:r>
            <w:r w:rsidR="00286A24">
              <w:rPr>
                <w:color w:val="000000"/>
              </w:rPr>
              <w:t>23-06-008</w:t>
            </w:r>
          </w:p>
        </w:tc>
        <w:tc>
          <w:tcPr>
            <w:tcW w:w="1620" w:type="dxa"/>
            <w:tcBorders>
              <w:top w:val="single" w:color="auto" w:sz="4" w:space="0"/>
            </w:tcBorders>
            <w:shd w:val="clear" w:color="auto" w:fill="auto"/>
          </w:tcPr>
          <w:p w:rsidRPr="007F620E" w:rsidR="00625B30" w:rsidP="00470C55" w:rsidRDefault="000F192E" w14:paraId="24651ED2" w14:textId="40002B8A">
            <w:pPr>
              <w:tabs>
                <w:tab w:val="left" w:pos="360"/>
              </w:tabs>
              <w:jc w:val="center"/>
              <w:rPr>
                <w:color w:val="000000"/>
              </w:rPr>
            </w:pPr>
            <w:r>
              <w:rPr>
                <w:color w:val="000000"/>
              </w:rPr>
              <w:t>Verified</w:t>
            </w:r>
          </w:p>
        </w:tc>
      </w:tr>
      <w:tr w:rsidRPr="007F620E" w:rsidR="00625B30" w:rsidTr="00470C55" w14:paraId="58ECF57D" w14:textId="77777777">
        <w:tc>
          <w:tcPr>
            <w:tcW w:w="6025" w:type="dxa"/>
            <w:shd w:val="clear" w:color="auto" w:fill="auto"/>
          </w:tcPr>
          <w:p w:rsidRPr="007F620E" w:rsidR="00625B30" w:rsidP="00ED55FC" w:rsidRDefault="00625B30" w14:paraId="26F408ED" w14:textId="77777777">
            <w:pPr>
              <w:ind w:left="360" w:hanging="360"/>
              <w:rPr>
                <w:color w:val="000000"/>
              </w:rPr>
            </w:pPr>
            <w:r w:rsidRPr="007F620E">
              <w:rPr>
                <w:color w:val="000000"/>
              </w:rPr>
              <w:t>10.</w:t>
            </w:r>
            <w:r>
              <w:rPr>
                <w:color w:val="000000"/>
              </w:rPr>
              <w:tab/>
            </w:r>
            <w:r w:rsidRPr="007F620E">
              <w:rPr>
                <w:color w:val="000000"/>
              </w:rPr>
              <w:t>Date of ALJ ruling:</w:t>
            </w:r>
          </w:p>
        </w:tc>
        <w:tc>
          <w:tcPr>
            <w:tcW w:w="1890" w:type="dxa"/>
            <w:shd w:val="clear" w:color="auto" w:fill="auto"/>
          </w:tcPr>
          <w:p w:rsidRPr="007F620E" w:rsidR="00625B30" w:rsidP="00470C55" w:rsidRDefault="00286A24" w14:paraId="7B07360C" w14:textId="0C041C55">
            <w:pPr>
              <w:tabs>
                <w:tab w:val="left" w:pos="360"/>
              </w:tabs>
              <w:ind w:left="360" w:hanging="360"/>
              <w:jc w:val="center"/>
              <w:rPr>
                <w:color w:val="000000"/>
              </w:rPr>
            </w:pPr>
            <w:r>
              <w:rPr>
                <w:color w:val="000000"/>
              </w:rPr>
              <w:t>3/30/</w:t>
            </w:r>
            <w:r w:rsidR="00470C55">
              <w:rPr>
                <w:color w:val="000000"/>
              </w:rPr>
              <w:t>20</w:t>
            </w:r>
            <w:r>
              <w:rPr>
                <w:color w:val="000000"/>
              </w:rPr>
              <w:t>24</w:t>
            </w:r>
          </w:p>
        </w:tc>
        <w:tc>
          <w:tcPr>
            <w:tcW w:w="1620" w:type="dxa"/>
            <w:shd w:val="clear" w:color="auto" w:fill="auto"/>
          </w:tcPr>
          <w:p w:rsidRPr="007F620E" w:rsidR="00625B30" w:rsidP="00470C55" w:rsidRDefault="00470C55" w14:paraId="5EB17546" w14:textId="2A6EE488">
            <w:pPr>
              <w:tabs>
                <w:tab w:val="left" w:pos="360"/>
              </w:tabs>
              <w:jc w:val="center"/>
              <w:rPr>
                <w:color w:val="000000"/>
              </w:rPr>
            </w:pPr>
            <w:r>
              <w:rPr>
                <w:color w:val="000000"/>
              </w:rPr>
              <w:t>3/</w:t>
            </w:r>
            <w:r w:rsidR="000F192E">
              <w:rPr>
                <w:color w:val="000000"/>
              </w:rPr>
              <w:t>20</w:t>
            </w:r>
            <w:r>
              <w:rPr>
                <w:color w:val="000000"/>
              </w:rPr>
              <w:t>/</w:t>
            </w:r>
            <w:r w:rsidR="000F192E">
              <w:rPr>
                <w:color w:val="000000"/>
              </w:rPr>
              <w:t>2024</w:t>
            </w:r>
          </w:p>
        </w:tc>
      </w:tr>
      <w:tr w:rsidRPr="007F620E" w:rsidR="00625B30" w:rsidTr="00470C55" w14:paraId="40DCBBF0" w14:textId="77777777">
        <w:tc>
          <w:tcPr>
            <w:tcW w:w="6025" w:type="dxa"/>
            <w:shd w:val="clear" w:color="auto" w:fill="auto"/>
          </w:tcPr>
          <w:p w:rsidRPr="007F620E" w:rsidR="00625B30" w:rsidP="00ED55FC" w:rsidRDefault="00625B30" w14:paraId="1592AE4E" w14:textId="77777777">
            <w:pPr>
              <w:ind w:left="360" w:hanging="360"/>
              <w:rPr>
                <w:color w:val="000000"/>
              </w:rPr>
            </w:pPr>
            <w:r w:rsidRPr="007F620E">
              <w:rPr>
                <w:color w:val="000000"/>
              </w:rPr>
              <w:t>11.</w:t>
            </w:r>
            <w:r>
              <w:rPr>
                <w:color w:val="000000"/>
              </w:rPr>
              <w:tab/>
            </w:r>
            <w:r w:rsidRPr="007F620E">
              <w:rPr>
                <w:color w:val="000000"/>
              </w:rPr>
              <w:t>Based on another CPUC determination (specify):</w:t>
            </w:r>
          </w:p>
        </w:tc>
        <w:tc>
          <w:tcPr>
            <w:tcW w:w="1890" w:type="dxa"/>
            <w:shd w:val="clear" w:color="auto" w:fill="auto"/>
          </w:tcPr>
          <w:p w:rsidRPr="007F620E" w:rsidR="00625B30" w:rsidP="00470C55" w:rsidRDefault="00625B30" w14:paraId="37359D69" w14:textId="77777777">
            <w:pPr>
              <w:tabs>
                <w:tab w:val="left" w:pos="360"/>
              </w:tabs>
              <w:ind w:left="360" w:hanging="360"/>
              <w:jc w:val="center"/>
              <w:rPr>
                <w:color w:val="000000"/>
              </w:rPr>
            </w:pPr>
          </w:p>
        </w:tc>
        <w:tc>
          <w:tcPr>
            <w:tcW w:w="1620" w:type="dxa"/>
            <w:shd w:val="clear" w:color="auto" w:fill="auto"/>
          </w:tcPr>
          <w:p w:rsidRPr="007F620E" w:rsidR="00625B30" w:rsidP="00470C55" w:rsidRDefault="00625B30" w14:paraId="1EE48C07" w14:textId="77777777">
            <w:pPr>
              <w:tabs>
                <w:tab w:val="left" w:pos="360"/>
              </w:tabs>
              <w:jc w:val="center"/>
              <w:rPr>
                <w:color w:val="000000"/>
              </w:rPr>
            </w:pPr>
          </w:p>
        </w:tc>
      </w:tr>
      <w:tr w:rsidRPr="007F620E" w:rsidR="00625B30" w:rsidTr="00470C55" w14:paraId="457CA627" w14:textId="77777777">
        <w:tc>
          <w:tcPr>
            <w:tcW w:w="7915" w:type="dxa"/>
            <w:gridSpan w:val="2"/>
            <w:tcBorders>
              <w:bottom w:val="single" w:color="auto" w:sz="4" w:space="0"/>
            </w:tcBorders>
            <w:shd w:val="clear" w:color="auto" w:fill="auto"/>
          </w:tcPr>
          <w:p w:rsidRPr="003439D4" w:rsidR="00625B30" w:rsidP="00ED55FC" w:rsidRDefault="00625B30" w14:paraId="6F22C665" w14:textId="77777777">
            <w:pPr>
              <w:tabs>
                <w:tab w:val="left" w:pos="360"/>
              </w:tabs>
              <w:ind w:left="360" w:hanging="360"/>
              <w:rPr>
                <w:color w:val="000000"/>
              </w:rPr>
            </w:pPr>
            <w:r w:rsidRPr="003439D4">
              <w:rPr>
                <w:color w:val="000000"/>
              </w:rPr>
              <w:t>12.</w:t>
            </w:r>
            <w:r w:rsidRPr="003439D4">
              <w:rPr>
                <w:color w:val="000000"/>
              </w:rPr>
              <w:tab/>
              <w:t>Has the Intervenor demonstrated significant financial hardship?</w:t>
            </w:r>
          </w:p>
        </w:tc>
        <w:tc>
          <w:tcPr>
            <w:tcW w:w="1620" w:type="dxa"/>
            <w:tcBorders>
              <w:bottom w:val="single" w:color="auto" w:sz="4" w:space="0"/>
            </w:tcBorders>
            <w:shd w:val="clear" w:color="auto" w:fill="auto"/>
          </w:tcPr>
          <w:p w:rsidRPr="007F620E" w:rsidR="00625B30" w:rsidP="00470C55" w:rsidRDefault="00350FBA" w14:paraId="2421F339" w14:textId="4820E6EF">
            <w:pPr>
              <w:tabs>
                <w:tab w:val="left" w:pos="360"/>
              </w:tabs>
              <w:jc w:val="center"/>
              <w:rPr>
                <w:color w:val="000000"/>
              </w:rPr>
            </w:pPr>
            <w:r>
              <w:rPr>
                <w:color w:val="000000"/>
              </w:rPr>
              <w:t>Yes</w:t>
            </w:r>
          </w:p>
        </w:tc>
      </w:tr>
      <w:tr w:rsidRPr="007F620E" w:rsidR="00625B30" w:rsidTr="00470C55" w14:paraId="2503D1AC" w14:textId="77777777">
        <w:tc>
          <w:tcPr>
            <w:tcW w:w="9535" w:type="dxa"/>
            <w:gridSpan w:val="3"/>
            <w:tcBorders>
              <w:top w:val="single" w:color="auto" w:sz="4" w:space="0"/>
              <w:left w:val="single" w:color="auto" w:sz="4" w:space="0"/>
              <w:bottom w:val="single" w:color="auto" w:sz="4" w:space="0"/>
              <w:right w:val="single" w:color="auto" w:sz="4" w:space="0"/>
            </w:tcBorders>
            <w:shd w:val="clear" w:color="auto" w:fill="E6E6E6"/>
          </w:tcPr>
          <w:p w:rsidRPr="003439D4" w:rsidR="00625B30" w:rsidP="00ED55FC" w:rsidRDefault="00625B30" w14:paraId="59FEF4D7" w14:textId="22E25274">
            <w:pPr>
              <w:keepNext/>
              <w:tabs>
                <w:tab w:val="left" w:pos="360"/>
              </w:tabs>
              <w:jc w:val="center"/>
              <w:rPr>
                <w:color w:val="000000"/>
              </w:rPr>
            </w:pPr>
            <w:r w:rsidRPr="003439D4">
              <w:rPr>
                <w:b/>
                <w:color w:val="000000"/>
              </w:rPr>
              <w:t>Timely request for compensation (§1804(c)):</w:t>
            </w:r>
          </w:p>
        </w:tc>
      </w:tr>
      <w:tr w:rsidRPr="007F620E" w:rsidR="00625B30" w:rsidTr="00470C55" w14:paraId="52477DCC" w14:textId="77777777">
        <w:tc>
          <w:tcPr>
            <w:tcW w:w="6025" w:type="dxa"/>
            <w:tcBorders>
              <w:top w:val="single" w:color="auto" w:sz="4" w:space="0"/>
            </w:tcBorders>
            <w:shd w:val="clear" w:color="auto" w:fill="auto"/>
          </w:tcPr>
          <w:p w:rsidRPr="003439D4" w:rsidR="00625B30" w:rsidP="00ED55FC" w:rsidRDefault="00625B30" w14:paraId="1E8F66BD" w14:textId="77777777">
            <w:pPr>
              <w:keepNext/>
              <w:tabs>
                <w:tab w:val="left" w:pos="612"/>
              </w:tabs>
              <w:ind w:left="360" w:hanging="360"/>
              <w:rPr>
                <w:color w:val="000000"/>
              </w:rPr>
            </w:pPr>
            <w:r w:rsidRPr="003439D4">
              <w:rPr>
                <w:color w:val="000000"/>
              </w:rPr>
              <w:t>13.</w:t>
            </w:r>
            <w:r w:rsidRPr="003439D4">
              <w:rPr>
                <w:color w:val="000000"/>
              </w:rPr>
              <w:tab/>
              <w:t>Identify Final Decision:</w:t>
            </w:r>
          </w:p>
        </w:tc>
        <w:tc>
          <w:tcPr>
            <w:tcW w:w="1890" w:type="dxa"/>
            <w:tcBorders>
              <w:top w:val="single" w:color="auto" w:sz="4" w:space="0"/>
            </w:tcBorders>
            <w:shd w:val="clear" w:color="auto" w:fill="auto"/>
          </w:tcPr>
          <w:p w:rsidRPr="003439D4" w:rsidR="00625B30" w:rsidP="00470C55" w:rsidRDefault="00286A24" w14:paraId="7E651D6C" w14:textId="38F9BCAA">
            <w:pPr>
              <w:tabs>
                <w:tab w:val="left" w:pos="360"/>
              </w:tabs>
              <w:jc w:val="center"/>
              <w:rPr>
                <w:color w:val="000000"/>
              </w:rPr>
            </w:pPr>
            <w:r>
              <w:rPr>
                <w:color w:val="000000"/>
              </w:rPr>
              <w:t>D.24-03-006</w:t>
            </w:r>
          </w:p>
        </w:tc>
        <w:tc>
          <w:tcPr>
            <w:tcW w:w="1620" w:type="dxa"/>
            <w:tcBorders>
              <w:top w:val="single" w:color="auto" w:sz="4" w:space="0"/>
            </w:tcBorders>
            <w:shd w:val="clear" w:color="auto" w:fill="auto"/>
          </w:tcPr>
          <w:p w:rsidRPr="007F620E" w:rsidR="00625B30" w:rsidP="00470C55" w:rsidRDefault="00BF1A4A" w14:paraId="0826C45B" w14:textId="488F5B36">
            <w:pPr>
              <w:tabs>
                <w:tab w:val="left" w:pos="360"/>
              </w:tabs>
              <w:jc w:val="center"/>
              <w:rPr>
                <w:color w:val="000000"/>
              </w:rPr>
            </w:pPr>
            <w:r>
              <w:rPr>
                <w:color w:val="000000"/>
              </w:rPr>
              <w:t>Verified</w:t>
            </w:r>
          </w:p>
        </w:tc>
      </w:tr>
      <w:tr w:rsidRPr="007F620E" w:rsidR="00625B30" w:rsidTr="00470C55" w14:paraId="1C4A82D2" w14:textId="77777777">
        <w:tc>
          <w:tcPr>
            <w:tcW w:w="6025" w:type="dxa"/>
            <w:shd w:val="clear" w:color="auto" w:fill="auto"/>
          </w:tcPr>
          <w:p w:rsidRPr="003439D4" w:rsidR="00625B30" w:rsidP="00ED55FC" w:rsidRDefault="00625B30" w14:paraId="1BB1D16E" w14:textId="77777777">
            <w:pPr>
              <w:tabs>
                <w:tab w:val="left" w:pos="612"/>
              </w:tabs>
              <w:ind w:left="360" w:hanging="360"/>
              <w:rPr>
                <w:color w:val="000000"/>
              </w:rPr>
            </w:pPr>
            <w:r w:rsidRPr="003439D4">
              <w:rPr>
                <w:color w:val="000000"/>
              </w:rPr>
              <w:t>14.</w:t>
            </w:r>
            <w:r w:rsidRPr="003439D4">
              <w:rPr>
                <w:color w:val="000000"/>
              </w:rPr>
              <w:tab/>
              <w:t xml:space="preserve">Date of issuance of Final Order or Decision:    </w:t>
            </w:r>
          </w:p>
        </w:tc>
        <w:tc>
          <w:tcPr>
            <w:tcW w:w="1890" w:type="dxa"/>
            <w:shd w:val="clear" w:color="auto" w:fill="auto"/>
          </w:tcPr>
          <w:p w:rsidRPr="003439D4" w:rsidR="00625B30" w:rsidP="00470C55" w:rsidRDefault="0023520D" w14:paraId="0FBC2608" w14:textId="686E3D44">
            <w:pPr>
              <w:tabs>
                <w:tab w:val="left" w:pos="360"/>
              </w:tabs>
              <w:jc w:val="center"/>
              <w:rPr>
                <w:color w:val="000000"/>
              </w:rPr>
            </w:pPr>
            <w:r>
              <w:rPr>
                <w:color w:val="000000"/>
              </w:rPr>
              <w:t>3/7</w:t>
            </w:r>
            <w:r w:rsidRPr="003439D4" w:rsidR="00625B30">
              <w:rPr>
                <w:color w:val="000000"/>
              </w:rPr>
              <w:t>/</w:t>
            </w:r>
            <w:r w:rsidR="00470C55">
              <w:rPr>
                <w:color w:val="000000"/>
              </w:rPr>
              <w:t>20</w:t>
            </w:r>
            <w:r w:rsidRPr="003439D4" w:rsidR="00625B30">
              <w:rPr>
                <w:color w:val="000000"/>
              </w:rPr>
              <w:t>24</w:t>
            </w:r>
          </w:p>
        </w:tc>
        <w:tc>
          <w:tcPr>
            <w:tcW w:w="1620" w:type="dxa"/>
            <w:shd w:val="clear" w:color="auto" w:fill="auto"/>
          </w:tcPr>
          <w:p w:rsidRPr="00331110" w:rsidR="00625B30" w:rsidP="00470C55" w:rsidRDefault="00470C55" w14:paraId="400BB5CE" w14:textId="42ADDFB1">
            <w:pPr>
              <w:tabs>
                <w:tab w:val="left" w:pos="360"/>
              </w:tabs>
              <w:jc w:val="center"/>
              <w:rPr>
                <w:color w:val="000000"/>
              </w:rPr>
            </w:pPr>
            <w:r>
              <w:rPr>
                <w:color w:val="000000"/>
              </w:rPr>
              <w:t>3/</w:t>
            </w:r>
            <w:r w:rsidRPr="00331110" w:rsidR="00331110">
              <w:rPr>
                <w:color w:val="000000"/>
              </w:rPr>
              <w:t>12</w:t>
            </w:r>
            <w:r>
              <w:rPr>
                <w:color w:val="000000"/>
              </w:rPr>
              <w:t>/</w:t>
            </w:r>
            <w:r w:rsidRPr="00331110" w:rsidR="00331110">
              <w:rPr>
                <w:color w:val="000000"/>
              </w:rPr>
              <w:t>2024</w:t>
            </w:r>
          </w:p>
        </w:tc>
      </w:tr>
      <w:tr w:rsidRPr="007F620E" w:rsidR="00625B30" w:rsidTr="00470C55" w14:paraId="1CDFC2D4" w14:textId="77777777">
        <w:tc>
          <w:tcPr>
            <w:tcW w:w="6025" w:type="dxa"/>
            <w:shd w:val="clear" w:color="auto" w:fill="auto"/>
          </w:tcPr>
          <w:p w:rsidRPr="00C452F7" w:rsidR="00625B30" w:rsidP="00ED55FC" w:rsidRDefault="00625B30" w14:paraId="718963BD" w14:textId="77777777">
            <w:pPr>
              <w:tabs>
                <w:tab w:val="left" w:pos="612"/>
              </w:tabs>
              <w:ind w:left="360" w:hanging="360"/>
              <w:rPr>
                <w:color w:val="000000"/>
              </w:rPr>
            </w:pPr>
            <w:r w:rsidRPr="00C452F7">
              <w:rPr>
                <w:color w:val="000000"/>
              </w:rPr>
              <w:t>15.</w:t>
            </w:r>
            <w:r w:rsidRPr="00C452F7">
              <w:rPr>
                <w:color w:val="000000"/>
              </w:rPr>
              <w:tab/>
              <w:t>File date of compensation request:</w:t>
            </w:r>
          </w:p>
        </w:tc>
        <w:tc>
          <w:tcPr>
            <w:tcW w:w="1890" w:type="dxa"/>
            <w:shd w:val="clear" w:color="auto" w:fill="auto"/>
          </w:tcPr>
          <w:p w:rsidRPr="00C452F7" w:rsidR="00625B30" w:rsidP="00470C55" w:rsidRDefault="00625B30" w14:paraId="3EC4455E" w14:textId="47A0B2F9">
            <w:pPr>
              <w:tabs>
                <w:tab w:val="left" w:pos="360"/>
              </w:tabs>
              <w:jc w:val="center"/>
              <w:rPr>
                <w:color w:val="000000"/>
              </w:rPr>
            </w:pPr>
            <w:r w:rsidRPr="00C452F7">
              <w:rPr>
                <w:color w:val="000000"/>
              </w:rPr>
              <w:t>4/</w:t>
            </w:r>
            <w:r w:rsidRPr="00C452F7" w:rsidR="00C452F7">
              <w:rPr>
                <w:color w:val="000000"/>
              </w:rPr>
              <w:t>19</w:t>
            </w:r>
            <w:r w:rsidRPr="00C452F7">
              <w:rPr>
                <w:color w:val="000000"/>
              </w:rPr>
              <w:t>/</w:t>
            </w:r>
            <w:r w:rsidR="00470C55">
              <w:rPr>
                <w:color w:val="000000"/>
              </w:rPr>
              <w:t>20</w:t>
            </w:r>
            <w:r w:rsidRPr="00C452F7">
              <w:rPr>
                <w:color w:val="000000"/>
              </w:rPr>
              <w:t>24</w:t>
            </w:r>
          </w:p>
        </w:tc>
        <w:tc>
          <w:tcPr>
            <w:tcW w:w="1620" w:type="dxa"/>
            <w:shd w:val="clear" w:color="auto" w:fill="auto"/>
          </w:tcPr>
          <w:p w:rsidRPr="007F620E" w:rsidR="00625B30" w:rsidP="00470C55" w:rsidRDefault="00660A03" w14:paraId="0AA5FCCC" w14:textId="1D2FE697">
            <w:pPr>
              <w:tabs>
                <w:tab w:val="left" w:pos="360"/>
              </w:tabs>
              <w:jc w:val="center"/>
              <w:rPr>
                <w:color w:val="000000"/>
              </w:rPr>
            </w:pPr>
            <w:r>
              <w:rPr>
                <w:color w:val="000000"/>
              </w:rPr>
              <w:t>Verified</w:t>
            </w:r>
          </w:p>
        </w:tc>
      </w:tr>
      <w:tr w:rsidRPr="007F620E" w:rsidR="00625B30" w:rsidTr="00470C55" w14:paraId="7F31CB95" w14:textId="77777777">
        <w:tc>
          <w:tcPr>
            <w:tcW w:w="7915" w:type="dxa"/>
            <w:gridSpan w:val="2"/>
            <w:shd w:val="clear" w:color="auto" w:fill="auto"/>
          </w:tcPr>
          <w:p w:rsidRPr="007F620E" w:rsidR="00625B30" w:rsidP="00ED55FC" w:rsidRDefault="00625B30" w14:paraId="4F41F2A4" w14:textId="77777777">
            <w:pPr>
              <w:tabs>
                <w:tab w:val="left" w:pos="360"/>
              </w:tabs>
              <w:ind w:left="360" w:hanging="360"/>
              <w:rPr>
                <w:color w:val="000000"/>
              </w:rPr>
            </w:pPr>
            <w:r w:rsidRPr="007F620E">
              <w:rPr>
                <w:color w:val="000000"/>
              </w:rPr>
              <w:t>16</w:t>
            </w:r>
            <w:r>
              <w:rPr>
                <w:color w:val="000000"/>
              </w:rPr>
              <w:t>.</w:t>
            </w:r>
            <w:r>
              <w:rPr>
                <w:color w:val="000000"/>
              </w:rPr>
              <w:tab/>
            </w:r>
            <w:r w:rsidRPr="007F620E">
              <w:rPr>
                <w:color w:val="000000"/>
              </w:rPr>
              <w:t>Was the request for compensation timely?</w:t>
            </w:r>
          </w:p>
        </w:tc>
        <w:tc>
          <w:tcPr>
            <w:tcW w:w="1620" w:type="dxa"/>
            <w:shd w:val="clear" w:color="auto" w:fill="auto"/>
          </w:tcPr>
          <w:p w:rsidRPr="007F620E" w:rsidR="00625B30" w:rsidP="00470C55" w:rsidRDefault="00660A03" w14:paraId="30065D30" w14:textId="2B058D26">
            <w:pPr>
              <w:tabs>
                <w:tab w:val="left" w:pos="360"/>
              </w:tabs>
              <w:jc w:val="center"/>
              <w:rPr>
                <w:color w:val="000000"/>
              </w:rPr>
            </w:pPr>
            <w:r>
              <w:rPr>
                <w:color w:val="000000"/>
              </w:rPr>
              <w:t>Yes</w:t>
            </w:r>
          </w:p>
        </w:tc>
      </w:tr>
    </w:tbl>
    <w:p w:rsidR="00625B30" w:rsidRDefault="00625B30" w14:paraId="29FAD63A" w14:textId="77777777"/>
    <w:p w:rsidR="003457F0" w:rsidP="003457F0" w:rsidRDefault="00625B30" w14:paraId="22348BF9" w14:textId="13495A29">
      <w:pPr>
        <w:keepNext/>
        <w:keepLines/>
        <w:adjustRightInd w:val="0"/>
        <w:snapToGrid w:val="0"/>
        <w:spacing w:line="360" w:lineRule="auto"/>
        <w:contextualSpacing/>
        <w:jc w:val="center"/>
        <w:rPr>
          <w:b/>
          <w:color w:val="000000"/>
        </w:rPr>
      </w:pPr>
      <w:r w:rsidRPr="007F620E">
        <w:rPr>
          <w:b/>
          <w:color w:val="000000"/>
        </w:rPr>
        <w:t>PART II:</w:t>
      </w:r>
      <w:r>
        <w:rPr>
          <w:b/>
          <w:color w:val="000000"/>
        </w:rPr>
        <w:t xml:space="preserve">  </w:t>
      </w:r>
      <w:r w:rsidRPr="007F620E">
        <w:rPr>
          <w:b/>
          <w:color w:val="000000"/>
        </w:rPr>
        <w:t>SUBSTANTIAL CONTRIBUTION</w:t>
      </w:r>
    </w:p>
    <w:p w:rsidR="00470C55" w:rsidP="003457F0" w:rsidRDefault="00625B30" w14:paraId="1C294B6D" w14:textId="4D74583C">
      <w:pPr>
        <w:keepNext/>
        <w:keepLines/>
        <w:numPr>
          <w:ilvl w:val="0"/>
          <w:numId w:val="2"/>
        </w:numPr>
        <w:adjustRightInd w:val="0"/>
        <w:snapToGrid w:val="0"/>
        <w:contextualSpacing/>
        <w:rPr>
          <w:b/>
          <w:color w:val="000000"/>
        </w:rPr>
      </w:pPr>
      <w:r w:rsidRPr="00660A03">
        <w:rPr>
          <w:b/>
          <w:color w:val="000000"/>
        </w:rPr>
        <w:t>Did the Intervenor substantially contribute to the final decision (</w:t>
      </w:r>
      <w:r w:rsidRPr="00660A03">
        <w:rPr>
          <w:b/>
          <w:i/>
          <w:color w:val="000000"/>
        </w:rPr>
        <w:t>see</w:t>
      </w:r>
      <w:r w:rsidRPr="00660A03">
        <w:rPr>
          <w:b/>
          <w:color w:val="000000"/>
        </w:rPr>
        <w:t xml:space="preserve"> §</w:t>
      </w:r>
      <w:r w:rsidRPr="003457F0" w:rsidR="003457F0">
        <w:rPr>
          <w:b/>
          <w:color w:val="000000"/>
        </w:rPr>
        <w:t>§</w:t>
      </w:r>
      <w:r w:rsidRPr="00660A03">
        <w:rPr>
          <w:b/>
          <w:color w:val="000000"/>
        </w:rPr>
        <w:t xml:space="preserve">1802(j), </w:t>
      </w:r>
      <w:r w:rsidRPr="00660A03">
        <w:rPr>
          <w:b/>
          <w:color w:val="000000"/>
        </w:rPr>
        <w:br/>
        <w:t>1803(a), 1803.1(a) and D.98-04-059):</w:t>
      </w:r>
    </w:p>
    <w:p w:rsidRPr="00470C55" w:rsidR="00470C55" w:rsidP="00470C55" w:rsidRDefault="00470C55" w14:paraId="0A6C9F0F" w14:textId="77777777">
      <w:pPr>
        <w:keepNext/>
        <w:keepLines/>
        <w:adjustRightInd w:val="0"/>
        <w:snapToGrid w:val="0"/>
        <w:spacing w:after="240"/>
        <w:contextualSpacing/>
        <w:rPr>
          <w:b/>
          <w:color w:val="000000"/>
        </w:rPr>
      </w:pPr>
    </w:p>
    <w:tbl>
      <w:tblPr>
        <w:tblStyle w:val="TableGrid"/>
        <w:tblpPr w:leftFromText="187" w:rightFromText="187" w:vertAnchor="text" w:tblpY="1"/>
        <w:tblOverlap w:val="never"/>
        <w:tblW w:w="9535" w:type="dxa"/>
        <w:tblLook w:val="04A0" w:firstRow="1" w:lastRow="0" w:firstColumn="1" w:lastColumn="0" w:noHBand="0" w:noVBand="1"/>
      </w:tblPr>
      <w:tblGrid>
        <w:gridCol w:w="4225"/>
        <w:gridCol w:w="3960"/>
        <w:gridCol w:w="1350"/>
      </w:tblGrid>
      <w:tr w:rsidRPr="00625B30" w:rsidR="00625B30" w:rsidTr="003457F0" w14:paraId="31A23EE0" w14:textId="77777777">
        <w:tc>
          <w:tcPr>
            <w:tcW w:w="4225" w:type="dxa"/>
            <w:shd w:val="clear" w:color="auto" w:fill="DFDFDF"/>
          </w:tcPr>
          <w:p w:rsidRPr="00625B30" w:rsidR="00625B30" w:rsidP="00625B30" w:rsidRDefault="00625B30" w14:paraId="7590F04D" w14:textId="3327489E">
            <w:pPr>
              <w:jc w:val="center"/>
              <w:rPr>
                <w:sz w:val="24"/>
                <w:szCs w:val="24"/>
              </w:rPr>
            </w:pPr>
            <w:r w:rsidRPr="00625B30">
              <w:rPr>
                <w:b/>
                <w:color w:val="000000"/>
                <w:sz w:val="24"/>
                <w:szCs w:val="24"/>
              </w:rPr>
              <w:t>Intervenor’s Claimed Contribution(s)</w:t>
            </w:r>
          </w:p>
        </w:tc>
        <w:tc>
          <w:tcPr>
            <w:tcW w:w="3960" w:type="dxa"/>
            <w:shd w:val="clear" w:color="auto" w:fill="DFDFDF"/>
          </w:tcPr>
          <w:p w:rsidRPr="00625B30" w:rsidR="00625B30" w:rsidP="00625B30" w:rsidRDefault="00625B30" w14:paraId="545FB0CF" w14:textId="3C0E687D">
            <w:pPr>
              <w:jc w:val="center"/>
              <w:rPr>
                <w:sz w:val="24"/>
                <w:szCs w:val="24"/>
              </w:rPr>
            </w:pPr>
            <w:r w:rsidRPr="00625B30">
              <w:rPr>
                <w:b/>
                <w:color w:val="000000"/>
                <w:sz w:val="24"/>
                <w:szCs w:val="24"/>
              </w:rPr>
              <w:t>Specific References to Intervenor’s Claimed Contribution(s)</w:t>
            </w:r>
          </w:p>
        </w:tc>
        <w:tc>
          <w:tcPr>
            <w:tcW w:w="1350" w:type="dxa"/>
            <w:shd w:val="clear" w:color="auto" w:fill="DFDFDF"/>
          </w:tcPr>
          <w:p w:rsidRPr="00625B30" w:rsidR="00625B30" w:rsidP="00625B30" w:rsidRDefault="00625B30" w14:paraId="760ED22F" w14:textId="59714282">
            <w:pPr>
              <w:jc w:val="center"/>
              <w:rPr>
                <w:sz w:val="24"/>
                <w:szCs w:val="24"/>
              </w:rPr>
            </w:pPr>
            <w:r w:rsidRPr="00625B30">
              <w:rPr>
                <w:b/>
                <w:color w:val="000000"/>
                <w:sz w:val="24"/>
                <w:szCs w:val="24"/>
              </w:rPr>
              <w:t>CPUC Discussion</w:t>
            </w:r>
          </w:p>
        </w:tc>
      </w:tr>
      <w:tr w:rsidRPr="00625B30" w:rsidR="00625B30" w:rsidTr="003457F0" w14:paraId="2CAFF356" w14:textId="77777777">
        <w:tc>
          <w:tcPr>
            <w:tcW w:w="4225" w:type="dxa"/>
            <w:shd w:val="clear" w:color="auto" w:fill="auto"/>
          </w:tcPr>
          <w:p w:rsidR="00625B30" w:rsidP="00625B30" w:rsidRDefault="00AA4CEB" w14:paraId="7639F368" w14:textId="54EAA4DB">
            <w:pPr>
              <w:keepNext/>
              <w:keepLines/>
              <w:adjustRightInd w:val="0"/>
              <w:snapToGrid w:val="0"/>
              <w:rPr>
                <w:sz w:val="24"/>
                <w:szCs w:val="24"/>
              </w:rPr>
            </w:pPr>
            <w:r>
              <w:rPr>
                <w:sz w:val="24"/>
                <w:szCs w:val="24"/>
              </w:rPr>
              <w:t>TURN challenged PG&amp;E’s claim that its requested interim rate increase would save customers $25 million per year</w:t>
            </w:r>
            <w:r w:rsidR="00296DF8">
              <w:rPr>
                <w:sz w:val="24"/>
                <w:szCs w:val="24"/>
              </w:rPr>
              <w:t xml:space="preserve">, pointing out that PG&amp;E’s calculation assumed 100% approval of the costs in this application.  </w:t>
            </w:r>
          </w:p>
          <w:p w:rsidR="003521CF" w:rsidP="00625B30" w:rsidRDefault="003521CF" w14:paraId="1957BB37" w14:textId="77777777">
            <w:pPr>
              <w:keepNext/>
              <w:keepLines/>
              <w:adjustRightInd w:val="0"/>
              <w:snapToGrid w:val="0"/>
              <w:rPr>
                <w:sz w:val="24"/>
                <w:szCs w:val="24"/>
              </w:rPr>
            </w:pPr>
          </w:p>
          <w:p w:rsidRPr="00625B30" w:rsidR="001E7C73" w:rsidP="003457F0" w:rsidRDefault="003521CF" w14:paraId="3852DD22" w14:textId="272387F6">
            <w:pPr>
              <w:keepNext/>
              <w:keepLines/>
              <w:adjustRightInd w:val="0"/>
              <w:snapToGrid w:val="0"/>
              <w:spacing w:after="120"/>
              <w:rPr>
                <w:sz w:val="24"/>
                <w:szCs w:val="24"/>
              </w:rPr>
            </w:pPr>
            <w:r>
              <w:rPr>
                <w:sz w:val="24"/>
                <w:szCs w:val="24"/>
              </w:rPr>
              <w:t>The decision agreed  with TURN that PG&amp;E’s scenario depends upon a presumption that all of PG&amp;E’s recorded costs will be found just and reasonable and stating that TURN is correct that, should the costs be found unreasonable, no savings will occur.</w:t>
            </w:r>
          </w:p>
        </w:tc>
        <w:tc>
          <w:tcPr>
            <w:tcW w:w="3960" w:type="dxa"/>
            <w:shd w:val="clear" w:color="auto" w:fill="auto"/>
          </w:tcPr>
          <w:p w:rsidR="000451BA" w:rsidP="00625B30" w:rsidRDefault="000451BA" w14:paraId="08D39628" w14:textId="60F055ED">
            <w:pPr>
              <w:rPr>
                <w:sz w:val="24"/>
                <w:szCs w:val="24"/>
              </w:rPr>
            </w:pPr>
            <w:r>
              <w:rPr>
                <w:sz w:val="24"/>
                <w:szCs w:val="24"/>
              </w:rPr>
              <w:t>TURN 7/17/23 Opposition to PG&amp;E Motion, at pp.</w:t>
            </w:r>
            <w:r w:rsidR="003457F0">
              <w:rPr>
                <w:sz w:val="24"/>
                <w:szCs w:val="24"/>
              </w:rPr>
              <w:t> </w:t>
            </w:r>
            <w:r>
              <w:rPr>
                <w:sz w:val="24"/>
                <w:szCs w:val="24"/>
              </w:rPr>
              <w:t>7</w:t>
            </w:r>
            <w:r w:rsidR="003457F0">
              <w:rPr>
                <w:sz w:val="24"/>
                <w:szCs w:val="24"/>
              </w:rPr>
              <w:noBreakHyphen/>
            </w:r>
            <w:r>
              <w:rPr>
                <w:sz w:val="24"/>
                <w:szCs w:val="24"/>
              </w:rPr>
              <w:t>8.</w:t>
            </w:r>
          </w:p>
          <w:p w:rsidR="000451BA" w:rsidP="00625B30" w:rsidRDefault="000451BA" w14:paraId="45CF06A4" w14:textId="77777777">
            <w:pPr>
              <w:rPr>
                <w:sz w:val="24"/>
                <w:szCs w:val="24"/>
              </w:rPr>
            </w:pPr>
          </w:p>
          <w:p w:rsidR="000451BA" w:rsidP="00625B30" w:rsidRDefault="000451BA" w14:paraId="243C87CF" w14:textId="77777777">
            <w:pPr>
              <w:rPr>
                <w:sz w:val="24"/>
                <w:szCs w:val="24"/>
              </w:rPr>
            </w:pPr>
          </w:p>
          <w:p w:rsidR="000451BA" w:rsidP="00625B30" w:rsidRDefault="000451BA" w14:paraId="54418D3E" w14:textId="77777777">
            <w:pPr>
              <w:rPr>
                <w:sz w:val="24"/>
                <w:szCs w:val="24"/>
              </w:rPr>
            </w:pPr>
          </w:p>
          <w:p w:rsidR="000451BA" w:rsidP="00625B30" w:rsidRDefault="000451BA" w14:paraId="7BB542F4" w14:textId="77777777">
            <w:pPr>
              <w:rPr>
                <w:sz w:val="24"/>
                <w:szCs w:val="24"/>
              </w:rPr>
            </w:pPr>
          </w:p>
          <w:p w:rsidR="000451BA" w:rsidP="00625B30" w:rsidRDefault="000451BA" w14:paraId="0734E241" w14:textId="77777777">
            <w:pPr>
              <w:rPr>
                <w:sz w:val="24"/>
                <w:szCs w:val="24"/>
              </w:rPr>
            </w:pPr>
          </w:p>
          <w:p w:rsidR="000451BA" w:rsidP="00625B30" w:rsidRDefault="000451BA" w14:paraId="1B312271" w14:textId="77777777">
            <w:pPr>
              <w:rPr>
                <w:sz w:val="24"/>
                <w:szCs w:val="24"/>
              </w:rPr>
            </w:pPr>
          </w:p>
          <w:p w:rsidR="000451BA" w:rsidP="00625B30" w:rsidRDefault="000451BA" w14:paraId="5825DE25" w14:textId="77777777">
            <w:pPr>
              <w:rPr>
                <w:sz w:val="24"/>
                <w:szCs w:val="24"/>
              </w:rPr>
            </w:pPr>
          </w:p>
          <w:p w:rsidR="00625B30" w:rsidP="00625B30" w:rsidRDefault="00AF385C" w14:paraId="0536EF43" w14:textId="0715B406">
            <w:pPr>
              <w:rPr>
                <w:sz w:val="24"/>
                <w:szCs w:val="24"/>
              </w:rPr>
            </w:pPr>
            <w:r>
              <w:rPr>
                <w:sz w:val="24"/>
                <w:szCs w:val="24"/>
              </w:rPr>
              <w:t xml:space="preserve">D.24-03-006, </w:t>
            </w:r>
            <w:r w:rsidR="00EF42F4">
              <w:rPr>
                <w:sz w:val="24"/>
                <w:szCs w:val="24"/>
              </w:rPr>
              <w:t>p.</w:t>
            </w:r>
            <w:r w:rsidR="003457F0">
              <w:rPr>
                <w:sz w:val="24"/>
                <w:szCs w:val="24"/>
              </w:rPr>
              <w:t> </w:t>
            </w:r>
            <w:r w:rsidR="00EF42F4">
              <w:rPr>
                <w:sz w:val="24"/>
                <w:szCs w:val="24"/>
              </w:rPr>
              <w:t>23</w:t>
            </w:r>
            <w:r w:rsidR="001E7C73">
              <w:rPr>
                <w:sz w:val="24"/>
                <w:szCs w:val="24"/>
              </w:rPr>
              <w:t>.</w:t>
            </w:r>
          </w:p>
          <w:p w:rsidRPr="00625B30" w:rsidR="001A66B3" w:rsidP="00625B30" w:rsidRDefault="001A66B3" w14:paraId="5DFA3F4F" w14:textId="6D2320D1">
            <w:pPr>
              <w:rPr>
                <w:sz w:val="24"/>
                <w:szCs w:val="24"/>
              </w:rPr>
            </w:pPr>
          </w:p>
        </w:tc>
        <w:tc>
          <w:tcPr>
            <w:tcW w:w="1350" w:type="dxa"/>
          </w:tcPr>
          <w:p w:rsidRPr="00625B30" w:rsidR="00625B30" w:rsidP="00470C55" w:rsidRDefault="004766D8" w14:paraId="645BB15C" w14:textId="1BCA7811">
            <w:pPr>
              <w:jc w:val="center"/>
              <w:rPr>
                <w:sz w:val="24"/>
                <w:szCs w:val="24"/>
              </w:rPr>
            </w:pPr>
            <w:r>
              <w:rPr>
                <w:sz w:val="24"/>
                <w:szCs w:val="24"/>
              </w:rPr>
              <w:t>Verified</w:t>
            </w:r>
          </w:p>
        </w:tc>
      </w:tr>
      <w:tr w:rsidRPr="00625B30" w:rsidR="00625B30" w:rsidTr="003457F0" w14:paraId="6744E886" w14:textId="77777777">
        <w:tc>
          <w:tcPr>
            <w:tcW w:w="4225" w:type="dxa"/>
            <w:shd w:val="clear" w:color="auto" w:fill="auto"/>
          </w:tcPr>
          <w:p w:rsidR="00625B30" w:rsidP="003457F0" w:rsidRDefault="00480E9E" w14:paraId="3CDFFBD9" w14:textId="5A4DDE7E">
            <w:pPr>
              <w:keepNext/>
              <w:keepLines/>
              <w:adjustRightInd w:val="0"/>
              <w:snapToGrid w:val="0"/>
              <w:rPr>
                <w:sz w:val="24"/>
                <w:szCs w:val="24"/>
              </w:rPr>
            </w:pPr>
            <w:r>
              <w:rPr>
                <w:sz w:val="24"/>
                <w:szCs w:val="24"/>
              </w:rPr>
              <w:lastRenderedPageBreak/>
              <w:t>TURN questioned PG&amp;E’s claim that is has $5.7</w:t>
            </w:r>
            <w:r w:rsidR="003457F0">
              <w:rPr>
                <w:sz w:val="24"/>
                <w:szCs w:val="24"/>
              </w:rPr>
              <w:t> </w:t>
            </w:r>
            <w:r>
              <w:rPr>
                <w:sz w:val="24"/>
                <w:szCs w:val="24"/>
              </w:rPr>
              <w:t xml:space="preserve">billion </w:t>
            </w:r>
            <w:r w:rsidR="00CC32FA">
              <w:rPr>
                <w:sz w:val="24"/>
                <w:szCs w:val="24"/>
              </w:rPr>
              <w:t xml:space="preserve">of unrecovered costs in memorandum and balancing accounts.  TURN included a breakdown it obtained in discovery showing that much of that amount </w:t>
            </w:r>
            <w:r w:rsidR="00D41568">
              <w:rPr>
                <w:sz w:val="24"/>
                <w:szCs w:val="24"/>
              </w:rPr>
              <w:t xml:space="preserve">related to rate recovery that has already been approved.   </w:t>
            </w:r>
          </w:p>
          <w:p w:rsidR="008C0CB1" w:rsidP="00625B30" w:rsidRDefault="008C0CB1" w14:paraId="645EBA35" w14:textId="77777777">
            <w:pPr>
              <w:keepNext/>
              <w:keepLines/>
              <w:adjustRightInd w:val="0"/>
              <w:snapToGrid w:val="0"/>
              <w:rPr>
                <w:sz w:val="24"/>
                <w:szCs w:val="24"/>
              </w:rPr>
            </w:pPr>
          </w:p>
          <w:p w:rsidR="008C0CB1" w:rsidP="00625B30" w:rsidRDefault="008C0CB1" w14:paraId="10AAD742" w14:textId="291E1D54">
            <w:pPr>
              <w:keepNext/>
              <w:keepLines/>
              <w:adjustRightInd w:val="0"/>
              <w:snapToGrid w:val="0"/>
              <w:rPr>
                <w:sz w:val="24"/>
                <w:szCs w:val="24"/>
              </w:rPr>
            </w:pPr>
            <w:r>
              <w:rPr>
                <w:sz w:val="24"/>
                <w:szCs w:val="24"/>
              </w:rPr>
              <w:t>The decision noted that in response to inquiries by TURN and the CPUC, PG&amp;E reduced its estimate of unrecovered balances from $5.7</w:t>
            </w:r>
            <w:r w:rsidR="003457F0">
              <w:rPr>
                <w:sz w:val="24"/>
                <w:szCs w:val="24"/>
              </w:rPr>
              <w:t> </w:t>
            </w:r>
            <w:r>
              <w:rPr>
                <w:sz w:val="24"/>
                <w:szCs w:val="24"/>
              </w:rPr>
              <w:t>billion to $2.7</w:t>
            </w:r>
            <w:r w:rsidR="003457F0">
              <w:rPr>
                <w:sz w:val="24"/>
                <w:szCs w:val="24"/>
              </w:rPr>
              <w:t> </w:t>
            </w:r>
            <w:r>
              <w:rPr>
                <w:sz w:val="24"/>
                <w:szCs w:val="24"/>
              </w:rPr>
              <w:t>billion, by removing revenue already  authorized for recovery and not yet effective in rates.</w:t>
            </w:r>
          </w:p>
          <w:p w:rsidRPr="00625B30" w:rsidR="008C0CB1" w:rsidP="00625B30" w:rsidRDefault="008C0CB1" w14:paraId="7516E6B5" w14:textId="4BFE3264">
            <w:pPr>
              <w:keepNext/>
              <w:keepLines/>
              <w:adjustRightInd w:val="0"/>
              <w:snapToGrid w:val="0"/>
              <w:rPr>
                <w:sz w:val="24"/>
                <w:szCs w:val="24"/>
              </w:rPr>
            </w:pPr>
          </w:p>
        </w:tc>
        <w:tc>
          <w:tcPr>
            <w:tcW w:w="3960" w:type="dxa"/>
            <w:shd w:val="clear" w:color="auto" w:fill="auto"/>
          </w:tcPr>
          <w:p w:rsidR="000451BA" w:rsidP="00625B30" w:rsidRDefault="000451BA" w14:paraId="13221600" w14:textId="520320DC">
            <w:pPr>
              <w:rPr>
                <w:sz w:val="24"/>
                <w:szCs w:val="24"/>
              </w:rPr>
            </w:pPr>
            <w:r>
              <w:rPr>
                <w:sz w:val="24"/>
                <w:szCs w:val="24"/>
              </w:rPr>
              <w:t>TURN 7/17/23 Opposition to PG&amp;E Motion, at 10</w:t>
            </w:r>
            <w:r w:rsidR="003457F0">
              <w:rPr>
                <w:sz w:val="24"/>
                <w:szCs w:val="24"/>
              </w:rPr>
              <w:noBreakHyphen/>
            </w:r>
            <w:r>
              <w:rPr>
                <w:sz w:val="24"/>
                <w:szCs w:val="24"/>
              </w:rPr>
              <w:t>11; TURN 9/8/23 Response to CPUC Questions, at 7</w:t>
            </w:r>
            <w:r w:rsidR="003457F0">
              <w:rPr>
                <w:sz w:val="24"/>
                <w:szCs w:val="24"/>
              </w:rPr>
              <w:noBreakHyphen/>
            </w:r>
            <w:r>
              <w:rPr>
                <w:sz w:val="24"/>
                <w:szCs w:val="24"/>
              </w:rPr>
              <w:t>8.</w:t>
            </w:r>
          </w:p>
          <w:p w:rsidR="000451BA" w:rsidP="00625B30" w:rsidRDefault="000451BA" w14:paraId="6A77D0B0" w14:textId="77777777">
            <w:pPr>
              <w:rPr>
                <w:sz w:val="24"/>
                <w:szCs w:val="24"/>
              </w:rPr>
            </w:pPr>
          </w:p>
          <w:p w:rsidR="000451BA" w:rsidP="00625B30" w:rsidRDefault="000451BA" w14:paraId="0D8483C7" w14:textId="77777777">
            <w:pPr>
              <w:rPr>
                <w:sz w:val="24"/>
                <w:szCs w:val="24"/>
              </w:rPr>
            </w:pPr>
          </w:p>
          <w:p w:rsidR="000451BA" w:rsidP="00625B30" w:rsidRDefault="000451BA" w14:paraId="7B1640F7" w14:textId="77777777">
            <w:pPr>
              <w:rPr>
                <w:sz w:val="24"/>
                <w:szCs w:val="24"/>
              </w:rPr>
            </w:pPr>
          </w:p>
          <w:p w:rsidR="000451BA" w:rsidP="00625B30" w:rsidRDefault="000451BA" w14:paraId="37C5B92F" w14:textId="77777777">
            <w:pPr>
              <w:rPr>
                <w:sz w:val="24"/>
                <w:szCs w:val="24"/>
              </w:rPr>
            </w:pPr>
          </w:p>
          <w:p w:rsidR="000451BA" w:rsidP="00625B30" w:rsidRDefault="000451BA" w14:paraId="2C188598" w14:textId="77777777">
            <w:pPr>
              <w:rPr>
                <w:sz w:val="24"/>
                <w:szCs w:val="24"/>
              </w:rPr>
            </w:pPr>
          </w:p>
          <w:p w:rsidR="000451BA" w:rsidP="00625B30" w:rsidRDefault="000451BA" w14:paraId="304D5531" w14:textId="77777777">
            <w:pPr>
              <w:rPr>
                <w:sz w:val="24"/>
                <w:szCs w:val="24"/>
              </w:rPr>
            </w:pPr>
          </w:p>
          <w:p w:rsidR="000451BA" w:rsidP="00625B30" w:rsidRDefault="000451BA" w14:paraId="49DD3944" w14:textId="77777777">
            <w:pPr>
              <w:rPr>
                <w:sz w:val="24"/>
                <w:szCs w:val="24"/>
              </w:rPr>
            </w:pPr>
          </w:p>
          <w:p w:rsidR="00625B30" w:rsidP="00625B30" w:rsidRDefault="00FD7DAD" w14:paraId="544B09EA" w14:textId="476B7132">
            <w:pPr>
              <w:rPr>
                <w:sz w:val="24"/>
                <w:szCs w:val="24"/>
              </w:rPr>
            </w:pPr>
            <w:r>
              <w:rPr>
                <w:sz w:val="24"/>
                <w:szCs w:val="24"/>
              </w:rPr>
              <w:t>D</w:t>
            </w:r>
            <w:r w:rsidR="003457F0">
              <w:rPr>
                <w:sz w:val="24"/>
                <w:szCs w:val="24"/>
              </w:rPr>
              <w:t> </w:t>
            </w:r>
            <w:r>
              <w:rPr>
                <w:sz w:val="24"/>
                <w:szCs w:val="24"/>
              </w:rPr>
              <w:t>24-03-006, p.</w:t>
            </w:r>
            <w:r w:rsidR="003457F0">
              <w:rPr>
                <w:sz w:val="24"/>
                <w:szCs w:val="24"/>
              </w:rPr>
              <w:t> </w:t>
            </w:r>
            <w:r>
              <w:rPr>
                <w:sz w:val="24"/>
                <w:szCs w:val="24"/>
              </w:rPr>
              <w:t>26</w:t>
            </w:r>
            <w:r w:rsidR="008C0CB1">
              <w:rPr>
                <w:sz w:val="24"/>
                <w:szCs w:val="24"/>
              </w:rPr>
              <w:t>.</w:t>
            </w:r>
          </w:p>
          <w:p w:rsidRPr="00625B30" w:rsidR="00CB7CF3" w:rsidP="00625B30" w:rsidRDefault="00CB7CF3" w14:paraId="0A9D9E00" w14:textId="333D6854">
            <w:pPr>
              <w:rPr>
                <w:sz w:val="24"/>
                <w:szCs w:val="24"/>
              </w:rPr>
            </w:pPr>
          </w:p>
        </w:tc>
        <w:tc>
          <w:tcPr>
            <w:tcW w:w="1350" w:type="dxa"/>
          </w:tcPr>
          <w:p w:rsidRPr="00625B30" w:rsidR="00625B30" w:rsidP="00470C55" w:rsidRDefault="00920A41" w14:paraId="5BC31D39" w14:textId="4F9439B3">
            <w:pPr>
              <w:jc w:val="center"/>
              <w:rPr>
                <w:sz w:val="24"/>
                <w:szCs w:val="24"/>
              </w:rPr>
            </w:pPr>
            <w:r>
              <w:rPr>
                <w:sz w:val="24"/>
                <w:szCs w:val="24"/>
              </w:rPr>
              <w:t>Verified</w:t>
            </w:r>
          </w:p>
        </w:tc>
      </w:tr>
      <w:tr w:rsidRPr="00625B30" w:rsidR="00625B30" w:rsidTr="003457F0" w14:paraId="041EC0D5" w14:textId="77777777">
        <w:tc>
          <w:tcPr>
            <w:tcW w:w="4225" w:type="dxa"/>
            <w:shd w:val="clear" w:color="auto" w:fill="auto"/>
          </w:tcPr>
          <w:p w:rsidR="003B0DC8" w:rsidP="003B0DC8" w:rsidRDefault="00B72508" w14:paraId="58679F19" w14:textId="03355F2B">
            <w:pPr>
              <w:keepNext/>
              <w:keepLines/>
              <w:adjustRightInd w:val="0"/>
              <w:snapToGrid w:val="0"/>
              <w:rPr>
                <w:sz w:val="24"/>
                <w:szCs w:val="24"/>
              </w:rPr>
            </w:pPr>
            <w:r w:rsidRPr="00B72508">
              <w:rPr>
                <w:sz w:val="24"/>
                <w:szCs w:val="24"/>
              </w:rPr>
              <w:t xml:space="preserve">TURN </w:t>
            </w:r>
            <w:r>
              <w:rPr>
                <w:sz w:val="24"/>
                <w:szCs w:val="24"/>
              </w:rPr>
              <w:t>u</w:t>
            </w:r>
            <w:r w:rsidR="00CA2E2A">
              <w:rPr>
                <w:sz w:val="24"/>
                <w:szCs w:val="24"/>
              </w:rPr>
              <w:t>r</w:t>
            </w:r>
            <w:r>
              <w:rPr>
                <w:sz w:val="24"/>
                <w:szCs w:val="24"/>
              </w:rPr>
              <w:t xml:space="preserve">ged the CPUC to </w:t>
            </w:r>
            <w:proofErr w:type="gramStart"/>
            <w:r>
              <w:rPr>
                <w:sz w:val="24"/>
                <w:szCs w:val="24"/>
              </w:rPr>
              <w:t>take into account</w:t>
            </w:r>
            <w:proofErr w:type="gramEnd"/>
            <w:r>
              <w:rPr>
                <w:sz w:val="24"/>
                <w:szCs w:val="24"/>
              </w:rPr>
              <w:t xml:space="preserve"> the rate shock to vulnerable households that PG&amp;E’s request</w:t>
            </w:r>
            <w:r w:rsidR="00CA2E2A">
              <w:rPr>
                <w:sz w:val="24"/>
                <w:szCs w:val="24"/>
              </w:rPr>
              <w:t>ed relief</w:t>
            </w:r>
            <w:r>
              <w:rPr>
                <w:sz w:val="24"/>
                <w:szCs w:val="24"/>
              </w:rPr>
              <w:t xml:space="preserve"> would exacerbate</w:t>
            </w:r>
            <w:r w:rsidR="00CA2E2A">
              <w:rPr>
                <w:sz w:val="24"/>
                <w:szCs w:val="24"/>
              </w:rPr>
              <w:t xml:space="preserve">.  </w:t>
            </w:r>
            <w:r w:rsidR="00997483">
              <w:rPr>
                <w:sz w:val="24"/>
                <w:szCs w:val="24"/>
              </w:rPr>
              <w:t>TURN pointed out that, when other approved and pending rate increases are considered, th</w:t>
            </w:r>
            <w:r w:rsidR="009E5690">
              <w:rPr>
                <w:sz w:val="24"/>
                <w:szCs w:val="24"/>
              </w:rPr>
              <w:t>e combined effect would be to increase bills far more than the 2.9% inflation rate for the San Francisco Bay Area</w:t>
            </w:r>
            <w:r w:rsidR="003B0DC8">
              <w:rPr>
                <w:sz w:val="24"/>
                <w:szCs w:val="24"/>
              </w:rPr>
              <w:t xml:space="preserve">, causing significant economic hardship to many households.   </w:t>
            </w:r>
          </w:p>
          <w:p w:rsidR="00F44C4D" w:rsidP="003B0DC8" w:rsidRDefault="00F44C4D" w14:paraId="1BF4338F" w14:textId="77777777">
            <w:pPr>
              <w:keepNext/>
              <w:keepLines/>
              <w:adjustRightInd w:val="0"/>
              <w:snapToGrid w:val="0"/>
              <w:rPr>
                <w:sz w:val="24"/>
                <w:szCs w:val="24"/>
              </w:rPr>
            </w:pPr>
          </w:p>
          <w:p w:rsidR="00F44C4D" w:rsidP="003B0DC8" w:rsidRDefault="00F44C4D" w14:paraId="5341B2F2" w14:textId="279AEA65">
            <w:pPr>
              <w:keepNext/>
              <w:keepLines/>
              <w:adjustRightInd w:val="0"/>
              <w:snapToGrid w:val="0"/>
              <w:rPr>
                <w:sz w:val="24"/>
                <w:szCs w:val="24"/>
              </w:rPr>
            </w:pPr>
            <w:r>
              <w:rPr>
                <w:sz w:val="24"/>
                <w:szCs w:val="24"/>
              </w:rPr>
              <w:t xml:space="preserve">The CPUC reduced PG&amp;E’s requested interim relief from 85% to 75% </w:t>
            </w:r>
            <w:r w:rsidRPr="008E7D77">
              <w:rPr>
                <w:sz w:val="24"/>
                <w:szCs w:val="24"/>
              </w:rPr>
              <w:t xml:space="preserve"> based in part on affordability concerns, including TURN’s point that the combination of this rate increase and the 2023 GRC rate increase will dwarf the 2.9% inflation rate for the San Francisco Bay Area.</w:t>
            </w:r>
          </w:p>
          <w:p w:rsidRPr="00B72508" w:rsidR="00625B30" w:rsidP="00625B30" w:rsidRDefault="00625B30" w14:paraId="7EF3C91C" w14:textId="1A4F78B2">
            <w:pPr>
              <w:rPr>
                <w:sz w:val="24"/>
                <w:szCs w:val="24"/>
              </w:rPr>
            </w:pPr>
          </w:p>
        </w:tc>
        <w:tc>
          <w:tcPr>
            <w:tcW w:w="3960" w:type="dxa"/>
            <w:shd w:val="clear" w:color="auto" w:fill="auto"/>
          </w:tcPr>
          <w:p w:rsidR="000451BA" w:rsidP="00625B30" w:rsidRDefault="000451BA" w14:paraId="13D5CC8C" w14:textId="6E969F3C">
            <w:pPr>
              <w:rPr>
                <w:sz w:val="24"/>
                <w:szCs w:val="24"/>
              </w:rPr>
            </w:pPr>
            <w:r>
              <w:rPr>
                <w:sz w:val="24"/>
                <w:szCs w:val="24"/>
              </w:rPr>
              <w:t>TURN 7/17/23 Opposition to PG&amp;E Motion, at 4</w:t>
            </w:r>
            <w:r w:rsidR="003457F0">
              <w:rPr>
                <w:sz w:val="24"/>
                <w:szCs w:val="24"/>
              </w:rPr>
              <w:noBreakHyphen/>
            </w:r>
            <w:r>
              <w:rPr>
                <w:sz w:val="24"/>
                <w:szCs w:val="24"/>
              </w:rPr>
              <w:t>7; TURN 9/8/23 Response to CPUC Questions, at 4</w:t>
            </w:r>
            <w:r w:rsidR="003457F0">
              <w:rPr>
                <w:sz w:val="24"/>
                <w:szCs w:val="24"/>
              </w:rPr>
              <w:noBreakHyphen/>
            </w:r>
            <w:r>
              <w:rPr>
                <w:sz w:val="24"/>
                <w:szCs w:val="24"/>
              </w:rPr>
              <w:t>5.</w:t>
            </w:r>
          </w:p>
          <w:p w:rsidR="000451BA" w:rsidP="00625B30" w:rsidRDefault="000451BA" w14:paraId="14C5955D" w14:textId="77777777">
            <w:pPr>
              <w:rPr>
                <w:sz w:val="24"/>
                <w:szCs w:val="24"/>
              </w:rPr>
            </w:pPr>
          </w:p>
          <w:p w:rsidR="000451BA" w:rsidP="00625B30" w:rsidRDefault="000451BA" w14:paraId="451E21B7" w14:textId="77777777">
            <w:pPr>
              <w:rPr>
                <w:sz w:val="24"/>
                <w:szCs w:val="24"/>
              </w:rPr>
            </w:pPr>
          </w:p>
          <w:p w:rsidR="000451BA" w:rsidP="00625B30" w:rsidRDefault="000451BA" w14:paraId="12719181" w14:textId="77777777">
            <w:pPr>
              <w:rPr>
                <w:sz w:val="24"/>
                <w:szCs w:val="24"/>
              </w:rPr>
            </w:pPr>
          </w:p>
          <w:p w:rsidR="000451BA" w:rsidP="00625B30" w:rsidRDefault="000451BA" w14:paraId="37D16B8A" w14:textId="77777777">
            <w:pPr>
              <w:rPr>
                <w:sz w:val="24"/>
                <w:szCs w:val="24"/>
              </w:rPr>
            </w:pPr>
          </w:p>
          <w:p w:rsidR="000451BA" w:rsidP="00625B30" w:rsidRDefault="000451BA" w14:paraId="32E7C660" w14:textId="77777777">
            <w:pPr>
              <w:rPr>
                <w:sz w:val="24"/>
                <w:szCs w:val="24"/>
              </w:rPr>
            </w:pPr>
          </w:p>
          <w:p w:rsidR="000451BA" w:rsidP="00625B30" w:rsidRDefault="000451BA" w14:paraId="4B09E396" w14:textId="77777777">
            <w:pPr>
              <w:rPr>
                <w:sz w:val="24"/>
                <w:szCs w:val="24"/>
              </w:rPr>
            </w:pPr>
          </w:p>
          <w:p w:rsidR="000451BA" w:rsidP="00625B30" w:rsidRDefault="000451BA" w14:paraId="4C2E3D14" w14:textId="77777777">
            <w:pPr>
              <w:rPr>
                <w:sz w:val="24"/>
                <w:szCs w:val="24"/>
              </w:rPr>
            </w:pPr>
          </w:p>
          <w:p w:rsidR="000451BA" w:rsidP="00625B30" w:rsidRDefault="000451BA" w14:paraId="43AF9154" w14:textId="77777777">
            <w:pPr>
              <w:rPr>
                <w:sz w:val="24"/>
                <w:szCs w:val="24"/>
              </w:rPr>
            </w:pPr>
          </w:p>
          <w:p w:rsidR="000451BA" w:rsidP="00625B30" w:rsidRDefault="000451BA" w14:paraId="2D95C9F2" w14:textId="77777777">
            <w:pPr>
              <w:rPr>
                <w:sz w:val="24"/>
                <w:szCs w:val="24"/>
              </w:rPr>
            </w:pPr>
          </w:p>
          <w:p w:rsidR="000451BA" w:rsidP="00625B30" w:rsidRDefault="000451BA" w14:paraId="1ABCD567" w14:textId="77777777">
            <w:pPr>
              <w:rPr>
                <w:sz w:val="24"/>
                <w:szCs w:val="24"/>
              </w:rPr>
            </w:pPr>
          </w:p>
          <w:p w:rsidR="000451BA" w:rsidP="00625B30" w:rsidRDefault="000451BA" w14:paraId="7758F2EF" w14:textId="77777777">
            <w:pPr>
              <w:rPr>
                <w:sz w:val="24"/>
                <w:szCs w:val="24"/>
              </w:rPr>
            </w:pPr>
          </w:p>
          <w:p w:rsidR="000451BA" w:rsidP="00625B30" w:rsidRDefault="000451BA" w14:paraId="2653041B" w14:textId="77777777">
            <w:pPr>
              <w:rPr>
                <w:sz w:val="24"/>
                <w:szCs w:val="24"/>
              </w:rPr>
            </w:pPr>
          </w:p>
          <w:p w:rsidRPr="00625B30" w:rsidR="00625B30" w:rsidP="00625B30" w:rsidRDefault="008E7D77" w14:paraId="69773D24" w14:textId="09BBCBA7">
            <w:r>
              <w:rPr>
                <w:sz w:val="24"/>
                <w:szCs w:val="24"/>
              </w:rPr>
              <w:t>D. 24-03-006, pp. 32</w:t>
            </w:r>
            <w:r w:rsidR="003457F0">
              <w:rPr>
                <w:sz w:val="24"/>
                <w:szCs w:val="24"/>
              </w:rPr>
              <w:noBreakHyphen/>
            </w:r>
            <w:r>
              <w:rPr>
                <w:sz w:val="24"/>
                <w:szCs w:val="24"/>
              </w:rPr>
              <w:t>33</w:t>
            </w:r>
            <w:r w:rsidR="00F44C4D">
              <w:rPr>
                <w:sz w:val="24"/>
                <w:szCs w:val="24"/>
              </w:rPr>
              <w:t>.</w:t>
            </w:r>
          </w:p>
        </w:tc>
        <w:tc>
          <w:tcPr>
            <w:tcW w:w="1350" w:type="dxa"/>
          </w:tcPr>
          <w:p w:rsidRPr="00625B30" w:rsidR="00625B30" w:rsidP="00470C55" w:rsidRDefault="00C85642" w14:paraId="1E718597" w14:textId="3926CF10">
            <w:pPr>
              <w:jc w:val="center"/>
            </w:pPr>
            <w:r>
              <w:t>Verified</w:t>
            </w:r>
          </w:p>
        </w:tc>
      </w:tr>
    </w:tbl>
    <w:p w:rsidR="00625B30" w:rsidRDefault="00625B30" w14:paraId="6DAC5D2E" w14:textId="77777777"/>
    <w:p w:rsidRPr="00625B30" w:rsidR="00625B30" w:rsidP="00C80E2B" w:rsidRDefault="00625B30" w14:paraId="47A7A716" w14:textId="4BBCA5B8">
      <w:pPr>
        <w:keepNext/>
        <w:numPr>
          <w:ilvl w:val="0"/>
          <w:numId w:val="2"/>
        </w:numPr>
        <w:spacing w:after="240"/>
        <w:rPr>
          <w:b/>
          <w:color w:val="000000"/>
        </w:rPr>
      </w:pPr>
      <w:r w:rsidRPr="007F620E">
        <w:rPr>
          <w:b/>
          <w:color w:val="000000"/>
        </w:rPr>
        <w:lastRenderedPageBreak/>
        <w:t>Duplication of Effort (§</w:t>
      </w:r>
      <w:r w:rsidRPr="003457F0" w:rsidR="003457F0">
        <w:rPr>
          <w:b/>
          <w:color w:val="000000"/>
        </w:rPr>
        <w:t>§</w:t>
      </w:r>
      <w:r w:rsidRPr="007F620E">
        <w:rPr>
          <w:b/>
          <w:color w:val="000000"/>
        </w:rPr>
        <w:t xml:space="preserve">1801.3(f) and </w:t>
      </w:r>
      <w:r>
        <w:rPr>
          <w:b/>
          <w:color w:val="000000"/>
        </w:rPr>
        <w:t>1802.5):</w:t>
      </w:r>
    </w:p>
    <w:tbl>
      <w:tblPr>
        <w:tblW w:w="9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bottom w:w="58" w:type="dxa"/>
        </w:tblCellMar>
        <w:tblLook w:val="01E0" w:firstRow="1" w:lastRow="1" w:firstColumn="1" w:lastColumn="1" w:noHBand="0" w:noVBand="0"/>
      </w:tblPr>
      <w:tblGrid>
        <w:gridCol w:w="6655"/>
        <w:gridCol w:w="1530"/>
        <w:gridCol w:w="1350"/>
      </w:tblGrid>
      <w:tr w:rsidRPr="007F620E" w:rsidR="00625B30" w:rsidTr="0058217B" w14:paraId="5289BD89" w14:textId="77777777">
        <w:trPr>
          <w:tblHeader/>
        </w:trPr>
        <w:tc>
          <w:tcPr>
            <w:tcW w:w="6655" w:type="dxa"/>
            <w:shd w:val="clear" w:color="auto" w:fill="D9D9D9" w:themeFill="background1" w:themeFillShade="D9"/>
          </w:tcPr>
          <w:p w:rsidRPr="007F620E" w:rsidR="00625B30" w:rsidP="00625B30" w:rsidRDefault="00625B30" w14:paraId="003FE68B" w14:textId="77777777">
            <w:pPr>
              <w:keepNext/>
              <w:keepLines/>
              <w:rPr>
                <w:color w:val="000000"/>
              </w:rPr>
            </w:pPr>
          </w:p>
        </w:tc>
        <w:tc>
          <w:tcPr>
            <w:tcW w:w="1530" w:type="dxa"/>
            <w:tcBorders>
              <w:bottom w:val="single" w:color="auto" w:sz="4" w:space="0"/>
            </w:tcBorders>
            <w:shd w:val="clear" w:color="auto" w:fill="D9D9D9" w:themeFill="background1" w:themeFillShade="D9"/>
          </w:tcPr>
          <w:p w:rsidRPr="007F620E" w:rsidR="00625B30" w:rsidP="00625B30" w:rsidRDefault="00625B30" w14:paraId="2E7C1F0A" w14:textId="77777777">
            <w:pPr>
              <w:keepNext/>
              <w:keepLines/>
              <w:jc w:val="center"/>
              <w:rPr>
                <w:b/>
                <w:color w:val="000000"/>
              </w:rPr>
            </w:pPr>
            <w:r w:rsidRPr="007F620E">
              <w:rPr>
                <w:b/>
                <w:color w:val="000000"/>
              </w:rPr>
              <w:t>Intervenor’s Assertion</w:t>
            </w:r>
          </w:p>
        </w:tc>
        <w:tc>
          <w:tcPr>
            <w:tcW w:w="1350" w:type="dxa"/>
            <w:shd w:val="clear" w:color="auto" w:fill="D9D9D9" w:themeFill="background1" w:themeFillShade="D9"/>
          </w:tcPr>
          <w:p w:rsidRPr="007F620E" w:rsidR="00625B30" w:rsidP="00625B30" w:rsidRDefault="00625B30" w14:paraId="6ABF937B" w14:textId="77777777">
            <w:pPr>
              <w:keepNext/>
              <w:keepLines/>
              <w:jc w:val="center"/>
              <w:rPr>
                <w:b/>
                <w:color w:val="000000"/>
              </w:rPr>
            </w:pPr>
            <w:r w:rsidRPr="007F620E">
              <w:rPr>
                <w:b/>
                <w:color w:val="000000"/>
              </w:rPr>
              <w:t>CPUC Discussion</w:t>
            </w:r>
          </w:p>
        </w:tc>
      </w:tr>
      <w:tr w:rsidRPr="007F620E" w:rsidR="00625B30" w:rsidTr="0058217B" w14:paraId="0398D72D" w14:textId="77777777">
        <w:trPr>
          <w:tblHeader/>
        </w:trPr>
        <w:tc>
          <w:tcPr>
            <w:tcW w:w="6655" w:type="dxa"/>
            <w:shd w:val="clear" w:color="auto" w:fill="auto"/>
          </w:tcPr>
          <w:p w:rsidRPr="007F620E" w:rsidR="00625B30" w:rsidP="003457F0" w:rsidRDefault="00625B30" w14:paraId="0939012C" w14:textId="289D2DE2">
            <w:pPr>
              <w:keepLines/>
              <w:spacing w:after="120"/>
              <w:ind w:left="360" w:hanging="360"/>
              <w:rPr>
                <w:b/>
                <w:color w:val="000000"/>
              </w:rPr>
            </w:pPr>
            <w:r w:rsidRPr="007F620E">
              <w:rPr>
                <w:b/>
                <w:color w:val="000000"/>
              </w:rPr>
              <w:t>a.</w:t>
            </w:r>
            <w:r w:rsidRPr="007F620E">
              <w:rPr>
                <w:b/>
                <w:color w:val="000000"/>
              </w:rPr>
              <w:tab/>
            </w:r>
            <w:r w:rsidRPr="007F620E">
              <w:rPr>
                <w:b/>
              </w:rPr>
              <w:t xml:space="preserve">Was </w:t>
            </w:r>
            <w:r w:rsidRPr="009E48E4">
              <w:rPr>
                <w:b/>
              </w:rPr>
              <w:t xml:space="preserve">the </w:t>
            </w:r>
            <w:r w:rsidRPr="009E48E4">
              <w:rPr>
                <w:b/>
                <w:color w:val="000000"/>
                <w:sz w:val="22"/>
                <w:szCs w:val="22"/>
              </w:rPr>
              <w:t>Public Advocate</w:t>
            </w:r>
            <w:r>
              <w:rPr>
                <w:b/>
                <w:color w:val="000000"/>
                <w:sz w:val="22"/>
                <w:szCs w:val="22"/>
              </w:rPr>
              <w:t>’</w:t>
            </w:r>
            <w:r w:rsidRPr="009E48E4">
              <w:rPr>
                <w:b/>
                <w:color w:val="000000"/>
                <w:sz w:val="22"/>
                <w:szCs w:val="22"/>
              </w:rPr>
              <w:t>s Office of the Public Utilities Commission</w:t>
            </w:r>
            <w:r w:rsidRPr="009E48E4">
              <w:rPr>
                <w:b/>
              </w:rPr>
              <w:t xml:space="preserve"> </w:t>
            </w:r>
            <w:r w:rsidRPr="00B55D78">
              <w:rPr>
                <w:b/>
                <w:color w:val="000000"/>
                <w:sz w:val="22"/>
                <w:szCs w:val="22"/>
              </w:rPr>
              <w:t>(Cal Advocates</w:t>
            </w:r>
            <w:r w:rsidRPr="007F620E">
              <w:rPr>
                <w:b/>
              </w:rPr>
              <w:t>) a party to the proceeding</w:t>
            </w:r>
            <w:r w:rsidRPr="007F620E">
              <w:rPr>
                <w:b/>
                <w:color w:val="000000"/>
              </w:rPr>
              <w:t>?</w:t>
            </w:r>
          </w:p>
        </w:tc>
        <w:tc>
          <w:tcPr>
            <w:tcW w:w="1530" w:type="dxa"/>
            <w:shd w:val="clear" w:color="auto" w:fill="auto"/>
          </w:tcPr>
          <w:p w:rsidRPr="00E25078" w:rsidR="00625B30" w:rsidP="00470C55" w:rsidRDefault="00625B30" w14:paraId="6AEEA4A3" w14:textId="77777777">
            <w:pPr>
              <w:keepNext/>
              <w:keepLines/>
              <w:jc w:val="center"/>
              <w:rPr>
                <w:color w:val="000000"/>
              </w:rPr>
            </w:pPr>
            <w:r>
              <w:rPr>
                <w:color w:val="000000"/>
              </w:rPr>
              <w:t>Yes.</w:t>
            </w:r>
          </w:p>
        </w:tc>
        <w:tc>
          <w:tcPr>
            <w:tcW w:w="1350" w:type="dxa"/>
            <w:shd w:val="clear" w:color="auto" w:fill="auto"/>
          </w:tcPr>
          <w:p w:rsidRPr="00E25078" w:rsidR="00625B30" w:rsidP="00470C55" w:rsidRDefault="00C85642" w14:paraId="602EEF22" w14:textId="6F2B0440">
            <w:pPr>
              <w:keepNext/>
              <w:keepLines/>
              <w:jc w:val="center"/>
              <w:rPr>
                <w:color w:val="000000"/>
              </w:rPr>
            </w:pPr>
            <w:r>
              <w:rPr>
                <w:color w:val="000000"/>
              </w:rPr>
              <w:t>Verified</w:t>
            </w:r>
          </w:p>
        </w:tc>
      </w:tr>
      <w:tr w:rsidRPr="007F620E" w:rsidR="00625B30" w:rsidTr="0058217B" w14:paraId="14CDEB43" w14:textId="77777777">
        <w:trPr>
          <w:tblHeader/>
        </w:trPr>
        <w:tc>
          <w:tcPr>
            <w:tcW w:w="6655" w:type="dxa"/>
            <w:shd w:val="clear" w:color="auto" w:fill="auto"/>
          </w:tcPr>
          <w:p w:rsidRPr="007F620E" w:rsidR="00625B30" w:rsidP="0058217B" w:rsidRDefault="00625B30" w14:paraId="19839B70" w14:textId="77777777">
            <w:pPr>
              <w:tabs>
                <w:tab w:val="left" w:pos="360"/>
              </w:tabs>
              <w:spacing w:after="120"/>
              <w:ind w:left="360" w:hanging="360"/>
              <w:rPr>
                <w:b/>
                <w:color w:val="000000"/>
              </w:rPr>
            </w:pPr>
            <w:r w:rsidRPr="007F620E">
              <w:rPr>
                <w:b/>
                <w:color w:val="000000"/>
              </w:rPr>
              <w:t>b.</w:t>
            </w:r>
            <w:r w:rsidRPr="007F620E">
              <w:rPr>
                <w:b/>
                <w:color w:val="000000"/>
              </w:rPr>
              <w:tab/>
              <w:t xml:space="preserve">Were there other parties to the proceeding with positions similar to yours? </w:t>
            </w:r>
          </w:p>
        </w:tc>
        <w:tc>
          <w:tcPr>
            <w:tcW w:w="1530" w:type="dxa"/>
            <w:shd w:val="clear" w:color="auto" w:fill="auto"/>
          </w:tcPr>
          <w:p w:rsidRPr="00E25078" w:rsidR="00625B30" w:rsidP="00470C55" w:rsidRDefault="000E11A8" w14:paraId="68EED31A" w14:textId="6C2C935A">
            <w:pPr>
              <w:jc w:val="center"/>
              <w:rPr>
                <w:color w:val="000000"/>
              </w:rPr>
            </w:pPr>
            <w:r>
              <w:rPr>
                <w:color w:val="000000"/>
              </w:rPr>
              <w:t>No.</w:t>
            </w:r>
          </w:p>
        </w:tc>
        <w:tc>
          <w:tcPr>
            <w:tcW w:w="1350" w:type="dxa"/>
            <w:shd w:val="clear" w:color="auto" w:fill="auto"/>
          </w:tcPr>
          <w:p w:rsidRPr="00E25078" w:rsidR="00625B30" w:rsidP="00470C55" w:rsidRDefault="009847A7" w14:paraId="2D258E39" w14:textId="6E876769">
            <w:pPr>
              <w:jc w:val="center"/>
              <w:rPr>
                <w:color w:val="000000"/>
              </w:rPr>
            </w:pPr>
            <w:r>
              <w:rPr>
                <w:color w:val="000000"/>
              </w:rPr>
              <w:t>Verified</w:t>
            </w:r>
          </w:p>
        </w:tc>
      </w:tr>
      <w:tr w:rsidRPr="007F620E" w:rsidR="00625B30" w:rsidTr="0058217B" w14:paraId="09B667B4" w14:textId="77777777">
        <w:trPr>
          <w:tblHeader/>
        </w:trPr>
        <w:tc>
          <w:tcPr>
            <w:tcW w:w="8185" w:type="dxa"/>
            <w:gridSpan w:val="2"/>
            <w:shd w:val="clear" w:color="auto" w:fill="auto"/>
          </w:tcPr>
          <w:p w:rsidRPr="00E25078" w:rsidR="00625B30" w:rsidP="0058217B" w:rsidRDefault="00625B30" w14:paraId="1A8496F9" w14:textId="6B14130F">
            <w:pPr>
              <w:spacing w:after="120"/>
              <w:ind w:left="360" w:hanging="360"/>
              <w:rPr>
                <w:color w:val="000000"/>
              </w:rPr>
            </w:pPr>
            <w:r w:rsidRPr="00E25078">
              <w:rPr>
                <w:b/>
                <w:color w:val="000000"/>
              </w:rPr>
              <w:t>c.</w:t>
            </w:r>
            <w:r w:rsidRPr="00E25078">
              <w:rPr>
                <w:b/>
                <w:color w:val="000000"/>
              </w:rPr>
              <w:tab/>
              <w:t>If so, provide name of other parties:</w:t>
            </w:r>
            <w:r w:rsidRPr="00E25078">
              <w:rPr>
                <w:color w:val="000000"/>
              </w:rPr>
              <w:t xml:space="preserve"> </w:t>
            </w:r>
            <w:r w:rsidR="000E11A8">
              <w:rPr>
                <w:color w:val="000000"/>
              </w:rPr>
              <w:t xml:space="preserve">Only </w:t>
            </w:r>
            <w:r>
              <w:rPr>
                <w:color w:val="000000"/>
              </w:rPr>
              <w:t>Cal Advocates.</w:t>
            </w:r>
            <w:r w:rsidR="000E11A8">
              <w:rPr>
                <w:color w:val="000000"/>
              </w:rPr>
              <w:t xml:space="preserve">  Energy Producers and Users Coalition (EPUC) and Indicated Shippers (IS) did not </w:t>
            </w:r>
            <w:r w:rsidR="00D60975">
              <w:rPr>
                <w:color w:val="000000"/>
              </w:rPr>
              <w:t xml:space="preserve">participate </w:t>
            </w:r>
            <w:r w:rsidR="000E11A8">
              <w:rPr>
                <w:color w:val="000000"/>
              </w:rPr>
              <w:t xml:space="preserve">until the </w:t>
            </w:r>
            <w:r w:rsidR="00D60975">
              <w:rPr>
                <w:color w:val="000000"/>
              </w:rPr>
              <w:t>proposed decision was issued.</w:t>
            </w:r>
          </w:p>
        </w:tc>
        <w:tc>
          <w:tcPr>
            <w:tcW w:w="1350" w:type="dxa"/>
            <w:shd w:val="clear" w:color="auto" w:fill="auto"/>
          </w:tcPr>
          <w:p w:rsidRPr="00E25078" w:rsidR="00625B30" w:rsidP="00470C55" w:rsidRDefault="009847A7" w14:paraId="6BA08FB8" w14:textId="0021F1BC">
            <w:pPr>
              <w:jc w:val="center"/>
              <w:rPr>
                <w:color w:val="000000"/>
              </w:rPr>
            </w:pPr>
            <w:r>
              <w:rPr>
                <w:color w:val="000000"/>
              </w:rPr>
              <w:t>Verified</w:t>
            </w:r>
          </w:p>
        </w:tc>
      </w:tr>
      <w:tr w:rsidRPr="007F620E" w:rsidR="00625B30" w:rsidTr="0058217B" w14:paraId="69B28CF2" w14:textId="77777777">
        <w:trPr>
          <w:tblHeader/>
        </w:trPr>
        <w:tc>
          <w:tcPr>
            <w:tcW w:w="8185" w:type="dxa"/>
            <w:gridSpan w:val="2"/>
            <w:shd w:val="clear" w:color="auto" w:fill="auto"/>
          </w:tcPr>
          <w:p w:rsidR="00625B30" w:rsidP="0058217B" w:rsidRDefault="00625B30" w14:paraId="00A92295" w14:textId="2D157A9D">
            <w:pPr>
              <w:tabs>
                <w:tab w:val="left" w:pos="360"/>
              </w:tabs>
              <w:ind w:left="360" w:hanging="21"/>
              <w:rPr>
                <w:color w:val="000000"/>
              </w:rPr>
            </w:pPr>
            <w:r w:rsidRPr="00E25078">
              <w:rPr>
                <w:b/>
                <w:color w:val="000000"/>
              </w:rPr>
              <w:t>d.</w:t>
            </w:r>
            <w:r w:rsidRPr="00E25078">
              <w:rPr>
                <w:b/>
                <w:color w:val="000000"/>
              </w:rPr>
              <w:tab/>
              <w:t>Intervenor’s claim of non-duplication:</w:t>
            </w:r>
            <w:r w:rsidR="00884DE7">
              <w:rPr>
                <w:color w:val="000000"/>
              </w:rPr>
              <w:t xml:space="preserve"> </w:t>
            </w:r>
            <w:r>
              <w:rPr>
                <w:color w:val="000000"/>
              </w:rPr>
              <w:t xml:space="preserve">  </w:t>
            </w:r>
          </w:p>
          <w:p w:rsidRPr="00E25078" w:rsidR="00625B30" w:rsidP="0058217B" w:rsidRDefault="001D2CA3" w14:paraId="6951DA0D" w14:textId="26C4F255">
            <w:pPr>
              <w:tabs>
                <w:tab w:val="left" w:pos="360"/>
              </w:tabs>
              <w:spacing w:after="120"/>
              <w:ind w:left="360" w:hanging="14"/>
              <w:rPr>
                <w:color w:val="000000"/>
              </w:rPr>
            </w:pPr>
            <w:r>
              <w:rPr>
                <w:color w:val="000000"/>
              </w:rPr>
              <w:t xml:space="preserve">TURN was the sole party who fully opposed PG&amp;E request for an interim rate increase, </w:t>
            </w:r>
            <w:r w:rsidR="00657E5D">
              <w:rPr>
                <w:color w:val="000000"/>
              </w:rPr>
              <w:t xml:space="preserve">primarily </w:t>
            </w:r>
            <w:r>
              <w:rPr>
                <w:color w:val="000000"/>
              </w:rPr>
              <w:t xml:space="preserve">on the grounds of rate shock to PG&amp;E’s customers.  </w:t>
            </w:r>
            <w:r w:rsidR="00657E5D">
              <w:rPr>
                <w:color w:val="000000"/>
              </w:rPr>
              <w:t xml:space="preserve">Cal Advocates took a different position, seeking to reduce PG&amp;E’s percentage of interim relief from 85% to 55%.  </w:t>
            </w:r>
            <w:r w:rsidR="00E939FC">
              <w:rPr>
                <w:color w:val="000000"/>
              </w:rPr>
              <w:t>TURN was the only intervenor to respond to the questions in the Commission’s August</w:t>
            </w:r>
            <w:r w:rsidR="0058217B">
              <w:rPr>
                <w:color w:val="000000"/>
              </w:rPr>
              <w:t> </w:t>
            </w:r>
            <w:r w:rsidR="00E939FC">
              <w:rPr>
                <w:color w:val="000000"/>
              </w:rPr>
              <w:t>22,</w:t>
            </w:r>
            <w:r w:rsidR="0058217B">
              <w:rPr>
                <w:color w:val="000000"/>
              </w:rPr>
              <w:t> 2023,</w:t>
            </w:r>
            <w:r w:rsidR="00E939FC">
              <w:rPr>
                <w:color w:val="000000"/>
              </w:rPr>
              <w:t xml:space="preserve"> Ruling seeking additional information regarding PG&amp;E’s </w:t>
            </w:r>
            <w:r w:rsidR="00EC1CFE">
              <w:rPr>
                <w:color w:val="000000"/>
              </w:rPr>
              <w:t xml:space="preserve">request for an interim rate increase.  </w:t>
            </w:r>
            <w:r w:rsidR="00625B30">
              <w:rPr>
                <w:color w:val="000000"/>
              </w:rPr>
              <w:t>For these reasons, TURN submits that the Commission should find no undue duplication between TURN’s participation and that of other parties.</w:t>
            </w:r>
          </w:p>
        </w:tc>
        <w:tc>
          <w:tcPr>
            <w:tcW w:w="1350" w:type="dxa"/>
            <w:shd w:val="clear" w:color="auto" w:fill="auto"/>
          </w:tcPr>
          <w:p w:rsidRPr="00E25078" w:rsidR="00625B30" w:rsidP="00470C55" w:rsidRDefault="009847A7" w14:paraId="0427108C" w14:textId="1AF196A0">
            <w:pPr>
              <w:tabs>
                <w:tab w:val="left" w:pos="360"/>
              </w:tabs>
              <w:ind w:left="360" w:hanging="360"/>
              <w:jc w:val="center"/>
              <w:rPr>
                <w:color w:val="000000"/>
              </w:rPr>
            </w:pPr>
            <w:r>
              <w:rPr>
                <w:color w:val="000000"/>
              </w:rPr>
              <w:t>Noted</w:t>
            </w:r>
          </w:p>
        </w:tc>
      </w:tr>
    </w:tbl>
    <w:p w:rsidR="00625B30" w:rsidRDefault="00625B30" w14:paraId="5766D8AD" w14:textId="77777777"/>
    <w:p w:rsidRPr="00625B30" w:rsidR="00625B30" w:rsidP="00625B30" w:rsidRDefault="00625B30" w14:paraId="22D61A1B" w14:textId="3E3D8768">
      <w:pPr>
        <w:keepNext/>
        <w:numPr>
          <w:ilvl w:val="0"/>
          <w:numId w:val="2"/>
        </w:numPr>
        <w:spacing w:before="240" w:after="240"/>
        <w:rPr>
          <w:b/>
          <w:i/>
          <w:color w:val="000000"/>
          <w:u w:val="single"/>
        </w:rPr>
      </w:pPr>
      <w:r w:rsidRPr="007F620E">
        <w:rPr>
          <w:b/>
          <w:color w:val="000000"/>
        </w:rPr>
        <w:t>Additional Comments on Part II</w:t>
      </w:r>
      <w:r>
        <w:rPr>
          <w:b/>
          <w:color w:val="000000"/>
        </w:rPr>
        <w:t>:</w:t>
      </w:r>
    </w:p>
    <w:tbl>
      <w:tblPr>
        <w:tblW w:w="9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999"/>
        <w:gridCol w:w="7186"/>
        <w:gridCol w:w="1350"/>
      </w:tblGrid>
      <w:tr w:rsidRPr="007F620E" w:rsidR="00625B30" w:rsidTr="0058217B" w14:paraId="52580149" w14:textId="77777777">
        <w:trPr>
          <w:tblHeader/>
        </w:trPr>
        <w:tc>
          <w:tcPr>
            <w:tcW w:w="999" w:type="dxa"/>
            <w:tcBorders>
              <w:bottom w:val="single" w:color="auto" w:sz="4" w:space="0"/>
            </w:tcBorders>
            <w:shd w:val="clear" w:color="auto" w:fill="D9D9D9" w:themeFill="background1" w:themeFillShade="D9"/>
          </w:tcPr>
          <w:p w:rsidRPr="007F620E" w:rsidR="00625B30" w:rsidP="00625B30" w:rsidRDefault="00625B30" w14:paraId="4AC25B5D" w14:textId="77777777">
            <w:pPr>
              <w:tabs>
                <w:tab w:val="left" w:pos="360"/>
              </w:tabs>
              <w:jc w:val="center"/>
              <w:rPr>
                <w:b/>
                <w:color w:val="000000"/>
              </w:rPr>
            </w:pPr>
            <w:r w:rsidRPr="007F620E">
              <w:rPr>
                <w:b/>
                <w:color w:val="000000"/>
              </w:rPr>
              <w:t>#</w:t>
            </w:r>
          </w:p>
        </w:tc>
        <w:tc>
          <w:tcPr>
            <w:tcW w:w="7186" w:type="dxa"/>
            <w:tcBorders>
              <w:bottom w:val="single" w:color="auto" w:sz="4" w:space="0"/>
            </w:tcBorders>
            <w:shd w:val="clear" w:color="auto" w:fill="D9D9D9" w:themeFill="background1" w:themeFillShade="D9"/>
          </w:tcPr>
          <w:p w:rsidRPr="007F620E" w:rsidR="00625B30" w:rsidP="00625B30" w:rsidRDefault="00625B30" w14:paraId="1D37E72A" w14:textId="77777777">
            <w:pPr>
              <w:tabs>
                <w:tab w:val="left" w:pos="360"/>
              </w:tabs>
              <w:jc w:val="center"/>
              <w:rPr>
                <w:b/>
                <w:color w:val="000000"/>
              </w:rPr>
            </w:pPr>
            <w:r w:rsidRPr="007F620E">
              <w:rPr>
                <w:b/>
                <w:color w:val="000000"/>
              </w:rPr>
              <w:t>Intervenor’s Comment</w:t>
            </w:r>
          </w:p>
        </w:tc>
        <w:tc>
          <w:tcPr>
            <w:tcW w:w="1350" w:type="dxa"/>
            <w:shd w:val="clear" w:color="auto" w:fill="D9D9D9" w:themeFill="background1" w:themeFillShade="D9"/>
          </w:tcPr>
          <w:p w:rsidRPr="007F620E" w:rsidR="00625B30" w:rsidP="00625B30" w:rsidRDefault="00625B30" w14:paraId="04ABEAB6" w14:textId="77777777">
            <w:pPr>
              <w:tabs>
                <w:tab w:val="left" w:pos="360"/>
              </w:tabs>
              <w:jc w:val="center"/>
              <w:rPr>
                <w:b/>
                <w:color w:val="000000"/>
              </w:rPr>
            </w:pPr>
            <w:r w:rsidRPr="007F620E">
              <w:rPr>
                <w:b/>
                <w:color w:val="000000"/>
              </w:rPr>
              <w:t>CPUC Discussion</w:t>
            </w:r>
          </w:p>
        </w:tc>
      </w:tr>
      <w:tr w:rsidRPr="007F620E" w:rsidR="00625B30" w:rsidTr="0058217B" w14:paraId="3722CDD6" w14:textId="77777777">
        <w:tc>
          <w:tcPr>
            <w:tcW w:w="999" w:type="dxa"/>
            <w:shd w:val="clear" w:color="auto" w:fill="auto"/>
          </w:tcPr>
          <w:p w:rsidRPr="007F620E" w:rsidR="00625B30" w:rsidP="009610B9" w:rsidRDefault="00625B30" w14:paraId="15363E11" w14:textId="77777777">
            <w:pPr>
              <w:tabs>
                <w:tab w:val="left" w:pos="360"/>
              </w:tabs>
              <w:jc w:val="center"/>
              <w:rPr>
                <w:color w:val="000000"/>
              </w:rPr>
            </w:pPr>
            <w:r>
              <w:rPr>
                <w:color w:val="000000"/>
              </w:rPr>
              <w:t>II.A</w:t>
            </w:r>
          </w:p>
        </w:tc>
        <w:tc>
          <w:tcPr>
            <w:tcW w:w="7186" w:type="dxa"/>
            <w:shd w:val="clear" w:color="auto" w:fill="auto"/>
          </w:tcPr>
          <w:p w:rsidRPr="007F620E" w:rsidR="00625B30" w:rsidP="003457F0" w:rsidRDefault="00625B30" w14:paraId="5CF7BEE8" w14:textId="3414BFD6">
            <w:pPr>
              <w:tabs>
                <w:tab w:val="left" w:pos="360"/>
              </w:tabs>
              <w:spacing w:after="120"/>
              <w:rPr>
                <w:color w:val="000000"/>
              </w:rPr>
            </w:pPr>
            <w:r>
              <w:rPr>
                <w:color w:val="000000"/>
                <w:u w:val="single"/>
              </w:rPr>
              <w:t>Partial success</w:t>
            </w:r>
            <w:r>
              <w:rPr>
                <w:color w:val="000000"/>
              </w:rPr>
              <w:t>.  Although TURN was not successful on all issues and recommendations it presented in its</w:t>
            </w:r>
            <w:r w:rsidR="00EC1CFE">
              <w:rPr>
                <w:color w:val="000000"/>
              </w:rPr>
              <w:t xml:space="preserve"> pleadings</w:t>
            </w:r>
            <w:r>
              <w:rPr>
                <w:color w:val="000000"/>
              </w:rPr>
              <w:t xml:space="preserve">, TURN’s partial success satisfies the definition of “substantial contribution under PU Code Sec. 1802(j) (“in the judgment of the commission, the customer’s presentation has substantially assisted the commission in the making of its order or decision because the </w:t>
            </w:r>
            <w:r w:rsidRPr="00AE32DB">
              <w:rPr>
                <w:color w:val="000000"/>
              </w:rPr>
              <w:t>order or decision has adopted in</w:t>
            </w:r>
            <w:r w:rsidR="00023AA3">
              <w:rPr>
                <w:color w:val="000000"/>
              </w:rPr>
              <w:t xml:space="preserve"> </w:t>
            </w:r>
            <w:r w:rsidRPr="00AE32DB">
              <w:rPr>
                <w:color w:val="000000"/>
              </w:rPr>
              <w:t>whole or in part one or more</w:t>
            </w:r>
            <w:r w:rsidR="00023AA3">
              <w:rPr>
                <w:color w:val="000000"/>
              </w:rPr>
              <w:t xml:space="preserve"> </w:t>
            </w:r>
            <w:r w:rsidRPr="00AE32DB">
              <w:rPr>
                <w:color w:val="000000"/>
              </w:rPr>
              <w:t>factual contentions, legal</w:t>
            </w:r>
            <w:r w:rsidRPr="00AE32DB">
              <w:rPr>
                <w:color w:val="000000"/>
              </w:rPr>
              <w:br/>
              <w:t>contentions, or specific policy or</w:t>
            </w:r>
            <w:r w:rsidR="00023AA3">
              <w:rPr>
                <w:color w:val="000000"/>
              </w:rPr>
              <w:t xml:space="preserve"> </w:t>
            </w:r>
            <w:r w:rsidRPr="00AE32DB">
              <w:rPr>
                <w:color w:val="000000"/>
              </w:rPr>
              <w:t>procedural recommendations</w:t>
            </w:r>
            <w:r w:rsidRPr="00AE32DB">
              <w:rPr>
                <w:color w:val="000000"/>
              </w:rPr>
              <w:br/>
              <w:t>presented by the customer.”</w:t>
            </w:r>
            <w:r w:rsidR="00023AA3">
              <w:rPr>
                <w:color w:val="000000"/>
              </w:rPr>
              <w:t xml:space="preserve"> </w:t>
            </w:r>
            <w:r w:rsidRPr="00AE32DB">
              <w:rPr>
                <w:color w:val="000000"/>
              </w:rPr>
              <w:t>(emphasis added)). The standard</w:t>
            </w:r>
            <w:r w:rsidRPr="00AE32DB">
              <w:rPr>
                <w:color w:val="000000"/>
              </w:rPr>
              <w:br/>
              <w:t>for an award of intervenor</w:t>
            </w:r>
            <w:r w:rsidR="00023AA3">
              <w:rPr>
                <w:color w:val="000000"/>
              </w:rPr>
              <w:t xml:space="preserve"> </w:t>
            </w:r>
            <w:r w:rsidRPr="00AE32DB">
              <w:rPr>
                <w:color w:val="000000"/>
              </w:rPr>
              <w:t>compensation is whether TURN</w:t>
            </w:r>
            <w:r w:rsidRPr="00AE32DB">
              <w:rPr>
                <w:color w:val="000000"/>
              </w:rPr>
              <w:br/>
              <w:t>made a substantial contribution to</w:t>
            </w:r>
            <w:r w:rsidR="00023AA3">
              <w:rPr>
                <w:color w:val="000000"/>
              </w:rPr>
              <w:t xml:space="preserve"> </w:t>
            </w:r>
            <w:r w:rsidRPr="00AE32DB">
              <w:rPr>
                <w:color w:val="000000"/>
              </w:rPr>
              <w:t>the Commission’s decision, not</w:t>
            </w:r>
            <w:r w:rsidRPr="00AE32DB">
              <w:rPr>
                <w:color w:val="000000"/>
              </w:rPr>
              <w:br/>
              <w:t>whether TURN prevailed on a</w:t>
            </w:r>
            <w:r w:rsidR="00023AA3">
              <w:rPr>
                <w:color w:val="000000"/>
              </w:rPr>
              <w:t xml:space="preserve"> </w:t>
            </w:r>
            <w:r w:rsidRPr="00AE32DB">
              <w:rPr>
                <w:color w:val="000000"/>
              </w:rPr>
              <w:t>particular issue or</w:t>
            </w:r>
            <w:r w:rsidR="00023AA3">
              <w:rPr>
                <w:color w:val="000000"/>
              </w:rPr>
              <w:t xml:space="preserve"> </w:t>
            </w:r>
            <w:r w:rsidRPr="00AE32DB">
              <w:rPr>
                <w:color w:val="000000"/>
              </w:rPr>
              <w:t>recommendation. For example,</w:t>
            </w:r>
            <w:r w:rsidR="00023AA3">
              <w:rPr>
                <w:color w:val="000000"/>
              </w:rPr>
              <w:t xml:space="preserve"> </w:t>
            </w:r>
            <w:r w:rsidRPr="00AE32DB">
              <w:rPr>
                <w:color w:val="000000"/>
              </w:rPr>
              <w:t>the Commission has recognized</w:t>
            </w:r>
            <w:r w:rsidR="00023AA3">
              <w:rPr>
                <w:color w:val="000000"/>
              </w:rPr>
              <w:t xml:space="preserve"> </w:t>
            </w:r>
            <w:r w:rsidRPr="00AE32DB">
              <w:rPr>
                <w:color w:val="000000"/>
              </w:rPr>
              <w:t>that it “may benefit from an</w:t>
            </w:r>
            <w:r w:rsidR="00023AA3">
              <w:rPr>
                <w:color w:val="000000"/>
              </w:rPr>
              <w:t xml:space="preserve"> </w:t>
            </w:r>
            <w:r w:rsidRPr="00AE32DB">
              <w:rPr>
                <w:color w:val="000000"/>
              </w:rPr>
              <w:t>intervenor’s participation even</w:t>
            </w:r>
            <w:r w:rsidR="00023AA3">
              <w:rPr>
                <w:color w:val="000000"/>
              </w:rPr>
              <w:t xml:space="preserve"> </w:t>
            </w:r>
            <w:r w:rsidRPr="00AE32DB">
              <w:rPr>
                <w:color w:val="000000"/>
              </w:rPr>
              <w:t>where the Commission did not</w:t>
            </w:r>
            <w:r w:rsidR="00023AA3">
              <w:rPr>
                <w:color w:val="000000"/>
              </w:rPr>
              <w:t xml:space="preserve"> </w:t>
            </w:r>
            <w:r w:rsidRPr="00AE32DB">
              <w:rPr>
                <w:color w:val="000000"/>
              </w:rPr>
              <w:t>adopt any of the intervenor’s</w:t>
            </w:r>
            <w:r w:rsidR="00023AA3">
              <w:rPr>
                <w:color w:val="000000"/>
              </w:rPr>
              <w:t xml:space="preserve"> </w:t>
            </w:r>
            <w:r w:rsidRPr="00AE32DB">
              <w:rPr>
                <w:color w:val="000000"/>
              </w:rPr>
              <w:t>positions or recommendations.”</w:t>
            </w:r>
            <w:r w:rsidR="00023AA3">
              <w:rPr>
                <w:color w:val="000000"/>
              </w:rPr>
              <w:t xml:space="preserve"> </w:t>
            </w:r>
            <w:r w:rsidRPr="00AE32DB">
              <w:rPr>
                <w:color w:val="000000"/>
              </w:rPr>
              <w:t>D.08-04-004 (in the review of</w:t>
            </w:r>
            <w:r w:rsidR="00023AA3">
              <w:rPr>
                <w:color w:val="000000"/>
              </w:rPr>
              <w:t xml:space="preserve"> </w:t>
            </w:r>
            <w:r w:rsidRPr="00AE32DB">
              <w:rPr>
                <w:color w:val="000000"/>
              </w:rPr>
              <w:t>SCE’s contract with Long Beach</w:t>
            </w:r>
            <w:r w:rsidR="00023AA3">
              <w:rPr>
                <w:color w:val="000000"/>
              </w:rPr>
              <w:t xml:space="preserve"> </w:t>
            </w:r>
            <w:r w:rsidRPr="00AE32DB">
              <w:rPr>
                <w:color w:val="000000"/>
              </w:rPr>
              <w:t xml:space="preserve">Generation, A.06-11- 007), </w:t>
            </w:r>
            <w:r w:rsidRPr="00AE32DB">
              <w:rPr>
                <w:color w:val="000000"/>
              </w:rPr>
              <w:lastRenderedPageBreak/>
              <w:t>pp. 5-6. Similarly, in D.09- 04-027,</w:t>
            </w:r>
            <w:r w:rsidR="00023AA3">
              <w:rPr>
                <w:color w:val="000000"/>
              </w:rPr>
              <w:t xml:space="preserve"> </w:t>
            </w:r>
            <w:r w:rsidRPr="00AE32DB">
              <w:rPr>
                <w:color w:val="000000"/>
              </w:rPr>
              <w:t>awarding intervenor</w:t>
            </w:r>
            <w:r w:rsidR="00023AA3">
              <w:rPr>
                <w:color w:val="000000"/>
              </w:rPr>
              <w:t xml:space="preserve"> </w:t>
            </w:r>
            <w:r w:rsidRPr="00AE32DB">
              <w:rPr>
                <w:color w:val="000000"/>
              </w:rPr>
              <w:t>compensation for TURN’s efforts</w:t>
            </w:r>
            <w:r w:rsidR="00023AA3">
              <w:rPr>
                <w:color w:val="000000"/>
              </w:rPr>
              <w:t xml:space="preserve"> </w:t>
            </w:r>
            <w:r w:rsidRPr="00AE32DB">
              <w:rPr>
                <w:color w:val="000000"/>
              </w:rPr>
              <w:t>in the SCE AMI proceeding</w:t>
            </w:r>
            <w:r w:rsidR="00023AA3">
              <w:rPr>
                <w:color w:val="000000"/>
              </w:rPr>
              <w:t xml:space="preserve"> </w:t>
            </w:r>
            <w:r w:rsidRPr="00AE32DB">
              <w:rPr>
                <w:color w:val="000000"/>
              </w:rPr>
              <w:t>(A.07-07- 026), the Commission</w:t>
            </w:r>
            <w:r w:rsidR="00023AA3">
              <w:rPr>
                <w:color w:val="000000"/>
              </w:rPr>
              <w:t xml:space="preserve"> </w:t>
            </w:r>
            <w:r w:rsidRPr="00AE32DB">
              <w:rPr>
                <w:color w:val="000000"/>
              </w:rPr>
              <w:t>found TURN to have made a</w:t>
            </w:r>
            <w:r w:rsidR="00023AA3">
              <w:rPr>
                <w:color w:val="000000"/>
              </w:rPr>
              <w:t xml:space="preserve"> </w:t>
            </w:r>
            <w:r w:rsidRPr="00AE32DB">
              <w:rPr>
                <w:color w:val="000000"/>
              </w:rPr>
              <w:t>substantial contribution even on</w:t>
            </w:r>
            <w:r w:rsidR="00023AA3">
              <w:rPr>
                <w:color w:val="000000"/>
              </w:rPr>
              <w:t xml:space="preserve"> </w:t>
            </w:r>
            <w:r w:rsidRPr="00AE32DB">
              <w:rPr>
                <w:color w:val="000000"/>
              </w:rPr>
              <w:t>issues where TURN did not</w:t>
            </w:r>
            <w:r w:rsidR="00023AA3">
              <w:rPr>
                <w:color w:val="000000"/>
              </w:rPr>
              <w:t xml:space="preserve"> </w:t>
            </w:r>
            <w:r w:rsidRPr="00AE32DB">
              <w:rPr>
                <w:color w:val="000000"/>
              </w:rPr>
              <w:t>prevail, as TURN’s efforts</w:t>
            </w:r>
            <w:r w:rsidR="00023AA3">
              <w:rPr>
                <w:color w:val="000000"/>
              </w:rPr>
              <w:t xml:space="preserve"> </w:t>
            </w:r>
            <w:r w:rsidRPr="00AE32DB">
              <w:rPr>
                <w:color w:val="000000"/>
              </w:rPr>
              <w:t>“contributed to the inclusion of</w:t>
            </w:r>
            <w:r w:rsidRPr="00AE32DB">
              <w:rPr>
                <w:color w:val="000000"/>
              </w:rPr>
              <w:br/>
              <w:t>these issues in the Commission’s</w:t>
            </w:r>
            <w:r w:rsidR="00023AA3">
              <w:rPr>
                <w:color w:val="000000"/>
              </w:rPr>
              <w:t xml:space="preserve"> </w:t>
            </w:r>
            <w:r w:rsidRPr="00AE32DB">
              <w:rPr>
                <w:color w:val="000000"/>
              </w:rPr>
              <w:t>deliberation” and caused the</w:t>
            </w:r>
            <w:r w:rsidRPr="00AE32DB">
              <w:rPr>
                <w:color w:val="000000"/>
              </w:rPr>
              <w:br/>
              <w:t>Commission to “add more</w:t>
            </w:r>
            <w:r w:rsidR="00023AA3">
              <w:rPr>
                <w:color w:val="000000"/>
              </w:rPr>
              <w:t xml:space="preserve"> </w:t>
            </w:r>
            <w:r w:rsidRPr="00AE32DB">
              <w:rPr>
                <w:color w:val="000000"/>
              </w:rPr>
              <w:t>discussion on the</w:t>
            </w:r>
            <w:r>
              <w:rPr>
                <w:color w:val="000000"/>
              </w:rPr>
              <w:t xml:space="preserve"> </w:t>
            </w:r>
            <w:r w:rsidRPr="00AE32DB">
              <w:rPr>
                <w:color w:val="000000"/>
              </w:rPr>
              <w:t>issue, in part to address TURN’s</w:t>
            </w:r>
            <w:r>
              <w:rPr>
                <w:color w:val="000000"/>
              </w:rPr>
              <w:t xml:space="preserve"> </w:t>
            </w:r>
            <w:r w:rsidRPr="00AE32DB">
              <w:rPr>
                <w:color w:val="000000"/>
              </w:rPr>
              <w:t>comments.” D.09-04-027, p. 4.</w:t>
            </w:r>
          </w:p>
        </w:tc>
        <w:tc>
          <w:tcPr>
            <w:tcW w:w="1350" w:type="dxa"/>
            <w:shd w:val="clear" w:color="auto" w:fill="auto"/>
          </w:tcPr>
          <w:p w:rsidRPr="007F620E" w:rsidR="00625B30" w:rsidP="00470C55" w:rsidRDefault="00717187" w14:paraId="2763B4FB" w14:textId="1B7676D0">
            <w:pPr>
              <w:tabs>
                <w:tab w:val="left" w:pos="360"/>
              </w:tabs>
              <w:jc w:val="center"/>
              <w:rPr>
                <w:color w:val="000000"/>
              </w:rPr>
            </w:pPr>
            <w:r>
              <w:rPr>
                <w:color w:val="000000"/>
              </w:rPr>
              <w:lastRenderedPageBreak/>
              <w:t>Noted</w:t>
            </w:r>
          </w:p>
        </w:tc>
      </w:tr>
    </w:tbl>
    <w:p w:rsidR="000D7CEC" w:rsidP="000D7CEC" w:rsidRDefault="000D7CEC" w14:paraId="489F0C99" w14:textId="308769E8">
      <w:pPr>
        <w:rPr>
          <w:b/>
          <w:color w:val="000000"/>
        </w:rPr>
      </w:pPr>
    </w:p>
    <w:p w:rsidRPr="00717187" w:rsidR="00B52A33" w:rsidP="0058217B" w:rsidRDefault="00625B30" w14:paraId="6938FCE8" w14:textId="38157593">
      <w:pPr>
        <w:keepNext/>
        <w:tabs>
          <w:tab w:val="left" w:pos="1260"/>
        </w:tabs>
        <w:ind w:left="1267" w:hanging="1267"/>
        <w:jc w:val="center"/>
        <w:rPr>
          <w:b/>
          <w:color w:val="000000"/>
        </w:rPr>
      </w:pPr>
      <w:r w:rsidRPr="007F620E">
        <w:rPr>
          <w:b/>
          <w:color w:val="000000"/>
        </w:rPr>
        <w:t>PART III:</w:t>
      </w:r>
      <w:r>
        <w:rPr>
          <w:b/>
          <w:color w:val="000000"/>
        </w:rPr>
        <w:t xml:space="preserve">  </w:t>
      </w:r>
      <w:r w:rsidRPr="007F620E">
        <w:rPr>
          <w:b/>
          <w:color w:val="000000"/>
        </w:rPr>
        <w:t>REASONABLENESS OF REQUESTED COMPENSATION</w:t>
      </w:r>
    </w:p>
    <w:p w:rsidRPr="00625B30" w:rsidR="00625B30" w:rsidP="00625B30" w:rsidRDefault="00625B30" w14:paraId="29C1358C" w14:textId="2E84CB73">
      <w:pPr>
        <w:pStyle w:val="ListParagraph"/>
        <w:numPr>
          <w:ilvl w:val="0"/>
          <w:numId w:val="7"/>
        </w:numPr>
      </w:pPr>
      <w:r w:rsidRPr="00625B30">
        <w:rPr>
          <w:b/>
          <w:color w:val="000000"/>
        </w:rPr>
        <w:t>General Claim of Reasonableness (§</w:t>
      </w:r>
      <w:r w:rsidRPr="003457F0" w:rsidR="003457F0">
        <w:rPr>
          <w:b/>
          <w:color w:val="000000"/>
        </w:rPr>
        <w:t>§</w:t>
      </w:r>
      <w:r w:rsidRPr="00625B30">
        <w:rPr>
          <w:b/>
          <w:color w:val="000000"/>
        </w:rPr>
        <w:t>1801 and 1806):</w:t>
      </w:r>
    </w:p>
    <w:p w:rsidR="00625B30" w:rsidP="00625B30" w:rsidRDefault="00625B30" w14:paraId="0BBC7C5F" w14:textId="77777777">
      <w:pPr>
        <w:pStyle w:val="ListParagraph"/>
      </w:pPr>
    </w:p>
    <w:tbl>
      <w:tblPr>
        <w:tblW w:w="9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bottom w:w="58" w:type="dxa"/>
        </w:tblCellMar>
        <w:tblLook w:val="01E0" w:firstRow="1" w:lastRow="1" w:firstColumn="1" w:lastColumn="1" w:noHBand="0" w:noVBand="0"/>
      </w:tblPr>
      <w:tblGrid>
        <w:gridCol w:w="8185"/>
        <w:gridCol w:w="1350"/>
      </w:tblGrid>
      <w:tr w:rsidRPr="007F620E" w:rsidR="00B52A33" w:rsidTr="0058217B" w14:paraId="3E53BF72" w14:textId="77777777">
        <w:tc>
          <w:tcPr>
            <w:tcW w:w="8185" w:type="dxa"/>
            <w:tcBorders>
              <w:top w:val="single" w:color="auto" w:sz="4" w:space="0"/>
              <w:left w:val="single" w:color="auto" w:sz="4" w:space="0"/>
              <w:bottom w:val="single" w:color="auto" w:sz="4" w:space="0"/>
              <w:right w:val="single" w:color="auto" w:sz="4" w:space="0"/>
            </w:tcBorders>
            <w:shd w:val="clear" w:color="auto" w:fill="D1D1D1" w:themeFill="background2" w:themeFillShade="E6"/>
          </w:tcPr>
          <w:p w:rsidRPr="007F620E" w:rsidR="00B52A33" w:rsidRDefault="00B52A33" w14:paraId="19927877" w14:textId="77777777">
            <w:pPr>
              <w:rPr>
                <w:b/>
                <w:color w:val="000000"/>
              </w:rPr>
            </w:pPr>
          </w:p>
        </w:tc>
        <w:tc>
          <w:tcPr>
            <w:tcW w:w="135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52A33" w:rsidR="00B52A33" w:rsidP="0058217B" w:rsidRDefault="00B52A33" w14:paraId="232422F5" w14:textId="17314DDF">
            <w:pPr>
              <w:tabs>
                <w:tab w:val="left" w:pos="3354"/>
              </w:tabs>
              <w:jc w:val="center"/>
              <w:rPr>
                <w:b/>
                <w:color w:val="000000"/>
              </w:rPr>
            </w:pPr>
            <w:r w:rsidRPr="007F620E">
              <w:rPr>
                <w:b/>
                <w:color w:val="000000"/>
              </w:rPr>
              <w:t>CPUC Discussion</w:t>
            </w:r>
          </w:p>
        </w:tc>
      </w:tr>
      <w:tr w:rsidRPr="007F620E" w:rsidR="00B52A33" w:rsidTr="0058217B" w14:paraId="05976705" w14:textId="77777777">
        <w:tc>
          <w:tcPr>
            <w:tcW w:w="8185" w:type="dxa"/>
            <w:tcBorders>
              <w:top w:val="single" w:color="auto" w:sz="4" w:space="0"/>
              <w:left w:val="single" w:color="auto" w:sz="4" w:space="0"/>
              <w:bottom w:val="single" w:color="auto" w:sz="4" w:space="0"/>
              <w:right w:val="single" w:color="auto" w:sz="4" w:space="0"/>
            </w:tcBorders>
            <w:shd w:val="clear" w:color="auto" w:fill="auto"/>
          </w:tcPr>
          <w:p w:rsidRPr="00B52A33" w:rsidR="00B52A33" w:rsidP="009610B9" w:rsidRDefault="00B52A33" w14:paraId="138FAD39" w14:textId="13FA55B9">
            <w:pPr>
              <w:spacing w:after="120"/>
              <w:rPr>
                <w:b/>
                <w:color w:val="000000"/>
              </w:rPr>
            </w:pPr>
            <w:r w:rsidRPr="007F620E">
              <w:rPr>
                <w:b/>
                <w:color w:val="000000"/>
              </w:rPr>
              <w:t>a. Intervenor’s claim of cost reasonableness:</w:t>
            </w:r>
            <w:r w:rsidRPr="00B52A33">
              <w:rPr>
                <w:b/>
                <w:color w:val="000000"/>
              </w:rPr>
              <w:t xml:space="preserve"> </w:t>
            </w:r>
          </w:p>
          <w:p w:rsidRPr="004A3FED" w:rsidR="00B52A33" w:rsidRDefault="00B52A33" w14:paraId="09F512B1" w14:textId="77777777">
            <w:pPr>
              <w:rPr>
                <w:color w:val="000000"/>
              </w:rPr>
            </w:pPr>
            <w:r w:rsidRPr="004A3FED">
              <w:rPr>
                <w:color w:val="000000"/>
              </w:rPr>
              <w:t xml:space="preserve">This request seeks an award of approximately $53,766 as the reasonable cost of our participation on the interim rate issue in this proceeding.  These costs are reasonable </w:t>
            </w:r>
            <w:proofErr w:type="gramStart"/>
            <w:r w:rsidRPr="004A3FED">
              <w:rPr>
                <w:color w:val="000000"/>
              </w:rPr>
              <w:t>in light of</w:t>
            </w:r>
            <w:proofErr w:type="gramEnd"/>
            <w:r w:rsidRPr="004A3FED">
              <w:rPr>
                <w:color w:val="000000"/>
              </w:rPr>
              <w:t xml:space="preserve"> the quality of TURN’s work and the contributions of TURN to the final decision.</w:t>
            </w:r>
          </w:p>
          <w:p w:rsidRPr="004A3FED" w:rsidR="00B52A33" w:rsidRDefault="00B52A33" w14:paraId="19DABF82" w14:textId="77777777">
            <w:pPr>
              <w:rPr>
                <w:color w:val="000000"/>
              </w:rPr>
            </w:pPr>
          </w:p>
          <w:p w:rsidRPr="004A3FED" w:rsidR="00B52A33" w:rsidRDefault="00B52A33" w14:paraId="77F1A255" w14:textId="29623845">
            <w:pPr>
              <w:rPr>
                <w:color w:val="000000"/>
              </w:rPr>
            </w:pPr>
            <w:r w:rsidRPr="004A3FED">
              <w:rPr>
                <w:color w:val="000000"/>
              </w:rPr>
              <w:t>The clearest monetary benefit of TURN’s participation in this proceeding is that the CPUC limited PG&amp;E’s interim rate increase to 75% of its requested total revenue requirement, compared to the 85% relief PG&amp;E sought in its motion, resulting in an approximately $70</w:t>
            </w:r>
            <w:r w:rsidR="0058217B">
              <w:rPr>
                <w:color w:val="000000"/>
              </w:rPr>
              <w:t> </w:t>
            </w:r>
            <w:r w:rsidRPr="004A3FED">
              <w:rPr>
                <w:color w:val="000000"/>
              </w:rPr>
              <w:t xml:space="preserve">million reduction in the interim revenue requirement increase.  This represents a reduction in the mounting bill increase pressure faced by PG&amp;E’s vulnerable households that dwarfs the relatively modest costs of TURN’s participation.  </w:t>
            </w:r>
          </w:p>
          <w:p w:rsidRPr="004A3FED" w:rsidR="00B52A33" w:rsidRDefault="00B52A33" w14:paraId="0BED9B5B" w14:textId="77777777">
            <w:pPr>
              <w:rPr>
                <w:color w:val="000000"/>
              </w:rPr>
            </w:pPr>
          </w:p>
          <w:p w:rsidRPr="004A3FED" w:rsidR="00B52A33" w:rsidRDefault="00B52A33" w14:paraId="356DAAEE" w14:textId="77777777">
            <w:pPr>
              <w:rPr>
                <w:color w:val="000000"/>
              </w:rPr>
            </w:pPr>
            <w:r w:rsidRPr="004A3FED">
              <w:rPr>
                <w:color w:val="000000"/>
              </w:rPr>
              <w:t>In addition, TURN’s advocacy provided the non-monetary benefit of helping to create a record that supported the Commission’s balance of competing considerations on the interim rate issue. While this benefit cannot be quantified, it should be recognized in assessing the value that resulted from TURN’s participation.</w:t>
            </w:r>
          </w:p>
          <w:p w:rsidRPr="004A3FED" w:rsidR="00B52A33" w:rsidRDefault="00B52A33" w14:paraId="4B434121" w14:textId="77777777">
            <w:pPr>
              <w:rPr>
                <w:color w:val="000000"/>
              </w:rPr>
            </w:pPr>
          </w:p>
          <w:p w:rsidRPr="00B52A33" w:rsidR="00B52A33" w:rsidP="0058217B" w:rsidRDefault="00B52A33" w14:paraId="54060DE0" w14:textId="1ACF6DC1">
            <w:pPr>
              <w:spacing w:after="120"/>
              <w:rPr>
                <w:b/>
                <w:color w:val="000000"/>
              </w:rPr>
            </w:pPr>
            <w:r w:rsidRPr="004A3FED">
              <w:rPr>
                <w:color w:val="000000"/>
              </w:rPr>
              <w:t>In sum, the Commission should conclude that TURN’s request is reasonable given the revenue requirement amounts at issue, the value of TURN’s participation, and the adopted outcome.</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B52A33" w:rsidR="00B52A33" w:rsidP="00470C55" w:rsidRDefault="00A93E41" w14:paraId="074F251E" w14:textId="1CAD4715">
            <w:pPr>
              <w:tabs>
                <w:tab w:val="left" w:pos="360"/>
              </w:tabs>
              <w:jc w:val="center"/>
              <w:rPr>
                <w:b/>
                <w:color w:val="000000"/>
              </w:rPr>
            </w:pPr>
            <w:r w:rsidRPr="00A93E41">
              <w:rPr>
                <w:color w:val="000000"/>
              </w:rPr>
              <w:t>Noted</w:t>
            </w:r>
          </w:p>
        </w:tc>
      </w:tr>
      <w:tr w:rsidRPr="007F620E" w:rsidR="00B52A33" w:rsidTr="0058217B" w14:paraId="3E10DCFF" w14:textId="77777777">
        <w:tc>
          <w:tcPr>
            <w:tcW w:w="8185" w:type="dxa"/>
            <w:tcBorders>
              <w:top w:val="single" w:color="auto" w:sz="4" w:space="0"/>
              <w:left w:val="single" w:color="auto" w:sz="4" w:space="0"/>
              <w:bottom w:val="single" w:color="auto" w:sz="4" w:space="0"/>
              <w:right w:val="single" w:color="auto" w:sz="4" w:space="0"/>
            </w:tcBorders>
            <w:shd w:val="clear" w:color="auto" w:fill="auto"/>
          </w:tcPr>
          <w:p w:rsidRPr="00B52A33" w:rsidR="00B52A33" w:rsidP="009610B9" w:rsidRDefault="00B52A33" w14:paraId="63ECAB1C" w14:textId="3A34BB18">
            <w:pPr>
              <w:spacing w:after="120"/>
              <w:rPr>
                <w:b/>
                <w:color w:val="000000"/>
              </w:rPr>
            </w:pPr>
            <w:r w:rsidRPr="007F620E">
              <w:rPr>
                <w:b/>
                <w:color w:val="000000"/>
              </w:rPr>
              <w:t>b. Reasonableness of hours claimed:</w:t>
            </w:r>
            <w:r w:rsidRPr="00B52A33">
              <w:rPr>
                <w:b/>
                <w:color w:val="000000"/>
              </w:rPr>
              <w:t xml:space="preserve"> </w:t>
            </w:r>
          </w:p>
          <w:p w:rsidRPr="004A3FED" w:rsidR="00B52A33" w:rsidRDefault="00B52A33" w14:paraId="096D3009" w14:textId="77777777">
            <w:pPr>
              <w:rPr>
                <w:color w:val="000000"/>
              </w:rPr>
            </w:pPr>
            <w:r w:rsidRPr="004A3FED">
              <w:rPr>
                <w:color w:val="000000"/>
              </w:rPr>
              <w:t xml:space="preserve">TURN requests compensation for approximately 66 hours of substantive work reviewing, analyzing and submitting pleadings on PG&amp;E’s motion for an interim </w:t>
            </w:r>
            <w:r w:rsidRPr="004A3FED">
              <w:rPr>
                <w:color w:val="000000"/>
              </w:rPr>
              <w:lastRenderedPageBreak/>
              <w:t>rate increase. TURN filed three pleadings on the interim rate issue – its 7/17/23 Opposition to PG&amp;E’s Motion, at 4-7, its 9/8/23 Response to CPUC Questions, and its 2/20/24 Comments on the Proposed Decision – and served on PG&amp;E two sets of data requests, consisting of 11 questions.</w:t>
            </w:r>
          </w:p>
          <w:p w:rsidRPr="004A3FED" w:rsidR="00B52A33" w:rsidRDefault="00B52A33" w14:paraId="3CD87B19" w14:textId="77777777">
            <w:pPr>
              <w:rPr>
                <w:color w:val="000000"/>
              </w:rPr>
            </w:pPr>
          </w:p>
          <w:p w:rsidRPr="004A3FED" w:rsidR="00B52A33" w:rsidRDefault="00B52A33" w14:paraId="7B3FD4EF" w14:textId="77777777">
            <w:pPr>
              <w:rPr>
                <w:color w:val="000000"/>
              </w:rPr>
            </w:pPr>
            <w:r w:rsidRPr="004A3FED">
              <w:rPr>
                <w:color w:val="000000"/>
              </w:rPr>
              <w:t>TURN’s team was led by its attorney, Director of Regulatory Strategy Thomas Long, who has more than 35 years of experience related to CPUC ratemaking proceedings.  Mr. Long prepared TURN’s three rounds of pleadings.  Mr. Long was assisted with analysis from TURN’s Senior Policy Expert, Jennifer Dowdell, who has an extensive background in corporate finance and accounting -- including several managerial positions in various financial and regulatory roles at PG&amp;E.  Ms. Dowdell provided analysis and support regarding the issue of PG&amp;E’s need for an interim rate increase to support its financial metrics.   TURN General Counsel Robert Finkelstein -- who has decades of experience on complex ratemaking issues and has been TURN’s lead attorney on other cases presenting interim rate increase issues -- consulted with Mr. Long on strategy with respect to PG&amp;E’s request.  TURN’s Legal Assistant, Reina Yanagiba, managed TURN’s discovery efforts with respect to the interim rate issue.</w:t>
            </w:r>
          </w:p>
          <w:p w:rsidRPr="004A3FED" w:rsidR="00B52A33" w:rsidRDefault="00B52A33" w14:paraId="435B683F" w14:textId="77777777">
            <w:pPr>
              <w:rPr>
                <w:color w:val="000000"/>
              </w:rPr>
            </w:pPr>
          </w:p>
          <w:p w:rsidRPr="004A3FED" w:rsidR="00B52A33" w:rsidRDefault="00B52A33" w14:paraId="24BAFEDF" w14:textId="77777777">
            <w:pPr>
              <w:rPr>
                <w:color w:val="000000"/>
              </w:rPr>
            </w:pPr>
            <w:r w:rsidRPr="004A3FED">
              <w:rPr>
                <w:color w:val="000000"/>
              </w:rPr>
              <w:t>TURN is requesting compensation for 5.0 hours that it devoted to preparation of this request for compensation (and 1.0 hour that it spent preparing its Notice of Intent to Claim Compensation and its request for a finding of significant financial hardship).  This is a reasonable number of hours for a request of this size and scope.  Mr. Long prepared this request because of his involvement in all aspects of the work for which compensation is requested.</w:t>
            </w:r>
          </w:p>
          <w:p w:rsidRPr="004A3FED" w:rsidR="00B52A33" w:rsidRDefault="00B52A33" w14:paraId="34D07D84" w14:textId="77777777">
            <w:pPr>
              <w:rPr>
                <w:color w:val="000000"/>
              </w:rPr>
            </w:pPr>
          </w:p>
          <w:p w:rsidRPr="004A3FED" w:rsidR="00B52A33" w:rsidRDefault="00B52A33" w14:paraId="3D6BF5E3" w14:textId="77777777">
            <w:pPr>
              <w:rPr>
                <w:color w:val="000000"/>
              </w:rPr>
            </w:pPr>
            <w:r w:rsidRPr="004A3FED">
              <w:rPr>
                <w:color w:val="000000"/>
              </w:rPr>
              <w:t>TURN’s request here is limited to time spent related to PG&amp;E’s motion for an interim rate increase.  TURN anticipates seeking compensation for other time in this proceeding in a subsequent request to the extent that</w:t>
            </w:r>
            <w:r w:rsidRPr="00B52A33">
              <w:rPr>
                <w:b/>
                <w:color w:val="000000"/>
              </w:rPr>
              <w:t xml:space="preserve"> </w:t>
            </w:r>
            <w:r w:rsidRPr="004A3FED">
              <w:rPr>
                <w:color w:val="000000"/>
              </w:rPr>
              <w:t>TURN’s work meets the Commission’s requirements for intervenor compensation.</w:t>
            </w:r>
          </w:p>
          <w:p w:rsidRPr="00B52A33" w:rsidR="00B52A33" w:rsidRDefault="00B52A33" w14:paraId="71C4E37F" w14:textId="77777777">
            <w:pPr>
              <w:rPr>
                <w:b/>
                <w:color w:val="000000"/>
              </w:rPr>
            </w:pPr>
          </w:p>
          <w:p w:rsidRPr="00D3594A" w:rsidR="00B52A33" w:rsidP="00D3594A" w:rsidRDefault="00B52A33" w14:paraId="42DDA125" w14:textId="593AA2D4">
            <w:pPr>
              <w:spacing w:after="120"/>
              <w:rPr>
                <w:color w:val="000000"/>
              </w:rPr>
            </w:pPr>
            <w:r w:rsidRPr="004A3FED">
              <w:rPr>
                <w:color w:val="000000"/>
              </w:rPr>
              <w:t>In sum, the Commission should find that the number of hours claimed is fully reasonable in light of the substantial contributions TURN made in this proceeding.</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B52A33" w:rsidR="00B52A33" w:rsidP="00470C55" w:rsidRDefault="00A93E41" w14:paraId="4B7BD338" w14:textId="419060A6">
            <w:pPr>
              <w:jc w:val="center"/>
              <w:rPr>
                <w:b/>
                <w:color w:val="000000"/>
              </w:rPr>
            </w:pPr>
            <w:r w:rsidRPr="00A93E41">
              <w:rPr>
                <w:color w:val="000000"/>
              </w:rPr>
              <w:lastRenderedPageBreak/>
              <w:t>Noted</w:t>
            </w:r>
          </w:p>
        </w:tc>
      </w:tr>
      <w:tr w:rsidRPr="007F620E" w:rsidR="00B52A33" w:rsidTr="0058217B" w14:paraId="4563B211" w14:textId="77777777">
        <w:tc>
          <w:tcPr>
            <w:tcW w:w="8185" w:type="dxa"/>
            <w:tcBorders>
              <w:top w:val="single" w:color="auto" w:sz="4" w:space="0"/>
              <w:left w:val="single" w:color="auto" w:sz="4" w:space="0"/>
              <w:bottom w:val="single" w:color="auto" w:sz="4" w:space="0"/>
              <w:right w:val="single" w:color="auto" w:sz="4" w:space="0"/>
            </w:tcBorders>
            <w:shd w:val="clear" w:color="auto" w:fill="auto"/>
          </w:tcPr>
          <w:p w:rsidRPr="00B52A33" w:rsidR="00B52A33" w:rsidRDefault="00B52A33" w14:paraId="36973B62" w14:textId="77777777">
            <w:pPr>
              <w:rPr>
                <w:b/>
                <w:color w:val="000000"/>
              </w:rPr>
            </w:pPr>
            <w:r w:rsidRPr="007F620E">
              <w:rPr>
                <w:b/>
                <w:color w:val="000000"/>
              </w:rPr>
              <w:t>c. Allocation of hours by issue:</w:t>
            </w:r>
            <w:r w:rsidRPr="00B52A33">
              <w:rPr>
                <w:b/>
                <w:color w:val="000000"/>
              </w:rPr>
              <w:t xml:space="preserve"> </w:t>
            </w:r>
          </w:p>
          <w:p w:rsidRPr="004A3FED" w:rsidR="00B52A33" w:rsidRDefault="00B52A33" w14:paraId="62CDEE40" w14:textId="77777777">
            <w:pPr>
              <w:rPr>
                <w:color w:val="000000"/>
              </w:rPr>
            </w:pPr>
          </w:p>
          <w:p w:rsidRPr="00D3594A" w:rsidR="00B52A33" w:rsidP="00D3594A" w:rsidRDefault="00B52A33" w14:paraId="75DEC977" w14:textId="0D8EFCF2">
            <w:pPr>
              <w:spacing w:after="120"/>
              <w:rPr>
                <w:color w:val="000000"/>
              </w:rPr>
            </w:pPr>
            <w:r w:rsidRPr="004A3FED">
              <w:rPr>
                <w:color w:val="000000"/>
              </w:rPr>
              <w:t>The following codes relate to the issue and activity areas addressed by TURN with respect to PG&amp;E’s motion for an interim rate increase.</w:t>
            </w:r>
          </w:p>
          <w:tbl>
            <w:tblPr>
              <w:tblW w:w="13729" w:type="dxa"/>
              <w:tblBorders>
                <w:insideH w:val="single" w:color="auto" w:sz="4" w:space="0"/>
                <w:insideV w:val="single" w:color="auto" w:sz="4" w:space="0"/>
              </w:tblBorders>
              <w:tblLayout w:type="fixed"/>
              <w:tblLook w:val="0000" w:firstRow="0" w:lastRow="0" w:firstColumn="0" w:lastColumn="0" w:noHBand="0" w:noVBand="0"/>
            </w:tblPr>
            <w:tblGrid>
              <w:gridCol w:w="782"/>
              <w:gridCol w:w="4415"/>
              <w:gridCol w:w="1530"/>
              <w:gridCol w:w="7002"/>
            </w:tblGrid>
            <w:tr w:rsidR="00B52A33" w:rsidTr="0058217B" w14:paraId="7F5FC138" w14:textId="77777777">
              <w:trPr>
                <w:trHeight w:val="260"/>
              </w:trPr>
              <w:tc>
                <w:tcPr>
                  <w:tcW w:w="782" w:type="dxa"/>
                  <w:shd w:val="clear" w:color="auto" w:fill="auto"/>
                  <w:noWrap/>
                  <w:vAlign w:val="center"/>
                </w:tcPr>
                <w:p w:rsidRPr="005C5E7C" w:rsidR="00B52A33" w:rsidRDefault="00B52A33" w14:paraId="7EE3C23A" w14:textId="77777777">
                  <w:pPr>
                    <w:rPr>
                      <w:b/>
                      <w:sz w:val="20"/>
                      <w:szCs w:val="20"/>
                    </w:rPr>
                  </w:pPr>
                  <w:r w:rsidRPr="005C5E7C">
                    <w:rPr>
                      <w:b/>
                      <w:sz w:val="20"/>
                      <w:szCs w:val="20"/>
                    </w:rPr>
                    <w:t>Code</w:t>
                  </w:r>
                </w:p>
              </w:tc>
              <w:tc>
                <w:tcPr>
                  <w:tcW w:w="4415" w:type="dxa"/>
                  <w:shd w:val="clear" w:color="auto" w:fill="auto"/>
                  <w:noWrap/>
                  <w:vAlign w:val="bottom"/>
                </w:tcPr>
                <w:p w:rsidR="00B52A33" w:rsidRDefault="00B52A33" w14:paraId="029F2FC6" w14:textId="77777777">
                  <w:pPr>
                    <w:rPr>
                      <w:b/>
                      <w:sz w:val="20"/>
                      <w:szCs w:val="20"/>
                    </w:rPr>
                  </w:pPr>
                  <w:r>
                    <w:rPr>
                      <w:b/>
                      <w:sz w:val="20"/>
                      <w:szCs w:val="20"/>
                    </w:rPr>
                    <w:t>Description</w:t>
                  </w:r>
                </w:p>
                <w:p w:rsidRPr="005C5E7C" w:rsidR="00B52A33" w:rsidRDefault="00B52A33" w14:paraId="2FF8666B" w14:textId="77777777">
                  <w:pPr>
                    <w:rPr>
                      <w:b/>
                      <w:sz w:val="20"/>
                      <w:szCs w:val="20"/>
                    </w:rPr>
                  </w:pPr>
                </w:p>
              </w:tc>
              <w:tc>
                <w:tcPr>
                  <w:tcW w:w="1530" w:type="dxa"/>
                </w:tcPr>
                <w:p w:rsidRPr="005C5E7C" w:rsidR="00B52A33" w:rsidRDefault="00B52A33" w14:paraId="677DE625" w14:textId="77777777">
                  <w:pPr>
                    <w:tabs>
                      <w:tab w:val="left" w:pos="3674"/>
                    </w:tabs>
                    <w:rPr>
                      <w:b/>
                      <w:sz w:val="20"/>
                      <w:szCs w:val="20"/>
                    </w:rPr>
                  </w:pPr>
                  <w:r>
                    <w:rPr>
                      <w:b/>
                      <w:sz w:val="20"/>
                      <w:szCs w:val="20"/>
                    </w:rPr>
                    <w:t>Allocation (other than “Comp” time)</w:t>
                  </w:r>
                </w:p>
              </w:tc>
              <w:tc>
                <w:tcPr>
                  <w:tcW w:w="7002" w:type="dxa"/>
                </w:tcPr>
                <w:p w:rsidR="00B52A33" w:rsidP="00023AA3" w:rsidRDefault="00B52A33" w14:paraId="63F31106" w14:textId="77777777">
                  <w:pPr>
                    <w:tabs>
                      <w:tab w:val="left" w:pos="3674"/>
                    </w:tabs>
                    <w:rPr>
                      <w:b/>
                      <w:sz w:val="20"/>
                      <w:szCs w:val="20"/>
                    </w:rPr>
                  </w:pPr>
                </w:p>
                <w:p w:rsidR="00B52A33" w:rsidP="00023AA3" w:rsidRDefault="00B52A33" w14:paraId="7EE10F7B" w14:textId="77777777">
                  <w:pPr>
                    <w:tabs>
                      <w:tab w:val="left" w:pos="3674"/>
                    </w:tabs>
                    <w:rPr>
                      <w:b/>
                      <w:sz w:val="20"/>
                      <w:szCs w:val="20"/>
                    </w:rPr>
                  </w:pPr>
                  <w:r>
                    <w:rPr>
                      <w:b/>
                      <w:sz w:val="20"/>
                      <w:szCs w:val="20"/>
                    </w:rPr>
                    <w:t>Hours</w:t>
                  </w:r>
                </w:p>
                <w:p w:rsidR="00B52A33" w:rsidP="00023AA3" w:rsidRDefault="00B52A33" w14:paraId="1B1BEF00" w14:textId="77777777">
                  <w:pPr>
                    <w:tabs>
                      <w:tab w:val="left" w:pos="3674"/>
                    </w:tabs>
                    <w:rPr>
                      <w:b/>
                      <w:sz w:val="20"/>
                      <w:szCs w:val="20"/>
                    </w:rPr>
                  </w:pPr>
                </w:p>
              </w:tc>
            </w:tr>
            <w:tr w:rsidRPr="006B401D" w:rsidR="00B52A33" w:rsidTr="0058217B" w14:paraId="4828ADB4" w14:textId="77777777">
              <w:trPr>
                <w:trHeight w:val="780"/>
              </w:trPr>
              <w:tc>
                <w:tcPr>
                  <w:tcW w:w="782" w:type="dxa"/>
                  <w:shd w:val="clear" w:color="auto" w:fill="auto"/>
                  <w:noWrap/>
                  <w:vAlign w:val="center"/>
                </w:tcPr>
                <w:p w:rsidRPr="00144305" w:rsidR="00B52A33" w:rsidRDefault="00B52A33" w14:paraId="0E02A1B7" w14:textId="77777777">
                  <w:pPr>
                    <w:rPr>
                      <w:sz w:val="20"/>
                      <w:szCs w:val="20"/>
                    </w:rPr>
                  </w:pPr>
                  <w:r>
                    <w:rPr>
                      <w:sz w:val="20"/>
                      <w:szCs w:val="20"/>
                    </w:rPr>
                    <w:t>Int</w:t>
                  </w:r>
                </w:p>
              </w:tc>
              <w:tc>
                <w:tcPr>
                  <w:tcW w:w="4415" w:type="dxa"/>
                  <w:shd w:val="clear" w:color="auto" w:fill="auto"/>
                  <w:vAlign w:val="bottom"/>
                </w:tcPr>
                <w:p w:rsidR="00B52A33" w:rsidRDefault="00B52A33" w14:paraId="1602A44D" w14:textId="77777777">
                  <w:pPr>
                    <w:rPr>
                      <w:sz w:val="20"/>
                      <w:szCs w:val="20"/>
                    </w:rPr>
                  </w:pPr>
                  <w:r>
                    <w:rPr>
                      <w:sz w:val="20"/>
                      <w:szCs w:val="20"/>
                    </w:rPr>
                    <w:t>Work related to the issue of PG&amp;E’s motion for an interim rate increase</w:t>
                  </w:r>
                </w:p>
                <w:p w:rsidRPr="006B401D" w:rsidR="00B52A33" w:rsidRDefault="00B52A33" w14:paraId="7E65E800" w14:textId="77777777">
                  <w:pPr>
                    <w:rPr>
                      <w:sz w:val="20"/>
                      <w:szCs w:val="20"/>
                    </w:rPr>
                  </w:pPr>
                </w:p>
              </w:tc>
              <w:tc>
                <w:tcPr>
                  <w:tcW w:w="1530" w:type="dxa"/>
                </w:tcPr>
                <w:p w:rsidRPr="006B401D" w:rsidR="00B52A33" w:rsidRDefault="00B52A33" w14:paraId="26823386" w14:textId="77777777">
                  <w:pPr>
                    <w:rPr>
                      <w:sz w:val="20"/>
                      <w:szCs w:val="20"/>
                    </w:rPr>
                  </w:pPr>
                  <w:r>
                    <w:rPr>
                      <w:sz w:val="20"/>
                      <w:szCs w:val="20"/>
                    </w:rPr>
                    <w:t>90.53%</w:t>
                  </w:r>
                </w:p>
              </w:tc>
              <w:tc>
                <w:tcPr>
                  <w:tcW w:w="7002" w:type="dxa"/>
                </w:tcPr>
                <w:p w:rsidRPr="006B401D" w:rsidR="00B52A33" w:rsidP="00023AA3" w:rsidRDefault="00B52A33" w14:paraId="6BFF6854" w14:textId="77777777">
                  <w:pPr>
                    <w:rPr>
                      <w:sz w:val="20"/>
                      <w:szCs w:val="20"/>
                    </w:rPr>
                  </w:pPr>
                  <w:r>
                    <w:rPr>
                      <w:sz w:val="20"/>
                      <w:szCs w:val="20"/>
                    </w:rPr>
                    <w:t>59.75</w:t>
                  </w:r>
                </w:p>
              </w:tc>
            </w:tr>
            <w:tr w:rsidR="00B52A33" w:rsidTr="0058217B" w14:paraId="4F050D50" w14:textId="77777777">
              <w:trPr>
                <w:trHeight w:val="520"/>
              </w:trPr>
              <w:tc>
                <w:tcPr>
                  <w:tcW w:w="782" w:type="dxa"/>
                  <w:shd w:val="clear" w:color="auto" w:fill="auto"/>
                  <w:noWrap/>
                  <w:vAlign w:val="center"/>
                </w:tcPr>
                <w:p w:rsidR="00B52A33" w:rsidRDefault="00B52A33" w14:paraId="31FD36B2" w14:textId="77777777">
                  <w:pPr>
                    <w:rPr>
                      <w:sz w:val="20"/>
                      <w:szCs w:val="20"/>
                    </w:rPr>
                  </w:pPr>
                  <w:r>
                    <w:rPr>
                      <w:sz w:val="20"/>
                      <w:szCs w:val="20"/>
                    </w:rPr>
                    <w:t>Proc</w:t>
                  </w:r>
                </w:p>
              </w:tc>
              <w:tc>
                <w:tcPr>
                  <w:tcW w:w="4415" w:type="dxa"/>
                  <w:shd w:val="clear" w:color="auto" w:fill="auto"/>
                  <w:vAlign w:val="bottom"/>
                </w:tcPr>
                <w:p w:rsidR="00B52A33" w:rsidRDefault="00B52A33" w14:paraId="5A280B40" w14:textId="77777777">
                  <w:pPr>
                    <w:rPr>
                      <w:sz w:val="20"/>
                      <w:szCs w:val="20"/>
                    </w:rPr>
                  </w:pPr>
                  <w:r>
                    <w:rPr>
                      <w:sz w:val="20"/>
                      <w:szCs w:val="20"/>
                    </w:rPr>
                    <w:t>Procedural issues (e.g., schedule, party status) related to TURN’s participation on the interim rate increase issue</w:t>
                  </w:r>
                </w:p>
                <w:p w:rsidR="00B52A33" w:rsidRDefault="00B52A33" w14:paraId="4D44861E" w14:textId="77777777">
                  <w:pPr>
                    <w:rPr>
                      <w:sz w:val="20"/>
                      <w:szCs w:val="20"/>
                    </w:rPr>
                  </w:pPr>
                </w:p>
              </w:tc>
              <w:tc>
                <w:tcPr>
                  <w:tcW w:w="1530" w:type="dxa"/>
                </w:tcPr>
                <w:p w:rsidR="00B52A33" w:rsidRDefault="00B52A33" w14:paraId="58DA0E01" w14:textId="77777777">
                  <w:pPr>
                    <w:rPr>
                      <w:sz w:val="20"/>
                      <w:szCs w:val="20"/>
                    </w:rPr>
                  </w:pPr>
                  <w:r>
                    <w:rPr>
                      <w:sz w:val="20"/>
                      <w:szCs w:val="20"/>
                    </w:rPr>
                    <w:lastRenderedPageBreak/>
                    <w:t>6.44%</w:t>
                  </w:r>
                </w:p>
              </w:tc>
              <w:tc>
                <w:tcPr>
                  <w:tcW w:w="7002" w:type="dxa"/>
                </w:tcPr>
                <w:p w:rsidR="00B52A33" w:rsidRDefault="00B52A33" w14:paraId="405825CA" w14:textId="77777777">
                  <w:pPr>
                    <w:rPr>
                      <w:sz w:val="20"/>
                      <w:szCs w:val="20"/>
                    </w:rPr>
                  </w:pPr>
                  <w:r>
                    <w:rPr>
                      <w:sz w:val="20"/>
                      <w:szCs w:val="20"/>
                    </w:rPr>
                    <w:t>4.25</w:t>
                  </w:r>
                </w:p>
              </w:tc>
            </w:tr>
            <w:tr w:rsidR="00B52A33" w:rsidTr="0058217B" w14:paraId="0D511A00" w14:textId="77777777">
              <w:trPr>
                <w:trHeight w:val="520"/>
              </w:trPr>
              <w:tc>
                <w:tcPr>
                  <w:tcW w:w="782" w:type="dxa"/>
                  <w:shd w:val="clear" w:color="auto" w:fill="auto"/>
                  <w:noWrap/>
                  <w:vAlign w:val="center"/>
                </w:tcPr>
                <w:p w:rsidR="00B52A33" w:rsidRDefault="00B52A33" w14:paraId="116468F7" w14:textId="77777777">
                  <w:pPr>
                    <w:rPr>
                      <w:sz w:val="20"/>
                      <w:szCs w:val="20"/>
                    </w:rPr>
                  </w:pPr>
                  <w:r>
                    <w:rPr>
                      <w:sz w:val="20"/>
                      <w:szCs w:val="20"/>
                    </w:rPr>
                    <w:t>Disc</w:t>
                  </w:r>
                </w:p>
              </w:tc>
              <w:tc>
                <w:tcPr>
                  <w:tcW w:w="4415" w:type="dxa"/>
                  <w:shd w:val="clear" w:color="auto" w:fill="auto"/>
                  <w:vAlign w:val="bottom"/>
                </w:tcPr>
                <w:p w:rsidR="00B52A33" w:rsidRDefault="00B52A33" w14:paraId="541B74CA" w14:textId="77777777">
                  <w:pPr>
                    <w:rPr>
                      <w:sz w:val="20"/>
                      <w:szCs w:val="20"/>
                    </w:rPr>
                  </w:pPr>
                  <w:r>
                    <w:rPr>
                      <w:sz w:val="20"/>
                      <w:szCs w:val="20"/>
                    </w:rPr>
                    <w:t>Work by TURN’s Legal Assistant to track and organize discovery questions and responses relating to the interim rate increase issue</w:t>
                  </w:r>
                </w:p>
                <w:p w:rsidR="00B52A33" w:rsidRDefault="00B52A33" w14:paraId="3C5C57E7" w14:textId="77777777">
                  <w:pPr>
                    <w:rPr>
                      <w:sz w:val="20"/>
                      <w:szCs w:val="20"/>
                    </w:rPr>
                  </w:pPr>
                </w:p>
              </w:tc>
              <w:tc>
                <w:tcPr>
                  <w:tcW w:w="1530" w:type="dxa"/>
                </w:tcPr>
                <w:p w:rsidR="00B52A33" w:rsidRDefault="00B52A33" w14:paraId="3DA50FAF" w14:textId="77777777">
                  <w:pPr>
                    <w:rPr>
                      <w:sz w:val="20"/>
                      <w:szCs w:val="20"/>
                    </w:rPr>
                  </w:pPr>
                  <w:r>
                    <w:rPr>
                      <w:sz w:val="20"/>
                      <w:szCs w:val="20"/>
                    </w:rPr>
                    <w:t>3.03%</w:t>
                  </w:r>
                </w:p>
              </w:tc>
              <w:tc>
                <w:tcPr>
                  <w:tcW w:w="7002" w:type="dxa"/>
                </w:tcPr>
                <w:p w:rsidR="00B52A33" w:rsidRDefault="00B52A33" w14:paraId="00579374" w14:textId="77777777">
                  <w:pPr>
                    <w:rPr>
                      <w:sz w:val="20"/>
                      <w:szCs w:val="20"/>
                    </w:rPr>
                  </w:pPr>
                  <w:r>
                    <w:rPr>
                      <w:sz w:val="20"/>
                      <w:szCs w:val="20"/>
                    </w:rPr>
                    <w:t>2.00</w:t>
                  </w:r>
                </w:p>
              </w:tc>
            </w:tr>
            <w:tr w:rsidR="00B52A33" w:rsidTr="0058217B" w14:paraId="07936E3F" w14:textId="77777777">
              <w:trPr>
                <w:trHeight w:val="198"/>
              </w:trPr>
              <w:tc>
                <w:tcPr>
                  <w:tcW w:w="782" w:type="dxa"/>
                  <w:shd w:val="clear" w:color="auto" w:fill="auto"/>
                  <w:noWrap/>
                  <w:vAlign w:val="center"/>
                </w:tcPr>
                <w:p w:rsidRPr="00144305" w:rsidR="00B52A33" w:rsidRDefault="00B52A33" w14:paraId="07BB5115" w14:textId="77777777">
                  <w:pPr>
                    <w:rPr>
                      <w:sz w:val="20"/>
                      <w:szCs w:val="20"/>
                    </w:rPr>
                  </w:pPr>
                  <w:r w:rsidRPr="00144305">
                    <w:rPr>
                      <w:color w:val="000000"/>
                      <w:sz w:val="20"/>
                      <w:szCs w:val="22"/>
                    </w:rPr>
                    <w:t>Comp</w:t>
                  </w:r>
                </w:p>
              </w:tc>
              <w:tc>
                <w:tcPr>
                  <w:tcW w:w="4415" w:type="dxa"/>
                  <w:shd w:val="clear" w:color="auto" w:fill="auto"/>
                  <w:vAlign w:val="bottom"/>
                </w:tcPr>
                <w:p w:rsidR="00B52A33" w:rsidRDefault="00B52A33" w14:paraId="38223D57" w14:textId="77777777">
                  <w:pPr>
                    <w:rPr>
                      <w:color w:val="000000"/>
                      <w:sz w:val="20"/>
                      <w:szCs w:val="22"/>
                    </w:rPr>
                  </w:pPr>
                </w:p>
                <w:p w:rsidR="00B52A33" w:rsidRDefault="00B52A33" w14:paraId="1497FA9D" w14:textId="77777777">
                  <w:pPr>
                    <w:rPr>
                      <w:color w:val="000000"/>
                      <w:sz w:val="20"/>
                      <w:szCs w:val="22"/>
                    </w:rPr>
                  </w:pPr>
                  <w:r w:rsidRPr="006B401D">
                    <w:rPr>
                      <w:color w:val="000000"/>
                      <w:sz w:val="20"/>
                      <w:szCs w:val="22"/>
                    </w:rPr>
                    <w:t>Time devoted to</w:t>
                  </w:r>
                  <w:r>
                    <w:rPr>
                      <w:color w:val="000000"/>
                      <w:sz w:val="20"/>
                      <w:szCs w:val="22"/>
                    </w:rPr>
                    <w:t xml:space="preserve"> compensation-related pleadings.</w:t>
                  </w:r>
                </w:p>
                <w:p w:rsidR="00B52A33" w:rsidRDefault="00B52A33" w14:paraId="257621DE" w14:textId="77777777">
                  <w:pPr>
                    <w:rPr>
                      <w:sz w:val="20"/>
                      <w:szCs w:val="20"/>
                    </w:rPr>
                  </w:pPr>
                </w:p>
              </w:tc>
              <w:tc>
                <w:tcPr>
                  <w:tcW w:w="1530" w:type="dxa"/>
                </w:tcPr>
                <w:p w:rsidR="00B52A33" w:rsidRDefault="00B52A33" w14:paraId="3FFE0A67" w14:textId="77777777">
                  <w:pPr>
                    <w:rPr>
                      <w:color w:val="000000"/>
                      <w:sz w:val="20"/>
                      <w:szCs w:val="22"/>
                    </w:rPr>
                  </w:pPr>
                  <w:r>
                    <w:rPr>
                      <w:color w:val="000000"/>
                      <w:sz w:val="20"/>
                      <w:szCs w:val="22"/>
                    </w:rPr>
                    <w:t>n/a</w:t>
                  </w:r>
                </w:p>
              </w:tc>
              <w:tc>
                <w:tcPr>
                  <w:tcW w:w="7002" w:type="dxa"/>
                </w:tcPr>
                <w:p w:rsidR="00B52A33" w:rsidP="0058217B" w:rsidRDefault="00B52A33" w14:paraId="0FE1F992" w14:textId="77777777">
                  <w:pPr>
                    <w:rPr>
                      <w:color w:val="000000"/>
                      <w:sz w:val="20"/>
                      <w:szCs w:val="22"/>
                    </w:rPr>
                  </w:pPr>
                  <w:r>
                    <w:rPr>
                      <w:color w:val="000000"/>
                      <w:sz w:val="20"/>
                      <w:szCs w:val="22"/>
                    </w:rPr>
                    <w:t>6.0</w:t>
                  </w:r>
                </w:p>
              </w:tc>
            </w:tr>
            <w:tr w:rsidRPr="00093786" w:rsidR="00B52A33" w:rsidTr="0058217B" w14:paraId="2C617933" w14:textId="77777777">
              <w:trPr>
                <w:trHeight w:val="198"/>
              </w:trPr>
              <w:tc>
                <w:tcPr>
                  <w:tcW w:w="782" w:type="dxa"/>
                  <w:shd w:val="clear" w:color="auto" w:fill="auto"/>
                  <w:noWrap/>
                  <w:vAlign w:val="center"/>
                </w:tcPr>
                <w:p w:rsidRPr="006B401D" w:rsidR="00B52A33" w:rsidRDefault="00B52A33" w14:paraId="2FACFED0" w14:textId="77777777">
                  <w:pPr>
                    <w:rPr>
                      <w:color w:val="000000"/>
                      <w:sz w:val="20"/>
                      <w:szCs w:val="22"/>
                    </w:rPr>
                  </w:pPr>
                </w:p>
              </w:tc>
              <w:tc>
                <w:tcPr>
                  <w:tcW w:w="4415" w:type="dxa"/>
                  <w:shd w:val="clear" w:color="auto" w:fill="auto"/>
                  <w:vAlign w:val="bottom"/>
                </w:tcPr>
                <w:p w:rsidRPr="00093786" w:rsidR="00B52A33" w:rsidRDefault="00B52A33" w14:paraId="1AB83A9F" w14:textId="77777777">
                  <w:pPr>
                    <w:rPr>
                      <w:color w:val="000000"/>
                      <w:sz w:val="20"/>
                      <w:szCs w:val="22"/>
                    </w:rPr>
                  </w:pPr>
                </w:p>
              </w:tc>
              <w:tc>
                <w:tcPr>
                  <w:tcW w:w="1530" w:type="dxa"/>
                </w:tcPr>
                <w:p w:rsidRPr="00093786" w:rsidR="00B52A33" w:rsidRDefault="00B52A33" w14:paraId="28AD9D10" w14:textId="77777777">
                  <w:pPr>
                    <w:rPr>
                      <w:color w:val="000000"/>
                      <w:sz w:val="20"/>
                      <w:szCs w:val="22"/>
                    </w:rPr>
                  </w:pPr>
                </w:p>
              </w:tc>
              <w:tc>
                <w:tcPr>
                  <w:tcW w:w="7002" w:type="dxa"/>
                </w:tcPr>
                <w:p w:rsidRPr="00093786" w:rsidR="00B52A33" w:rsidRDefault="00B52A33" w14:paraId="276F243D" w14:textId="77777777">
                  <w:pPr>
                    <w:rPr>
                      <w:color w:val="000000"/>
                      <w:sz w:val="20"/>
                      <w:szCs w:val="22"/>
                    </w:rPr>
                  </w:pPr>
                </w:p>
              </w:tc>
            </w:tr>
          </w:tbl>
          <w:p w:rsidRPr="00470C55" w:rsidR="00B52A33" w:rsidP="00023AA3" w:rsidRDefault="00B52A33" w14:paraId="1373D294" w14:textId="6E791560">
            <w:pPr>
              <w:spacing w:after="120"/>
              <w:rPr>
                <w:color w:val="000000"/>
              </w:rPr>
            </w:pPr>
            <w:r w:rsidRPr="004A3FED">
              <w:rPr>
                <w:color w:val="000000"/>
              </w:rPr>
              <w:t>TURN submits that under the circumstances this information should suffice to address the allocation requirement under the Commission’s rules.  Should the Commission wish to see additional or different information on this point, TURN requests that the Commission so inform TURN and provide a reasonable opportunity for TURN to supplement this showing accordingly.</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B52A33" w:rsidR="00B52A33" w:rsidP="00470C55" w:rsidRDefault="00A93E41" w14:paraId="5D62411E" w14:textId="30EEBF05">
            <w:pPr>
              <w:jc w:val="center"/>
              <w:rPr>
                <w:b/>
                <w:color w:val="000000"/>
              </w:rPr>
            </w:pPr>
            <w:r w:rsidRPr="00A93E41">
              <w:rPr>
                <w:color w:val="000000"/>
              </w:rPr>
              <w:lastRenderedPageBreak/>
              <w:t>Noted</w:t>
            </w:r>
          </w:p>
        </w:tc>
      </w:tr>
    </w:tbl>
    <w:p w:rsidRPr="00625B30" w:rsidR="00625B30" w:rsidP="00023AA3" w:rsidRDefault="00625B30" w14:paraId="3E08D4A7" w14:textId="13495D3D">
      <w:pPr>
        <w:pStyle w:val="ListParagraph"/>
        <w:keepNext/>
        <w:numPr>
          <w:ilvl w:val="0"/>
          <w:numId w:val="7"/>
        </w:numPr>
        <w:spacing w:before="240" w:after="240"/>
        <w:rPr>
          <w:b/>
          <w:color w:val="000000"/>
        </w:rPr>
      </w:pPr>
      <w:r w:rsidRPr="00625B30">
        <w:rPr>
          <w:b/>
          <w:color w:val="000000"/>
        </w:rPr>
        <w:t>Specific Claim:*</w:t>
      </w:r>
    </w:p>
    <w:tbl>
      <w:tblPr>
        <w:tblW w:w="11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95"/>
        <w:gridCol w:w="720"/>
        <w:gridCol w:w="720"/>
        <w:gridCol w:w="990"/>
        <w:gridCol w:w="1980"/>
        <w:gridCol w:w="687"/>
        <w:gridCol w:w="573"/>
        <w:gridCol w:w="900"/>
        <w:gridCol w:w="1440"/>
        <w:gridCol w:w="1355"/>
      </w:tblGrid>
      <w:tr w:rsidRPr="007F620E" w:rsidR="00625B30" w:rsidTr="0009071C" w14:paraId="492CE97E" w14:textId="77777777">
        <w:trPr>
          <w:tblHeader/>
          <w:jc w:val="center"/>
        </w:trPr>
        <w:tc>
          <w:tcPr>
            <w:tcW w:w="7465" w:type="dxa"/>
            <w:gridSpan w:val="7"/>
            <w:tcBorders>
              <w:bottom w:val="single" w:color="auto" w:sz="4" w:space="0"/>
              <w:right w:val="single" w:color="auto" w:sz="24" w:space="0"/>
            </w:tcBorders>
            <w:shd w:val="clear" w:color="auto" w:fill="auto"/>
          </w:tcPr>
          <w:p w:rsidRPr="007F620E" w:rsidR="00625B30" w:rsidP="00625B30" w:rsidRDefault="00625B30" w14:paraId="09235B0D" w14:textId="77777777">
            <w:pPr>
              <w:keepNext/>
              <w:keepLines/>
              <w:spacing w:before="60" w:after="60"/>
              <w:jc w:val="center"/>
              <w:rPr>
                <w:b/>
                <w:smallCaps/>
                <w:color w:val="000000"/>
              </w:rPr>
            </w:pPr>
            <w:r w:rsidRPr="007F620E">
              <w:rPr>
                <w:b/>
                <w:smallCaps/>
                <w:color w:val="000000"/>
              </w:rPr>
              <w:t>Claimed</w:t>
            </w:r>
          </w:p>
        </w:tc>
        <w:tc>
          <w:tcPr>
            <w:tcW w:w="3695" w:type="dxa"/>
            <w:gridSpan w:val="3"/>
            <w:tcBorders>
              <w:left w:val="single" w:color="auto" w:sz="24" w:space="0"/>
              <w:bottom w:val="single" w:color="auto" w:sz="4" w:space="0"/>
            </w:tcBorders>
            <w:shd w:val="clear" w:color="auto" w:fill="auto"/>
          </w:tcPr>
          <w:p w:rsidRPr="007F620E" w:rsidR="00625B30" w:rsidP="00625B30" w:rsidRDefault="00625B30" w14:paraId="2C68BD24" w14:textId="77777777">
            <w:pPr>
              <w:keepNext/>
              <w:keepLines/>
              <w:spacing w:before="60" w:after="60"/>
              <w:jc w:val="center"/>
              <w:rPr>
                <w:b/>
                <w:smallCaps/>
                <w:color w:val="000000"/>
              </w:rPr>
            </w:pPr>
            <w:r w:rsidRPr="007F620E">
              <w:rPr>
                <w:b/>
                <w:smallCaps/>
                <w:color w:val="000000"/>
              </w:rPr>
              <w:t>CPUC Award</w:t>
            </w:r>
          </w:p>
        </w:tc>
      </w:tr>
      <w:tr w:rsidRPr="007F620E" w:rsidR="00625B30" w:rsidTr="0036244B" w14:paraId="1C6AD318" w14:textId="77777777">
        <w:trPr>
          <w:jc w:val="center"/>
        </w:trPr>
        <w:tc>
          <w:tcPr>
            <w:tcW w:w="11160" w:type="dxa"/>
            <w:gridSpan w:val="10"/>
            <w:tcBorders>
              <w:top w:val="single" w:color="auto" w:sz="4" w:space="0"/>
              <w:left w:val="single" w:color="auto" w:sz="4" w:space="0"/>
              <w:bottom w:val="single" w:color="auto" w:sz="4" w:space="0"/>
              <w:right w:val="single" w:color="auto" w:sz="4" w:space="0"/>
            </w:tcBorders>
            <w:shd w:val="clear" w:color="auto" w:fill="E6E6E6"/>
          </w:tcPr>
          <w:p w:rsidRPr="007F620E" w:rsidR="00625B30" w:rsidP="00625B30" w:rsidRDefault="00625B30" w14:paraId="5B065153" w14:textId="77777777">
            <w:pPr>
              <w:keepNext/>
              <w:keepLines/>
              <w:spacing w:before="60" w:after="60"/>
              <w:jc w:val="center"/>
              <w:rPr>
                <w:b/>
              </w:rPr>
            </w:pPr>
            <w:r w:rsidRPr="007F620E">
              <w:rPr>
                <w:b/>
              </w:rPr>
              <w:t>ATTORNEY, EXPERT, AND ADVOCATE FEES</w:t>
            </w:r>
          </w:p>
        </w:tc>
      </w:tr>
      <w:tr w:rsidRPr="00260518" w:rsidR="0009071C" w:rsidTr="0009071C" w14:paraId="7383E4C0" w14:textId="77777777">
        <w:trPr>
          <w:jc w:val="center"/>
        </w:trPr>
        <w:tc>
          <w:tcPr>
            <w:tcW w:w="1795" w:type="dxa"/>
            <w:tcBorders>
              <w:top w:val="single" w:color="auto" w:sz="4" w:space="0"/>
              <w:bottom w:val="single" w:color="auto" w:sz="4" w:space="0"/>
            </w:tcBorders>
            <w:shd w:val="clear" w:color="auto" w:fill="auto"/>
            <w:vAlign w:val="bottom"/>
          </w:tcPr>
          <w:p w:rsidRPr="00260518" w:rsidR="00625B30" w:rsidP="00625B30" w:rsidRDefault="00625B30" w14:paraId="4930EF73" w14:textId="77777777">
            <w:pPr>
              <w:keepNext/>
              <w:keepLines/>
              <w:spacing w:before="60" w:after="60"/>
              <w:jc w:val="center"/>
              <w:rPr>
                <w:b/>
                <w:color w:val="000000"/>
                <w:sz w:val="22"/>
                <w:szCs w:val="22"/>
              </w:rPr>
            </w:pPr>
            <w:r w:rsidRPr="00260518">
              <w:rPr>
                <w:b/>
                <w:color w:val="000000"/>
                <w:sz w:val="22"/>
                <w:szCs w:val="22"/>
              </w:rPr>
              <w:t>Item</w:t>
            </w:r>
          </w:p>
        </w:tc>
        <w:tc>
          <w:tcPr>
            <w:tcW w:w="720" w:type="dxa"/>
            <w:tcBorders>
              <w:top w:val="single" w:color="auto" w:sz="4" w:space="0"/>
              <w:bottom w:val="single" w:color="auto" w:sz="4" w:space="0"/>
            </w:tcBorders>
            <w:shd w:val="clear" w:color="auto" w:fill="auto"/>
            <w:vAlign w:val="bottom"/>
          </w:tcPr>
          <w:p w:rsidRPr="00260518" w:rsidR="00625B30" w:rsidP="00625B30" w:rsidRDefault="00625B30" w14:paraId="755EDD4D" w14:textId="77777777">
            <w:pPr>
              <w:keepNext/>
              <w:keepLines/>
              <w:spacing w:before="60" w:after="60"/>
              <w:jc w:val="center"/>
              <w:rPr>
                <w:b/>
                <w:color w:val="000000"/>
                <w:sz w:val="22"/>
                <w:szCs w:val="22"/>
              </w:rPr>
            </w:pPr>
            <w:r w:rsidRPr="00260518">
              <w:rPr>
                <w:b/>
                <w:color w:val="000000"/>
                <w:sz w:val="22"/>
                <w:szCs w:val="22"/>
              </w:rPr>
              <w:t>Year</w:t>
            </w:r>
          </w:p>
        </w:tc>
        <w:tc>
          <w:tcPr>
            <w:tcW w:w="720" w:type="dxa"/>
            <w:tcBorders>
              <w:top w:val="single" w:color="auto" w:sz="4" w:space="0"/>
              <w:bottom w:val="single" w:color="auto" w:sz="4" w:space="0"/>
            </w:tcBorders>
            <w:shd w:val="clear" w:color="auto" w:fill="auto"/>
            <w:vAlign w:val="bottom"/>
          </w:tcPr>
          <w:p w:rsidRPr="00260518" w:rsidR="00625B30" w:rsidP="00625B30" w:rsidRDefault="00625B30" w14:paraId="535CBA99" w14:textId="77777777">
            <w:pPr>
              <w:keepNext/>
              <w:keepLines/>
              <w:spacing w:before="60" w:after="60"/>
              <w:jc w:val="center"/>
              <w:rPr>
                <w:b/>
                <w:color w:val="000000"/>
                <w:sz w:val="22"/>
                <w:szCs w:val="22"/>
              </w:rPr>
            </w:pPr>
            <w:r w:rsidRPr="00260518">
              <w:rPr>
                <w:b/>
                <w:color w:val="000000"/>
                <w:sz w:val="22"/>
                <w:szCs w:val="22"/>
              </w:rPr>
              <w:t>Hours</w:t>
            </w:r>
          </w:p>
        </w:tc>
        <w:tc>
          <w:tcPr>
            <w:tcW w:w="990" w:type="dxa"/>
            <w:tcBorders>
              <w:top w:val="single" w:color="auto" w:sz="4" w:space="0"/>
              <w:bottom w:val="single" w:color="auto" w:sz="4" w:space="0"/>
            </w:tcBorders>
            <w:shd w:val="clear" w:color="auto" w:fill="auto"/>
            <w:vAlign w:val="bottom"/>
          </w:tcPr>
          <w:p w:rsidRPr="00260518" w:rsidR="00625B30" w:rsidP="00625B30" w:rsidRDefault="00625B30" w14:paraId="276F6184" w14:textId="77777777">
            <w:pPr>
              <w:keepNext/>
              <w:keepLines/>
              <w:spacing w:before="60" w:after="60"/>
              <w:jc w:val="center"/>
              <w:rPr>
                <w:b/>
                <w:color w:val="000000"/>
                <w:sz w:val="22"/>
                <w:szCs w:val="22"/>
              </w:rPr>
            </w:pPr>
            <w:r w:rsidRPr="00260518">
              <w:rPr>
                <w:b/>
                <w:color w:val="000000"/>
                <w:sz w:val="22"/>
                <w:szCs w:val="22"/>
              </w:rPr>
              <w:t>Rate $</w:t>
            </w:r>
          </w:p>
        </w:tc>
        <w:tc>
          <w:tcPr>
            <w:tcW w:w="1980" w:type="dxa"/>
            <w:tcBorders>
              <w:top w:val="single" w:color="auto" w:sz="4" w:space="0"/>
              <w:bottom w:val="single" w:color="auto" w:sz="4" w:space="0"/>
              <w:right w:val="single" w:color="auto" w:sz="4" w:space="0"/>
            </w:tcBorders>
            <w:shd w:val="clear" w:color="auto" w:fill="auto"/>
            <w:vAlign w:val="bottom"/>
          </w:tcPr>
          <w:p w:rsidRPr="00260518" w:rsidR="00625B30" w:rsidP="00625B30" w:rsidRDefault="00625B30" w14:paraId="76FCC7F0" w14:textId="77777777">
            <w:pPr>
              <w:keepNext/>
              <w:keepLines/>
              <w:spacing w:before="60" w:after="60"/>
              <w:jc w:val="center"/>
              <w:rPr>
                <w:b/>
                <w:color w:val="000000"/>
                <w:sz w:val="22"/>
                <w:szCs w:val="22"/>
              </w:rPr>
            </w:pPr>
            <w:r w:rsidRPr="00260518">
              <w:rPr>
                <w:b/>
                <w:color w:val="000000"/>
                <w:sz w:val="22"/>
                <w:szCs w:val="22"/>
              </w:rPr>
              <w:t>Basis for Rate*</w:t>
            </w:r>
          </w:p>
        </w:tc>
        <w:tc>
          <w:tcPr>
            <w:tcW w:w="1260"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260518" w:rsidR="00625B30" w:rsidP="00625B30" w:rsidRDefault="00625B30" w14:paraId="5A8F2ADC" w14:textId="77777777">
            <w:pPr>
              <w:keepNext/>
              <w:keepLines/>
              <w:spacing w:before="60" w:after="60"/>
              <w:jc w:val="center"/>
              <w:rPr>
                <w:b/>
                <w:color w:val="000000"/>
                <w:sz w:val="22"/>
                <w:szCs w:val="22"/>
              </w:rPr>
            </w:pPr>
            <w:r w:rsidRPr="00260518">
              <w:rPr>
                <w:b/>
                <w:color w:val="000000"/>
                <w:sz w:val="22"/>
                <w:szCs w:val="22"/>
              </w:rPr>
              <w:t>Total $</w:t>
            </w:r>
          </w:p>
        </w:tc>
        <w:tc>
          <w:tcPr>
            <w:tcW w:w="900" w:type="dxa"/>
            <w:tcBorders>
              <w:top w:val="single" w:color="auto" w:sz="4" w:space="0"/>
              <w:left w:val="single" w:color="auto" w:sz="4" w:space="0"/>
            </w:tcBorders>
            <w:shd w:val="clear" w:color="auto" w:fill="auto"/>
            <w:vAlign w:val="bottom"/>
          </w:tcPr>
          <w:p w:rsidRPr="00260518" w:rsidR="00625B30" w:rsidP="00625B30" w:rsidRDefault="00625B30" w14:paraId="416C30AF" w14:textId="77777777">
            <w:pPr>
              <w:keepNext/>
              <w:keepLines/>
              <w:spacing w:before="60" w:after="60"/>
              <w:jc w:val="center"/>
              <w:rPr>
                <w:b/>
                <w:color w:val="000000"/>
                <w:sz w:val="22"/>
                <w:szCs w:val="22"/>
              </w:rPr>
            </w:pPr>
            <w:r w:rsidRPr="00260518">
              <w:rPr>
                <w:b/>
                <w:color w:val="000000"/>
                <w:sz w:val="22"/>
                <w:szCs w:val="22"/>
              </w:rPr>
              <w:t>Hours</w:t>
            </w:r>
          </w:p>
        </w:tc>
        <w:tc>
          <w:tcPr>
            <w:tcW w:w="1440" w:type="dxa"/>
            <w:tcBorders>
              <w:top w:val="single" w:color="auto" w:sz="4" w:space="0"/>
            </w:tcBorders>
            <w:shd w:val="clear" w:color="auto" w:fill="auto"/>
            <w:vAlign w:val="bottom"/>
          </w:tcPr>
          <w:p w:rsidRPr="00260518" w:rsidR="00625B30" w:rsidP="00625B30" w:rsidRDefault="00625B30" w14:paraId="6E947F97" w14:textId="77777777">
            <w:pPr>
              <w:keepNext/>
              <w:keepLines/>
              <w:spacing w:before="60" w:after="60"/>
              <w:jc w:val="center"/>
              <w:rPr>
                <w:b/>
                <w:color w:val="000000"/>
                <w:sz w:val="22"/>
                <w:szCs w:val="22"/>
              </w:rPr>
            </w:pPr>
            <w:r w:rsidRPr="00260518">
              <w:rPr>
                <w:b/>
                <w:color w:val="000000"/>
                <w:sz w:val="22"/>
                <w:szCs w:val="22"/>
              </w:rPr>
              <w:t>Rate $</w:t>
            </w:r>
          </w:p>
        </w:tc>
        <w:tc>
          <w:tcPr>
            <w:tcW w:w="1355" w:type="dxa"/>
            <w:tcBorders>
              <w:top w:val="single" w:color="auto" w:sz="4" w:space="0"/>
            </w:tcBorders>
            <w:shd w:val="clear" w:color="auto" w:fill="auto"/>
            <w:vAlign w:val="bottom"/>
          </w:tcPr>
          <w:p w:rsidRPr="00260518" w:rsidR="00625B30" w:rsidP="00625B30" w:rsidRDefault="00625B30" w14:paraId="51EFB1C6" w14:textId="77777777">
            <w:pPr>
              <w:keepNext/>
              <w:keepLines/>
              <w:spacing w:before="60" w:after="60"/>
              <w:jc w:val="center"/>
              <w:rPr>
                <w:b/>
                <w:color w:val="000000"/>
                <w:sz w:val="22"/>
                <w:szCs w:val="22"/>
              </w:rPr>
            </w:pPr>
            <w:r w:rsidRPr="00260518">
              <w:rPr>
                <w:b/>
                <w:color w:val="000000"/>
                <w:sz w:val="22"/>
                <w:szCs w:val="22"/>
              </w:rPr>
              <w:t>Total $</w:t>
            </w:r>
          </w:p>
        </w:tc>
      </w:tr>
      <w:tr w:rsidRPr="007F620E" w:rsidR="0009071C" w:rsidTr="0009071C" w14:paraId="16E12E1D" w14:textId="77777777">
        <w:trPr>
          <w:jc w:val="center"/>
        </w:trPr>
        <w:tc>
          <w:tcPr>
            <w:tcW w:w="1795" w:type="dxa"/>
            <w:shd w:val="clear" w:color="auto" w:fill="auto"/>
          </w:tcPr>
          <w:p w:rsidRPr="00046326" w:rsidR="00625B30" w:rsidP="00734676" w:rsidRDefault="00625B30" w14:paraId="25EB8234" w14:textId="77777777">
            <w:pPr>
              <w:spacing w:before="60" w:after="60"/>
              <w:jc w:val="center"/>
              <w:rPr>
                <w:color w:val="000000"/>
                <w:sz w:val="22"/>
                <w:szCs w:val="22"/>
              </w:rPr>
            </w:pPr>
            <w:r>
              <w:rPr>
                <w:color w:val="000000"/>
                <w:sz w:val="22"/>
                <w:szCs w:val="22"/>
              </w:rPr>
              <w:t>Thomas Long, TURN Dir. of Reg. Strategy</w:t>
            </w:r>
          </w:p>
        </w:tc>
        <w:tc>
          <w:tcPr>
            <w:tcW w:w="720" w:type="dxa"/>
            <w:shd w:val="clear" w:color="auto" w:fill="auto"/>
          </w:tcPr>
          <w:p w:rsidRPr="000D31D7" w:rsidR="00625B30" w:rsidP="00625B30" w:rsidRDefault="00625B30" w14:paraId="56EEC04F" w14:textId="77777777">
            <w:pPr>
              <w:spacing w:before="60" w:after="60"/>
              <w:jc w:val="center"/>
              <w:rPr>
                <w:color w:val="000000"/>
                <w:sz w:val="22"/>
                <w:szCs w:val="22"/>
              </w:rPr>
            </w:pPr>
            <w:r w:rsidRPr="000D31D7">
              <w:rPr>
                <w:color w:val="000000"/>
                <w:sz w:val="22"/>
                <w:szCs w:val="22"/>
              </w:rPr>
              <w:t>2023</w:t>
            </w:r>
          </w:p>
        </w:tc>
        <w:tc>
          <w:tcPr>
            <w:tcW w:w="720" w:type="dxa"/>
            <w:shd w:val="clear" w:color="auto" w:fill="auto"/>
          </w:tcPr>
          <w:p w:rsidRPr="000D31D7" w:rsidR="00625B30" w:rsidP="00625B30" w:rsidRDefault="00B32E60" w14:paraId="2054721D" w14:textId="46C8A34A">
            <w:pPr>
              <w:spacing w:before="60" w:after="60"/>
              <w:jc w:val="center"/>
              <w:rPr>
                <w:color w:val="000000"/>
                <w:sz w:val="22"/>
                <w:szCs w:val="22"/>
              </w:rPr>
            </w:pPr>
            <w:r>
              <w:rPr>
                <w:color w:val="000000"/>
                <w:sz w:val="22"/>
                <w:szCs w:val="22"/>
              </w:rPr>
              <w:t>48.25</w:t>
            </w:r>
          </w:p>
        </w:tc>
        <w:tc>
          <w:tcPr>
            <w:tcW w:w="990" w:type="dxa"/>
            <w:shd w:val="clear" w:color="auto" w:fill="auto"/>
          </w:tcPr>
          <w:p w:rsidRPr="000D31D7" w:rsidR="00625B30" w:rsidP="00625B30" w:rsidRDefault="00625B30" w14:paraId="62AA8D16" w14:textId="6A3D0DBB">
            <w:pPr>
              <w:spacing w:before="60" w:after="60"/>
              <w:jc w:val="center"/>
              <w:rPr>
                <w:color w:val="000000"/>
                <w:sz w:val="22"/>
                <w:szCs w:val="22"/>
              </w:rPr>
            </w:pPr>
            <w:r w:rsidRPr="000D31D7">
              <w:rPr>
                <w:color w:val="000000"/>
                <w:sz w:val="22"/>
                <w:szCs w:val="22"/>
              </w:rPr>
              <w:t>$840</w:t>
            </w:r>
            <w:r w:rsidR="00D3594A">
              <w:rPr>
                <w:color w:val="000000"/>
                <w:sz w:val="22"/>
                <w:szCs w:val="22"/>
              </w:rPr>
              <w:t>.00</w:t>
            </w:r>
          </w:p>
        </w:tc>
        <w:tc>
          <w:tcPr>
            <w:tcW w:w="1980" w:type="dxa"/>
            <w:tcBorders>
              <w:right w:val="single" w:color="auto" w:sz="4" w:space="0"/>
            </w:tcBorders>
            <w:shd w:val="clear" w:color="auto" w:fill="auto"/>
          </w:tcPr>
          <w:p w:rsidRPr="000D31D7" w:rsidR="00625B30" w:rsidP="00625B30" w:rsidRDefault="00625B30" w14:paraId="43F37AEE" w14:textId="77777777">
            <w:pPr>
              <w:spacing w:before="60" w:after="60"/>
              <w:rPr>
                <w:color w:val="000000"/>
                <w:sz w:val="22"/>
                <w:szCs w:val="22"/>
              </w:rPr>
            </w:pPr>
            <w:r w:rsidRPr="000D31D7">
              <w:rPr>
                <w:color w:val="000000"/>
                <w:sz w:val="22"/>
                <w:szCs w:val="22"/>
              </w:rPr>
              <w:t>D.23-05-032</w:t>
            </w:r>
          </w:p>
        </w:tc>
        <w:tc>
          <w:tcPr>
            <w:tcW w:w="1260" w:type="dxa"/>
            <w:gridSpan w:val="2"/>
            <w:tcBorders>
              <w:top w:val="single" w:color="auto" w:sz="4" w:space="0"/>
              <w:left w:val="single" w:color="auto" w:sz="4" w:space="0"/>
              <w:bottom w:val="single" w:color="auto" w:sz="4" w:space="0"/>
              <w:right w:val="single" w:color="auto" w:sz="24" w:space="0"/>
            </w:tcBorders>
            <w:shd w:val="clear" w:color="auto" w:fill="auto"/>
          </w:tcPr>
          <w:p w:rsidRPr="000D31D7" w:rsidR="00625B30" w:rsidP="00023AA3" w:rsidRDefault="00D3594A" w14:paraId="6EBFD28D" w14:textId="40F0D22E">
            <w:pPr>
              <w:spacing w:before="60" w:after="60"/>
              <w:jc w:val="center"/>
              <w:rPr>
                <w:color w:val="000000"/>
                <w:sz w:val="22"/>
                <w:szCs w:val="22"/>
              </w:rPr>
            </w:pPr>
            <w:r>
              <w:rPr>
                <w:color w:val="000000"/>
                <w:sz w:val="22"/>
                <w:szCs w:val="22"/>
              </w:rPr>
              <w:t>$</w:t>
            </w:r>
            <w:r w:rsidR="00B32E60">
              <w:rPr>
                <w:color w:val="000000"/>
                <w:sz w:val="22"/>
                <w:szCs w:val="22"/>
              </w:rPr>
              <w:t>40,530</w:t>
            </w:r>
            <w:r w:rsidRPr="000D31D7" w:rsidR="00625B30">
              <w:rPr>
                <w:color w:val="000000"/>
                <w:sz w:val="22"/>
                <w:szCs w:val="22"/>
              </w:rPr>
              <w:t>.00</w:t>
            </w:r>
          </w:p>
        </w:tc>
        <w:tc>
          <w:tcPr>
            <w:tcW w:w="900" w:type="dxa"/>
            <w:tcBorders>
              <w:left w:val="single" w:color="auto" w:sz="4" w:space="0"/>
            </w:tcBorders>
            <w:shd w:val="clear" w:color="auto" w:fill="auto"/>
          </w:tcPr>
          <w:p w:rsidRPr="007F620E" w:rsidR="00625B30" w:rsidP="00023AA3" w:rsidRDefault="006B7B83" w14:paraId="4FFD601C" w14:textId="45E07CFD">
            <w:pPr>
              <w:spacing w:before="60" w:after="60"/>
              <w:jc w:val="center"/>
              <w:rPr>
                <w:color w:val="000000"/>
              </w:rPr>
            </w:pPr>
            <w:r>
              <w:rPr>
                <w:color w:val="000000"/>
              </w:rPr>
              <w:t>48.25</w:t>
            </w:r>
          </w:p>
        </w:tc>
        <w:tc>
          <w:tcPr>
            <w:tcW w:w="1440" w:type="dxa"/>
            <w:shd w:val="clear" w:color="auto" w:fill="auto"/>
          </w:tcPr>
          <w:p w:rsidRPr="007F620E" w:rsidR="00625B30" w:rsidP="00023AA3" w:rsidRDefault="00E808F8" w14:paraId="465CF9CC" w14:textId="7EB4372A">
            <w:pPr>
              <w:spacing w:before="60" w:after="60"/>
              <w:jc w:val="center"/>
              <w:rPr>
                <w:color w:val="000000"/>
              </w:rPr>
            </w:pPr>
            <w:r>
              <w:rPr>
                <w:color w:val="000000"/>
              </w:rPr>
              <w:t>$8</w:t>
            </w:r>
            <w:r w:rsidR="00615EB2">
              <w:rPr>
                <w:color w:val="000000"/>
              </w:rPr>
              <w:t>30</w:t>
            </w:r>
            <w:r w:rsidRPr="00D3594A" w:rsidR="00D3594A">
              <w:rPr>
                <w:color w:val="000000"/>
              </w:rPr>
              <w:t>.00</w:t>
            </w:r>
            <w:r w:rsidR="00615EB2">
              <w:rPr>
                <w:color w:val="000000"/>
              </w:rPr>
              <w:t xml:space="preserve"> [1]</w:t>
            </w:r>
          </w:p>
        </w:tc>
        <w:tc>
          <w:tcPr>
            <w:tcW w:w="1355" w:type="dxa"/>
            <w:shd w:val="clear" w:color="auto" w:fill="auto"/>
          </w:tcPr>
          <w:p w:rsidRPr="007F620E" w:rsidR="00625B30" w:rsidP="00023AA3" w:rsidRDefault="00D6091C" w14:paraId="77E7E8F6" w14:textId="4F90AA2B">
            <w:pPr>
              <w:spacing w:before="60" w:after="60"/>
              <w:jc w:val="center"/>
              <w:rPr>
                <w:color w:val="000000"/>
              </w:rPr>
            </w:pPr>
            <w:r>
              <w:rPr>
                <w:color w:val="000000"/>
              </w:rPr>
              <w:t>$40</w:t>
            </w:r>
            <w:r w:rsidR="00571B8B">
              <w:rPr>
                <w:color w:val="000000"/>
              </w:rPr>
              <w:t>,047.50</w:t>
            </w:r>
          </w:p>
        </w:tc>
      </w:tr>
      <w:tr w:rsidRPr="007F620E" w:rsidR="0009071C" w:rsidTr="0009071C" w14:paraId="005FA261" w14:textId="77777777">
        <w:trPr>
          <w:jc w:val="center"/>
        </w:trPr>
        <w:tc>
          <w:tcPr>
            <w:tcW w:w="1795" w:type="dxa"/>
            <w:shd w:val="clear" w:color="auto" w:fill="auto"/>
          </w:tcPr>
          <w:p w:rsidR="0017532F" w:rsidP="00734676" w:rsidRDefault="0017532F" w14:paraId="366D1D91" w14:textId="67375ACE">
            <w:pPr>
              <w:spacing w:before="60" w:after="60"/>
              <w:jc w:val="center"/>
              <w:rPr>
                <w:color w:val="000000"/>
                <w:sz w:val="22"/>
                <w:szCs w:val="22"/>
              </w:rPr>
            </w:pPr>
            <w:r>
              <w:rPr>
                <w:color w:val="000000"/>
                <w:sz w:val="22"/>
                <w:szCs w:val="22"/>
              </w:rPr>
              <w:t>T. Long</w:t>
            </w:r>
          </w:p>
        </w:tc>
        <w:tc>
          <w:tcPr>
            <w:tcW w:w="720" w:type="dxa"/>
            <w:shd w:val="clear" w:color="auto" w:fill="auto"/>
          </w:tcPr>
          <w:p w:rsidRPr="000D31D7" w:rsidR="0017532F" w:rsidP="0017532F" w:rsidRDefault="0017532F" w14:paraId="13141FC4" w14:textId="71E8FD16">
            <w:pPr>
              <w:spacing w:before="60" w:after="60"/>
              <w:jc w:val="center"/>
              <w:rPr>
                <w:color w:val="000000"/>
                <w:sz w:val="22"/>
                <w:szCs w:val="22"/>
              </w:rPr>
            </w:pPr>
            <w:r>
              <w:rPr>
                <w:color w:val="000000"/>
                <w:sz w:val="22"/>
                <w:szCs w:val="22"/>
              </w:rPr>
              <w:t>2024</w:t>
            </w:r>
          </w:p>
        </w:tc>
        <w:tc>
          <w:tcPr>
            <w:tcW w:w="720" w:type="dxa"/>
            <w:shd w:val="clear" w:color="auto" w:fill="auto"/>
          </w:tcPr>
          <w:p w:rsidR="0017532F" w:rsidP="0017532F" w:rsidRDefault="0017532F" w14:paraId="06135EC0" w14:textId="3D2FDF79">
            <w:pPr>
              <w:spacing w:before="60" w:after="60"/>
              <w:jc w:val="center"/>
              <w:rPr>
                <w:color w:val="000000"/>
                <w:sz w:val="22"/>
                <w:szCs w:val="22"/>
              </w:rPr>
            </w:pPr>
            <w:r>
              <w:rPr>
                <w:color w:val="000000"/>
                <w:sz w:val="22"/>
                <w:szCs w:val="22"/>
              </w:rPr>
              <w:t>5.00</w:t>
            </w:r>
          </w:p>
        </w:tc>
        <w:tc>
          <w:tcPr>
            <w:tcW w:w="990" w:type="dxa"/>
            <w:shd w:val="clear" w:color="auto" w:fill="auto"/>
          </w:tcPr>
          <w:p w:rsidRPr="000D31D7" w:rsidR="0017532F" w:rsidP="0017532F" w:rsidRDefault="0017532F" w14:paraId="3026963C" w14:textId="1C436232">
            <w:pPr>
              <w:spacing w:before="60" w:after="60"/>
              <w:jc w:val="center"/>
              <w:rPr>
                <w:color w:val="000000"/>
                <w:sz w:val="22"/>
                <w:szCs w:val="22"/>
              </w:rPr>
            </w:pPr>
            <w:r>
              <w:rPr>
                <w:color w:val="000000"/>
                <w:sz w:val="22"/>
                <w:szCs w:val="22"/>
              </w:rPr>
              <w:t>$875</w:t>
            </w:r>
            <w:r w:rsidRPr="00D3594A" w:rsidR="00D3594A">
              <w:rPr>
                <w:color w:val="000000"/>
                <w:sz w:val="22"/>
                <w:szCs w:val="22"/>
              </w:rPr>
              <w:t>.00</w:t>
            </w:r>
          </w:p>
        </w:tc>
        <w:tc>
          <w:tcPr>
            <w:tcW w:w="1980" w:type="dxa"/>
            <w:tcBorders>
              <w:right w:val="single" w:color="auto" w:sz="4" w:space="0"/>
            </w:tcBorders>
            <w:shd w:val="clear" w:color="auto" w:fill="auto"/>
          </w:tcPr>
          <w:p w:rsidRPr="000D31D7" w:rsidR="0017532F" w:rsidP="0017532F" w:rsidRDefault="0017532F" w14:paraId="535E5543" w14:textId="33EEBB0E">
            <w:pPr>
              <w:spacing w:before="60" w:after="60"/>
              <w:rPr>
                <w:color w:val="000000"/>
                <w:sz w:val="22"/>
                <w:szCs w:val="22"/>
              </w:rPr>
            </w:pPr>
            <w:r>
              <w:rPr>
                <w:color w:val="000000"/>
                <w:sz w:val="22"/>
                <w:szCs w:val="22"/>
              </w:rPr>
              <w:t>D.23-05-032 and Res. ALJ-393  (</w:t>
            </w:r>
            <w:r w:rsidRPr="009610B9" w:rsidR="009610B9">
              <w:rPr>
                <w:i/>
                <w:iCs/>
                <w:color w:val="000000"/>
                <w:sz w:val="22"/>
                <w:szCs w:val="22"/>
              </w:rPr>
              <w:t>See</w:t>
            </w:r>
            <w:r w:rsidRPr="009610B9" w:rsidR="009610B9">
              <w:rPr>
                <w:color w:val="000000"/>
                <w:sz w:val="22"/>
                <w:szCs w:val="22"/>
              </w:rPr>
              <w:t xml:space="preserve"> </w:t>
            </w:r>
            <w:r>
              <w:rPr>
                <w:color w:val="000000"/>
                <w:sz w:val="22"/>
                <w:szCs w:val="22"/>
              </w:rPr>
              <w:t>Comment #1)</w:t>
            </w:r>
          </w:p>
        </w:tc>
        <w:tc>
          <w:tcPr>
            <w:tcW w:w="1260" w:type="dxa"/>
            <w:gridSpan w:val="2"/>
            <w:tcBorders>
              <w:top w:val="single" w:color="auto" w:sz="4" w:space="0"/>
              <w:left w:val="single" w:color="auto" w:sz="4" w:space="0"/>
              <w:bottom w:val="single" w:color="auto" w:sz="4" w:space="0"/>
              <w:right w:val="single" w:color="auto" w:sz="24" w:space="0"/>
            </w:tcBorders>
            <w:shd w:val="clear" w:color="auto" w:fill="auto"/>
          </w:tcPr>
          <w:p w:rsidR="0017532F" w:rsidP="00023AA3" w:rsidRDefault="00D3594A" w14:paraId="64F9C088" w14:textId="71BC10CA">
            <w:pPr>
              <w:spacing w:before="60" w:after="60"/>
              <w:jc w:val="center"/>
              <w:rPr>
                <w:color w:val="000000"/>
                <w:sz w:val="22"/>
                <w:szCs w:val="22"/>
              </w:rPr>
            </w:pPr>
            <w:r>
              <w:rPr>
                <w:color w:val="000000"/>
                <w:sz w:val="22"/>
                <w:szCs w:val="22"/>
              </w:rPr>
              <w:t>$</w:t>
            </w:r>
            <w:r w:rsidR="00B17FE9">
              <w:rPr>
                <w:color w:val="000000"/>
                <w:sz w:val="22"/>
                <w:szCs w:val="22"/>
              </w:rPr>
              <w:t>4,375.00</w:t>
            </w:r>
          </w:p>
        </w:tc>
        <w:tc>
          <w:tcPr>
            <w:tcW w:w="900" w:type="dxa"/>
            <w:tcBorders>
              <w:left w:val="single" w:color="auto" w:sz="4" w:space="0"/>
            </w:tcBorders>
            <w:shd w:val="clear" w:color="auto" w:fill="auto"/>
          </w:tcPr>
          <w:p w:rsidRPr="007F620E" w:rsidR="0017532F" w:rsidP="00023AA3" w:rsidRDefault="006B7B83" w14:paraId="5C5C0F66" w14:textId="7FE436E2">
            <w:pPr>
              <w:spacing w:before="60" w:after="60"/>
              <w:jc w:val="center"/>
              <w:rPr>
                <w:color w:val="000000"/>
              </w:rPr>
            </w:pPr>
            <w:r>
              <w:rPr>
                <w:color w:val="000000"/>
              </w:rPr>
              <w:t>5.00</w:t>
            </w:r>
          </w:p>
        </w:tc>
        <w:tc>
          <w:tcPr>
            <w:tcW w:w="1440" w:type="dxa"/>
            <w:shd w:val="clear" w:color="auto" w:fill="auto"/>
          </w:tcPr>
          <w:p w:rsidRPr="007F620E" w:rsidR="0017532F" w:rsidP="00023AA3" w:rsidRDefault="00A03E31" w14:paraId="52C7AEC5" w14:textId="092EE7DB">
            <w:pPr>
              <w:spacing w:before="60" w:after="60"/>
              <w:jc w:val="center"/>
              <w:rPr>
                <w:color w:val="000000"/>
              </w:rPr>
            </w:pPr>
            <w:r>
              <w:rPr>
                <w:color w:val="000000"/>
              </w:rPr>
              <w:t>$</w:t>
            </w:r>
            <w:r w:rsidR="00615EB2">
              <w:rPr>
                <w:color w:val="000000"/>
              </w:rPr>
              <w:t>860</w:t>
            </w:r>
            <w:r w:rsidRPr="00D3594A" w:rsidR="00D3594A">
              <w:rPr>
                <w:color w:val="000000"/>
              </w:rPr>
              <w:t>.00</w:t>
            </w:r>
            <w:r w:rsidR="00812593">
              <w:rPr>
                <w:color w:val="000000"/>
              </w:rPr>
              <w:t xml:space="preserve"> [1]</w:t>
            </w:r>
          </w:p>
        </w:tc>
        <w:tc>
          <w:tcPr>
            <w:tcW w:w="1355" w:type="dxa"/>
            <w:shd w:val="clear" w:color="auto" w:fill="auto"/>
          </w:tcPr>
          <w:p w:rsidRPr="007F620E" w:rsidR="0017532F" w:rsidP="00023AA3" w:rsidRDefault="00D6091C" w14:paraId="518898ED" w14:textId="0D799078">
            <w:pPr>
              <w:spacing w:before="60" w:after="60"/>
              <w:jc w:val="center"/>
              <w:rPr>
                <w:color w:val="000000"/>
              </w:rPr>
            </w:pPr>
            <w:r>
              <w:rPr>
                <w:color w:val="000000"/>
              </w:rPr>
              <w:t>$4,</w:t>
            </w:r>
            <w:r w:rsidR="00571B8B">
              <w:rPr>
                <w:color w:val="000000"/>
              </w:rPr>
              <w:t>300.00</w:t>
            </w:r>
          </w:p>
        </w:tc>
      </w:tr>
      <w:tr w:rsidRPr="007F620E" w:rsidR="0009071C" w:rsidTr="0009071C" w14:paraId="0DB0F52D" w14:textId="77777777">
        <w:trPr>
          <w:jc w:val="center"/>
        </w:trPr>
        <w:tc>
          <w:tcPr>
            <w:tcW w:w="1795" w:type="dxa"/>
            <w:shd w:val="clear" w:color="auto" w:fill="auto"/>
          </w:tcPr>
          <w:p w:rsidRPr="00046326" w:rsidR="0017532F" w:rsidP="00734676" w:rsidRDefault="0017532F" w14:paraId="57B2D50B" w14:textId="77777777">
            <w:pPr>
              <w:spacing w:before="60" w:after="60"/>
              <w:jc w:val="center"/>
              <w:rPr>
                <w:color w:val="000000"/>
                <w:sz w:val="22"/>
                <w:szCs w:val="22"/>
              </w:rPr>
            </w:pPr>
            <w:r>
              <w:rPr>
                <w:color w:val="000000"/>
                <w:sz w:val="22"/>
                <w:szCs w:val="22"/>
              </w:rPr>
              <w:t>Robert Finkelstein, TURN Gen. Counsel</w:t>
            </w:r>
          </w:p>
        </w:tc>
        <w:tc>
          <w:tcPr>
            <w:tcW w:w="720" w:type="dxa"/>
            <w:shd w:val="clear" w:color="auto" w:fill="auto"/>
          </w:tcPr>
          <w:p w:rsidRPr="000D31D7" w:rsidR="0017532F" w:rsidP="0017532F" w:rsidRDefault="0017532F" w14:paraId="02A3DDEB" w14:textId="77777777">
            <w:pPr>
              <w:spacing w:before="60" w:after="60"/>
              <w:jc w:val="center"/>
              <w:rPr>
                <w:color w:val="000000"/>
                <w:sz w:val="22"/>
                <w:szCs w:val="22"/>
              </w:rPr>
            </w:pPr>
            <w:r w:rsidRPr="000D31D7">
              <w:rPr>
                <w:color w:val="000000"/>
                <w:sz w:val="22"/>
                <w:szCs w:val="22"/>
              </w:rPr>
              <w:t>2023</w:t>
            </w:r>
          </w:p>
        </w:tc>
        <w:tc>
          <w:tcPr>
            <w:tcW w:w="720" w:type="dxa"/>
            <w:shd w:val="clear" w:color="auto" w:fill="auto"/>
          </w:tcPr>
          <w:p w:rsidRPr="000D31D7" w:rsidR="0017532F" w:rsidP="0017532F" w:rsidRDefault="00B17FE9" w14:paraId="63852875" w14:textId="3987EC34">
            <w:pPr>
              <w:spacing w:before="60" w:after="60"/>
              <w:jc w:val="center"/>
              <w:rPr>
                <w:color w:val="000000"/>
                <w:sz w:val="22"/>
                <w:szCs w:val="22"/>
              </w:rPr>
            </w:pPr>
            <w:r>
              <w:rPr>
                <w:color w:val="000000"/>
                <w:sz w:val="22"/>
                <w:szCs w:val="22"/>
              </w:rPr>
              <w:t>2</w:t>
            </w:r>
            <w:r w:rsidR="0017532F">
              <w:rPr>
                <w:color w:val="000000"/>
                <w:sz w:val="22"/>
                <w:szCs w:val="22"/>
              </w:rPr>
              <w:t>.50</w:t>
            </w:r>
          </w:p>
        </w:tc>
        <w:tc>
          <w:tcPr>
            <w:tcW w:w="990" w:type="dxa"/>
            <w:shd w:val="clear" w:color="auto" w:fill="auto"/>
          </w:tcPr>
          <w:p w:rsidRPr="000D31D7" w:rsidR="0017532F" w:rsidP="0017532F" w:rsidRDefault="0017532F" w14:paraId="066DF12B" w14:textId="67F68D1E">
            <w:pPr>
              <w:spacing w:before="60" w:after="60"/>
              <w:jc w:val="center"/>
              <w:rPr>
                <w:color w:val="000000"/>
                <w:sz w:val="22"/>
                <w:szCs w:val="22"/>
              </w:rPr>
            </w:pPr>
            <w:r w:rsidRPr="000D31D7">
              <w:rPr>
                <w:color w:val="000000"/>
                <w:sz w:val="22"/>
                <w:szCs w:val="22"/>
              </w:rPr>
              <w:t>$840</w:t>
            </w:r>
            <w:r w:rsidRPr="00D3594A" w:rsidR="00D3594A">
              <w:rPr>
                <w:color w:val="000000"/>
                <w:sz w:val="22"/>
                <w:szCs w:val="22"/>
              </w:rPr>
              <w:t>.00</w:t>
            </w:r>
          </w:p>
        </w:tc>
        <w:tc>
          <w:tcPr>
            <w:tcW w:w="1980" w:type="dxa"/>
            <w:tcBorders>
              <w:right w:val="single" w:color="auto" w:sz="4" w:space="0"/>
            </w:tcBorders>
            <w:shd w:val="clear" w:color="auto" w:fill="auto"/>
          </w:tcPr>
          <w:p w:rsidRPr="000D31D7" w:rsidR="0017532F" w:rsidP="0017532F" w:rsidRDefault="0017532F" w14:paraId="42C9AEE0" w14:textId="77777777">
            <w:pPr>
              <w:spacing w:before="60" w:after="60"/>
              <w:rPr>
                <w:color w:val="000000"/>
                <w:sz w:val="22"/>
                <w:szCs w:val="22"/>
              </w:rPr>
            </w:pPr>
            <w:r w:rsidRPr="000D31D7">
              <w:rPr>
                <w:color w:val="000000"/>
                <w:sz w:val="22"/>
                <w:szCs w:val="22"/>
              </w:rPr>
              <w:t>D.24-02-020</w:t>
            </w:r>
          </w:p>
        </w:tc>
        <w:tc>
          <w:tcPr>
            <w:tcW w:w="1260" w:type="dxa"/>
            <w:gridSpan w:val="2"/>
            <w:tcBorders>
              <w:top w:val="single" w:color="auto" w:sz="4" w:space="0"/>
              <w:left w:val="single" w:color="auto" w:sz="4" w:space="0"/>
              <w:bottom w:val="single" w:color="auto" w:sz="4" w:space="0"/>
              <w:right w:val="single" w:color="auto" w:sz="24" w:space="0"/>
            </w:tcBorders>
            <w:shd w:val="clear" w:color="auto" w:fill="auto"/>
          </w:tcPr>
          <w:p w:rsidRPr="000D31D7" w:rsidR="0017532F" w:rsidP="00023AA3" w:rsidRDefault="00D3594A" w14:paraId="4E46A050" w14:textId="56DD0CAB">
            <w:pPr>
              <w:spacing w:before="60" w:after="60"/>
              <w:jc w:val="center"/>
              <w:rPr>
                <w:color w:val="000000"/>
                <w:sz w:val="22"/>
                <w:szCs w:val="22"/>
              </w:rPr>
            </w:pPr>
            <w:r>
              <w:rPr>
                <w:color w:val="000000"/>
                <w:sz w:val="22"/>
                <w:szCs w:val="22"/>
              </w:rPr>
              <w:t>$</w:t>
            </w:r>
            <w:r w:rsidR="00B17FE9">
              <w:rPr>
                <w:color w:val="000000"/>
                <w:sz w:val="22"/>
                <w:szCs w:val="22"/>
              </w:rPr>
              <w:t>2,100</w:t>
            </w:r>
            <w:r w:rsidR="0017532F">
              <w:rPr>
                <w:color w:val="000000"/>
                <w:sz w:val="22"/>
                <w:szCs w:val="22"/>
              </w:rPr>
              <w:t>.00</w:t>
            </w:r>
          </w:p>
        </w:tc>
        <w:tc>
          <w:tcPr>
            <w:tcW w:w="900" w:type="dxa"/>
            <w:tcBorders>
              <w:left w:val="single" w:color="auto" w:sz="4" w:space="0"/>
            </w:tcBorders>
            <w:shd w:val="clear" w:color="auto" w:fill="auto"/>
          </w:tcPr>
          <w:p w:rsidRPr="007F620E" w:rsidR="0017532F" w:rsidP="00023AA3" w:rsidRDefault="006B7B83" w14:paraId="06810E35" w14:textId="1EB8E94D">
            <w:pPr>
              <w:spacing w:before="60" w:after="60"/>
              <w:jc w:val="center"/>
              <w:rPr>
                <w:color w:val="000000"/>
              </w:rPr>
            </w:pPr>
            <w:r>
              <w:rPr>
                <w:color w:val="000000"/>
              </w:rPr>
              <w:t>2.50</w:t>
            </w:r>
          </w:p>
        </w:tc>
        <w:tc>
          <w:tcPr>
            <w:tcW w:w="1440" w:type="dxa"/>
            <w:shd w:val="clear" w:color="auto" w:fill="auto"/>
          </w:tcPr>
          <w:p w:rsidRPr="007F620E" w:rsidR="0017532F" w:rsidP="00023AA3" w:rsidRDefault="000D1D6C" w14:paraId="200AC55F" w14:textId="218F1CB7">
            <w:pPr>
              <w:spacing w:before="60" w:after="60"/>
              <w:jc w:val="center"/>
              <w:rPr>
                <w:color w:val="000000"/>
              </w:rPr>
            </w:pPr>
            <w:r>
              <w:rPr>
                <w:color w:val="000000"/>
              </w:rPr>
              <w:t>$840</w:t>
            </w:r>
            <w:r w:rsidRPr="00D3594A" w:rsidR="00D3594A">
              <w:rPr>
                <w:color w:val="000000"/>
              </w:rPr>
              <w:t>.00</w:t>
            </w:r>
          </w:p>
        </w:tc>
        <w:tc>
          <w:tcPr>
            <w:tcW w:w="1355" w:type="dxa"/>
            <w:shd w:val="clear" w:color="auto" w:fill="auto"/>
          </w:tcPr>
          <w:p w:rsidRPr="007F620E" w:rsidR="0017532F" w:rsidP="00023AA3" w:rsidRDefault="00D6091C" w14:paraId="5842973D" w14:textId="23DDB9E2">
            <w:pPr>
              <w:spacing w:before="60" w:after="60"/>
              <w:jc w:val="center"/>
              <w:rPr>
                <w:color w:val="000000"/>
              </w:rPr>
            </w:pPr>
            <w:r>
              <w:rPr>
                <w:color w:val="000000"/>
              </w:rPr>
              <w:t>$2,100.00</w:t>
            </w:r>
          </w:p>
        </w:tc>
      </w:tr>
      <w:tr w:rsidRPr="007F620E" w:rsidR="0009071C" w:rsidTr="0009071C" w14:paraId="0BF84921" w14:textId="77777777">
        <w:trPr>
          <w:jc w:val="center"/>
        </w:trPr>
        <w:tc>
          <w:tcPr>
            <w:tcW w:w="1795" w:type="dxa"/>
            <w:shd w:val="clear" w:color="auto" w:fill="auto"/>
          </w:tcPr>
          <w:p w:rsidRPr="00046326" w:rsidR="0017532F" w:rsidP="00734676" w:rsidRDefault="00B17FE9" w14:paraId="58BA760B" w14:textId="5CC2673D">
            <w:pPr>
              <w:spacing w:before="60" w:after="60"/>
              <w:jc w:val="center"/>
              <w:rPr>
                <w:color w:val="000000"/>
                <w:sz w:val="22"/>
                <w:szCs w:val="22"/>
              </w:rPr>
            </w:pPr>
            <w:r>
              <w:rPr>
                <w:color w:val="000000"/>
                <w:sz w:val="22"/>
                <w:szCs w:val="22"/>
              </w:rPr>
              <w:t>R. Finkelstein</w:t>
            </w:r>
          </w:p>
        </w:tc>
        <w:tc>
          <w:tcPr>
            <w:tcW w:w="720" w:type="dxa"/>
            <w:shd w:val="clear" w:color="auto" w:fill="auto"/>
          </w:tcPr>
          <w:p w:rsidRPr="000D31D7" w:rsidR="0017532F" w:rsidP="0017532F" w:rsidRDefault="0017532F" w14:paraId="044F74C4" w14:textId="6CA7D16C">
            <w:pPr>
              <w:spacing w:before="60" w:after="60"/>
              <w:jc w:val="center"/>
              <w:rPr>
                <w:color w:val="000000"/>
                <w:sz w:val="22"/>
                <w:szCs w:val="22"/>
              </w:rPr>
            </w:pPr>
            <w:r w:rsidRPr="000D31D7">
              <w:rPr>
                <w:color w:val="000000"/>
                <w:sz w:val="22"/>
                <w:szCs w:val="22"/>
              </w:rPr>
              <w:t>202</w:t>
            </w:r>
            <w:r w:rsidR="00B17FE9">
              <w:rPr>
                <w:color w:val="000000"/>
                <w:sz w:val="22"/>
                <w:szCs w:val="22"/>
              </w:rPr>
              <w:t>4</w:t>
            </w:r>
          </w:p>
        </w:tc>
        <w:tc>
          <w:tcPr>
            <w:tcW w:w="720" w:type="dxa"/>
            <w:shd w:val="clear" w:color="auto" w:fill="auto"/>
          </w:tcPr>
          <w:p w:rsidRPr="000D31D7" w:rsidR="0017532F" w:rsidP="0017532F" w:rsidRDefault="00B17FE9" w14:paraId="773F44D6" w14:textId="28020FC5">
            <w:pPr>
              <w:spacing w:before="60" w:after="60"/>
              <w:jc w:val="center"/>
              <w:rPr>
                <w:color w:val="000000"/>
                <w:sz w:val="22"/>
                <w:szCs w:val="22"/>
              </w:rPr>
            </w:pPr>
            <w:r>
              <w:rPr>
                <w:color w:val="000000"/>
                <w:sz w:val="22"/>
                <w:szCs w:val="22"/>
              </w:rPr>
              <w:t>0.50</w:t>
            </w:r>
          </w:p>
        </w:tc>
        <w:tc>
          <w:tcPr>
            <w:tcW w:w="990" w:type="dxa"/>
            <w:shd w:val="clear" w:color="auto" w:fill="auto"/>
          </w:tcPr>
          <w:p w:rsidRPr="000D31D7" w:rsidR="0017532F" w:rsidP="0017532F" w:rsidRDefault="0017532F" w14:paraId="5140CA71" w14:textId="76CB5D5B">
            <w:pPr>
              <w:spacing w:before="60" w:after="60"/>
              <w:jc w:val="center"/>
              <w:rPr>
                <w:color w:val="000000"/>
                <w:sz w:val="22"/>
                <w:szCs w:val="22"/>
              </w:rPr>
            </w:pPr>
            <w:r w:rsidRPr="000D31D7">
              <w:rPr>
                <w:color w:val="000000"/>
                <w:sz w:val="22"/>
                <w:szCs w:val="22"/>
              </w:rPr>
              <w:t>$</w:t>
            </w:r>
            <w:r w:rsidR="00B17FE9">
              <w:rPr>
                <w:color w:val="000000"/>
                <w:sz w:val="22"/>
                <w:szCs w:val="22"/>
              </w:rPr>
              <w:t>87</w:t>
            </w:r>
            <w:r w:rsidRPr="000D31D7">
              <w:rPr>
                <w:color w:val="000000"/>
                <w:sz w:val="22"/>
                <w:szCs w:val="22"/>
              </w:rPr>
              <w:t>5</w:t>
            </w:r>
            <w:r w:rsidRPr="00D3594A" w:rsidR="00D3594A">
              <w:rPr>
                <w:color w:val="000000"/>
                <w:sz w:val="22"/>
                <w:szCs w:val="22"/>
              </w:rPr>
              <w:t>.00</w:t>
            </w:r>
          </w:p>
        </w:tc>
        <w:tc>
          <w:tcPr>
            <w:tcW w:w="1980" w:type="dxa"/>
            <w:tcBorders>
              <w:right w:val="single" w:color="auto" w:sz="4" w:space="0"/>
            </w:tcBorders>
            <w:shd w:val="clear" w:color="auto" w:fill="auto"/>
          </w:tcPr>
          <w:p w:rsidRPr="000D31D7" w:rsidR="0017532F" w:rsidP="0017532F" w:rsidRDefault="0017532F" w14:paraId="3DA31EE7" w14:textId="2DE28DD4">
            <w:pPr>
              <w:spacing w:before="60" w:after="60"/>
              <w:rPr>
                <w:color w:val="000000"/>
                <w:sz w:val="22"/>
                <w:szCs w:val="22"/>
              </w:rPr>
            </w:pPr>
            <w:r w:rsidRPr="000D31D7">
              <w:rPr>
                <w:color w:val="000000"/>
                <w:sz w:val="22"/>
                <w:szCs w:val="22"/>
              </w:rPr>
              <w:t>D.2</w:t>
            </w:r>
            <w:r w:rsidR="003F5CDD">
              <w:rPr>
                <w:color w:val="000000"/>
                <w:sz w:val="22"/>
                <w:szCs w:val="22"/>
              </w:rPr>
              <w:t>4</w:t>
            </w:r>
            <w:r w:rsidRPr="000D31D7">
              <w:rPr>
                <w:color w:val="000000"/>
                <w:sz w:val="22"/>
                <w:szCs w:val="22"/>
              </w:rPr>
              <w:t>-0</w:t>
            </w:r>
            <w:r w:rsidR="003F5CDD">
              <w:rPr>
                <w:color w:val="000000"/>
                <w:sz w:val="22"/>
                <w:szCs w:val="22"/>
              </w:rPr>
              <w:t>2</w:t>
            </w:r>
            <w:r w:rsidRPr="000D31D7">
              <w:rPr>
                <w:color w:val="000000"/>
                <w:sz w:val="22"/>
                <w:szCs w:val="22"/>
              </w:rPr>
              <w:t>-0</w:t>
            </w:r>
            <w:r w:rsidR="003F5CDD">
              <w:rPr>
                <w:color w:val="000000"/>
                <w:sz w:val="22"/>
                <w:szCs w:val="22"/>
              </w:rPr>
              <w:t>20</w:t>
            </w:r>
            <w:r w:rsidRPr="000D31D7">
              <w:rPr>
                <w:color w:val="000000"/>
                <w:sz w:val="22"/>
                <w:szCs w:val="22"/>
              </w:rPr>
              <w:t xml:space="preserve"> and Res. ALJ-393 (</w:t>
            </w:r>
            <w:r w:rsidRPr="009610B9" w:rsidR="009610B9">
              <w:rPr>
                <w:i/>
                <w:iCs/>
                <w:color w:val="000000"/>
                <w:sz w:val="22"/>
                <w:szCs w:val="22"/>
              </w:rPr>
              <w:t>See</w:t>
            </w:r>
            <w:r w:rsidRPr="009610B9" w:rsidR="009610B9">
              <w:rPr>
                <w:color w:val="000000"/>
                <w:sz w:val="22"/>
                <w:szCs w:val="22"/>
              </w:rPr>
              <w:t xml:space="preserve"> </w:t>
            </w:r>
            <w:r w:rsidRPr="000D31D7">
              <w:rPr>
                <w:color w:val="000000"/>
                <w:sz w:val="22"/>
                <w:szCs w:val="22"/>
              </w:rPr>
              <w:t>Comment #1)</w:t>
            </w:r>
          </w:p>
        </w:tc>
        <w:tc>
          <w:tcPr>
            <w:tcW w:w="1260" w:type="dxa"/>
            <w:gridSpan w:val="2"/>
            <w:tcBorders>
              <w:top w:val="single" w:color="auto" w:sz="4" w:space="0"/>
              <w:left w:val="single" w:color="auto" w:sz="4" w:space="0"/>
              <w:bottom w:val="single" w:color="auto" w:sz="4" w:space="0"/>
              <w:right w:val="single" w:color="auto" w:sz="24" w:space="0"/>
            </w:tcBorders>
            <w:shd w:val="clear" w:color="auto" w:fill="auto"/>
          </w:tcPr>
          <w:p w:rsidRPr="000D31D7" w:rsidR="0017532F" w:rsidP="00023AA3" w:rsidRDefault="00D3594A" w14:paraId="35E55331" w14:textId="793BDC8D">
            <w:pPr>
              <w:spacing w:before="60" w:after="60"/>
              <w:jc w:val="center"/>
              <w:rPr>
                <w:color w:val="000000"/>
                <w:sz w:val="22"/>
                <w:szCs w:val="22"/>
              </w:rPr>
            </w:pPr>
            <w:r>
              <w:rPr>
                <w:color w:val="000000"/>
                <w:sz w:val="22"/>
                <w:szCs w:val="22"/>
              </w:rPr>
              <w:t>$</w:t>
            </w:r>
            <w:r w:rsidR="003F5CDD">
              <w:rPr>
                <w:color w:val="000000"/>
                <w:sz w:val="22"/>
                <w:szCs w:val="22"/>
              </w:rPr>
              <w:t>437.50</w:t>
            </w:r>
          </w:p>
        </w:tc>
        <w:tc>
          <w:tcPr>
            <w:tcW w:w="900" w:type="dxa"/>
            <w:tcBorders>
              <w:left w:val="single" w:color="auto" w:sz="4" w:space="0"/>
            </w:tcBorders>
            <w:shd w:val="clear" w:color="auto" w:fill="auto"/>
          </w:tcPr>
          <w:p w:rsidRPr="007F620E" w:rsidR="0017532F" w:rsidP="00023AA3" w:rsidRDefault="006B7B83" w14:paraId="39B55F62" w14:textId="708F9EB4">
            <w:pPr>
              <w:spacing w:before="60" w:after="60"/>
              <w:jc w:val="center"/>
              <w:rPr>
                <w:color w:val="000000"/>
              </w:rPr>
            </w:pPr>
            <w:r>
              <w:rPr>
                <w:color w:val="000000"/>
              </w:rPr>
              <w:t>0.50</w:t>
            </w:r>
          </w:p>
        </w:tc>
        <w:tc>
          <w:tcPr>
            <w:tcW w:w="1440" w:type="dxa"/>
            <w:shd w:val="clear" w:color="auto" w:fill="auto"/>
          </w:tcPr>
          <w:p w:rsidRPr="007F620E" w:rsidR="0017532F" w:rsidP="00023AA3" w:rsidRDefault="00DD6C97" w14:paraId="7E19119B" w14:textId="095CF4A8">
            <w:pPr>
              <w:spacing w:before="60" w:after="60"/>
              <w:jc w:val="center"/>
              <w:rPr>
                <w:color w:val="000000"/>
              </w:rPr>
            </w:pPr>
            <w:r>
              <w:rPr>
                <w:color w:val="000000"/>
              </w:rPr>
              <w:t>$875</w:t>
            </w:r>
            <w:r w:rsidRPr="00D3594A" w:rsidR="00D3594A">
              <w:rPr>
                <w:color w:val="000000"/>
              </w:rPr>
              <w:t>.00</w:t>
            </w:r>
            <w:r w:rsidR="00812593">
              <w:rPr>
                <w:color w:val="000000"/>
              </w:rPr>
              <w:t xml:space="preserve"> [2]</w:t>
            </w:r>
          </w:p>
        </w:tc>
        <w:tc>
          <w:tcPr>
            <w:tcW w:w="1355" w:type="dxa"/>
            <w:shd w:val="clear" w:color="auto" w:fill="auto"/>
          </w:tcPr>
          <w:p w:rsidRPr="007F620E" w:rsidR="0017532F" w:rsidP="00023AA3" w:rsidRDefault="00D6091C" w14:paraId="22C573CD" w14:textId="744A8C9A">
            <w:pPr>
              <w:spacing w:before="60" w:after="60"/>
              <w:jc w:val="center"/>
              <w:rPr>
                <w:color w:val="000000"/>
              </w:rPr>
            </w:pPr>
            <w:r>
              <w:rPr>
                <w:color w:val="000000"/>
              </w:rPr>
              <w:t>$437.50</w:t>
            </w:r>
          </w:p>
        </w:tc>
      </w:tr>
      <w:tr w:rsidRPr="007F620E" w:rsidR="0009071C" w:rsidTr="0009071C" w14:paraId="4D3741F5" w14:textId="77777777">
        <w:trPr>
          <w:jc w:val="center"/>
        </w:trPr>
        <w:tc>
          <w:tcPr>
            <w:tcW w:w="1795" w:type="dxa"/>
            <w:shd w:val="clear" w:color="auto" w:fill="auto"/>
          </w:tcPr>
          <w:p w:rsidR="00C50CA8" w:rsidP="00734676" w:rsidRDefault="00C50CA8" w14:paraId="3BEA0812" w14:textId="66A282A9">
            <w:pPr>
              <w:spacing w:before="60" w:after="60"/>
              <w:jc w:val="center"/>
              <w:rPr>
                <w:color w:val="000000"/>
                <w:sz w:val="22"/>
                <w:szCs w:val="22"/>
              </w:rPr>
            </w:pPr>
            <w:r>
              <w:rPr>
                <w:color w:val="000000"/>
                <w:sz w:val="22"/>
                <w:szCs w:val="22"/>
              </w:rPr>
              <w:t>Jennifer Dowdell, TURN Sr. Policy Expert</w:t>
            </w:r>
          </w:p>
        </w:tc>
        <w:tc>
          <w:tcPr>
            <w:tcW w:w="720" w:type="dxa"/>
            <w:shd w:val="clear" w:color="auto" w:fill="auto"/>
          </w:tcPr>
          <w:p w:rsidRPr="000D31D7" w:rsidR="00C50CA8" w:rsidP="0017532F" w:rsidRDefault="00C50CA8" w14:paraId="1C446911" w14:textId="406AD7B8">
            <w:pPr>
              <w:spacing w:before="60" w:after="60"/>
              <w:jc w:val="center"/>
              <w:rPr>
                <w:color w:val="000000"/>
                <w:sz w:val="22"/>
                <w:szCs w:val="22"/>
              </w:rPr>
            </w:pPr>
            <w:r>
              <w:rPr>
                <w:color w:val="000000"/>
                <w:sz w:val="22"/>
                <w:szCs w:val="22"/>
              </w:rPr>
              <w:t>2023</w:t>
            </w:r>
          </w:p>
        </w:tc>
        <w:tc>
          <w:tcPr>
            <w:tcW w:w="720" w:type="dxa"/>
            <w:shd w:val="clear" w:color="auto" w:fill="auto"/>
          </w:tcPr>
          <w:p w:rsidR="00C50CA8" w:rsidP="0017532F" w:rsidRDefault="006535A8" w14:paraId="077F7271" w14:textId="2D4BCE8E">
            <w:pPr>
              <w:spacing w:before="60" w:after="60"/>
              <w:jc w:val="center"/>
              <w:rPr>
                <w:color w:val="000000"/>
                <w:sz w:val="22"/>
                <w:szCs w:val="22"/>
              </w:rPr>
            </w:pPr>
            <w:r>
              <w:rPr>
                <w:color w:val="000000"/>
                <w:sz w:val="22"/>
                <w:szCs w:val="22"/>
              </w:rPr>
              <w:t>7.75</w:t>
            </w:r>
          </w:p>
        </w:tc>
        <w:tc>
          <w:tcPr>
            <w:tcW w:w="990" w:type="dxa"/>
            <w:shd w:val="clear" w:color="auto" w:fill="auto"/>
          </w:tcPr>
          <w:p w:rsidRPr="000D31D7" w:rsidR="00C50CA8" w:rsidP="0017532F" w:rsidRDefault="006535A8" w14:paraId="3F56148B" w14:textId="785C251C">
            <w:pPr>
              <w:spacing w:before="60" w:after="60"/>
              <w:jc w:val="center"/>
              <w:rPr>
                <w:color w:val="000000"/>
                <w:sz w:val="22"/>
                <w:szCs w:val="22"/>
              </w:rPr>
            </w:pPr>
            <w:r>
              <w:rPr>
                <w:color w:val="000000"/>
                <w:sz w:val="22"/>
                <w:szCs w:val="22"/>
              </w:rPr>
              <w:t>$455</w:t>
            </w:r>
            <w:r w:rsidRPr="00D3594A" w:rsidR="00D3594A">
              <w:rPr>
                <w:color w:val="000000"/>
                <w:sz w:val="22"/>
                <w:szCs w:val="22"/>
              </w:rPr>
              <w:t>.00</w:t>
            </w:r>
          </w:p>
        </w:tc>
        <w:tc>
          <w:tcPr>
            <w:tcW w:w="1980" w:type="dxa"/>
            <w:tcBorders>
              <w:right w:val="single" w:color="auto" w:sz="4" w:space="0"/>
            </w:tcBorders>
            <w:shd w:val="clear" w:color="auto" w:fill="auto"/>
          </w:tcPr>
          <w:p w:rsidRPr="000D31D7" w:rsidR="00C50CA8" w:rsidP="0017532F" w:rsidRDefault="00892737" w14:paraId="645EFAE0" w14:textId="6A9B2EFF">
            <w:pPr>
              <w:spacing w:before="60" w:after="60"/>
              <w:rPr>
                <w:color w:val="000000"/>
                <w:sz w:val="22"/>
                <w:szCs w:val="22"/>
              </w:rPr>
            </w:pPr>
            <w:r>
              <w:rPr>
                <w:color w:val="000000"/>
                <w:sz w:val="22"/>
                <w:szCs w:val="22"/>
              </w:rPr>
              <w:t>D.23-04-022 and Res. ALJ-393 (</w:t>
            </w:r>
            <w:r w:rsidRPr="00734676" w:rsidR="006535A8">
              <w:rPr>
                <w:i/>
                <w:iCs/>
                <w:color w:val="000000"/>
                <w:sz w:val="22"/>
                <w:szCs w:val="22"/>
              </w:rPr>
              <w:t>See</w:t>
            </w:r>
            <w:r w:rsidR="006535A8">
              <w:rPr>
                <w:color w:val="000000"/>
                <w:sz w:val="22"/>
                <w:szCs w:val="22"/>
              </w:rPr>
              <w:t xml:space="preserve"> Comment #2</w:t>
            </w:r>
            <w:r>
              <w:rPr>
                <w:color w:val="000000"/>
                <w:sz w:val="22"/>
                <w:szCs w:val="22"/>
              </w:rPr>
              <w:t>)</w:t>
            </w:r>
          </w:p>
        </w:tc>
        <w:tc>
          <w:tcPr>
            <w:tcW w:w="1260" w:type="dxa"/>
            <w:gridSpan w:val="2"/>
            <w:tcBorders>
              <w:top w:val="single" w:color="auto" w:sz="4" w:space="0"/>
              <w:left w:val="single" w:color="auto" w:sz="4" w:space="0"/>
              <w:bottom w:val="single" w:color="auto" w:sz="4" w:space="0"/>
              <w:right w:val="single" w:color="auto" w:sz="24" w:space="0"/>
            </w:tcBorders>
            <w:shd w:val="clear" w:color="auto" w:fill="auto"/>
          </w:tcPr>
          <w:p w:rsidR="00C50CA8" w:rsidP="00D3594A" w:rsidRDefault="00D3594A" w14:paraId="2ACB502C" w14:textId="088904A9">
            <w:pPr>
              <w:spacing w:before="60" w:after="60"/>
              <w:jc w:val="center"/>
              <w:rPr>
                <w:color w:val="000000"/>
                <w:sz w:val="22"/>
                <w:szCs w:val="22"/>
              </w:rPr>
            </w:pPr>
            <w:r>
              <w:rPr>
                <w:color w:val="000000"/>
                <w:sz w:val="22"/>
                <w:szCs w:val="22"/>
              </w:rPr>
              <w:t>$</w:t>
            </w:r>
            <w:r w:rsidR="00F71697">
              <w:rPr>
                <w:color w:val="000000"/>
                <w:sz w:val="22"/>
                <w:szCs w:val="22"/>
              </w:rPr>
              <w:t>3,526.25</w:t>
            </w:r>
          </w:p>
        </w:tc>
        <w:tc>
          <w:tcPr>
            <w:tcW w:w="900" w:type="dxa"/>
            <w:tcBorders>
              <w:left w:val="single" w:color="auto" w:sz="4" w:space="0"/>
            </w:tcBorders>
            <w:shd w:val="clear" w:color="auto" w:fill="auto"/>
          </w:tcPr>
          <w:p w:rsidRPr="007F620E" w:rsidR="00C50CA8" w:rsidP="00D3594A" w:rsidRDefault="006B7B83" w14:paraId="54CF77EF" w14:textId="5D880DE4">
            <w:pPr>
              <w:spacing w:before="60" w:after="60"/>
              <w:jc w:val="center"/>
              <w:rPr>
                <w:color w:val="000000"/>
              </w:rPr>
            </w:pPr>
            <w:r>
              <w:rPr>
                <w:color w:val="000000"/>
              </w:rPr>
              <w:t>7.75</w:t>
            </w:r>
          </w:p>
        </w:tc>
        <w:tc>
          <w:tcPr>
            <w:tcW w:w="1440" w:type="dxa"/>
            <w:shd w:val="clear" w:color="auto" w:fill="auto"/>
          </w:tcPr>
          <w:p w:rsidRPr="007F620E" w:rsidR="00C50CA8" w:rsidP="00D3594A" w:rsidRDefault="00ED4351" w14:paraId="3638DE65" w14:textId="3F07379C">
            <w:pPr>
              <w:spacing w:before="60" w:after="60"/>
              <w:jc w:val="center"/>
              <w:rPr>
                <w:color w:val="000000"/>
              </w:rPr>
            </w:pPr>
            <w:r>
              <w:rPr>
                <w:color w:val="000000"/>
              </w:rPr>
              <w:t>$4</w:t>
            </w:r>
            <w:r w:rsidR="00F94DC2">
              <w:rPr>
                <w:color w:val="000000"/>
              </w:rPr>
              <w:t>55</w:t>
            </w:r>
            <w:r w:rsidRPr="00D3594A" w:rsidR="00D3594A">
              <w:rPr>
                <w:color w:val="000000"/>
              </w:rPr>
              <w:t>.00</w:t>
            </w:r>
            <w:r w:rsidR="00812593">
              <w:rPr>
                <w:color w:val="000000"/>
              </w:rPr>
              <w:t xml:space="preserve"> [3]</w:t>
            </w:r>
          </w:p>
        </w:tc>
        <w:tc>
          <w:tcPr>
            <w:tcW w:w="1355" w:type="dxa"/>
            <w:shd w:val="clear" w:color="auto" w:fill="auto"/>
          </w:tcPr>
          <w:p w:rsidRPr="007F620E" w:rsidR="00C50CA8" w:rsidP="00D3594A" w:rsidRDefault="00D6091C" w14:paraId="3EB8A8FA" w14:textId="43072F1B">
            <w:pPr>
              <w:spacing w:before="60" w:after="60"/>
              <w:jc w:val="center"/>
              <w:rPr>
                <w:color w:val="000000"/>
              </w:rPr>
            </w:pPr>
            <w:r>
              <w:rPr>
                <w:color w:val="000000"/>
              </w:rPr>
              <w:t>$3,526.25</w:t>
            </w:r>
          </w:p>
        </w:tc>
      </w:tr>
      <w:tr w:rsidRPr="007F620E" w:rsidR="0017532F" w:rsidTr="0009071C" w14:paraId="2C59CE5E" w14:textId="77777777">
        <w:trPr>
          <w:jc w:val="center"/>
        </w:trPr>
        <w:tc>
          <w:tcPr>
            <w:tcW w:w="7465" w:type="dxa"/>
            <w:gridSpan w:val="7"/>
            <w:tcBorders>
              <w:bottom w:val="single" w:color="auto" w:sz="4" w:space="0"/>
              <w:right w:val="single" w:color="auto" w:sz="24" w:space="0"/>
            </w:tcBorders>
            <w:shd w:val="clear" w:color="auto" w:fill="auto"/>
            <w:vAlign w:val="bottom"/>
          </w:tcPr>
          <w:p w:rsidRPr="00374FD1" w:rsidR="0017532F" w:rsidP="0017532F" w:rsidRDefault="0017532F" w14:paraId="4F1A3FAB" w14:textId="1D91901F">
            <w:pPr>
              <w:tabs>
                <w:tab w:val="left" w:pos="957"/>
              </w:tabs>
              <w:spacing w:before="60" w:after="60"/>
              <w:ind w:right="162"/>
              <w:jc w:val="right"/>
              <w:rPr>
                <w:b/>
                <w:i/>
                <w:color w:val="000000"/>
              </w:rPr>
            </w:pPr>
            <w:r w:rsidRPr="007F620E">
              <w:rPr>
                <w:b/>
                <w:i/>
                <w:color w:val="000000"/>
              </w:rPr>
              <w:t xml:space="preserve">Subtotal: </w:t>
            </w:r>
            <w:r w:rsidRPr="00374FD1">
              <w:rPr>
                <w:b/>
                <w:i/>
                <w:color w:val="000000"/>
              </w:rPr>
              <w:t>$</w:t>
            </w:r>
            <w:r w:rsidR="00F71697">
              <w:rPr>
                <w:b/>
                <w:i/>
                <w:color w:val="000000"/>
              </w:rPr>
              <w:t>51,158.75</w:t>
            </w:r>
          </w:p>
        </w:tc>
        <w:tc>
          <w:tcPr>
            <w:tcW w:w="3695" w:type="dxa"/>
            <w:gridSpan w:val="3"/>
            <w:tcBorders>
              <w:left w:val="single" w:color="auto" w:sz="24" w:space="0"/>
              <w:bottom w:val="single" w:color="auto" w:sz="4" w:space="0"/>
            </w:tcBorders>
            <w:shd w:val="clear" w:color="auto" w:fill="auto"/>
            <w:vAlign w:val="bottom"/>
          </w:tcPr>
          <w:p w:rsidRPr="007F620E" w:rsidR="0017532F" w:rsidP="00D3594A" w:rsidRDefault="0017532F" w14:paraId="3D09644E" w14:textId="66E8C00F">
            <w:pPr>
              <w:tabs>
                <w:tab w:val="left" w:pos="957"/>
              </w:tabs>
              <w:spacing w:before="60" w:after="60"/>
              <w:ind w:right="162"/>
              <w:jc w:val="center"/>
              <w:rPr>
                <w:color w:val="000000"/>
              </w:rPr>
            </w:pPr>
            <w:r w:rsidRPr="007F620E">
              <w:rPr>
                <w:b/>
                <w:i/>
                <w:color w:val="000000"/>
              </w:rPr>
              <w:t xml:space="preserve">Subtotal: </w:t>
            </w:r>
            <w:r w:rsidRPr="007F620E">
              <w:rPr>
                <w:b/>
                <w:color w:val="000000"/>
              </w:rPr>
              <w:t>$</w:t>
            </w:r>
            <w:r w:rsidR="00050176">
              <w:rPr>
                <w:b/>
                <w:color w:val="000000"/>
              </w:rPr>
              <w:t>50,</w:t>
            </w:r>
            <w:r w:rsidR="00D52390">
              <w:rPr>
                <w:b/>
                <w:color w:val="000000"/>
              </w:rPr>
              <w:t>411.25</w:t>
            </w:r>
          </w:p>
        </w:tc>
      </w:tr>
      <w:tr w:rsidRPr="007F620E" w:rsidR="0017532F" w:rsidTr="0036244B" w14:paraId="6CB29FB1" w14:textId="77777777">
        <w:trPr>
          <w:jc w:val="center"/>
        </w:trPr>
        <w:tc>
          <w:tcPr>
            <w:tcW w:w="11160" w:type="dxa"/>
            <w:gridSpan w:val="10"/>
            <w:tcBorders>
              <w:top w:val="single" w:color="auto" w:sz="4" w:space="0"/>
              <w:left w:val="single" w:color="auto" w:sz="4" w:space="0"/>
              <w:bottom w:val="single" w:color="auto" w:sz="4" w:space="0"/>
              <w:right w:val="single" w:color="auto" w:sz="4" w:space="0"/>
            </w:tcBorders>
            <w:shd w:val="clear" w:color="auto" w:fill="E6E6E6"/>
            <w:vAlign w:val="bottom"/>
          </w:tcPr>
          <w:p w:rsidRPr="007F620E" w:rsidR="0017532F" w:rsidP="0017532F" w:rsidRDefault="0017532F" w14:paraId="0C4EB150" w14:textId="77777777">
            <w:pPr>
              <w:keepNext/>
              <w:spacing w:before="60" w:after="60"/>
              <w:jc w:val="center"/>
              <w:rPr>
                <w:b/>
                <w:color w:val="000000"/>
              </w:rPr>
            </w:pPr>
            <w:r w:rsidRPr="007F620E">
              <w:rPr>
                <w:b/>
                <w:color w:val="000000"/>
              </w:rPr>
              <w:lastRenderedPageBreak/>
              <w:t>OTHER FEES</w:t>
            </w:r>
          </w:p>
          <w:p w:rsidRPr="007F620E" w:rsidR="0017532F" w:rsidP="0017532F" w:rsidRDefault="0017532F" w14:paraId="41F4F047" w14:textId="77777777">
            <w:pPr>
              <w:keepNext/>
              <w:spacing w:before="60" w:after="60"/>
              <w:jc w:val="center"/>
              <w:rPr>
                <w:b/>
                <w:color w:val="000000"/>
              </w:rPr>
            </w:pPr>
            <w:r w:rsidRPr="007F620E">
              <w:rPr>
                <w:b/>
                <w:color w:val="000000"/>
              </w:rPr>
              <w:t>Describe here what OTHER HOURLY FEES you are Claiming (paralegal, travel **, etc.):</w:t>
            </w:r>
          </w:p>
        </w:tc>
      </w:tr>
      <w:tr w:rsidRPr="00260518" w:rsidR="0009071C" w:rsidTr="0009071C" w14:paraId="779E9D23" w14:textId="77777777">
        <w:trPr>
          <w:jc w:val="center"/>
        </w:trPr>
        <w:tc>
          <w:tcPr>
            <w:tcW w:w="1795" w:type="dxa"/>
            <w:tcBorders>
              <w:top w:val="single" w:color="auto" w:sz="4" w:space="0"/>
              <w:bottom w:val="single" w:color="auto" w:sz="4" w:space="0"/>
            </w:tcBorders>
            <w:shd w:val="clear" w:color="auto" w:fill="auto"/>
            <w:vAlign w:val="bottom"/>
          </w:tcPr>
          <w:p w:rsidRPr="00260518" w:rsidR="0017532F" w:rsidP="0017532F" w:rsidRDefault="0017532F" w14:paraId="1BA54995" w14:textId="77777777">
            <w:pPr>
              <w:keepNext/>
              <w:spacing w:before="60" w:after="60"/>
              <w:jc w:val="center"/>
              <w:rPr>
                <w:b/>
                <w:color w:val="000000"/>
                <w:sz w:val="22"/>
                <w:szCs w:val="22"/>
              </w:rPr>
            </w:pPr>
            <w:r w:rsidRPr="00260518">
              <w:rPr>
                <w:b/>
                <w:color w:val="000000"/>
                <w:sz w:val="22"/>
                <w:szCs w:val="22"/>
              </w:rPr>
              <w:t>Item</w:t>
            </w:r>
          </w:p>
        </w:tc>
        <w:tc>
          <w:tcPr>
            <w:tcW w:w="720" w:type="dxa"/>
            <w:tcBorders>
              <w:top w:val="single" w:color="auto" w:sz="4" w:space="0"/>
              <w:bottom w:val="single" w:color="auto" w:sz="4" w:space="0"/>
            </w:tcBorders>
            <w:shd w:val="clear" w:color="auto" w:fill="auto"/>
            <w:vAlign w:val="bottom"/>
          </w:tcPr>
          <w:p w:rsidRPr="00260518" w:rsidR="0017532F" w:rsidP="0017532F" w:rsidRDefault="0017532F" w14:paraId="2F048B68" w14:textId="77777777">
            <w:pPr>
              <w:keepNext/>
              <w:spacing w:before="60" w:after="60"/>
              <w:jc w:val="center"/>
              <w:rPr>
                <w:b/>
                <w:color w:val="000000"/>
                <w:sz w:val="22"/>
                <w:szCs w:val="22"/>
              </w:rPr>
            </w:pPr>
            <w:r w:rsidRPr="00260518">
              <w:rPr>
                <w:b/>
                <w:color w:val="000000"/>
                <w:sz w:val="22"/>
                <w:szCs w:val="22"/>
              </w:rPr>
              <w:t>Year</w:t>
            </w:r>
          </w:p>
        </w:tc>
        <w:tc>
          <w:tcPr>
            <w:tcW w:w="720" w:type="dxa"/>
            <w:tcBorders>
              <w:top w:val="single" w:color="auto" w:sz="4" w:space="0"/>
              <w:bottom w:val="single" w:color="auto" w:sz="4" w:space="0"/>
            </w:tcBorders>
            <w:shd w:val="clear" w:color="auto" w:fill="auto"/>
            <w:vAlign w:val="bottom"/>
          </w:tcPr>
          <w:p w:rsidRPr="00260518" w:rsidR="0017532F" w:rsidP="0017532F" w:rsidRDefault="0017532F" w14:paraId="5C64EA0C" w14:textId="77777777">
            <w:pPr>
              <w:keepNext/>
              <w:spacing w:before="60" w:after="60"/>
              <w:jc w:val="center"/>
              <w:rPr>
                <w:b/>
                <w:color w:val="000000"/>
                <w:sz w:val="22"/>
                <w:szCs w:val="22"/>
              </w:rPr>
            </w:pPr>
            <w:r w:rsidRPr="00260518">
              <w:rPr>
                <w:b/>
                <w:color w:val="000000"/>
                <w:sz w:val="22"/>
                <w:szCs w:val="22"/>
              </w:rPr>
              <w:t>Hours</w:t>
            </w:r>
          </w:p>
        </w:tc>
        <w:tc>
          <w:tcPr>
            <w:tcW w:w="990" w:type="dxa"/>
            <w:tcBorders>
              <w:top w:val="single" w:color="auto" w:sz="4" w:space="0"/>
              <w:bottom w:val="single" w:color="auto" w:sz="4" w:space="0"/>
            </w:tcBorders>
            <w:shd w:val="clear" w:color="auto" w:fill="auto"/>
            <w:vAlign w:val="bottom"/>
          </w:tcPr>
          <w:p w:rsidRPr="00260518" w:rsidR="0017532F" w:rsidP="0017532F" w:rsidRDefault="0017532F" w14:paraId="2673C353" w14:textId="77777777">
            <w:pPr>
              <w:keepNext/>
              <w:spacing w:before="60" w:after="60"/>
              <w:jc w:val="center"/>
              <w:rPr>
                <w:b/>
                <w:color w:val="000000"/>
                <w:sz w:val="22"/>
                <w:szCs w:val="22"/>
              </w:rPr>
            </w:pPr>
            <w:r w:rsidRPr="00260518">
              <w:rPr>
                <w:b/>
                <w:color w:val="000000"/>
                <w:sz w:val="22"/>
                <w:szCs w:val="22"/>
              </w:rPr>
              <w:t>Rate $</w:t>
            </w:r>
          </w:p>
        </w:tc>
        <w:tc>
          <w:tcPr>
            <w:tcW w:w="1980" w:type="dxa"/>
            <w:tcBorders>
              <w:top w:val="single" w:color="auto" w:sz="4" w:space="0"/>
              <w:bottom w:val="single" w:color="auto" w:sz="4" w:space="0"/>
              <w:right w:val="single" w:color="auto" w:sz="4" w:space="0"/>
            </w:tcBorders>
            <w:shd w:val="clear" w:color="auto" w:fill="auto"/>
            <w:vAlign w:val="bottom"/>
          </w:tcPr>
          <w:p w:rsidRPr="00260518" w:rsidR="0017532F" w:rsidP="0017532F" w:rsidRDefault="0017532F" w14:paraId="42190F62" w14:textId="77777777">
            <w:pPr>
              <w:keepNext/>
              <w:spacing w:before="60" w:after="60"/>
              <w:jc w:val="center"/>
              <w:rPr>
                <w:b/>
                <w:color w:val="000000"/>
                <w:sz w:val="22"/>
                <w:szCs w:val="22"/>
              </w:rPr>
            </w:pPr>
            <w:r w:rsidRPr="00260518">
              <w:rPr>
                <w:b/>
                <w:color w:val="000000"/>
                <w:sz w:val="22"/>
                <w:szCs w:val="22"/>
              </w:rPr>
              <w:t>Basis for Rate*</w:t>
            </w:r>
          </w:p>
        </w:tc>
        <w:tc>
          <w:tcPr>
            <w:tcW w:w="1260"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260518" w:rsidR="0017532F" w:rsidP="0017532F" w:rsidRDefault="0017532F" w14:paraId="56700056" w14:textId="77777777">
            <w:pPr>
              <w:keepNext/>
              <w:spacing w:before="60" w:after="60"/>
              <w:jc w:val="center"/>
              <w:rPr>
                <w:b/>
                <w:color w:val="000000"/>
                <w:sz w:val="22"/>
                <w:szCs w:val="22"/>
              </w:rPr>
            </w:pPr>
            <w:r w:rsidRPr="00260518">
              <w:rPr>
                <w:b/>
                <w:color w:val="000000"/>
                <w:sz w:val="22"/>
                <w:szCs w:val="22"/>
              </w:rPr>
              <w:t>Total $</w:t>
            </w:r>
          </w:p>
        </w:tc>
        <w:tc>
          <w:tcPr>
            <w:tcW w:w="900" w:type="dxa"/>
            <w:tcBorders>
              <w:top w:val="single" w:color="auto" w:sz="4" w:space="0"/>
              <w:left w:val="single" w:color="auto" w:sz="4" w:space="0"/>
            </w:tcBorders>
            <w:shd w:val="clear" w:color="auto" w:fill="auto"/>
            <w:vAlign w:val="bottom"/>
          </w:tcPr>
          <w:p w:rsidRPr="00260518" w:rsidR="0017532F" w:rsidP="0017532F" w:rsidRDefault="0017532F" w14:paraId="21C9C600" w14:textId="77777777">
            <w:pPr>
              <w:keepNext/>
              <w:spacing w:before="60" w:after="60"/>
              <w:jc w:val="center"/>
              <w:rPr>
                <w:b/>
                <w:color w:val="000000"/>
                <w:sz w:val="22"/>
                <w:szCs w:val="22"/>
              </w:rPr>
            </w:pPr>
            <w:r w:rsidRPr="00260518">
              <w:rPr>
                <w:b/>
                <w:color w:val="000000"/>
                <w:sz w:val="22"/>
                <w:szCs w:val="22"/>
              </w:rPr>
              <w:t>Hours</w:t>
            </w:r>
          </w:p>
        </w:tc>
        <w:tc>
          <w:tcPr>
            <w:tcW w:w="1440" w:type="dxa"/>
            <w:tcBorders>
              <w:top w:val="single" w:color="auto" w:sz="4" w:space="0"/>
            </w:tcBorders>
            <w:shd w:val="clear" w:color="auto" w:fill="auto"/>
            <w:vAlign w:val="bottom"/>
          </w:tcPr>
          <w:p w:rsidRPr="00260518" w:rsidR="0017532F" w:rsidP="0017532F" w:rsidRDefault="0017532F" w14:paraId="54BDB0E9" w14:textId="77777777">
            <w:pPr>
              <w:keepNext/>
              <w:spacing w:before="60" w:after="60"/>
              <w:jc w:val="center"/>
              <w:rPr>
                <w:b/>
                <w:color w:val="000000"/>
                <w:sz w:val="22"/>
                <w:szCs w:val="22"/>
              </w:rPr>
            </w:pPr>
            <w:r w:rsidRPr="00260518">
              <w:rPr>
                <w:b/>
                <w:color w:val="000000"/>
                <w:sz w:val="22"/>
                <w:szCs w:val="22"/>
              </w:rPr>
              <w:t xml:space="preserve">Rate </w:t>
            </w:r>
            <w:r>
              <w:rPr>
                <w:b/>
                <w:color w:val="000000"/>
                <w:sz w:val="22"/>
                <w:szCs w:val="22"/>
              </w:rPr>
              <w:t>$</w:t>
            </w:r>
          </w:p>
        </w:tc>
        <w:tc>
          <w:tcPr>
            <w:tcW w:w="1355" w:type="dxa"/>
            <w:tcBorders>
              <w:top w:val="single" w:color="auto" w:sz="4" w:space="0"/>
            </w:tcBorders>
            <w:shd w:val="clear" w:color="auto" w:fill="auto"/>
            <w:vAlign w:val="bottom"/>
          </w:tcPr>
          <w:p w:rsidRPr="00260518" w:rsidR="0017532F" w:rsidP="0017532F" w:rsidRDefault="0017532F" w14:paraId="0C38BC5B" w14:textId="77777777">
            <w:pPr>
              <w:keepNext/>
              <w:spacing w:before="60" w:after="60"/>
              <w:jc w:val="center"/>
              <w:rPr>
                <w:b/>
                <w:color w:val="000000"/>
                <w:sz w:val="22"/>
                <w:szCs w:val="22"/>
              </w:rPr>
            </w:pPr>
            <w:r w:rsidRPr="00260518">
              <w:rPr>
                <w:b/>
                <w:color w:val="000000"/>
                <w:sz w:val="22"/>
                <w:szCs w:val="22"/>
              </w:rPr>
              <w:t>Total $</w:t>
            </w:r>
          </w:p>
        </w:tc>
      </w:tr>
      <w:tr w:rsidRPr="007F620E" w:rsidR="0009071C" w:rsidTr="0009071C" w14:paraId="6E2F47C9" w14:textId="77777777">
        <w:trPr>
          <w:jc w:val="center"/>
        </w:trPr>
        <w:tc>
          <w:tcPr>
            <w:tcW w:w="1795" w:type="dxa"/>
            <w:shd w:val="clear" w:color="auto" w:fill="auto"/>
          </w:tcPr>
          <w:p w:rsidRPr="00823726" w:rsidR="0017532F" w:rsidP="00734676" w:rsidRDefault="0017532F" w14:paraId="1AFF3CC1" w14:textId="77777777">
            <w:pPr>
              <w:spacing w:before="60" w:after="60"/>
              <w:jc w:val="center"/>
              <w:rPr>
                <w:color w:val="000000"/>
                <w:sz w:val="22"/>
                <w:szCs w:val="22"/>
              </w:rPr>
            </w:pPr>
            <w:r w:rsidRPr="00823726">
              <w:rPr>
                <w:color w:val="000000"/>
                <w:sz w:val="22"/>
                <w:szCs w:val="22"/>
              </w:rPr>
              <w:t>Reina Yanagiba, TURN Legal Assistant</w:t>
            </w:r>
          </w:p>
        </w:tc>
        <w:tc>
          <w:tcPr>
            <w:tcW w:w="720" w:type="dxa"/>
            <w:shd w:val="clear" w:color="auto" w:fill="auto"/>
          </w:tcPr>
          <w:p w:rsidRPr="00823726" w:rsidR="0017532F" w:rsidP="0017532F" w:rsidRDefault="0017532F" w14:paraId="4CCA8750" w14:textId="77777777">
            <w:pPr>
              <w:spacing w:before="60" w:after="60"/>
              <w:jc w:val="center"/>
              <w:rPr>
                <w:color w:val="000000"/>
                <w:sz w:val="22"/>
                <w:szCs w:val="22"/>
              </w:rPr>
            </w:pPr>
            <w:r>
              <w:rPr>
                <w:color w:val="000000"/>
                <w:sz w:val="22"/>
                <w:szCs w:val="22"/>
              </w:rPr>
              <w:t>2023</w:t>
            </w:r>
          </w:p>
        </w:tc>
        <w:tc>
          <w:tcPr>
            <w:tcW w:w="720" w:type="dxa"/>
            <w:shd w:val="clear" w:color="auto" w:fill="auto"/>
          </w:tcPr>
          <w:p w:rsidRPr="00823726" w:rsidR="0017532F" w:rsidP="0017532F" w:rsidRDefault="00F71697" w14:paraId="10B5E1AE" w14:textId="3EC653E5">
            <w:pPr>
              <w:spacing w:before="60" w:after="60"/>
              <w:jc w:val="center"/>
              <w:rPr>
                <w:color w:val="000000"/>
                <w:sz w:val="22"/>
                <w:szCs w:val="22"/>
              </w:rPr>
            </w:pPr>
            <w:r>
              <w:rPr>
                <w:color w:val="000000"/>
                <w:sz w:val="22"/>
                <w:szCs w:val="22"/>
              </w:rPr>
              <w:t>2.00</w:t>
            </w:r>
          </w:p>
        </w:tc>
        <w:tc>
          <w:tcPr>
            <w:tcW w:w="990" w:type="dxa"/>
            <w:shd w:val="clear" w:color="auto" w:fill="auto"/>
          </w:tcPr>
          <w:p w:rsidRPr="00823726" w:rsidR="0017532F" w:rsidP="0017532F" w:rsidRDefault="0017532F" w14:paraId="2C9F8CFB" w14:textId="75AE90DF">
            <w:pPr>
              <w:spacing w:before="60" w:after="60"/>
              <w:jc w:val="center"/>
              <w:rPr>
                <w:color w:val="000000"/>
                <w:sz w:val="22"/>
                <w:szCs w:val="22"/>
              </w:rPr>
            </w:pPr>
            <w:r>
              <w:rPr>
                <w:color w:val="000000"/>
                <w:sz w:val="22"/>
                <w:szCs w:val="22"/>
              </w:rPr>
              <w:t>$95</w:t>
            </w:r>
            <w:r w:rsidRPr="00D3594A" w:rsidR="00D3594A">
              <w:rPr>
                <w:color w:val="000000"/>
                <w:sz w:val="22"/>
                <w:szCs w:val="22"/>
              </w:rPr>
              <w:t>.00</w:t>
            </w:r>
          </w:p>
        </w:tc>
        <w:tc>
          <w:tcPr>
            <w:tcW w:w="1980" w:type="dxa"/>
            <w:tcBorders>
              <w:right w:val="single" w:color="auto" w:sz="4" w:space="0"/>
            </w:tcBorders>
            <w:shd w:val="clear" w:color="auto" w:fill="auto"/>
          </w:tcPr>
          <w:p w:rsidRPr="00823726" w:rsidR="0017532F" w:rsidP="00D3594A" w:rsidRDefault="00EF37EE" w14:paraId="7FF03892" w14:textId="329E4989">
            <w:pPr>
              <w:spacing w:before="60" w:after="60"/>
              <w:jc w:val="center"/>
              <w:rPr>
                <w:color w:val="000000"/>
                <w:sz w:val="22"/>
                <w:szCs w:val="22"/>
              </w:rPr>
            </w:pPr>
            <w:r w:rsidRPr="00EF37EE">
              <w:rPr>
                <w:color w:val="000000"/>
                <w:sz w:val="22"/>
                <w:szCs w:val="22"/>
              </w:rPr>
              <w:t>D.24-04-030</w:t>
            </w:r>
          </w:p>
        </w:tc>
        <w:tc>
          <w:tcPr>
            <w:tcW w:w="1260" w:type="dxa"/>
            <w:gridSpan w:val="2"/>
            <w:tcBorders>
              <w:top w:val="single" w:color="auto" w:sz="4" w:space="0"/>
              <w:left w:val="single" w:color="auto" w:sz="4" w:space="0"/>
              <w:bottom w:val="single" w:color="auto" w:sz="4" w:space="0"/>
              <w:right w:val="single" w:color="auto" w:sz="24" w:space="0"/>
            </w:tcBorders>
            <w:shd w:val="clear" w:color="auto" w:fill="auto"/>
          </w:tcPr>
          <w:p w:rsidRPr="00823726" w:rsidR="0017532F" w:rsidP="00D3594A" w:rsidRDefault="00D3594A" w14:paraId="3DB72C81" w14:textId="0B848F8E">
            <w:pPr>
              <w:spacing w:before="60" w:after="60"/>
              <w:jc w:val="center"/>
              <w:rPr>
                <w:color w:val="000000"/>
                <w:sz w:val="22"/>
                <w:szCs w:val="22"/>
              </w:rPr>
            </w:pPr>
            <w:r>
              <w:rPr>
                <w:color w:val="000000"/>
                <w:sz w:val="22"/>
                <w:szCs w:val="22"/>
              </w:rPr>
              <w:t>$</w:t>
            </w:r>
            <w:r w:rsidR="00B340EE">
              <w:rPr>
                <w:color w:val="000000"/>
                <w:sz w:val="22"/>
                <w:szCs w:val="22"/>
              </w:rPr>
              <w:t>190.00</w:t>
            </w:r>
          </w:p>
        </w:tc>
        <w:tc>
          <w:tcPr>
            <w:tcW w:w="900" w:type="dxa"/>
            <w:tcBorders>
              <w:left w:val="single" w:color="auto" w:sz="4" w:space="0"/>
              <w:right w:val="single" w:color="auto" w:sz="4" w:space="0"/>
            </w:tcBorders>
            <w:shd w:val="clear" w:color="auto" w:fill="auto"/>
          </w:tcPr>
          <w:p w:rsidRPr="007F620E" w:rsidR="0017532F" w:rsidP="00D3594A" w:rsidRDefault="006568B4" w14:paraId="37332742" w14:textId="64DC16CE">
            <w:pPr>
              <w:spacing w:before="60" w:after="60"/>
              <w:jc w:val="center"/>
              <w:rPr>
                <w:color w:val="000000"/>
              </w:rPr>
            </w:pPr>
            <w:r>
              <w:rPr>
                <w:color w:val="000000"/>
              </w:rPr>
              <w:t>2.00</w:t>
            </w:r>
          </w:p>
        </w:tc>
        <w:tc>
          <w:tcPr>
            <w:tcW w:w="1440" w:type="dxa"/>
            <w:tcBorders>
              <w:left w:val="single" w:color="auto" w:sz="4" w:space="0"/>
            </w:tcBorders>
            <w:shd w:val="clear" w:color="auto" w:fill="auto"/>
          </w:tcPr>
          <w:p w:rsidRPr="007F620E" w:rsidR="0017532F" w:rsidP="00D3594A" w:rsidRDefault="00A2722D" w14:paraId="4075D303" w14:textId="380FB838">
            <w:pPr>
              <w:spacing w:before="60" w:after="60"/>
              <w:jc w:val="center"/>
              <w:rPr>
                <w:color w:val="000000"/>
              </w:rPr>
            </w:pPr>
            <w:r>
              <w:rPr>
                <w:color w:val="000000"/>
              </w:rPr>
              <w:t>$95</w:t>
            </w:r>
            <w:r w:rsidRPr="00D3594A" w:rsidR="00D3594A">
              <w:rPr>
                <w:color w:val="000000"/>
              </w:rPr>
              <w:t>.00</w:t>
            </w:r>
          </w:p>
        </w:tc>
        <w:tc>
          <w:tcPr>
            <w:tcW w:w="1355" w:type="dxa"/>
            <w:shd w:val="clear" w:color="auto" w:fill="auto"/>
          </w:tcPr>
          <w:p w:rsidRPr="007F620E" w:rsidR="0017532F" w:rsidP="00D3594A" w:rsidRDefault="00D6091C" w14:paraId="032CF13C" w14:textId="038EE3A5">
            <w:pPr>
              <w:spacing w:before="60" w:after="60"/>
              <w:jc w:val="center"/>
              <w:rPr>
                <w:color w:val="000000"/>
              </w:rPr>
            </w:pPr>
            <w:r>
              <w:rPr>
                <w:color w:val="000000"/>
              </w:rPr>
              <w:t>$190</w:t>
            </w:r>
            <w:r w:rsidR="005B163F">
              <w:rPr>
                <w:color w:val="000000"/>
              </w:rPr>
              <w:t>.00</w:t>
            </w:r>
          </w:p>
        </w:tc>
      </w:tr>
      <w:tr w:rsidRPr="00374FD1" w:rsidR="0017532F" w:rsidTr="0009071C" w14:paraId="27C06504" w14:textId="77777777">
        <w:trPr>
          <w:jc w:val="center"/>
        </w:trPr>
        <w:tc>
          <w:tcPr>
            <w:tcW w:w="7465" w:type="dxa"/>
            <w:gridSpan w:val="7"/>
            <w:tcBorders>
              <w:bottom w:val="single" w:color="auto" w:sz="4" w:space="0"/>
              <w:right w:val="single" w:color="auto" w:sz="24" w:space="0"/>
            </w:tcBorders>
            <w:shd w:val="clear" w:color="auto" w:fill="auto"/>
            <w:vAlign w:val="bottom"/>
          </w:tcPr>
          <w:p w:rsidRPr="00374FD1" w:rsidR="0017532F" w:rsidP="009610B9" w:rsidRDefault="0017532F" w14:paraId="26E1E4AE" w14:textId="17A98B03">
            <w:pPr>
              <w:tabs>
                <w:tab w:val="left" w:pos="957"/>
              </w:tabs>
              <w:spacing w:before="120" w:after="120"/>
              <w:ind w:right="158"/>
              <w:jc w:val="right"/>
              <w:rPr>
                <w:b/>
                <w:i/>
                <w:color w:val="000000"/>
              </w:rPr>
            </w:pPr>
            <w:r w:rsidRPr="007F620E">
              <w:rPr>
                <w:b/>
                <w:i/>
                <w:color w:val="000000"/>
              </w:rPr>
              <w:t xml:space="preserve">Subtotal: </w:t>
            </w:r>
            <w:r w:rsidRPr="00374FD1">
              <w:rPr>
                <w:b/>
                <w:i/>
                <w:color w:val="000000"/>
              </w:rPr>
              <w:t>$</w:t>
            </w:r>
            <w:r w:rsidR="00B340EE">
              <w:rPr>
                <w:b/>
                <w:i/>
                <w:color w:val="000000"/>
              </w:rPr>
              <w:t>190.0</w:t>
            </w:r>
            <w:r>
              <w:rPr>
                <w:b/>
                <w:i/>
                <w:color w:val="000000"/>
              </w:rPr>
              <w:t>0</w:t>
            </w:r>
          </w:p>
        </w:tc>
        <w:tc>
          <w:tcPr>
            <w:tcW w:w="3695" w:type="dxa"/>
            <w:gridSpan w:val="3"/>
            <w:tcBorders>
              <w:left w:val="single" w:color="auto" w:sz="24" w:space="0"/>
              <w:bottom w:val="single" w:color="auto" w:sz="4" w:space="0"/>
            </w:tcBorders>
            <w:shd w:val="clear" w:color="auto" w:fill="auto"/>
            <w:vAlign w:val="bottom"/>
          </w:tcPr>
          <w:p w:rsidRPr="00374FD1" w:rsidR="0017532F" w:rsidP="009610B9" w:rsidRDefault="0017532F" w14:paraId="430EBEF4" w14:textId="426A3367">
            <w:pPr>
              <w:tabs>
                <w:tab w:val="left" w:pos="957"/>
              </w:tabs>
              <w:spacing w:before="120" w:after="120"/>
              <w:ind w:right="158"/>
              <w:jc w:val="right"/>
              <w:rPr>
                <w:b/>
                <w:i/>
                <w:color w:val="000000"/>
              </w:rPr>
            </w:pPr>
            <w:r w:rsidRPr="007F620E">
              <w:rPr>
                <w:b/>
                <w:i/>
                <w:color w:val="000000"/>
              </w:rPr>
              <w:t xml:space="preserve">Subtotal: </w:t>
            </w:r>
            <w:r w:rsidRPr="00374FD1">
              <w:rPr>
                <w:b/>
                <w:i/>
                <w:color w:val="000000"/>
              </w:rPr>
              <w:t xml:space="preserve"> $</w:t>
            </w:r>
            <w:r w:rsidR="00D6091C">
              <w:rPr>
                <w:b/>
                <w:i/>
                <w:color w:val="000000"/>
              </w:rPr>
              <w:t>190</w:t>
            </w:r>
            <w:r w:rsidR="00050176">
              <w:rPr>
                <w:b/>
                <w:i/>
                <w:color w:val="000000"/>
              </w:rPr>
              <w:t>.00</w:t>
            </w:r>
          </w:p>
        </w:tc>
      </w:tr>
      <w:tr w:rsidRPr="007F620E" w:rsidR="0017532F" w:rsidTr="0036244B" w14:paraId="09A7632E" w14:textId="77777777">
        <w:trPr>
          <w:jc w:val="center"/>
        </w:trPr>
        <w:tc>
          <w:tcPr>
            <w:tcW w:w="11160" w:type="dxa"/>
            <w:gridSpan w:val="10"/>
            <w:tcBorders>
              <w:top w:val="single" w:color="auto" w:sz="4" w:space="0"/>
              <w:left w:val="single" w:color="auto" w:sz="4" w:space="0"/>
              <w:bottom w:val="single" w:color="auto" w:sz="4" w:space="0"/>
              <w:right w:val="single" w:color="auto" w:sz="4" w:space="0"/>
            </w:tcBorders>
            <w:shd w:val="clear" w:color="auto" w:fill="E6E6E6"/>
          </w:tcPr>
          <w:p w:rsidRPr="007F620E" w:rsidR="0017532F" w:rsidP="0017532F" w:rsidRDefault="0017532F" w14:paraId="1AF02425" w14:textId="77777777">
            <w:pPr>
              <w:keepNext/>
              <w:spacing w:before="60" w:after="60"/>
              <w:jc w:val="center"/>
              <w:rPr>
                <w:color w:val="000000"/>
              </w:rPr>
            </w:pPr>
            <w:r w:rsidRPr="007F620E">
              <w:rPr>
                <w:b/>
                <w:color w:val="000000"/>
              </w:rPr>
              <w:t xml:space="preserve">INTERVENOR COMPENSATION CLAIM PREPARATION </w:t>
            </w:r>
            <w:r w:rsidRPr="007F620E">
              <w:rPr>
                <w:b/>
                <w:smallCaps/>
                <w:color w:val="000000"/>
              </w:rPr>
              <w:t xml:space="preserve"> **</w:t>
            </w:r>
          </w:p>
        </w:tc>
      </w:tr>
      <w:tr w:rsidRPr="00260518" w:rsidR="0009071C" w:rsidTr="0009071C" w14:paraId="1907DE32" w14:textId="77777777">
        <w:trPr>
          <w:jc w:val="center"/>
        </w:trPr>
        <w:tc>
          <w:tcPr>
            <w:tcW w:w="1795" w:type="dxa"/>
            <w:tcBorders>
              <w:top w:val="single" w:color="auto" w:sz="4" w:space="0"/>
              <w:bottom w:val="single" w:color="auto" w:sz="4" w:space="0"/>
            </w:tcBorders>
            <w:shd w:val="clear" w:color="auto" w:fill="auto"/>
            <w:vAlign w:val="bottom"/>
          </w:tcPr>
          <w:p w:rsidRPr="00260518" w:rsidR="0017532F" w:rsidP="0017532F" w:rsidRDefault="0017532F" w14:paraId="759496FA" w14:textId="77777777">
            <w:pPr>
              <w:keepNext/>
              <w:spacing w:before="60" w:after="60"/>
              <w:jc w:val="center"/>
              <w:rPr>
                <w:b/>
                <w:color w:val="000000"/>
                <w:sz w:val="22"/>
                <w:szCs w:val="22"/>
              </w:rPr>
            </w:pPr>
            <w:r w:rsidRPr="00260518">
              <w:rPr>
                <w:b/>
                <w:color w:val="000000"/>
                <w:sz w:val="22"/>
                <w:szCs w:val="22"/>
              </w:rPr>
              <w:t>Item</w:t>
            </w:r>
          </w:p>
        </w:tc>
        <w:tc>
          <w:tcPr>
            <w:tcW w:w="720" w:type="dxa"/>
            <w:tcBorders>
              <w:top w:val="single" w:color="auto" w:sz="4" w:space="0"/>
              <w:bottom w:val="single" w:color="auto" w:sz="4" w:space="0"/>
            </w:tcBorders>
            <w:shd w:val="clear" w:color="auto" w:fill="auto"/>
            <w:vAlign w:val="bottom"/>
          </w:tcPr>
          <w:p w:rsidRPr="00260518" w:rsidR="0017532F" w:rsidP="0017532F" w:rsidRDefault="0017532F" w14:paraId="6070E8A8" w14:textId="77777777">
            <w:pPr>
              <w:keepNext/>
              <w:spacing w:before="60" w:after="60"/>
              <w:jc w:val="center"/>
              <w:rPr>
                <w:b/>
                <w:color w:val="000000"/>
                <w:sz w:val="22"/>
                <w:szCs w:val="22"/>
              </w:rPr>
            </w:pPr>
            <w:r w:rsidRPr="00260518">
              <w:rPr>
                <w:b/>
                <w:color w:val="000000"/>
                <w:sz w:val="22"/>
                <w:szCs w:val="22"/>
              </w:rPr>
              <w:t>Year</w:t>
            </w:r>
          </w:p>
        </w:tc>
        <w:tc>
          <w:tcPr>
            <w:tcW w:w="720" w:type="dxa"/>
            <w:tcBorders>
              <w:top w:val="single" w:color="auto" w:sz="4" w:space="0"/>
              <w:bottom w:val="single" w:color="auto" w:sz="4" w:space="0"/>
            </w:tcBorders>
            <w:shd w:val="clear" w:color="auto" w:fill="auto"/>
            <w:vAlign w:val="bottom"/>
          </w:tcPr>
          <w:p w:rsidRPr="00260518" w:rsidR="0017532F" w:rsidP="0017532F" w:rsidRDefault="0017532F" w14:paraId="669A6E30" w14:textId="77777777">
            <w:pPr>
              <w:keepNext/>
              <w:spacing w:before="60" w:after="60"/>
              <w:jc w:val="center"/>
              <w:rPr>
                <w:b/>
                <w:color w:val="000000"/>
                <w:sz w:val="22"/>
                <w:szCs w:val="22"/>
              </w:rPr>
            </w:pPr>
            <w:r w:rsidRPr="00260518">
              <w:rPr>
                <w:b/>
                <w:color w:val="000000"/>
                <w:sz w:val="22"/>
                <w:szCs w:val="22"/>
              </w:rPr>
              <w:t>Hours</w:t>
            </w:r>
          </w:p>
        </w:tc>
        <w:tc>
          <w:tcPr>
            <w:tcW w:w="990" w:type="dxa"/>
            <w:tcBorders>
              <w:top w:val="single" w:color="auto" w:sz="4" w:space="0"/>
              <w:bottom w:val="single" w:color="auto" w:sz="4" w:space="0"/>
            </w:tcBorders>
            <w:shd w:val="clear" w:color="auto" w:fill="auto"/>
            <w:vAlign w:val="bottom"/>
          </w:tcPr>
          <w:p w:rsidRPr="00260518" w:rsidR="0017532F" w:rsidP="0017532F" w:rsidRDefault="0017532F" w14:paraId="4D821CA0" w14:textId="77777777">
            <w:pPr>
              <w:keepNext/>
              <w:spacing w:before="60" w:after="60"/>
              <w:jc w:val="center"/>
              <w:rPr>
                <w:b/>
                <w:color w:val="000000"/>
                <w:sz w:val="22"/>
                <w:szCs w:val="22"/>
              </w:rPr>
            </w:pPr>
            <w:r w:rsidRPr="00260518">
              <w:rPr>
                <w:b/>
                <w:color w:val="000000"/>
                <w:sz w:val="22"/>
                <w:szCs w:val="22"/>
              </w:rPr>
              <w:t>Rate $</w:t>
            </w:r>
          </w:p>
        </w:tc>
        <w:tc>
          <w:tcPr>
            <w:tcW w:w="1980" w:type="dxa"/>
            <w:tcBorders>
              <w:top w:val="single" w:color="auto" w:sz="4" w:space="0"/>
              <w:bottom w:val="single" w:color="auto" w:sz="4" w:space="0"/>
              <w:right w:val="single" w:color="auto" w:sz="4" w:space="0"/>
            </w:tcBorders>
            <w:shd w:val="clear" w:color="auto" w:fill="auto"/>
            <w:vAlign w:val="bottom"/>
          </w:tcPr>
          <w:p w:rsidRPr="00260518" w:rsidR="0017532F" w:rsidP="0017532F" w:rsidRDefault="0017532F" w14:paraId="13910344" w14:textId="77777777">
            <w:pPr>
              <w:keepNext/>
              <w:spacing w:before="60" w:after="60"/>
              <w:jc w:val="center"/>
              <w:rPr>
                <w:b/>
                <w:color w:val="000000"/>
                <w:sz w:val="22"/>
                <w:szCs w:val="22"/>
              </w:rPr>
            </w:pPr>
            <w:r w:rsidRPr="00260518">
              <w:rPr>
                <w:b/>
                <w:color w:val="000000"/>
                <w:sz w:val="22"/>
                <w:szCs w:val="22"/>
              </w:rPr>
              <w:t>Basis for Rate*</w:t>
            </w:r>
          </w:p>
        </w:tc>
        <w:tc>
          <w:tcPr>
            <w:tcW w:w="1260"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260518" w:rsidR="0017532F" w:rsidP="0017532F" w:rsidRDefault="0017532F" w14:paraId="3D36F2B6" w14:textId="77777777">
            <w:pPr>
              <w:keepNext/>
              <w:spacing w:before="60" w:after="60"/>
              <w:jc w:val="center"/>
              <w:rPr>
                <w:b/>
                <w:color w:val="000000"/>
                <w:sz w:val="22"/>
                <w:szCs w:val="22"/>
              </w:rPr>
            </w:pPr>
            <w:r w:rsidRPr="00260518">
              <w:rPr>
                <w:b/>
                <w:color w:val="000000"/>
                <w:sz w:val="22"/>
                <w:szCs w:val="22"/>
              </w:rPr>
              <w:t>Total $</w:t>
            </w:r>
          </w:p>
        </w:tc>
        <w:tc>
          <w:tcPr>
            <w:tcW w:w="900" w:type="dxa"/>
            <w:tcBorders>
              <w:top w:val="single" w:color="auto" w:sz="4" w:space="0"/>
              <w:left w:val="single" w:color="auto" w:sz="4" w:space="0"/>
            </w:tcBorders>
            <w:shd w:val="clear" w:color="auto" w:fill="auto"/>
            <w:vAlign w:val="bottom"/>
          </w:tcPr>
          <w:p w:rsidRPr="00260518" w:rsidR="0017532F" w:rsidP="0017532F" w:rsidRDefault="0017532F" w14:paraId="000A1400" w14:textId="77777777">
            <w:pPr>
              <w:keepNext/>
              <w:spacing w:before="60" w:after="60"/>
              <w:jc w:val="center"/>
              <w:rPr>
                <w:b/>
                <w:color w:val="000000"/>
                <w:sz w:val="22"/>
                <w:szCs w:val="22"/>
              </w:rPr>
            </w:pPr>
            <w:r w:rsidRPr="00260518">
              <w:rPr>
                <w:b/>
                <w:color w:val="000000"/>
                <w:sz w:val="22"/>
                <w:szCs w:val="22"/>
              </w:rPr>
              <w:t>Hours</w:t>
            </w:r>
          </w:p>
        </w:tc>
        <w:tc>
          <w:tcPr>
            <w:tcW w:w="1440" w:type="dxa"/>
            <w:tcBorders>
              <w:top w:val="single" w:color="auto" w:sz="4" w:space="0"/>
            </w:tcBorders>
            <w:shd w:val="clear" w:color="auto" w:fill="auto"/>
            <w:vAlign w:val="bottom"/>
          </w:tcPr>
          <w:p w:rsidRPr="00260518" w:rsidR="0017532F" w:rsidP="0017532F" w:rsidRDefault="0017532F" w14:paraId="1DADFC59" w14:textId="77777777">
            <w:pPr>
              <w:keepNext/>
              <w:spacing w:before="60" w:after="60"/>
              <w:jc w:val="center"/>
              <w:rPr>
                <w:b/>
                <w:color w:val="000000"/>
                <w:sz w:val="22"/>
                <w:szCs w:val="22"/>
              </w:rPr>
            </w:pPr>
            <w:r w:rsidRPr="00260518">
              <w:rPr>
                <w:b/>
                <w:color w:val="000000"/>
                <w:sz w:val="22"/>
                <w:szCs w:val="22"/>
              </w:rPr>
              <w:t xml:space="preserve">Rate </w:t>
            </w:r>
            <w:r>
              <w:rPr>
                <w:b/>
                <w:color w:val="000000"/>
                <w:sz w:val="22"/>
                <w:szCs w:val="22"/>
              </w:rPr>
              <w:t>$</w:t>
            </w:r>
          </w:p>
        </w:tc>
        <w:tc>
          <w:tcPr>
            <w:tcW w:w="1355" w:type="dxa"/>
            <w:tcBorders>
              <w:top w:val="single" w:color="auto" w:sz="4" w:space="0"/>
            </w:tcBorders>
            <w:shd w:val="clear" w:color="auto" w:fill="auto"/>
            <w:vAlign w:val="bottom"/>
          </w:tcPr>
          <w:p w:rsidRPr="00260518" w:rsidR="0017532F" w:rsidP="0017532F" w:rsidRDefault="0017532F" w14:paraId="36B6AC97" w14:textId="77777777">
            <w:pPr>
              <w:keepNext/>
              <w:spacing w:before="60" w:after="60"/>
              <w:jc w:val="center"/>
              <w:rPr>
                <w:b/>
                <w:color w:val="000000"/>
                <w:sz w:val="22"/>
                <w:szCs w:val="22"/>
              </w:rPr>
            </w:pPr>
            <w:r w:rsidRPr="00260518">
              <w:rPr>
                <w:b/>
                <w:color w:val="000000"/>
                <w:sz w:val="22"/>
                <w:szCs w:val="22"/>
              </w:rPr>
              <w:t>Total $</w:t>
            </w:r>
          </w:p>
        </w:tc>
      </w:tr>
      <w:tr w:rsidRPr="007F620E" w:rsidR="0009071C" w:rsidTr="0009071C" w14:paraId="10331FA8" w14:textId="77777777">
        <w:trPr>
          <w:jc w:val="center"/>
        </w:trPr>
        <w:tc>
          <w:tcPr>
            <w:tcW w:w="1795" w:type="dxa"/>
            <w:shd w:val="clear" w:color="auto" w:fill="auto"/>
          </w:tcPr>
          <w:p w:rsidRPr="008F1EF1" w:rsidR="00B344FC" w:rsidP="00D3594A" w:rsidRDefault="00B344FC" w14:paraId="617CEF15" w14:textId="7945BD4F">
            <w:pPr>
              <w:spacing w:before="60" w:after="60"/>
              <w:jc w:val="center"/>
              <w:rPr>
                <w:color w:val="000000"/>
                <w:sz w:val="22"/>
                <w:szCs w:val="22"/>
              </w:rPr>
            </w:pPr>
            <w:r>
              <w:rPr>
                <w:color w:val="000000"/>
                <w:sz w:val="22"/>
                <w:szCs w:val="22"/>
              </w:rPr>
              <w:t>T. Long</w:t>
            </w:r>
          </w:p>
        </w:tc>
        <w:tc>
          <w:tcPr>
            <w:tcW w:w="720" w:type="dxa"/>
            <w:shd w:val="clear" w:color="auto" w:fill="auto"/>
          </w:tcPr>
          <w:p w:rsidRPr="008F1EF1" w:rsidR="00B344FC" w:rsidP="0017532F" w:rsidRDefault="00B344FC" w14:paraId="10ECDAB7" w14:textId="29F20303">
            <w:pPr>
              <w:spacing w:before="60" w:after="60"/>
              <w:jc w:val="center"/>
              <w:rPr>
                <w:color w:val="000000"/>
                <w:sz w:val="22"/>
                <w:szCs w:val="22"/>
              </w:rPr>
            </w:pPr>
            <w:r>
              <w:rPr>
                <w:color w:val="000000"/>
                <w:sz w:val="22"/>
                <w:szCs w:val="22"/>
              </w:rPr>
              <w:t>2023</w:t>
            </w:r>
          </w:p>
        </w:tc>
        <w:tc>
          <w:tcPr>
            <w:tcW w:w="720" w:type="dxa"/>
            <w:shd w:val="clear" w:color="auto" w:fill="auto"/>
          </w:tcPr>
          <w:p w:rsidR="00B344FC" w:rsidP="0017532F" w:rsidRDefault="00B344FC" w14:paraId="698F490A" w14:textId="7921CC88">
            <w:pPr>
              <w:spacing w:before="60" w:after="60"/>
              <w:jc w:val="center"/>
              <w:rPr>
                <w:color w:val="000000"/>
                <w:sz w:val="22"/>
                <w:szCs w:val="22"/>
              </w:rPr>
            </w:pPr>
            <w:r>
              <w:rPr>
                <w:color w:val="000000"/>
                <w:sz w:val="22"/>
                <w:szCs w:val="22"/>
              </w:rPr>
              <w:t>1.0</w:t>
            </w:r>
          </w:p>
        </w:tc>
        <w:tc>
          <w:tcPr>
            <w:tcW w:w="990" w:type="dxa"/>
            <w:shd w:val="clear" w:color="auto" w:fill="auto"/>
          </w:tcPr>
          <w:p w:rsidRPr="008F1EF1" w:rsidR="00B344FC" w:rsidP="00D3594A" w:rsidRDefault="00B344FC" w14:paraId="38F1E511" w14:textId="5FE84634">
            <w:pPr>
              <w:spacing w:before="60" w:after="60"/>
              <w:jc w:val="center"/>
              <w:rPr>
                <w:color w:val="000000"/>
                <w:sz w:val="22"/>
                <w:szCs w:val="22"/>
              </w:rPr>
            </w:pPr>
            <w:r>
              <w:rPr>
                <w:color w:val="000000"/>
                <w:sz w:val="22"/>
                <w:szCs w:val="22"/>
              </w:rPr>
              <w:t>$42</w:t>
            </w:r>
            <w:r w:rsidR="00B340EE">
              <w:rPr>
                <w:color w:val="000000"/>
                <w:sz w:val="22"/>
                <w:szCs w:val="22"/>
              </w:rPr>
              <w:t>0.00</w:t>
            </w:r>
          </w:p>
        </w:tc>
        <w:tc>
          <w:tcPr>
            <w:tcW w:w="1980" w:type="dxa"/>
            <w:tcBorders>
              <w:right w:val="single" w:color="auto" w:sz="4" w:space="0"/>
            </w:tcBorders>
            <w:shd w:val="clear" w:color="auto" w:fill="auto"/>
          </w:tcPr>
          <w:p w:rsidR="00B344FC" w:rsidP="00734676" w:rsidRDefault="00B340EE" w14:paraId="32ED8E40" w14:textId="00DFA73E">
            <w:pPr>
              <w:spacing w:before="60" w:after="60"/>
              <w:jc w:val="center"/>
              <w:rPr>
                <w:color w:val="000000"/>
                <w:sz w:val="22"/>
                <w:szCs w:val="22"/>
              </w:rPr>
            </w:pPr>
            <w:r>
              <w:rPr>
                <w:color w:val="000000"/>
                <w:sz w:val="22"/>
                <w:szCs w:val="22"/>
              </w:rPr>
              <w:t>½ of 2023 rate</w:t>
            </w:r>
          </w:p>
        </w:tc>
        <w:tc>
          <w:tcPr>
            <w:tcW w:w="1260" w:type="dxa"/>
            <w:gridSpan w:val="2"/>
            <w:tcBorders>
              <w:top w:val="single" w:color="auto" w:sz="4" w:space="0"/>
              <w:left w:val="single" w:color="auto" w:sz="4" w:space="0"/>
              <w:bottom w:val="single" w:color="auto" w:sz="4" w:space="0"/>
              <w:right w:val="single" w:color="auto" w:sz="24" w:space="0"/>
            </w:tcBorders>
            <w:shd w:val="clear" w:color="auto" w:fill="auto"/>
          </w:tcPr>
          <w:p w:rsidR="00B344FC" w:rsidP="00D3594A" w:rsidRDefault="00B340EE" w14:paraId="5E76F541" w14:textId="14845FE8">
            <w:pPr>
              <w:spacing w:before="60" w:after="60"/>
              <w:jc w:val="center"/>
              <w:rPr>
                <w:color w:val="000000"/>
                <w:sz w:val="22"/>
                <w:szCs w:val="22"/>
              </w:rPr>
            </w:pPr>
            <w:r>
              <w:rPr>
                <w:color w:val="000000"/>
                <w:sz w:val="22"/>
                <w:szCs w:val="22"/>
              </w:rPr>
              <w:t>$420.00</w:t>
            </w:r>
          </w:p>
        </w:tc>
        <w:tc>
          <w:tcPr>
            <w:tcW w:w="900" w:type="dxa"/>
            <w:tcBorders>
              <w:left w:val="single" w:color="auto" w:sz="4" w:space="0"/>
              <w:right w:val="single" w:color="auto" w:sz="4" w:space="0"/>
            </w:tcBorders>
            <w:shd w:val="clear" w:color="auto" w:fill="auto"/>
          </w:tcPr>
          <w:p w:rsidRPr="007F620E" w:rsidR="00B344FC" w:rsidP="00D3594A" w:rsidRDefault="009220ED" w14:paraId="14ABADCF" w14:textId="69F7160D">
            <w:pPr>
              <w:spacing w:before="60" w:after="60"/>
              <w:jc w:val="center"/>
              <w:rPr>
                <w:color w:val="000000"/>
              </w:rPr>
            </w:pPr>
            <w:r>
              <w:rPr>
                <w:color w:val="000000"/>
              </w:rPr>
              <w:t>1</w:t>
            </w:r>
          </w:p>
        </w:tc>
        <w:tc>
          <w:tcPr>
            <w:tcW w:w="1440" w:type="dxa"/>
            <w:tcBorders>
              <w:left w:val="single" w:color="auto" w:sz="4" w:space="0"/>
            </w:tcBorders>
            <w:shd w:val="clear" w:color="auto" w:fill="auto"/>
          </w:tcPr>
          <w:p w:rsidRPr="007F620E" w:rsidR="00B344FC" w:rsidP="0017532F" w:rsidRDefault="003A5C58" w14:paraId="1937A6F5" w14:textId="24A8ED27">
            <w:pPr>
              <w:spacing w:before="60" w:after="60"/>
              <w:jc w:val="right"/>
              <w:rPr>
                <w:color w:val="000000"/>
              </w:rPr>
            </w:pPr>
            <w:r>
              <w:rPr>
                <w:color w:val="000000"/>
              </w:rPr>
              <w:t>$4</w:t>
            </w:r>
            <w:r w:rsidR="00BD13B1">
              <w:rPr>
                <w:color w:val="000000"/>
              </w:rPr>
              <w:t>15</w:t>
            </w:r>
            <w:r w:rsidRPr="00D3594A" w:rsidR="00D3594A">
              <w:rPr>
                <w:color w:val="000000"/>
              </w:rPr>
              <w:t>.00</w:t>
            </w:r>
            <w:r w:rsidR="00CE3C52">
              <w:rPr>
                <w:color w:val="000000"/>
              </w:rPr>
              <w:t xml:space="preserve"> [</w:t>
            </w:r>
            <w:r w:rsidR="00BD13B1">
              <w:rPr>
                <w:color w:val="000000"/>
              </w:rPr>
              <w:t>1]</w:t>
            </w:r>
          </w:p>
        </w:tc>
        <w:tc>
          <w:tcPr>
            <w:tcW w:w="1355" w:type="dxa"/>
            <w:shd w:val="clear" w:color="auto" w:fill="auto"/>
          </w:tcPr>
          <w:p w:rsidRPr="007F620E" w:rsidR="00B344FC" w:rsidP="00D3594A" w:rsidRDefault="00D6091C" w14:paraId="070CC6CB" w14:textId="37A7CB6C">
            <w:pPr>
              <w:spacing w:before="60" w:after="60"/>
              <w:jc w:val="center"/>
              <w:rPr>
                <w:color w:val="000000"/>
              </w:rPr>
            </w:pPr>
            <w:r>
              <w:rPr>
                <w:color w:val="000000"/>
              </w:rPr>
              <w:t>$</w:t>
            </w:r>
            <w:r w:rsidR="00A85B41">
              <w:rPr>
                <w:color w:val="000000"/>
              </w:rPr>
              <w:t>415</w:t>
            </w:r>
            <w:r w:rsidR="00050176">
              <w:rPr>
                <w:color w:val="000000"/>
              </w:rPr>
              <w:t>.00</w:t>
            </w:r>
          </w:p>
        </w:tc>
      </w:tr>
      <w:tr w:rsidRPr="007F620E" w:rsidR="0009071C" w:rsidTr="0009071C" w14:paraId="480E051E" w14:textId="77777777">
        <w:trPr>
          <w:jc w:val="center"/>
        </w:trPr>
        <w:tc>
          <w:tcPr>
            <w:tcW w:w="1795" w:type="dxa"/>
            <w:shd w:val="clear" w:color="auto" w:fill="auto"/>
          </w:tcPr>
          <w:p w:rsidRPr="008F1EF1" w:rsidR="0017532F" w:rsidP="00D3594A" w:rsidRDefault="0017532F" w14:paraId="5DE3E6A0" w14:textId="77777777">
            <w:pPr>
              <w:spacing w:before="60" w:after="60"/>
              <w:jc w:val="center"/>
              <w:rPr>
                <w:color w:val="000000"/>
                <w:sz w:val="22"/>
                <w:szCs w:val="22"/>
              </w:rPr>
            </w:pPr>
            <w:r w:rsidRPr="008F1EF1">
              <w:rPr>
                <w:color w:val="000000"/>
                <w:sz w:val="22"/>
                <w:szCs w:val="22"/>
              </w:rPr>
              <w:t>T. Long</w:t>
            </w:r>
          </w:p>
        </w:tc>
        <w:tc>
          <w:tcPr>
            <w:tcW w:w="720" w:type="dxa"/>
            <w:shd w:val="clear" w:color="auto" w:fill="auto"/>
          </w:tcPr>
          <w:p w:rsidRPr="008F1EF1" w:rsidR="0017532F" w:rsidP="0017532F" w:rsidRDefault="0017532F" w14:paraId="0B136663" w14:textId="77777777">
            <w:pPr>
              <w:spacing w:before="60" w:after="60"/>
              <w:jc w:val="center"/>
              <w:rPr>
                <w:color w:val="000000"/>
                <w:sz w:val="22"/>
                <w:szCs w:val="22"/>
              </w:rPr>
            </w:pPr>
            <w:r w:rsidRPr="008F1EF1">
              <w:rPr>
                <w:color w:val="000000"/>
                <w:sz w:val="22"/>
                <w:szCs w:val="22"/>
              </w:rPr>
              <w:t>2024</w:t>
            </w:r>
          </w:p>
        </w:tc>
        <w:tc>
          <w:tcPr>
            <w:tcW w:w="720" w:type="dxa"/>
            <w:shd w:val="clear" w:color="auto" w:fill="auto"/>
          </w:tcPr>
          <w:p w:rsidRPr="008F1EF1" w:rsidR="0017532F" w:rsidP="0017532F" w:rsidRDefault="003249D5" w14:paraId="024BAAC7" w14:textId="2F939BE9">
            <w:pPr>
              <w:spacing w:before="60" w:after="60"/>
              <w:jc w:val="center"/>
              <w:rPr>
                <w:color w:val="000000"/>
                <w:sz w:val="22"/>
                <w:szCs w:val="22"/>
              </w:rPr>
            </w:pPr>
            <w:r>
              <w:rPr>
                <w:color w:val="000000"/>
                <w:sz w:val="22"/>
                <w:szCs w:val="22"/>
              </w:rPr>
              <w:t>5.0</w:t>
            </w:r>
          </w:p>
        </w:tc>
        <w:tc>
          <w:tcPr>
            <w:tcW w:w="990" w:type="dxa"/>
            <w:shd w:val="clear" w:color="auto" w:fill="auto"/>
          </w:tcPr>
          <w:p w:rsidRPr="008F1EF1" w:rsidR="0017532F" w:rsidP="00D3594A" w:rsidRDefault="0017532F" w14:paraId="2BE33A5C" w14:textId="7D6E46F1">
            <w:pPr>
              <w:spacing w:before="60" w:after="60"/>
              <w:jc w:val="center"/>
              <w:rPr>
                <w:color w:val="000000"/>
                <w:sz w:val="22"/>
                <w:szCs w:val="22"/>
              </w:rPr>
            </w:pPr>
            <w:r w:rsidRPr="008F1EF1">
              <w:rPr>
                <w:color w:val="000000"/>
                <w:sz w:val="22"/>
                <w:szCs w:val="22"/>
              </w:rPr>
              <w:t>$</w:t>
            </w:r>
            <w:r>
              <w:rPr>
                <w:color w:val="000000"/>
                <w:sz w:val="22"/>
                <w:szCs w:val="22"/>
              </w:rPr>
              <w:t>437.50</w:t>
            </w:r>
          </w:p>
        </w:tc>
        <w:tc>
          <w:tcPr>
            <w:tcW w:w="1980" w:type="dxa"/>
            <w:tcBorders>
              <w:right w:val="single" w:color="auto" w:sz="4" w:space="0"/>
            </w:tcBorders>
            <w:shd w:val="clear" w:color="auto" w:fill="auto"/>
          </w:tcPr>
          <w:p w:rsidRPr="008F1EF1" w:rsidR="0017532F" w:rsidP="00734676" w:rsidRDefault="00B340EE" w14:paraId="47429964" w14:textId="23974339">
            <w:pPr>
              <w:spacing w:before="60" w:after="60"/>
              <w:jc w:val="center"/>
              <w:rPr>
                <w:color w:val="000000"/>
                <w:sz w:val="22"/>
                <w:szCs w:val="22"/>
              </w:rPr>
            </w:pPr>
            <w:r>
              <w:rPr>
                <w:color w:val="000000"/>
                <w:sz w:val="22"/>
                <w:szCs w:val="22"/>
              </w:rPr>
              <w:t>½ of 2024 rate</w:t>
            </w:r>
          </w:p>
        </w:tc>
        <w:tc>
          <w:tcPr>
            <w:tcW w:w="1260" w:type="dxa"/>
            <w:gridSpan w:val="2"/>
            <w:tcBorders>
              <w:top w:val="single" w:color="auto" w:sz="4" w:space="0"/>
              <w:left w:val="single" w:color="auto" w:sz="4" w:space="0"/>
              <w:bottom w:val="single" w:color="auto" w:sz="4" w:space="0"/>
              <w:right w:val="single" w:color="auto" w:sz="24" w:space="0"/>
            </w:tcBorders>
            <w:shd w:val="clear" w:color="auto" w:fill="auto"/>
          </w:tcPr>
          <w:p w:rsidRPr="008F1EF1" w:rsidR="0017532F" w:rsidP="00D3594A" w:rsidRDefault="003249D5" w14:paraId="6103641F" w14:textId="4CC3135C">
            <w:pPr>
              <w:spacing w:before="60" w:after="60"/>
              <w:jc w:val="center"/>
              <w:rPr>
                <w:color w:val="000000"/>
                <w:sz w:val="22"/>
                <w:szCs w:val="22"/>
              </w:rPr>
            </w:pPr>
            <w:r>
              <w:rPr>
                <w:color w:val="000000"/>
                <w:sz w:val="22"/>
                <w:szCs w:val="22"/>
              </w:rPr>
              <w:t>2,187.50</w:t>
            </w:r>
          </w:p>
        </w:tc>
        <w:tc>
          <w:tcPr>
            <w:tcW w:w="900" w:type="dxa"/>
            <w:tcBorders>
              <w:left w:val="single" w:color="auto" w:sz="4" w:space="0"/>
              <w:right w:val="single" w:color="auto" w:sz="4" w:space="0"/>
            </w:tcBorders>
            <w:shd w:val="clear" w:color="auto" w:fill="auto"/>
          </w:tcPr>
          <w:p w:rsidRPr="007F620E" w:rsidR="0017532F" w:rsidP="00D3594A" w:rsidRDefault="009220ED" w14:paraId="5A24EE73" w14:textId="4715D461">
            <w:pPr>
              <w:spacing w:before="60" w:after="60"/>
              <w:jc w:val="center"/>
              <w:rPr>
                <w:color w:val="000000"/>
              </w:rPr>
            </w:pPr>
            <w:r>
              <w:rPr>
                <w:color w:val="000000"/>
              </w:rPr>
              <w:t>5</w:t>
            </w:r>
          </w:p>
        </w:tc>
        <w:tc>
          <w:tcPr>
            <w:tcW w:w="1440" w:type="dxa"/>
            <w:tcBorders>
              <w:left w:val="single" w:color="auto" w:sz="4" w:space="0"/>
            </w:tcBorders>
            <w:shd w:val="clear" w:color="auto" w:fill="auto"/>
          </w:tcPr>
          <w:p w:rsidRPr="007F620E" w:rsidR="0017532F" w:rsidP="0017532F" w:rsidRDefault="002C7086" w14:paraId="55DC8EEA" w14:textId="1B1C9266">
            <w:pPr>
              <w:spacing w:before="60" w:after="60"/>
              <w:jc w:val="right"/>
              <w:rPr>
                <w:color w:val="000000"/>
              </w:rPr>
            </w:pPr>
            <w:r>
              <w:rPr>
                <w:color w:val="000000"/>
              </w:rPr>
              <w:t>$</w:t>
            </w:r>
            <w:r w:rsidR="009220ED">
              <w:rPr>
                <w:color w:val="000000"/>
              </w:rPr>
              <w:t>4</w:t>
            </w:r>
            <w:r w:rsidR="001B068D">
              <w:rPr>
                <w:color w:val="000000"/>
              </w:rPr>
              <w:t>30</w:t>
            </w:r>
            <w:r w:rsidRPr="00D3594A" w:rsidR="00D3594A">
              <w:rPr>
                <w:color w:val="000000"/>
              </w:rPr>
              <w:t>.00</w:t>
            </w:r>
            <w:r>
              <w:rPr>
                <w:color w:val="000000"/>
              </w:rPr>
              <w:t xml:space="preserve"> [1]</w:t>
            </w:r>
          </w:p>
        </w:tc>
        <w:tc>
          <w:tcPr>
            <w:tcW w:w="1355" w:type="dxa"/>
            <w:shd w:val="clear" w:color="auto" w:fill="auto"/>
          </w:tcPr>
          <w:p w:rsidRPr="007F620E" w:rsidR="0017532F" w:rsidP="00D3594A" w:rsidRDefault="00D6091C" w14:paraId="09637862" w14:textId="33276F95">
            <w:pPr>
              <w:spacing w:before="60" w:after="60"/>
              <w:jc w:val="center"/>
              <w:rPr>
                <w:color w:val="000000"/>
              </w:rPr>
            </w:pPr>
            <w:r>
              <w:rPr>
                <w:color w:val="000000"/>
              </w:rPr>
              <w:t>$2,1</w:t>
            </w:r>
            <w:r w:rsidR="00E81E7F">
              <w:rPr>
                <w:color w:val="000000"/>
              </w:rPr>
              <w:t>50</w:t>
            </w:r>
            <w:r>
              <w:rPr>
                <w:color w:val="000000"/>
              </w:rPr>
              <w:t>.50</w:t>
            </w:r>
          </w:p>
        </w:tc>
      </w:tr>
      <w:tr w:rsidRPr="00374FD1" w:rsidR="0017532F" w:rsidTr="0009071C" w14:paraId="4608BE29" w14:textId="77777777">
        <w:trPr>
          <w:jc w:val="center"/>
        </w:trPr>
        <w:tc>
          <w:tcPr>
            <w:tcW w:w="7465" w:type="dxa"/>
            <w:gridSpan w:val="7"/>
            <w:tcBorders>
              <w:bottom w:val="single" w:color="auto" w:sz="4" w:space="0"/>
              <w:right w:val="single" w:color="auto" w:sz="24" w:space="0"/>
            </w:tcBorders>
            <w:shd w:val="clear" w:color="auto" w:fill="auto"/>
            <w:vAlign w:val="bottom"/>
          </w:tcPr>
          <w:p w:rsidRPr="00374FD1" w:rsidR="0017532F" w:rsidP="009610B9" w:rsidRDefault="0017532F" w14:paraId="5CE72E9B" w14:textId="259B7C0A">
            <w:pPr>
              <w:tabs>
                <w:tab w:val="left" w:pos="957"/>
              </w:tabs>
              <w:spacing w:before="120" w:after="120"/>
              <w:ind w:right="158"/>
              <w:jc w:val="right"/>
              <w:rPr>
                <w:b/>
                <w:i/>
                <w:color w:val="000000"/>
              </w:rPr>
            </w:pPr>
            <w:r w:rsidRPr="007F620E">
              <w:rPr>
                <w:b/>
                <w:i/>
                <w:color w:val="000000"/>
              </w:rPr>
              <w:t xml:space="preserve">Subtotal: </w:t>
            </w:r>
            <w:r w:rsidRPr="00374FD1">
              <w:rPr>
                <w:b/>
                <w:i/>
                <w:color w:val="000000"/>
              </w:rPr>
              <w:t>$</w:t>
            </w:r>
            <w:r w:rsidR="00660170">
              <w:rPr>
                <w:b/>
                <w:i/>
                <w:color w:val="000000"/>
              </w:rPr>
              <w:t>2,607.50</w:t>
            </w:r>
          </w:p>
        </w:tc>
        <w:tc>
          <w:tcPr>
            <w:tcW w:w="3695" w:type="dxa"/>
            <w:gridSpan w:val="3"/>
            <w:tcBorders>
              <w:left w:val="single" w:color="auto" w:sz="24" w:space="0"/>
              <w:bottom w:val="single" w:color="auto" w:sz="4" w:space="0"/>
            </w:tcBorders>
            <w:shd w:val="clear" w:color="auto" w:fill="auto"/>
            <w:vAlign w:val="bottom"/>
          </w:tcPr>
          <w:p w:rsidRPr="00374FD1" w:rsidR="0017532F" w:rsidP="00734676" w:rsidRDefault="0017532F" w14:paraId="2BF3E0ED" w14:textId="060650B0">
            <w:pPr>
              <w:tabs>
                <w:tab w:val="left" w:pos="957"/>
              </w:tabs>
              <w:spacing w:before="60" w:after="120"/>
              <w:ind w:right="158"/>
              <w:jc w:val="right"/>
              <w:rPr>
                <w:b/>
                <w:i/>
                <w:color w:val="000000"/>
              </w:rPr>
            </w:pPr>
            <w:r w:rsidRPr="007F620E">
              <w:rPr>
                <w:b/>
                <w:i/>
                <w:color w:val="000000"/>
              </w:rPr>
              <w:t xml:space="preserve">Subtotal: </w:t>
            </w:r>
            <w:r w:rsidRPr="00374FD1">
              <w:rPr>
                <w:b/>
                <w:i/>
                <w:color w:val="000000"/>
              </w:rPr>
              <w:t>$</w:t>
            </w:r>
            <w:r w:rsidR="00D6091C">
              <w:rPr>
                <w:b/>
                <w:i/>
                <w:color w:val="000000"/>
              </w:rPr>
              <w:t>2,</w:t>
            </w:r>
            <w:r w:rsidR="00A85B41">
              <w:rPr>
                <w:b/>
                <w:i/>
                <w:color w:val="000000"/>
              </w:rPr>
              <w:t>565.00</w:t>
            </w:r>
          </w:p>
        </w:tc>
      </w:tr>
      <w:tr w:rsidRPr="00FE3BAE" w:rsidR="0017532F" w:rsidTr="0009071C" w14:paraId="75C517AB" w14:textId="77777777">
        <w:trPr>
          <w:jc w:val="center"/>
        </w:trPr>
        <w:tc>
          <w:tcPr>
            <w:tcW w:w="7465" w:type="dxa"/>
            <w:gridSpan w:val="7"/>
            <w:tcBorders>
              <w:top w:val="single" w:color="auto" w:sz="4" w:space="0"/>
              <w:bottom w:val="single" w:color="auto" w:sz="4" w:space="0"/>
              <w:right w:val="single" w:color="auto" w:sz="24" w:space="0"/>
            </w:tcBorders>
            <w:shd w:val="clear" w:color="auto" w:fill="E6E6E6"/>
            <w:vAlign w:val="bottom"/>
          </w:tcPr>
          <w:p w:rsidRPr="00FE3BAE" w:rsidR="0017532F" w:rsidP="0017532F" w:rsidRDefault="0017532F" w14:paraId="48F9E637" w14:textId="2968915C">
            <w:pPr>
              <w:tabs>
                <w:tab w:val="left" w:pos="957"/>
              </w:tabs>
              <w:spacing w:before="60" w:after="60"/>
              <w:ind w:right="72"/>
              <w:jc w:val="right"/>
              <w:rPr>
                <w:b/>
                <w:color w:val="000000"/>
              </w:rPr>
            </w:pPr>
            <w:r w:rsidRPr="00374FD1">
              <w:rPr>
                <w:b/>
                <w:i/>
                <w:color w:val="000000"/>
              </w:rPr>
              <w:t>TOTAL REQUEST: $</w:t>
            </w:r>
            <w:r w:rsidR="00660170">
              <w:rPr>
                <w:b/>
                <w:i/>
                <w:color w:val="000000"/>
              </w:rPr>
              <w:t>53,766.25</w:t>
            </w:r>
          </w:p>
        </w:tc>
        <w:tc>
          <w:tcPr>
            <w:tcW w:w="3695" w:type="dxa"/>
            <w:gridSpan w:val="3"/>
            <w:tcBorders>
              <w:left w:val="single" w:color="auto" w:sz="24" w:space="0"/>
            </w:tcBorders>
            <w:shd w:val="clear" w:color="auto" w:fill="E6E6E6"/>
            <w:vAlign w:val="bottom"/>
          </w:tcPr>
          <w:p w:rsidRPr="00FE3BAE" w:rsidR="0017532F" w:rsidP="00734676" w:rsidRDefault="0017532F" w14:paraId="36019530" w14:textId="25935EA3">
            <w:pPr>
              <w:tabs>
                <w:tab w:val="left" w:pos="957"/>
              </w:tabs>
              <w:spacing w:before="60" w:after="120"/>
              <w:ind w:right="72"/>
              <w:jc w:val="right"/>
              <w:rPr>
                <w:b/>
                <w:color w:val="000000"/>
              </w:rPr>
            </w:pPr>
            <w:r w:rsidRPr="00374FD1">
              <w:rPr>
                <w:b/>
                <w:i/>
                <w:color w:val="000000"/>
              </w:rPr>
              <w:t>TOTAL AWARD: $</w:t>
            </w:r>
            <w:r w:rsidR="00D6091C">
              <w:rPr>
                <w:b/>
                <w:i/>
                <w:color w:val="000000"/>
              </w:rPr>
              <w:t>53,</w:t>
            </w:r>
            <w:r w:rsidR="00A85B41">
              <w:rPr>
                <w:b/>
                <w:i/>
                <w:color w:val="000000"/>
              </w:rPr>
              <w:t>166.25</w:t>
            </w:r>
          </w:p>
        </w:tc>
      </w:tr>
      <w:tr w:rsidRPr="007F620E" w:rsidR="0017532F" w:rsidTr="0036244B" w14:paraId="752C4918" w14:textId="77777777">
        <w:trPr>
          <w:jc w:val="center"/>
        </w:trPr>
        <w:tc>
          <w:tcPr>
            <w:tcW w:w="11160" w:type="dxa"/>
            <w:gridSpan w:val="10"/>
            <w:tcBorders>
              <w:top w:val="single" w:color="auto" w:sz="4" w:space="0"/>
              <w:bottom w:val="single" w:color="auto" w:sz="4" w:space="0"/>
            </w:tcBorders>
            <w:shd w:val="clear" w:color="auto" w:fill="auto"/>
          </w:tcPr>
          <w:p w:rsidRPr="007F620E" w:rsidR="0017532F" w:rsidP="009610B9" w:rsidRDefault="0017532F" w14:paraId="2529F508" w14:textId="77777777">
            <w:pPr>
              <w:spacing w:before="120" w:after="120"/>
              <w:rPr>
                <w:color w:val="000000"/>
              </w:rPr>
            </w:pPr>
            <w:r w:rsidRPr="007F620E">
              <w:rPr>
                <w:color w:val="000000"/>
              </w:rPr>
              <w:t xml:space="preserve">  *We remind all intervenors that Commission staff may audit </w:t>
            </w:r>
            <w:r>
              <w:t>the records and books of the intervenors to the extent necessary to verify the basis for the award (§1804(d)).  I</w:t>
            </w:r>
            <w:r w:rsidRPr="007F620E">
              <w:rPr>
                <w:color w:val="000000"/>
              </w:rPr>
              <w:t xml:space="preserve">ntervenors must make and retain adequate accounting and other documentation to support all claims for intervenor compensation.  Intervenor’s records should identify specific issues for which it seeks compensation, the actual time spent by each employee or consultant, the applicable hourly rates, fees paid to consultants and any other costs for which compensation was claimed.  The records pertaining to an award of compensation shall be retained for at least three years from the date of the final decision making the award. </w:t>
            </w:r>
          </w:p>
          <w:p w:rsidRPr="007F620E" w:rsidR="0017532F" w:rsidP="009610B9" w:rsidRDefault="0017532F" w14:paraId="55A9FBC3" w14:textId="77777777">
            <w:pPr>
              <w:spacing w:before="120" w:after="120"/>
              <w:rPr>
                <w:color w:val="000000"/>
              </w:rPr>
            </w:pPr>
            <w:r w:rsidRPr="007F620E">
              <w:rPr>
                <w:color w:val="000000"/>
              </w:rPr>
              <w:t xml:space="preserve">**Travel and Reasonable Claim preparation time </w:t>
            </w:r>
            <w:r>
              <w:rPr>
                <w:color w:val="000000"/>
              </w:rPr>
              <w:t xml:space="preserve">are </w:t>
            </w:r>
            <w:r w:rsidRPr="007F620E">
              <w:rPr>
                <w:color w:val="000000"/>
              </w:rPr>
              <w:t>typically compensated at ½ of preparer’s normal hourly rate</w:t>
            </w:r>
            <w:r w:rsidRPr="007F620E" w:rsidDel="00D075B1">
              <w:rPr>
                <w:color w:val="000000"/>
              </w:rPr>
              <w:t xml:space="preserve"> </w:t>
            </w:r>
          </w:p>
        </w:tc>
      </w:tr>
      <w:tr w:rsidRPr="007F620E" w:rsidR="0017532F" w:rsidTr="0036244B" w14:paraId="0E1E87BF" w14:textId="77777777">
        <w:trPr>
          <w:jc w:val="center"/>
        </w:trPr>
        <w:tc>
          <w:tcPr>
            <w:tcW w:w="11160" w:type="dxa"/>
            <w:gridSpan w:val="10"/>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F620E" w:rsidR="0017532F" w:rsidP="0017532F" w:rsidRDefault="0017532F" w14:paraId="3EFD1514" w14:textId="77777777">
            <w:pPr>
              <w:keepNext/>
              <w:spacing w:before="60" w:after="60"/>
              <w:jc w:val="center"/>
              <w:rPr>
                <w:b/>
                <w:smallCaps/>
                <w:color w:val="000000"/>
              </w:rPr>
            </w:pPr>
            <w:r w:rsidRPr="007F620E">
              <w:rPr>
                <w:b/>
                <w:smallCaps/>
                <w:color w:val="000000"/>
              </w:rPr>
              <w:t>ATTORNEY INFORMATION</w:t>
            </w:r>
          </w:p>
        </w:tc>
      </w:tr>
      <w:tr w:rsidRPr="00C16981" w:rsidR="0017532F" w:rsidTr="009610B9" w14:paraId="44CA80FE" w14:textId="77777777">
        <w:trPr>
          <w:trHeight w:val="173"/>
          <w:jc w:val="center"/>
        </w:trPr>
        <w:tc>
          <w:tcPr>
            <w:tcW w:w="1795" w:type="dxa"/>
            <w:tcBorders>
              <w:top w:val="single" w:color="auto" w:sz="4" w:space="0"/>
              <w:bottom w:val="single" w:color="auto" w:sz="4" w:space="0"/>
            </w:tcBorders>
            <w:shd w:val="clear" w:color="auto" w:fill="FFFFFF"/>
            <w:vAlign w:val="bottom"/>
          </w:tcPr>
          <w:p w:rsidRPr="00C16981" w:rsidR="0017532F" w:rsidP="0017532F" w:rsidRDefault="0017532F" w14:paraId="444A57F1" w14:textId="77777777">
            <w:pPr>
              <w:keepNext/>
              <w:keepLines/>
              <w:spacing w:before="60" w:after="60"/>
              <w:jc w:val="center"/>
              <w:rPr>
                <w:b/>
                <w:color w:val="000000"/>
                <w:sz w:val="22"/>
                <w:szCs w:val="22"/>
              </w:rPr>
            </w:pPr>
            <w:r w:rsidRPr="00C16981">
              <w:rPr>
                <w:b/>
                <w:sz w:val="22"/>
                <w:szCs w:val="22"/>
              </w:rPr>
              <w:t>Attorney</w:t>
            </w:r>
          </w:p>
        </w:tc>
        <w:tc>
          <w:tcPr>
            <w:tcW w:w="2430" w:type="dxa"/>
            <w:gridSpan w:val="3"/>
            <w:tcBorders>
              <w:top w:val="single" w:color="auto" w:sz="4" w:space="0"/>
              <w:bottom w:val="single" w:color="auto" w:sz="4" w:space="0"/>
            </w:tcBorders>
            <w:shd w:val="clear" w:color="auto" w:fill="FFFFFF"/>
            <w:vAlign w:val="bottom"/>
          </w:tcPr>
          <w:p w:rsidRPr="00C16981" w:rsidR="0017532F" w:rsidP="0017532F" w:rsidRDefault="0017532F" w14:paraId="731CA32C" w14:textId="77777777">
            <w:pPr>
              <w:keepNext/>
              <w:keepLines/>
              <w:spacing w:before="60" w:after="60"/>
              <w:jc w:val="center"/>
              <w:rPr>
                <w:b/>
                <w:color w:val="000000"/>
                <w:sz w:val="22"/>
                <w:szCs w:val="22"/>
              </w:rPr>
            </w:pPr>
            <w:r w:rsidRPr="00C16981">
              <w:rPr>
                <w:b/>
                <w:sz w:val="22"/>
                <w:szCs w:val="22"/>
              </w:rPr>
              <w:t>Date Admitted to CA BAR</w:t>
            </w:r>
            <w:r w:rsidRPr="00C16981">
              <w:rPr>
                <w:rStyle w:val="FootnoteReference"/>
                <w:rFonts w:eastAsiaTheme="majorEastAsia"/>
                <w:b/>
                <w:sz w:val="22"/>
                <w:szCs w:val="22"/>
              </w:rPr>
              <w:footnoteReference w:id="3"/>
            </w:r>
          </w:p>
        </w:tc>
        <w:tc>
          <w:tcPr>
            <w:tcW w:w="2667" w:type="dxa"/>
            <w:gridSpan w:val="2"/>
            <w:tcBorders>
              <w:top w:val="single" w:color="auto" w:sz="4" w:space="0"/>
              <w:bottom w:val="single" w:color="auto" w:sz="4" w:space="0"/>
            </w:tcBorders>
            <w:shd w:val="clear" w:color="auto" w:fill="FFFFFF"/>
            <w:vAlign w:val="bottom"/>
          </w:tcPr>
          <w:p w:rsidRPr="00C16981" w:rsidR="0017532F" w:rsidP="0017532F" w:rsidRDefault="0017532F" w14:paraId="2CACBB08" w14:textId="77777777">
            <w:pPr>
              <w:keepNext/>
              <w:keepLines/>
              <w:spacing w:before="60" w:after="60"/>
              <w:jc w:val="center"/>
              <w:rPr>
                <w:b/>
                <w:color w:val="000000"/>
                <w:sz w:val="22"/>
                <w:szCs w:val="22"/>
              </w:rPr>
            </w:pPr>
            <w:r w:rsidRPr="00C16981">
              <w:rPr>
                <w:b/>
                <w:sz w:val="22"/>
                <w:szCs w:val="22"/>
              </w:rPr>
              <w:t>Member Number</w:t>
            </w:r>
          </w:p>
        </w:tc>
        <w:tc>
          <w:tcPr>
            <w:tcW w:w="4268" w:type="dxa"/>
            <w:gridSpan w:val="4"/>
            <w:tcBorders>
              <w:top w:val="single" w:color="auto" w:sz="4" w:space="0"/>
              <w:bottom w:val="single" w:color="auto" w:sz="4" w:space="0"/>
            </w:tcBorders>
            <w:shd w:val="clear" w:color="auto" w:fill="FFFFFF"/>
            <w:vAlign w:val="bottom"/>
          </w:tcPr>
          <w:p w:rsidRPr="00C16981" w:rsidR="0017532F" w:rsidP="0017532F" w:rsidRDefault="0017532F" w14:paraId="798FF8E5" w14:textId="77777777">
            <w:pPr>
              <w:keepNext/>
              <w:keepLines/>
              <w:spacing w:before="60" w:after="60"/>
              <w:jc w:val="center"/>
              <w:rPr>
                <w:b/>
                <w:sz w:val="22"/>
                <w:szCs w:val="22"/>
              </w:rPr>
            </w:pPr>
            <w:r w:rsidRPr="00C16981">
              <w:rPr>
                <w:b/>
                <w:sz w:val="22"/>
                <w:szCs w:val="22"/>
              </w:rPr>
              <w:t>Actions Affecting Eligibility (Yes/No?)</w:t>
            </w:r>
          </w:p>
          <w:p w:rsidRPr="00C16981" w:rsidR="0017532F" w:rsidP="0009071C" w:rsidRDefault="0017532F" w14:paraId="234C64FA" w14:textId="77777777">
            <w:pPr>
              <w:keepNext/>
              <w:keepLines/>
              <w:spacing w:before="120" w:after="120"/>
              <w:jc w:val="center"/>
              <w:rPr>
                <w:b/>
                <w:color w:val="000000"/>
                <w:sz w:val="22"/>
                <w:szCs w:val="22"/>
              </w:rPr>
            </w:pPr>
            <w:r w:rsidRPr="00C16981">
              <w:rPr>
                <w:b/>
                <w:sz w:val="22"/>
                <w:szCs w:val="22"/>
              </w:rPr>
              <w:t>If “Yes”, attach explanation</w:t>
            </w:r>
          </w:p>
        </w:tc>
      </w:tr>
      <w:tr w:rsidRPr="007F620E" w:rsidR="0017532F" w:rsidTr="009610B9" w14:paraId="139C1A00" w14:textId="77777777">
        <w:trPr>
          <w:trHeight w:val="172"/>
          <w:jc w:val="center"/>
        </w:trPr>
        <w:tc>
          <w:tcPr>
            <w:tcW w:w="1795" w:type="dxa"/>
            <w:tcBorders>
              <w:top w:val="single" w:color="auto" w:sz="4" w:space="0"/>
              <w:bottom w:val="single" w:color="auto" w:sz="4" w:space="0"/>
            </w:tcBorders>
            <w:shd w:val="clear" w:color="auto" w:fill="auto"/>
          </w:tcPr>
          <w:p w:rsidRPr="007F620E" w:rsidR="0017532F" w:rsidP="0017532F" w:rsidRDefault="0017532F" w14:paraId="27C376A1" w14:textId="77777777">
            <w:pPr>
              <w:keepLines/>
              <w:spacing w:before="60" w:after="60"/>
              <w:jc w:val="center"/>
              <w:rPr>
                <w:color w:val="000000"/>
              </w:rPr>
            </w:pPr>
            <w:r>
              <w:rPr>
                <w:color w:val="000000"/>
              </w:rPr>
              <w:t>Thomas Long</w:t>
            </w:r>
          </w:p>
        </w:tc>
        <w:tc>
          <w:tcPr>
            <w:tcW w:w="2430" w:type="dxa"/>
            <w:gridSpan w:val="3"/>
            <w:tcBorders>
              <w:top w:val="single" w:color="auto" w:sz="4" w:space="0"/>
              <w:bottom w:val="single" w:color="auto" w:sz="4" w:space="0"/>
            </w:tcBorders>
            <w:shd w:val="clear" w:color="auto" w:fill="auto"/>
          </w:tcPr>
          <w:p w:rsidRPr="007F620E" w:rsidR="0017532F" w:rsidP="0017532F" w:rsidRDefault="0017532F" w14:paraId="10AAB69D" w14:textId="77777777">
            <w:pPr>
              <w:keepLines/>
              <w:spacing w:before="60" w:after="60"/>
              <w:jc w:val="center"/>
              <w:rPr>
                <w:color w:val="000000"/>
              </w:rPr>
            </w:pPr>
            <w:r>
              <w:rPr>
                <w:color w:val="000000"/>
              </w:rPr>
              <w:t>December 1986</w:t>
            </w:r>
          </w:p>
        </w:tc>
        <w:tc>
          <w:tcPr>
            <w:tcW w:w="2667" w:type="dxa"/>
            <w:gridSpan w:val="2"/>
            <w:tcBorders>
              <w:top w:val="single" w:color="auto" w:sz="4" w:space="0"/>
              <w:bottom w:val="single" w:color="auto" w:sz="4" w:space="0"/>
            </w:tcBorders>
            <w:shd w:val="clear" w:color="auto" w:fill="auto"/>
          </w:tcPr>
          <w:p w:rsidRPr="007F620E" w:rsidR="0017532F" w:rsidP="0017532F" w:rsidRDefault="0017532F" w14:paraId="002C5A63" w14:textId="77777777">
            <w:pPr>
              <w:keepLines/>
              <w:spacing w:before="60" w:after="60"/>
              <w:jc w:val="center"/>
              <w:rPr>
                <w:color w:val="000000"/>
              </w:rPr>
            </w:pPr>
            <w:r>
              <w:rPr>
                <w:color w:val="000000"/>
              </w:rPr>
              <w:t>124776</w:t>
            </w:r>
          </w:p>
        </w:tc>
        <w:tc>
          <w:tcPr>
            <w:tcW w:w="4268" w:type="dxa"/>
            <w:gridSpan w:val="4"/>
            <w:tcBorders>
              <w:top w:val="single" w:color="auto" w:sz="4" w:space="0"/>
              <w:bottom w:val="single" w:color="auto" w:sz="4" w:space="0"/>
            </w:tcBorders>
            <w:shd w:val="clear" w:color="auto" w:fill="auto"/>
          </w:tcPr>
          <w:p w:rsidRPr="007F620E" w:rsidR="0017532F" w:rsidP="0009071C" w:rsidRDefault="0017532F" w14:paraId="40944807" w14:textId="77777777">
            <w:pPr>
              <w:keepLines/>
              <w:spacing w:before="120" w:after="120"/>
              <w:jc w:val="center"/>
              <w:rPr>
                <w:color w:val="000000"/>
              </w:rPr>
            </w:pPr>
            <w:r>
              <w:rPr>
                <w:color w:val="000000"/>
              </w:rPr>
              <w:t>No</w:t>
            </w:r>
          </w:p>
        </w:tc>
      </w:tr>
      <w:tr w:rsidRPr="007F620E" w:rsidR="0017532F" w:rsidTr="009610B9" w14:paraId="168D4714" w14:textId="77777777">
        <w:trPr>
          <w:trHeight w:val="172"/>
          <w:jc w:val="center"/>
        </w:trPr>
        <w:tc>
          <w:tcPr>
            <w:tcW w:w="1795" w:type="dxa"/>
            <w:tcBorders>
              <w:top w:val="single" w:color="auto" w:sz="4" w:space="0"/>
              <w:bottom w:val="single" w:color="auto" w:sz="4" w:space="0"/>
            </w:tcBorders>
            <w:shd w:val="clear" w:color="auto" w:fill="auto"/>
          </w:tcPr>
          <w:p w:rsidRPr="007F620E" w:rsidR="0017532F" w:rsidP="0009071C" w:rsidRDefault="0017532F" w14:paraId="669E319D" w14:textId="77777777">
            <w:pPr>
              <w:spacing w:before="60" w:after="120"/>
              <w:jc w:val="center"/>
              <w:rPr>
                <w:color w:val="000000"/>
              </w:rPr>
            </w:pPr>
            <w:r>
              <w:rPr>
                <w:color w:val="000000"/>
              </w:rPr>
              <w:t>Robert Finkelstein</w:t>
            </w:r>
          </w:p>
        </w:tc>
        <w:tc>
          <w:tcPr>
            <w:tcW w:w="2430" w:type="dxa"/>
            <w:gridSpan w:val="3"/>
            <w:tcBorders>
              <w:top w:val="single" w:color="auto" w:sz="4" w:space="0"/>
              <w:bottom w:val="single" w:color="auto" w:sz="4" w:space="0"/>
            </w:tcBorders>
            <w:shd w:val="clear" w:color="auto" w:fill="auto"/>
          </w:tcPr>
          <w:p w:rsidRPr="00301393" w:rsidR="0017532F" w:rsidP="0017532F" w:rsidRDefault="0017532F" w14:paraId="5DE2360A" w14:textId="77777777">
            <w:pPr>
              <w:spacing w:before="60" w:after="60"/>
              <w:jc w:val="center"/>
              <w:rPr>
                <w:color w:val="000000"/>
              </w:rPr>
            </w:pPr>
            <w:r w:rsidRPr="00301393">
              <w:rPr>
                <w:color w:val="000000"/>
              </w:rPr>
              <w:t>June 1990</w:t>
            </w:r>
          </w:p>
        </w:tc>
        <w:tc>
          <w:tcPr>
            <w:tcW w:w="2667" w:type="dxa"/>
            <w:gridSpan w:val="2"/>
            <w:tcBorders>
              <w:top w:val="single" w:color="auto" w:sz="4" w:space="0"/>
              <w:bottom w:val="single" w:color="auto" w:sz="4" w:space="0"/>
            </w:tcBorders>
            <w:shd w:val="clear" w:color="auto" w:fill="auto"/>
          </w:tcPr>
          <w:p w:rsidRPr="00301393" w:rsidR="0017532F" w:rsidP="0017532F" w:rsidRDefault="0017532F" w14:paraId="4A400DF3" w14:textId="77777777">
            <w:pPr>
              <w:spacing w:before="60" w:after="60"/>
              <w:jc w:val="center"/>
              <w:rPr>
                <w:color w:val="000000"/>
              </w:rPr>
            </w:pPr>
            <w:r w:rsidRPr="00301393">
              <w:rPr>
                <w:color w:val="000000"/>
              </w:rPr>
              <w:t>146391</w:t>
            </w:r>
          </w:p>
        </w:tc>
        <w:tc>
          <w:tcPr>
            <w:tcW w:w="4268" w:type="dxa"/>
            <w:gridSpan w:val="4"/>
            <w:tcBorders>
              <w:top w:val="single" w:color="auto" w:sz="4" w:space="0"/>
              <w:bottom w:val="single" w:color="auto" w:sz="4" w:space="0"/>
            </w:tcBorders>
            <w:shd w:val="clear" w:color="auto" w:fill="auto"/>
          </w:tcPr>
          <w:p w:rsidRPr="007F620E" w:rsidR="0017532F" w:rsidP="00734676" w:rsidRDefault="0017532F" w14:paraId="166407D5" w14:textId="77777777">
            <w:pPr>
              <w:spacing w:before="60" w:after="120"/>
              <w:jc w:val="center"/>
              <w:rPr>
                <w:color w:val="000000"/>
              </w:rPr>
            </w:pPr>
            <w:r>
              <w:rPr>
                <w:color w:val="000000"/>
              </w:rPr>
              <w:t>No</w:t>
            </w:r>
          </w:p>
        </w:tc>
      </w:tr>
    </w:tbl>
    <w:p w:rsidR="00625B30" w:rsidP="00625B30" w:rsidRDefault="00625B30" w14:paraId="0F67090A" w14:textId="77777777">
      <w:pPr>
        <w:rPr>
          <w:b/>
          <w:color w:val="000000"/>
        </w:rPr>
      </w:pPr>
    </w:p>
    <w:p w:rsidR="00734676" w:rsidP="00625B30" w:rsidRDefault="00734676" w14:paraId="7C2BECFD" w14:textId="77777777">
      <w:pPr>
        <w:rPr>
          <w:b/>
          <w:color w:val="000000"/>
        </w:rPr>
      </w:pPr>
    </w:p>
    <w:p w:rsidR="009610B9" w:rsidP="00625B30" w:rsidRDefault="009610B9" w14:paraId="67A98BCE" w14:textId="77777777">
      <w:pPr>
        <w:rPr>
          <w:b/>
          <w:color w:val="000000"/>
        </w:rPr>
      </w:pPr>
    </w:p>
    <w:p w:rsidRPr="00625B30" w:rsidR="00625B30" w:rsidP="00C80E2B" w:rsidRDefault="00625B30" w14:paraId="7239164A" w14:textId="342BC7C4">
      <w:pPr>
        <w:pStyle w:val="ListParagraph"/>
        <w:keepNext/>
        <w:numPr>
          <w:ilvl w:val="0"/>
          <w:numId w:val="7"/>
        </w:numPr>
        <w:rPr>
          <w:b/>
          <w:color w:val="000000"/>
        </w:rPr>
      </w:pPr>
      <w:r w:rsidRPr="00625B30">
        <w:rPr>
          <w:b/>
          <w:color w:val="000000"/>
        </w:rPr>
        <w:lastRenderedPageBreak/>
        <w:t>Attachments</w:t>
      </w:r>
      <w:r w:rsidRPr="00625B30">
        <w:rPr>
          <w:b/>
        </w:rPr>
        <w:t xml:space="preserve"> Documenting Specific Claim and Comments on Part III:</w:t>
      </w:r>
    </w:p>
    <w:p w:rsidRPr="00625B30" w:rsidR="00625B30" w:rsidP="00625B30" w:rsidRDefault="00625B30" w14:paraId="7E93547F" w14:textId="46A45A11">
      <w:pPr>
        <w:spacing w:after="240"/>
        <w:ind w:left="360"/>
        <w:rPr>
          <w:b/>
          <w:i/>
          <w:color w:val="000000"/>
          <w:u w:val="single"/>
        </w:rPr>
      </w:pPr>
      <w:r w:rsidRPr="003B6A1B">
        <w:rPr>
          <w:b/>
          <w:i/>
          <w:color w:val="000000"/>
          <w:u w:val="single"/>
        </w:rPr>
        <w:t>(attachments not attached to final Decision)</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1615"/>
        <w:gridCol w:w="7745"/>
      </w:tblGrid>
      <w:tr w:rsidRPr="007F620E" w:rsidR="00625B30" w:rsidTr="003457F0" w14:paraId="1D1D972E" w14:textId="77777777">
        <w:trPr>
          <w:tblHeader/>
        </w:trPr>
        <w:tc>
          <w:tcPr>
            <w:tcW w:w="1615" w:type="dxa"/>
            <w:shd w:val="clear" w:color="auto" w:fill="D9D9D9" w:themeFill="background1" w:themeFillShade="D9"/>
            <w:vAlign w:val="bottom"/>
          </w:tcPr>
          <w:p w:rsidRPr="007F620E" w:rsidR="00625B30" w:rsidP="00625B30" w:rsidRDefault="00625B30" w14:paraId="272B427F" w14:textId="77777777">
            <w:pPr>
              <w:tabs>
                <w:tab w:val="left" w:pos="1260"/>
              </w:tabs>
              <w:jc w:val="center"/>
              <w:rPr>
                <w:b/>
                <w:color w:val="000000"/>
              </w:rPr>
            </w:pPr>
            <w:r w:rsidRPr="007F620E">
              <w:rPr>
                <w:b/>
                <w:color w:val="000000"/>
              </w:rPr>
              <w:t>Attachment or Comment  #</w:t>
            </w:r>
          </w:p>
        </w:tc>
        <w:tc>
          <w:tcPr>
            <w:tcW w:w="7745" w:type="dxa"/>
            <w:tcBorders>
              <w:bottom w:val="single" w:color="auto" w:sz="4" w:space="0"/>
            </w:tcBorders>
            <w:shd w:val="clear" w:color="auto" w:fill="D9D9D9" w:themeFill="background1" w:themeFillShade="D9"/>
            <w:vAlign w:val="bottom"/>
          </w:tcPr>
          <w:p w:rsidRPr="007F620E" w:rsidR="00625B30" w:rsidP="00625B30" w:rsidRDefault="00625B30" w14:paraId="41A2C99E" w14:textId="77777777">
            <w:pPr>
              <w:tabs>
                <w:tab w:val="left" w:pos="1260"/>
              </w:tabs>
              <w:jc w:val="center"/>
              <w:rPr>
                <w:b/>
                <w:color w:val="000000"/>
              </w:rPr>
            </w:pPr>
            <w:r w:rsidRPr="007F620E">
              <w:rPr>
                <w:b/>
                <w:color w:val="000000"/>
              </w:rPr>
              <w:t>Description/Comment</w:t>
            </w:r>
          </w:p>
        </w:tc>
      </w:tr>
      <w:tr w:rsidRPr="001C0DD1" w:rsidR="00625B30" w:rsidTr="003457F0" w14:paraId="511D5E65" w14:textId="77777777">
        <w:tc>
          <w:tcPr>
            <w:tcW w:w="1615" w:type="dxa"/>
            <w:tcBorders>
              <w:bottom w:val="single" w:color="auto" w:sz="4" w:space="0"/>
            </w:tcBorders>
            <w:shd w:val="clear" w:color="auto" w:fill="auto"/>
          </w:tcPr>
          <w:p w:rsidRPr="007F620E" w:rsidR="00625B30" w:rsidP="00625B30" w:rsidRDefault="00625B30" w14:paraId="133D7EF4" w14:textId="77777777">
            <w:pPr>
              <w:tabs>
                <w:tab w:val="left" w:pos="1260"/>
              </w:tabs>
              <w:rPr>
                <w:color w:val="000000"/>
              </w:rPr>
            </w:pPr>
            <w:r>
              <w:rPr>
                <w:color w:val="000000"/>
              </w:rPr>
              <w:t xml:space="preserve">Attachment </w:t>
            </w:r>
            <w:r w:rsidRPr="007F620E">
              <w:rPr>
                <w:color w:val="000000"/>
              </w:rPr>
              <w:t>1</w:t>
            </w:r>
          </w:p>
        </w:tc>
        <w:tc>
          <w:tcPr>
            <w:tcW w:w="7745" w:type="dxa"/>
            <w:tcBorders>
              <w:bottom w:val="single" w:color="auto" w:sz="4" w:space="0"/>
            </w:tcBorders>
            <w:shd w:val="clear" w:color="auto" w:fill="auto"/>
          </w:tcPr>
          <w:p w:rsidRPr="001C0DD1" w:rsidR="00625B30" w:rsidP="00625B30" w:rsidRDefault="00625B30" w14:paraId="393C15CE" w14:textId="77777777">
            <w:pPr>
              <w:tabs>
                <w:tab w:val="left" w:pos="1260"/>
              </w:tabs>
              <w:rPr>
                <w:color w:val="000000"/>
              </w:rPr>
            </w:pPr>
            <w:r w:rsidRPr="001C0DD1">
              <w:rPr>
                <w:color w:val="000000"/>
              </w:rPr>
              <w:t>Certificate of Service</w:t>
            </w:r>
          </w:p>
        </w:tc>
      </w:tr>
      <w:tr w:rsidRPr="007F620E" w:rsidR="00625B30" w:rsidTr="003457F0" w14:paraId="2F2DE0C1" w14:textId="77777777">
        <w:tc>
          <w:tcPr>
            <w:tcW w:w="1615" w:type="dxa"/>
            <w:shd w:val="clear" w:color="auto" w:fill="auto"/>
          </w:tcPr>
          <w:p w:rsidRPr="007F620E" w:rsidR="00625B30" w:rsidP="00625B30" w:rsidRDefault="00625B30" w14:paraId="6EBB2B5F" w14:textId="77777777">
            <w:pPr>
              <w:tabs>
                <w:tab w:val="left" w:pos="1260"/>
              </w:tabs>
              <w:rPr>
                <w:color w:val="000000"/>
              </w:rPr>
            </w:pPr>
            <w:r>
              <w:rPr>
                <w:color w:val="000000"/>
              </w:rPr>
              <w:t>Attachment 2</w:t>
            </w:r>
          </w:p>
        </w:tc>
        <w:tc>
          <w:tcPr>
            <w:tcW w:w="7745" w:type="dxa"/>
            <w:shd w:val="clear" w:color="auto" w:fill="auto"/>
          </w:tcPr>
          <w:p w:rsidRPr="007F620E" w:rsidR="00625B30" w:rsidP="00625B30" w:rsidRDefault="00625B30" w14:paraId="1D7BBDD2" w14:textId="77777777">
            <w:pPr>
              <w:tabs>
                <w:tab w:val="left" w:pos="1260"/>
              </w:tabs>
              <w:rPr>
                <w:b/>
                <w:color w:val="000000"/>
              </w:rPr>
            </w:pPr>
            <w:r>
              <w:rPr>
                <w:bCs/>
                <w:color w:val="000000"/>
              </w:rPr>
              <w:t>Timesheets for TURN Attorneys/Experts</w:t>
            </w:r>
          </w:p>
        </w:tc>
      </w:tr>
      <w:tr w:rsidRPr="007F620E" w:rsidR="00625B30" w:rsidTr="003457F0" w14:paraId="2D89A3DF" w14:textId="77777777">
        <w:tc>
          <w:tcPr>
            <w:tcW w:w="1615" w:type="dxa"/>
            <w:shd w:val="clear" w:color="auto" w:fill="auto"/>
          </w:tcPr>
          <w:p w:rsidR="00625B30" w:rsidP="00625B30" w:rsidRDefault="00625B30" w14:paraId="0E142030" w14:textId="77777777">
            <w:pPr>
              <w:tabs>
                <w:tab w:val="left" w:pos="1260"/>
              </w:tabs>
              <w:rPr>
                <w:color w:val="000000"/>
              </w:rPr>
            </w:pPr>
            <w:r>
              <w:rPr>
                <w:color w:val="000000"/>
              </w:rPr>
              <w:t>Attachment 3</w:t>
            </w:r>
          </w:p>
        </w:tc>
        <w:tc>
          <w:tcPr>
            <w:tcW w:w="7745" w:type="dxa"/>
            <w:shd w:val="clear" w:color="auto" w:fill="auto"/>
          </w:tcPr>
          <w:p w:rsidRPr="007F620E" w:rsidR="00625B30" w:rsidP="00625B30" w:rsidRDefault="00625B30" w14:paraId="35237D46" w14:textId="77777777">
            <w:pPr>
              <w:tabs>
                <w:tab w:val="left" w:pos="1260"/>
              </w:tabs>
              <w:rPr>
                <w:b/>
                <w:color w:val="000000"/>
              </w:rPr>
            </w:pPr>
            <w:r>
              <w:rPr>
                <w:bCs/>
                <w:color w:val="000000"/>
              </w:rPr>
              <w:t>TURN hours allocated by issue</w:t>
            </w:r>
          </w:p>
        </w:tc>
      </w:tr>
      <w:tr w:rsidRPr="006B5CF2" w:rsidR="00B340EE" w:rsidTr="003457F0" w14:paraId="098C56F1" w14:textId="77777777">
        <w:tc>
          <w:tcPr>
            <w:tcW w:w="1615" w:type="dxa"/>
            <w:shd w:val="clear" w:color="auto" w:fill="auto"/>
          </w:tcPr>
          <w:p w:rsidR="00B340EE" w:rsidP="00B340EE" w:rsidRDefault="00B340EE" w14:paraId="0736C749" w14:textId="2EED982E">
            <w:pPr>
              <w:tabs>
                <w:tab w:val="left" w:pos="1260"/>
              </w:tabs>
              <w:rPr>
                <w:color w:val="000000"/>
              </w:rPr>
            </w:pPr>
            <w:r>
              <w:rPr>
                <w:color w:val="000000"/>
              </w:rPr>
              <w:t>Comment #1</w:t>
            </w:r>
          </w:p>
        </w:tc>
        <w:tc>
          <w:tcPr>
            <w:tcW w:w="7745" w:type="dxa"/>
            <w:shd w:val="clear" w:color="auto" w:fill="auto"/>
          </w:tcPr>
          <w:p w:rsidRPr="006C7167" w:rsidR="00B340EE" w:rsidP="00B340EE" w:rsidRDefault="00B340EE" w14:paraId="545AC057" w14:textId="3D1D36D8">
            <w:pPr>
              <w:tabs>
                <w:tab w:val="left" w:pos="1260"/>
              </w:tabs>
              <w:rPr>
                <w:bCs/>
                <w:color w:val="000000"/>
                <w:u w:val="single"/>
              </w:rPr>
            </w:pPr>
            <w:r w:rsidRPr="006C7167">
              <w:rPr>
                <w:bCs/>
                <w:color w:val="000000"/>
                <w:u w:val="single"/>
              </w:rPr>
              <w:t>2024 Hourly Rate for Thomas Long</w:t>
            </w:r>
            <w:r>
              <w:rPr>
                <w:bCs/>
                <w:color w:val="000000"/>
                <w:u w:val="single"/>
              </w:rPr>
              <w:t xml:space="preserve"> and Robert Finkelstein</w:t>
            </w:r>
          </w:p>
          <w:p w:rsidRPr="003A1078" w:rsidR="00B340EE" w:rsidP="003A1078" w:rsidRDefault="00B340EE" w14:paraId="5B87F344" w14:textId="2886A88E">
            <w:r>
              <w:t xml:space="preserve">For </w:t>
            </w:r>
            <w:r w:rsidR="003737FA">
              <w:t xml:space="preserve">the </w:t>
            </w:r>
            <w:r>
              <w:t xml:space="preserve">work </w:t>
            </w:r>
            <w:r w:rsidR="003737FA">
              <w:t xml:space="preserve">of Mr. Long and Mr. Finkelstein </w:t>
            </w:r>
            <w:r>
              <w:t xml:space="preserve">in 2024, TURN requests that the Commission adjust </w:t>
            </w:r>
            <w:r w:rsidR="003737FA">
              <w:t>their</w:t>
            </w:r>
            <w:r>
              <w:t xml:space="preserve"> 2023 rate</w:t>
            </w:r>
            <w:r w:rsidR="003737FA">
              <w:t xml:space="preserve"> of $840</w:t>
            </w:r>
            <w:r w:rsidRPr="009C434B" w:rsidR="009C434B">
              <w:t>.00</w:t>
            </w:r>
            <w:r>
              <w:t xml:space="preserve"> by applying the annual escalation adjustment authorized by Resolution ALJ-393, which is 4.1%.  The resulting rate for 2024 is $875</w:t>
            </w:r>
            <w:r w:rsidRPr="009C434B" w:rsidR="009C434B">
              <w:t>.00</w:t>
            </w:r>
            <w:r>
              <w:t>.</w:t>
            </w:r>
          </w:p>
        </w:tc>
      </w:tr>
      <w:tr w:rsidRPr="006B5CF2" w:rsidR="00B340EE" w:rsidTr="003457F0" w14:paraId="244F5BEA" w14:textId="77777777">
        <w:tc>
          <w:tcPr>
            <w:tcW w:w="1615" w:type="dxa"/>
            <w:shd w:val="clear" w:color="auto" w:fill="auto"/>
          </w:tcPr>
          <w:p w:rsidR="00B340EE" w:rsidP="00B340EE" w:rsidRDefault="00B340EE" w14:paraId="1DB55FE4" w14:textId="2C5D7AFF">
            <w:pPr>
              <w:tabs>
                <w:tab w:val="left" w:pos="1260"/>
              </w:tabs>
              <w:rPr>
                <w:color w:val="000000"/>
              </w:rPr>
            </w:pPr>
            <w:r>
              <w:rPr>
                <w:color w:val="000000"/>
              </w:rPr>
              <w:t>Comment #</w:t>
            </w:r>
            <w:r w:rsidR="003737FA">
              <w:rPr>
                <w:color w:val="000000"/>
              </w:rPr>
              <w:t>2</w:t>
            </w:r>
          </w:p>
        </w:tc>
        <w:tc>
          <w:tcPr>
            <w:tcW w:w="7745" w:type="dxa"/>
            <w:shd w:val="clear" w:color="auto" w:fill="auto"/>
          </w:tcPr>
          <w:p w:rsidR="00B340EE" w:rsidP="00B340EE" w:rsidRDefault="00B340EE" w14:paraId="0ED0FA27" w14:textId="24CDD7D0">
            <w:pPr>
              <w:tabs>
                <w:tab w:val="left" w:pos="1260"/>
              </w:tabs>
              <w:rPr>
                <w:bCs/>
                <w:color w:val="000000"/>
                <w:u w:val="single"/>
              </w:rPr>
            </w:pPr>
            <w:r w:rsidRPr="006B5CF2">
              <w:rPr>
                <w:bCs/>
                <w:color w:val="000000"/>
                <w:u w:val="single"/>
              </w:rPr>
              <w:t xml:space="preserve">2023 Hourly Rate for </w:t>
            </w:r>
            <w:r w:rsidR="003737FA">
              <w:rPr>
                <w:bCs/>
                <w:color w:val="000000"/>
                <w:u w:val="single"/>
              </w:rPr>
              <w:t>Jennifer Dowdell</w:t>
            </w:r>
          </w:p>
          <w:p w:rsidR="00455120" w:rsidP="00455120" w:rsidRDefault="00455120" w14:paraId="27EF1871" w14:textId="79AB8A15">
            <w:r w:rsidRPr="00F552B1">
              <w:t>TURN requests that the Commission adopt a 2023 hourly rate of $</w:t>
            </w:r>
            <w:r w:rsidRPr="00F552B1" w:rsidR="00B73962">
              <w:t>455</w:t>
            </w:r>
            <w:r w:rsidRPr="009C434B" w:rsidR="009C434B">
              <w:t>.00</w:t>
            </w:r>
            <w:r w:rsidRPr="00F552B1">
              <w:t xml:space="preserve"> for TURN </w:t>
            </w:r>
            <w:r w:rsidRPr="00F552B1" w:rsidR="00B73962">
              <w:t>Senior Policy Expert Jennifer Dowdell</w:t>
            </w:r>
            <w:r w:rsidRPr="00F552B1">
              <w:t xml:space="preserve">.  </w:t>
            </w:r>
            <w:r w:rsidRPr="00F552B1" w:rsidR="00EB1A5E">
              <w:t xml:space="preserve">TURN made this same request in its compensation request in A.21-06-021 (amended filing on 2/15/24). </w:t>
            </w:r>
            <w:r w:rsidRPr="00F552B1">
              <w:t>This rate is equal to the rate authorized by the Commission in D</w:t>
            </w:r>
            <w:r w:rsidR="009C434B">
              <w:t> </w:t>
            </w:r>
            <w:r w:rsidRPr="00F552B1" w:rsidR="00F552B1">
              <w:rPr>
                <w:color w:val="000000"/>
              </w:rPr>
              <w:t xml:space="preserve">23-04-022 for her </w:t>
            </w:r>
            <w:r w:rsidRPr="00F552B1">
              <w:t>work in 2022, $</w:t>
            </w:r>
            <w:r w:rsidRPr="00F552B1" w:rsidR="00F552B1">
              <w:t>415</w:t>
            </w:r>
            <w:r w:rsidRPr="009C434B" w:rsidR="009C434B">
              <w:t>.00</w:t>
            </w:r>
            <w:r w:rsidRPr="00F552B1">
              <w:t>, adjusted by both the annual</w:t>
            </w:r>
            <w:r>
              <w:t xml:space="preserve"> escalation methodology adopted in Resolution (Res.) ALJ-393 and the first 5% step increase for </w:t>
            </w:r>
            <w:r w:rsidR="00F552B1">
              <w:t xml:space="preserve">Ms. Dowdell </w:t>
            </w:r>
            <w:r>
              <w:t xml:space="preserve">in the </w:t>
            </w:r>
            <w:r w:rsidRPr="00954B40" w:rsidR="00954B40">
              <w:t xml:space="preserve">Expert – Public Policy Analyst, </w:t>
            </w:r>
            <w:r w:rsidRPr="00954B40">
              <w:t xml:space="preserve">Level </w:t>
            </w:r>
            <w:r w:rsidR="00D1190A">
              <w:t>I</w:t>
            </w:r>
            <w:r w:rsidRPr="00954B40">
              <w:t>V e</w:t>
            </w:r>
            <w:r>
              <w:t>xperience tier.</w:t>
            </w:r>
          </w:p>
          <w:p w:rsidRPr="007D492F" w:rsidR="00455120" w:rsidP="00455120" w:rsidRDefault="00455120" w14:paraId="24B00434" w14:textId="299ECB2F">
            <w:r w:rsidRPr="007D492F">
              <w:t>Th</w:t>
            </w:r>
            <w:r>
              <w:t>e</w:t>
            </w:r>
            <w:r w:rsidRPr="007D492F">
              <w:t xml:space="preserve"> annual escalation methodology</w:t>
            </w:r>
            <w:r>
              <w:t xml:space="preserve"> adopted in Res. ALJ-393</w:t>
            </w:r>
            <w:r w:rsidRPr="007D492F">
              <w:t xml:space="preserve"> is based on the annual percentage change in the Bureau of Labor Statistics Employment Cost Index, Table</w:t>
            </w:r>
            <w:r w:rsidR="009C434B">
              <w:t> </w:t>
            </w:r>
            <w:r w:rsidRPr="007D492F">
              <w:t>5, for the Occupational Group “Management, Professional, and Related excluding Incentive Paid Occupations.”  (Res.</w:t>
            </w:r>
            <w:r w:rsidR="009C434B">
              <w:t> </w:t>
            </w:r>
            <w:r w:rsidRPr="007D492F">
              <w:t>ALJ-393, p.</w:t>
            </w:r>
            <w:r w:rsidR="009C434B">
              <w:t> </w:t>
            </w:r>
            <w:r w:rsidRPr="007D492F">
              <w:t>4; Intervenor Compensation Market Rate Study, Final Report, p.</w:t>
            </w:r>
            <w:r w:rsidR="009C434B">
              <w:t> </w:t>
            </w:r>
            <w:r w:rsidRPr="007D492F">
              <w:t>8).  The percent change for this occupational group for the 12</w:t>
            </w:r>
            <w:r w:rsidR="009C434B">
              <w:noBreakHyphen/>
            </w:r>
            <w:r w:rsidRPr="007D492F">
              <w:t>months ended December 20</w:t>
            </w:r>
            <w:r>
              <w:t>22</w:t>
            </w:r>
            <w:r w:rsidRPr="007D492F">
              <w:t xml:space="preserve"> is </w:t>
            </w:r>
            <w:r w:rsidRPr="00245113">
              <w:t>4.5%.</w:t>
            </w:r>
            <w:r w:rsidRPr="007D492F">
              <w:t xml:space="preserve">  </w:t>
            </w:r>
            <w:r w:rsidRPr="007D492F">
              <w:rPr>
                <w:i/>
                <w:iCs/>
              </w:rPr>
              <w:t>See</w:t>
            </w:r>
            <w:r w:rsidR="003457F0">
              <w:rPr>
                <w:i/>
                <w:iCs/>
              </w:rPr>
              <w:t>:</w:t>
            </w:r>
            <w:r w:rsidRPr="007D492F">
              <w:rPr>
                <w:i/>
                <w:iCs/>
              </w:rPr>
              <w:t xml:space="preserve"> </w:t>
            </w:r>
            <w:r w:rsidR="003457F0">
              <w:rPr>
                <w:i/>
                <w:iCs/>
              </w:rPr>
              <w:t xml:space="preserve"> </w:t>
            </w:r>
            <w:hyperlink w:history="1" r:id="rId7">
              <w:r w:rsidRPr="0055272E" w:rsidR="002B7E1E">
                <w:rPr>
                  <w:rStyle w:val="Hyperlink"/>
                  <w:rFonts w:eastAsiaTheme="majorEastAsia"/>
                  <w:i/>
                  <w:iCs/>
                </w:rPr>
                <w:t>https://www.bls.gov/news.release/eci.t05.htm</w:t>
              </w:r>
            </w:hyperlink>
            <w:r w:rsidRPr="007D492F">
              <w:t>.</w:t>
            </w:r>
            <w:r>
              <w:t xml:space="preserve">  </w:t>
            </w:r>
          </w:p>
          <w:p w:rsidRPr="005C4623" w:rsidR="00455120" w:rsidP="00455120" w:rsidRDefault="00455120" w14:paraId="3EF6B1CE" w14:textId="46E4C4D5">
            <w:r>
              <w:t xml:space="preserve">Res. ALJ-393 permits intervenor representatives to additionally claim up to two 5% annual “step increases” within each labor role experience tier, </w:t>
            </w:r>
            <w:proofErr w:type="gramStart"/>
            <w:r>
              <w:t>as long as</w:t>
            </w:r>
            <w:proofErr w:type="gramEnd"/>
            <w:r>
              <w:t xml:space="preserve"> their final requested rate does not exceed the maximum approved rate for that experience </w:t>
            </w:r>
            <w:r w:rsidRPr="005C4623">
              <w:t>level. (Res. ALJ-393, p.</w:t>
            </w:r>
            <w:r w:rsidR="009C434B">
              <w:t> </w:t>
            </w:r>
            <w:r w:rsidRPr="005C4623">
              <w:t xml:space="preserve">5).  The maximum approved rate for an </w:t>
            </w:r>
            <w:r w:rsidRPr="005C4623" w:rsidR="0093500B">
              <w:t xml:space="preserve">Expert – Public Policy Analyst, Level </w:t>
            </w:r>
            <w:r w:rsidRPr="005C4623" w:rsidR="00927058">
              <w:t>IV</w:t>
            </w:r>
            <w:r w:rsidRPr="005C4623" w:rsidR="0093500B">
              <w:t xml:space="preserve">, </w:t>
            </w:r>
            <w:r w:rsidRPr="005C4623">
              <w:t>is $</w:t>
            </w:r>
            <w:r w:rsidRPr="005C4623" w:rsidR="00927058">
              <w:t>494</w:t>
            </w:r>
            <w:r w:rsidRPr="009C434B" w:rsidR="009C434B">
              <w:t>.00</w:t>
            </w:r>
            <w:r w:rsidRPr="005C4623">
              <w:t xml:space="preserve"> for work conducted in 2021, which escalates to $</w:t>
            </w:r>
            <w:r w:rsidRPr="005C4623" w:rsidR="00927058">
              <w:t>533</w:t>
            </w:r>
            <w:r w:rsidRPr="005C4623">
              <w:t xml:space="preserve"> in 2023 by applying the 3.3% 2022 COLA and then the 4.5% 2023 COLA.  </w:t>
            </w:r>
          </w:p>
          <w:p w:rsidRPr="006B5CF2" w:rsidR="00B340EE" w:rsidP="009C434B" w:rsidRDefault="00455120" w14:paraId="02196BF6" w14:textId="6E57DFE9">
            <w:pPr>
              <w:tabs>
                <w:tab w:val="left" w:pos="1260"/>
              </w:tabs>
              <w:spacing w:after="120"/>
              <w:rPr>
                <w:bCs/>
                <w:color w:val="000000"/>
                <w:u w:val="single"/>
              </w:rPr>
            </w:pPr>
            <w:r w:rsidRPr="005C4623">
              <w:t xml:space="preserve">The requested 2023 rate for Ms. </w:t>
            </w:r>
            <w:r w:rsidRPr="005C4623" w:rsidR="00927058">
              <w:t xml:space="preserve">Dowdell </w:t>
            </w:r>
            <w:r w:rsidRPr="005C4623">
              <w:t>of $</w:t>
            </w:r>
            <w:r w:rsidRPr="005C4623" w:rsidR="005C4623">
              <w:t>455</w:t>
            </w:r>
            <w:r w:rsidRPr="009C434B" w:rsidR="009C434B">
              <w:t>.00</w:t>
            </w:r>
            <w:r w:rsidRPr="005C4623">
              <w:t xml:space="preserve"> is well below the maximum 2023 rate for an</w:t>
            </w:r>
            <w:r w:rsidRPr="005C4623" w:rsidR="005C4623">
              <w:t xml:space="preserve"> Expert – Public Policy</w:t>
            </w:r>
            <w:r w:rsidR="005C4623">
              <w:t xml:space="preserve"> Analyst, Level</w:t>
            </w:r>
            <w:r w:rsidR="00734676">
              <w:t> </w:t>
            </w:r>
            <w:r w:rsidR="005C4623">
              <w:t>IV</w:t>
            </w:r>
            <w:r>
              <w:t>.</w:t>
            </w:r>
          </w:p>
        </w:tc>
      </w:tr>
    </w:tbl>
    <w:p w:rsidR="00625B30" w:rsidP="00625B30" w:rsidRDefault="00625B30" w14:paraId="24C9F141" w14:textId="77777777"/>
    <w:p w:rsidRPr="00625B30" w:rsidR="00625B30" w:rsidP="00625B30" w:rsidRDefault="00625B30" w14:paraId="75E64BE4" w14:textId="4190766B">
      <w:pPr>
        <w:keepNext/>
        <w:numPr>
          <w:ilvl w:val="0"/>
          <w:numId w:val="2"/>
        </w:numPr>
        <w:spacing w:before="240" w:after="240"/>
        <w:rPr>
          <w:b/>
          <w:color w:val="000000"/>
        </w:rPr>
      </w:pPr>
      <w:r w:rsidRPr="007F620E">
        <w:rPr>
          <w:b/>
          <w:color w:val="000000"/>
        </w:rPr>
        <w:lastRenderedPageBreak/>
        <w:t xml:space="preserve">CPUC </w:t>
      </w:r>
      <w:r>
        <w:rPr>
          <w:b/>
          <w:color w:val="000000"/>
        </w:rPr>
        <w:t xml:space="preserve">Comments, </w:t>
      </w:r>
      <w:r w:rsidRPr="007F620E">
        <w:rPr>
          <w:b/>
          <w:color w:val="000000"/>
        </w:rPr>
        <w:t>Disallowances</w:t>
      </w:r>
      <w:r>
        <w:rPr>
          <w:b/>
          <w:color w:val="000000"/>
        </w:rPr>
        <w:t>,</w:t>
      </w:r>
      <w:r w:rsidRPr="007F620E">
        <w:rPr>
          <w:b/>
          <w:color w:val="000000"/>
        </w:rPr>
        <w:t xml:space="preserve"> and Adjustments</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2425"/>
        <w:gridCol w:w="6935"/>
      </w:tblGrid>
      <w:tr w:rsidRPr="007F620E" w:rsidR="00625B30" w:rsidTr="00734676" w14:paraId="59CFEA0C" w14:textId="77777777">
        <w:trPr>
          <w:tblHeader/>
        </w:trPr>
        <w:tc>
          <w:tcPr>
            <w:tcW w:w="2425" w:type="dxa"/>
            <w:shd w:val="pct12" w:color="auto" w:fill="auto"/>
          </w:tcPr>
          <w:p w:rsidRPr="007F620E" w:rsidR="00625B30" w:rsidP="0036244B" w:rsidRDefault="00625B30" w14:paraId="6DD51BEB" w14:textId="77777777">
            <w:pPr>
              <w:tabs>
                <w:tab w:val="left" w:pos="1440"/>
              </w:tabs>
              <w:jc w:val="center"/>
              <w:rPr>
                <w:b/>
                <w:color w:val="000000"/>
              </w:rPr>
            </w:pPr>
            <w:r w:rsidRPr="007F620E">
              <w:rPr>
                <w:b/>
                <w:color w:val="000000"/>
              </w:rPr>
              <w:t>Item</w:t>
            </w:r>
          </w:p>
        </w:tc>
        <w:tc>
          <w:tcPr>
            <w:tcW w:w="6935" w:type="dxa"/>
            <w:shd w:val="pct12" w:color="auto" w:fill="auto"/>
          </w:tcPr>
          <w:p w:rsidRPr="007F620E" w:rsidR="00625B30" w:rsidP="0036244B" w:rsidRDefault="00625B30" w14:paraId="239D04DA" w14:textId="77777777">
            <w:pPr>
              <w:tabs>
                <w:tab w:val="left" w:pos="1440"/>
              </w:tabs>
              <w:jc w:val="center"/>
              <w:rPr>
                <w:b/>
                <w:color w:val="000000"/>
              </w:rPr>
            </w:pPr>
            <w:r w:rsidRPr="007F620E">
              <w:rPr>
                <w:b/>
                <w:color w:val="000000"/>
              </w:rPr>
              <w:t>Reason</w:t>
            </w:r>
          </w:p>
        </w:tc>
      </w:tr>
      <w:tr w:rsidRPr="007F620E" w:rsidR="00625B30" w:rsidTr="00734676" w14:paraId="2C987839" w14:textId="77777777">
        <w:tc>
          <w:tcPr>
            <w:tcW w:w="2425" w:type="dxa"/>
            <w:shd w:val="clear" w:color="auto" w:fill="auto"/>
          </w:tcPr>
          <w:p w:rsidRPr="007F620E" w:rsidR="00625B30" w:rsidP="0036244B" w:rsidRDefault="00D060D7" w14:paraId="1852B9CF" w14:textId="68DB37FC">
            <w:pPr>
              <w:tabs>
                <w:tab w:val="left" w:pos="1440"/>
              </w:tabs>
              <w:rPr>
                <w:color w:val="000000"/>
              </w:rPr>
            </w:pPr>
            <w:r>
              <w:rPr>
                <w:color w:val="000000"/>
              </w:rPr>
              <w:t xml:space="preserve">[1] </w:t>
            </w:r>
            <w:r w:rsidR="008E753B">
              <w:rPr>
                <w:color w:val="000000"/>
              </w:rPr>
              <w:t>Thomas</w:t>
            </w:r>
            <w:r w:rsidR="009C434B">
              <w:rPr>
                <w:color w:val="000000"/>
              </w:rPr>
              <w:t> </w:t>
            </w:r>
            <w:r w:rsidR="008E753B">
              <w:rPr>
                <w:color w:val="000000"/>
              </w:rPr>
              <w:t xml:space="preserve">Long (Long) </w:t>
            </w:r>
            <w:r w:rsidR="00A7520A">
              <w:rPr>
                <w:color w:val="000000"/>
              </w:rPr>
              <w:t xml:space="preserve">2023 and </w:t>
            </w:r>
            <w:r w:rsidR="008E753B">
              <w:rPr>
                <w:color w:val="000000"/>
              </w:rPr>
              <w:t>2024 Hourly Rate</w:t>
            </w:r>
          </w:p>
        </w:tc>
        <w:tc>
          <w:tcPr>
            <w:tcW w:w="6935" w:type="dxa"/>
            <w:shd w:val="clear" w:color="auto" w:fill="auto"/>
          </w:tcPr>
          <w:p w:rsidRPr="002165FB" w:rsidR="002165FB" w:rsidP="002165FB" w:rsidRDefault="002165FB" w14:paraId="2836F9EA" w14:textId="2EFFD777">
            <w:pPr>
              <w:tabs>
                <w:tab w:val="left" w:pos="1440"/>
              </w:tabs>
              <w:rPr>
                <w:color w:val="000000"/>
              </w:rPr>
            </w:pPr>
            <w:r w:rsidRPr="002165FB">
              <w:rPr>
                <w:color w:val="000000"/>
              </w:rPr>
              <w:t>D.23-05-032 approved a 2023 hourly rate of $840</w:t>
            </w:r>
            <w:r w:rsidRPr="009C434B" w:rsidR="009C434B">
              <w:rPr>
                <w:color w:val="000000"/>
              </w:rPr>
              <w:t>.00</w:t>
            </w:r>
            <w:r w:rsidRPr="002165FB">
              <w:rPr>
                <w:color w:val="000000"/>
              </w:rPr>
              <w:t xml:space="preserve"> for Long. However, this exceeds the maximum hourly rate for the Legal – Legal Director – Level</w:t>
            </w:r>
            <w:r w:rsidR="009C434B">
              <w:rPr>
                <w:color w:val="000000"/>
              </w:rPr>
              <w:t> </w:t>
            </w:r>
            <w:r w:rsidRPr="002165FB">
              <w:rPr>
                <w:color w:val="000000"/>
              </w:rPr>
              <w:t>IV classification for 2023 ($518.55</w:t>
            </w:r>
            <w:r w:rsidR="00734676">
              <w:rPr>
                <w:color w:val="000000"/>
              </w:rPr>
              <w:noBreakHyphen/>
            </w:r>
            <w:r w:rsidR="00734676">
              <w:rPr>
                <w:color w:val="000000"/>
              </w:rPr>
              <w:noBreakHyphen/>
            </w:r>
            <w:r w:rsidRPr="002165FB">
              <w:rPr>
                <w:color w:val="000000"/>
              </w:rPr>
              <w:t>$832.67). Therefore, to stay within the approved rate range, we approve a 2023 hourly rate of $830</w:t>
            </w:r>
            <w:r w:rsidRPr="009C434B" w:rsidR="009C434B">
              <w:rPr>
                <w:color w:val="000000"/>
              </w:rPr>
              <w:t>.00</w:t>
            </w:r>
            <w:r w:rsidRPr="002165FB">
              <w:rPr>
                <w:color w:val="000000"/>
              </w:rPr>
              <w:t xml:space="preserve"> for Long moving forward.</w:t>
            </w:r>
          </w:p>
          <w:p w:rsidRPr="002165FB" w:rsidR="002165FB" w:rsidP="002165FB" w:rsidRDefault="002165FB" w14:paraId="04B24327" w14:textId="387D30D1">
            <w:pPr>
              <w:tabs>
                <w:tab w:val="left" w:pos="1440"/>
              </w:tabs>
              <w:rPr>
                <w:color w:val="000000"/>
              </w:rPr>
            </w:pPr>
            <w:r w:rsidRPr="002165FB">
              <w:rPr>
                <w:color w:val="000000"/>
              </w:rPr>
              <w:t>We apply the 2024 annual escalation factor of 4.07%</w:t>
            </w:r>
            <w:r w:rsidRPr="00846053" w:rsidR="00846053">
              <w:rPr>
                <w:color w:val="000000"/>
              </w:rPr>
              <w:t> per Resolution ALJ</w:t>
            </w:r>
            <w:r w:rsidR="009C434B">
              <w:rPr>
                <w:color w:val="000000"/>
              </w:rPr>
              <w:noBreakHyphen/>
            </w:r>
            <w:r w:rsidRPr="00846053" w:rsidR="00846053">
              <w:rPr>
                <w:color w:val="000000"/>
              </w:rPr>
              <w:t>393</w:t>
            </w:r>
            <w:r w:rsidRPr="002165FB">
              <w:rPr>
                <w:color w:val="000000"/>
              </w:rPr>
              <w:t xml:space="preserve"> round to the nearest </w:t>
            </w:r>
            <w:r w:rsidRPr="002165FB" w:rsidR="003A1078">
              <w:rPr>
                <w:color w:val="000000"/>
              </w:rPr>
              <w:t>$5</w:t>
            </w:r>
            <w:r w:rsidRPr="009C434B" w:rsidR="009C434B">
              <w:rPr>
                <w:color w:val="000000"/>
              </w:rPr>
              <w:t>.00</w:t>
            </w:r>
            <w:r w:rsidRPr="002165FB" w:rsidR="003A1078">
              <w:rPr>
                <w:color w:val="000000"/>
              </w:rPr>
              <w:t xml:space="preserve"> and</w:t>
            </w:r>
            <w:r w:rsidRPr="002165FB">
              <w:rPr>
                <w:color w:val="000000"/>
              </w:rPr>
              <w:t xml:space="preserve"> adjust the rate to stay within the Legal – Legal Director – Legal IV classification rate range ($545.91-$860.03)</w:t>
            </w:r>
            <w:r w:rsidR="00EB61DA">
              <w:rPr>
                <w:color w:val="000000"/>
              </w:rPr>
              <w:t>. Therefore, we</w:t>
            </w:r>
            <w:r w:rsidRPr="002165FB">
              <w:rPr>
                <w:color w:val="000000"/>
              </w:rPr>
              <w:t xml:space="preserve"> approv</w:t>
            </w:r>
            <w:r w:rsidR="00EB61DA">
              <w:rPr>
                <w:color w:val="000000"/>
              </w:rPr>
              <w:t>e</w:t>
            </w:r>
            <w:r w:rsidRPr="002165FB">
              <w:rPr>
                <w:color w:val="000000"/>
              </w:rPr>
              <w:t xml:space="preserve"> a 2024 hourly rate of $860</w:t>
            </w:r>
            <w:r w:rsidRPr="009C434B" w:rsidR="009C434B">
              <w:rPr>
                <w:color w:val="000000"/>
              </w:rPr>
              <w:t>.00</w:t>
            </w:r>
            <w:r w:rsidRPr="002165FB">
              <w:rPr>
                <w:color w:val="000000"/>
              </w:rPr>
              <w:t xml:space="preserve"> for Long.</w:t>
            </w:r>
          </w:p>
          <w:p w:rsidRPr="007F620E" w:rsidR="002165FB" w:rsidP="00734676" w:rsidRDefault="002165FB" w14:paraId="38AEFFCF" w14:textId="3FAB2FE1">
            <w:pPr>
              <w:tabs>
                <w:tab w:val="left" w:pos="1440"/>
              </w:tabs>
              <w:spacing w:after="120"/>
              <w:rPr>
                <w:color w:val="000000"/>
              </w:rPr>
            </w:pPr>
            <w:r w:rsidRPr="002165FB">
              <w:rPr>
                <w:color w:val="000000"/>
              </w:rPr>
              <w:t>Intervenor Compensation Claim Preparation Rates are compensated at half of preparer’s normal hourly rate.</w:t>
            </w:r>
          </w:p>
        </w:tc>
      </w:tr>
      <w:tr w:rsidRPr="007F620E" w:rsidR="00093776" w:rsidTr="00734676" w14:paraId="50F08B3B" w14:textId="77777777">
        <w:tc>
          <w:tcPr>
            <w:tcW w:w="2425" w:type="dxa"/>
            <w:shd w:val="clear" w:color="auto" w:fill="auto"/>
          </w:tcPr>
          <w:p w:rsidRPr="007F620E" w:rsidR="00093776" w:rsidP="00093776" w:rsidRDefault="00D060D7" w14:paraId="7048FC3E" w14:textId="035EE857">
            <w:pPr>
              <w:tabs>
                <w:tab w:val="left" w:pos="1440"/>
              </w:tabs>
              <w:rPr>
                <w:color w:val="000000"/>
              </w:rPr>
            </w:pPr>
            <w:r>
              <w:rPr>
                <w:color w:val="000000"/>
              </w:rPr>
              <w:t>[2]</w:t>
            </w:r>
            <w:r w:rsidR="00734676">
              <w:rPr>
                <w:color w:val="000000"/>
              </w:rPr>
              <w:t xml:space="preserve"> </w:t>
            </w:r>
            <w:r w:rsidR="00093776">
              <w:rPr>
                <w:color w:val="000000"/>
              </w:rPr>
              <w:t>Robert</w:t>
            </w:r>
            <w:r w:rsidR="009C434B">
              <w:rPr>
                <w:color w:val="000000"/>
              </w:rPr>
              <w:t> </w:t>
            </w:r>
            <w:r w:rsidR="00093776">
              <w:rPr>
                <w:color w:val="000000"/>
              </w:rPr>
              <w:t>Finkelstein (Finkelstein) 2024 hourly rate</w:t>
            </w:r>
          </w:p>
        </w:tc>
        <w:tc>
          <w:tcPr>
            <w:tcW w:w="6935" w:type="dxa"/>
            <w:shd w:val="clear" w:color="auto" w:fill="auto"/>
          </w:tcPr>
          <w:p w:rsidR="003C6287" w:rsidP="003C6287" w:rsidRDefault="00093776" w14:paraId="1BB66F6D" w14:textId="3305194C">
            <w:pPr>
              <w:tabs>
                <w:tab w:val="left" w:pos="1440"/>
              </w:tabs>
              <w:spacing w:before="120"/>
              <w:rPr>
                <w:color w:val="000000"/>
              </w:rPr>
            </w:pPr>
            <w:r w:rsidRPr="003F7555">
              <w:rPr>
                <w:color w:val="000000"/>
              </w:rPr>
              <w:t>We adopt the hourly rate TURN reques</w:t>
            </w:r>
            <w:r>
              <w:rPr>
                <w:color w:val="000000"/>
              </w:rPr>
              <w:t>ts</w:t>
            </w:r>
            <w:r w:rsidRPr="003F7555">
              <w:rPr>
                <w:color w:val="000000"/>
              </w:rPr>
              <w:t xml:space="preserve"> of </w:t>
            </w:r>
            <w:r>
              <w:rPr>
                <w:color w:val="000000"/>
              </w:rPr>
              <w:t>$875</w:t>
            </w:r>
            <w:r w:rsidRPr="009C434B" w:rsidR="009C434B">
              <w:rPr>
                <w:color w:val="000000"/>
              </w:rPr>
              <w:t>.00</w:t>
            </w:r>
            <w:r>
              <w:rPr>
                <w:color w:val="000000"/>
              </w:rPr>
              <w:t xml:space="preserve"> for </w:t>
            </w:r>
            <w:r w:rsidR="00512F4D">
              <w:rPr>
                <w:color w:val="000000"/>
              </w:rPr>
              <w:t>Finkelstein</w:t>
            </w:r>
            <w:r>
              <w:rPr>
                <w:color w:val="000000"/>
              </w:rPr>
              <w:t>.</w:t>
            </w:r>
          </w:p>
          <w:p w:rsidRPr="007F620E" w:rsidR="00093776" w:rsidP="00734676" w:rsidRDefault="00093776" w14:paraId="3B01D90D" w14:textId="4D716594">
            <w:pPr>
              <w:tabs>
                <w:tab w:val="left" w:pos="1440"/>
              </w:tabs>
              <w:spacing w:before="120" w:after="120"/>
              <w:rPr>
                <w:color w:val="000000"/>
              </w:rPr>
            </w:pPr>
            <w:r w:rsidRPr="00DB17A6">
              <w:rPr>
                <w:color w:val="000000"/>
              </w:rPr>
              <w:t xml:space="preserve">D.23-05-032 </w:t>
            </w:r>
            <w:r w:rsidRPr="00987A73">
              <w:rPr>
                <w:color w:val="000000"/>
              </w:rPr>
              <w:t>authorized a 2023 hourly rate of $</w:t>
            </w:r>
            <w:r>
              <w:rPr>
                <w:color w:val="000000"/>
              </w:rPr>
              <w:t>840</w:t>
            </w:r>
            <w:r w:rsidRPr="009C434B" w:rsidR="009C434B">
              <w:rPr>
                <w:color w:val="000000"/>
              </w:rPr>
              <w:t>.00</w:t>
            </w:r>
            <w:r w:rsidRPr="00987A73">
              <w:rPr>
                <w:color w:val="000000"/>
              </w:rPr>
              <w:t xml:space="preserve"> for </w:t>
            </w:r>
            <w:r w:rsidR="007302C2">
              <w:rPr>
                <w:color w:val="000000"/>
              </w:rPr>
              <w:t>Finkelstein</w:t>
            </w:r>
            <w:r w:rsidRPr="00987A73">
              <w:rPr>
                <w:color w:val="000000"/>
              </w:rPr>
              <w:t xml:space="preserve">. We </w:t>
            </w:r>
            <w:r w:rsidR="00265DC2">
              <w:rPr>
                <w:color w:val="000000"/>
              </w:rPr>
              <w:t>appl</w:t>
            </w:r>
            <w:r w:rsidR="00BF7BC3">
              <w:rPr>
                <w:color w:val="000000"/>
              </w:rPr>
              <w:t>ied</w:t>
            </w:r>
            <w:r w:rsidRPr="00987A73">
              <w:rPr>
                <w:color w:val="000000"/>
              </w:rPr>
              <w:t xml:space="preserve"> the 2024 annual escalation</w:t>
            </w:r>
            <w:r>
              <w:rPr>
                <w:color w:val="000000"/>
              </w:rPr>
              <w:t xml:space="preserve"> rate of 4.07% per Resolution ALJ-393 and round</w:t>
            </w:r>
            <w:r w:rsidR="00BF7BC3">
              <w:rPr>
                <w:color w:val="000000"/>
              </w:rPr>
              <w:t>ed</w:t>
            </w:r>
            <w:r>
              <w:rPr>
                <w:color w:val="000000"/>
              </w:rPr>
              <w:t xml:space="preserve"> to the nearest $5</w:t>
            </w:r>
            <w:r w:rsidRPr="009C434B" w:rsidR="009C434B">
              <w:rPr>
                <w:color w:val="000000"/>
              </w:rPr>
              <w:t>.00</w:t>
            </w:r>
            <w:r>
              <w:rPr>
                <w:color w:val="000000"/>
              </w:rPr>
              <w:t>.</w:t>
            </w:r>
          </w:p>
        </w:tc>
      </w:tr>
      <w:tr w:rsidRPr="007F620E" w:rsidR="00093776" w:rsidTr="00734676" w14:paraId="41ADDF2D" w14:textId="77777777">
        <w:tc>
          <w:tcPr>
            <w:tcW w:w="2425" w:type="dxa"/>
            <w:shd w:val="clear" w:color="auto" w:fill="auto"/>
          </w:tcPr>
          <w:p w:rsidR="00093776" w:rsidP="00093776" w:rsidRDefault="00D060D7" w14:paraId="27AFB20B" w14:textId="1E5FA3B3">
            <w:pPr>
              <w:tabs>
                <w:tab w:val="left" w:pos="1440"/>
              </w:tabs>
              <w:rPr>
                <w:color w:val="000000"/>
              </w:rPr>
            </w:pPr>
            <w:r>
              <w:rPr>
                <w:color w:val="000000"/>
              </w:rPr>
              <w:t xml:space="preserve">[3] </w:t>
            </w:r>
            <w:r w:rsidR="00093776">
              <w:rPr>
                <w:color w:val="000000"/>
              </w:rPr>
              <w:t>Jennifer</w:t>
            </w:r>
            <w:r w:rsidR="009C434B">
              <w:rPr>
                <w:color w:val="000000"/>
              </w:rPr>
              <w:t> </w:t>
            </w:r>
            <w:r w:rsidR="00093776">
              <w:rPr>
                <w:color w:val="000000"/>
              </w:rPr>
              <w:t>Dowdell (Dowdell) 2023 Hourly Rate</w:t>
            </w:r>
          </w:p>
        </w:tc>
        <w:tc>
          <w:tcPr>
            <w:tcW w:w="6935" w:type="dxa"/>
            <w:shd w:val="clear" w:color="auto" w:fill="auto"/>
          </w:tcPr>
          <w:p w:rsidR="00F94DC2" w:rsidP="00F94DC2" w:rsidRDefault="00F94DC2" w14:paraId="16774DF3" w14:textId="29DD401C">
            <w:pPr>
              <w:tabs>
                <w:tab w:val="left" w:pos="1440"/>
              </w:tabs>
              <w:spacing w:before="120"/>
              <w:rPr>
                <w:color w:val="000000"/>
              </w:rPr>
            </w:pPr>
            <w:r w:rsidRPr="003F7555">
              <w:rPr>
                <w:color w:val="000000"/>
              </w:rPr>
              <w:t>We adopt the hourly rate TURN reques</w:t>
            </w:r>
            <w:r>
              <w:rPr>
                <w:color w:val="000000"/>
              </w:rPr>
              <w:t>ts</w:t>
            </w:r>
            <w:r w:rsidRPr="003F7555">
              <w:rPr>
                <w:color w:val="000000"/>
              </w:rPr>
              <w:t xml:space="preserve"> of </w:t>
            </w:r>
            <w:r>
              <w:rPr>
                <w:color w:val="000000"/>
              </w:rPr>
              <w:t>$</w:t>
            </w:r>
            <w:r w:rsidR="00265DC2">
              <w:rPr>
                <w:color w:val="000000"/>
              </w:rPr>
              <w:t>455</w:t>
            </w:r>
            <w:r w:rsidRPr="009C434B" w:rsidR="009C434B">
              <w:rPr>
                <w:color w:val="000000"/>
              </w:rPr>
              <w:t>.00</w:t>
            </w:r>
            <w:r>
              <w:rPr>
                <w:color w:val="000000"/>
              </w:rPr>
              <w:t xml:space="preserve"> for </w:t>
            </w:r>
            <w:r w:rsidR="00265DC2">
              <w:rPr>
                <w:color w:val="000000"/>
              </w:rPr>
              <w:t>Dowdell</w:t>
            </w:r>
            <w:r>
              <w:rPr>
                <w:color w:val="000000"/>
              </w:rPr>
              <w:t>.</w:t>
            </w:r>
          </w:p>
          <w:p w:rsidRPr="007F620E" w:rsidR="00093776" w:rsidP="009C434B" w:rsidRDefault="00265DC2" w14:paraId="1A4E1CA6" w14:textId="7DAC6900">
            <w:pPr>
              <w:tabs>
                <w:tab w:val="left" w:pos="1440"/>
              </w:tabs>
              <w:spacing w:before="120" w:after="120"/>
              <w:rPr>
                <w:color w:val="000000"/>
              </w:rPr>
            </w:pPr>
            <w:r w:rsidRPr="00DB17A6">
              <w:rPr>
                <w:color w:val="000000"/>
              </w:rPr>
              <w:t xml:space="preserve">D.23-04-022 </w:t>
            </w:r>
            <w:r w:rsidRPr="00987A73" w:rsidR="00F94DC2">
              <w:rPr>
                <w:color w:val="000000"/>
              </w:rPr>
              <w:t>authorized a 2023 hourly rate of $</w:t>
            </w:r>
            <w:r>
              <w:rPr>
                <w:color w:val="000000"/>
              </w:rPr>
              <w:t>415</w:t>
            </w:r>
            <w:r w:rsidRPr="009C434B" w:rsidR="009C434B">
              <w:rPr>
                <w:color w:val="000000"/>
              </w:rPr>
              <w:t>.00</w:t>
            </w:r>
            <w:r w:rsidRPr="00987A73" w:rsidR="00F94DC2">
              <w:rPr>
                <w:color w:val="000000"/>
              </w:rPr>
              <w:t xml:space="preserve"> for </w:t>
            </w:r>
            <w:r>
              <w:rPr>
                <w:color w:val="000000"/>
              </w:rPr>
              <w:t>Dowdell</w:t>
            </w:r>
            <w:r w:rsidRPr="00987A73" w:rsidR="00F94DC2">
              <w:rPr>
                <w:color w:val="000000"/>
              </w:rPr>
              <w:t>. We applied the 202</w:t>
            </w:r>
            <w:r w:rsidR="00BF7BC3">
              <w:rPr>
                <w:color w:val="000000"/>
              </w:rPr>
              <w:t>3</w:t>
            </w:r>
            <w:r w:rsidRPr="00987A73" w:rsidR="00F94DC2">
              <w:rPr>
                <w:color w:val="000000"/>
              </w:rPr>
              <w:t xml:space="preserve"> annual escalation</w:t>
            </w:r>
            <w:r w:rsidR="00F94DC2">
              <w:rPr>
                <w:color w:val="000000"/>
              </w:rPr>
              <w:t xml:space="preserve"> rate of 4.</w:t>
            </w:r>
            <w:r w:rsidR="00BF7BC3">
              <w:rPr>
                <w:color w:val="000000"/>
              </w:rPr>
              <w:t>46</w:t>
            </w:r>
            <w:r w:rsidR="00F94DC2">
              <w:rPr>
                <w:color w:val="000000"/>
              </w:rPr>
              <w:t>% per Resolution ALJ-393</w:t>
            </w:r>
            <w:r w:rsidR="00B41616">
              <w:rPr>
                <w:color w:val="000000"/>
              </w:rPr>
              <w:t xml:space="preserve">. </w:t>
            </w:r>
            <w:r w:rsidRPr="00DB17A6" w:rsidR="00D94675">
              <w:t>As requested, we also appl</w:t>
            </w:r>
            <w:r w:rsidRPr="00DB17A6" w:rsidR="00DB17A6">
              <w:t>ied</w:t>
            </w:r>
            <w:r w:rsidRPr="00DB17A6" w:rsidR="00D94675">
              <w:t xml:space="preserve"> the first 5% step increase, and round</w:t>
            </w:r>
            <w:r w:rsidRPr="00DB17A6" w:rsidR="00DB17A6">
              <w:t>e</w:t>
            </w:r>
            <w:r w:rsidRPr="00DB17A6" w:rsidR="00DB17A6">
              <w:rPr>
                <w:color w:val="000000"/>
              </w:rPr>
              <w:t>d</w:t>
            </w:r>
            <w:r w:rsidRPr="00DB17A6" w:rsidR="00D94675">
              <w:t xml:space="preserve"> to the</w:t>
            </w:r>
            <w:r w:rsidR="003A1078">
              <w:t xml:space="preserve"> </w:t>
            </w:r>
            <w:r w:rsidRPr="00DB17A6" w:rsidR="00D94675">
              <w:t>nearest $5</w:t>
            </w:r>
            <w:r w:rsidRPr="009C434B" w:rsidR="009C434B">
              <w:t>.00</w:t>
            </w:r>
            <w:r w:rsidRPr="00DB17A6" w:rsidR="00D94675">
              <w:t>.</w:t>
            </w:r>
          </w:p>
        </w:tc>
      </w:tr>
    </w:tbl>
    <w:p w:rsidRPr="007F620E" w:rsidR="00ED55FC" w:rsidP="002B7E1E" w:rsidRDefault="00ED55FC" w14:paraId="7D44E1A1" w14:textId="02241963">
      <w:pPr>
        <w:keepNext/>
        <w:tabs>
          <w:tab w:val="left" w:pos="1260"/>
        </w:tabs>
        <w:spacing w:before="480" w:after="120"/>
        <w:jc w:val="center"/>
        <w:rPr>
          <w:b/>
          <w:color w:val="000000"/>
        </w:rPr>
      </w:pPr>
      <w:r w:rsidRPr="007F620E">
        <w:rPr>
          <w:b/>
          <w:color w:val="000000"/>
        </w:rPr>
        <w:t>PART IV:</w:t>
      </w:r>
      <w:r>
        <w:rPr>
          <w:b/>
          <w:color w:val="000000"/>
        </w:rPr>
        <w:t xml:space="preserve">  </w:t>
      </w:r>
      <w:r w:rsidRPr="007F620E">
        <w:rPr>
          <w:b/>
          <w:color w:val="000000"/>
        </w:rPr>
        <w:t>OPPOSITIONS AND COMMENTS</w:t>
      </w:r>
    </w:p>
    <w:p w:rsidR="00ED55FC" w:rsidP="00ED55FC" w:rsidRDefault="00ED55FC" w14:paraId="5690C7A9" w14:textId="77777777">
      <w:pPr>
        <w:keepNext/>
        <w:tabs>
          <w:tab w:val="left" w:pos="1260"/>
        </w:tabs>
        <w:ind w:left="1267" w:hanging="1267"/>
        <w:jc w:val="center"/>
        <w:rPr>
          <w:b/>
          <w:color w:val="000000"/>
        </w:rPr>
      </w:pPr>
      <w:r w:rsidRPr="007F620E">
        <w:rPr>
          <w:b/>
          <w:color w:val="000000"/>
        </w:rPr>
        <w:t>Within 30 days after service of this Claim, Commission Staff</w:t>
      </w:r>
    </w:p>
    <w:p w:rsidRPr="007F620E" w:rsidR="00ED55FC" w:rsidP="00ED55FC" w:rsidRDefault="00ED55FC" w14:paraId="0B488713" w14:textId="62360B35">
      <w:pPr>
        <w:keepNext/>
        <w:tabs>
          <w:tab w:val="left" w:pos="1260"/>
        </w:tabs>
        <w:spacing w:after="240"/>
        <w:ind w:left="1267" w:hanging="1267"/>
        <w:jc w:val="center"/>
        <w:rPr>
          <w:b/>
          <w:color w:val="000000"/>
        </w:rPr>
      </w:pPr>
      <w:r>
        <w:rPr>
          <w:b/>
          <w:color w:val="000000"/>
        </w:rPr>
        <w:t xml:space="preserve"> </w:t>
      </w:r>
      <w:r w:rsidRPr="007F620E">
        <w:rPr>
          <w:b/>
          <w:color w:val="000000"/>
        </w:rPr>
        <w:t>or any other party may file a response to the Claim (</w:t>
      </w:r>
      <w:r w:rsidRPr="007F620E">
        <w:rPr>
          <w:b/>
          <w:i/>
          <w:color w:val="000000"/>
        </w:rPr>
        <w:t>see</w:t>
      </w:r>
      <w:r w:rsidR="002B7E1E">
        <w:rPr>
          <w:b/>
          <w:color w:val="000000"/>
        </w:rPr>
        <w:t> </w:t>
      </w:r>
      <w:r w:rsidRPr="007F620E">
        <w:rPr>
          <w:b/>
          <w:color w:val="000000"/>
        </w:rPr>
        <w:t>§1804(c))</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7285"/>
        <w:gridCol w:w="2075"/>
      </w:tblGrid>
      <w:tr w:rsidRPr="007F620E" w:rsidR="00ED55FC" w:rsidTr="002B7E1E" w14:paraId="60184680" w14:textId="77777777">
        <w:tc>
          <w:tcPr>
            <w:tcW w:w="7285" w:type="dxa"/>
            <w:shd w:val="clear" w:color="auto" w:fill="auto"/>
          </w:tcPr>
          <w:p w:rsidRPr="007F620E" w:rsidR="00ED55FC" w:rsidP="0036244B" w:rsidRDefault="00ED55FC" w14:paraId="078B581B" w14:textId="77777777">
            <w:pPr>
              <w:ind w:left="360" w:hanging="360"/>
              <w:rPr>
                <w:color w:val="000000"/>
              </w:rPr>
            </w:pPr>
            <w:r w:rsidRPr="007F620E">
              <w:rPr>
                <w:b/>
                <w:color w:val="000000"/>
              </w:rPr>
              <w:t>A.</w:t>
            </w:r>
            <w:r>
              <w:rPr>
                <w:b/>
                <w:color w:val="000000"/>
              </w:rPr>
              <w:tab/>
            </w:r>
            <w:r w:rsidRPr="007F620E">
              <w:rPr>
                <w:b/>
                <w:color w:val="000000"/>
              </w:rPr>
              <w:t>Opposition:  Did any party oppose the Claim?</w:t>
            </w:r>
          </w:p>
        </w:tc>
        <w:tc>
          <w:tcPr>
            <w:tcW w:w="2075" w:type="dxa"/>
            <w:shd w:val="clear" w:color="auto" w:fill="auto"/>
            <w:vAlign w:val="center"/>
          </w:tcPr>
          <w:p w:rsidRPr="007F620E" w:rsidR="00ED55FC" w:rsidP="009C434B" w:rsidRDefault="00541851" w14:paraId="07BFB1E5" w14:textId="0BBDB9B0">
            <w:pPr>
              <w:jc w:val="center"/>
              <w:rPr>
                <w:color w:val="000000"/>
              </w:rPr>
            </w:pPr>
            <w:r>
              <w:rPr>
                <w:color w:val="000000"/>
              </w:rPr>
              <w:t>No</w:t>
            </w:r>
          </w:p>
        </w:tc>
      </w:tr>
    </w:tbl>
    <w:p w:rsidRPr="007F620E" w:rsidR="00ED55FC" w:rsidP="00ED55FC" w:rsidRDefault="00ED55FC" w14:paraId="631BE426" w14:textId="77777777">
      <w:pPr>
        <w:tabs>
          <w:tab w:val="left" w:pos="1260"/>
        </w:tabs>
        <w:spacing w:before="60"/>
        <w:ind w:left="1267" w:hanging="1267"/>
        <w:jc w:val="center"/>
        <w:rPr>
          <w:color w:val="000000"/>
        </w:rPr>
      </w:pP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7285"/>
        <w:gridCol w:w="2075"/>
      </w:tblGrid>
      <w:tr w:rsidRPr="007F620E" w:rsidR="00ED55FC" w:rsidTr="002B7E1E" w14:paraId="478AE9AB" w14:textId="77777777">
        <w:tc>
          <w:tcPr>
            <w:tcW w:w="7285" w:type="dxa"/>
            <w:shd w:val="clear" w:color="auto" w:fill="auto"/>
          </w:tcPr>
          <w:p w:rsidRPr="007F620E" w:rsidR="00ED55FC" w:rsidP="0036244B" w:rsidRDefault="00ED55FC" w14:paraId="4CB08777" w14:textId="413C3626">
            <w:pPr>
              <w:ind w:left="360" w:hanging="360"/>
              <w:rPr>
                <w:color w:val="000000"/>
              </w:rPr>
            </w:pPr>
            <w:r w:rsidRPr="007F620E">
              <w:rPr>
                <w:b/>
                <w:color w:val="000000"/>
              </w:rPr>
              <w:t>B.</w:t>
            </w:r>
            <w:r>
              <w:rPr>
                <w:b/>
                <w:color w:val="000000"/>
              </w:rPr>
              <w:tab/>
            </w:r>
            <w:r w:rsidRPr="007F620E">
              <w:rPr>
                <w:b/>
                <w:color w:val="000000"/>
              </w:rPr>
              <w:t>Comment Period:  Was the 30-day comment period waived (</w:t>
            </w:r>
            <w:r w:rsidRPr="007F620E">
              <w:rPr>
                <w:b/>
                <w:i/>
                <w:color w:val="000000"/>
              </w:rPr>
              <w:t>see</w:t>
            </w:r>
            <w:r>
              <w:rPr>
                <w:b/>
                <w:color w:val="000000"/>
              </w:rPr>
              <w:t> </w:t>
            </w:r>
            <w:r w:rsidRPr="007F620E">
              <w:rPr>
                <w:b/>
                <w:color w:val="000000"/>
              </w:rPr>
              <w:t>Rule</w:t>
            </w:r>
            <w:r w:rsidR="002B7E1E">
              <w:rPr>
                <w:b/>
                <w:color w:val="000000"/>
              </w:rPr>
              <w:t> </w:t>
            </w:r>
            <w:r w:rsidRPr="007F620E">
              <w:rPr>
                <w:b/>
                <w:color w:val="000000"/>
              </w:rPr>
              <w:t>14.6(c)(6))?</w:t>
            </w:r>
          </w:p>
        </w:tc>
        <w:tc>
          <w:tcPr>
            <w:tcW w:w="2075" w:type="dxa"/>
            <w:shd w:val="clear" w:color="auto" w:fill="auto"/>
            <w:vAlign w:val="center"/>
          </w:tcPr>
          <w:p w:rsidRPr="007F620E" w:rsidR="00ED55FC" w:rsidP="009C434B" w:rsidRDefault="00541851" w14:paraId="2B49C157" w14:textId="28725E9C">
            <w:pPr>
              <w:keepNext/>
              <w:keepLines/>
              <w:spacing w:after="240"/>
              <w:jc w:val="center"/>
              <w:rPr>
                <w:color w:val="000000"/>
              </w:rPr>
            </w:pPr>
            <w:r>
              <w:rPr>
                <w:color w:val="000000"/>
              </w:rPr>
              <w:t>Yes</w:t>
            </w:r>
          </w:p>
        </w:tc>
      </w:tr>
    </w:tbl>
    <w:p w:rsidR="000D7CEC" w:rsidP="00625B30" w:rsidRDefault="000D7CEC" w14:paraId="4BC5E554" w14:textId="77777777"/>
    <w:p w:rsidR="000D7CEC" w:rsidP="00625B30" w:rsidRDefault="000D7CEC" w14:paraId="2BCEE43A" w14:textId="77777777"/>
    <w:p w:rsidR="00734676" w:rsidP="00625B30" w:rsidRDefault="00734676" w14:paraId="6971E744" w14:textId="77777777"/>
    <w:p w:rsidR="00734676" w:rsidP="00625B30" w:rsidRDefault="00734676" w14:paraId="1CA19CE1" w14:textId="77777777"/>
    <w:p w:rsidR="00734676" w:rsidP="00625B30" w:rsidRDefault="00734676" w14:paraId="12D7119F" w14:textId="77777777"/>
    <w:p w:rsidRPr="007F620E" w:rsidR="00ED55FC" w:rsidP="00ED55FC" w:rsidRDefault="00ED55FC" w14:paraId="0AD40334" w14:textId="77777777">
      <w:pPr>
        <w:keepNext/>
        <w:spacing w:after="240"/>
        <w:jc w:val="center"/>
        <w:rPr>
          <w:b/>
          <w:color w:val="000000"/>
          <w:u w:val="single"/>
        </w:rPr>
      </w:pPr>
      <w:r w:rsidRPr="007F620E">
        <w:rPr>
          <w:b/>
          <w:color w:val="000000"/>
          <w:u w:val="single"/>
        </w:rPr>
        <w:lastRenderedPageBreak/>
        <w:t>FINDINGS OF FACT</w:t>
      </w:r>
    </w:p>
    <w:p w:rsidRPr="007F620E" w:rsidR="00ED55FC" w:rsidP="00ED55FC" w:rsidRDefault="00ED55FC" w14:paraId="028B9333" w14:textId="62D406F4">
      <w:pPr>
        <w:numPr>
          <w:ilvl w:val="0"/>
          <w:numId w:val="8"/>
        </w:numPr>
        <w:tabs>
          <w:tab w:val="num" w:pos="540"/>
        </w:tabs>
        <w:ind w:left="540" w:hanging="540"/>
      </w:pPr>
      <w:r w:rsidRPr="007302C2">
        <w:t>The Utility Reform Network</w:t>
      </w:r>
      <w:r w:rsidRPr="0022302F">
        <w:t xml:space="preserve"> </w:t>
      </w:r>
      <w:r w:rsidRPr="007F620E">
        <w:t>has made a substantial contribution to</w:t>
      </w:r>
      <w:r w:rsidR="002F307D">
        <w:t xml:space="preserve"> </w:t>
      </w:r>
      <w:r w:rsidRPr="007302C2" w:rsidR="002F307D">
        <w:t>D.2</w:t>
      </w:r>
      <w:r w:rsidRPr="007302C2" w:rsidR="00AA29BA">
        <w:t>4</w:t>
      </w:r>
      <w:r w:rsidRPr="007302C2" w:rsidR="002F307D">
        <w:t>-</w:t>
      </w:r>
      <w:r w:rsidRPr="007302C2" w:rsidR="00AA29BA">
        <w:t>03</w:t>
      </w:r>
      <w:r w:rsidRPr="007302C2" w:rsidR="00541479">
        <w:t>-</w:t>
      </w:r>
      <w:r w:rsidRPr="007302C2" w:rsidR="002F307D">
        <w:t>00</w:t>
      </w:r>
      <w:r w:rsidRPr="007302C2" w:rsidR="00541479">
        <w:t>6</w:t>
      </w:r>
      <w:r w:rsidRPr="007302C2">
        <w:t>.</w:t>
      </w:r>
    </w:p>
    <w:p w:rsidRPr="007F620E" w:rsidR="00ED55FC" w:rsidP="00ED55FC" w:rsidRDefault="00ED55FC" w14:paraId="3F9AAC92" w14:textId="0CD63EFA">
      <w:pPr>
        <w:numPr>
          <w:ilvl w:val="0"/>
          <w:numId w:val="8"/>
        </w:numPr>
        <w:tabs>
          <w:tab w:val="num" w:pos="540"/>
        </w:tabs>
        <w:spacing w:before="240"/>
      </w:pPr>
      <w:r w:rsidRPr="007F620E">
        <w:t>The requested hourly rates for</w:t>
      </w:r>
      <w:r>
        <w:t xml:space="preserve"> </w:t>
      </w:r>
      <w:r w:rsidRPr="007302C2">
        <w:t>The Utility Reform Network</w:t>
      </w:r>
      <w:r w:rsidRPr="007F620E">
        <w:t>’s representatives</w:t>
      </w:r>
      <w:r w:rsidRPr="003622AF" w:rsidR="0077474A">
        <w:rPr>
          <w:rFonts w:asciiTheme="majorBidi" w:hAnsiTheme="majorBidi" w:cstheme="majorBidi"/>
        </w:rPr>
        <w:t>, as adjusted herein</w:t>
      </w:r>
      <w:r w:rsidR="0077474A">
        <w:rPr>
          <w:rFonts w:asciiTheme="majorBidi" w:hAnsiTheme="majorBidi" w:cstheme="majorBidi"/>
        </w:rPr>
        <w:t>,</w:t>
      </w:r>
      <w:r w:rsidRPr="007F620E">
        <w:t xml:space="preserve"> are comparable to market rates paid to experts and advocates having comparable training and experience and offering similar services.</w:t>
      </w:r>
    </w:p>
    <w:p w:rsidRPr="007F620E" w:rsidR="00ED55FC" w:rsidP="00ED55FC" w:rsidRDefault="00ED55FC" w14:paraId="2BDB3ADA" w14:textId="7B208B12">
      <w:pPr>
        <w:numPr>
          <w:ilvl w:val="0"/>
          <w:numId w:val="8"/>
        </w:numPr>
        <w:tabs>
          <w:tab w:val="num" w:pos="540"/>
        </w:tabs>
        <w:spacing w:before="240"/>
      </w:pPr>
      <w:r w:rsidRPr="007F620E">
        <w:t>The claimed costs and expenses</w:t>
      </w:r>
      <w:r w:rsidR="009722CA">
        <w:t>, as adjusted herein,</w:t>
      </w:r>
      <w:r w:rsidR="00185B27">
        <w:t xml:space="preserve"> </w:t>
      </w:r>
      <w:r w:rsidRPr="007F620E">
        <w:t xml:space="preserve">are reasonable and commensurate with the work performed. </w:t>
      </w:r>
    </w:p>
    <w:p w:rsidRPr="007F620E" w:rsidR="00ED55FC" w:rsidP="00ED55FC" w:rsidRDefault="00ED55FC" w14:paraId="146D9790" w14:textId="774E8401">
      <w:pPr>
        <w:numPr>
          <w:ilvl w:val="0"/>
          <w:numId w:val="8"/>
        </w:numPr>
        <w:tabs>
          <w:tab w:val="num" w:pos="540"/>
        </w:tabs>
        <w:spacing w:before="240"/>
      </w:pPr>
      <w:r w:rsidRPr="007F620E">
        <w:t xml:space="preserve">The total of reasonable compensation is </w:t>
      </w:r>
      <w:r w:rsidRPr="00602682" w:rsidR="00602682">
        <w:rPr>
          <w:bCs/>
          <w:iCs/>
          <w:color w:val="000000"/>
        </w:rPr>
        <w:t>$</w:t>
      </w:r>
      <w:r w:rsidRPr="00B351AF" w:rsidR="00B351AF">
        <w:rPr>
          <w:bCs/>
          <w:iCs/>
          <w:color w:val="000000"/>
        </w:rPr>
        <w:t>53,166.25</w:t>
      </w:r>
      <w:r w:rsidRPr="007F620E">
        <w:t>.</w:t>
      </w:r>
    </w:p>
    <w:p w:rsidRPr="007F620E" w:rsidR="00ED55FC" w:rsidP="00ED55FC" w:rsidRDefault="00ED55FC" w14:paraId="4B5C2509" w14:textId="77777777">
      <w:pPr>
        <w:keepNext/>
        <w:spacing w:before="480" w:after="240"/>
        <w:jc w:val="center"/>
        <w:rPr>
          <w:b/>
          <w:color w:val="000000"/>
          <w:u w:val="single"/>
        </w:rPr>
      </w:pPr>
      <w:r w:rsidRPr="007F620E">
        <w:rPr>
          <w:b/>
          <w:color w:val="000000"/>
          <w:u w:val="single"/>
        </w:rPr>
        <w:t>CONCLUSION OF LAW</w:t>
      </w:r>
    </w:p>
    <w:p w:rsidRPr="007F620E" w:rsidR="00ED55FC" w:rsidP="00846347" w:rsidRDefault="00ED55FC" w14:paraId="2905AD2D" w14:textId="1263ACBF">
      <w:pPr>
        <w:numPr>
          <w:ilvl w:val="0"/>
          <w:numId w:val="10"/>
        </w:numPr>
        <w:rPr>
          <w:color w:val="000000"/>
        </w:rPr>
      </w:pPr>
      <w:r w:rsidRPr="00575494">
        <w:t>The</w:t>
      </w:r>
      <w:r w:rsidRPr="007F620E">
        <w:rPr>
          <w:color w:val="000000"/>
        </w:rPr>
        <w:t xml:space="preserve"> Claim, with any adjustment set forth above, satisfies all requirements of Pub.</w:t>
      </w:r>
      <w:r w:rsidR="003F1C42">
        <w:rPr>
          <w:color w:val="000000"/>
        </w:rPr>
        <w:t> </w:t>
      </w:r>
      <w:r w:rsidRPr="007F620E">
        <w:rPr>
          <w:color w:val="000000"/>
        </w:rPr>
        <w:t>Util.</w:t>
      </w:r>
      <w:r w:rsidR="003F1C42">
        <w:rPr>
          <w:color w:val="000000"/>
        </w:rPr>
        <w:t> </w:t>
      </w:r>
      <w:r w:rsidRPr="007F620E">
        <w:rPr>
          <w:color w:val="000000"/>
        </w:rPr>
        <w:t>Code</w:t>
      </w:r>
      <w:r w:rsidR="003F1C42">
        <w:rPr>
          <w:color w:val="000000"/>
        </w:rPr>
        <w:t> </w:t>
      </w:r>
      <w:r w:rsidRPr="007F620E">
        <w:rPr>
          <w:color w:val="000000"/>
        </w:rPr>
        <w:t>§§1801</w:t>
      </w:r>
      <w:r w:rsidR="003F1C42">
        <w:rPr>
          <w:color w:val="000000"/>
        </w:rPr>
        <w:noBreakHyphen/>
      </w:r>
      <w:r w:rsidRPr="007F620E">
        <w:rPr>
          <w:color w:val="000000"/>
        </w:rPr>
        <w:t>1812.</w:t>
      </w:r>
    </w:p>
    <w:p w:rsidRPr="007F620E" w:rsidR="00ED55FC" w:rsidP="00846347" w:rsidRDefault="00ED55FC" w14:paraId="59D16832" w14:textId="77777777">
      <w:pPr>
        <w:keepNext/>
        <w:spacing w:after="240"/>
        <w:jc w:val="center"/>
        <w:rPr>
          <w:b/>
          <w:color w:val="000000"/>
          <w:u w:val="single"/>
        </w:rPr>
      </w:pPr>
      <w:r w:rsidRPr="007F620E">
        <w:rPr>
          <w:b/>
          <w:color w:val="000000"/>
          <w:u w:val="single"/>
        </w:rPr>
        <w:t>ORDER</w:t>
      </w:r>
    </w:p>
    <w:p w:rsidRPr="007302C2" w:rsidR="00ED55FC" w:rsidP="00ED55FC" w:rsidRDefault="00ED55FC" w14:paraId="51971FA1" w14:textId="34E4A471">
      <w:pPr>
        <w:keepNext/>
        <w:numPr>
          <w:ilvl w:val="0"/>
          <w:numId w:val="9"/>
        </w:numPr>
        <w:tabs>
          <w:tab w:val="clear" w:pos="900"/>
          <w:tab w:val="num" w:pos="540"/>
        </w:tabs>
        <w:ind w:left="547" w:hanging="547"/>
      </w:pPr>
      <w:r w:rsidRPr="007302C2">
        <w:t>The Utility Reform Network</w:t>
      </w:r>
      <w:r w:rsidRPr="0022302F">
        <w:t xml:space="preserve"> </w:t>
      </w:r>
      <w:r>
        <w:t>is</w:t>
      </w:r>
      <w:r w:rsidRPr="00FE3BAE">
        <w:t xml:space="preserve"> </w:t>
      </w:r>
      <w:r w:rsidRPr="007302C2">
        <w:t xml:space="preserve">awarded </w:t>
      </w:r>
      <w:r w:rsidRPr="00050176" w:rsidR="00050176">
        <w:rPr>
          <w:bCs/>
          <w:iCs/>
          <w:color w:val="000000"/>
        </w:rPr>
        <w:t>$53</w:t>
      </w:r>
      <w:r w:rsidR="00784247">
        <w:rPr>
          <w:bCs/>
          <w:iCs/>
          <w:color w:val="000000"/>
        </w:rPr>
        <w:t>,166.25</w:t>
      </w:r>
      <w:r w:rsidRPr="00050176" w:rsidR="00050176">
        <w:rPr>
          <w:bCs/>
          <w:iCs/>
          <w:color w:val="000000"/>
        </w:rPr>
        <w:t>.</w:t>
      </w:r>
    </w:p>
    <w:p w:rsidR="00ED55FC" w:rsidP="00ED55FC" w:rsidRDefault="00ED55FC" w14:paraId="2DA538AF" w14:textId="2C2BC041">
      <w:pPr>
        <w:numPr>
          <w:ilvl w:val="0"/>
          <w:numId w:val="9"/>
        </w:numPr>
        <w:tabs>
          <w:tab w:val="clear" w:pos="900"/>
          <w:tab w:val="num" w:pos="540"/>
        </w:tabs>
        <w:spacing w:before="240"/>
        <w:ind w:left="547" w:hanging="547"/>
      </w:pPr>
      <w:r w:rsidRPr="007F620E">
        <w:t>Within 30</w:t>
      </w:r>
      <w:r w:rsidR="009C434B">
        <w:t> </w:t>
      </w:r>
      <w:r w:rsidRPr="007F620E">
        <w:t xml:space="preserve">days of the effective date of this decision, </w:t>
      </w:r>
      <w:r w:rsidR="00FE63F5">
        <w:t>Pacific Gas and Electric Company</w:t>
      </w:r>
      <w:r w:rsidRPr="007F620E">
        <w:t xml:space="preserve"> shall pay </w:t>
      </w:r>
      <w:r w:rsidRPr="007302C2">
        <w:t>The Utility Reform Network</w:t>
      </w:r>
      <w:r w:rsidRPr="0022302F">
        <w:t xml:space="preserve"> the </w:t>
      </w:r>
      <w:r w:rsidRPr="007F620E">
        <w:t xml:space="preserve">total award. Payment of the award </w:t>
      </w:r>
      <w:r w:rsidRPr="00831652">
        <w:t>shall</w:t>
      </w:r>
      <w:r w:rsidRPr="007F620E">
        <w:t xml:space="preserve"> include compound interest at the rate earned on prime, three-month non-financial commercial paper as reported in Federal Reserve Statistical Release H.15, beginning </w:t>
      </w:r>
      <w:r w:rsidR="00216B40">
        <w:t>July</w:t>
      </w:r>
      <w:r w:rsidR="009C434B">
        <w:t> </w:t>
      </w:r>
      <w:r w:rsidR="00216B40">
        <w:t>3,</w:t>
      </w:r>
      <w:r w:rsidR="009C434B">
        <w:t> </w:t>
      </w:r>
      <w:r w:rsidR="00216B40">
        <w:t>2024</w:t>
      </w:r>
      <w:r w:rsidRPr="007F620E">
        <w:t>, the 75</w:t>
      </w:r>
      <w:r w:rsidRPr="009C434B">
        <w:rPr>
          <w:vertAlign w:val="superscript"/>
        </w:rPr>
        <w:t>th</w:t>
      </w:r>
      <w:r w:rsidR="009C434B">
        <w:t> </w:t>
      </w:r>
      <w:r w:rsidRPr="007F620E">
        <w:t xml:space="preserve">day after the filing of </w:t>
      </w:r>
      <w:r w:rsidRPr="007302C2">
        <w:t>The Utility Reform Network</w:t>
      </w:r>
      <w:r w:rsidRPr="003B6A1B">
        <w:t>’s</w:t>
      </w:r>
      <w:r w:rsidRPr="007302C2">
        <w:t xml:space="preserve"> </w:t>
      </w:r>
      <w:r w:rsidRPr="007F620E">
        <w:t>request, and continuing until full payment is made.</w:t>
      </w:r>
    </w:p>
    <w:p w:rsidRPr="007F620E" w:rsidR="00ED55FC" w:rsidP="00ED55FC" w:rsidRDefault="00ED55FC" w14:paraId="367C5935" w14:textId="4AB1C22F">
      <w:pPr>
        <w:keepNext/>
        <w:keepLines/>
        <w:numPr>
          <w:ilvl w:val="0"/>
          <w:numId w:val="9"/>
        </w:numPr>
        <w:tabs>
          <w:tab w:val="clear" w:pos="900"/>
          <w:tab w:val="num" w:pos="540"/>
        </w:tabs>
        <w:spacing w:before="240"/>
        <w:ind w:left="547" w:hanging="547"/>
      </w:pPr>
      <w:r w:rsidRPr="007F620E">
        <w:t>The comment period for today’s decision is waived.</w:t>
      </w:r>
    </w:p>
    <w:p w:rsidRPr="007F620E" w:rsidR="00ED55FC" w:rsidP="00ED55FC" w:rsidRDefault="00ED55FC" w14:paraId="5B77129B" w14:textId="77777777">
      <w:pPr>
        <w:keepNext/>
        <w:keepLines/>
        <w:spacing w:before="240"/>
        <w:ind w:left="547"/>
        <w:rPr>
          <w:color w:val="000000"/>
        </w:rPr>
      </w:pPr>
      <w:r w:rsidRPr="007F620E">
        <w:rPr>
          <w:color w:val="000000"/>
        </w:rPr>
        <w:t>This decision is effective today.</w:t>
      </w:r>
    </w:p>
    <w:p w:rsidRPr="007F620E" w:rsidR="00ED55FC" w:rsidP="00ED55FC" w:rsidRDefault="00ED55FC" w14:paraId="0211A1AC" w14:textId="7E143BD1">
      <w:pPr>
        <w:keepNext/>
        <w:keepLines/>
        <w:spacing w:before="240"/>
        <w:ind w:left="547"/>
        <w:rPr>
          <w:color w:val="000000"/>
        </w:rPr>
      </w:pPr>
      <w:r w:rsidRPr="007F620E">
        <w:rPr>
          <w:color w:val="000000"/>
        </w:rPr>
        <w:t xml:space="preserve">Dated </w:t>
      </w:r>
      <w:r w:rsidR="00846347">
        <w:rPr>
          <w:color w:val="000000"/>
        </w:rPr>
        <w:t>September 12</w:t>
      </w:r>
      <w:r w:rsidRPr="007F620E">
        <w:rPr>
          <w:color w:val="000000"/>
        </w:rPr>
        <w:t>,</w:t>
      </w:r>
      <w:r w:rsidR="00846347">
        <w:rPr>
          <w:color w:val="000000"/>
        </w:rPr>
        <w:t> 2024,</w:t>
      </w:r>
      <w:r w:rsidRPr="007F620E">
        <w:rPr>
          <w:color w:val="000000"/>
        </w:rPr>
        <w:t xml:space="preserve"> at</w:t>
      </w:r>
      <w:r w:rsidR="00846347">
        <w:rPr>
          <w:color w:val="000000"/>
        </w:rPr>
        <w:t> </w:t>
      </w:r>
      <w:r w:rsidRPr="007F620E">
        <w:rPr>
          <w:color w:val="000000"/>
        </w:rPr>
        <w:t>Sa</w:t>
      </w:r>
      <w:r w:rsidR="009C434B">
        <w:rPr>
          <w:color w:val="000000"/>
        </w:rPr>
        <w:t>cramento</w:t>
      </w:r>
      <w:r w:rsidRPr="007F620E">
        <w:rPr>
          <w:color w:val="000000"/>
        </w:rPr>
        <w:t>,</w:t>
      </w:r>
      <w:r w:rsidR="00846347">
        <w:rPr>
          <w:color w:val="000000"/>
        </w:rPr>
        <w:t> </w:t>
      </w:r>
      <w:r w:rsidRPr="007F620E">
        <w:rPr>
          <w:color w:val="000000"/>
        </w:rPr>
        <w:t>California.</w:t>
      </w:r>
    </w:p>
    <w:p w:rsidR="00ED55FC" w:rsidP="00625B30" w:rsidRDefault="00ED55FC" w14:paraId="13464BBB" w14:textId="5A8A3D48"/>
    <w:p w:rsidR="00846347" w:rsidP="00625B30" w:rsidRDefault="00846347" w14:paraId="40F4FCA2" w14:textId="77777777"/>
    <w:p w:rsidRPr="00846347" w:rsidR="00846347" w:rsidP="00846347" w:rsidRDefault="00846347" w14:paraId="51EAB7E6" w14:textId="4AF7036C">
      <w:pPr>
        <w:keepNext/>
        <w:keepLines/>
        <w:autoSpaceDE w:val="0"/>
        <w:autoSpaceDN w:val="0"/>
        <w:adjustRightInd w:val="0"/>
        <w:ind w:left="4320"/>
        <w:jc w:val="both"/>
        <w:rPr>
          <w:rFonts w:eastAsia="Calibri"/>
        </w:rPr>
      </w:pPr>
      <w:r w:rsidRPr="00846347">
        <w:rPr>
          <w:rFonts w:eastAsia="Calibri"/>
        </w:rPr>
        <w:t>ALICE REYNOLDS</w:t>
      </w:r>
    </w:p>
    <w:p w:rsidRPr="00846347" w:rsidR="00846347" w:rsidP="00846347" w:rsidRDefault="00846347" w14:paraId="349DDD07" w14:textId="77777777">
      <w:pPr>
        <w:keepNext/>
        <w:keepLines/>
        <w:autoSpaceDE w:val="0"/>
        <w:autoSpaceDN w:val="0"/>
        <w:adjustRightInd w:val="0"/>
        <w:ind w:firstLine="720"/>
        <w:jc w:val="both"/>
        <w:rPr>
          <w:rFonts w:eastAsia="Calibri"/>
        </w:rPr>
      </w:pPr>
      <w:r w:rsidRPr="00846347">
        <w:rPr>
          <w:rFonts w:ascii="Book Antiqua" w:hAnsi="Book Antiqua" w:eastAsia="Calibri"/>
          <w:sz w:val="26"/>
          <w:szCs w:val="20"/>
        </w:rPr>
        <w:tab/>
      </w:r>
      <w:r w:rsidRPr="00846347">
        <w:rPr>
          <w:rFonts w:ascii="Book Antiqua" w:hAnsi="Book Antiqua" w:eastAsia="Calibri"/>
          <w:sz w:val="26"/>
          <w:szCs w:val="20"/>
        </w:rPr>
        <w:tab/>
      </w:r>
      <w:r w:rsidRPr="00846347">
        <w:rPr>
          <w:rFonts w:ascii="Book Antiqua" w:hAnsi="Book Antiqua" w:eastAsia="Calibri"/>
          <w:sz w:val="26"/>
          <w:szCs w:val="20"/>
        </w:rPr>
        <w:tab/>
      </w:r>
      <w:r w:rsidRPr="00846347">
        <w:rPr>
          <w:rFonts w:ascii="Book Antiqua" w:hAnsi="Book Antiqua" w:eastAsia="Calibri"/>
          <w:sz w:val="26"/>
          <w:szCs w:val="20"/>
        </w:rPr>
        <w:tab/>
      </w:r>
      <w:r w:rsidRPr="00846347">
        <w:rPr>
          <w:rFonts w:ascii="Book Antiqua" w:hAnsi="Book Antiqua" w:eastAsia="Calibri"/>
          <w:sz w:val="26"/>
          <w:szCs w:val="20"/>
        </w:rPr>
        <w:tab/>
      </w:r>
      <w:r w:rsidRPr="00846347">
        <w:rPr>
          <w:rFonts w:eastAsia="Calibri"/>
        </w:rPr>
        <w:t xml:space="preserve">                       President</w:t>
      </w:r>
    </w:p>
    <w:p w:rsidRPr="00846347" w:rsidR="00846347" w:rsidP="00846347" w:rsidRDefault="00846347" w14:paraId="273533A8" w14:textId="77777777">
      <w:pPr>
        <w:autoSpaceDE w:val="0"/>
        <w:autoSpaceDN w:val="0"/>
        <w:adjustRightInd w:val="0"/>
        <w:ind w:left="3600" w:firstLine="720"/>
        <w:jc w:val="both"/>
        <w:rPr>
          <w:rFonts w:eastAsia="Calibri"/>
        </w:rPr>
      </w:pPr>
      <w:r w:rsidRPr="00846347">
        <w:rPr>
          <w:rFonts w:eastAsia="Calibri"/>
        </w:rPr>
        <w:t>DARCIE L. HOUCK</w:t>
      </w:r>
    </w:p>
    <w:p w:rsidRPr="00846347" w:rsidR="00846347" w:rsidP="00846347" w:rsidRDefault="00846347" w14:paraId="3F0B6CE7" w14:textId="77777777">
      <w:pPr>
        <w:autoSpaceDE w:val="0"/>
        <w:autoSpaceDN w:val="0"/>
        <w:adjustRightInd w:val="0"/>
        <w:ind w:left="3600" w:firstLine="720"/>
        <w:jc w:val="both"/>
        <w:rPr>
          <w:rFonts w:eastAsia="Calibri"/>
        </w:rPr>
      </w:pPr>
      <w:r w:rsidRPr="00846347">
        <w:rPr>
          <w:rFonts w:eastAsia="Calibri"/>
        </w:rPr>
        <w:t>JOHN REYNOLDS</w:t>
      </w:r>
    </w:p>
    <w:p w:rsidRPr="00846347" w:rsidR="00846347" w:rsidP="00846347" w:rsidRDefault="00846347" w14:paraId="345DAE97" w14:textId="77777777">
      <w:pPr>
        <w:autoSpaceDE w:val="0"/>
        <w:autoSpaceDN w:val="0"/>
        <w:adjustRightInd w:val="0"/>
        <w:ind w:left="3600" w:firstLine="720"/>
        <w:jc w:val="both"/>
        <w:rPr>
          <w:color w:val="000000"/>
        </w:rPr>
      </w:pPr>
      <w:r w:rsidRPr="00846347">
        <w:rPr>
          <w:color w:val="000000"/>
        </w:rPr>
        <w:t>KAREN DOUGLAS</w:t>
      </w:r>
    </w:p>
    <w:p w:rsidRPr="00846347" w:rsidR="00846347" w:rsidP="00846347" w:rsidRDefault="00846347" w14:paraId="08FF9413" w14:textId="77777777">
      <w:pPr>
        <w:keepNext/>
        <w:keepLines/>
        <w:autoSpaceDE w:val="0"/>
        <w:autoSpaceDN w:val="0"/>
        <w:adjustRightInd w:val="0"/>
        <w:ind w:left="4320" w:firstLine="720"/>
        <w:jc w:val="both"/>
        <w:rPr>
          <w:rFonts w:eastAsia="Calibri"/>
        </w:rPr>
      </w:pPr>
      <w:r w:rsidRPr="00846347">
        <w:rPr>
          <w:rFonts w:eastAsia="Calibri"/>
        </w:rPr>
        <w:t xml:space="preserve">            Commissioners</w:t>
      </w:r>
    </w:p>
    <w:p w:rsidRPr="00846347" w:rsidR="00846347" w:rsidP="00846347" w:rsidRDefault="00846347" w14:paraId="4FE05FBD" w14:textId="77777777">
      <w:pPr>
        <w:keepNext/>
        <w:keepLines/>
        <w:spacing w:line="360" w:lineRule="auto"/>
        <w:ind w:firstLine="720"/>
        <w:rPr>
          <w:rFonts w:eastAsia="Calibri"/>
        </w:rPr>
      </w:pPr>
    </w:p>
    <w:p w:rsidRPr="00084666" w:rsidR="00846347" w:rsidP="00084666" w:rsidRDefault="00846347" w14:paraId="5C90568F" w14:textId="68561F2E">
      <w:pPr>
        <w:keepNext/>
        <w:keepLines/>
        <w:autoSpaceDE w:val="0"/>
        <w:autoSpaceDN w:val="0"/>
        <w:adjustRightInd w:val="0"/>
        <w:ind w:left="4380"/>
        <w:rPr>
          <w:rFonts w:eastAsia="Calibri"/>
        </w:rPr>
      </w:pPr>
      <w:r w:rsidRPr="00846347">
        <w:rPr>
          <w:rFonts w:eastAsia="Calibri"/>
        </w:rPr>
        <w:t>Commissioner Matthew Baker recused himself from this agenda item and was not part of the quorum in its consideration.</w:t>
      </w:r>
    </w:p>
    <w:p w:rsidR="00ED55FC" w:rsidRDefault="00ED55FC" w14:paraId="045DE773" w14:textId="77777777">
      <w:r>
        <w:br w:type="page"/>
      </w:r>
    </w:p>
    <w:p w:rsidRPr="00B803D5" w:rsidR="00ED55FC" w:rsidP="00ED55FC" w:rsidRDefault="00ED55FC" w14:paraId="2184E21F" w14:textId="77777777">
      <w:pPr>
        <w:pStyle w:val="standard"/>
        <w:ind w:firstLine="0"/>
        <w:jc w:val="center"/>
        <w:rPr>
          <w:rFonts w:ascii="Times New Roman" w:hAnsi="Times New Roman"/>
          <w:b/>
          <w:szCs w:val="26"/>
        </w:rPr>
      </w:pPr>
      <w:r w:rsidRPr="00B803D5">
        <w:rPr>
          <w:rFonts w:ascii="Times New Roman" w:hAnsi="Times New Roman"/>
          <w:b/>
          <w:szCs w:val="26"/>
        </w:rPr>
        <w:lastRenderedPageBreak/>
        <w:t>APPENDIX</w:t>
      </w:r>
    </w:p>
    <w:p w:rsidRPr="00F7579D" w:rsidR="00ED55FC" w:rsidP="00ED55FC" w:rsidRDefault="00ED55FC" w14:paraId="01E393B6" w14:textId="77777777">
      <w:pPr>
        <w:pStyle w:val="standard"/>
        <w:ind w:firstLine="0"/>
        <w:jc w:val="center"/>
        <w:rPr>
          <w:rFonts w:ascii="Times New Roman" w:hAnsi="Times New Roman"/>
          <w:b/>
          <w:bCs/>
        </w:rPr>
      </w:pPr>
      <w:r w:rsidRPr="00F7579D">
        <w:rPr>
          <w:rFonts w:ascii="Times New Roman" w:hAnsi="Times New Roman"/>
          <w:b/>
          <w:bCs/>
          <w:sz w:val="28"/>
          <w:szCs w:val="28"/>
        </w:rPr>
        <w:t>Compensation Decision Summary Information</w:t>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2905"/>
        <w:gridCol w:w="3767"/>
        <w:gridCol w:w="2497"/>
        <w:gridCol w:w="1271"/>
      </w:tblGrid>
      <w:tr w:rsidRPr="00B803D5" w:rsidR="00ED55FC" w:rsidTr="0036244B" w14:paraId="4CD9F53F"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F7579D" w:rsidR="00ED55FC" w:rsidP="0036244B" w:rsidRDefault="00ED55FC" w14:paraId="12A6556F" w14:textId="77777777">
            <w:pPr>
              <w:rPr>
                <w:b/>
                <w:bCs/>
              </w:rPr>
            </w:pPr>
            <w:r w:rsidRPr="00F7579D">
              <w:rPr>
                <w:b/>
                <w:bCs/>
              </w:rPr>
              <w:t>Compensation Decision:</w:t>
            </w:r>
          </w:p>
        </w:tc>
        <w:tc>
          <w:tcPr>
            <w:tcW w:w="3735" w:type="dxa"/>
            <w:tcBorders>
              <w:top w:val="single" w:color="auto" w:sz="4" w:space="0"/>
              <w:left w:val="single" w:color="auto" w:sz="4" w:space="0"/>
              <w:bottom w:val="single" w:color="auto" w:sz="4" w:space="0"/>
              <w:right w:val="single" w:color="auto" w:sz="4" w:space="0"/>
            </w:tcBorders>
          </w:tcPr>
          <w:p w:rsidRPr="00B803D5" w:rsidR="00ED55FC" w:rsidP="0036244B" w:rsidRDefault="00B724F4" w14:paraId="12282C2A" w14:textId="151110B2">
            <w:r w:rsidRPr="00B724F4">
              <w:t>D2409016</w:t>
            </w:r>
          </w:p>
        </w:tc>
        <w:tc>
          <w:tcPr>
            <w:tcW w:w="2475" w:type="dxa"/>
            <w:tcBorders>
              <w:top w:val="single" w:color="auto" w:sz="4" w:space="0"/>
              <w:left w:val="single" w:color="auto" w:sz="4" w:space="0"/>
              <w:bottom w:val="single" w:color="auto" w:sz="4" w:space="0"/>
              <w:right w:val="single" w:color="auto" w:sz="4" w:space="0"/>
            </w:tcBorders>
            <w:hideMark/>
          </w:tcPr>
          <w:p w:rsidRPr="006B0BC7" w:rsidR="00ED55FC" w:rsidP="0036244B" w:rsidRDefault="00ED55FC" w14:paraId="2A331183" w14:textId="77777777">
            <w:pPr>
              <w:rPr>
                <w:b/>
                <w:bCs/>
              </w:rPr>
            </w:pPr>
            <w:r w:rsidRPr="006B0BC7">
              <w:rPr>
                <w:b/>
                <w:bCs/>
              </w:rPr>
              <w:t xml:space="preserve">Modifies Decision? </w:t>
            </w:r>
          </w:p>
        </w:tc>
        <w:tc>
          <w:tcPr>
            <w:tcW w:w="1260" w:type="dxa"/>
            <w:tcBorders>
              <w:top w:val="single" w:color="auto" w:sz="4" w:space="0"/>
              <w:left w:val="single" w:color="auto" w:sz="4" w:space="0"/>
              <w:bottom w:val="single" w:color="auto" w:sz="4" w:space="0"/>
              <w:right w:val="single" w:color="auto" w:sz="4" w:space="0"/>
            </w:tcBorders>
          </w:tcPr>
          <w:p w:rsidRPr="00B803D5" w:rsidR="00ED55FC" w:rsidP="0036244B" w:rsidRDefault="00D4692B" w14:paraId="0433A8A8" w14:textId="08054218">
            <w:pPr>
              <w:jc w:val="center"/>
            </w:pPr>
            <w:r>
              <w:t>No</w:t>
            </w:r>
          </w:p>
        </w:tc>
      </w:tr>
      <w:tr w:rsidRPr="00B803D5" w:rsidR="00ED55FC" w:rsidTr="00C42AEE" w14:paraId="7FE7989B"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F7579D" w:rsidR="00ED55FC" w:rsidP="0036244B" w:rsidRDefault="00ED55FC" w14:paraId="60A23EE9" w14:textId="77777777">
            <w:pPr>
              <w:rPr>
                <w:b/>
                <w:bCs/>
              </w:rPr>
            </w:pPr>
            <w:r w:rsidRPr="00F7579D">
              <w:rPr>
                <w:b/>
                <w:bCs/>
              </w:rPr>
              <w:t>Contribution Decision(s):</w:t>
            </w: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hideMark/>
          </w:tcPr>
          <w:p w:rsidRPr="00B803D5" w:rsidR="00ED55FC" w:rsidP="0036244B" w:rsidRDefault="002F307D" w14:paraId="4B54665B" w14:textId="2857B250">
            <w:r>
              <w:t>D2</w:t>
            </w:r>
            <w:r w:rsidR="00541479">
              <w:t>403006</w:t>
            </w:r>
          </w:p>
        </w:tc>
      </w:tr>
      <w:tr w:rsidRPr="00B803D5" w:rsidR="00ED55FC" w:rsidTr="00C42AEE" w14:paraId="5958D725"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F7579D" w:rsidR="00ED55FC" w:rsidP="0036244B" w:rsidRDefault="00ED55FC" w14:paraId="72D6738F" w14:textId="77777777">
            <w:pPr>
              <w:rPr>
                <w:b/>
                <w:bCs/>
              </w:rPr>
            </w:pPr>
            <w:r w:rsidRPr="00F7579D">
              <w:rPr>
                <w:b/>
                <w:bCs/>
              </w:rPr>
              <w:t>Proceeding(s):</w:t>
            </w: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hideMark/>
          </w:tcPr>
          <w:p w:rsidRPr="00B803D5" w:rsidR="00ED55FC" w:rsidP="0036244B" w:rsidRDefault="00ED55FC" w14:paraId="281C1B87" w14:textId="24D4BEF3">
            <w:r>
              <w:t>A</w:t>
            </w:r>
            <w:r w:rsidR="002F307D">
              <w:t>2306008</w:t>
            </w:r>
          </w:p>
        </w:tc>
      </w:tr>
      <w:tr w:rsidRPr="00B803D5" w:rsidR="00ED55FC" w:rsidTr="0036244B" w14:paraId="418AFC8B"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F7579D" w:rsidR="00ED55FC" w:rsidP="0036244B" w:rsidRDefault="00ED55FC" w14:paraId="40427CC2" w14:textId="77777777">
            <w:pPr>
              <w:rPr>
                <w:b/>
                <w:bCs/>
              </w:rPr>
            </w:pPr>
            <w:r w:rsidRPr="00F7579D">
              <w:rPr>
                <w:b/>
                <w:bCs/>
              </w:rPr>
              <w:t>Author:</w:t>
            </w:r>
          </w:p>
        </w:tc>
        <w:tc>
          <w:tcPr>
            <w:tcW w:w="7470" w:type="dxa"/>
            <w:gridSpan w:val="3"/>
            <w:tcBorders>
              <w:top w:val="single" w:color="auto" w:sz="4" w:space="0"/>
              <w:left w:val="single" w:color="auto" w:sz="4" w:space="0"/>
              <w:bottom w:val="single" w:color="auto" w:sz="4" w:space="0"/>
              <w:right w:val="single" w:color="auto" w:sz="4" w:space="0"/>
            </w:tcBorders>
            <w:hideMark/>
          </w:tcPr>
          <w:p w:rsidRPr="00D4692B" w:rsidR="00ED55FC" w:rsidP="0036244B" w:rsidRDefault="00D4692B" w14:paraId="51B901E8" w14:textId="07D10F13">
            <w:r w:rsidRPr="00D4692B">
              <w:t xml:space="preserve">ALJ </w:t>
            </w:r>
            <w:r w:rsidRPr="00D4692B">
              <w:rPr>
                <w:color w:val="000000"/>
              </w:rPr>
              <w:t>Watts</w:t>
            </w:r>
            <w:r w:rsidR="009C434B">
              <w:rPr>
                <w:color w:val="000000"/>
              </w:rPr>
              <w:noBreakHyphen/>
            </w:r>
            <w:r w:rsidRPr="00D4692B">
              <w:rPr>
                <w:color w:val="000000"/>
              </w:rPr>
              <w:t>Zagha</w:t>
            </w:r>
          </w:p>
        </w:tc>
      </w:tr>
      <w:tr w:rsidRPr="00B803D5" w:rsidR="00ED55FC" w:rsidTr="0036244B" w14:paraId="5F4B4F0E" w14:textId="77777777">
        <w:trPr>
          <w:trHeight w:val="278"/>
          <w:jc w:val="center"/>
        </w:trPr>
        <w:tc>
          <w:tcPr>
            <w:tcW w:w="2880" w:type="dxa"/>
            <w:tcBorders>
              <w:top w:val="single" w:color="auto" w:sz="4" w:space="0"/>
              <w:left w:val="single" w:color="auto" w:sz="4" w:space="0"/>
              <w:bottom w:val="single" w:color="auto" w:sz="4" w:space="0"/>
              <w:right w:val="single" w:color="auto" w:sz="4" w:space="0"/>
            </w:tcBorders>
            <w:hideMark/>
          </w:tcPr>
          <w:p w:rsidRPr="00F7579D" w:rsidR="00ED55FC" w:rsidP="0036244B" w:rsidRDefault="00ED55FC" w14:paraId="0C07437B" w14:textId="77777777">
            <w:pPr>
              <w:rPr>
                <w:b/>
                <w:bCs/>
              </w:rPr>
            </w:pPr>
            <w:r w:rsidRPr="00F7579D">
              <w:rPr>
                <w:b/>
                <w:bCs/>
              </w:rPr>
              <w:t>Payer(s):</w:t>
            </w:r>
          </w:p>
        </w:tc>
        <w:tc>
          <w:tcPr>
            <w:tcW w:w="7470" w:type="dxa"/>
            <w:gridSpan w:val="3"/>
            <w:tcBorders>
              <w:top w:val="single" w:color="auto" w:sz="4" w:space="0"/>
              <w:left w:val="single" w:color="auto" w:sz="4" w:space="0"/>
              <w:bottom w:val="single" w:color="auto" w:sz="4" w:space="0"/>
              <w:right w:val="single" w:color="auto" w:sz="4" w:space="0"/>
            </w:tcBorders>
            <w:hideMark/>
          </w:tcPr>
          <w:p w:rsidRPr="00B803D5" w:rsidR="00ED55FC" w:rsidP="0036244B" w:rsidRDefault="00D33A63" w14:paraId="0DB47724" w14:textId="648EFB9F">
            <w:r>
              <w:t>Pacific Gas and Electric Company</w:t>
            </w:r>
          </w:p>
        </w:tc>
      </w:tr>
    </w:tbl>
    <w:p w:rsidRPr="00B803D5" w:rsidR="00ED55FC" w:rsidP="00ED55FC" w:rsidRDefault="00ED55FC" w14:paraId="6724C804" w14:textId="77777777">
      <w:pPr>
        <w:spacing w:before="480" w:after="240"/>
        <w:jc w:val="center"/>
        <w:rPr>
          <w:b/>
          <w:bCs/>
          <w:sz w:val="28"/>
          <w:szCs w:val="28"/>
        </w:rPr>
      </w:pPr>
      <w:r w:rsidRPr="00B803D5">
        <w:rPr>
          <w:b/>
          <w:bCs/>
          <w:sz w:val="28"/>
          <w:szCs w:val="28"/>
        </w:rPr>
        <w:t>Intervenor Information</w:t>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1885"/>
        <w:gridCol w:w="1641"/>
        <w:gridCol w:w="1420"/>
        <w:gridCol w:w="1588"/>
        <w:gridCol w:w="1405"/>
        <w:gridCol w:w="2501"/>
      </w:tblGrid>
      <w:tr w:rsidRPr="00B803D5" w:rsidR="00ED55FC" w:rsidTr="009C434B" w14:paraId="6798847C" w14:textId="77777777">
        <w:trPr>
          <w:jc w:val="center"/>
        </w:trPr>
        <w:tc>
          <w:tcPr>
            <w:tcW w:w="1885" w:type="dxa"/>
            <w:tcBorders>
              <w:top w:val="single" w:color="auto" w:sz="4" w:space="0"/>
              <w:left w:val="single" w:color="auto" w:sz="4" w:space="0"/>
              <w:bottom w:val="single" w:color="auto" w:sz="4" w:space="0"/>
              <w:right w:val="single" w:color="auto" w:sz="4" w:space="0"/>
            </w:tcBorders>
            <w:vAlign w:val="bottom"/>
            <w:hideMark/>
          </w:tcPr>
          <w:p w:rsidRPr="00B803D5" w:rsidR="00ED55FC" w:rsidP="0036244B" w:rsidRDefault="00ED55FC" w14:paraId="091A2BEE" w14:textId="77777777">
            <w:pPr>
              <w:jc w:val="center"/>
              <w:rPr>
                <w:b/>
                <w:bCs/>
              </w:rPr>
            </w:pPr>
            <w:r w:rsidRPr="00B803D5">
              <w:rPr>
                <w:b/>
                <w:bCs/>
              </w:rPr>
              <w:t>Intervenor</w:t>
            </w:r>
          </w:p>
        </w:tc>
        <w:tc>
          <w:tcPr>
            <w:tcW w:w="1641" w:type="dxa"/>
            <w:tcBorders>
              <w:top w:val="single" w:color="auto" w:sz="4" w:space="0"/>
              <w:left w:val="single" w:color="auto" w:sz="4" w:space="0"/>
              <w:bottom w:val="single" w:color="auto" w:sz="4" w:space="0"/>
              <w:right w:val="single" w:color="auto" w:sz="4" w:space="0"/>
            </w:tcBorders>
            <w:vAlign w:val="bottom"/>
            <w:hideMark/>
          </w:tcPr>
          <w:p w:rsidR="00ED55FC" w:rsidP="0036244B" w:rsidRDefault="00ED55FC" w14:paraId="4C140135" w14:textId="77777777">
            <w:pPr>
              <w:jc w:val="center"/>
              <w:rPr>
                <w:b/>
                <w:bCs/>
              </w:rPr>
            </w:pPr>
            <w:r w:rsidRPr="00B803D5">
              <w:rPr>
                <w:b/>
                <w:bCs/>
              </w:rPr>
              <w:t>Date</w:t>
            </w:r>
          </w:p>
          <w:p w:rsidRPr="00B803D5" w:rsidR="00ED55FC" w:rsidP="0036244B" w:rsidRDefault="00ED55FC" w14:paraId="367F2D7D" w14:textId="77777777">
            <w:pPr>
              <w:jc w:val="center"/>
              <w:rPr>
                <w:b/>
                <w:bCs/>
              </w:rPr>
            </w:pPr>
            <w:r w:rsidRPr="00B803D5">
              <w:rPr>
                <w:b/>
                <w:bCs/>
              </w:rPr>
              <w:t>Claim Filed</w:t>
            </w:r>
          </w:p>
        </w:tc>
        <w:tc>
          <w:tcPr>
            <w:tcW w:w="1420" w:type="dxa"/>
            <w:tcBorders>
              <w:top w:val="single" w:color="auto" w:sz="4" w:space="0"/>
              <w:left w:val="single" w:color="auto" w:sz="4" w:space="0"/>
              <w:bottom w:val="single" w:color="auto" w:sz="4" w:space="0"/>
              <w:right w:val="single" w:color="auto" w:sz="4" w:space="0"/>
            </w:tcBorders>
            <w:vAlign w:val="bottom"/>
            <w:hideMark/>
          </w:tcPr>
          <w:p w:rsidRPr="00B803D5" w:rsidR="00ED55FC" w:rsidP="0036244B" w:rsidRDefault="00ED55FC" w14:paraId="4800E914" w14:textId="77777777">
            <w:pPr>
              <w:jc w:val="center"/>
              <w:rPr>
                <w:b/>
                <w:bCs/>
              </w:rPr>
            </w:pPr>
            <w:r w:rsidRPr="00B803D5">
              <w:rPr>
                <w:b/>
                <w:bCs/>
              </w:rPr>
              <w:t>Amount Requested</w:t>
            </w:r>
          </w:p>
        </w:tc>
        <w:tc>
          <w:tcPr>
            <w:tcW w:w="1588" w:type="dxa"/>
            <w:tcBorders>
              <w:top w:val="single" w:color="auto" w:sz="4" w:space="0"/>
              <w:left w:val="single" w:color="auto" w:sz="4" w:space="0"/>
              <w:bottom w:val="single" w:color="auto" w:sz="4" w:space="0"/>
              <w:right w:val="single" w:color="auto" w:sz="4" w:space="0"/>
            </w:tcBorders>
            <w:vAlign w:val="bottom"/>
            <w:hideMark/>
          </w:tcPr>
          <w:p w:rsidRPr="00B803D5" w:rsidR="00ED55FC" w:rsidP="0036244B" w:rsidRDefault="00ED55FC" w14:paraId="65FA87D8" w14:textId="77777777">
            <w:pPr>
              <w:jc w:val="center"/>
              <w:rPr>
                <w:b/>
                <w:bCs/>
              </w:rPr>
            </w:pPr>
            <w:r w:rsidRPr="00B803D5">
              <w:rPr>
                <w:b/>
                <w:bCs/>
              </w:rPr>
              <w:t>Amount Awarded</w:t>
            </w:r>
          </w:p>
        </w:tc>
        <w:tc>
          <w:tcPr>
            <w:tcW w:w="1405" w:type="dxa"/>
            <w:tcBorders>
              <w:top w:val="single" w:color="auto" w:sz="4" w:space="0"/>
              <w:left w:val="single" w:color="auto" w:sz="4" w:space="0"/>
              <w:bottom w:val="single" w:color="auto" w:sz="4" w:space="0"/>
              <w:right w:val="single" w:color="auto" w:sz="4" w:space="0"/>
            </w:tcBorders>
            <w:vAlign w:val="bottom"/>
            <w:hideMark/>
          </w:tcPr>
          <w:p w:rsidRPr="00B803D5" w:rsidR="00ED55FC" w:rsidP="0036244B" w:rsidRDefault="00ED55FC" w14:paraId="573A52AB" w14:textId="77777777">
            <w:pPr>
              <w:jc w:val="center"/>
              <w:rPr>
                <w:b/>
                <w:bCs/>
              </w:rPr>
            </w:pPr>
            <w:r w:rsidRPr="00B803D5">
              <w:rPr>
                <w:b/>
                <w:bCs/>
              </w:rPr>
              <w:t>Multiplier?</w:t>
            </w:r>
          </w:p>
        </w:tc>
        <w:tc>
          <w:tcPr>
            <w:tcW w:w="2501" w:type="dxa"/>
            <w:tcBorders>
              <w:top w:val="single" w:color="auto" w:sz="4" w:space="0"/>
              <w:left w:val="single" w:color="auto" w:sz="4" w:space="0"/>
              <w:bottom w:val="single" w:color="auto" w:sz="4" w:space="0"/>
              <w:right w:val="single" w:color="auto" w:sz="4" w:space="0"/>
            </w:tcBorders>
            <w:vAlign w:val="bottom"/>
            <w:hideMark/>
          </w:tcPr>
          <w:p w:rsidRPr="00B803D5" w:rsidR="00ED55FC" w:rsidP="0036244B" w:rsidRDefault="00ED55FC" w14:paraId="738244DB" w14:textId="77777777">
            <w:pPr>
              <w:jc w:val="center"/>
              <w:rPr>
                <w:b/>
                <w:bCs/>
              </w:rPr>
            </w:pPr>
            <w:r w:rsidRPr="00B803D5">
              <w:rPr>
                <w:b/>
                <w:bCs/>
              </w:rPr>
              <w:t>Reason Change/Disallowance</w:t>
            </w:r>
          </w:p>
        </w:tc>
      </w:tr>
      <w:tr w:rsidRPr="00B803D5" w:rsidR="00ED55FC" w:rsidTr="009C434B" w14:paraId="0B2FEEB7" w14:textId="77777777">
        <w:trPr>
          <w:trHeight w:val="872"/>
          <w:jc w:val="center"/>
        </w:trPr>
        <w:tc>
          <w:tcPr>
            <w:tcW w:w="1885" w:type="dxa"/>
            <w:tcBorders>
              <w:top w:val="single" w:color="auto" w:sz="4" w:space="0"/>
              <w:left w:val="single" w:color="auto" w:sz="4" w:space="0"/>
              <w:bottom w:val="single" w:color="auto" w:sz="4" w:space="0"/>
              <w:right w:val="single" w:color="auto" w:sz="4" w:space="0"/>
            </w:tcBorders>
            <w:shd w:val="clear" w:color="auto" w:fill="auto"/>
            <w:hideMark/>
          </w:tcPr>
          <w:p w:rsidRPr="0049479D" w:rsidR="00ED55FC" w:rsidP="0036244B" w:rsidRDefault="00ED55FC" w14:paraId="611F7DB5" w14:textId="77777777">
            <w:pPr>
              <w:jc w:val="center"/>
            </w:pPr>
            <w:r w:rsidRPr="00C42AEE">
              <w:t>The Utility Reform Network</w:t>
            </w:r>
          </w:p>
        </w:tc>
        <w:tc>
          <w:tcPr>
            <w:tcW w:w="1641" w:type="dxa"/>
            <w:tcBorders>
              <w:top w:val="single" w:color="auto" w:sz="4" w:space="0"/>
              <w:left w:val="single" w:color="auto" w:sz="4" w:space="0"/>
              <w:bottom w:val="single" w:color="auto" w:sz="4" w:space="0"/>
              <w:right w:val="single" w:color="auto" w:sz="4" w:space="0"/>
            </w:tcBorders>
            <w:shd w:val="clear" w:color="auto" w:fill="auto"/>
            <w:hideMark/>
          </w:tcPr>
          <w:p w:rsidRPr="0049479D" w:rsidR="00ED55FC" w:rsidP="0036244B" w:rsidRDefault="00ED55FC" w14:paraId="102681D7" w14:textId="1C591808">
            <w:pPr>
              <w:jc w:val="center"/>
            </w:pPr>
            <w:r w:rsidRPr="0049479D">
              <w:t>April</w:t>
            </w:r>
            <w:r w:rsidR="009C434B">
              <w:t> </w:t>
            </w:r>
            <w:r w:rsidRPr="0049479D" w:rsidR="0049479D">
              <w:t>19</w:t>
            </w:r>
            <w:r w:rsidRPr="0049479D">
              <w:t>,</w:t>
            </w:r>
            <w:r w:rsidR="009C434B">
              <w:t> </w:t>
            </w:r>
            <w:r w:rsidRPr="0049479D">
              <w:t>2024</w:t>
            </w:r>
          </w:p>
        </w:tc>
        <w:tc>
          <w:tcPr>
            <w:tcW w:w="1420" w:type="dxa"/>
            <w:tcBorders>
              <w:top w:val="single" w:color="auto" w:sz="4" w:space="0"/>
              <w:left w:val="single" w:color="auto" w:sz="4" w:space="0"/>
              <w:bottom w:val="single" w:color="auto" w:sz="4" w:space="0"/>
              <w:right w:val="single" w:color="auto" w:sz="4" w:space="0"/>
            </w:tcBorders>
            <w:shd w:val="clear" w:color="auto" w:fill="auto"/>
            <w:hideMark/>
          </w:tcPr>
          <w:p w:rsidRPr="00B803D5" w:rsidR="00ED55FC" w:rsidP="0036244B" w:rsidRDefault="00ED55FC" w14:paraId="304FDCF7" w14:textId="1B7E4C7C">
            <w:pPr>
              <w:jc w:val="center"/>
            </w:pPr>
            <w:r w:rsidRPr="00AB7A9C">
              <w:t>$</w:t>
            </w:r>
            <w:r w:rsidR="00AA29BA">
              <w:t>53,766.25</w:t>
            </w:r>
            <w:r w:rsidRPr="00AB7A9C">
              <w:t xml:space="preserve"> </w:t>
            </w:r>
          </w:p>
        </w:tc>
        <w:tc>
          <w:tcPr>
            <w:tcW w:w="1588" w:type="dxa"/>
            <w:tcBorders>
              <w:top w:val="single" w:color="auto" w:sz="4" w:space="0"/>
              <w:left w:val="single" w:color="auto" w:sz="4" w:space="0"/>
              <w:bottom w:val="single" w:color="auto" w:sz="4" w:space="0"/>
              <w:right w:val="single" w:color="auto" w:sz="4" w:space="0"/>
            </w:tcBorders>
            <w:hideMark/>
          </w:tcPr>
          <w:p w:rsidRPr="00050176" w:rsidR="00ED55FC" w:rsidP="0036244B" w:rsidRDefault="00050176" w14:paraId="02DCAAA1" w14:textId="5AD7A87E">
            <w:pPr>
              <w:jc w:val="center"/>
              <w:rPr>
                <w:bCs/>
                <w:iCs/>
              </w:rPr>
            </w:pPr>
            <w:r w:rsidRPr="00050176">
              <w:rPr>
                <w:bCs/>
                <w:iCs/>
                <w:color w:val="000000"/>
              </w:rPr>
              <w:t>$53,</w:t>
            </w:r>
            <w:r w:rsidR="00CA4883">
              <w:rPr>
                <w:bCs/>
                <w:iCs/>
                <w:color w:val="000000"/>
              </w:rPr>
              <w:t>166</w:t>
            </w:r>
            <w:r w:rsidRPr="00050176">
              <w:rPr>
                <w:bCs/>
                <w:iCs/>
                <w:color w:val="000000"/>
              </w:rPr>
              <w:t>.25</w:t>
            </w:r>
          </w:p>
        </w:tc>
        <w:tc>
          <w:tcPr>
            <w:tcW w:w="1405" w:type="dxa"/>
            <w:tcBorders>
              <w:top w:val="single" w:color="auto" w:sz="4" w:space="0"/>
              <w:left w:val="single" w:color="auto" w:sz="4" w:space="0"/>
              <w:bottom w:val="single" w:color="auto" w:sz="4" w:space="0"/>
              <w:right w:val="single" w:color="auto" w:sz="4" w:space="0"/>
            </w:tcBorders>
            <w:hideMark/>
          </w:tcPr>
          <w:p w:rsidRPr="00B803D5" w:rsidR="00ED55FC" w:rsidP="0036244B" w:rsidRDefault="00ED55FC" w14:paraId="668A8D1F" w14:textId="77777777">
            <w:pPr>
              <w:jc w:val="center"/>
            </w:pPr>
            <w:r w:rsidRPr="00B803D5">
              <w:t>N/A</w:t>
            </w:r>
          </w:p>
        </w:tc>
        <w:tc>
          <w:tcPr>
            <w:tcW w:w="2501" w:type="dxa"/>
            <w:tcBorders>
              <w:top w:val="single" w:color="auto" w:sz="4" w:space="0"/>
              <w:left w:val="single" w:color="auto" w:sz="4" w:space="0"/>
              <w:bottom w:val="single" w:color="auto" w:sz="4" w:space="0"/>
              <w:right w:val="single" w:color="auto" w:sz="4" w:space="0"/>
            </w:tcBorders>
            <w:hideMark/>
          </w:tcPr>
          <w:p w:rsidRPr="00B803D5" w:rsidR="00ED55FC" w:rsidP="0036244B" w:rsidRDefault="00C3444F" w14:paraId="6C54C5AA" w14:textId="603FA1E8">
            <w:pPr>
              <w:jc w:val="center"/>
            </w:pPr>
            <w:r w:rsidRPr="0086224F">
              <w:rPr>
                <w:i/>
                <w:iCs/>
              </w:rPr>
              <w:t>See</w:t>
            </w:r>
            <w:r>
              <w:t xml:space="preserve"> Part III. D, CPUC Comments, Disallowances and Adjustments.</w:t>
            </w:r>
          </w:p>
        </w:tc>
      </w:tr>
    </w:tbl>
    <w:p w:rsidRPr="00B803D5" w:rsidR="00ED55FC" w:rsidP="00ED55FC" w:rsidRDefault="00ED55FC" w14:paraId="1E7567EB" w14:textId="77777777">
      <w:pPr>
        <w:spacing w:before="480" w:after="240"/>
        <w:jc w:val="center"/>
        <w:rPr>
          <w:b/>
          <w:bCs/>
          <w:sz w:val="28"/>
          <w:szCs w:val="28"/>
        </w:rPr>
      </w:pPr>
      <w:r w:rsidRPr="00B803D5">
        <w:rPr>
          <w:b/>
          <w:bCs/>
          <w:sz w:val="28"/>
          <w:szCs w:val="28"/>
        </w:rPr>
        <w:t>Hourly Fee Information</w:t>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bottom w:w="58" w:type="dxa"/>
        </w:tblCellMar>
        <w:tblLook w:val="01E0" w:firstRow="1" w:lastRow="1" w:firstColumn="1" w:lastColumn="1" w:noHBand="0" w:noVBand="0"/>
      </w:tblPr>
      <w:tblGrid>
        <w:gridCol w:w="1520"/>
        <w:gridCol w:w="1725"/>
        <w:gridCol w:w="2088"/>
        <w:gridCol w:w="1748"/>
        <w:gridCol w:w="1725"/>
        <w:gridCol w:w="1634"/>
      </w:tblGrid>
      <w:tr w:rsidRPr="00B803D5" w:rsidR="00ED55FC" w:rsidTr="0036244B" w14:paraId="05ED11F4"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vAlign w:val="bottom"/>
            <w:hideMark/>
          </w:tcPr>
          <w:p w:rsidRPr="00B803D5" w:rsidR="00ED55FC" w:rsidP="0036244B" w:rsidRDefault="00ED55FC" w14:paraId="192063C9" w14:textId="77777777">
            <w:pPr>
              <w:jc w:val="center"/>
              <w:rPr>
                <w:b/>
                <w:bCs/>
              </w:rPr>
            </w:pPr>
            <w:r w:rsidRPr="00B803D5">
              <w:rPr>
                <w:b/>
                <w:bCs/>
              </w:rPr>
              <w:t>First Name</w:t>
            </w:r>
          </w:p>
        </w:tc>
        <w:tc>
          <w:tcPr>
            <w:tcW w:w="1725" w:type="dxa"/>
            <w:tcBorders>
              <w:top w:val="single" w:color="auto" w:sz="4" w:space="0"/>
              <w:left w:val="single" w:color="auto" w:sz="4" w:space="0"/>
              <w:bottom w:val="single" w:color="auto" w:sz="4" w:space="0"/>
              <w:right w:val="single" w:color="auto" w:sz="4" w:space="0"/>
            </w:tcBorders>
            <w:vAlign w:val="bottom"/>
            <w:hideMark/>
          </w:tcPr>
          <w:p w:rsidRPr="00B803D5" w:rsidR="00ED55FC" w:rsidP="0036244B" w:rsidRDefault="00ED55FC" w14:paraId="0AA0DF74" w14:textId="77777777">
            <w:pPr>
              <w:jc w:val="center"/>
              <w:rPr>
                <w:b/>
                <w:bCs/>
              </w:rPr>
            </w:pPr>
            <w:r w:rsidRPr="00B803D5">
              <w:rPr>
                <w:b/>
                <w:bCs/>
              </w:rPr>
              <w:t>Last Name</w:t>
            </w:r>
          </w:p>
        </w:tc>
        <w:tc>
          <w:tcPr>
            <w:tcW w:w="2088" w:type="dxa"/>
            <w:tcBorders>
              <w:top w:val="single" w:color="auto" w:sz="4" w:space="0"/>
              <w:left w:val="single" w:color="auto" w:sz="4" w:space="0"/>
              <w:bottom w:val="single" w:color="auto" w:sz="4" w:space="0"/>
              <w:right w:val="single" w:color="auto" w:sz="4" w:space="0"/>
            </w:tcBorders>
            <w:vAlign w:val="bottom"/>
            <w:hideMark/>
          </w:tcPr>
          <w:p w:rsidRPr="00B803D5" w:rsidR="00ED55FC" w:rsidP="0036244B" w:rsidRDefault="00ED55FC" w14:paraId="58A918EA" w14:textId="77777777">
            <w:pPr>
              <w:ind w:left="12" w:firstLine="12"/>
              <w:jc w:val="center"/>
              <w:rPr>
                <w:b/>
                <w:bCs/>
              </w:rPr>
            </w:pPr>
            <w:r w:rsidRPr="00B803D5">
              <w:rPr>
                <w:b/>
                <w:bCs/>
              </w:rPr>
              <w:t>Attorney, Expert, or Advocate</w:t>
            </w:r>
          </w:p>
        </w:tc>
        <w:tc>
          <w:tcPr>
            <w:tcW w:w="1748" w:type="dxa"/>
            <w:tcBorders>
              <w:top w:val="single" w:color="auto" w:sz="4" w:space="0"/>
              <w:left w:val="single" w:color="auto" w:sz="4" w:space="0"/>
              <w:bottom w:val="single" w:color="auto" w:sz="4" w:space="0"/>
              <w:right w:val="single" w:color="auto" w:sz="4" w:space="0"/>
            </w:tcBorders>
            <w:vAlign w:val="bottom"/>
            <w:hideMark/>
          </w:tcPr>
          <w:p w:rsidR="00ED55FC" w:rsidP="0036244B" w:rsidRDefault="00ED55FC" w14:paraId="6A2DB68D" w14:textId="77777777">
            <w:pPr>
              <w:jc w:val="center"/>
              <w:rPr>
                <w:b/>
                <w:bCs/>
              </w:rPr>
            </w:pPr>
            <w:r w:rsidRPr="00B803D5">
              <w:rPr>
                <w:b/>
                <w:bCs/>
              </w:rPr>
              <w:t>Hourly</w:t>
            </w:r>
          </w:p>
          <w:p w:rsidRPr="00B803D5" w:rsidR="00ED55FC" w:rsidP="0036244B" w:rsidRDefault="00ED55FC" w14:paraId="76C12E7D" w14:textId="77777777">
            <w:pPr>
              <w:jc w:val="center"/>
              <w:rPr>
                <w:b/>
                <w:bCs/>
              </w:rPr>
            </w:pPr>
            <w:r w:rsidRPr="00B803D5">
              <w:rPr>
                <w:b/>
                <w:bCs/>
              </w:rPr>
              <w:t>Fee Requested</w:t>
            </w:r>
          </w:p>
        </w:tc>
        <w:tc>
          <w:tcPr>
            <w:tcW w:w="1725" w:type="dxa"/>
            <w:tcBorders>
              <w:top w:val="single" w:color="auto" w:sz="4" w:space="0"/>
              <w:left w:val="single" w:color="auto" w:sz="4" w:space="0"/>
              <w:bottom w:val="single" w:color="auto" w:sz="4" w:space="0"/>
              <w:right w:val="single" w:color="auto" w:sz="4" w:space="0"/>
            </w:tcBorders>
            <w:vAlign w:val="bottom"/>
            <w:hideMark/>
          </w:tcPr>
          <w:p w:rsidR="00ED55FC" w:rsidP="0036244B" w:rsidRDefault="00ED55FC" w14:paraId="6C21677F" w14:textId="77777777">
            <w:pPr>
              <w:jc w:val="center"/>
              <w:rPr>
                <w:b/>
                <w:bCs/>
              </w:rPr>
            </w:pPr>
            <w:r w:rsidRPr="00B803D5">
              <w:rPr>
                <w:b/>
                <w:bCs/>
              </w:rPr>
              <w:t>Year Hourly</w:t>
            </w:r>
          </w:p>
          <w:p w:rsidRPr="00B803D5" w:rsidR="00ED55FC" w:rsidP="0036244B" w:rsidRDefault="00ED55FC" w14:paraId="588C572A" w14:textId="77777777">
            <w:pPr>
              <w:jc w:val="center"/>
              <w:rPr>
                <w:b/>
                <w:bCs/>
              </w:rPr>
            </w:pPr>
            <w:r w:rsidRPr="00B803D5">
              <w:rPr>
                <w:b/>
                <w:bCs/>
              </w:rPr>
              <w:t>Fee Requested</w:t>
            </w:r>
          </w:p>
        </w:tc>
        <w:tc>
          <w:tcPr>
            <w:tcW w:w="1634" w:type="dxa"/>
            <w:tcBorders>
              <w:top w:val="single" w:color="auto" w:sz="4" w:space="0"/>
              <w:left w:val="single" w:color="auto" w:sz="4" w:space="0"/>
              <w:bottom w:val="single" w:color="auto" w:sz="4" w:space="0"/>
              <w:right w:val="single" w:color="auto" w:sz="4" w:space="0"/>
            </w:tcBorders>
            <w:vAlign w:val="bottom"/>
            <w:hideMark/>
          </w:tcPr>
          <w:p w:rsidR="00ED55FC" w:rsidP="0036244B" w:rsidRDefault="00ED55FC" w14:paraId="1AF8D2FB" w14:textId="77777777">
            <w:pPr>
              <w:jc w:val="center"/>
              <w:rPr>
                <w:b/>
                <w:bCs/>
              </w:rPr>
            </w:pPr>
            <w:r w:rsidRPr="00B803D5">
              <w:rPr>
                <w:b/>
                <w:bCs/>
              </w:rPr>
              <w:t>Hourly</w:t>
            </w:r>
          </w:p>
          <w:p w:rsidRPr="00B803D5" w:rsidR="00ED55FC" w:rsidP="0036244B" w:rsidRDefault="00ED55FC" w14:paraId="56C2B02A" w14:textId="77777777">
            <w:pPr>
              <w:jc w:val="center"/>
              <w:rPr>
                <w:b/>
                <w:bCs/>
              </w:rPr>
            </w:pPr>
            <w:r w:rsidRPr="00B803D5">
              <w:rPr>
                <w:b/>
                <w:bCs/>
              </w:rPr>
              <w:t>Fee Adopted</w:t>
            </w:r>
          </w:p>
        </w:tc>
      </w:tr>
      <w:tr w:rsidRPr="00B803D5" w:rsidR="00ED55FC" w:rsidTr="00C42AEE" w14:paraId="4374180E"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C42AEE" w:rsidR="00ED55FC" w:rsidP="0036244B" w:rsidRDefault="00ED55FC" w14:paraId="72D6772F" w14:textId="77777777">
            <w:pPr>
              <w:jc w:val="center"/>
            </w:pPr>
            <w:r w:rsidRPr="00C42AEE">
              <w:t xml:space="preserve">Thomas </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C42AEE" w:rsidR="00ED55FC" w:rsidP="0036244B" w:rsidRDefault="00ED55FC" w14:paraId="28A73319" w14:textId="77777777">
            <w:pPr>
              <w:jc w:val="center"/>
            </w:pPr>
            <w:r w:rsidRPr="00C42AEE">
              <w:t>Long</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C42AEE" w:rsidR="00ED55FC" w:rsidP="0036244B" w:rsidRDefault="00ED55FC" w14:paraId="316004A6" w14:textId="77777777">
            <w:pPr>
              <w:jc w:val="center"/>
            </w:pPr>
            <w:r w:rsidRPr="00C42AEE">
              <w:t>Attorney</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C42AEE" w:rsidR="00ED55FC" w:rsidP="0036244B" w:rsidRDefault="00ED55FC" w14:paraId="4B9F217B" w14:textId="429ECA47">
            <w:pPr>
              <w:jc w:val="center"/>
            </w:pPr>
            <w:r w:rsidRPr="00C42AEE">
              <w:t>$840</w:t>
            </w:r>
            <w:r w:rsidRPr="009C434B" w:rsidR="009C434B">
              <w:t>.00</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C42AEE" w:rsidR="00ED55FC" w:rsidP="0036244B" w:rsidRDefault="00ED55FC" w14:paraId="32D448F8" w14:textId="77777777">
            <w:pPr>
              <w:jc w:val="center"/>
            </w:pPr>
            <w:r w:rsidRPr="00C42AEE">
              <w:t>2023</w:t>
            </w:r>
          </w:p>
        </w:tc>
        <w:tc>
          <w:tcPr>
            <w:tcW w:w="1634" w:type="dxa"/>
            <w:tcBorders>
              <w:top w:val="single" w:color="auto" w:sz="4" w:space="0"/>
              <w:left w:val="single" w:color="auto" w:sz="4" w:space="0"/>
              <w:bottom w:val="single" w:color="auto" w:sz="4" w:space="0"/>
              <w:right w:val="single" w:color="auto" w:sz="4" w:space="0"/>
            </w:tcBorders>
          </w:tcPr>
          <w:p w:rsidRPr="00B803D5" w:rsidR="00ED55FC" w:rsidP="0036244B" w:rsidRDefault="003706F1" w14:paraId="15003168" w14:textId="02E1D6A8">
            <w:pPr>
              <w:jc w:val="center"/>
            </w:pPr>
            <w:r>
              <w:t>$8</w:t>
            </w:r>
            <w:r w:rsidR="009324AE">
              <w:t>30</w:t>
            </w:r>
            <w:r w:rsidRPr="009C434B" w:rsidR="009C434B">
              <w:t>.00</w:t>
            </w:r>
          </w:p>
        </w:tc>
      </w:tr>
      <w:tr w:rsidRPr="00B803D5" w:rsidR="00ED55FC" w:rsidTr="00C42AEE" w14:paraId="71CC94F9"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C42AEE" w:rsidR="00ED55FC" w:rsidP="0036244B" w:rsidRDefault="00ED55FC" w14:paraId="57CBB08B" w14:textId="77777777">
            <w:pPr>
              <w:jc w:val="center"/>
            </w:pPr>
            <w:r w:rsidRPr="00C42AEE">
              <w:t xml:space="preserve">Thomas </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C42AEE" w:rsidR="00ED55FC" w:rsidP="0036244B" w:rsidRDefault="00ED55FC" w14:paraId="3C40AE12" w14:textId="77777777">
            <w:pPr>
              <w:jc w:val="center"/>
            </w:pPr>
            <w:r w:rsidRPr="00C42AEE">
              <w:t>Long</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C42AEE" w:rsidR="00ED55FC" w:rsidP="0036244B" w:rsidRDefault="00ED55FC" w14:paraId="1862BFC2" w14:textId="77777777">
            <w:pPr>
              <w:jc w:val="center"/>
            </w:pPr>
            <w:r w:rsidRPr="00C42AEE">
              <w:t>Attorney</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C42AEE" w:rsidR="00ED55FC" w:rsidP="0036244B" w:rsidRDefault="00ED55FC" w14:paraId="1F633970" w14:textId="36E1427C">
            <w:pPr>
              <w:jc w:val="center"/>
            </w:pPr>
            <w:r w:rsidRPr="00C42AEE">
              <w:t>$875</w:t>
            </w:r>
            <w:r w:rsidRPr="009C434B" w:rsidR="009C434B">
              <w:t>.00</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C42AEE" w:rsidR="00ED55FC" w:rsidP="0036244B" w:rsidRDefault="00ED55FC" w14:paraId="3C9F4DDC" w14:textId="77777777">
            <w:pPr>
              <w:jc w:val="center"/>
            </w:pPr>
            <w:r w:rsidRPr="00C42AEE">
              <w:t>2024</w:t>
            </w:r>
          </w:p>
        </w:tc>
        <w:tc>
          <w:tcPr>
            <w:tcW w:w="1634" w:type="dxa"/>
            <w:tcBorders>
              <w:top w:val="single" w:color="auto" w:sz="4" w:space="0"/>
              <w:left w:val="single" w:color="auto" w:sz="4" w:space="0"/>
              <w:bottom w:val="single" w:color="auto" w:sz="4" w:space="0"/>
              <w:right w:val="single" w:color="auto" w:sz="4" w:space="0"/>
            </w:tcBorders>
          </w:tcPr>
          <w:p w:rsidRPr="00B803D5" w:rsidR="00ED55FC" w:rsidP="0036244B" w:rsidRDefault="003706F1" w14:paraId="467AD866" w14:textId="4B7D5D43">
            <w:pPr>
              <w:jc w:val="center"/>
            </w:pPr>
            <w:r>
              <w:t>$8</w:t>
            </w:r>
            <w:r w:rsidR="009324AE">
              <w:t>60</w:t>
            </w:r>
            <w:r w:rsidRPr="009C434B" w:rsidR="009C434B">
              <w:t>.00</w:t>
            </w:r>
          </w:p>
        </w:tc>
      </w:tr>
      <w:tr w:rsidRPr="00B803D5" w:rsidR="00ED55FC" w:rsidTr="00C42AEE" w14:paraId="1195732D"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C42AEE" w:rsidR="00ED55FC" w:rsidP="0036244B" w:rsidRDefault="00ED55FC" w14:paraId="507BFF14" w14:textId="77777777">
            <w:pPr>
              <w:jc w:val="center"/>
            </w:pPr>
            <w:r w:rsidRPr="00C42AEE">
              <w:t xml:space="preserve">Robert </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C42AEE" w:rsidR="00ED55FC" w:rsidP="0036244B" w:rsidRDefault="00ED55FC" w14:paraId="3FF58E63" w14:textId="77777777">
            <w:pPr>
              <w:jc w:val="center"/>
            </w:pPr>
            <w:r w:rsidRPr="00C42AEE">
              <w:t>Finkelstein</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C42AEE" w:rsidR="00ED55FC" w:rsidP="0036244B" w:rsidRDefault="00ED55FC" w14:paraId="4A6449ED" w14:textId="77777777">
            <w:pPr>
              <w:jc w:val="center"/>
            </w:pPr>
            <w:r w:rsidRPr="00C42AEE">
              <w:t>Attorney</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C42AEE" w:rsidR="00ED55FC" w:rsidP="0036244B" w:rsidRDefault="00ED55FC" w14:paraId="0474DA66" w14:textId="476DBD4D">
            <w:pPr>
              <w:jc w:val="center"/>
            </w:pPr>
            <w:r w:rsidRPr="00C42AEE">
              <w:t>$840</w:t>
            </w:r>
            <w:r w:rsidRPr="009C434B" w:rsidR="009C434B">
              <w:t>.00</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C42AEE" w:rsidR="00ED55FC" w:rsidP="0036244B" w:rsidRDefault="00ED55FC" w14:paraId="11EB319B" w14:textId="77777777">
            <w:pPr>
              <w:jc w:val="center"/>
            </w:pPr>
            <w:r w:rsidRPr="00C42AEE">
              <w:t>2023</w:t>
            </w:r>
          </w:p>
        </w:tc>
        <w:tc>
          <w:tcPr>
            <w:tcW w:w="1634" w:type="dxa"/>
            <w:tcBorders>
              <w:top w:val="single" w:color="auto" w:sz="4" w:space="0"/>
              <w:left w:val="single" w:color="auto" w:sz="4" w:space="0"/>
              <w:bottom w:val="single" w:color="auto" w:sz="4" w:space="0"/>
              <w:right w:val="single" w:color="auto" w:sz="4" w:space="0"/>
            </w:tcBorders>
          </w:tcPr>
          <w:p w:rsidRPr="00B803D5" w:rsidR="00ED55FC" w:rsidP="0036244B" w:rsidRDefault="003706F1" w14:paraId="06DAC3C8" w14:textId="5812F57E">
            <w:pPr>
              <w:jc w:val="center"/>
            </w:pPr>
            <w:r>
              <w:t>$840</w:t>
            </w:r>
            <w:r w:rsidRPr="009C434B" w:rsidR="009C434B">
              <w:t>.00</w:t>
            </w:r>
          </w:p>
        </w:tc>
      </w:tr>
      <w:tr w:rsidRPr="00B803D5" w:rsidR="00AA29BA" w:rsidTr="00C42AEE" w14:paraId="63411345"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C42AEE" w:rsidR="00AA29BA" w:rsidP="0036244B" w:rsidRDefault="00AA29BA" w14:paraId="632CFC47" w14:textId="1D32D293">
            <w:pPr>
              <w:jc w:val="center"/>
            </w:pPr>
            <w:r w:rsidRPr="00C42AEE">
              <w:t xml:space="preserve">Robert </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C42AEE" w:rsidR="00AA29BA" w:rsidP="0036244B" w:rsidRDefault="00AA29BA" w14:paraId="4FD714C2" w14:textId="585FC137">
            <w:pPr>
              <w:jc w:val="center"/>
            </w:pPr>
            <w:r w:rsidRPr="00C42AEE">
              <w:t>Finkelstein</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C42AEE" w:rsidR="00AA29BA" w:rsidP="0036244B" w:rsidRDefault="00AA29BA" w14:paraId="09443A5C" w14:textId="6DE94E00">
            <w:pPr>
              <w:jc w:val="center"/>
            </w:pPr>
            <w:r w:rsidRPr="00C42AEE">
              <w:t>Attorney</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C42AEE" w:rsidR="00AA29BA" w:rsidP="0036244B" w:rsidRDefault="00AA29BA" w14:paraId="197F93C5" w14:textId="65E5BF63">
            <w:pPr>
              <w:jc w:val="center"/>
            </w:pPr>
            <w:r w:rsidRPr="00C42AEE">
              <w:t>$875</w:t>
            </w:r>
            <w:r w:rsidRPr="009C434B" w:rsidR="009C434B">
              <w:t>.00</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C42AEE" w:rsidR="00AA29BA" w:rsidP="0036244B" w:rsidRDefault="00AA29BA" w14:paraId="4E54B6D2" w14:textId="512FD218">
            <w:pPr>
              <w:jc w:val="center"/>
            </w:pPr>
            <w:r w:rsidRPr="00C42AEE">
              <w:t>2024</w:t>
            </w:r>
          </w:p>
        </w:tc>
        <w:tc>
          <w:tcPr>
            <w:tcW w:w="1634" w:type="dxa"/>
            <w:tcBorders>
              <w:top w:val="single" w:color="auto" w:sz="4" w:space="0"/>
              <w:left w:val="single" w:color="auto" w:sz="4" w:space="0"/>
              <w:bottom w:val="single" w:color="auto" w:sz="4" w:space="0"/>
              <w:right w:val="single" w:color="auto" w:sz="4" w:space="0"/>
            </w:tcBorders>
          </w:tcPr>
          <w:p w:rsidRPr="00B803D5" w:rsidR="00AA29BA" w:rsidP="0036244B" w:rsidRDefault="00C42AEE" w14:paraId="22F6705B" w14:textId="1514A17D">
            <w:pPr>
              <w:jc w:val="center"/>
            </w:pPr>
            <w:r>
              <w:t>$</w:t>
            </w:r>
            <w:r w:rsidR="003706F1">
              <w:t>875</w:t>
            </w:r>
            <w:r w:rsidRPr="009C434B" w:rsidR="009C434B">
              <w:t>.00</w:t>
            </w:r>
          </w:p>
        </w:tc>
      </w:tr>
      <w:tr w:rsidRPr="00B803D5" w:rsidR="00ED55FC" w:rsidTr="00C42AEE" w14:paraId="7DA08C92"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C42AEE" w:rsidR="00ED55FC" w:rsidP="0036244B" w:rsidRDefault="00AA29BA" w14:paraId="2D703C92" w14:textId="764E8B3A">
            <w:pPr>
              <w:jc w:val="center"/>
            </w:pPr>
            <w:r w:rsidRPr="00C42AEE">
              <w:t>Jennifer</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C42AEE" w:rsidR="00ED55FC" w:rsidP="0036244B" w:rsidRDefault="00AA29BA" w14:paraId="45D081DC" w14:textId="5A06CFBE">
            <w:pPr>
              <w:jc w:val="center"/>
            </w:pPr>
            <w:r w:rsidRPr="00C42AEE">
              <w:t>Dowdell</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C42AEE" w:rsidR="00ED55FC" w:rsidP="0036244B" w:rsidRDefault="00ED55FC" w14:paraId="6B12A013" w14:textId="77777777">
            <w:pPr>
              <w:jc w:val="center"/>
            </w:pPr>
            <w:r w:rsidRPr="00C42AEE">
              <w:t>Expert</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C42AEE" w:rsidR="00ED55FC" w:rsidP="0036244B" w:rsidRDefault="00ED55FC" w14:paraId="4493D9DC" w14:textId="2C9EDF3E">
            <w:pPr>
              <w:jc w:val="center"/>
            </w:pPr>
            <w:r w:rsidRPr="00C42AEE">
              <w:t>$4</w:t>
            </w:r>
            <w:r w:rsidRPr="00C42AEE" w:rsidR="00AA29BA">
              <w:t>5</w:t>
            </w:r>
            <w:r w:rsidRPr="00C42AEE">
              <w:t>5</w:t>
            </w:r>
            <w:r w:rsidRPr="009C434B" w:rsidR="009C434B">
              <w:t>.00</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C42AEE" w:rsidR="00ED55FC" w:rsidP="0036244B" w:rsidRDefault="00ED55FC" w14:paraId="7719A868" w14:textId="77777777">
            <w:pPr>
              <w:jc w:val="center"/>
            </w:pPr>
            <w:r w:rsidRPr="00C42AEE">
              <w:t>2023</w:t>
            </w:r>
          </w:p>
        </w:tc>
        <w:tc>
          <w:tcPr>
            <w:tcW w:w="1634" w:type="dxa"/>
            <w:tcBorders>
              <w:top w:val="single" w:color="auto" w:sz="4" w:space="0"/>
              <w:left w:val="single" w:color="auto" w:sz="4" w:space="0"/>
              <w:bottom w:val="single" w:color="auto" w:sz="4" w:space="0"/>
              <w:right w:val="single" w:color="auto" w:sz="4" w:space="0"/>
            </w:tcBorders>
          </w:tcPr>
          <w:p w:rsidRPr="00B803D5" w:rsidR="00ED55FC" w:rsidP="0036244B" w:rsidRDefault="00C42AEE" w14:paraId="2E5E95AB" w14:textId="7057741C">
            <w:pPr>
              <w:jc w:val="center"/>
            </w:pPr>
            <w:r>
              <w:t>$455</w:t>
            </w:r>
            <w:r w:rsidRPr="009C434B" w:rsidR="009C434B">
              <w:t>.00</w:t>
            </w:r>
          </w:p>
        </w:tc>
      </w:tr>
      <w:tr w:rsidRPr="00B803D5" w:rsidR="00ED55FC" w:rsidTr="00C42AEE" w14:paraId="4D2D1C59"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C42AEE" w:rsidR="00ED55FC" w:rsidP="0036244B" w:rsidRDefault="00ED55FC" w14:paraId="133DB9DF" w14:textId="77777777">
            <w:pPr>
              <w:jc w:val="center"/>
            </w:pPr>
            <w:r w:rsidRPr="00C42AEE">
              <w:t>Reina</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C42AEE" w:rsidR="00ED55FC" w:rsidP="0036244B" w:rsidRDefault="00ED55FC" w14:paraId="42106B04" w14:textId="77777777">
            <w:pPr>
              <w:jc w:val="center"/>
            </w:pPr>
            <w:r w:rsidRPr="00C42AEE">
              <w:t>Yanagiba</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C42AEE" w:rsidR="00ED55FC" w:rsidP="0036244B" w:rsidRDefault="00ED55FC" w14:paraId="0AE64B7A" w14:textId="77777777">
            <w:pPr>
              <w:jc w:val="center"/>
            </w:pPr>
            <w:r w:rsidRPr="00C42AEE">
              <w:t>Legal Assistant</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C42AEE" w:rsidR="00ED55FC" w:rsidP="0036244B" w:rsidRDefault="00ED55FC" w14:paraId="3FEA44B0" w14:textId="257939BA">
            <w:pPr>
              <w:jc w:val="center"/>
            </w:pPr>
            <w:r w:rsidRPr="00C42AEE">
              <w:t>$95</w:t>
            </w:r>
            <w:r w:rsidRPr="009C434B" w:rsidR="009C434B">
              <w:t>.00</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C42AEE" w:rsidR="00ED55FC" w:rsidP="0036244B" w:rsidRDefault="00ED55FC" w14:paraId="1959E4B6" w14:textId="77777777">
            <w:pPr>
              <w:jc w:val="center"/>
            </w:pPr>
            <w:r w:rsidRPr="00C42AEE">
              <w:t>2023</w:t>
            </w:r>
          </w:p>
        </w:tc>
        <w:tc>
          <w:tcPr>
            <w:tcW w:w="1634" w:type="dxa"/>
            <w:tcBorders>
              <w:top w:val="single" w:color="auto" w:sz="4" w:space="0"/>
              <w:left w:val="single" w:color="auto" w:sz="4" w:space="0"/>
              <w:bottom w:val="single" w:color="auto" w:sz="4" w:space="0"/>
              <w:right w:val="single" w:color="auto" w:sz="4" w:space="0"/>
            </w:tcBorders>
          </w:tcPr>
          <w:p w:rsidRPr="00B803D5" w:rsidR="00ED55FC" w:rsidP="0036244B" w:rsidRDefault="00C42AEE" w14:paraId="28A7EC9D" w14:textId="6846DFBC">
            <w:pPr>
              <w:jc w:val="center"/>
            </w:pPr>
            <w:r>
              <w:t>$95</w:t>
            </w:r>
            <w:r w:rsidRPr="009C434B" w:rsidR="009C434B">
              <w:t>.00</w:t>
            </w:r>
          </w:p>
        </w:tc>
      </w:tr>
    </w:tbl>
    <w:p w:rsidR="00ED55FC" w:rsidP="00ED55FC" w:rsidRDefault="00ED55FC" w14:paraId="6CA767AF" w14:textId="77777777">
      <w:pPr>
        <w:spacing w:line="360" w:lineRule="auto"/>
        <w:rPr>
          <w:b/>
        </w:rPr>
      </w:pPr>
    </w:p>
    <w:p w:rsidR="00ED55FC" w:rsidP="00ED55FC" w:rsidRDefault="00ED55FC" w14:paraId="6D41999C" w14:textId="77777777">
      <w:pPr>
        <w:jc w:val="center"/>
        <w:rPr>
          <w:b/>
        </w:rPr>
      </w:pPr>
      <w:r w:rsidRPr="00B803D5">
        <w:rPr>
          <w:b/>
        </w:rPr>
        <w:t xml:space="preserve">(END OF </w:t>
      </w:r>
      <w:r w:rsidRPr="00B803D5">
        <w:rPr>
          <w:b/>
          <w:szCs w:val="26"/>
        </w:rPr>
        <w:t>APPENDIX</w:t>
      </w:r>
      <w:r w:rsidRPr="00B803D5">
        <w:rPr>
          <w:b/>
        </w:rPr>
        <w:t>)</w:t>
      </w:r>
    </w:p>
    <w:p w:rsidR="00ED55FC" w:rsidP="006561B0" w:rsidRDefault="00ED55FC" w14:paraId="0968E9DF" w14:textId="01C6228F"/>
    <w:sectPr w:rsidR="00ED55FC" w:rsidSect="00470C55">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B52BB" w14:textId="77777777" w:rsidR="00E746F3" w:rsidRDefault="00E746F3" w:rsidP="00625B30">
      <w:r>
        <w:separator/>
      </w:r>
    </w:p>
  </w:endnote>
  <w:endnote w:type="continuationSeparator" w:id="0">
    <w:p w14:paraId="09565DD6" w14:textId="77777777" w:rsidR="00E746F3" w:rsidRDefault="00E746F3" w:rsidP="00625B30">
      <w:r>
        <w:continuationSeparator/>
      </w:r>
    </w:p>
  </w:endnote>
  <w:endnote w:type="continuationNotice" w:id="1">
    <w:p w14:paraId="1B22BF9A" w14:textId="77777777" w:rsidR="00E746F3" w:rsidRDefault="00E74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FF0D0" w14:textId="2F96D4F0" w:rsidR="00C87432" w:rsidRDefault="00BC3388" w:rsidP="00BC3388">
    <w:pPr>
      <w:pStyle w:val="Footer"/>
    </w:pPr>
    <w:r>
      <w:tab/>
    </w:r>
    <w:sdt>
      <w:sdtPr>
        <w:id w:val="-1496022518"/>
        <w:docPartObj>
          <w:docPartGallery w:val="Page Numbers (Bottom of Page)"/>
          <w:docPartUnique/>
        </w:docPartObj>
      </w:sdtPr>
      <w:sdtEndPr>
        <w:rPr>
          <w:noProof/>
        </w:rPr>
      </w:sdtEndPr>
      <w:sdtContent>
        <w:r w:rsidR="00C87432">
          <w:fldChar w:fldCharType="begin"/>
        </w:r>
        <w:r w:rsidR="00C87432">
          <w:instrText xml:space="preserve"> PAGE   \* MERGEFORMAT </w:instrText>
        </w:r>
        <w:r w:rsidR="00C87432">
          <w:fldChar w:fldCharType="separate"/>
        </w:r>
        <w:r w:rsidR="00C87432">
          <w:rPr>
            <w:noProof/>
          </w:rPr>
          <w:t>2</w:t>
        </w:r>
        <w:r w:rsidR="00C87432">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FFBBE" w14:textId="4761CCA2" w:rsidR="00470C55" w:rsidRPr="00470C55" w:rsidRDefault="005129F1">
    <w:pPr>
      <w:pStyle w:val="Footer"/>
    </w:pPr>
    <w:r w:rsidRPr="005129F1">
      <w:rPr>
        <w:sz w:val="16"/>
        <w:szCs w:val="16"/>
      </w:rPr>
      <w:t>540719218</w:t>
    </w:r>
    <w:r w:rsidR="00470C55">
      <w:rPr>
        <w:sz w:val="16"/>
        <w:szCs w:val="16"/>
      </w:rPr>
      <w:tab/>
    </w:r>
    <w:r w:rsidR="00470C55" w:rsidRPr="00470C55">
      <w:fldChar w:fldCharType="begin"/>
    </w:r>
    <w:r w:rsidR="00470C55" w:rsidRPr="00470C55">
      <w:instrText xml:space="preserve"> PAGE   \* MERGEFORMAT </w:instrText>
    </w:r>
    <w:r w:rsidR="00470C55" w:rsidRPr="00470C55">
      <w:fldChar w:fldCharType="separate"/>
    </w:r>
    <w:r w:rsidR="00470C55" w:rsidRPr="00470C55">
      <w:rPr>
        <w:noProof/>
      </w:rPr>
      <w:t>1</w:t>
    </w:r>
    <w:r w:rsidR="00470C55" w:rsidRPr="00470C5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9999B" w14:textId="77777777" w:rsidR="00E746F3" w:rsidRDefault="00E746F3" w:rsidP="00625B30">
      <w:r>
        <w:separator/>
      </w:r>
    </w:p>
  </w:footnote>
  <w:footnote w:type="continuationSeparator" w:id="0">
    <w:p w14:paraId="03525E8A" w14:textId="77777777" w:rsidR="00E746F3" w:rsidRDefault="00E746F3" w:rsidP="00625B30">
      <w:r>
        <w:continuationSeparator/>
      </w:r>
    </w:p>
  </w:footnote>
  <w:footnote w:type="continuationNotice" w:id="1">
    <w:p w14:paraId="771B4496" w14:textId="77777777" w:rsidR="00E746F3" w:rsidRDefault="00E746F3"/>
  </w:footnote>
  <w:footnote w:id="2">
    <w:p w14:paraId="345C0878" w14:textId="77777777" w:rsidR="00625B30" w:rsidRDefault="00625B30" w:rsidP="00625B30">
      <w:pPr>
        <w:pStyle w:val="FootnoteText"/>
      </w:pPr>
      <w:r>
        <w:rPr>
          <w:rStyle w:val="FootnoteReference"/>
          <w:rFonts w:eastAsiaTheme="majorEastAsia"/>
        </w:rPr>
        <w:footnoteRef/>
      </w:r>
      <w:r>
        <w:t xml:space="preserve"> All statutory references are to California Public Utilities Code unless indicated otherwise.</w:t>
      </w:r>
    </w:p>
  </w:footnote>
  <w:footnote w:id="3">
    <w:p w14:paraId="44EC95CB" w14:textId="77777777" w:rsidR="0017532F" w:rsidRPr="00DE3A5D" w:rsidRDefault="0017532F" w:rsidP="00625B30">
      <w:pPr>
        <w:pStyle w:val="FootnoteText"/>
      </w:pPr>
      <w:r w:rsidRPr="00DE3A5D">
        <w:rPr>
          <w:rStyle w:val="FootnoteReference"/>
          <w:rFonts w:eastAsiaTheme="majorEastAsia"/>
          <w:sz w:val="20"/>
        </w:rPr>
        <w:footnoteRef/>
      </w:r>
      <w:r w:rsidRPr="00DE3A5D">
        <w:t xml:space="preserve"> This information may be </w:t>
      </w:r>
      <w:r w:rsidRPr="00DE3A5D">
        <w:rPr>
          <w:color w:val="000000"/>
        </w:rPr>
        <w:t>obtain</w:t>
      </w:r>
      <w:r>
        <w:rPr>
          <w:color w:val="000000"/>
        </w:rPr>
        <w:t xml:space="preserve">ed through the State Bar of California’s website at </w:t>
      </w:r>
      <w:hyperlink r:id="rId1" w:history="1">
        <w:r w:rsidRPr="00A86489">
          <w:rPr>
            <w:rStyle w:val="Hyperlink"/>
            <w:rFonts w:eastAsiaTheme="majorEastAsia"/>
            <w:szCs w:val="22"/>
          </w:rPr>
          <w:t>http://members.calbar.ca.gov/fal/MemberSearch/QuickSearch</w:t>
        </w:r>
      </w:hyperlink>
      <w:r>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AC076" w14:textId="64943E54" w:rsidR="00AE5191" w:rsidRDefault="00AE5191">
    <w:pPr>
      <w:pStyle w:val="Header"/>
    </w:pPr>
    <w:r>
      <w:t>A.</w:t>
    </w:r>
    <w:r w:rsidRPr="00850E6F">
      <w:rPr>
        <w:color w:val="000000"/>
      </w:rPr>
      <w:t>2</w:t>
    </w:r>
    <w:r>
      <w:rPr>
        <w:color w:val="000000"/>
      </w:rPr>
      <w:t>3</w:t>
    </w:r>
    <w:r>
      <w:rPr>
        <w:color w:val="000000"/>
      </w:rPr>
      <w:noBreakHyphen/>
      <w:t>06</w:t>
    </w:r>
    <w:r>
      <w:rPr>
        <w:color w:val="000000"/>
      </w:rPr>
      <w:noBreakHyphen/>
      <w:t>008  ALJ/KWZ</w:t>
    </w:r>
    <w:r w:rsidRPr="00BE4C33">
      <w:rPr>
        <w:color w:val="000000"/>
      </w:rPr>
      <w:t>/abb</w:t>
    </w: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395"/>
    <w:multiLevelType w:val="hybridMultilevel"/>
    <w:tmpl w:val="82AEE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25777"/>
    <w:multiLevelType w:val="hybridMultilevel"/>
    <w:tmpl w:val="2BC0C152"/>
    <w:lvl w:ilvl="0" w:tplc="F91419D4">
      <w:start w:val="1"/>
      <w:numFmt w:val="upperLetter"/>
      <w:lvlText w:val="%1."/>
      <w:lvlJc w:val="left"/>
      <w:pPr>
        <w:tabs>
          <w:tab w:val="num" w:pos="360"/>
        </w:tabs>
        <w:ind w:left="36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311408"/>
    <w:multiLevelType w:val="hybridMultilevel"/>
    <w:tmpl w:val="0652D32E"/>
    <w:lvl w:ilvl="0" w:tplc="63B8243A">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2F0203"/>
    <w:multiLevelType w:val="hybridMultilevel"/>
    <w:tmpl w:val="30FC9C02"/>
    <w:lvl w:ilvl="0" w:tplc="3F64304C">
      <w:start w:val="1"/>
      <w:numFmt w:val="decimal"/>
      <w:lvlText w:val="%1."/>
      <w:lvlJc w:val="left"/>
      <w:pPr>
        <w:ind w:left="547" w:hanging="5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604C03"/>
    <w:multiLevelType w:val="multilevel"/>
    <w:tmpl w:val="2A021E08"/>
    <w:lvl w:ilvl="0">
      <w:start w:val="2"/>
      <w:numFmt w:val="upperLetter"/>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402E60CD"/>
    <w:multiLevelType w:val="multilevel"/>
    <w:tmpl w:val="1C08E0D8"/>
    <w:lvl w:ilvl="0">
      <w:start w:val="2"/>
      <w:numFmt w:val="upperLetter"/>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549104FC"/>
    <w:multiLevelType w:val="hybridMultilevel"/>
    <w:tmpl w:val="AF42F70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568F6BF7"/>
    <w:multiLevelType w:val="multilevel"/>
    <w:tmpl w:val="27568260"/>
    <w:lvl w:ilvl="0">
      <w:start w:val="1"/>
      <w:numFmt w:val="upperLetter"/>
      <w:lvlText w:val="%1."/>
      <w:lvlJc w:val="left"/>
      <w:pPr>
        <w:tabs>
          <w:tab w:val="num" w:pos="360"/>
        </w:tabs>
        <w:ind w:left="360" w:hanging="360"/>
      </w:pPr>
      <w:rPr>
        <w:rFonts w:hint="default"/>
        <w:b/>
        <w:i w:val="0"/>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A692A99"/>
    <w:multiLevelType w:val="hybridMultilevel"/>
    <w:tmpl w:val="52E6C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AE3EFB"/>
    <w:multiLevelType w:val="hybridMultilevel"/>
    <w:tmpl w:val="DBF60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235692"/>
    <w:multiLevelType w:val="multilevel"/>
    <w:tmpl w:val="98A09BD2"/>
    <w:lvl w:ilvl="0">
      <w:start w:val="1"/>
      <w:numFmt w:val="upperLetter"/>
      <w:lvlText w:val="%1."/>
      <w:lvlJc w:val="left"/>
      <w:pPr>
        <w:ind w:left="360" w:hanging="360"/>
      </w:pPr>
      <w:rPr>
        <w:rFonts w:hint="default"/>
        <w:b/>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7A8179A5"/>
    <w:multiLevelType w:val="hybridMultilevel"/>
    <w:tmpl w:val="30FC9C02"/>
    <w:lvl w:ilvl="0" w:tplc="3F64304C">
      <w:start w:val="1"/>
      <w:numFmt w:val="decimal"/>
      <w:lvlText w:val="%1."/>
      <w:lvlJc w:val="left"/>
      <w:pPr>
        <w:ind w:left="547" w:hanging="5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17093550">
    <w:abstractNumId w:val="5"/>
  </w:num>
  <w:num w:numId="2" w16cid:durableId="842936081">
    <w:abstractNumId w:val="7"/>
  </w:num>
  <w:num w:numId="3" w16cid:durableId="1166047990">
    <w:abstractNumId w:val="0"/>
  </w:num>
  <w:num w:numId="4" w16cid:durableId="1920090715">
    <w:abstractNumId w:val="9"/>
  </w:num>
  <w:num w:numId="5" w16cid:durableId="584609159">
    <w:abstractNumId w:val="2"/>
  </w:num>
  <w:num w:numId="6" w16cid:durableId="1685205339">
    <w:abstractNumId w:val="1"/>
  </w:num>
  <w:num w:numId="7" w16cid:durableId="1858957422">
    <w:abstractNumId w:val="10"/>
  </w:num>
  <w:num w:numId="8" w16cid:durableId="2098595014">
    <w:abstractNumId w:val="11"/>
  </w:num>
  <w:num w:numId="9" w16cid:durableId="1312905431">
    <w:abstractNumId w:val="6"/>
  </w:num>
  <w:num w:numId="10" w16cid:durableId="789317941">
    <w:abstractNumId w:val="3"/>
  </w:num>
  <w:num w:numId="11" w16cid:durableId="1034576460">
    <w:abstractNumId w:val="4"/>
  </w:num>
  <w:num w:numId="12" w16cid:durableId="15372807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B30"/>
    <w:rsid w:val="000005AE"/>
    <w:rsid w:val="00005799"/>
    <w:rsid w:val="0001610C"/>
    <w:rsid w:val="00017EE3"/>
    <w:rsid w:val="00023AA3"/>
    <w:rsid w:val="000451BA"/>
    <w:rsid w:val="00050176"/>
    <w:rsid w:val="00056FAF"/>
    <w:rsid w:val="000624A6"/>
    <w:rsid w:val="0006750C"/>
    <w:rsid w:val="00081B80"/>
    <w:rsid w:val="00084666"/>
    <w:rsid w:val="00087CBC"/>
    <w:rsid w:val="0009071C"/>
    <w:rsid w:val="00093776"/>
    <w:rsid w:val="000A13C0"/>
    <w:rsid w:val="000A2C80"/>
    <w:rsid w:val="000A5C92"/>
    <w:rsid w:val="000B0699"/>
    <w:rsid w:val="000C7903"/>
    <w:rsid w:val="000D1D6C"/>
    <w:rsid w:val="000D335A"/>
    <w:rsid w:val="000D7CEC"/>
    <w:rsid w:val="000E11A8"/>
    <w:rsid w:val="000E4D20"/>
    <w:rsid w:val="000E5EB7"/>
    <w:rsid w:val="000E78AE"/>
    <w:rsid w:val="000F192E"/>
    <w:rsid w:val="000F68C8"/>
    <w:rsid w:val="00106D92"/>
    <w:rsid w:val="00117F71"/>
    <w:rsid w:val="00120B54"/>
    <w:rsid w:val="00123E74"/>
    <w:rsid w:val="0012791F"/>
    <w:rsid w:val="001375F1"/>
    <w:rsid w:val="00144D03"/>
    <w:rsid w:val="00147DD6"/>
    <w:rsid w:val="00156678"/>
    <w:rsid w:val="00156C03"/>
    <w:rsid w:val="001576E7"/>
    <w:rsid w:val="00163004"/>
    <w:rsid w:val="00171C9C"/>
    <w:rsid w:val="0017532F"/>
    <w:rsid w:val="00175359"/>
    <w:rsid w:val="00177DD5"/>
    <w:rsid w:val="00180104"/>
    <w:rsid w:val="00181064"/>
    <w:rsid w:val="00184FF0"/>
    <w:rsid w:val="00185B27"/>
    <w:rsid w:val="001948C2"/>
    <w:rsid w:val="00196901"/>
    <w:rsid w:val="00197ACB"/>
    <w:rsid w:val="001A66B3"/>
    <w:rsid w:val="001B068D"/>
    <w:rsid w:val="001B5087"/>
    <w:rsid w:val="001C6B7D"/>
    <w:rsid w:val="001D2CA3"/>
    <w:rsid w:val="001D5BBE"/>
    <w:rsid w:val="001D759B"/>
    <w:rsid w:val="001E3A4D"/>
    <w:rsid w:val="001E6C04"/>
    <w:rsid w:val="001E7C73"/>
    <w:rsid w:val="0020057D"/>
    <w:rsid w:val="002046FF"/>
    <w:rsid w:val="00207F20"/>
    <w:rsid w:val="0021079A"/>
    <w:rsid w:val="00211454"/>
    <w:rsid w:val="0021254D"/>
    <w:rsid w:val="00215C8D"/>
    <w:rsid w:val="002165FB"/>
    <w:rsid w:val="00216B40"/>
    <w:rsid w:val="00217F40"/>
    <w:rsid w:val="00221B50"/>
    <w:rsid w:val="00233876"/>
    <w:rsid w:val="0023520D"/>
    <w:rsid w:val="00235E65"/>
    <w:rsid w:val="002439F9"/>
    <w:rsid w:val="002572D6"/>
    <w:rsid w:val="00257FF6"/>
    <w:rsid w:val="00260B11"/>
    <w:rsid w:val="00265DC2"/>
    <w:rsid w:val="00266AA2"/>
    <w:rsid w:val="00267127"/>
    <w:rsid w:val="00273C64"/>
    <w:rsid w:val="0027650F"/>
    <w:rsid w:val="00285DAA"/>
    <w:rsid w:val="00286A24"/>
    <w:rsid w:val="00292231"/>
    <w:rsid w:val="002937D6"/>
    <w:rsid w:val="00296DF8"/>
    <w:rsid w:val="00297DB5"/>
    <w:rsid w:val="002A0330"/>
    <w:rsid w:val="002A19DA"/>
    <w:rsid w:val="002A23B8"/>
    <w:rsid w:val="002A24F3"/>
    <w:rsid w:val="002A39D7"/>
    <w:rsid w:val="002B7963"/>
    <w:rsid w:val="002B7E1E"/>
    <w:rsid w:val="002C06E5"/>
    <w:rsid w:val="002C3DFB"/>
    <w:rsid w:val="002C7086"/>
    <w:rsid w:val="002D3339"/>
    <w:rsid w:val="002E5489"/>
    <w:rsid w:val="002E7695"/>
    <w:rsid w:val="002F28DE"/>
    <w:rsid w:val="002F307D"/>
    <w:rsid w:val="003020B8"/>
    <w:rsid w:val="00317248"/>
    <w:rsid w:val="00320C8A"/>
    <w:rsid w:val="003220AD"/>
    <w:rsid w:val="003249D5"/>
    <w:rsid w:val="003301AA"/>
    <w:rsid w:val="00331110"/>
    <w:rsid w:val="00331E0D"/>
    <w:rsid w:val="00340CB2"/>
    <w:rsid w:val="00342984"/>
    <w:rsid w:val="003457F0"/>
    <w:rsid w:val="00350FBA"/>
    <w:rsid w:val="003521CF"/>
    <w:rsid w:val="00356A68"/>
    <w:rsid w:val="003706F1"/>
    <w:rsid w:val="003737FA"/>
    <w:rsid w:val="003749DB"/>
    <w:rsid w:val="003A1078"/>
    <w:rsid w:val="003A5236"/>
    <w:rsid w:val="003A5C58"/>
    <w:rsid w:val="003A60C9"/>
    <w:rsid w:val="003B0044"/>
    <w:rsid w:val="003B0DC8"/>
    <w:rsid w:val="003C043A"/>
    <w:rsid w:val="003C6287"/>
    <w:rsid w:val="003F1C42"/>
    <w:rsid w:val="003F4DE5"/>
    <w:rsid w:val="003F5CDD"/>
    <w:rsid w:val="003F64D0"/>
    <w:rsid w:val="00412608"/>
    <w:rsid w:val="00415C32"/>
    <w:rsid w:val="00434587"/>
    <w:rsid w:val="00450412"/>
    <w:rsid w:val="00455120"/>
    <w:rsid w:val="00470C55"/>
    <w:rsid w:val="00471B82"/>
    <w:rsid w:val="00471C38"/>
    <w:rsid w:val="004766D8"/>
    <w:rsid w:val="00477DA7"/>
    <w:rsid w:val="00480E9E"/>
    <w:rsid w:val="00485FD8"/>
    <w:rsid w:val="00486837"/>
    <w:rsid w:val="00491CEE"/>
    <w:rsid w:val="0049479D"/>
    <w:rsid w:val="00497B35"/>
    <w:rsid w:val="00497C70"/>
    <w:rsid w:val="004A3FED"/>
    <w:rsid w:val="004B4ACA"/>
    <w:rsid w:val="004C0C52"/>
    <w:rsid w:val="004D3033"/>
    <w:rsid w:val="004E55D1"/>
    <w:rsid w:val="004F5CEB"/>
    <w:rsid w:val="0050390E"/>
    <w:rsid w:val="00510235"/>
    <w:rsid w:val="0051228A"/>
    <w:rsid w:val="005129F1"/>
    <w:rsid w:val="00512F4D"/>
    <w:rsid w:val="005150E7"/>
    <w:rsid w:val="00524D22"/>
    <w:rsid w:val="00527661"/>
    <w:rsid w:val="005340DC"/>
    <w:rsid w:val="00534333"/>
    <w:rsid w:val="00541479"/>
    <w:rsid w:val="00541851"/>
    <w:rsid w:val="00542812"/>
    <w:rsid w:val="00542B4A"/>
    <w:rsid w:val="00550449"/>
    <w:rsid w:val="00551B8E"/>
    <w:rsid w:val="00560142"/>
    <w:rsid w:val="00562A67"/>
    <w:rsid w:val="005640C4"/>
    <w:rsid w:val="00567268"/>
    <w:rsid w:val="00571B8B"/>
    <w:rsid w:val="00572CFA"/>
    <w:rsid w:val="0058217B"/>
    <w:rsid w:val="00584949"/>
    <w:rsid w:val="00584E0F"/>
    <w:rsid w:val="005865E4"/>
    <w:rsid w:val="00597B53"/>
    <w:rsid w:val="005A6B12"/>
    <w:rsid w:val="005B0796"/>
    <w:rsid w:val="005B163F"/>
    <w:rsid w:val="005B3C3F"/>
    <w:rsid w:val="005C4167"/>
    <w:rsid w:val="005C4623"/>
    <w:rsid w:val="005C50FF"/>
    <w:rsid w:val="005D195D"/>
    <w:rsid w:val="005D3B73"/>
    <w:rsid w:val="005D4404"/>
    <w:rsid w:val="005D7294"/>
    <w:rsid w:val="005E656E"/>
    <w:rsid w:val="005F4CA9"/>
    <w:rsid w:val="00602682"/>
    <w:rsid w:val="006028EB"/>
    <w:rsid w:val="006037FF"/>
    <w:rsid w:val="006127E4"/>
    <w:rsid w:val="00613ABD"/>
    <w:rsid w:val="00613EB5"/>
    <w:rsid w:val="00615EB2"/>
    <w:rsid w:val="00625B30"/>
    <w:rsid w:val="00635BD3"/>
    <w:rsid w:val="00642CFC"/>
    <w:rsid w:val="00646423"/>
    <w:rsid w:val="006535A8"/>
    <w:rsid w:val="006561B0"/>
    <w:rsid w:val="006568B4"/>
    <w:rsid w:val="00656D9C"/>
    <w:rsid w:val="00657E5D"/>
    <w:rsid w:val="00660170"/>
    <w:rsid w:val="00660A03"/>
    <w:rsid w:val="0066292A"/>
    <w:rsid w:val="00677DE3"/>
    <w:rsid w:val="006805EA"/>
    <w:rsid w:val="00685D5C"/>
    <w:rsid w:val="00690147"/>
    <w:rsid w:val="006921C9"/>
    <w:rsid w:val="0069280F"/>
    <w:rsid w:val="00694A68"/>
    <w:rsid w:val="006A23A0"/>
    <w:rsid w:val="006A77BA"/>
    <w:rsid w:val="006B6A5A"/>
    <w:rsid w:val="006B7B83"/>
    <w:rsid w:val="006C2A4C"/>
    <w:rsid w:val="006C4115"/>
    <w:rsid w:val="006C4F84"/>
    <w:rsid w:val="006C5276"/>
    <w:rsid w:val="006C6D99"/>
    <w:rsid w:val="006D15A7"/>
    <w:rsid w:val="006E064F"/>
    <w:rsid w:val="006E6E5D"/>
    <w:rsid w:val="00700326"/>
    <w:rsid w:val="00701022"/>
    <w:rsid w:val="00703F0F"/>
    <w:rsid w:val="00715751"/>
    <w:rsid w:val="00716B8D"/>
    <w:rsid w:val="00717187"/>
    <w:rsid w:val="00720E09"/>
    <w:rsid w:val="00722A1F"/>
    <w:rsid w:val="00723CFD"/>
    <w:rsid w:val="007302C2"/>
    <w:rsid w:val="00734676"/>
    <w:rsid w:val="00747D0D"/>
    <w:rsid w:val="0075377C"/>
    <w:rsid w:val="007624CC"/>
    <w:rsid w:val="007630EF"/>
    <w:rsid w:val="00770D58"/>
    <w:rsid w:val="0077239A"/>
    <w:rsid w:val="007736E5"/>
    <w:rsid w:val="00773A6D"/>
    <w:rsid w:val="0077474A"/>
    <w:rsid w:val="00784247"/>
    <w:rsid w:val="00793E01"/>
    <w:rsid w:val="007A68B0"/>
    <w:rsid w:val="007C01A6"/>
    <w:rsid w:val="007C26A1"/>
    <w:rsid w:val="007D72CE"/>
    <w:rsid w:val="007E44E5"/>
    <w:rsid w:val="0080017F"/>
    <w:rsid w:val="008005B4"/>
    <w:rsid w:val="008044FC"/>
    <w:rsid w:val="008102BB"/>
    <w:rsid w:val="0081103A"/>
    <w:rsid w:val="00812593"/>
    <w:rsid w:val="00813FC3"/>
    <w:rsid w:val="008143AB"/>
    <w:rsid w:val="00817445"/>
    <w:rsid w:val="0082063B"/>
    <w:rsid w:val="008315B5"/>
    <w:rsid w:val="00831B1D"/>
    <w:rsid w:val="00846053"/>
    <w:rsid w:val="00846347"/>
    <w:rsid w:val="0084725B"/>
    <w:rsid w:val="00851A93"/>
    <w:rsid w:val="00856323"/>
    <w:rsid w:val="00864016"/>
    <w:rsid w:val="00866F3C"/>
    <w:rsid w:val="0087374B"/>
    <w:rsid w:val="00884DE7"/>
    <w:rsid w:val="00892638"/>
    <w:rsid w:val="00892737"/>
    <w:rsid w:val="008A041C"/>
    <w:rsid w:val="008A1C9D"/>
    <w:rsid w:val="008B0BF2"/>
    <w:rsid w:val="008C0CB1"/>
    <w:rsid w:val="008C1C10"/>
    <w:rsid w:val="008D6F13"/>
    <w:rsid w:val="008D7033"/>
    <w:rsid w:val="008E753B"/>
    <w:rsid w:val="008E7D77"/>
    <w:rsid w:val="008F285C"/>
    <w:rsid w:val="00901334"/>
    <w:rsid w:val="00906766"/>
    <w:rsid w:val="00910F0B"/>
    <w:rsid w:val="0091210C"/>
    <w:rsid w:val="00912274"/>
    <w:rsid w:val="009134D2"/>
    <w:rsid w:val="0091601E"/>
    <w:rsid w:val="009202EC"/>
    <w:rsid w:val="00920A41"/>
    <w:rsid w:val="0092189A"/>
    <w:rsid w:val="009220ED"/>
    <w:rsid w:val="00925254"/>
    <w:rsid w:val="00927058"/>
    <w:rsid w:val="009324AE"/>
    <w:rsid w:val="0093500B"/>
    <w:rsid w:val="009360F6"/>
    <w:rsid w:val="009432EC"/>
    <w:rsid w:val="00954B40"/>
    <w:rsid w:val="00955D93"/>
    <w:rsid w:val="009610B9"/>
    <w:rsid w:val="00961723"/>
    <w:rsid w:val="00965D26"/>
    <w:rsid w:val="00971199"/>
    <w:rsid w:val="009722CA"/>
    <w:rsid w:val="00975852"/>
    <w:rsid w:val="009847A7"/>
    <w:rsid w:val="0098587D"/>
    <w:rsid w:val="00985C79"/>
    <w:rsid w:val="0098758B"/>
    <w:rsid w:val="00997483"/>
    <w:rsid w:val="009A7B43"/>
    <w:rsid w:val="009B074F"/>
    <w:rsid w:val="009B1FBB"/>
    <w:rsid w:val="009B5A98"/>
    <w:rsid w:val="009C434B"/>
    <w:rsid w:val="009D0E87"/>
    <w:rsid w:val="009D1E12"/>
    <w:rsid w:val="009E0BED"/>
    <w:rsid w:val="009E0D75"/>
    <w:rsid w:val="009E4895"/>
    <w:rsid w:val="009E48A8"/>
    <w:rsid w:val="009E5690"/>
    <w:rsid w:val="009F122B"/>
    <w:rsid w:val="009F3854"/>
    <w:rsid w:val="00A00951"/>
    <w:rsid w:val="00A01698"/>
    <w:rsid w:val="00A03E31"/>
    <w:rsid w:val="00A148B1"/>
    <w:rsid w:val="00A15810"/>
    <w:rsid w:val="00A16228"/>
    <w:rsid w:val="00A16308"/>
    <w:rsid w:val="00A17B07"/>
    <w:rsid w:val="00A23FFD"/>
    <w:rsid w:val="00A2722D"/>
    <w:rsid w:val="00A3549C"/>
    <w:rsid w:val="00A46A2E"/>
    <w:rsid w:val="00A5518F"/>
    <w:rsid w:val="00A55724"/>
    <w:rsid w:val="00A63C1C"/>
    <w:rsid w:val="00A70097"/>
    <w:rsid w:val="00A7520A"/>
    <w:rsid w:val="00A839CC"/>
    <w:rsid w:val="00A83FD8"/>
    <w:rsid w:val="00A85B41"/>
    <w:rsid w:val="00A93A54"/>
    <w:rsid w:val="00A93E41"/>
    <w:rsid w:val="00AA29BA"/>
    <w:rsid w:val="00AA4CEB"/>
    <w:rsid w:val="00AA5C13"/>
    <w:rsid w:val="00AC264F"/>
    <w:rsid w:val="00AE5191"/>
    <w:rsid w:val="00AE66C6"/>
    <w:rsid w:val="00AF385C"/>
    <w:rsid w:val="00AF73DE"/>
    <w:rsid w:val="00B0322F"/>
    <w:rsid w:val="00B06889"/>
    <w:rsid w:val="00B12C55"/>
    <w:rsid w:val="00B17FE9"/>
    <w:rsid w:val="00B24EDE"/>
    <w:rsid w:val="00B3088F"/>
    <w:rsid w:val="00B32E60"/>
    <w:rsid w:val="00B340EE"/>
    <w:rsid w:val="00B344FC"/>
    <w:rsid w:val="00B351AF"/>
    <w:rsid w:val="00B41616"/>
    <w:rsid w:val="00B432DF"/>
    <w:rsid w:val="00B5216E"/>
    <w:rsid w:val="00B52A33"/>
    <w:rsid w:val="00B52DC7"/>
    <w:rsid w:val="00B6455E"/>
    <w:rsid w:val="00B712AF"/>
    <w:rsid w:val="00B724F4"/>
    <w:rsid w:val="00B72508"/>
    <w:rsid w:val="00B73962"/>
    <w:rsid w:val="00B810DA"/>
    <w:rsid w:val="00B961FC"/>
    <w:rsid w:val="00BB2FA5"/>
    <w:rsid w:val="00BC1D95"/>
    <w:rsid w:val="00BC2A78"/>
    <w:rsid w:val="00BC31C6"/>
    <w:rsid w:val="00BC3388"/>
    <w:rsid w:val="00BC7927"/>
    <w:rsid w:val="00BD13B1"/>
    <w:rsid w:val="00BE40DF"/>
    <w:rsid w:val="00BE4C33"/>
    <w:rsid w:val="00BF1A4A"/>
    <w:rsid w:val="00BF5064"/>
    <w:rsid w:val="00BF5E61"/>
    <w:rsid w:val="00BF7BC3"/>
    <w:rsid w:val="00C0697D"/>
    <w:rsid w:val="00C12513"/>
    <w:rsid w:val="00C12F08"/>
    <w:rsid w:val="00C174F8"/>
    <w:rsid w:val="00C27984"/>
    <w:rsid w:val="00C3444F"/>
    <w:rsid w:val="00C3766A"/>
    <w:rsid w:val="00C4246B"/>
    <w:rsid w:val="00C42AEE"/>
    <w:rsid w:val="00C452F7"/>
    <w:rsid w:val="00C47F2F"/>
    <w:rsid w:val="00C50CA8"/>
    <w:rsid w:val="00C562F5"/>
    <w:rsid w:val="00C57A58"/>
    <w:rsid w:val="00C617AE"/>
    <w:rsid w:val="00C70B02"/>
    <w:rsid w:val="00C71C06"/>
    <w:rsid w:val="00C73BD8"/>
    <w:rsid w:val="00C80E2B"/>
    <w:rsid w:val="00C85642"/>
    <w:rsid w:val="00C87432"/>
    <w:rsid w:val="00C93D4A"/>
    <w:rsid w:val="00CA0C15"/>
    <w:rsid w:val="00CA2E2A"/>
    <w:rsid w:val="00CA3EC3"/>
    <w:rsid w:val="00CA4883"/>
    <w:rsid w:val="00CA7D6A"/>
    <w:rsid w:val="00CB7CF3"/>
    <w:rsid w:val="00CC1244"/>
    <w:rsid w:val="00CC32FA"/>
    <w:rsid w:val="00CE1CD1"/>
    <w:rsid w:val="00CE3AFD"/>
    <w:rsid w:val="00CE3C52"/>
    <w:rsid w:val="00CE4EAF"/>
    <w:rsid w:val="00CF4F61"/>
    <w:rsid w:val="00CF6808"/>
    <w:rsid w:val="00D060D7"/>
    <w:rsid w:val="00D07E15"/>
    <w:rsid w:val="00D11668"/>
    <w:rsid w:val="00D1190A"/>
    <w:rsid w:val="00D15290"/>
    <w:rsid w:val="00D33A63"/>
    <w:rsid w:val="00D345B2"/>
    <w:rsid w:val="00D3594A"/>
    <w:rsid w:val="00D366E7"/>
    <w:rsid w:val="00D377E5"/>
    <w:rsid w:val="00D40AEC"/>
    <w:rsid w:val="00D41568"/>
    <w:rsid w:val="00D45397"/>
    <w:rsid w:val="00D45898"/>
    <w:rsid w:val="00D4692B"/>
    <w:rsid w:val="00D50164"/>
    <w:rsid w:val="00D52390"/>
    <w:rsid w:val="00D6091C"/>
    <w:rsid w:val="00D60975"/>
    <w:rsid w:val="00D80479"/>
    <w:rsid w:val="00D86B46"/>
    <w:rsid w:val="00D94675"/>
    <w:rsid w:val="00D95E31"/>
    <w:rsid w:val="00D97B66"/>
    <w:rsid w:val="00DA5D72"/>
    <w:rsid w:val="00DB17A6"/>
    <w:rsid w:val="00DB481E"/>
    <w:rsid w:val="00DC187C"/>
    <w:rsid w:val="00DC53F9"/>
    <w:rsid w:val="00DD35B3"/>
    <w:rsid w:val="00DD6C97"/>
    <w:rsid w:val="00DE6D46"/>
    <w:rsid w:val="00DE724E"/>
    <w:rsid w:val="00DF1186"/>
    <w:rsid w:val="00DF51FD"/>
    <w:rsid w:val="00DF632E"/>
    <w:rsid w:val="00DF7781"/>
    <w:rsid w:val="00E07DF2"/>
    <w:rsid w:val="00E233AC"/>
    <w:rsid w:val="00E306AF"/>
    <w:rsid w:val="00E43678"/>
    <w:rsid w:val="00E45AEA"/>
    <w:rsid w:val="00E46AC4"/>
    <w:rsid w:val="00E579BC"/>
    <w:rsid w:val="00E57C22"/>
    <w:rsid w:val="00E65AC4"/>
    <w:rsid w:val="00E70045"/>
    <w:rsid w:val="00E746F3"/>
    <w:rsid w:val="00E808F8"/>
    <w:rsid w:val="00E81E7F"/>
    <w:rsid w:val="00E91CA8"/>
    <w:rsid w:val="00E939FC"/>
    <w:rsid w:val="00EB1A5E"/>
    <w:rsid w:val="00EB52DA"/>
    <w:rsid w:val="00EB61DA"/>
    <w:rsid w:val="00EC1CFE"/>
    <w:rsid w:val="00ED30DC"/>
    <w:rsid w:val="00ED4351"/>
    <w:rsid w:val="00ED55FC"/>
    <w:rsid w:val="00ED664E"/>
    <w:rsid w:val="00ED7C56"/>
    <w:rsid w:val="00EE0A2D"/>
    <w:rsid w:val="00EE414A"/>
    <w:rsid w:val="00EE4C42"/>
    <w:rsid w:val="00EF37EE"/>
    <w:rsid w:val="00EF42F4"/>
    <w:rsid w:val="00EF69DC"/>
    <w:rsid w:val="00EF7AB7"/>
    <w:rsid w:val="00F22372"/>
    <w:rsid w:val="00F34E2E"/>
    <w:rsid w:val="00F36130"/>
    <w:rsid w:val="00F36C66"/>
    <w:rsid w:val="00F44C4D"/>
    <w:rsid w:val="00F454DC"/>
    <w:rsid w:val="00F5305D"/>
    <w:rsid w:val="00F53413"/>
    <w:rsid w:val="00F552B1"/>
    <w:rsid w:val="00F6510C"/>
    <w:rsid w:val="00F71697"/>
    <w:rsid w:val="00F7363F"/>
    <w:rsid w:val="00F8091A"/>
    <w:rsid w:val="00F81EC7"/>
    <w:rsid w:val="00F94DC2"/>
    <w:rsid w:val="00F95B9C"/>
    <w:rsid w:val="00FC3C97"/>
    <w:rsid w:val="00FD42F6"/>
    <w:rsid w:val="00FD7DAD"/>
    <w:rsid w:val="00FD7F17"/>
    <w:rsid w:val="00FE63F5"/>
    <w:rsid w:val="00FE7A13"/>
    <w:rsid w:val="00FF35B4"/>
    <w:rsid w:val="3ABFC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24844"/>
  <w15:chartTrackingRefBased/>
  <w15:docId w15:val="{92F937B2-AFA6-3542-8CDF-E44201C6E3CE}"/>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B30"/>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25B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5B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5B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5B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5B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5B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5B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5B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5B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B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5B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5B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5B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5B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5B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5B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5B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5B30"/>
    <w:rPr>
      <w:rFonts w:eastAsiaTheme="majorEastAsia" w:cstheme="majorBidi"/>
      <w:color w:val="272727" w:themeColor="text1" w:themeTint="D8"/>
    </w:rPr>
  </w:style>
  <w:style w:type="paragraph" w:styleId="Title">
    <w:name w:val="Title"/>
    <w:basedOn w:val="Normal"/>
    <w:next w:val="Normal"/>
    <w:link w:val="TitleChar"/>
    <w:uiPriority w:val="10"/>
    <w:qFormat/>
    <w:rsid w:val="00625B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5B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5B3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5B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5B3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25B30"/>
    <w:rPr>
      <w:i/>
      <w:iCs/>
      <w:color w:val="404040" w:themeColor="text1" w:themeTint="BF"/>
    </w:rPr>
  </w:style>
  <w:style w:type="paragraph" w:styleId="ListParagraph">
    <w:name w:val="List Paragraph"/>
    <w:basedOn w:val="Normal"/>
    <w:uiPriority w:val="34"/>
    <w:qFormat/>
    <w:rsid w:val="00625B30"/>
    <w:pPr>
      <w:ind w:left="720"/>
      <w:contextualSpacing/>
    </w:pPr>
  </w:style>
  <w:style w:type="character" w:styleId="IntenseEmphasis">
    <w:name w:val="Intense Emphasis"/>
    <w:basedOn w:val="DefaultParagraphFont"/>
    <w:uiPriority w:val="21"/>
    <w:qFormat/>
    <w:rsid w:val="00625B30"/>
    <w:rPr>
      <w:i/>
      <w:iCs/>
      <w:color w:val="0F4761" w:themeColor="accent1" w:themeShade="BF"/>
    </w:rPr>
  </w:style>
  <w:style w:type="paragraph" w:styleId="IntenseQuote">
    <w:name w:val="Intense Quote"/>
    <w:basedOn w:val="Normal"/>
    <w:next w:val="Normal"/>
    <w:link w:val="IntenseQuoteChar"/>
    <w:uiPriority w:val="30"/>
    <w:qFormat/>
    <w:rsid w:val="00625B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5B30"/>
    <w:rPr>
      <w:i/>
      <w:iCs/>
      <w:color w:val="0F4761" w:themeColor="accent1" w:themeShade="BF"/>
    </w:rPr>
  </w:style>
  <w:style w:type="character" w:styleId="IntenseReference">
    <w:name w:val="Intense Reference"/>
    <w:basedOn w:val="DefaultParagraphFont"/>
    <w:uiPriority w:val="32"/>
    <w:qFormat/>
    <w:rsid w:val="00625B30"/>
    <w:rPr>
      <w:b/>
      <w:bCs/>
      <w:smallCaps/>
      <w:color w:val="0F4761" w:themeColor="accent1" w:themeShade="BF"/>
      <w:spacing w:val="5"/>
    </w:rPr>
  </w:style>
  <w:style w:type="table" w:styleId="TableGrid">
    <w:name w:val="Table Grid"/>
    <w:basedOn w:val="TableNormal"/>
    <w:rsid w:val="00625B30"/>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bar">
    <w:name w:val="title bar"/>
    <w:basedOn w:val="Normal"/>
    <w:rsid w:val="00625B30"/>
    <w:pPr>
      <w:keepNext/>
      <w:suppressAutoHyphens/>
      <w:jc w:val="center"/>
    </w:pPr>
    <w:rPr>
      <w:rFonts w:ascii="Helvetica" w:hAnsi="Helvetica"/>
      <w:b/>
      <w:sz w:val="26"/>
      <w:szCs w:val="20"/>
    </w:rPr>
  </w:style>
  <w:style w:type="paragraph" w:styleId="Caption">
    <w:name w:val="caption"/>
    <w:basedOn w:val="Normal"/>
    <w:next w:val="Normal"/>
    <w:uiPriority w:val="35"/>
    <w:unhideWhenUsed/>
    <w:qFormat/>
    <w:rsid w:val="00625B30"/>
    <w:pPr>
      <w:spacing w:after="200"/>
    </w:pPr>
    <w:rPr>
      <w:i/>
      <w:iCs/>
      <w:color w:val="0E2841" w:themeColor="text2"/>
      <w:sz w:val="18"/>
      <w:szCs w:val="18"/>
    </w:rPr>
  </w:style>
  <w:style w:type="paragraph" w:styleId="FootnoteText">
    <w:name w:val="footnote text"/>
    <w:basedOn w:val="Normal"/>
    <w:link w:val="FootnoteTextChar"/>
    <w:uiPriority w:val="99"/>
    <w:rsid w:val="00625B30"/>
    <w:pPr>
      <w:spacing w:after="120"/>
    </w:pPr>
    <w:rPr>
      <w:sz w:val="22"/>
      <w:szCs w:val="20"/>
    </w:rPr>
  </w:style>
  <w:style w:type="character" w:customStyle="1" w:styleId="FootnoteTextChar">
    <w:name w:val="Footnote Text Char"/>
    <w:basedOn w:val="DefaultParagraphFont"/>
    <w:link w:val="FootnoteText"/>
    <w:uiPriority w:val="99"/>
    <w:rsid w:val="00625B30"/>
    <w:rPr>
      <w:rFonts w:ascii="Times New Roman" w:eastAsia="Times New Roman" w:hAnsi="Times New Roman" w:cs="Times New Roman"/>
      <w:kern w:val="0"/>
      <w:sz w:val="22"/>
      <w:szCs w:val="20"/>
      <w14:ligatures w14:val="none"/>
    </w:rPr>
  </w:style>
  <w:style w:type="character" w:styleId="FootnoteReference">
    <w:name w:val="footnote reference"/>
    <w:uiPriority w:val="99"/>
    <w:rsid w:val="00625B30"/>
    <w:rPr>
      <w:vertAlign w:val="superscript"/>
    </w:rPr>
  </w:style>
  <w:style w:type="character" w:styleId="Hyperlink">
    <w:name w:val="Hyperlink"/>
    <w:rsid w:val="00625B30"/>
    <w:rPr>
      <w:color w:val="3754D4"/>
      <w:u w:val="single"/>
    </w:rPr>
  </w:style>
  <w:style w:type="character" w:customStyle="1" w:styleId="standardChar">
    <w:name w:val="standard Char"/>
    <w:link w:val="standard"/>
    <w:locked/>
    <w:rsid w:val="00ED55FC"/>
    <w:rPr>
      <w:rFonts w:ascii="Palatino" w:hAnsi="Palatino"/>
      <w:sz w:val="26"/>
    </w:rPr>
  </w:style>
  <w:style w:type="paragraph" w:customStyle="1" w:styleId="standard">
    <w:name w:val="standard"/>
    <w:basedOn w:val="Normal"/>
    <w:link w:val="standardChar"/>
    <w:rsid w:val="00ED55FC"/>
    <w:pPr>
      <w:spacing w:line="360" w:lineRule="auto"/>
      <w:ind w:firstLine="720"/>
    </w:pPr>
    <w:rPr>
      <w:rFonts w:ascii="Palatino" w:eastAsiaTheme="minorHAnsi" w:hAnsi="Palatino" w:cstheme="minorBidi"/>
      <w:kern w:val="2"/>
      <w:sz w:val="26"/>
      <w14:ligatures w14:val="standardContextual"/>
    </w:rPr>
  </w:style>
  <w:style w:type="paragraph" w:styleId="Header">
    <w:name w:val="header"/>
    <w:basedOn w:val="Normal"/>
    <w:link w:val="HeaderChar"/>
    <w:uiPriority w:val="99"/>
    <w:unhideWhenUsed/>
    <w:rsid w:val="00965D26"/>
    <w:pPr>
      <w:tabs>
        <w:tab w:val="center" w:pos="4680"/>
        <w:tab w:val="right" w:pos="9360"/>
      </w:tabs>
    </w:pPr>
  </w:style>
  <w:style w:type="character" w:customStyle="1" w:styleId="HeaderChar">
    <w:name w:val="Header Char"/>
    <w:basedOn w:val="DefaultParagraphFont"/>
    <w:link w:val="Header"/>
    <w:uiPriority w:val="99"/>
    <w:rsid w:val="00965D26"/>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965D26"/>
    <w:pPr>
      <w:tabs>
        <w:tab w:val="center" w:pos="4680"/>
        <w:tab w:val="right" w:pos="9360"/>
      </w:tabs>
    </w:pPr>
  </w:style>
  <w:style w:type="character" w:customStyle="1" w:styleId="FooterChar">
    <w:name w:val="Footer Char"/>
    <w:basedOn w:val="DefaultParagraphFont"/>
    <w:link w:val="Footer"/>
    <w:uiPriority w:val="99"/>
    <w:rsid w:val="00965D26"/>
    <w:rPr>
      <w:rFonts w:ascii="Times New Roman" w:eastAsia="Times New Roman" w:hAnsi="Times New Roman" w:cs="Times New Roman"/>
      <w:kern w:val="0"/>
      <w14:ligatures w14:val="none"/>
    </w:rPr>
  </w:style>
  <w:style w:type="character" w:customStyle="1" w:styleId="normaltextrun">
    <w:name w:val="normaltextrun"/>
    <w:basedOn w:val="DefaultParagraphFont"/>
    <w:rsid w:val="00D94675"/>
  </w:style>
  <w:style w:type="character" w:customStyle="1" w:styleId="findhit">
    <w:name w:val="findhit"/>
    <w:basedOn w:val="DefaultParagraphFont"/>
    <w:rsid w:val="00D94675"/>
  </w:style>
  <w:style w:type="paragraph" w:styleId="Revision">
    <w:name w:val="Revision"/>
    <w:hidden/>
    <w:uiPriority w:val="99"/>
    <w:semiHidden/>
    <w:rsid w:val="009E0D75"/>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6E064F"/>
    <w:rPr>
      <w:sz w:val="16"/>
      <w:szCs w:val="16"/>
    </w:rPr>
  </w:style>
  <w:style w:type="paragraph" w:styleId="CommentText">
    <w:name w:val="annotation text"/>
    <w:basedOn w:val="Normal"/>
    <w:link w:val="CommentTextChar"/>
    <w:uiPriority w:val="99"/>
    <w:unhideWhenUsed/>
    <w:rsid w:val="006E064F"/>
    <w:rPr>
      <w:sz w:val="20"/>
      <w:szCs w:val="20"/>
    </w:rPr>
  </w:style>
  <w:style w:type="character" w:customStyle="1" w:styleId="CommentTextChar">
    <w:name w:val="Comment Text Char"/>
    <w:basedOn w:val="DefaultParagraphFont"/>
    <w:link w:val="CommentText"/>
    <w:uiPriority w:val="99"/>
    <w:rsid w:val="006E064F"/>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E064F"/>
    <w:rPr>
      <w:b/>
      <w:bCs/>
    </w:rPr>
  </w:style>
  <w:style w:type="character" w:customStyle="1" w:styleId="CommentSubjectChar">
    <w:name w:val="Comment Subject Char"/>
    <w:basedOn w:val="CommentTextChar"/>
    <w:link w:val="CommentSubject"/>
    <w:uiPriority w:val="99"/>
    <w:semiHidden/>
    <w:rsid w:val="006E064F"/>
    <w:rPr>
      <w:rFonts w:ascii="Times New Roman" w:eastAsia="Times New Roman" w:hAnsi="Times New Roman" w:cs="Times New Roman"/>
      <w:b/>
      <w:bCs/>
      <w:kern w:val="0"/>
      <w:sz w:val="20"/>
      <w:szCs w:val="20"/>
      <w14:ligatures w14:val="none"/>
    </w:rPr>
  </w:style>
  <w:style w:type="character" w:styleId="UnresolvedMention">
    <w:name w:val="Unresolved Mention"/>
    <w:basedOn w:val="DefaultParagraphFont"/>
    <w:uiPriority w:val="99"/>
    <w:semiHidden/>
    <w:unhideWhenUsed/>
    <w:rsid w:val="002B7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03246">
      <w:bodyDiv w:val="1"/>
      <w:marLeft w:val="0"/>
      <w:marRight w:val="0"/>
      <w:marTop w:val="0"/>
      <w:marBottom w:val="0"/>
      <w:divBdr>
        <w:top w:val="none" w:sz="0" w:space="0" w:color="auto"/>
        <w:left w:val="none" w:sz="0" w:space="0" w:color="auto"/>
        <w:bottom w:val="none" w:sz="0" w:space="0" w:color="auto"/>
        <w:right w:val="none" w:sz="0" w:space="0" w:color="auto"/>
      </w:divBdr>
    </w:div>
    <w:div w:id="213590436">
      <w:bodyDiv w:val="1"/>
      <w:marLeft w:val="0"/>
      <w:marRight w:val="0"/>
      <w:marTop w:val="0"/>
      <w:marBottom w:val="0"/>
      <w:divBdr>
        <w:top w:val="none" w:sz="0" w:space="0" w:color="auto"/>
        <w:left w:val="none" w:sz="0" w:space="0" w:color="auto"/>
        <w:bottom w:val="none" w:sz="0" w:space="0" w:color="auto"/>
        <w:right w:val="none" w:sz="0" w:space="0" w:color="auto"/>
      </w:divBdr>
    </w:div>
    <w:div w:id="519665521">
      <w:bodyDiv w:val="1"/>
      <w:marLeft w:val="0"/>
      <w:marRight w:val="0"/>
      <w:marTop w:val="0"/>
      <w:marBottom w:val="0"/>
      <w:divBdr>
        <w:top w:val="none" w:sz="0" w:space="0" w:color="auto"/>
        <w:left w:val="none" w:sz="0" w:space="0" w:color="auto"/>
        <w:bottom w:val="none" w:sz="0" w:space="0" w:color="auto"/>
        <w:right w:val="none" w:sz="0" w:space="0" w:color="auto"/>
      </w:divBdr>
    </w:div>
    <w:div w:id="921139290">
      <w:bodyDiv w:val="1"/>
      <w:marLeft w:val="0"/>
      <w:marRight w:val="0"/>
      <w:marTop w:val="0"/>
      <w:marBottom w:val="0"/>
      <w:divBdr>
        <w:top w:val="none" w:sz="0" w:space="0" w:color="auto"/>
        <w:left w:val="none" w:sz="0" w:space="0" w:color="auto"/>
        <w:bottom w:val="none" w:sz="0" w:space="0" w:color="auto"/>
        <w:right w:val="none" w:sz="0" w:space="0" w:color="auto"/>
      </w:divBdr>
    </w:div>
    <w:div w:id="1072045102">
      <w:bodyDiv w:val="1"/>
      <w:marLeft w:val="0"/>
      <w:marRight w:val="0"/>
      <w:marTop w:val="0"/>
      <w:marBottom w:val="0"/>
      <w:divBdr>
        <w:top w:val="none" w:sz="0" w:space="0" w:color="auto"/>
        <w:left w:val="none" w:sz="0" w:space="0" w:color="auto"/>
        <w:bottom w:val="none" w:sz="0" w:space="0" w:color="auto"/>
        <w:right w:val="none" w:sz="0" w:space="0" w:color="auto"/>
      </w:divBdr>
    </w:div>
    <w:div w:id="1450053239">
      <w:bodyDiv w:val="1"/>
      <w:marLeft w:val="0"/>
      <w:marRight w:val="0"/>
      <w:marTop w:val="0"/>
      <w:marBottom w:val="0"/>
      <w:divBdr>
        <w:top w:val="none" w:sz="0" w:space="0" w:color="auto"/>
        <w:left w:val="none" w:sz="0" w:space="0" w:color="auto"/>
        <w:bottom w:val="none" w:sz="0" w:space="0" w:color="auto"/>
        <w:right w:val="none" w:sz="0" w:space="0" w:color="auto"/>
      </w:divBdr>
    </w:div>
    <w:div w:id="169522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ls.gov/news.release/eci.t05.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members.calbar.ca.gov/fal/MemberSearch/Quick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12</ap:Pages>
  <ap:Words>3188</ap:Words>
  <ap:Characters>18173</ap:Characters>
  <ap:Application>Microsoft Office Word</ap:Application>
  <ap:DocSecurity>0</ap:DocSecurity>
  <ap:Lines>151</ap:Lines>
  <ap:Paragraphs>42</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21319</ap:CharactersWithSpaces>
  <ap:SharedDoc>false</ap:SharedDoc>
  <ap:HLinks>
    <vt:vector baseType="variant" size="12">
      <vt:variant>
        <vt:i4>917516</vt:i4>
      </vt:variant>
      <vt:variant>
        <vt:i4>0</vt:i4>
      </vt:variant>
      <vt:variant>
        <vt:i4>0</vt:i4>
      </vt:variant>
      <vt:variant>
        <vt:i4>5</vt:i4>
      </vt:variant>
      <vt:variant>
        <vt:lpwstr>https://www.bls.gov/news.release/eci.t05.htm</vt:lpwstr>
      </vt:variant>
      <vt:variant>
        <vt:lpwstr/>
      </vt:variant>
      <vt:variant>
        <vt:i4>5963790</vt:i4>
      </vt:variant>
      <vt:variant>
        <vt:i4>0</vt:i4>
      </vt:variant>
      <vt:variant>
        <vt:i4>0</vt:i4>
      </vt:variant>
      <vt:variant>
        <vt:i4>5</vt:i4>
      </vt:variant>
      <vt:variant>
        <vt:lpwstr>http://members.calbar.ca.gov/fal/MemberSearch/QuickSearch</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2024-09-17T13:01:03Z</dcterms:created>
  <dcterms:modified xsi:type="dcterms:W3CDTF">2024-09-17T13:01:03Z</dcterms:modified>
</cp:coreProperties>
</file>