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676A3" w:rsidP="00A676A3" w:rsidRDefault="00A676A3" w14:paraId="16EF527C" w14:textId="77777777">
      <w:pPr>
        <w:pStyle w:val="Title"/>
        <w:jc w:val="center"/>
        <w:rPr>
          <w:rFonts w:ascii="Book Antiqua" w:hAnsi="Book Antiqua"/>
          <w:b w:val="0"/>
          <w:bCs/>
          <w:szCs w:val="48"/>
        </w:rPr>
      </w:pPr>
    </w:p>
    <w:p w:rsidR="00A676A3" w:rsidP="00A676A3" w:rsidRDefault="00A676A3" w14:paraId="5F1DE2F0" w14:textId="77777777">
      <w:pPr>
        <w:pStyle w:val="Title"/>
        <w:jc w:val="center"/>
        <w:rPr>
          <w:rFonts w:ascii="Book Antiqua" w:hAnsi="Book Antiqua"/>
          <w:b w:val="0"/>
          <w:bCs/>
          <w:szCs w:val="48"/>
        </w:rPr>
      </w:pPr>
    </w:p>
    <w:p w:rsidR="00A676A3" w:rsidP="00A676A3" w:rsidRDefault="00A676A3" w14:paraId="340A4264" w14:textId="77777777">
      <w:pPr>
        <w:pStyle w:val="Title"/>
        <w:jc w:val="center"/>
        <w:rPr>
          <w:rFonts w:ascii="Book Antiqua" w:hAnsi="Book Antiqua"/>
          <w:b w:val="0"/>
          <w:bCs/>
          <w:szCs w:val="48"/>
        </w:rPr>
      </w:pPr>
    </w:p>
    <w:p w:rsidR="00A676A3" w:rsidP="00A676A3" w:rsidRDefault="00A676A3" w14:paraId="0D572203" w14:textId="77777777">
      <w:pPr>
        <w:pStyle w:val="Title"/>
        <w:jc w:val="center"/>
        <w:rPr>
          <w:rFonts w:ascii="Book Antiqua" w:hAnsi="Book Antiqua"/>
          <w:b w:val="0"/>
          <w:bCs/>
          <w:szCs w:val="48"/>
        </w:rPr>
      </w:pPr>
    </w:p>
    <w:p w:rsidR="00A676A3" w:rsidP="00A676A3" w:rsidRDefault="00A676A3" w14:paraId="1A1137F0" w14:textId="77777777">
      <w:pPr>
        <w:pStyle w:val="Title"/>
        <w:jc w:val="center"/>
        <w:rPr>
          <w:rFonts w:ascii="Book Antiqua" w:hAnsi="Book Antiqua"/>
          <w:b w:val="0"/>
          <w:bCs/>
          <w:szCs w:val="48"/>
        </w:rPr>
      </w:pPr>
    </w:p>
    <w:p w:rsidR="00A676A3" w:rsidP="00A676A3" w:rsidRDefault="00A676A3" w14:paraId="3F387F53" w14:textId="77777777">
      <w:pPr>
        <w:pStyle w:val="Title"/>
        <w:jc w:val="center"/>
        <w:rPr>
          <w:rFonts w:ascii="Book Antiqua" w:hAnsi="Book Antiqua"/>
          <w:b w:val="0"/>
          <w:bCs/>
          <w:szCs w:val="48"/>
        </w:rPr>
      </w:pPr>
    </w:p>
    <w:p w:rsidRPr="00A676A3" w:rsidR="00A676A3" w:rsidP="00A676A3" w:rsidRDefault="00A676A3" w14:paraId="4778C228" w14:textId="1E5CF134">
      <w:pPr>
        <w:pStyle w:val="Title"/>
        <w:jc w:val="center"/>
        <w:rPr>
          <w:rFonts w:ascii="Book Antiqua" w:hAnsi="Book Antiqua"/>
          <w:b w:val="0"/>
          <w:bCs/>
          <w:szCs w:val="48"/>
        </w:rPr>
        <w:sectPr w:rsidRPr="00A676A3" w:rsidR="00A676A3" w:rsidSect="00A676A3">
          <w:headerReference w:type="default" r:id="rId11"/>
          <w:footerReference w:type="default" r:id="rId12"/>
          <w:pgSz w:w="12240" w:h="15840" w:code="1"/>
          <w:pgMar w:top="1728" w:right="1440" w:bottom="1440" w:left="1440" w:header="720" w:footer="720" w:gutter="0"/>
          <w:cols w:space="720"/>
          <w:docGrid w:linePitch="360"/>
        </w:sectPr>
      </w:pPr>
      <w:r w:rsidRPr="00A676A3">
        <w:rPr>
          <w:rFonts w:ascii="Book Antiqua" w:hAnsi="Book Antiqua"/>
          <w:b w:val="0"/>
          <w:bCs/>
          <w:szCs w:val="48"/>
        </w:rPr>
        <w:t xml:space="preserve">APPENDIX </w:t>
      </w:r>
      <w:r>
        <w:rPr>
          <w:rFonts w:ascii="Book Antiqua" w:hAnsi="Book Antiqua"/>
          <w:b w:val="0"/>
          <w:bCs/>
          <w:szCs w:val="48"/>
        </w:rPr>
        <w:t>A</w:t>
      </w:r>
      <w:r>
        <w:rPr>
          <w:rFonts w:ascii="Book Antiqua" w:hAnsi="Book Antiqua"/>
          <w:b w:val="0"/>
          <w:bCs/>
          <w:szCs w:val="48"/>
        </w:rPr>
        <w:br/>
      </w:r>
      <w:r w:rsidRPr="00A676A3">
        <w:rPr>
          <w:rFonts w:ascii="Book Antiqua" w:hAnsi="Book Antiqua"/>
          <w:b w:val="0"/>
          <w:bCs/>
          <w:sz w:val="36"/>
          <w:szCs w:val="36"/>
        </w:rPr>
        <w:t>Statewide Energization Timelines</w:t>
      </w:r>
      <w:r>
        <w:rPr>
          <w:rFonts w:ascii="Book Antiqua" w:hAnsi="Book Antiqua"/>
          <w:b w:val="0"/>
          <w:bCs/>
          <w:sz w:val="36"/>
          <w:szCs w:val="36"/>
        </w:rPr>
        <w:br/>
      </w:r>
      <w:r w:rsidRPr="00A676A3">
        <w:rPr>
          <w:rFonts w:ascii="Book Antiqua" w:hAnsi="Book Antiqua"/>
          <w:b w:val="0"/>
          <w:bCs/>
          <w:sz w:val="36"/>
          <w:szCs w:val="36"/>
        </w:rPr>
        <w:t>Analyses Report</w:t>
      </w:r>
    </w:p>
    <w:tbl>
      <w:tblPr>
        <w:tblW w:w="10465" w:type="dxa"/>
        <w:tblCellMar>
          <w:left w:w="115" w:type="dxa"/>
          <w:right w:w="115" w:type="dxa"/>
        </w:tblCellMar>
        <w:tblLook w:val="01E0" w:firstRow="1" w:lastRow="1" w:firstColumn="1" w:lastColumn="1" w:noHBand="0" w:noVBand="0"/>
      </w:tblPr>
      <w:tblGrid>
        <w:gridCol w:w="10465"/>
      </w:tblGrid>
      <w:tr w:rsidR="00E8061E" w:rsidTr="00E8061E" w14:paraId="7B3A2811" w14:textId="77777777">
        <w:trPr>
          <w:trHeight w:val="3447"/>
        </w:trPr>
        <w:tc>
          <w:tcPr>
            <w:tcW w:w="10465" w:type="dxa"/>
            <w:vAlign w:val="center"/>
          </w:tcPr>
          <w:p w:rsidRPr="00FE70E0" w:rsidR="00E8061E" w:rsidP="00FE70E0" w:rsidRDefault="006F01B6" w14:paraId="17B5973B" w14:textId="31421780">
            <w:pPr>
              <w:pStyle w:val="Title"/>
            </w:pPr>
            <w:r w:rsidRPr="00FE70E0">
              <w:lastRenderedPageBreak/>
              <w:t>Statewide Energization Timelines Analyses</w:t>
            </w:r>
            <w:r w:rsidRPr="00FE70E0" w:rsidR="00632A62">
              <w:t xml:space="preserve"> </w:t>
            </w:r>
            <w:r w:rsidRPr="00FE70E0" w:rsidR="00D77ABD">
              <w:t>Report</w:t>
            </w:r>
          </w:p>
          <w:p w:rsidR="00E8061E" w:rsidP="00E8061E" w:rsidRDefault="000C7150" w14:paraId="2C7763BE" w14:textId="5B787FD8">
            <w:pPr>
              <w:pStyle w:val="Subtitle"/>
            </w:pPr>
            <w:r>
              <w:t xml:space="preserve">DRAFT FOR </w:t>
            </w:r>
            <w:r w:rsidR="0046098C">
              <w:t>PUBLIC COMMENT</w:t>
            </w:r>
          </w:p>
        </w:tc>
      </w:tr>
      <w:tr w:rsidRPr="00C324C7" w:rsidR="00E8061E" w14:paraId="258069CF" w14:textId="77777777">
        <w:trPr>
          <w:trHeight w:val="4320"/>
        </w:trPr>
        <w:tc>
          <w:tcPr>
            <w:tcW w:w="10465" w:type="dxa"/>
          </w:tcPr>
          <w:p w:rsidR="00E8061E" w:rsidP="005140A6" w:rsidRDefault="00E8061E" w14:paraId="01200F4A" w14:textId="77777777">
            <w:pPr>
              <w:pStyle w:val="Preparedfor"/>
            </w:pPr>
            <w:r>
              <w:t>Prepared for:</w:t>
            </w:r>
          </w:p>
          <w:p w:rsidR="00E8061E" w:rsidP="005140A6" w:rsidRDefault="00E8061E" w14:paraId="45F727C7" w14:textId="1DFF17BD">
            <w:pPr>
              <w:tabs>
                <w:tab w:val="left" w:pos="2810"/>
              </w:tabs>
            </w:pPr>
            <w:r>
              <w:rPr>
                <w:noProof/>
              </w:rPr>
              <w:drawing>
                <wp:inline distT="0" distB="0" distL="0" distR="0" wp14:anchorId="59838359" wp14:editId="2416F5EF">
                  <wp:extent cx="1270000" cy="1270000"/>
                  <wp:effectExtent l="0" t="0" r="635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13"/>
                          <a:stretch>
                            <a:fillRect/>
                          </a:stretch>
                        </pic:blipFill>
                        <pic:spPr bwMode="auto">
                          <a:xfrm>
                            <a:off x="0" y="0"/>
                            <a:ext cx="1270000" cy="1270000"/>
                          </a:xfrm>
                          <a:prstGeom prst="rect">
                            <a:avLst/>
                          </a:prstGeom>
                          <a:noFill/>
                          <a:ln>
                            <a:noFill/>
                          </a:ln>
                        </pic:spPr>
                      </pic:pic>
                    </a:graphicData>
                  </a:graphic>
                </wp:inline>
              </w:drawing>
            </w:r>
            <w:r>
              <w:t xml:space="preserve"> </w:t>
            </w:r>
            <w:r w:rsidRPr="009B6AE4">
              <w:rPr>
                <w:color w:val="FF0000"/>
              </w:rPr>
              <w:t xml:space="preserve"> </w:t>
            </w:r>
          </w:p>
          <w:p w:rsidRPr="00A53568" w:rsidR="00E8061E" w:rsidP="005140A6" w:rsidRDefault="00E8061E" w14:paraId="35BDE957" w14:textId="77777777"/>
          <w:p w:rsidRPr="00A53568" w:rsidR="00E8061E" w:rsidP="005140A6" w:rsidRDefault="00536134" w14:paraId="51AD910F" w14:textId="69235E57">
            <w:pPr>
              <w:pStyle w:val="Preparedfor"/>
            </w:pPr>
            <w:r>
              <w:t>California Public Utilities Commission</w:t>
            </w:r>
          </w:p>
          <w:p w:rsidRPr="00C324C7" w:rsidR="00E8061E" w:rsidP="005140A6" w:rsidRDefault="00E8061E" w14:paraId="0AA2E038" w14:textId="77777777"/>
        </w:tc>
      </w:tr>
      <w:tr w:rsidRPr="00A53568" w:rsidR="00E8061E" w:rsidTr="003B593F" w14:paraId="129E7460" w14:textId="77777777">
        <w:trPr>
          <w:trHeight w:val="3690"/>
        </w:trPr>
        <w:tc>
          <w:tcPr>
            <w:tcW w:w="10465" w:type="dxa"/>
          </w:tcPr>
          <w:p w:rsidRPr="00B21048" w:rsidR="00E8061E" w:rsidP="00B21048" w:rsidRDefault="00E8061E" w14:paraId="4A67FD25" w14:textId="77777777">
            <w:pPr>
              <w:pStyle w:val="BodyTextBold"/>
              <w:rPr>
                <w:rStyle w:val="CoverText"/>
              </w:rPr>
            </w:pPr>
            <w:r w:rsidRPr="00B21048">
              <w:rPr>
                <w:rStyle w:val="CoverText"/>
              </w:rPr>
              <w:t>Submitted by:</w:t>
            </w:r>
          </w:p>
          <w:p w:rsidRPr="00BA7DC3" w:rsidR="009B3BDB" w:rsidP="009B3BDB" w:rsidRDefault="009B3BDB" w14:paraId="646EDADC" w14:textId="77777777">
            <w:pPr>
              <w:pStyle w:val="BodyTextNoSpacingAfter"/>
              <w:rPr>
                <w:rStyle w:val="CoverText"/>
              </w:rPr>
            </w:pPr>
            <w:proofErr w:type="spellStart"/>
            <w:r w:rsidRPr="00BA7DC3">
              <w:rPr>
                <w:rStyle w:val="CoverText"/>
              </w:rPr>
              <w:t>Guidehouse</w:t>
            </w:r>
            <w:proofErr w:type="spellEnd"/>
            <w:r w:rsidRPr="00BA7DC3">
              <w:rPr>
                <w:rStyle w:val="CoverText"/>
              </w:rPr>
              <w:t xml:space="preserve"> Inc.</w:t>
            </w:r>
          </w:p>
          <w:p w:rsidRPr="00FD4A4A" w:rsidR="009B3BDB" w:rsidP="009B3BDB" w:rsidRDefault="009B3BDB" w14:paraId="0BCF1C6A" w14:textId="77777777">
            <w:pPr>
              <w:pStyle w:val="BodyTextNoSpacingAfter"/>
              <w:rPr>
                <w:rStyle w:val="CoverText"/>
              </w:rPr>
            </w:pPr>
            <w:r w:rsidRPr="00FD4A4A">
              <w:rPr>
                <w:rStyle w:val="CoverText"/>
              </w:rPr>
              <w:t xml:space="preserve">101 California St </w:t>
            </w:r>
          </w:p>
          <w:p w:rsidRPr="00FD4A4A" w:rsidR="009B3BDB" w:rsidP="009B3BDB" w:rsidRDefault="009B3BDB" w14:paraId="2381D6F7" w14:textId="77777777">
            <w:pPr>
              <w:pStyle w:val="BodyTextNoSpacingAfter"/>
              <w:rPr>
                <w:rStyle w:val="CoverText"/>
              </w:rPr>
            </w:pPr>
            <w:r w:rsidRPr="00FD4A4A">
              <w:rPr>
                <w:rStyle w:val="CoverText"/>
              </w:rPr>
              <w:t>#4100</w:t>
            </w:r>
          </w:p>
          <w:p w:rsidRPr="00BA7DC3" w:rsidR="009B3BDB" w:rsidP="009B3BDB" w:rsidRDefault="009B3BDB" w14:paraId="47208E02" w14:textId="77777777">
            <w:pPr>
              <w:pStyle w:val="BodyTextNoSpacingAfter"/>
              <w:rPr>
                <w:rStyle w:val="CoverText"/>
              </w:rPr>
            </w:pPr>
            <w:r w:rsidRPr="00FD4A4A">
              <w:rPr>
                <w:rStyle w:val="CoverText"/>
              </w:rPr>
              <w:t>San Francisco, CA 94111</w:t>
            </w:r>
          </w:p>
          <w:p w:rsidRPr="00BA7DC3" w:rsidR="00E8061E" w:rsidP="00BA7DC3" w:rsidRDefault="00E8061E" w14:paraId="49007F03" w14:textId="77777777">
            <w:pPr>
              <w:pStyle w:val="BodyTextNoSpacingAfter"/>
              <w:rPr>
                <w:rStyle w:val="CoverText"/>
              </w:rPr>
            </w:pPr>
          </w:p>
          <w:p w:rsidR="002C321A" w:rsidP="002C321A" w:rsidRDefault="002C321A" w14:paraId="7BDAC60D" w14:textId="78ED1846">
            <w:pPr>
              <w:pStyle w:val="BodyTextNoSpacingAfter"/>
              <w:rPr>
                <w:rStyle w:val="CoverText"/>
              </w:rPr>
            </w:pPr>
            <w:r w:rsidRPr="0065676E">
              <w:rPr>
                <w:rStyle w:val="CoverText"/>
              </w:rPr>
              <w:t>Ju</w:t>
            </w:r>
            <w:r w:rsidR="006F01B6">
              <w:rPr>
                <w:rStyle w:val="CoverText"/>
              </w:rPr>
              <w:t>ly</w:t>
            </w:r>
            <w:r w:rsidRPr="0065676E">
              <w:rPr>
                <w:rStyle w:val="CoverText"/>
              </w:rPr>
              <w:t xml:space="preserve"> </w:t>
            </w:r>
            <w:r w:rsidR="006F01B6">
              <w:rPr>
                <w:rStyle w:val="CoverText"/>
              </w:rPr>
              <w:t>12</w:t>
            </w:r>
            <w:r w:rsidRPr="0065676E">
              <w:rPr>
                <w:rStyle w:val="CoverText"/>
              </w:rPr>
              <w:t>, 2024</w:t>
            </w:r>
          </w:p>
          <w:p w:rsidRPr="00E8061E" w:rsidR="00E8061E" w:rsidP="00E8061E" w:rsidRDefault="00E8061E" w14:paraId="503EC1D2" w14:textId="77777777">
            <w:pPr>
              <w:pStyle w:val="TitlepageRestriction"/>
              <w:spacing w:before="360" w:after="360"/>
              <w:rPr>
                <w:rStyle w:val="CoverText"/>
                <w:b/>
                <w:sz w:val="18"/>
                <w:szCs w:val="18"/>
              </w:rPr>
            </w:pPr>
            <w:r w:rsidRPr="00D8064B">
              <w:rPr>
                <w:b/>
                <w:sz w:val="18"/>
                <w:szCs w:val="18"/>
              </w:rPr>
              <w:t>guidehouse.com</w:t>
            </w:r>
          </w:p>
        </w:tc>
      </w:tr>
      <w:tr w:rsidRPr="005D53EC" w:rsidR="00E957AC" w14:paraId="22251F22" w14:textId="77777777">
        <w:trPr>
          <w:trHeight w:val="1170"/>
        </w:trPr>
        <w:tc>
          <w:tcPr>
            <w:tcW w:w="10465" w:type="dxa"/>
            <w:tcMar>
              <w:right w:w="158" w:type="dxa"/>
            </w:tcMar>
          </w:tcPr>
          <w:p w:rsidRPr="00D8064B" w:rsidR="00E957AC" w:rsidP="00E957AC" w:rsidRDefault="00E957AC" w14:paraId="63E34D9B" w14:textId="3DE82791">
            <w:pPr>
              <w:pStyle w:val="TitlepageRestriction"/>
              <w:rPr>
                <w:sz w:val="18"/>
                <w:szCs w:val="18"/>
              </w:rPr>
            </w:pPr>
            <w:r w:rsidRPr="005D491D">
              <w:rPr>
                <w:sz w:val="18"/>
                <w:szCs w:val="18"/>
              </w:rPr>
              <w:t xml:space="preserve">This deliverable was prepared by </w:t>
            </w:r>
            <w:proofErr w:type="spellStart"/>
            <w:r w:rsidRPr="005D491D">
              <w:rPr>
                <w:sz w:val="18"/>
                <w:szCs w:val="18"/>
              </w:rPr>
              <w:t>Guidehouse</w:t>
            </w:r>
            <w:proofErr w:type="spellEnd"/>
            <w:r w:rsidRPr="005D491D">
              <w:rPr>
                <w:sz w:val="18"/>
                <w:szCs w:val="18"/>
              </w:rPr>
              <w:t xml:space="preserve"> Inc. for the sole use and benefit of, and pursuant to a client relationship exclusively with the California Public Utilities Commission (“Client”). The work presented in this deliverable represents </w:t>
            </w:r>
            <w:proofErr w:type="spellStart"/>
            <w:r w:rsidRPr="005D491D">
              <w:rPr>
                <w:sz w:val="18"/>
                <w:szCs w:val="18"/>
              </w:rPr>
              <w:t>Guidehouse’s</w:t>
            </w:r>
            <w:proofErr w:type="spellEnd"/>
            <w:r w:rsidRPr="005D491D">
              <w:rPr>
                <w:sz w:val="18"/>
                <w:szCs w:val="18"/>
              </w:rPr>
              <w:t xml:space="preserve"> professional judgement based on the information available at the time this report was prepared. </w:t>
            </w:r>
            <w:proofErr w:type="spellStart"/>
            <w:r w:rsidRPr="005D491D">
              <w:rPr>
                <w:sz w:val="18"/>
                <w:szCs w:val="18"/>
              </w:rPr>
              <w:t>Guidehouse</w:t>
            </w:r>
            <w:proofErr w:type="spellEnd"/>
            <w:r w:rsidRPr="005D491D">
              <w:rPr>
                <w:sz w:val="18"/>
                <w:szCs w:val="18"/>
              </w:rPr>
              <w:t xml:space="preserve"> is not responsible for a third party’s use of, or reliance upon, the deliverable, nor any decisions based on the report. Readers of the report are advised that they assume all liabilities incurred by them, or third parties, as a result of their reliance on the report, or the data, information, </w:t>
            </w:r>
            <w:r w:rsidRPr="005D491D" w:rsidR="002827DA">
              <w:rPr>
                <w:sz w:val="18"/>
                <w:szCs w:val="18"/>
              </w:rPr>
              <w:t>findings,</w:t>
            </w:r>
            <w:r w:rsidRPr="005D491D">
              <w:rPr>
                <w:sz w:val="18"/>
                <w:szCs w:val="18"/>
              </w:rPr>
              <w:t xml:space="preserve"> and opinions contained in the report.</w:t>
            </w:r>
          </w:p>
        </w:tc>
      </w:tr>
    </w:tbl>
    <w:p w:rsidR="00586682" w:rsidP="00586682" w:rsidRDefault="00586682" w14:paraId="05281D71" w14:textId="77777777"/>
    <w:p w:rsidRPr="001D4FF7" w:rsidR="001412F5" w:rsidP="001412F5" w:rsidRDefault="001412F5" w14:paraId="6EFE3377" w14:textId="77777777">
      <w:pPr>
        <w:rPr>
          <w:rStyle w:val="CoverText"/>
        </w:rPr>
        <w:sectPr w:rsidRPr="001D4FF7" w:rsidR="001412F5" w:rsidSect="00A53568">
          <w:headerReference w:type="default" r:id="rId14"/>
          <w:pgSz w:w="12240" w:h="15840" w:code="1"/>
          <w:pgMar w:top="432" w:right="1008" w:bottom="432" w:left="1008" w:header="432" w:footer="432" w:gutter="0"/>
          <w:cols w:space="720"/>
          <w:docGrid w:linePitch="360"/>
        </w:sectPr>
      </w:pPr>
    </w:p>
    <w:p w:rsidR="001412F5" w:rsidP="00522C46" w:rsidRDefault="001412F5" w14:paraId="29095E02" w14:textId="40753B45">
      <w:pPr>
        <w:pStyle w:val="TOCHeading"/>
        <w:rPr>
          <w:bCs/>
        </w:rPr>
      </w:pPr>
      <w:bookmarkStart w:name="_Toc62272964" w:id="1"/>
      <w:r>
        <w:lastRenderedPageBreak/>
        <w:t>Table of Contents</w:t>
      </w:r>
      <w:bookmarkEnd w:id="1"/>
    </w:p>
    <w:p w:rsidR="005F707D" w:rsidRDefault="006C3832" w14:paraId="53835A79" w14:textId="25271075">
      <w:pPr>
        <w:pStyle w:val="TOC1"/>
        <w:rPr>
          <w:rFonts w:asciiTheme="minorHAnsi" w:hAnsiTheme="minorHAnsi" w:eastAsiaTheme="minorEastAsia" w:cstheme="minorBidi"/>
          <w:b w:val="0"/>
          <w:noProof/>
          <w:kern w:val="2"/>
          <w:sz w:val="22"/>
          <w14:ligatures w14:val="standardContextual"/>
        </w:rPr>
      </w:pPr>
      <w:r>
        <w:rPr>
          <w:noProof/>
        </w:rPr>
        <w:fldChar w:fldCharType="begin"/>
      </w:r>
      <w:r>
        <w:rPr>
          <w:noProof/>
        </w:rPr>
        <w:instrText xml:space="preserve"> TOC \o "1-3" \h \z \t "Heading 5,1,Heading 6,2,Heading 7,3,Heading 8,1,Heading 9,2,Exec Summary Level 3,3" </w:instrText>
      </w:r>
      <w:r>
        <w:rPr>
          <w:noProof/>
        </w:rPr>
        <w:fldChar w:fldCharType="separate"/>
      </w:r>
      <w:hyperlink w:history="1" w:anchor="_Toc171690411">
        <w:r w:rsidRPr="0066061B" w:rsidR="005F707D">
          <w:rPr>
            <w:rStyle w:val="Hyperlink"/>
            <w:noProof/>
          </w:rPr>
          <w:t>1. Introduction</w:t>
        </w:r>
        <w:r w:rsidR="005F707D">
          <w:rPr>
            <w:noProof/>
            <w:webHidden/>
          </w:rPr>
          <w:tab/>
        </w:r>
        <w:r w:rsidR="005F707D">
          <w:rPr>
            <w:noProof/>
            <w:webHidden/>
          </w:rPr>
          <w:fldChar w:fldCharType="begin"/>
        </w:r>
        <w:r w:rsidR="005F707D">
          <w:rPr>
            <w:noProof/>
            <w:webHidden/>
          </w:rPr>
          <w:instrText xml:space="preserve"> PAGEREF _Toc171690411 \h </w:instrText>
        </w:r>
        <w:r w:rsidR="005F707D">
          <w:rPr>
            <w:noProof/>
            <w:webHidden/>
          </w:rPr>
        </w:r>
        <w:r w:rsidR="005F707D">
          <w:rPr>
            <w:noProof/>
            <w:webHidden/>
          </w:rPr>
          <w:fldChar w:fldCharType="separate"/>
        </w:r>
        <w:r w:rsidR="00E16E7D">
          <w:rPr>
            <w:noProof/>
            <w:webHidden/>
          </w:rPr>
          <w:t>1</w:t>
        </w:r>
        <w:r w:rsidR="005F707D">
          <w:rPr>
            <w:noProof/>
            <w:webHidden/>
          </w:rPr>
          <w:fldChar w:fldCharType="end"/>
        </w:r>
      </w:hyperlink>
    </w:p>
    <w:p w:rsidR="005F707D" w:rsidRDefault="006B7772" w14:paraId="7132B62F" w14:textId="014403E9">
      <w:pPr>
        <w:pStyle w:val="TOC1"/>
        <w:rPr>
          <w:rFonts w:asciiTheme="minorHAnsi" w:hAnsiTheme="minorHAnsi" w:eastAsiaTheme="minorEastAsia" w:cstheme="minorBidi"/>
          <w:b w:val="0"/>
          <w:noProof/>
          <w:kern w:val="2"/>
          <w:sz w:val="22"/>
          <w14:ligatures w14:val="standardContextual"/>
        </w:rPr>
      </w:pPr>
      <w:hyperlink w:history="1" w:anchor="_Toc171690412">
        <w:r w:rsidRPr="0066061B" w:rsidR="005F707D">
          <w:rPr>
            <w:rStyle w:val="Hyperlink"/>
            <w:noProof/>
          </w:rPr>
          <w:t>2. Energization Timeline Data Analysis – All Steps</w:t>
        </w:r>
        <w:r w:rsidR="005F707D">
          <w:rPr>
            <w:noProof/>
            <w:webHidden/>
          </w:rPr>
          <w:tab/>
        </w:r>
        <w:r w:rsidR="005F707D">
          <w:rPr>
            <w:noProof/>
            <w:webHidden/>
          </w:rPr>
          <w:fldChar w:fldCharType="begin"/>
        </w:r>
        <w:r w:rsidR="005F707D">
          <w:rPr>
            <w:noProof/>
            <w:webHidden/>
          </w:rPr>
          <w:instrText xml:space="preserve"> PAGEREF _Toc171690412 \h </w:instrText>
        </w:r>
        <w:r w:rsidR="005F707D">
          <w:rPr>
            <w:noProof/>
            <w:webHidden/>
          </w:rPr>
        </w:r>
        <w:r w:rsidR="005F707D">
          <w:rPr>
            <w:noProof/>
            <w:webHidden/>
          </w:rPr>
          <w:fldChar w:fldCharType="separate"/>
        </w:r>
        <w:r w:rsidR="00E16E7D">
          <w:rPr>
            <w:noProof/>
            <w:webHidden/>
          </w:rPr>
          <w:t>2</w:t>
        </w:r>
        <w:r w:rsidR="005F707D">
          <w:rPr>
            <w:noProof/>
            <w:webHidden/>
          </w:rPr>
          <w:fldChar w:fldCharType="end"/>
        </w:r>
      </w:hyperlink>
    </w:p>
    <w:p w:rsidR="005F707D" w:rsidRDefault="006B7772" w14:paraId="41842E4C" w14:textId="7E527939">
      <w:pPr>
        <w:pStyle w:val="TOC2"/>
        <w:rPr>
          <w:rFonts w:asciiTheme="minorHAnsi" w:hAnsiTheme="minorHAnsi" w:eastAsiaTheme="minorEastAsia" w:cstheme="minorBidi"/>
          <w:kern w:val="2"/>
          <w:szCs w:val="22"/>
          <w14:ligatures w14:val="standardContextual"/>
        </w:rPr>
      </w:pPr>
      <w:hyperlink w:history="1" w:anchor="_Toc171690413">
        <w:r w:rsidRPr="0066061B" w:rsidR="005F707D">
          <w:rPr>
            <w:rStyle w:val="Hyperlink"/>
          </w:rPr>
          <w:t>2.1 Objective</w:t>
        </w:r>
        <w:r w:rsidR="005F707D">
          <w:rPr>
            <w:webHidden/>
          </w:rPr>
          <w:tab/>
        </w:r>
        <w:r w:rsidR="005F707D">
          <w:rPr>
            <w:webHidden/>
          </w:rPr>
          <w:fldChar w:fldCharType="begin"/>
        </w:r>
        <w:r w:rsidR="005F707D">
          <w:rPr>
            <w:webHidden/>
          </w:rPr>
          <w:instrText xml:space="preserve"> PAGEREF _Toc171690413 \h </w:instrText>
        </w:r>
        <w:r w:rsidR="005F707D">
          <w:rPr>
            <w:webHidden/>
          </w:rPr>
        </w:r>
        <w:r w:rsidR="005F707D">
          <w:rPr>
            <w:webHidden/>
          </w:rPr>
          <w:fldChar w:fldCharType="separate"/>
        </w:r>
        <w:r w:rsidR="00E16E7D">
          <w:rPr>
            <w:webHidden/>
          </w:rPr>
          <w:t>2</w:t>
        </w:r>
        <w:r w:rsidR="005F707D">
          <w:rPr>
            <w:webHidden/>
          </w:rPr>
          <w:fldChar w:fldCharType="end"/>
        </w:r>
      </w:hyperlink>
    </w:p>
    <w:p w:rsidR="005F707D" w:rsidRDefault="006B7772" w14:paraId="06F0F1F4" w14:textId="7FAA176F">
      <w:pPr>
        <w:pStyle w:val="TOC2"/>
        <w:rPr>
          <w:rFonts w:asciiTheme="minorHAnsi" w:hAnsiTheme="minorHAnsi" w:eastAsiaTheme="minorEastAsia" w:cstheme="minorBidi"/>
          <w:kern w:val="2"/>
          <w:szCs w:val="22"/>
          <w14:ligatures w14:val="standardContextual"/>
        </w:rPr>
      </w:pPr>
      <w:hyperlink w:history="1" w:anchor="_Toc171690414">
        <w:r w:rsidRPr="0066061B" w:rsidR="005F707D">
          <w:rPr>
            <w:rStyle w:val="Hyperlink"/>
          </w:rPr>
          <w:t>2.2 Input Data</w:t>
        </w:r>
        <w:r w:rsidR="005F707D">
          <w:rPr>
            <w:webHidden/>
          </w:rPr>
          <w:tab/>
        </w:r>
        <w:r w:rsidR="005F707D">
          <w:rPr>
            <w:webHidden/>
          </w:rPr>
          <w:fldChar w:fldCharType="begin"/>
        </w:r>
        <w:r w:rsidR="005F707D">
          <w:rPr>
            <w:webHidden/>
          </w:rPr>
          <w:instrText xml:space="preserve"> PAGEREF _Toc171690414 \h </w:instrText>
        </w:r>
        <w:r w:rsidR="005F707D">
          <w:rPr>
            <w:webHidden/>
          </w:rPr>
        </w:r>
        <w:r w:rsidR="005F707D">
          <w:rPr>
            <w:webHidden/>
          </w:rPr>
          <w:fldChar w:fldCharType="separate"/>
        </w:r>
        <w:r w:rsidR="00E16E7D">
          <w:rPr>
            <w:webHidden/>
          </w:rPr>
          <w:t>2</w:t>
        </w:r>
        <w:r w:rsidR="005F707D">
          <w:rPr>
            <w:webHidden/>
          </w:rPr>
          <w:fldChar w:fldCharType="end"/>
        </w:r>
      </w:hyperlink>
    </w:p>
    <w:p w:rsidR="005F707D" w:rsidRDefault="006B7772" w14:paraId="647ED709" w14:textId="55637FC0">
      <w:pPr>
        <w:pStyle w:val="TOC2"/>
        <w:rPr>
          <w:rFonts w:asciiTheme="minorHAnsi" w:hAnsiTheme="minorHAnsi" w:eastAsiaTheme="minorEastAsia" w:cstheme="minorBidi"/>
          <w:kern w:val="2"/>
          <w:szCs w:val="22"/>
          <w14:ligatures w14:val="standardContextual"/>
        </w:rPr>
      </w:pPr>
      <w:hyperlink w:history="1" w:anchor="_Toc171690415">
        <w:r w:rsidRPr="0066061B" w:rsidR="005F707D">
          <w:rPr>
            <w:rStyle w:val="Hyperlink"/>
          </w:rPr>
          <w:t>2.3 Outputs</w:t>
        </w:r>
        <w:r w:rsidR="005F707D">
          <w:rPr>
            <w:webHidden/>
          </w:rPr>
          <w:tab/>
        </w:r>
        <w:r w:rsidR="005F707D">
          <w:rPr>
            <w:webHidden/>
          </w:rPr>
          <w:fldChar w:fldCharType="begin"/>
        </w:r>
        <w:r w:rsidR="005F707D">
          <w:rPr>
            <w:webHidden/>
          </w:rPr>
          <w:instrText xml:space="preserve"> PAGEREF _Toc171690415 \h </w:instrText>
        </w:r>
        <w:r w:rsidR="005F707D">
          <w:rPr>
            <w:webHidden/>
          </w:rPr>
        </w:r>
        <w:r w:rsidR="005F707D">
          <w:rPr>
            <w:webHidden/>
          </w:rPr>
          <w:fldChar w:fldCharType="separate"/>
        </w:r>
        <w:r w:rsidR="00E16E7D">
          <w:rPr>
            <w:webHidden/>
          </w:rPr>
          <w:t>2</w:t>
        </w:r>
        <w:r w:rsidR="005F707D">
          <w:rPr>
            <w:webHidden/>
          </w:rPr>
          <w:fldChar w:fldCharType="end"/>
        </w:r>
      </w:hyperlink>
    </w:p>
    <w:p w:rsidR="005F707D" w:rsidRDefault="006B7772" w14:paraId="710C535A" w14:textId="67A40DB0">
      <w:pPr>
        <w:pStyle w:val="TOC2"/>
        <w:rPr>
          <w:rFonts w:asciiTheme="minorHAnsi" w:hAnsiTheme="minorHAnsi" w:eastAsiaTheme="minorEastAsia" w:cstheme="minorBidi"/>
          <w:kern w:val="2"/>
          <w:szCs w:val="22"/>
          <w14:ligatures w14:val="standardContextual"/>
        </w:rPr>
      </w:pPr>
      <w:hyperlink w:history="1" w:anchor="_Toc171690416">
        <w:r w:rsidRPr="0066061B" w:rsidR="005F707D">
          <w:rPr>
            <w:rStyle w:val="Hyperlink"/>
          </w:rPr>
          <w:t>2.4 Analysis Methodology</w:t>
        </w:r>
        <w:r w:rsidR="005F707D">
          <w:rPr>
            <w:webHidden/>
          </w:rPr>
          <w:tab/>
        </w:r>
        <w:r w:rsidR="005F707D">
          <w:rPr>
            <w:webHidden/>
          </w:rPr>
          <w:fldChar w:fldCharType="begin"/>
        </w:r>
        <w:r w:rsidR="005F707D">
          <w:rPr>
            <w:webHidden/>
          </w:rPr>
          <w:instrText xml:space="preserve"> PAGEREF _Toc171690416 \h </w:instrText>
        </w:r>
        <w:r w:rsidR="005F707D">
          <w:rPr>
            <w:webHidden/>
          </w:rPr>
        </w:r>
        <w:r w:rsidR="005F707D">
          <w:rPr>
            <w:webHidden/>
          </w:rPr>
          <w:fldChar w:fldCharType="separate"/>
        </w:r>
        <w:r w:rsidR="00E16E7D">
          <w:rPr>
            <w:webHidden/>
          </w:rPr>
          <w:t>3</w:t>
        </w:r>
        <w:r w:rsidR="005F707D">
          <w:rPr>
            <w:webHidden/>
          </w:rPr>
          <w:fldChar w:fldCharType="end"/>
        </w:r>
      </w:hyperlink>
    </w:p>
    <w:p w:rsidR="005F707D" w:rsidRDefault="006B7772" w14:paraId="00E690CC" w14:textId="00C52EBB">
      <w:pPr>
        <w:pStyle w:val="TOC1"/>
        <w:rPr>
          <w:rFonts w:asciiTheme="minorHAnsi" w:hAnsiTheme="minorHAnsi" w:eastAsiaTheme="minorEastAsia" w:cstheme="minorBidi"/>
          <w:b w:val="0"/>
          <w:noProof/>
          <w:kern w:val="2"/>
          <w:sz w:val="22"/>
          <w14:ligatures w14:val="standardContextual"/>
        </w:rPr>
      </w:pPr>
      <w:hyperlink w:history="1" w:anchor="_Toc171690417">
        <w:r w:rsidRPr="0066061B" w:rsidR="005F707D">
          <w:rPr>
            <w:rStyle w:val="Hyperlink"/>
            <w:noProof/>
          </w:rPr>
          <w:t>3. Energization Timeline Data Analysis – IOU Dependent Steps</w:t>
        </w:r>
        <w:r w:rsidR="005F707D">
          <w:rPr>
            <w:noProof/>
            <w:webHidden/>
          </w:rPr>
          <w:tab/>
        </w:r>
        <w:r w:rsidR="005F707D">
          <w:rPr>
            <w:noProof/>
            <w:webHidden/>
          </w:rPr>
          <w:fldChar w:fldCharType="begin"/>
        </w:r>
        <w:r w:rsidR="005F707D">
          <w:rPr>
            <w:noProof/>
            <w:webHidden/>
          </w:rPr>
          <w:instrText xml:space="preserve"> PAGEREF _Toc171690417 \h </w:instrText>
        </w:r>
        <w:r w:rsidR="005F707D">
          <w:rPr>
            <w:noProof/>
            <w:webHidden/>
          </w:rPr>
        </w:r>
        <w:r w:rsidR="005F707D">
          <w:rPr>
            <w:noProof/>
            <w:webHidden/>
          </w:rPr>
          <w:fldChar w:fldCharType="separate"/>
        </w:r>
        <w:r w:rsidR="00E16E7D">
          <w:rPr>
            <w:noProof/>
            <w:webHidden/>
          </w:rPr>
          <w:t>5</w:t>
        </w:r>
        <w:r w:rsidR="005F707D">
          <w:rPr>
            <w:noProof/>
            <w:webHidden/>
          </w:rPr>
          <w:fldChar w:fldCharType="end"/>
        </w:r>
      </w:hyperlink>
    </w:p>
    <w:p w:rsidR="005F707D" w:rsidRDefault="006B7772" w14:paraId="284D8135" w14:textId="0108A4A5">
      <w:pPr>
        <w:pStyle w:val="TOC2"/>
        <w:rPr>
          <w:rFonts w:asciiTheme="minorHAnsi" w:hAnsiTheme="minorHAnsi" w:eastAsiaTheme="minorEastAsia" w:cstheme="minorBidi"/>
          <w:kern w:val="2"/>
          <w:szCs w:val="22"/>
          <w14:ligatures w14:val="standardContextual"/>
        </w:rPr>
      </w:pPr>
      <w:hyperlink w:history="1" w:anchor="_Toc171690418">
        <w:r w:rsidRPr="0066061B" w:rsidR="005F707D">
          <w:rPr>
            <w:rStyle w:val="Hyperlink"/>
          </w:rPr>
          <w:t>3.1 Objective</w:t>
        </w:r>
        <w:r w:rsidR="005F707D">
          <w:rPr>
            <w:webHidden/>
          </w:rPr>
          <w:tab/>
        </w:r>
        <w:r w:rsidR="005F707D">
          <w:rPr>
            <w:webHidden/>
          </w:rPr>
          <w:fldChar w:fldCharType="begin"/>
        </w:r>
        <w:r w:rsidR="005F707D">
          <w:rPr>
            <w:webHidden/>
          </w:rPr>
          <w:instrText xml:space="preserve"> PAGEREF _Toc171690418 \h </w:instrText>
        </w:r>
        <w:r w:rsidR="005F707D">
          <w:rPr>
            <w:webHidden/>
          </w:rPr>
        </w:r>
        <w:r w:rsidR="005F707D">
          <w:rPr>
            <w:webHidden/>
          </w:rPr>
          <w:fldChar w:fldCharType="separate"/>
        </w:r>
        <w:r w:rsidR="00E16E7D">
          <w:rPr>
            <w:webHidden/>
          </w:rPr>
          <w:t>5</w:t>
        </w:r>
        <w:r w:rsidR="005F707D">
          <w:rPr>
            <w:webHidden/>
          </w:rPr>
          <w:fldChar w:fldCharType="end"/>
        </w:r>
      </w:hyperlink>
    </w:p>
    <w:p w:rsidR="005F707D" w:rsidRDefault="006B7772" w14:paraId="40629058" w14:textId="1300E4A3">
      <w:pPr>
        <w:pStyle w:val="TOC2"/>
        <w:rPr>
          <w:rFonts w:asciiTheme="minorHAnsi" w:hAnsiTheme="minorHAnsi" w:eastAsiaTheme="minorEastAsia" w:cstheme="minorBidi"/>
          <w:kern w:val="2"/>
          <w:szCs w:val="22"/>
          <w14:ligatures w14:val="standardContextual"/>
        </w:rPr>
      </w:pPr>
      <w:hyperlink w:history="1" w:anchor="_Toc171690419">
        <w:r w:rsidRPr="0066061B" w:rsidR="005F707D">
          <w:rPr>
            <w:rStyle w:val="Hyperlink"/>
          </w:rPr>
          <w:t>3.2 Input Data</w:t>
        </w:r>
        <w:r w:rsidR="005F707D">
          <w:rPr>
            <w:webHidden/>
          </w:rPr>
          <w:tab/>
        </w:r>
        <w:r w:rsidR="005F707D">
          <w:rPr>
            <w:webHidden/>
          </w:rPr>
          <w:fldChar w:fldCharType="begin"/>
        </w:r>
        <w:r w:rsidR="005F707D">
          <w:rPr>
            <w:webHidden/>
          </w:rPr>
          <w:instrText xml:space="preserve"> PAGEREF _Toc171690419 \h </w:instrText>
        </w:r>
        <w:r w:rsidR="005F707D">
          <w:rPr>
            <w:webHidden/>
          </w:rPr>
        </w:r>
        <w:r w:rsidR="005F707D">
          <w:rPr>
            <w:webHidden/>
          </w:rPr>
          <w:fldChar w:fldCharType="separate"/>
        </w:r>
        <w:r w:rsidR="00E16E7D">
          <w:rPr>
            <w:webHidden/>
          </w:rPr>
          <w:t>5</w:t>
        </w:r>
        <w:r w:rsidR="005F707D">
          <w:rPr>
            <w:webHidden/>
          </w:rPr>
          <w:fldChar w:fldCharType="end"/>
        </w:r>
      </w:hyperlink>
    </w:p>
    <w:p w:rsidR="005F707D" w:rsidRDefault="006B7772" w14:paraId="204846E4" w14:textId="2C8D2367">
      <w:pPr>
        <w:pStyle w:val="TOC2"/>
        <w:rPr>
          <w:rFonts w:asciiTheme="minorHAnsi" w:hAnsiTheme="minorHAnsi" w:eastAsiaTheme="minorEastAsia" w:cstheme="minorBidi"/>
          <w:kern w:val="2"/>
          <w:szCs w:val="22"/>
          <w14:ligatures w14:val="standardContextual"/>
        </w:rPr>
      </w:pPr>
      <w:hyperlink w:history="1" w:anchor="_Toc171690420">
        <w:r w:rsidRPr="0066061B" w:rsidR="005F707D">
          <w:rPr>
            <w:rStyle w:val="Hyperlink"/>
          </w:rPr>
          <w:t>3.3 Outputs</w:t>
        </w:r>
        <w:r w:rsidR="005F707D">
          <w:rPr>
            <w:webHidden/>
          </w:rPr>
          <w:tab/>
        </w:r>
        <w:r w:rsidR="005F707D">
          <w:rPr>
            <w:webHidden/>
          </w:rPr>
          <w:fldChar w:fldCharType="begin"/>
        </w:r>
        <w:r w:rsidR="005F707D">
          <w:rPr>
            <w:webHidden/>
          </w:rPr>
          <w:instrText xml:space="preserve"> PAGEREF _Toc171690420 \h </w:instrText>
        </w:r>
        <w:r w:rsidR="005F707D">
          <w:rPr>
            <w:webHidden/>
          </w:rPr>
        </w:r>
        <w:r w:rsidR="005F707D">
          <w:rPr>
            <w:webHidden/>
          </w:rPr>
          <w:fldChar w:fldCharType="separate"/>
        </w:r>
        <w:r w:rsidR="00E16E7D">
          <w:rPr>
            <w:webHidden/>
          </w:rPr>
          <w:t>6</w:t>
        </w:r>
        <w:r w:rsidR="005F707D">
          <w:rPr>
            <w:webHidden/>
          </w:rPr>
          <w:fldChar w:fldCharType="end"/>
        </w:r>
      </w:hyperlink>
    </w:p>
    <w:p w:rsidR="005F707D" w:rsidRDefault="006B7772" w14:paraId="0FD45C91" w14:textId="6F6DD195">
      <w:pPr>
        <w:pStyle w:val="TOC2"/>
        <w:rPr>
          <w:rFonts w:asciiTheme="minorHAnsi" w:hAnsiTheme="minorHAnsi" w:eastAsiaTheme="minorEastAsia" w:cstheme="minorBidi"/>
          <w:kern w:val="2"/>
          <w:szCs w:val="22"/>
          <w14:ligatures w14:val="standardContextual"/>
        </w:rPr>
      </w:pPr>
      <w:hyperlink w:history="1" w:anchor="_Toc171690421">
        <w:r w:rsidRPr="0066061B" w:rsidR="005F707D">
          <w:rPr>
            <w:rStyle w:val="Hyperlink"/>
          </w:rPr>
          <w:t>3.4 Analysis Methodology</w:t>
        </w:r>
        <w:r w:rsidR="005F707D">
          <w:rPr>
            <w:webHidden/>
          </w:rPr>
          <w:tab/>
        </w:r>
        <w:r w:rsidR="005F707D">
          <w:rPr>
            <w:webHidden/>
          </w:rPr>
          <w:fldChar w:fldCharType="begin"/>
        </w:r>
        <w:r w:rsidR="005F707D">
          <w:rPr>
            <w:webHidden/>
          </w:rPr>
          <w:instrText xml:space="preserve"> PAGEREF _Toc171690421 \h </w:instrText>
        </w:r>
        <w:r w:rsidR="005F707D">
          <w:rPr>
            <w:webHidden/>
          </w:rPr>
        </w:r>
        <w:r w:rsidR="005F707D">
          <w:rPr>
            <w:webHidden/>
          </w:rPr>
          <w:fldChar w:fldCharType="separate"/>
        </w:r>
        <w:r w:rsidR="00E16E7D">
          <w:rPr>
            <w:webHidden/>
          </w:rPr>
          <w:t>7</w:t>
        </w:r>
        <w:r w:rsidR="005F707D">
          <w:rPr>
            <w:webHidden/>
          </w:rPr>
          <w:fldChar w:fldCharType="end"/>
        </w:r>
      </w:hyperlink>
    </w:p>
    <w:p w:rsidR="005F707D" w:rsidRDefault="006B7772" w14:paraId="60EFE1F1" w14:textId="3047212B">
      <w:pPr>
        <w:pStyle w:val="TOC1"/>
        <w:rPr>
          <w:rFonts w:asciiTheme="minorHAnsi" w:hAnsiTheme="minorHAnsi" w:eastAsiaTheme="minorEastAsia" w:cstheme="minorBidi"/>
          <w:b w:val="0"/>
          <w:noProof/>
          <w:kern w:val="2"/>
          <w:sz w:val="22"/>
          <w14:ligatures w14:val="standardContextual"/>
        </w:rPr>
      </w:pPr>
      <w:hyperlink w:history="1" w:anchor="_Toc171690422">
        <w:r w:rsidRPr="0066061B" w:rsidR="005F707D">
          <w:rPr>
            <w:rStyle w:val="Hyperlink"/>
            <w:noProof/>
          </w:rPr>
          <w:t>Appendix A. Overview of Energization Data Provided by IOUs</w:t>
        </w:r>
        <w:r w:rsidR="005F707D">
          <w:rPr>
            <w:noProof/>
            <w:webHidden/>
          </w:rPr>
          <w:tab/>
        </w:r>
        <w:r w:rsidR="005F707D">
          <w:rPr>
            <w:noProof/>
            <w:webHidden/>
          </w:rPr>
          <w:fldChar w:fldCharType="begin"/>
        </w:r>
        <w:r w:rsidR="005F707D">
          <w:rPr>
            <w:noProof/>
            <w:webHidden/>
          </w:rPr>
          <w:instrText xml:space="preserve"> PAGEREF _Toc171690422 \h </w:instrText>
        </w:r>
        <w:r w:rsidR="005F707D">
          <w:rPr>
            <w:noProof/>
            <w:webHidden/>
          </w:rPr>
        </w:r>
        <w:r w:rsidR="005F707D">
          <w:rPr>
            <w:noProof/>
            <w:webHidden/>
          </w:rPr>
          <w:fldChar w:fldCharType="separate"/>
        </w:r>
        <w:r w:rsidR="00E16E7D">
          <w:rPr>
            <w:noProof/>
            <w:webHidden/>
          </w:rPr>
          <w:t>8</w:t>
        </w:r>
        <w:r w:rsidR="005F707D">
          <w:rPr>
            <w:noProof/>
            <w:webHidden/>
          </w:rPr>
          <w:fldChar w:fldCharType="end"/>
        </w:r>
      </w:hyperlink>
    </w:p>
    <w:p w:rsidR="005F707D" w:rsidRDefault="006B7772" w14:paraId="6DBBCE63" w14:textId="566AA034">
      <w:pPr>
        <w:pStyle w:val="TOC2"/>
        <w:rPr>
          <w:rFonts w:asciiTheme="minorHAnsi" w:hAnsiTheme="minorHAnsi" w:eastAsiaTheme="minorEastAsia" w:cstheme="minorBidi"/>
          <w:kern w:val="2"/>
          <w:szCs w:val="22"/>
          <w14:ligatures w14:val="standardContextual"/>
        </w:rPr>
      </w:pPr>
      <w:hyperlink w:history="1" w:anchor="_Toc171690423">
        <w:r w:rsidRPr="0066061B" w:rsidR="005F707D">
          <w:rPr>
            <w:rStyle w:val="Hyperlink"/>
          </w:rPr>
          <w:t>A.1 Overall Energization Project Data Count</w:t>
        </w:r>
        <w:r w:rsidR="005F707D">
          <w:rPr>
            <w:webHidden/>
          </w:rPr>
          <w:tab/>
        </w:r>
        <w:r w:rsidR="005F707D">
          <w:rPr>
            <w:webHidden/>
          </w:rPr>
          <w:fldChar w:fldCharType="begin"/>
        </w:r>
        <w:r w:rsidR="005F707D">
          <w:rPr>
            <w:webHidden/>
          </w:rPr>
          <w:instrText xml:space="preserve"> PAGEREF _Toc171690423 \h </w:instrText>
        </w:r>
        <w:r w:rsidR="005F707D">
          <w:rPr>
            <w:webHidden/>
          </w:rPr>
        </w:r>
        <w:r w:rsidR="005F707D">
          <w:rPr>
            <w:webHidden/>
          </w:rPr>
          <w:fldChar w:fldCharType="separate"/>
        </w:r>
        <w:r w:rsidR="00E16E7D">
          <w:rPr>
            <w:webHidden/>
          </w:rPr>
          <w:t>8</w:t>
        </w:r>
        <w:r w:rsidR="005F707D">
          <w:rPr>
            <w:webHidden/>
          </w:rPr>
          <w:fldChar w:fldCharType="end"/>
        </w:r>
      </w:hyperlink>
    </w:p>
    <w:p w:rsidR="005F707D" w:rsidRDefault="006B7772" w14:paraId="58E9A51F" w14:textId="778F80CC">
      <w:pPr>
        <w:pStyle w:val="TOC2"/>
        <w:rPr>
          <w:rFonts w:asciiTheme="minorHAnsi" w:hAnsiTheme="minorHAnsi" w:eastAsiaTheme="minorEastAsia" w:cstheme="minorBidi"/>
          <w:kern w:val="2"/>
          <w:szCs w:val="22"/>
          <w14:ligatures w14:val="standardContextual"/>
        </w:rPr>
      </w:pPr>
      <w:hyperlink w:history="1" w:anchor="_Toc171690424">
        <w:r w:rsidRPr="0066061B" w:rsidR="005F707D">
          <w:rPr>
            <w:rStyle w:val="Hyperlink"/>
          </w:rPr>
          <w:t>A.2 Impact on Data of Outlier Removal and Data Clean Up</w:t>
        </w:r>
        <w:r w:rsidR="005F707D">
          <w:rPr>
            <w:webHidden/>
          </w:rPr>
          <w:tab/>
        </w:r>
        <w:r w:rsidR="005F707D">
          <w:rPr>
            <w:webHidden/>
          </w:rPr>
          <w:fldChar w:fldCharType="begin"/>
        </w:r>
        <w:r w:rsidR="005F707D">
          <w:rPr>
            <w:webHidden/>
          </w:rPr>
          <w:instrText xml:space="preserve"> PAGEREF _Toc171690424 \h </w:instrText>
        </w:r>
        <w:r w:rsidR="005F707D">
          <w:rPr>
            <w:webHidden/>
          </w:rPr>
        </w:r>
        <w:r w:rsidR="005F707D">
          <w:rPr>
            <w:webHidden/>
          </w:rPr>
          <w:fldChar w:fldCharType="separate"/>
        </w:r>
        <w:r w:rsidR="00E16E7D">
          <w:rPr>
            <w:webHidden/>
          </w:rPr>
          <w:t>9</w:t>
        </w:r>
        <w:r w:rsidR="005F707D">
          <w:rPr>
            <w:webHidden/>
          </w:rPr>
          <w:fldChar w:fldCharType="end"/>
        </w:r>
      </w:hyperlink>
    </w:p>
    <w:p w:rsidR="005F707D" w:rsidRDefault="006B7772" w14:paraId="16708B87" w14:textId="3F7FDE5E">
      <w:pPr>
        <w:pStyle w:val="TOC1"/>
        <w:rPr>
          <w:rFonts w:asciiTheme="minorHAnsi" w:hAnsiTheme="minorHAnsi" w:eastAsiaTheme="minorEastAsia" w:cstheme="minorBidi"/>
          <w:b w:val="0"/>
          <w:noProof/>
          <w:kern w:val="2"/>
          <w:sz w:val="22"/>
          <w14:ligatures w14:val="standardContextual"/>
        </w:rPr>
      </w:pPr>
      <w:hyperlink w:history="1" w:anchor="_Toc171690425">
        <w:r w:rsidRPr="0066061B" w:rsidR="005F707D">
          <w:rPr>
            <w:rStyle w:val="Hyperlink"/>
            <w:noProof/>
          </w:rPr>
          <w:t>Appendix B. Statistics Summary Tables of California IOU Energization Data</w:t>
        </w:r>
        <w:r w:rsidR="005F707D">
          <w:rPr>
            <w:noProof/>
            <w:webHidden/>
          </w:rPr>
          <w:tab/>
        </w:r>
        <w:r w:rsidR="005F707D">
          <w:rPr>
            <w:noProof/>
            <w:webHidden/>
          </w:rPr>
          <w:fldChar w:fldCharType="begin"/>
        </w:r>
        <w:r w:rsidR="005F707D">
          <w:rPr>
            <w:noProof/>
            <w:webHidden/>
          </w:rPr>
          <w:instrText xml:space="preserve"> PAGEREF _Toc171690425 \h </w:instrText>
        </w:r>
        <w:r w:rsidR="005F707D">
          <w:rPr>
            <w:noProof/>
            <w:webHidden/>
          </w:rPr>
        </w:r>
        <w:r w:rsidR="005F707D">
          <w:rPr>
            <w:noProof/>
            <w:webHidden/>
          </w:rPr>
          <w:fldChar w:fldCharType="separate"/>
        </w:r>
        <w:r w:rsidR="00E16E7D">
          <w:rPr>
            <w:noProof/>
            <w:webHidden/>
          </w:rPr>
          <w:t>10</w:t>
        </w:r>
        <w:r w:rsidR="005F707D">
          <w:rPr>
            <w:noProof/>
            <w:webHidden/>
          </w:rPr>
          <w:fldChar w:fldCharType="end"/>
        </w:r>
      </w:hyperlink>
    </w:p>
    <w:p w:rsidR="005F707D" w:rsidRDefault="006B7772" w14:paraId="76A577C8" w14:textId="592DEC28">
      <w:pPr>
        <w:pStyle w:val="TOC2"/>
        <w:rPr>
          <w:rFonts w:asciiTheme="minorHAnsi" w:hAnsiTheme="minorHAnsi" w:eastAsiaTheme="minorEastAsia" w:cstheme="minorBidi"/>
          <w:kern w:val="2"/>
          <w:szCs w:val="22"/>
          <w14:ligatures w14:val="standardContextual"/>
        </w:rPr>
      </w:pPr>
      <w:hyperlink w:history="1" w:anchor="_Toc171690426">
        <w:r w:rsidRPr="0066061B" w:rsidR="005F707D">
          <w:rPr>
            <w:rStyle w:val="Hyperlink"/>
          </w:rPr>
          <w:t>B.1 Overall Energization Timeline Statistics Calculated by Guidehouse using IOU Data</w:t>
        </w:r>
        <w:r w:rsidR="005F707D">
          <w:rPr>
            <w:webHidden/>
          </w:rPr>
          <w:tab/>
        </w:r>
        <w:r w:rsidR="005F707D">
          <w:rPr>
            <w:webHidden/>
          </w:rPr>
          <w:fldChar w:fldCharType="begin"/>
        </w:r>
        <w:r w:rsidR="005F707D">
          <w:rPr>
            <w:webHidden/>
          </w:rPr>
          <w:instrText xml:space="preserve"> PAGEREF _Toc171690426 \h </w:instrText>
        </w:r>
        <w:r w:rsidR="005F707D">
          <w:rPr>
            <w:webHidden/>
          </w:rPr>
        </w:r>
        <w:r w:rsidR="005F707D">
          <w:rPr>
            <w:webHidden/>
          </w:rPr>
          <w:fldChar w:fldCharType="separate"/>
        </w:r>
        <w:r w:rsidR="00E16E7D">
          <w:rPr>
            <w:webHidden/>
          </w:rPr>
          <w:t>10</w:t>
        </w:r>
        <w:r w:rsidR="005F707D">
          <w:rPr>
            <w:webHidden/>
          </w:rPr>
          <w:fldChar w:fldCharType="end"/>
        </w:r>
      </w:hyperlink>
    </w:p>
    <w:p w:rsidR="005F707D" w:rsidRDefault="006B7772" w14:paraId="44F12745" w14:textId="3F4A9B4B">
      <w:pPr>
        <w:pStyle w:val="TOC2"/>
        <w:rPr>
          <w:rFonts w:asciiTheme="minorHAnsi" w:hAnsiTheme="minorHAnsi" w:eastAsiaTheme="minorEastAsia" w:cstheme="minorBidi"/>
          <w:kern w:val="2"/>
          <w:szCs w:val="22"/>
          <w14:ligatures w14:val="standardContextual"/>
        </w:rPr>
      </w:pPr>
      <w:hyperlink w:history="1" w:anchor="_Toc171690427">
        <w:r w:rsidRPr="0066061B" w:rsidR="005F707D">
          <w:rPr>
            <w:rStyle w:val="Hyperlink"/>
          </w:rPr>
          <w:t>B.2 Comparison of Guidehouse and IOU Energization Timeline Statistics – Energization Timelines by Step</w:t>
        </w:r>
        <w:r w:rsidR="005F707D">
          <w:rPr>
            <w:webHidden/>
          </w:rPr>
          <w:tab/>
        </w:r>
        <w:r w:rsidR="005F707D">
          <w:rPr>
            <w:webHidden/>
          </w:rPr>
          <w:fldChar w:fldCharType="begin"/>
        </w:r>
        <w:r w:rsidR="005F707D">
          <w:rPr>
            <w:webHidden/>
          </w:rPr>
          <w:instrText xml:space="preserve"> PAGEREF _Toc171690427 \h </w:instrText>
        </w:r>
        <w:r w:rsidR="005F707D">
          <w:rPr>
            <w:webHidden/>
          </w:rPr>
        </w:r>
        <w:r w:rsidR="005F707D">
          <w:rPr>
            <w:webHidden/>
          </w:rPr>
          <w:fldChar w:fldCharType="separate"/>
        </w:r>
        <w:r w:rsidR="00E16E7D">
          <w:rPr>
            <w:webHidden/>
          </w:rPr>
          <w:t>10</w:t>
        </w:r>
        <w:r w:rsidR="005F707D">
          <w:rPr>
            <w:webHidden/>
          </w:rPr>
          <w:fldChar w:fldCharType="end"/>
        </w:r>
      </w:hyperlink>
    </w:p>
    <w:p w:rsidR="005F707D" w:rsidRDefault="006B7772" w14:paraId="727C6665" w14:textId="7117CD58">
      <w:pPr>
        <w:pStyle w:val="TOC2"/>
        <w:rPr>
          <w:rFonts w:asciiTheme="minorHAnsi" w:hAnsiTheme="minorHAnsi" w:eastAsiaTheme="minorEastAsia" w:cstheme="minorBidi"/>
          <w:kern w:val="2"/>
          <w:szCs w:val="22"/>
          <w14:ligatures w14:val="standardContextual"/>
        </w:rPr>
      </w:pPr>
      <w:hyperlink w:history="1" w:anchor="_Toc171690428">
        <w:r w:rsidRPr="0066061B" w:rsidR="005F707D">
          <w:rPr>
            <w:rStyle w:val="Hyperlink"/>
          </w:rPr>
          <w:t>B.3 Comparison of Guidehouse and IOU Energization Timeline Statistics – Energization Timelines by Tariff</w:t>
        </w:r>
        <w:r w:rsidR="005F707D">
          <w:rPr>
            <w:webHidden/>
          </w:rPr>
          <w:tab/>
        </w:r>
        <w:r w:rsidR="005F707D">
          <w:rPr>
            <w:webHidden/>
          </w:rPr>
          <w:fldChar w:fldCharType="begin"/>
        </w:r>
        <w:r w:rsidR="005F707D">
          <w:rPr>
            <w:webHidden/>
          </w:rPr>
          <w:instrText xml:space="preserve"> PAGEREF _Toc171690428 \h </w:instrText>
        </w:r>
        <w:r w:rsidR="005F707D">
          <w:rPr>
            <w:webHidden/>
          </w:rPr>
        </w:r>
        <w:r w:rsidR="005F707D">
          <w:rPr>
            <w:webHidden/>
          </w:rPr>
          <w:fldChar w:fldCharType="separate"/>
        </w:r>
        <w:r w:rsidR="00E16E7D">
          <w:rPr>
            <w:webHidden/>
          </w:rPr>
          <w:t>13</w:t>
        </w:r>
        <w:r w:rsidR="005F707D">
          <w:rPr>
            <w:webHidden/>
          </w:rPr>
          <w:fldChar w:fldCharType="end"/>
        </w:r>
      </w:hyperlink>
    </w:p>
    <w:p w:rsidR="00E3636E" w:rsidP="001412F5" w:rsidRDefault="006C3832" w14:paraId="2CB5CA96" w14:textId="297112D9">
      <w:pPr>
        <w:rPr>
          <w:rFonts w:eastAsia="Calibri"/>
          <w:noProof/>
          <w:sz w:val="24"/>
          <w:szCs w:val="22"/>
        </w:rPr>
      </w:pPr>
      <w:r>
        <w:rPr>
          <w:rFonts w:eastAsia="Calibri"/>
          <w:noProof/>
          <w:sz w:val="24"/>
          <w:szCs w:val="22"/>
        </w:rPr>
        <w:fldChar w:fldCharType="end"/>
      </w:r>
    </w:p>
    <w:p w:rsidR="005140A6" w:rsidP="005140A6" w:rsidRDefault="005140A6" w14:paraId="5529ACBD" w14:textId="77777777">
      <w:pPr>
        <w:pStyle w:val="TOCHeading"/>
        <w:rPr>
          <w:noProof/>
        </w:rPr>
      </w:pPr>
      <w:r>
        <w:rPr>
          <w:noProof/>
        </w:rPr>
        <w:t>List of Tables</w:t>
      </w:r>
    </w:p>
    <w:p w:rsidR="005F707D" w:rsidRDefault="005140A6" w14:paraId="7172F566" w14:textId="61431E62">
      <w:pPr>
        <w:pStyle w:val="TableofFigures"/>
        <w:rPr>
          <w:rFonts w:asciiTheme="minorHAnsi" w:hAnsiTheme="minorHAnsi" w:eastAsiaTheme="minorEastAsia" w:cstheme="minorBidi"/>
          <w:noProof/>
          <w:kern w:val="2"/>
          <w:szCs w:val="22"/>
          <w14:ligatures w14:val="standardContextual"/>
        </w:rPr>
      </w:pPr>
      <w:r>
        <w:rPr>
          <w:rFonts w:eastAsia="Calibri"/>
        </w:rPr>
        <w:fldChar w:fldCharType="begin"/>
      </w:r>
      <w:r>
        <w:rPr>
          <w:rFonts w:eastAsia="Calibri"/>
        </w:rPr>
        <w:instrText xml:space="preserve"> TOC \h \z \c "Table" </w:instrText>
      </w:r>
      <w:r>
        <w:rPr>
          <w:rFonts w:eastAsia="Calibri"/>
        </w:rPr>
        <w:fldChar w:fldCharType="separate"/>
      </w:r>
      <w:hyperlink w:history="1" w:anchor="_Toc171690429">
        <w:r w:rsidRPr="00DD694A" w:rsidR="005F707D">
          <w:rPr>
            <w:rStyle w:val="Hyperlink"/>
            <w:noProof/>
          </w:rPr>
          <w:t>Table 1. Summary of Rule 15, Rule 16, and Rule 15/16 Timelines for IOU Dependent Energization Steps</w:t>
        </w:r>
        <w:r w:rsidR="005F707D">
          <w:rPr>
            <w:noProof/>
            <w:webHidden/>
          </w:rPr>
          <w:tab/>
        </w:r>
        <w:r w:rsidR="005F707D">
          <w:rPr>
            <w:noProof/>
            <w:webHidden/>
          </w:rPr>
          <w:fldChar w:fldCharType="begin"/>
        </w:r>
        <w:r w:rsidR="005F707D">
          <w:rPr>
            <w:noProof/>
            <w:webHidden/>
          </w:rPr>
          <w:instrText xml:space="preserve"> PAGEREF _Toc171690429 \h </w:instrText>
        </w:r>
        <w:r w:rsidR="005F707D">
          <w:rPr>
            <w:noProof/>
            <w:webHidden/>
          </w:rPr>
        </w:r>
        <w:r w:rsidR="005F707D">
          <w:rPr>
            <w:noProof/>
            <w:webHidden/>
          </w:rPr>
          <w:fldChar w:fldCharType="separate"/>
        </w:r>
        <w:r w:rsidR="00E16E7D">
          <w:rPr>
            <w:noProof/>
            <w:webHidden/>
          </w:rPr>
          <w:t>6</w:t>
        </w:r>
        <w:r w:rsidR="005F707D">
          <w:rPr>
            <w:noProof/>
            <w:webHidden/>
          </w:rPr>
          <w:fldChar w:fldCharType="end"/>
        </w:r>
      </w:hyperlink>
    </w:p>
    <w:p w:rsidR="005F707D" w:rsidRDefault="006B7772" w14:paraId="623D423D" w14:textId="5C0FDCE3">
      <w:pPr>
        <w:pStyle w:val="TableofFigures"/>
        <w:rPr>
          <w:rFonts w:asciiTheme="minorHAnsi" w:hAnsiTheme="minorHAnsi" w:eastAsiaTheme="minorEastAsia" w:cstheme="minorBidi"/>
          <w:noProof/>
          <w:kern w:val="2"/>
          <w:szCs w:val="22"/>
          <w14:ligatures w14:val="standardContextual"/>
        </w:rPr>
      </w:pPr>
      <w:hyperlink w:history="1" w:anchor="_Toc171690430">
        <w:r w:rsidRPr="00DD694A" w:rsidR="005F707D">
          <w:rPr>
            <w:rStyle w:val="Hyperlink"/>
            <w:noProof/>
          </w:rPr>
          <w:t>Table 2. Summary of Rule 15, Rule 16, and Rule 15/16 Timelines for IOU Dependent Energization Steps – Acceleration Rates</w:t>
        </w:r>
        <w:r w:rsidR="005F707D">
          <w:rPr>
            <w:noProof/>
            <w:webHidden/>
          </w:rPr>
          <w:tab/>
        </w:r>
        <w:r w:rsidR="005F707D">
          <w:rPr>
            <w:noProof/>
            <w:webHidden/>
          </w:rPr>
          <w:fldChar w:fldCharType="begin"/>
        </w:r>
        <w:r w:rsidR="005F707D">
          <w:rPr>
            <w:noProof/>
            <w:webHidden/>
          </w:rPr>
          <w:instrText xml:space="preserve"> PAGEREF _Toc171690430 \h </w:instrText>
        </w:r>
        <w:r w:rsidR="005F707D">
          <w:rPr>
            <w:noProof/>
            <w:webHidden/>
          </w:rPr>
        </w:r>
        <w:r w:rsidR="005F707D">
          <w:rPr>
            <w:noProof/>
            <w:webHidden/>
          </w:rPr>
          <w:fldChar w:fldCharType="separate"/>
        </w:r>
        <w:r w:rsidR="00E16E7D">
          <w:rPr>
            <w:noProof/>
            <w:webHidden/>
          </w:rPr>
          <w:t>6</w:t>
        </w:r>
        <w:r w:rsidR="005F707D">
          <w:rPr>
            <w:noProof/>
            <w:webHidden/>
          </w:rPr>
          <w:fldChar w:fldCharType="end"/>
        </w:r>
      </w:hyperlink>
    </w:p>
    <w:p w:rsidR="005F707D" w:rsidRDefault="006B7772" w14:paraId="6323057C" w14:textId="147C86C8">
      <w:pPr>
        <w:pStyle w:val="TableofFigures"/>
        <w:rPr>
          <w:rFonts w:asciiTheme="minorHAnsi" w:hAnsiTheme="minorHAnsi" w:eastAsiaTheme="minorEastAsia" w:cstheme="minorBidi"/>
          <w:noProof/>
          <w:kern w:val="2"/>
          <w:szCs w:val="22"/>
          <w14:ligatures w14:val="standardContextual"/>
        </w:rPr>
      </w:pPr>
      <w:hyperlink w:history="1" w:anchor="_Toc171690431">
        <w:r w:rsidRPr="00DD694A" w:rsidR="005F707D">
          <w:rPr>
            <w:rStyle w:val="Hyperlink"/>
            <w:noProof/>
          </w:rPr>
          <w:t>Table 3. Raw Project Count by IOU, Tariff Type, and Energization Step</w:t>
        </w:r>
        <w:r w:rsidR="005F707D">
          <w:rPr>
            <w:noProof/>
            <w:webHidden/>
          </w:rPr>
          <w:tab/>
        </w:r>
        <w:r w:rsidR="005F707D">
          <w:rPr>
            <w:noProof/>
            <w:webHidden/>
          </w:rPr>
          <w:fldChar w:fldCharType="begin"/>
        </w:r>
        <w:r w:rsidR="005F707D">
          <w:rPr>
            <w:noProof/>
            <w:webHidden/>
          </w:rPr>
          <w:instrText xml:space="preserve"> PAGEREF _Toc171690431 \h </w:instrText>
        </w:r>
        <w:r w:rsidR="005F707D">
          <w:rPr>
            <w:noProof/>
            <w:webHidden/>
          </w:rPr>
        </w:r>
        <w:r w:rsidR="005F707D">
          <w:rPr>
            <w:noProof/>
            <w:webHidden/>
          </w:rPr>
          <w:fldChar w:fldCharType="separate"/>
        </w:r>
        <w:r w:rsidR="00E16E7D">
          <w:rPr>
            <w:noProof/>
            <w:webHidden/>
          </w:rPr>
          <w:t>8</w:t>
        </w:r>
        <w:r w:rsidR="005F707D">
          <w:rPr>
            <w:noProof/>
            <w:webHidden/>
          </w:rPr>
          <w:fldChar w:fldCharType="end"/>
        </w:r>
      </w:hyperlink>
    </w:p>
    <w:p w:rsidR="005F707D" w:rsidRDefault="006B7772" w14:paraId="51965264" w14:textId="51E3ECF3">
      <w:pPr>
        <w:pStyle w:val="TableofFigures"/>
        <w:rPr>
          <w:rFonts w:asciiTheme="minorHAnsi" w:hAnsiTheme="minorHAnsi" w:eastAsiaTheme="minorEastAsia" w:cstheme="minorBidi"/>
          <w:noProof/>
          <w:kern w:val="2"/>
          <w:szCs w:val="22"/>
          <w14:ligatures w14:val="standardContextual"/>
        </w:rPr>
      </w:pPr>
      <w:hyperlink w:history="1" w:anchor="_Toc171690432">
        <w:r w:rsidRPr="00DD694A" w:rsidR="005F707D">
          <w:rPr>
            <w:rStyle w:val="Hyperlink"/>
            <w:noProof/>
          </w:rPr>
          <w:t>Table 4. Percentage of Outliers Removed Due to Data Cleanup</w:t>
        </w:r>
        <w:r w:rsidR="005F707D">
          <w:rPr>
            <w:noProof/>
            <w:webHidden/>
          </w:rPr>
          <w:tab/>
        </w:r>
        <w:r w:rsidR="005F707D">
          <w:rPr>
            <w:noProof/>
            <w:webHidden/>
          </w:rPr>
          <w:fldChar w:fldCharType="begin"/>
        </w:r>
        <w:r w:rsidR="005F707D">
          <w:rPr>
            <w:noProof/>
            <w:webHidden/>
          </w:rPr>
          <w:instrText xml:space="preserve"> PAGEREF _Toc171690432 \h </w:instrText>
        </w:r>
        <w:r w:rsidR="005F707D">
          <w:rPr>
            <w:noProof/>
            <w:webHidden/>
          </w:rPr>
        </w:r>
        <w:r w:rsidR="005F707D">
          <w:rPr>
            <w:noProof/>
            <w:webHidden/>
          </w:rPr>
          <w:fldChar w:fldCharType="separate"/>
        </w:r>
        <w:r w:rsidR="00E16E7D">
          <w:rPr>
            <w:noProof/>
            <w:webHidden/>
          </w:rPr>
          <w:t>9</w:t>
        </w:r>
        <w:r w:rsidR="005F707D">
          <w:rPr>
            <w:noProof/>
            <w:webHidden/>
          </w:rPr>
          <w:fldChar w:fldCharType="end"/>
        </w:r>
      </w:hyperlink>
    </w:p>
    <w:p w:rsidR="005F707D" w:rsidRDefault="006B7772" w14:paraId="0EE3B932" w14:textId="70989812">
      <w:pPr>
        <w:pStyle w:val="TableofFigures"/>
        <w:rPr>
          <w:rFonts w:asciiTheme="minorHAnsi" w:hAnsiTheme="minorHAnsi" w:eastAsiaTheme="minorEastAsia" w:cstheme="minorBidi"/>
          <w:noProof/>
          <w:kern w:val="2"/>
          <w:szCs w:val="22"/>
          <w14:ligatures w14:val="standardContextual"/>
        </w:rPr>
      </w:pPr>
      <w:hyperlink w:history="1" w:anchor="_Toc171690433">
        <w:r w:rsidRPr="00DD694A" w:rsidR="005F707D">
          <w:rPr>
            <w:rStyle w:val="Hyperlink"/>
            <w:noProof/>
          </w:rPr>
          <w:t>Table 5. Guidehouse Timeline Summary Statistics</w:t>
        </w:r>
        <w:r w:rsidR="005F707D">
          <w:rPr>
            <w:noProof/>
            <w:webHidden/>
          </w:rPr>
          <w:tab/>
        </w:r>
        <w:r w:rsidR="005F707D">
          <w:rPr>
            <w:noProof/>
            <w:webHidden/>
          </w:rPr>
          <w:fldChar w:fldCharType="begin"/>
        </w:r>
        <w:r w:rsidR="005F707D">
          <w:rPr>
            <w:noProof/>
            <w:webHidden/>
          </w:rPr>
          <w:instrText xml:space="preserve"> PAGEREF _Toc171690433 \h </w:instrText>
        </w:r>
        <w:r w:rsidR="005F707D">
          <w:rPr>
            <w:noProof/>
            <w:webHidden/>
          </w:rPr>
        </w:r>
        <w:r w:rsidR="005F707D">
          <w:rPr>
            <w:noProof/>
            <w:webHidden/>
          </w:rPr>
          <w:fldChar w:fldCharType="separate"/>
        </w:r>
        <w:r w:rsidR="00E16E7D">
          <w:rPr>
            <w:noProof/>
            <w:webHidden/>
          </w:rPr>
          <w:t>10</w:t>
        </w:r>
        <w:r w:rsidR="005F707D">
          <w:rPr>
            <w:noProof/>
            <w:webHidden/>
          </w:rPr>
          <w:fldChar w:fldCharType="end"/>
        </w:r>
      </w:hyperlink>
    </w:p>
    <w:p w:rsidR="005F707D" w:rsidRDefault="006B7772" w14:paraId="51447819" w14:textId="37D28080">
      <w:pPr>
        <w:pStyle w:val="TableofFigures"/>
        <w:rPr>
          <w:rFonts w:asciiTheme="minorHAnsi" w:hAnsiTheme="minorHAnsi" w:eastAsiaTheme="minorEastAsia" w:cstheme="minorBidi"/>
          <w:noProof/>
          <w:kern w:val="2"/>
          <w:szCs w:val="22"/>
          <w14:ligatures w14:val="standardContextual"/>
        </w:rPr>
      </w:pPr>
      <w:hyperlink w:history="1" w:anchor="_Toc171690434">
        <w:r w:rsidRPr="00DD694A" w:rsidR="005F707D">
          <w:rPr>
            <w:rStyle w:val="Hyperlink"/>
            <w:noProof/>
          </w:rPr>
          <w:t>Table 6. Guidehouse Timeline Statistics Calculated with IOU Data – By Step</w:t>
        </w:r>
        <w:r w:rsidR="005F707D">
          <w:rPr>
            <w:noProof/>
            <w:webHidden/>
          </w:rPr>
          <w:tab/>
        </w:r>
        <w:r w:rsidR="005F707D">
          <w:rPr>
            <w:noProof/>
            <w:webHidden/>
          </w:rPr>
          <w:fldChar w:fldCharType="begin"/>
        </w:r>
        <w:r w:rsidR="005F707D">
          <w:rPr>
            <w:noProof/>
            <w:webHidden/>
          </w:rPr>
          <w:instrText xml:space="preserve"> PAGEREF _Toc171690434 \h </w:instrText>
        </w:r>
        <w:r w:rsidR="005F707D">
          <w:rPr>
            <w:noProof/>
            <w:webHidden/>
          </w:rPr>
        </w:r>
        <w:r w:rsidR="005F707D">
          <w:rPr>
            <w:noProof/>
            <w:webHidden/>
          </w:rPr>
          <w:fldChar w:fldCharType="separate"/>
        </w:r>
        <w:r w:rsidR="00E16E7D">
          <w:rPr>
            <w:noProof/>
            <w:webHidden/>
          </w:rPr>
          <w:t>11</w:t>
        </w:r>
        <w:r w:rsidR="005F707D">
          <w:rPr>
            <w:noProof/>
            <w:webHidden/>
          </w:rPr>
          <w:fldChar w:fldCharType="end"/>
        </w:r>
      </w:hyperlink>
    </w:p>
    <w:p w:rsidR="005F707D" w:rsidRDefault="006B7772" w14:paraId="4AC0351E" w14:textId="747F5A18">
      <w:pPr>
        <w:pStyle w:val="TableofFigures"/>
        <w:rPr>
          <w:rFonts w:asciiTheme="minorHAnsi" w:hAnsiTheme="minorHAnsi" w:eastAsiaTheme="minorEastAsia" w:cstheme="minorBidi"/>
          <w:noProof/>
          <w:kern w:val="2"/>
          <w:szCs w:val="22"/>
          <w14:ligatures w14:val="standardContextual"/>
        </w:rPr>
      </w:pPr>
      <w:hyperlink w:history="1" w:anchor="_Toc171690435">
        <w:r w:rsidRPr="00DD694A" w:rsidR="005F707D">
          <w:rPr>
            <w:rStyle w:val="Hyperlink"/>
            <w:noProof/>
          </w:rPr>
          <w:t>Table 7. IOU Timeline Statistics Provided in Proceeding Response – By Step</w:t>
        </w:r>
        <w:r w:rsidR="005F707D">
          <w:rPr>
            <w:noProof/>
            <w:webHidden/>
          </w:rPr>
          <w:tab/>
        </w:r>
        <w:r w:rsidR="005F707D">
          <w:rPr>
            <w:noProof/>
            <w:webHidden/>
          </w:rPr>
          <w:fldChar w:fldCharType="begin"/>
        </w:r>
        <w:r w:rsidR="005F707D">
          <w:rPr>
            <w:noProof/>
            <w:webHidden/>
          </w:rPr>
          <w:instrText xml:space="preserve"> PAGEREF _Toc171690435 \h </w:instrText>
        </w:r>
        <w:r w:rsidR="005F707D">
          <w:rPr>
            <w:noProof/>
            <w:webHidden/>
          </w:rPr>
        </w:r>
        <w:r w:rsidR="005F707D">
          <w:rPr>
            <w:noProof/>
            <w:webHidden/>
          </w:rPr>
          <w:fldChar w:fldCharType="separate"/>
        </w:r>
        <w:r w:rsidR="00E16E7D">
          <w:rPr>
            <w:noProof/>
            <w:webHidden/>
          </w:rPr>
          <w:t>12</w:t>
        </w:r>
        <w:r w:rsidR="005F707D">
          <w:rPr>
            <w:noProof/>
            <w:webHidden/>
          </w:rPr>
          <w:fldChar w:fldCharType="end"/>
        </w:r>
      </w:hyperlink>
    </w:p>
    <w:p w:rsidR="005F707D" w:rsidRDefault="006B7772" w14:paraId="4AC2982A" w14:textId="068B1BB3">
      <w:pPr>
        <w:pStyle w:val="TableofFigures"/>
        <w:rPr>
          <w:rFonts w:asciiTheme="minorHAnsi" w:hAnsiTheme="minorHAnsi" w:eastAsiaTheme="minorEastAsia" w:cstheme="minorBidi"/>
          <w:noProof/>
          <w:kern w:val="2"/>
          <w:szCs w:val="22"/>
          <w14:ligatures w14:val="standardContextual"/>
        </w:rPr>
      </w:pPr>
      <w:hyperlink w:history="1" w:anchor="_Toc171690436">
        <w:r w:rsidRPr="00DD694A" w:rsidR="005F707D">
          <w:rPr>
            <w:rStyle w:val="Hyperlink"/>
            <w:noProof/>
          </w:rPr>
          <w:t>Table 8. Differences Between Guidehouse-Calculated and IOU-Provided Timeline Statistics – by Step*</w:t>
        </w:r>
        <w:r w:rsidR="005F707D">
          <w:rPr>
            <w:noProof/>
            <w:webHidden/>
          </w:rPr>
          <w:tab/>
        </w:r>
        <w:r w:rsidR="005F707D">
          <w:rPr>
            <w:noProof/>
            <w:webHidden/>
          </w:rPr>
          <w:fldChar w:fldCharType="begin"/>
        </w:r>
        <w:r w:rsidR="005F707D">
          <w:rPr>
            <w:noProof/>
            <w:webHidden/>
          </w:rPr>
          <w:instrText xml:space="preserve"> PAGEREF _Toc171690436 \h </w:instrText>
        </w:r>
        <w:r w:rsidR="005F707D">
          <w:rPr>
            <w:noProof/>
            <w:webHidden/>
          </w:rPr>
        </w:r>
        <w:r w:rsidR="005F707D">
          <w:rPr>
            <w:noProof/>
            <w:webHidden/>
          </w:rPr>
          <w:fldChar w:fldCharType="separate"/>
        </w:r>
        <w:r w:rsidR="00E16E7D">
          <w:rPr>
            <w:noProof/>
            <w:webHidden/>
          </w:rPr>
          <w:t>12</w:t>
        </w:r>
        <w:r w:rsidR="005F707D">
          <w:rPr>
            <w:noProof/>
            <w:webHidden/>
          </w:rPr>
          <w:fldChar w:fldCharType="end"/>
        </w:r>
      </w:hyperlink>
    </w:p>
    <w:p w:rsidR="005F707D" w:rsidRDefault="006B7772" w14:paraId="26545C0D" w14:textId="52309FE7">
      <w:pPr>
        <w:pStyle w:val="TableofFigures"/>
        <w:rPr>
          <w:rFonts w:asciiTheme="minorHAnsi" w:hAnsiTheme="minorHAnsi" w:eastAsiaTheme="minorEastAsia" w:cstheme="minorBidi"/>
          <w:noProof/>
          <w:kern w:val="2"/>
          <w:szCs w:val="22"/>
          <w14:ligatures w14:val="standardContextual"/>
        </w:rPr>
      </w:pPr>
      <w:hyperlink w:history="1" w:anchor="_Toc171690437">
        <w:r w:rsidRPr="00DD694A" w:rsidR="005F707D">
          <w:rPr>
            <w:rStyle w:val="Hyperlink"/>
            <w:noProof/>
          </w:rPr>
          <w:t>Table 9. Guidehouse Timeline Statistics Calculated with IOU Data – By Tariff</w:t>
        </w:r>
        <w:r w:rsidR="005F707D">
          <w:rPr>
            <w:noProof/>
            <w:webHidden/>
          </w:rPr>
          <w:tab/>
        </w:r>
        <w:r w:rsidR="005F707D">
          <w:rPr>
            <w:noProof/>
            <w:webHidden/>
          </w:rPr>
          <w:fldChar w:fldCharType="begin"/>
        </w:r>
        <w:r w:rsidR="005F707D">
          <w:rPr>
            <w:noProof/>
            <w:webHidden/>
          </w:rPr>
          <w:instrText xml:space="preserve"> PAGEREF _Toc171690437 \h </w:instrText>
        </w:r>
        <w:r w:rsidR="005F707D">
          <w:rPr>
            <w:noProof/>
            <w:webHidden/>
          </w:rPr>
        </w:r>
        <w:r w:rsidR="005F707D">
          <w:rPr>
            <w:noProof/>
            <w:webHidden/>
          </w:rPr>
          <w:fldChar w:fldCharType="separate"/>
        </w:r>
        <w:r w:rsidR="00E16E7D">
          <w:rPr>
            <w:noProof/>
            <w:webHidden/>
          </w:rPr>
          <w:t>13</w:t>
        </w:r>
        <w:r w:rsidR="005F707D">
          <w:rPr>
            <w:noProof/>
            <w:webHidden/>
          </w:rPr>
          <w:fldChar w:fldCharType="end"/>
        </w:r>
      </w:hyperlink>
    </w:p>
    <w:p w:rsidR="005F707D" w:rsidRDefault="006B7772" w14:paraId="0D5C1B91" w14:textId="195F2B16">
      <w:pPr>
        <w:pStyle w:val="TableofFigures"/>
        <w:rPr>
          <w:rFonts w:asciiTheme="minorHAnsi" w:hAnsiTheme="minorHAnsi" w:eastAsiaTheme="minorEastAsia" w:cstheme="minorBidi"/>
          <w:noProof/>
          <w:kern w:val="2"/>
          <w:szCs w:val="22"/>
          <w14:ligatures w14:val="standardContextual"/>
        </w:rPr>
      </w:pPr>
      <w:hyperlink w:history="1" w:anchor="_Toc171690438">
        <w:r w:rsidRPr="00DD694A" w:rsidR="005F707D">
          <w:rPr>
            <w:rStyle w:val="Hyperlink"/>
            <w:noProof/>
          </w:rPr>
          <w:t>Table 10. IOU Timeline Statistics Provided in Proceeding Response – By Tariff</w:t>
        </w:r>
        <w:r w:rsidR="005F707D">
          <w:rPr>
            <w:noProof/>
            <w:webHidden/>
          </w:rPr>
          <w:tab/>
        </w:r>
        <w:r w:rsidR="005F707D">
          <w:rPr>
            <w:noProof/>
            <w:webHidden/>
          </w:rPr>
          <w:fldChar w:fldCharType="begin"/>
        </w:r>
        <w:r w:rsidR="005F707D">
          <w:rPr>
            <w:noProof/>
            <w:webHidden/>
          </w:rPr>
          <w:instrText xml:space="preserve"> PAGEREF _Toc171690438 \h </w:instrText>
        </w:r>
        <w:r w:rsidR="005F707D">
          <w:rPr>
            <w:noProof/>
            <w:webHidden/>
          </w:rPr>
        </w:r>
        <w:r w:rsidR="005F707D">
          <w:rPr>
            <w:noProof/>
            <w:webHidden/>
          </w:rPr>
          <w:fldChar w:fldCharType="separate"/>
        </w:r>
        <w:r w:rsidR="00E16E7D">
          <w:rPr>
            <w:noProof/>
            <w:webHidden/>
          </w:rPr>
          <w:t>14</w:t>
        </w:r>
        <w:r w:rsidR="005F707D">
          <w:rPr>
            <w:noProof/>
            <w:webHidden/>
          </w:rPr>
          <w:fldChar w:fldCharType="end"/>
        </w:r>
      </w:hyperlink>
    </w:p>
    <w:p w:rsidR="005F707D" w:rsidRDefault="006B7772" w14:paraId="219A5009" w14:textId="147F44EA">
      <w:pPr>
        <w:pStyle w:val="TableofFigures"/>
        <w:rPr>
          <w:rFonts w:asciiTheme="minorHAnsi" w:hAnsiTheme="minorHAnsi" w:eastAsiaTheme="minorEastAsia" w:cstheme="minorBidi"/>
          <w:noProof/>
          <w:kern w:val="2"/>
          <w:szCs w:val="22"/>
          <w14:ligatures w14:val="standardContextual"/>
        </w:rPr>
      </w:pPr>
      <w:hyperlink w:history="1" w:anchor="_Toc171690439">
        <w:r w:rsidRPr="00DD694A" w:rsidR="005F707D">
          <w:rPr>
            <w:rStyle w:val="Hyperlink"/>
            <w:noProof/>
          </w:rPr>
          <w:t>Table 11. Differences Between Guidehouse-Calculated and IOU-Provided Timeline Statistics – By Tariff</w:t>
        </w:r>
        <w:r w:rsidR="005F707D">
          <w:rPr>
            <w:noProof/>
            <w:webHidden/>
          </w:rPr>
          <w:tab/>
        </w:r>
        <w:r w:rsidR="005F707D">
          <w:rPr>
            <w:noProof/>
            <w:webHidden/>
          </w:rPr>
          <w:fldChar w:fldCharType="begin"/>
        </w:r>
        <w:r w:rsidR="005F707D">
          <w:rPr>
            <w:noProof/>
            <w:webHidden/>
          </w:rPr>
          <w:instrText xml:space="preserve"> PAGEREF _Toc171690439 \h </w:instrText>
        </w:r>
        <w:r w:rsidR="005F707D">
          <w:rPr>
            <w:noProof/>
            <w:webHidden/>
          </w:rPr>
        </w:r>
        <w:r w:rsidR="005F707D">
          <w:rPr>
            <w:noProof/>
            <w:webHidden/>
          </w:rPr>
          <w:fldChar w:fldCharType="separate"/>
        </w:r>
        <w:r w:rsidR="00E16E7D">
          <w:rPr>
            <w:noProof/>
            <w:webHidden/>
          </w:rPr>
          <w:t>14</w:t>
        </w:r>
        <w:r w:rsidR="005F707D">
          <w:rPr>
            <w:noProof/>
            <w:webHidden/>
          </w:rPr>
          <w:fldChar w:fldCharType="end"/>
        </w:r>
      </w:hyperlink>
    </w:p>
    <w:p w:rsidR="005140A6" w:rsidP="000F7AC3" w:rsidRDefault="005140A6" w14:paraId="7549E738" w14:textId="37FD3240">
      <w:pPr>
        <w:pStyle w:val="BodyTextNoSpacingAfter"/>
        <w:rPr>
          <w:rFonts w:eastAsia="Calibri"/>
        </w:rPr>
      </w:pPr>
      <w:r>
        <w:rPr>
          <w:rFonts w:eastAsia="Calibri"/>
        </w:rPr>
        <w:fldChar w:fldCharType="end"/>
      </w:r>
    </w:p>
    <w:p w:rsidR="005140A6" w:rsidP="005140A6" w:rsidRDefault="005140A6" w14:paraId="2F3841C3" w14:textId="5CB923D0">
      <w:pPr>
        <w:pStyle w:val="TOCHeading"/>
        <w:rPr>
          <w:noProof/>
        </w:rPr>
      </w:pPr>
      <w:r>
        <w:rPr>
          <w:noProof/>
        </w:rPr>
        <w:lastRenderedPageBreak/>
        <w:t xml:space="preserve">List of </w:t>
      </w:r>
      <w:r w:rsidR="00A46133">
        <w:rPr>
          <w:noProof/>
        </w:rPr>
        <w:t>Equations</w:t>
      </w:r>
    </w:p>
    <w:p w:rsidR="005F707D" w:rsidRDefault="00A46133" w14:paraId="4DE56D94" w14:textId="5C13BA52">
      <w:pPr>
        <w:pStyle w:val="TableofFigures"/>
        <w:rPr>
          <w:rFonts w:asciiTheme="minorHAnsi" w:hAnsiTheme="minorHAnsi" w:eastAsiaTheme="minorEastAsia" w:cstheme="minorBidi"/>
          <w:noProof/>
          <w:kern w:val="2"/>
          <w:szCs w:val="22"/>
          <w14:ligatures w14:val="standardContextual"/>
        </w:rPr>
      </w:pPr>
      <w:r>
        <w:rPr>
          <w:rFonts w:eastAsia="Calibri"/>
          <w:iCs/>
        </w:rPr>
        <w:fldChar w:fldCharType="begin"/>
      </w:r>
      <w:r>
        <w:rPr>
          <w:rFonts w:eastAsia="Calibri"/>
          <w:iCs/>
        </w:rPr>
        <w:instrText xml:space="preserve"> TOC \h \z \c "Equation" </w:instrText>
      </w:r>
      <w:r>
        <w:rPr>
          <w:rFonts w:eastAsia="Calibri"/>
          <w:iCs/>
        </w:rPr>
        <w:fldChar w:fldCharType="separate"/>
      </w:r>
      <w:hyperlink w:history="1" w:anchor="_Toc171690440">
        <w:r w:rsidRPr="009A5D02" w:rsidR="005F707D">
          <w:rPr>
            <w:rStyle w:val="Hyperlink"/>
            <w:noProof/>
          </w:rPr>
          <w:t>Equation 1. Standard Deviation of IOU Dependent Energization Timeline</w:t>
        </w:r>
        <w:r w:rsidR="005F707D">
          <w:rPr>
            <w:noProof/>
            <w:webHidden/>
          </w:rPr>
          <w:tab/>
        </w:r>
        <w:r w:rsidR="005F707D">
          <w:rPr>
            <w:noProof/>
            <w:webHidden/>
          </w:rPr>
          <w:fldChar w:fldCharType="begin"/>
        </w:r>
        <w:r w:rsidR="005F707D">
          <w:rPr>
            <w:noProof/>
            <w:webHidden/>
          </w:rPr>
          <w:instrText xml:space="preserve"> PAGEREF _Toc171690440 \h </w:instrText>
        </w:r>
        <w:r w:rsidR="005F707D">
          <w:rPr>
            <w:noProof/>
            <w:webHidden/>
          </w:rPr>
        </w:r>
        <w:r w:rsidR="005F707D">
          <w:rPr>
            <w:noProof/>
            <w:webHidden/>
          </w:rPr>
          <w:fldChar w:fldCharType="separate"/>
        </w:r>
        <w:r w:rsidR="00E16E7D">
          <w:rPr>
            <w:noProof/>
            <w:webHidden/>
          </w:rPr>
          <w:t>7</w:t>
        </w:r>
        <w:r w:rsidR="005F707D">
          <w:rPr>
            <w:noProof/>
            <w:webHidden/>
          </w:rPr>
          <w:fldChar w:fldCharType="end"/>
        </w:r>
      </w:hyperlink>
    </w:p>
    <w:p w:rsidR="005F707D" w:rsidRDefault="006B7772" w14:paraId="75A9ADA4" w14:textId="52361CEA">
      <w:pPr>
        <w:pStyle w:val="TableofFigures"/>
        <w:rPr>
          <w:rFonts w:asciiTheme="minorHAnsi" w:hAnsiTheme="minorHAnsi" w:eastAsiaTheme="minorEastAsia" w:cstheme="minorBidi"/>
          <w:noProof/>
          <w:kern w:val="2"/>
          <w:szCs w:val="22"/>
          <w14:ligatures w14:val="standardContextual"/>
        </w:rPr>
      </w:pPr>
      <w:hyperlink w:history="1" w:anchor="_Toc171690441">
        <w:r w:rsidRPr="009A5D02" w:rsidR="005F707D">
          <w:rPr>
            <w:rStyle w:val="Hyperlink"/>
            <w:noProof/>
          </w:rPr>
          <w:t>Equation 2. Maximum Energization Timeline Calculation</w:t>
        </w:r>
        <w:r w:rsidR="005F707D">
          <w:rPr>
            <w:noProof/>
            <w:webHidden/>
          </w:rPr>
          <w:tab/>
        </w:r>
        <w:r w:rsidR="005F707D">
          <w:rPr>
            <w:noProof/>
            <w:webHidden/>
          </w:rPr>
          <w:fldChar w:fldCharType="begin"/>
        </w:r>
        <w:r w:rsidR="005F707D">
          <w:rPr>
            <w:noProof/>
            <w:webHidden/>
          </w:rPr>
          <w:instrText xml:space="preserve"> PAGEREF _Toc171690441 \h </w:instrText>
        </w:r>
        <w:r w:rsidR="005F707D">
          <w:rPr>
            <w:noProof/>
            <w:webHidden/>
          </w:rPr>
        </w:r>
        <w:r w:rsidR="005F707D">
          <w:rPr>
            <w:noProof/>
            <w:webHidden/>
          </w:rPr>
          <w:fldChar w:fldCharType="separate"/>
        </w:r>
        <w:r w:rsidR="00E16E7D">
          <w:rPr>
            <w:noProof/>
            <w:webHidden/>
          </w:rPr>
          <w:t>7</w:t>
        </w:r>
        <w:r w:rsidR="005F707D">
          <w:rPr>
            <w:noProof/>
            <w:webHidden/>
          </w:rPr>
          <w:fldChar w:fldCharType="end"/>
        </w:r>
      </w:hyperlink>
    </w:p>
    <w:p w:rsidR="00E64131" w:rsidP="00E64131" w:rsidRDefault="00A46133" w14:paraId="0DD89A0E" w14:textId="0977557B">
      <w:pPr>
        <w:textAlignment w:val="baseline"/>
        <w:rPr>
          <w:rFonts w:cs="Arial"/>
          <w:b/>
          <w:bCs/>
          <w:sz w:val="28"/>
          <w:szCs w:val="28"/>
        </w:rPr>
      </w:pPr>
      <w:r>
        <w:rPr>
          <w:rFonts w:eastAsia="Calibri"/>
          <w:iCs/>
        </w:rPr>
        <w:fldChar w:fldCharType="end"/>
      </w:r>
      <w:r w:rsidRPr="00E64131" w:rsidR="00E64131">
        <w:rPr>
          <w:rFonts w:cs="Arial"/>
          <w:b/>
          <w:bCs/>
          <w:sz w:val="28"/>
          <w:szCs w:val="28"/>
        </w:rPr>
        <w:t xml:space="preserve"> </w:t>
      </w:r>
    </w:p>
    <w:p w:rsidRPr="00E64131" w:rsidR="00E64131" w:rsidP="00E64131" w:rsidRDefault="00E64131" w14:paraId="5AE7D50B" w14:textId="202DF581">
      <w:pPr>
        <w:pStyle w:val="TOCHeading"/>
      </w:pPr>
      <w:r w:rsidRPr="00BC77E1">
        <w:t>List of Acronyms</w:t>
      </w:r>
    </w:p>
    <w:p w:rsidRPr="006D0FE7" w:rsidR="00E64131" w:rsidP="00E64131" w:rsidRDefault="00E64131" w14:paraId="0AE4E077" w14:textId="77777777">
      <w:pPr>
        <w:pStyle w:val="ListParagraph"/>
        <w:numPr>
          <w:ilvl w:val="0"/>
          <w:numId w:val="21"/>
        </w:numPr>
        <w:textAlignment w:val="baseline"/>
        <w:rPr>
          <w:rFonts w:cs="Arial"/>
        </w:rPr>
      </w:pPr>
      <w:r>
        <w:rPr>
          <w:rFonts w:cs="Arial"/>
        </w:rPr>
        <w:t>CPUC: California Public Utilities Commission</w:t>
      </w:r>
    </w:p>
    <w:p w:rsidR="00E64131" w:rsidP="00E64131" w:rsidRDefault="00E64131" w14:paraId="0983E410" w14:textId="77777777">
      <w:pPr>
        <w:pStyle w:val="ListParagraph"/>
        <w:numPr>
          <w:ilvl w:val="0"/>
          <w:numId w:val="21"/>
        </w:numPr>
        <w:textAlignment w:val="baseline"/>
        <w:rPr>
          <w:rFonts w:cs="Arial"/>
        </w:rPr>
      </w:pPr>
      <w:r w:rsidRPr="006D0FE7">
        <w:rPr>
          <w:rFonts w:cs="Arial"/>
        </w:rPr>
        <w:t>IOU: Investor-Owned Utility</w:t>
      </w:r>
    </w:p>
    <w:p w:rsidR="00E64131" w:rsidP="00E64131" w:rsidRDefault="00E64131" w14:paraId="23D10172" w14:textId="77777777">
      <w:pPr>
        <w:pStyle w:val="ListParagraph"/>
        <w:numPr>
          <w:ilvl w:val="0"/>
          <w:numId w:val="21"/>
        </w:numPr>
        <w:textAlignment w:val="baseline"/>
        <w:rPr>
          <w:rFonts w:cs="Arial"/>
        </w:rPr>
      </w:pPr>
      <w:r>
        <w:rPr>
          <w:rFonts w:cs="Arial"/>
        </w:rPr>
        <w:t>PG&amp;E: Pacific Gas &amp; Electric</w:t>
      </w:r>
    </w:p>
    <w:p w:rsidR="00E64131" w:rsidP="00E64131" w:rsidRDefault="00E64131" w14:paraId="24313EC5" w14:textId="77777777">
      <w:pPr>
        <w:pStyle w:val="ListParagraph"/>
        <w:numPr>
          <w:ilvl w:val="0"/>
          <w:numId w:val="21"/>
        </w:numPr>
        <w:textAlignment w:val="baseline"/>
        <w:rPr>
          <w:rFonts w:cs="Arial"/>
        </w:rPr>
      </w:pPr>
      <w:r>
        <w:rPr>
          <w:rFonts w:cs="Arial"/>
        </w:rPr>
        <w:t>SCE: Southern California Edison</w:t>
      </w:r>
    </w:p>
    <w:p w:rsidR="00BF3438" w:rsidP="3F7C3C98" w:rsidRDefault="00E64131" w14:paraId="75CFD77B" w14:textId="30CF909D">
      <w:pPr>
        <w:pStyle w:val="ListParagraph"/>
        <w:numPr>
          <w:ilvl w:val="0"/>
          <w:numId w:val="21"/>
        </w:numPr>
        <w:rPr>
          <w:rFonts w:cs="Arial"/>
        </w:rPr>
        <w:sectPr w:rsidR="00BF3438" w:rsidSect="00AE78DC">
          <w:headerReference w:type="default" r:id="rId15"/>
          <w:footerReference w:type="default" r:id="rId16"/>
          <w:pgSz w:w="12240" w:h="15840" w:code="1"/>
          <w:pgMar w:top="1440" w:right="1440" w:bottom="1440" w:left="1440" w:header="720" w:footer="720" w:gutter="0"/>
          <w:pgNumType w:fmt="lowerRoman" w:start="1"/>
          <w:cols w:space="720"/>
          <w:docGrid w:linePitch="360"/>
        </w:sectPr>
      </w:pPr>
      <w:r>
        <w:rPr>
          <w:rFonts w:cs="Arial"/>
        </w:rPr>
        <w:t>SDG&amp;E: San Deigo Gas &amp; Electric</w:t>
      </w:r>
    </w:p>
    <w:p w:rsidR="00DC40BA" w:rsidP="00C25437" w:rsidRDefault="00C25437" w14:paraId="1C3E4CAE" w14:textId="24728FE6">
      <w:pPr>
        <w:pStyle w:val="Heading1"/>
      </w:pPr>
      <w:bookmarkStart w:name="_Toc171690411" w:id="2"/>
      <w:bookmarkStart w:name="_Toc164936986" w:id="3"/>
      <w:r>
        <w:lastRenderedPageBreak/>
        <w:t>Introduction</w:t>
      </w:r>
      <w:bookmarkEnd w:id="2"/>
    </w:p>
    <w:bookmarkEnd w:id="3"/>
    <w:p w:rsidR="003F3859" w:rsidP="003F3859" w:rsidRDefault="003F3859" w14:paraId="3E8C7987" w14:textId="4DA27FA2">
      <w:pPr>
        <w:spacing w:after="160" w:line="259" w:lineRule="auto"/>
      </w:pPr>
      <w:r>
        <w:t xml:space="preserve">This document outlines analyses conducted by </w:t>
      </w:r>
      <w:proofErr w:type="spellStart"/>
      <w:r>
        <w:t>Guidehouse</w:t>
      </w:r>
      <w:proofErr w:type="spellEnd"/>
      <w:r>
        <w:t xml:space="preserve"> to support the California Public Utilities Commission’s (CPUC) evaluation of the timelines associated with investor-owned utility (IOU) energization of load in California. The analysis leveraged data provided to the CPUC</w:t>
      </w:r>
      <w:r w:rsidR="007C351E">
        <w:rPr>
          <w:rStyle w:val="FootnoteReference"/>
        </w:rPr>
        <w:footnoteReference w:id="2"/>
      </w:r>
      <w:r>
        <w:t xml:space="preserve"> by the IOUs on April 22, 2024</w:t>
      </w:r>
      <w:r>
        <w:rPr>
          <w:rStyle w:val="FootnoteReference"/>
        </w:rPr>
        <w:footnoteReference w:id="3"/>
      </w:r>
      <w:r>
        <w:t xml:space="preserve">, in response to </w:t>
      </w:r>
      <w:r w:rsidRPr="003A1653">
        <w:t xml:space="preserve">Order Instituting Rulemaking to Establish Energization Timelines </w:t>
      </w:r>
      <w:r>
        <w:t>(R.24-01-018)</w:t>
      </w:r>
      <w:r>
        <w:rPr>
          <w:rStyle w:val="FootnoteReference"/>
        </w:rPr>
        <w:footnoteReference w:id="4"/>
      </w:r>
      <w:r>
        <w:t xml:space="preserve">. The data represents the number of business days to complete individual energization projects in the past five years, from January 2019 to December 2023. </w:t>
      </w:r>
    </w:p>
    <w:p w:rsidR="003F3859" w:rsidP="003F3859" w:rsidRDefault="003F3859" w14:paraId="2E1EFF52" w14:textId="77777777">
      <w:pPr>
        <w:spacing w:after="160" w:line="259" w:lineRule="auto"/>
      </w:pPr>
      <w:r>
        <w:t>The objective of the analysis is to inform CPUC decision-making with respect to its responsibility in the rulemaking to “establish reasonable average and maximum target energization time periods per Public Utilities Code Section 934 (a)(1)”</w:t>
      </w:r>
      <w:r>
        <w:rPr>
          <w:rStyle w:val="FootnoteReference"/>
        </w:rPr>
        <w:footnoteReference w:id="5"/>
      </w:r>
      <w:r>
        <w:t xml:space="preserve">. The analyses assessed data provided by the IOUs across the following parameters according to guidance provided by the CPUC to </w:t>
      </w:r>
      <w:proofErr w:type="spellStart"/>
      <w:r>
        <w:t>Guidehouse</w:t>
      </w:r>
      <w:proofErr w:type="spellEnd"/>
      <w:r>
        <w:t>:</w:t>
      </w:r>
    </w:p>
    <w:p w:rsidRPr="00502437" w:rsidR="00502437" w:rsidP="00502437" w:rsidRDefault="00502437" w14:paraId="771CBCBA" w14:textId="28FEA07D">
      <w:pPr>
        <w:numPr>
          <w:ilvl w:val="0"/>
          <w:numId w:val="37"/>
        </w:numPr>
        <w:spacing w:after="160" w:line="259" w:lineRule="auto"/>
      </w:pPr>
      <w:r w:rsidRPr="00502437">
        <w:rPr>
          <w:b/>
        </w:rPr>
        <w:t>IOU service territory</w:t>
      </w:r>
      <w:r w:rsidRPr="00502437">
        <w:t xml:space="preserve"> </w:t>
      </w:r>
      <w:r w:rsidR="00A47972">
        <w:t>for</w:t>
      </w:r>
      <w:r w:rsidRPr="00502437">
        <w:t xml:space="preserve"> Pacific Gas &amp; Electric (PG&amp;E), Southern California Edison (SCE), and San Diego Gas &amp; Electric (SDG&amp;E)</w:t>
      </w:r>
      <w:r w:rsidR="007B5318">
        <w:t>.</w:t>
      </w:r>
    </w:p>
    <w:p w:rsidRPr="00502437" w:rsidR="00502437" w:rsidP="00502437" w:rsidRDefault="00502437" w14:paraId="24811D2A" w14:textId="317FAC82">
      <w:pPr>
        <w:numPr>
          <w:ilvl w:val="0"/>
          <w:numId w:val="37"/>
        </w:numPr>
        <w:spacing w:after="160" w:line="259" w:lineRule="auto"/>
      </w:pPr>
      <w:r w:rsidRPr="00502437">
        <w:rPr>
          <w:b/>
        </w:rPr>
        <w:t>Step</w:t>
      </w:r>
      <w:r w:rsidRPr="00502437">
        <w:t xml:space="preserve"> in the energization process (as defined by the CPUC)</w:t>
      </w:r>
      <w:r w:rsidR="007B5318">
        <w:t>.</w:t>
      </w:r>
    </w:p>
    <w:p w:rsidRPr="00502437" w:rsidR="00502437" w:rsidP="00502437" w:rsidRDefault="00502437" w14:paraId="084895D3" w14:textId="77777777">
      <w:pPr>
        <w:numPr>
          <w:ilvl w:val="0"/>
          <w:numId w:val="37"/>
        </w:numPr>
        <w:spacing w:after="160" w:line="259" w:lineRule="auto"/>
      </w:pPr>
      <w:r w:rsidRPr="00502437">
        <w:rPr>
          <w:b/>
        </w:rPr>
        <w:t>Tariff Type and Electric Rule</w:t>
      </w:r>
      <w:r w:rsidRPr="00502437">
        <w:t xml:space="preserve"> (i.e., Rule 15, Rule 16, Rule 15 &amp; 16, Rule 29/45, and Rule 15 &amp; 29/45).</w:t>
      </w:r>
    </w:p>
    <w:p w:rsidRPr="00B17FE9" w:rsidR="00B7057E" w:rsidP="00B17FE9" w:rsidRDefault="00B17FE9" w14:paraId="0A452B08" w14:textId="0A09D650">
      <w:pPr>
        <w:spacing w:after="160" w:line="259" w:lineRule="auto"/>
        <w:rPr>
          <w:rFonts w:ascii="Calibri" w:hAnsi="Calibri"/>
        </w:rPr>
      </w:pPr>
      <w:r>
        <w:t>The analyses will be used by the CPUC to inform appropriate target energization time periods for projects completed by the IOUs.</w:t>
      </w:r>
      <w:r w:rsidR="009C5196">
        <w:t xml:space="preserve"> </w:t>
      </w:r>
      <w:proofErr w:type="spellStart"/>
      <w:r>
        <w:t>Guidehouse</w:t>
      </w:r>
      <w:proofErr w:type="spellEnd"/>
      <w:r>
        <w:t xml:space="preserve"> provided the CPUC with two Excel workbooks</w:t>
      </w:r>
      <w:r>
        <w:rPr>
          <w:rStyle w:val="FootnoteReference"/>
        </w:rPr>
        <w:footnoteReference w:id="6"/>
      </w:r>
      <w:r>
        <w:t xml:space="preserve"> containing the data received from the IOUs, results produced by </w:t>
      </w:r>
      <w:proofErr w:type="spellStart"/>
      <w:r>
        <w:t>Guidehouse</w:t>
      </w:r>
      <w:proofErr w:type="spellEnd"/>
      <w:r>
        <w:t xml:space="preserve"> analyses conducted at the direction of CPUC staff, and the tables contained in appendices</w:t>
      </w:r>
      <w:r w:rsidRPr="00342ABD">
        <w:t xml:space="preserve"> of this </w:t>
      </w:r>
      <w:r w:rsidR="006F071C">
        <w:t>report</w:t>
      </w:r>
      <w:r>
        <w:t xml:space="preserve">. </w:t>
      </w:r>
      <w:proofErr w:type="spellStart"/>
      <w:r>
        <w:t>Guidehouse</w:t>
      </w:r>
      <w:proofErr w:type="spellEnd"/>
      <w:r>
        <w:t xml:space="preserve"> does not provide recommendations for what targets to set</w:t>
      </w:r>
      <w:r w:rsidR="0027008A">
        <w:t xml:space="preserve"> as</w:t>
      </w:r>
      <w:r>
        <w:t xml:space="preserve"> that determination is the responsibility of the CPUC. </w:t>
      </w:r>
    </w:p>
    <w:p w:rsidRPr="00210415" w:rsidR="00BB5A45" w:rsidP="00C9715A" w:rsidRDefault="000646F4" w14:paraId="72B2A405" w14:textId="366F81CC">
      <w:pPr>
        <w:pStyle w:val="Heading1"/>
      </w:pPr>
      <w:bookmarkStart w:name="_Ref171597980" w:id="4"/>
      <w:bookmarkStart w:name="_Toc171690412" w:id="5"/>
      <w:bookmarkStart w:name="_Ref169182627" w:id="6"/>
      <w:r>
        <w:lastRenderedPageBreak/>
        <w:t xml:space="preserve">Energization Timeline </w:t>
      </w:r>
      <w:r w:rsidR="00462213">
        <w:t xml:space="preserve">Data </w:t>
      </w:r>
      <w:r>
        <w:t xml:space="preserve">Analysis </w:t>
      </w:r>
      <w:r w:rsidR="00B25C4A">
        <w:t>–</w:t>
      </w:r>
      <w:r>
        <w:t xml:space="preserve"> All Steps</w:t>
      </w:r>
      <w:bookmarkEnd w:id="4"/>
      <w:bookmarkEnd w:id="5"/>
    </w:p>
    <w:p w:rsidR="003F393C" w:rsidP="00DE16A8" w:rsidRDefault="005B6444" w14:paraId="3FF7F6EA" w14:textId="56FB1059">
      <w:pPr>
        <w:pStyle w:val="Heading2"/>
      </w:pPr>
      <w:bookmarkStart w:name="_Toc171690413" w:id="7"/>
      <w:bookmarkEnd w:id="6"/>
      <w:r>
        <w:t>Objective</w:t>
      </w:r>
      <w:bookmarkEnd w:id="7"/>
    </w:p>
    <w:p w:rsidR="00BD3CBE" w:rsidP="00BD3CBE" w:rsidRDefault="00BD3CBE" w14:paraId="09AF877D" w14:textId="05BDDE58">
      <w:pPr>
        <w:spacing w:after="160" w:line="259" w:lineRule="auto"/>
      </w:pPr>
      <w:r>
        <w:t xml:space="preserve">The primary objective of the analysis was to evaluate the energization data provided by the IOUs, identify, and remove outlier data, and calculate statistics of the resulting dataset (i.e., average, median, standard deviation, and maximum). The IOUs also provided their own analysis of the datasets. This </w:t>
      </w:r>
      <w:r w:rsidR="006F071C">
        <w:t>report</w:t>
      </w:r>
      <w:r>
        <w:t xml:space="preserve"> compares the </w:t>
      </w:r>
      <w:proofErr w:type="spellStart"/>
      <w:r>
        <w:t>Guidehouse</w:t>
      </w:r>
      <w:proofErr w:type="spellEnd"/>
      <w:r>
        <w:t xml:space="preserve"> analysis results to the IOU analysis results. This comparison helped to validate the analysis methodology and assess the impact of remov</w:t>
      </w:r>
      <w:r w:rsidR="008E64FB">
        <w:t>ing</w:t>
      </w:r>
      <w:r>
        <w:t xml:space="preserve"> data outliers. </w:t>
      </w:r>
    </w:p>
    <w:p w:rsidR="00BD3CBE" w:rsidP="00BD3CBE" w:rsidRDefault="00BD3CBE" w14:paraId="63E0A9CD" w14:textId="43B7BD8F">
      <w:pPr>
        <w:pStyle w:val="Heading2"/>
      </w:pPr>
      <w:bookmarkStart w:name="_Toc171690414" w:id="8"/>
      <w:r>
        <w:t>Input Data</w:t>
      </w:r>
      <w:bookmarkEnd w:id="8"/>
    </w:p>
    <w:p w:rsidR="00901012" w:rsidP="00901012" w:rsidRDefault="00901012" w14:paraId="55EF7898" w14:textId="7289D2F8">
      <w:pPr>
        <w:spacing w:after="160" w:line="259" w:lineRule="auto"/>
      </w:pPr>
      <w:r>
        <w:t>Rulemaking 24-01-018 established the energization project data request, which in part requested that IOU’s propose a set of standardized steps for energization project timelines</w:t>
      </w:r>
      <w:r w:rsidR="00E157C3">
        <w:t>,</w:t>
      </w:r>
      <w:r>
        <w:t xml:space="preserve"> as well as each IOU’s energization project data for each proposed step. The IOUs responded with a proposed set of standardized steps to complete the energization process, as defined by the Public Utilities Code Section 931 (b). listed below:</w:t>
      </w:r>
    </w:p>
    <w:p w:rsidR="00055847" w:rsidP="00055847" w:rsidRDefault="0018578C" w14:paraId="7A66C4C0" w14:textId="77777777">
      <w:pPr>
        <w:pStyle w:val="ListParagraph"/>
        <w:numPr>
          <w:ilvl w:val="0"/>
          <w:numId w:val="46"/>
        </w:numPr>
        <w:ind w:left="900"/>
      </w:pPr>
      <w:r>
        <w:t>Customer Initiation/ Intake</w:t>
      </w:r>
    </w:p>
    <w:p w:rsidR="00055847" w:rsidP="00055847" w:rsidRDefault="0018578C" w14:paraId="6A55FC63" w14:textId="77777777">
      <w:pPr>
        <w:pStyle w:val="ListParagraph"/>
        <w:numPr>
          <w:ilvl w:val="0"/>
          <w:numId w:val="46"/>
        </w:numPr>
        <w:ind w:left="900"/>
      </w:pPr>
      <w:r>
        <w:t>Engineering &amp; Design</w:t>
      </w:r>
    </w:p>
    <w:p w:rsidR="00055847" w:rsidP="00055847" w:rsidRDefault="0018578C" w14:paraId="322744B4" w14:textId="77777777">
      <w:pPr>
        <w:pStyle w:val="ListParagraph"/>
        <w:numPr>
          <w:ilvl w:val="0"/>
          <w:numId w:val="46"/>
        </w:numPr>
        <w:ind w:left="900"/>
      </w:pPr>
      <w:r>
        <w:t>Dependencies</w:t>
      </w:r>
    </w:p>
    <w:p w:rsidR="00055847" w:rsidP="00055847" w:rsidRDefault="0018578C" w14:paraId="2AAA8DEB" w14:textId="77777777">
      <w:pPr>
        <w:pStyle w:val="ListParagraph"/>
        <w:numPr>
          <w:ilvl w:val="0"/>
          <w:numId w:val="46"/>
        </w:numPr>
        <w:ind w:left="900"/>
      </w:pPr>
      <w:r>
        <w:t>Site Readiness</w:t>
      </w:r>
    </w:p>
    <w:p w:rsidR="0018578C" w:rsidP="002954AD" w:rsidRDefault="0018578C" w14:paraId="761CE75C" w14:textId="7E1C9C71">
      <w:pPr>
        <w:pStyle w:val="ListParagraph"/>
        <w:numPr>
          <w:ilvl w:val="0"/>
          <w:numId w:val="46"/>
        </w:numPr>
        <w:spacing w:after="0"/>
        <w:ind w:left="907"/>
      </w:pPr>
      <w:r>
        <w:t>Construction</w:t>
      </w:r>
    </w:p>
    <w:p w:rsidR="0018578C" w:rsidP="0018578C" w:rsidRDefault="0018578C" w14:paraId="4DE4B91F" w14:textId="77777777">
      <w:pPr>
        <w:pStyle w:val="ListParagraph"/>
        <w:spacing w:before="0" w:after="0" w:line="259" w:lineRule="auto"/>
      </w:pPr>
    </w:p>
    <w:p w:rsidR="0018578C" w:rsidP="0018578C" w:rsidRDefault="0018578C" w14:paraId="5A9EA81C" w14:textId="60079BE0">
      <w:pPr>
        <w:spacing w:after="160" w:line="259" w:lineRule="auto"/>
      </w:pPr>
      <w:r>
        <w:t xml:space="preserve">Each IOU also provided data for their respective energization projects including project characteristics by tariff type and electric rule, </w:t>
      </w:r>
      <w:r w:rsidR="4ABDA03D">
        <w:t>and</w:t>
      </w:r>
      <w:r>
        <w:t xml:space="preserve"> days associated with each proposed </w:t>
      </w:r>
      <w:r w:rsidR="4ABDA03D">
        <w:t>step.</w:t>
      </w:r>
      <w:r>
        <w:t xml:space="preserve"> Across all IOUs there are more than 125,000 projects included in the dataset, </w:t>
      </w:r>
      <w:r w:rsidR="00B74388">
        <w:t xml:space="preserve">with </w:t>
      </w:r>
      <w:r>
        <w:t xml:space="preserve">34% from PG&amp;E, 27% from SCE, and 40% from SDG&amp;E. </w:t>
      </w:r>
    </w:p>
    <w:p w:rsidR="00BD3CBE" w:rsidP="00D9554E" w:rsidRDefault="00D9554E" w14:paraId="61D5A87A" w14:textId="54A2901D">
      <w:pPr>
        <w:pStyle w:val="Heading2"/>
      </w:pPr>
      <w:bookmarkStart w:name="_Toc171690415" w:id="9"/>
      <w:r>
        <w:t>Outputs</w:t>
      </w:r>
      <w:bookmarkEnd w:id="9"/>
    </w:p>
    <w:p w:rsidR="00CB2BAE" w:rsidP="00CB2BAE" w:rsidRDefault="00CB2BAE" w14:paraId="7C77D10D" w14:textId="77777777">
      <w:pPr>
        <w:spacing w:after="160" w:line="259" w:lineRule="auto"/>
      </w:pPr>
      <w:proofErr w:type="spellStart"/>
      <w:r>
        <w:t>Guidehouse</w:t>
      </w:r>
      <w:proofErr w:type="spellEnd"/>
      <w:r>
        <w:t xml:space="preserve"> developed a set of summary tables that provide descriptive statistics of IOU energization projects as directed by CPUC staff. In alignment with R.24-01-018 requirements, the tables include the average, median, standard deviation, and maximum number of days for: (a) each of the proposed standardized energization steps; and (b) each tariff t</w:t>
      </w:r>
      <w:r>
        <w:rPr>
          <w:bCs/>
        </w:rPr>
        <w:t>ype and</w:t>
      </w:r>
      <w:r>
        <w:t xml:space="preserve"> electric rule associated with energization projects for each IOU. </w:t>
      </w:r>
    </w:p>
    <w:p w:rsidR="00CB2BAE" w:rsidP="00CB2BAE" w:rsidRDefault="00CB2BAE" w14:paraId="1B9BCC25" w14:textId="77777777">
      <w:pPr>
        <w:spacing w:after="160" w:line="259" w:lineRule="auto"/>
      </w:pPr>
      <w:proofErr w:type="spellStart"/>
      <w:r>
        <w:t>Guidehouse</w:t>
      </w:r>
      <w:proofErr w:type="spellEnd"/>
      <w:r>
        <w:t xml:space="preserve"> analysis outputs include:</w:t>
      </w:r>
    </w:p>
    <w:p w:rsidR="00CB2BAE" w:rsidP="00CB2BAE" w:rsidRDefault="00CB2BAE" w14:paraId="42F37AFD" w14:textId="77777777">
      <w:pPr>
        <w:pStyle w:val="ListParagraph"/>
        <w:numPr>
          <w:ilvl w:val="0"/>
          <w:numId w:val="39"/>
        </w:numPr>
        <w:spacing w:before="0" w:line="259" w:lineRule="auto"/>
        <w:ind w:left="900"/>
      </w:pPr>
      <w:r>
        <w:t>A spreadsheet with all IOU energization project timeline data combined.</w:t>
      </w:r>
    </w:p>
    <w:p w:rsidR="00CB2BAE" w:rsidP="00CB2BAE" w:rsidRDefault="00CB2BAE" w14:paraId="11C203B2" w14:textId="77777777">
      <w:pPr>
        <w:pStyle w:val="ListParagraph"/>
        <w:numPr>
          <w:ilvl w:val="0"/>
          <w:numId w:val="39"/>
        </w:numPr>
        <w:spacing w:before="0" w:line="259" w:lineRule="auto"/>
        <w:ind w:left="900"/>
      </w:pPr>
      <w:r>
        <w:t xml:space="preserve">A cleaned and consolidated version of the IOU energization project timeline data in which outliers have been identified and removed from the original data provided by the IOUs. </w:t>
      </w:r>
    </w:p>
    <w:p w:rsidR="00CB2BAE" w:rsidP="00CB2BAE" w:rsidRDefault="00CB2BAE" w14:paraId="5B147797" w14:textId="3BB2DA16">
      <w:pPr>
        <w:spacing w:after="160" w:line="259" w:lineRule="auto"/>
      </w:pPr>
      <w:r>
        <w:lastRenderedPageBreak/>
        <w:t xml:space="preserve">Both datasets include pivot tables to support further evaluations of the underlying data. </w:t>
      </w:r>
      <w:r w:rsidR="0097410B">
        <w:t xml:space="preserve">All data </w:t>
      </w:r>
      <w:r w:rsidR="003A1C50">
        <w:t xml:space="preserve">are </w:t>
      </w:r>
      <w:r w:rsidR="0097410B">
        <w:t xml:space="preserve">contained in an Excel workbook that </w:t>
      </w:r>
      <w:proofErr w:type="spellStart"/>
      <w:r w:rsidR="0097410B">
        <w:t>Guidehouse</w:t>
      </w:r>
      <w:proofErr w:type="spellEnd"/>
      <w:r w:rsidR="0097410B">
        <w:t xml:space="preserve"> submitted to CPUC, “</w:t>
      </w:r>
      <w:r w:rsidRPr="0097410B" w:rsidR="0097410B">
        <w:t>Statewide Energization Timelines Analyses –</w:t>
      </w:r>
      <w:r w:rsidR="00602F8B">
        <w:t xml:space="preserve"> </w:t>
      </w:r>
      <w:r w:rsidRPr="0097410B" w:rsidR="0097410B">
        <w:t>All Steps</w:t>
      </w:r>
      <w:r w:rsidR="0097410B">
        <w:t xml:space="preserve">”. The summary tables </w:t>
      </w:r>
      <w:r w:rsidR="00602F8B">
        <w:t>appear</w:t>
      </w:r>
      <w:r w:rsidR="0097410B">
        <w:t xml:space="preserve"> in </w:t>
      </w:r>
      <w:r w:rsidR="00C239A6">
        <w:fldChar w:fldCharType="begin"/>
      </w:r>
      <w:r w:rsidR="00C239A6">
        <w:instrText xml:space="preserve"> REF _Ref171596776 \n \h </w:instrText>
      </w:r>
      <w:r w:rsidR="00C239A6">
        <w:fldChar w:fldCharType="separate"/>
      </w:r>
      <w:r w:rsidR="00E16E7D">
        <w:t>Appendix B</w:t>
      </w:r>
      <w:r w:rsidR="00C239A6">
        <w:fldChar w:fldCharType="end"/>
      </w:r>
      <w:r w:rsidR="00C239A6">
        <w:t xml:space="preserve">. </w:t>
      </w:r>
    </w:p>
    <w:p w:rsidR="00280C0F" w:rsidP="00280C0F" w:rsidRDefault="00280C0F" w14:paraId="67A064E5" w14:textId="4376D517">
      <w:pPr>
        <w:pStyle w:val="Heading2"/>
      </w:pPr>
      <w:bookmarkStart w:name="_Toc171690416" w:id="10"/>
      <w:r>
        <w:t>Analysis Methodology</w:t>
      </w:r>
      <w:bookmarkEnd w:id="10"/>
    </w:p>
    <w:p w:rsidR="003B2A0F" w:rsidP="003B2A0F" w:rsidRDefault="003B2A0F" w14:paraId="47A2AD96" w14:textId="77777777">
      <w:pPr>
        <w:spacing w:after="160" w:line="259" w:lineRule="auto"/>
      </w:pPr>
      <w:proofErr w:type="spellStart"/>
      <w:r>
        <w:t>Guidehouse</w:t>
      </w:r>
      <w:proofErr w:type="spellEnd"/>
      <w:r>
        <w:t xml:space="preserve"> evaluated each IOU dataset for alignment with the proposed energization steps, provided clear indications of the related tariff type and electric rule for each energization project, and addressed major gaps or unknown elements (errors) in the dataset in coordination with CPUC staff. </w:t>
      </w:r>
    </w:p>
    <w:p w:rsidR="003B2A0F" w:rsidP="003B2A0F" w:rsidRDefault="003B2A0F" w14:paraId="46EA2098" w14:textId="77777777">
      <w:pPr>
        <w:spacing w:after="160" w:line="259" w:lineRule="auto"/>
      </w:pPr>
      <w:r>
        <w:t xml:space="preserve">The </w:t>
      </w:r>
      <w:r w:rsidRPr="007A072F">
        <w:rPr>
          <w:b/>
          <w:bCs/>
        </w:rPr>
        <w:t xml:space="preserve">first element </w:t>
      </w:r>
      <w:r>
        <w:t xml:space="preserve">of the </w:t>
      </w:r>
      <w:r w:rsidRPr="00026945">
        <w:rPr>
          <w:bCs/>
        </w:rPr>
        <w:t xml:space="preserve">data analysis was to align the IOU data to the proposed </w:t>
      </w:r>
      <w:r w:rsidRPr="007A072F">
        <w:rPr>
          <w:b/>
        </w:rPr>
        <w:t>energization steps</w:t>
      </w:r>
      <w:r>
        <w:t xml:space="preserve">. As the raw data provided by the IOUs did not fully align to the IOU-proposed steps, </w:t>
      </w:r>
      <w:proofErr w:type="spellStart"/>
      <w:r>
        <w:t>Guidehouse</w:t>
      </w:r>
      <w:proofErr w:type="spellEnd"/>
      <w:r>
        <w:t xml:space="preserve"> made the following assumptions:</w:t>
      </w:r>
    </w:p>
    <w:p w:rsidR="003B2A0F" w:rsidP="003B2A0F" w:rsidRDefault="003B2A0F" w14:paraId="1EF13D8A" w14:textId="77777777">
      <w:pPr>
        <w:pStyle w:val="ListParagraph"/>
        <w:numPr>
          <w:ilvl w:val="1"/>
          <w:numId w:val="40"/>
        </w:numPr>
        <w:spacing w:before="0" w:after="60" w:line="259" w:lineRule="auto"/>
        <w:ind w:left="907"/>
      </w:pPr>
      <w:r w:rsidRPr="007A072F">
        <w:rPr>
          <w:b/>
          <w:bCs/>
        </w:rPr>
        <w:t>PG&amp;E</w:t>
      </w:r>
      <w:r>
        <w:t xml:space="preserve">: To be consistent with the IOU definition of Step 3 (Dependencies), </w:t>
      </w:r>
      <w:proofErr w:type="spellStart"/>
      <w:r>
        <w:t>Guidehouse</w:t>
      </w:r>
      <w:proofErr w:type="spellEnd"/>
      <w:r>
        <w:t xml:space="preserve"> adjusted PG&amp;E’s calculations that initially considered contracting efforts as a distinct step, so that Step 3 included the business days associated with contracting efforts. </w:t>
      </w:r>
    </w:p>
    <w:p w:rsidR="003B2A0F" w:rsidP="003B2A0F" w:rsidRDefault="003B2A0F" w14:paraId="27D29434" w14:textId="1CF4B8D1">
      <w:pPr>
        <w:pStyle w:val="ListParagraph"/>
        <w:numPr>
          <w:ilvl w:val="1"/>
          <w:numId w:val="40"/>
        </w:numPr>
        <w:spacing w:before="0" w:after="60" w:line="259" w:lineRule="auto"/>
        <w:ind w:left="907"/>
      </w:pPr>
      <w:r w:rsidRPr="007A072F">
        <w:rPr>
          <w:b/>
          <w:bCs/>
        </w:rPr>
        <w:t>SCE:</w:t>
      </w:r>
      <w:r>
        <w:t xml:space="preserve"> Did not differentiate between Steps 3 and 4 (Site Readiness) in their timeline calculations; however, because SCE provided the necessary dates related to each step, </w:t>
      </w:r>
      <w:proofErr w:type="spellStart"/>
      <w:r>
        <w:t>Guidehouse</w:t>
      </w:r>
      <w:proofErr w:type="spellEnd"/>
      <w:r>
        <w:t xml:space="preserve"> was able to make this differentiation and calculate the associated timeline</w:t>
      </w:r>
      <w:r w:rsidR="007026EC">
        <w:t xml:space="preserve">s for </w:t>
      </w:r>
      <w:r w:rsidR="001A7399">
        <w:t>Steps 3 &amp; 4</w:t>
      </w:r>
      <w:r>
        <w:t>.</w:t>
      </w:r>
    </w:p>
    <w:p w:rsidR="003B2A0F" w:rsidP="003B2A0F" w:rsidRDefault="003B2A0F" w14:paraId="548C43CA" w14:textId="7740E40C">
      <w:pPr>
        <w:pStyle w:val="ListParagraph"/>
        <w:numPr>
          <w:ilvl w:val="1"/>
          <w:numId w:val="40"/>
        </w:numPr>
        <w:spacing w:before="0" w:after="60" w:line="259" w:lineRule="auto"/>
        <w:ind w:left="907"/>
      </w:pPr>
      <w:r w:rsidRPr="007A072F">
        <w:rPr>
          <w:b/>
          <w:bCs/>
        </w:rPr>
        <w:t>SDG&amp;E:</w:t>
      </w:r>
      <w:r>
        <w:t xml:space="preserve"> Did not provide data associated with Step 3 or any dates that could inform assumptions for calculating the associated timelines for Steps 3 &amp; 4. </w:t>
      </w:r>
    </w:p>
    <w:p w:rsidR="003B2A0F" w:rsidP="003B2A0F" w:rsidRDefault="00F77297" w14:paraId="24117F5D" w14:textId="2C39681B">
      <w:pPr>
        <w:pStyle w:val="ListParagraph"/>
        <w:numPr>
          <w:ilvl w:val="1"/>
          <w:numId w:val="40"/>
        </w:numPr>
        <w:spacing w:before="0" w:after="160" w:line="259" w:lineRule="auto"/>
        <w:ind w:left="900"/>
        <w:contextualSpacing/>
      </w:pPr>
      <w:r>
        <w:rPr>
          <w:b/>
          <w:bCs/>
        </w:rPr>
        <w:t>A</w:t>
      </w:r>
      <w:r w:rsidRPr="007A072F" w:rsidR="003B2A0F">
        <w:rPr>
          <w:b/>
          <w:bCs/>
        </w:rPr>
        <w:t>ll IOUs:</w:t>
      </w:r>
      <w:r w:rsidR="003B2A0F">
        <w:t xml:space="preserve"> Not all IOUs provided the total number of days associated with each energization project and those that did had distinct </w:t>
      </w:r>
      <w:r>
        <w:t xml:space="preserve">calculation </w:t>
      </w:r>
      <w:r w:rsidR="003B2A0F">
        <w:t xml:space="preserve">methods. </w:t>
      </w:r>
      <w:r>
        <w:t xml:space="preserve">As </w:t>
      </w:r>
      <w:r w:rsidR="003B2A0F">
        <w:t>Steps 3 &amp; 4 can be completed in parallel</w:t>
      </w:r>
      <w:r>
        <w:t>,</w:t>
      </w:r>
      <w:r w:rsidR="003B2A0F">
        <w:t xml:space="preserve"> the full timeline for an energization project does not equal to the sum of each step’s statistical metric, i.e., average, median, standard deviation, and maximum. Therefore, </w:t>
      </w:r>
      <w:proofErr w:type="spellStart"/>
      <w:r w:rsidR="003B2A0F">
        <w:t>Guidehouse</w:t>
      </w:r>
      <w:proofErr w:type="spellEnd"/>
      <w:r w:rsidR="003B2A0F">
        <w:t xml:space="preserve"> calculated the total time of project from the date of initiation to the date of energization to reflect the “Initiation to Energization” metric.  </w:t>
      </w:r>
    </w:p>
    <w:p w:rsidRPr="009211E9" w:rsidR="003B2A0F" w:rsidP="003B2A0F" w:rsidRDefault="003B2A0F" w14:paraId="4E4FEA9A" w14:textId="24B72FC3">
      <w:pPr>
        <w:spacing w:after="160" w:line="259" w:lineRule="auto"/>
      </w:pPr>
      <w:r>
        <w:t xml:space="preserve">Once the raw data </w:t>
      </w:r>
      <w:r w:rsidR="00F77297">
        <w:t>were</w:t>
      </w:r>
      <w:r>
        <w:t xml:space="preserve"> aligned to the energization steps the </w:t>
      </w:r>
      <w:r w:rsidRPr="007A072F">
        <w:rPr>
          <w:b/>
          <w:bCs/>
        </w:rPr>
        <w:t>second element</w:t>
      </w:r>
      <w:r>
        <w:t xml:space="preserve"> of the analysis was to </w:t>
      </w:r>
      <w:r w:rsidRPr="007A072F">
        <w:rPr>
          <w:b/>
          <w:bCs/>
        </w:rPr>
        <w:t xml:space="preserve">combine all data </w:t>
      </w:r>
      <w:r w:rsidRPr="007A072F">
        <w:t>in</w:t>
      </w:r>
      <w:r w:rsidRPr="00026945">
        <w:t>to one database</w:t>
      </w:r>
      <w:r>
        <w:t xml:space="preserve"> to compare energization project timeline data across IOUs. The components of this uniform format include IOU, Rule Category, Start Year, End Year, the business days associated with each proposed energization step and the overall initiation to energization timeline. From this database, </w:t>
      </w:r>
      <w:proofErr w:type="spellStart"/>
      <w:r>
        <w:t>Guidehouse</w:t>
      </w:r>
      <w:proofErr w:type="spellEnd"/>
      <w:r>
        <w:t xml:space="preserve"> then </w:t>
      </w:r>
      <w:r w:rsidRPr="007A072F">
        <w:rPr>
          <w:b/>
          <w:bCs/>
        </w:rPr>
        <w:t>identified and removed data outliers and errors</w:t>
      </w:r>
      <w:r>
        <w:rPr>
          <w:b/>
          <w:bCs/>
        </w:rPr>
        <w:t xml:space="preserve">. </w:t>
      </w:r>
      <w:r w:rsidRPr="007A072F">
        <w:t xml:space="preserve">To complete this element of the analysis, </w:t>
      </w:r>
      <w:proofErr w:type="spellStart"/>
      <w:r w:rsidRPr="007A072F">
        <w:t>Guidehouse</w:t>
      </w:r>
      <w:proofErr w:type="spellEnd"/>
      <w:r w:rsidRPr="007A072F">
        <w:t>:</w:t>
      </w:r>
    </w:p>
    <w:p w:rsidR="003B2A0F" w:rsidP="003B2A0F" w:rsidRDefault="003B2A0F" w14:paraId="6AE7EB49" w14:textId="0F85C8B0">
      <w:pPr>
        <w:pStyle w:val="ListParagraph"/>
        <w:numPr>
          <w:ilvl w:val="0"/>
          <w:numId w:val="39"/>
        </w:numPr>
        <w:spacing w:before="0" w:after="60" w:line="259" w:lineRule="auto"/>
        <w:ind w:left="907"/>
      </w:pPr>
      <w:r>
        <w:t>Defined outliers to be datapoints that were either negative (as no energization step could take negative days) or 2 standard deviations above the average</w:t>
      </w:r>
      <w:r w:rsidR="00D92E39">
        <w:t>.</w:t>
      </w:r>
      <w:r w:rsidR="00C239A6">
        <w:rPr>
          <w:rStyle w:val="FootnoteReference"/>
        </w:rPr>
        <w:footnoteReference w:id="7"/>
      </w:r>
      <w:r>
        <w:t xml:space="preserve"> </w:t>
      </w:r>
    </w:p>
    <w:p w:rsidR="003B2A0F" w:rsidP="003B2A0F" w:rsidRDefault="003B2A0F" w14:paraId="5E3A4B73" w14:textId="77777777">
      <w:pPr>
        <w:pStyle w:val="ListParagraph"/>
        <w:numPr>
          <w:ilvl w:val="0"/>
          <w:numId w:val="39"/>
        </w:numPr>
        <w:spacing w:before="0" w:after="60" w:line="259" w:lineRule="auto"/>
        <w:ind w:left="907"/>
      </w:pPr>
      <w:r>
        <w:lastRenderedPageBreak/>
        <w:t xml:space="preserve">Identified outliers for each combination of IOU, tariff type, and energization step independently as each has unique characteristics.  </w:t>
      </w:r>
    </w:p>
    <w:p w:rsidR="003B2A0F" w:rsidP="003B2A0F" w:rsidRDefault="003B2A0F" w14:paraId="7D6D6566" w14:textId="77777777">
      <w:pPr>
        <w:pStyle w:val="ListParagraph"/>
        <w:numPr>
          <w:ilvl w:val="0"/>
          <w:numId w:val="39"/>
        </w:numPr>
        <w:spacing w:before="0" w:after="160" w:line="259" w:lineRule="auto"/>
        <w:ind w:left="900"/>
        <w:contextualSpacing/>
      </w:pPr>
      <w:r>
        <w:t xml:space="preserve">Quantified data completeness by IOU for each energization step and the number of datapoints removed. </w:t>
      </w:r>
    </w:p>
    <w:p w:rsidR="003B2A0F" w:rsidP="003B2A0F" w:rsidRDefault="00A81B3C" w14:paraId="68D7E619" w14:textId="650CE1E1">
      <w:pPr>
        <w:spacing w:after="160" w:line="259" w:lineRule="auto"/>
      </w:pPr>
      <w:r>
        <w:t xml:space="preserve">As </w:t>
      </w:r>
      <w:r w:rsidR="003B2A0F">
        <w:t>this effort evaluat</w:t>
      </w:r>
      <w:r>
        <w:t>ed</w:t>
      </w:r>
      <w:r w:rsidR="003B2A0F">
        <w:t xml:space="preserve"> the timeline of each energization step independently, the removal of one datapoint does not impact the validity of the other steps associated with that project. The removal of an outlier treats that datapoint as null in any further calculations. On average, this analysis resulted in the removal of about 5% of the data across all IOUs and energization steps. </w:t>
      </w:r>
      <w:r w:rsidR="00041E3E">
        <w:t>Further d</w:t>
      </w:r>
      <w:r w:rsidR="003B2A0F">
        <w:t>etail</w:t>
      </w:r>
      <w:r w:rsidR="00041E3E">
        <w:t>s</w:t>
      </w:r>
      <w:r w:rsidR="003B2A0F">
        <w:t xml:space="preserve"> related to the quality of data provided by IOUs and the removal of outliers can be found in </w:t>
      </w:r>
      <w:r w:rsidRPr="008932FF" w:rsidR="00AB231E">
        <w:rPr>
          <w:b/>
          <w:bCs/>
        </w:rPr>
        <w:fldChar w:fldCharType="begin"/>
      </w:r>
      <w:r w:rsidRPr="008932FF" w:rsidR="00AB231E">
        <w:rPr>
          <w:b/>
          <w:bCs/>
        </w:rPr>
        <w:instrText xml:space="preserve"> REF _Ref171597082 \n \h </w:instrText>
      </w:r>
      <w:r w:rsidR="008932FF">
        <w:rPr>
          <w:b/>
          <w:bCs/>
        </w:rPr>
        <w:instrText xml:space="preserve"> \* MERGEFORMAT </w:instrText>
      </w:r>
      <w:r w:rsidRPr="008932FF" w:rsidR="00AB231E">
        <w:rPr>
          <w:b/>
          <w:bCs/>
        </w:rPr>
      </w:r>
      <w:r w:rsidRPr="008932FF" w:rsidR="00AB231E">
        <w:rPr>
          <w:b/>
          <w:bCs/>
        </w:rPr>
        <w:fldChar w:fldCharType="separate"/>
      </w:r>
      <w:r w:rsidR="00E16E7D">
        <w:rPr>
          <w:b/>
          <w:bCs/>
        </w:rPr>
        <w:t>Appendix A</w:t>
      </w:r>
      <w:r w:rsidRPr="008932FF" w:rsidR="00AB231E">
        <w:rPr>
          <w:b/>
          <w:bCs/>
        </w:rPr>
        <w:fldChar w:fldCharType="end"/>
      </w:r>
      <w:r w:rsidR="00AB231E">
        <w:t>.</w:t>
      </w:r>
    </w:p>
    <w:p w:rsidR="003B2A0F" w:rsidP="003B2A0F" w:rsidRDefault="003B2A0F" w14:paraId="3DA34A96" w14:textId="1DAD8B5A">
      <w:pPr>
        <w:spacing w:after="160" w:line="259" w:lineRule="auto"/>
      </w:pPr>
      <w:r>
        <w:t xml:space="preserve">Once the outliers were removed, in the </w:t>
      </w:r>
      <w:r w:rsidRPr="007A072F">
        <w:rPr>
          <w:b/>
          <w:bCs/>
        </w:rPr>
        <w:t>final element</w:t>
      </w:r>
      <w:r>
        <w:t xml:space="preserve"> of this analysis </w:t>
      </w:r>
      <w:proofErr w:type="spellStart"/>
      <w:r w:rsidRPr="00F64894">
        <w:t>Guidehouse</w:t>
      </w:r>
      <w:proofErr w:type="spellEnd"/>
      <w:r w:rsidRPr="00F64894">
        <w:t xml:space="preserve"> developed summary</w:t>
      </w:r>
      <w:r w:rsidRPr="007A072F">
        <w:rPr>
          <w:b/>
          <w:bCs/>
        </w:rPr>
        <w:t xml:space="preserve"> tables of </w:t>
      </w:r>
      <w:r>
        <w:rPr>
          <w:b/>
          <w:bCs/>
        </w:rPr>
        <w:t xml:space="preserve">descriptive </w:t>
      </w:r>
      <w:r w:rsidRPr="007A072F">
        <w:rPr>
          <w:b/>
          <w:bCs/>
        </w:rPr>
        <w:t>statistics</w:t>
      </w:r>
      <w:r>
        <w:t xml:space="preserve"> using the cleaned dataset. The resulting tables appear in</w:t>
      </w:r>
      <w:r w:rsidR="008932FF">
        <w:t xml:space="preserve"> </w:t>
      </w:r>
      <w:r w:rsidRPr="008932FF" w:rsidR="008932FF">
        <w:rPr>
          <w:b/>
          <w:bCs/>
        </w:rPr>
        <w:fldChar w:fldCharType="begin"/>
      </w:r>
      <w:r w:rsidRPr="008932FF" w:rsidR="008932FF">
        <w:rPr>
          <w:b/>
          <w:bCs/>
        </w:rPr>
        <w:instrText xml:space="preserve"> REF _Ref171597117 \n \h </w:instrText>
      </w:r>
      <w:r w:rsidR="008932FF">
        <w:rPr>
          <w:b/>
          <w:bCs/>
        </w:rPr>
        <w:instrText xml:space="preserve"> \* MERGEFORMAT </w:instrText>
      </w:r>
      <w:r w:rsidRPr="008932FF" w:rsidR="008932FF">
        <w:rPr>
          <w:b/>
          <w:bCs/>
        </w:rPr>
      </w:r>
      <w:r w:rsidRPr="008932FF" w:rsidR="008932FF">
        <w:rPr>
          <w:b/>
          <w:bCs/>
        </w:rPr>
        <w:fldChar w:fldCharType="separate"/>
      </w:r>
      <w:r w:rsidR="00E16E7D">
        <w:rPr>
          <w:b/>
          <w:bCs/>
        </w:rPr>
        <w:t>Appendix B</w:t>
      </w:r>
      <w:r w:rsidRPr="008932FF" w:rsidR="008932FF">
        <w:rPr>
          <w:b/>
          <w:bCs/>
        </w:rPr>
        <w:fldChar w:fldCharType="end"/>
      </w:r>
      <w:r w:rsidR="006C0BDF">
        <w:rPr>
          <w:b/>
          <w:bCs/>
        </w:rPr>
        <w:t>:</w:t>
      </w:r>
      <w:r>
        <w:t xml:space="preserve"> </w:t>
      </w:r>
    </w:p>
    <w:p w:rsidR="002E7633" w:rsidP="002954AD" w:rsidRDefault="007F141A" w14:paraId="6D7B9DF4" w14:textId="0A33C6CD">
      <w:pPr>
        <w:pStyle w:val="ListParagraph"/>
        <w:numPr>
          <w:ilvl w:val="0"/>
          <w:numId w:val="49"/>
        </w:numPr>
        <w:spacing w:after="160" w:line="259" w:lineRule="auto"/>
      </w:pPr>
      <w:r>
        <w:rPr>
          <w:b/>
          <w:bCs/>
        </w:rPr>
        <w:t xml:space="preserve">Section </w:t>
      </w:r>
      <w:r>
        <w:rPr>
          <w:b/>
          <w:bCs/>
        </w:rPr>
        <w:fldChar w:fldCharType="begin"/>
      </w:r>
      <w:r>
        <w:rPr>
          <w:b/>
          <w:bCs/>
        </w:rPr>
        <w:instrText xml:space="preserve"> REF _Ref171597366 \n \h </w:instrText>
      </w:r>
      <w:r>
        <w:rPr>
          <w:b/>
          <w:bCs/>
        </w:rPr>
      </w:r>
      <w:r>
        <w:rPr>
          <w:b/>
          <w:bCs/>
        </w:rPr>
        <w:fldChar w:fldCharType="separate"/>
      </w:r>
      <w:r w:rsidR="00E16E7D">
        <w:rPr>
          <w:b/>
          <w:bCs/>
        </w:rPr>
        <w:t>B.1</w:t>
      </w:r>
      <w:r>
        <w:rPr>
          <w:b/>
          <w:bCs/>
        </w:rPr>
        <w:fldChar w:fldCharType="end"/>
      </w:r>
      <w:r>
        <w:rPr>
          <w:b/>
          <w:bCs/>
        </w:rPr>
        <w:t xml:space="preserve"> </w:t>
      </w:r>
      <w:r w:rsidR="00024726">
        <w:t>in</w:t>
      </w:r>
      <w:r w:rsidR="003B2A0F">
        <w:t xml:space="preserve"> </w:t>
      </w:r>
      <w:r w:rsidR="00DB14E0">
        <w:fldChar w:fldCharType="begin"/>
      </w:r>
      <w:r w:rsidR="00DB14E0">
        <w:instrText xml:space="preserve"> REF _Ref171597398 \n \h </w:instrText>
      </w:r>
      <w:r w:rsidR="00DB14E0">
        <w:fldChar w:fldCharType="separate"/>
      </w:r>
      <w:r w:rsidR="00E16E7D">
        <w:t>Appendix B</w:t>
      </w:r>
      <w:r w:rsidR="00DB14E0">
        <w:fldChar w:fldCharType="end"/>
      </w:r>
      <w:r w:rsidR="00DB14E0">
        <w:t xml:space="preserve"> </w:t>
      </w:r>
      <w:r w:rsidRPr="0094001D" w:rsidR="003B2A0F">
        <w:t xml:space="preserve">provides the statistics of the complete and clean database developed by </w:t>
      </w:r>
      <w:proofErr w:type="spellStart"/>
      <w:r w:rsidRPr="0094001D" w:rsidR="003B2A0F">
        <w:t>Guidehouse</w:t>
      </w:r>
      <w:proofErr w:type="spellEnd"/>
      <w:r w:rsidRPr="0094001D" w:rsidR="003B2A0F">
        <w:t xml:space="preserve"> based on data </w:t>
      </w:r>
      <w:r w:rsidR="00FB323F">
        <w:t>for</w:t>
      </w:r>
      <w:r w:rsidRPr="0094001D" w:rsidR="00FB323F">
        <w:t xml:space="preserve"> </w:t>
      </w:r>
      <w:r w:rsidRPr="0094001D" w:rsidR="003B2A0F">
        <w:t>energization projects provided by IOUs.</w:t>
      </w:r>
      <w:r w:rsidR="003B2A0F">
        <w:t xml:space="preserve"> </w:t>
      </w:r>
    </w:p>
    <w:p w:rsidR="002E7633" w:rsidP="002954AD" w:rsidRDefault="00DB14E0" w14:paraId="7F3C3C0C" w14:textId="361E9744">
      <w:pPr>
        <w:pStyle w:val="ListParagraph"/>
        <w:numPr>
          <w:ilvl w:val="0"/>
          <w:numId w:val="49"/>
        </w:numPr>
        <w:spacing w:after="160" w:line="259" w:lineRule="auto"/>
      </w:pPr>
      <w:r>
        <w:rPr>
          <w:b/>
          <w:bCs/>
        </w:rPr>
        <w:t xml:space="preserve">Section </w:t>
      </w:r>
      <w:r>
        <w:rPr>
          <w:b/>
          <w:bCs/>
        </w:rPr>
        <w:fldChar w:fldCharType="begin"/>
      </w:r>
      <w:r>
        <w:rPr>
          <w:b/>
          <w:bCs/>
        </w:rPr>
        <w:instrText xml:space="preserve"> REF _Ref171597441 \n \h </w:instrText>
      </w:r>
      <w:r>
        <w:rPr>
          <w:b/>
          <w:bCs/>
        </w:rPr>
      </w:r>
      <w:r>
        <w:rPr>
          <w:b/>
          <w:bCs/>
        </w:rPr>
        <w:fldChar w:fldCharType="separate"/>
      </w:r>
      <w:r w:rsidR="00E16E7D">
        <w:rPr>
          <w:b/>
          <w:bCs/>
        </w:rPr>
        <w:t>B.2</w:t>
      </w:r>
      <w:r>
        <w:rPr>
          <w:b/>
          <w:bCs/>
        </w:rPr>
        <w:fldChar w:fldCharType="end"/>
      </w:r>
      <w:r>
        <w:rPr>
          <w:b/>
          <w:bCs/>
        </w:rPr>
        <w:t xml:space="preserve"> </w:t>
      </w:r>
      <w:r w:rsidR="00024726">
        <w:t>in</w:t>
      </w:r>
      <w:r>
        <w:t xml:space="preserve"> </w:t>
      </w:r>
      <w:r>
        <w:fldChar w:fldCharType="begin"/>
      </w:r>
      <w:r>
        <w:instrText xml:space="preserve"> REF _Ref171597398 \n \h </w:instrText>
      </w:r>
      <w:r>
        <w:fldChar w:fldCharType="separate"/>
      </w:r>
      <w:r w:rsidR="00E16E7D">
        <w:t>Appendix B</w:t>
      </w:r>
      <w:r>
        <w:fldChar w:fldCharType="end"/>
      </w:r>
      <w:r>
        <w:t xml:space="preserve"> </w:t>
      </w:r>
      <w:r w:rsidR="003B2A0F">
        <w:t>compare</w:t>
      </w:r>
      <w:r w:rsidR="00B9745F">
        <w:t>s</w:t>
      </w:r>
      <w:r w:rsidR="003B2A0F">
        <w:t xml:space="preserve"> the </w:t>
      </w:r>
      <w:r w:rsidRPr="002954AD" w:rsidR="003B2A0F">
        <w:rPr>
          <w:b/>
          <w:bCs/>
        </w:rPr>
        <w:t>energization step timeline</w:t>
      </w:r>
      <w:r w:rsidR="003B2A0F">
        <w:t xml:space="preserve"> statistics (i.e., average, median, standard deviation, and maximum) for the applicable tariff types developed by </w:t>
      </w:r>
      <w:proofErr w:type="spellStart"/>
      <w:r w:rsidR="003B2A0F">
        <w:t>Guidehouse</w:t>
      </w:r>
      <w:proofErr w:type="spellEnd"/>
      <w:r w:rsidR="003B2A0F">
        <w:t xml:space="preserve"> to those provided by each IOU in the Rulemaking data request.</w:t>
      </w:r>
    </w:p>
    <w:p w:rsidRPr="00222662" w:rsidR="003B2A0F" w:rsidP="002954AD" w:rsidRDefault="00024726" w14:paraId="467FC3EE" w14:textId="2FC8EC67">
      <w:pPr>
        <w:pStyle w:val="ListParagraph"/>
        <w:numPr>
          <w:ilvl w:val="0"/>
          <w:numId w:val="49"/>
        </w:numPr>
        <w:spacing w:after="160" w:line="259" w:lineRule="auto"/>
      </w:pPr>
      <w:r w:rsidRPr="00024726">
        <w:rPr>
          <w:b/>
          <w:bCs/>
        </w:rPr>
        <w:t xml:space="preserve">Section </w:t>
      </w:r>
      <w:r w:rsidRPr="00024726">
        <w:rPr>
          <w:b/>
          <w:bCs/>
        </w:rPr>
        <w:fldChar w:fldCharType="begin"/>
      </w:r>
      <w:r w:rsidRPr="00024726">
        <w:rPr>
          <w:b/>
          <w:bCs/>
        </w:rPr>
        <w:instrText xml:space="preserve"> REF _Ref171597750 \n \h  \* MERGEFORMAT </w:instrText>
      </w:r>
      <w:r w:rsidRPr="00024726">
        <w:rPr>
          <w:b/>
          <w:bCs/>
        </w:rPr>
      </w:r>
      <w:r w:rsidRPr="00024726">
        <w:rPr>
          <w:b/>
          <w:bCs/>
        </w:rPr>
        <w:fldChar w:fldCharType="separate"/>
      </w:r>
      <w:r w:rsidR="00E16E7D">
        <w:rPr>
          <w:b/>
          <w:bCs/>
        </w:rPr>
        <w:t>B.3</w:t>
      </w:r>
      <w:r w:rsidRPr="00024726">
        <w:rPr>
          <w:b/>
          <w:bCs/>
        </w:rPr>
        <w:fldChar w:fldCharType="end"/>
      </w:r>
      <w:r w:rsidRPr="00024726">
        <w:t xml:space="preserve"> </w:t>
      </w:r>
      <w:r>
        <w:t>in</w:t>
      </w:r>
      <w:r w:rsidRPr="00024726">
        <w:t xml:space="preserve"> </w:t>
      </w:r>
      <w:r w:rsidRPr="00024726">
        <w:fldChar w:fldCharType="begin"/>
      </w:r>
      <w:r w:rsidRPr="00024726">
        <w:instrText xml:space="preserve"> REF _Ref171597778 \n \h </w:instrText>
      </w:r>
      <w:r>
        <w:instrText xml:space="preserve"> \* MERGEFORMAT </w:instrText>
      </w:r>
      <w:r w:rsidRPr="00024726">
        <w:fldChar w:fldCharType="separate"/>
      </w:r>
      <w:r w:rsidR="00E16E7D">
        <w:t>Appendix B</w:t>
      </w:r>
      <w:r w:rsidRPr="00024726">
        <w:fldChar w:fldCharType="end"/>
      </w:r>
      <w:r>
        <w:t xml:space="preserve"> </w:t>
      </w:r>
      <w:r w:rsidR="003B2A0F">
        <w:t>compares the</w:t>
      </w:r>
      <w:r w:rsidR="00622DF3">
        <w:t xml:space="preserve"> </w:t>
      </w:r>
      <w:r w:rsidRPr="002954AD" w:rsidR="00622DF3">
        <w:rPr>
          <w:b/>
          <w:bCs/>
        </w:rPr>
        <w:t>rule type energization timeline</w:t>
      </w:r>
      <w:r w:rsidR="00622DF3">
        <w:t xml:space="preserve"> statistics (i.e., average, median, standard deviation, and maximum) developed by </w:t>
      </w:r>
      <w:proofErr w:type="spellStart"/>
      <w:r w:rsidR="00622DF3">
        <w:t>Guidehouse</w:t>
      </w:r>
      <w:proofErr w:type="spellEnd"/>
      <w:r w:rsidR="00622DF3">
        <w:t xml:space="preserve"> to those provided by each IOU in the Rulemaking data request.</w:t>
      </w:r>
      <w:r w:rsidR="003B2A0F">
        <w:t xml:space="preserve"> </w:t>
      </w:r>
    </w:p>
    <w:p w:rsidRPr="00280C0F" w:rsidR="00280C0F" w:rsidP="00280C0F" w:rsidRDefault="00280C0F" w14:paraId="4952E120" w14:textId="77777777">
      <w:pPr>
        <w:pStyle w:val="BodyText"/>
      </w:pPr>
    </w:p>
    <w:p w:rsidRPr="00D9554E" w:rsidR="00D9554E" w:rsidP="00D9554E" w:rsidRDefault="00D9554E" w14:paraId="23BC0CD4" w14:textId="77777777">
      <w:pPr>
        <w:pStyle w:val="BodyText"/>
      </w:pPr>
    </w:p>
    <w:p w:rsidRPr="005B6444" w:rsidR="005B6444" w:rsidP="005B6444" w:rsidRDefault="005B6444" w14:paraId="6C41CE2E" w14:textId="77777777">
      <w:pPr>
        <w:pStyle w:val="BodyText"/>
      </w:pPr>
    </w:p>
    <w:p w:rsidR="003F393C" w:rsidP="003F393C" w:rsidRDefault="003F393C" w14:paraId="79A23B4D" w14:textId="4DF6F10C">
      <w:pPr>
        <w:pStyle w:val="BodyText"/>
        <w:keepNext/>
        <w:keepLines/>
        <w:rPr>
          <w:i/>
          <w:iCs/>
          <w:sz w:val="18"/>
          <w:szCs w:val="16"/>
        </w:rPr>
      </w:pPr>
      <w:r>
        <w:rPr>
          <w:i/>
          <w:iCs/>
          <w:sz w:val="18"/>
          <w:szCs w:val="16"/>
        </w:rPr>
        <w:t xml:space="preserve"> </w:t>
      </w:r>
    </w:p>
    <w:p w:rsidRPr="00C9715A" w:rsidR="00BB5A45" w:rsidP="00C9715A" w:rsidRDefault="00CB7E6C" w14:paraId="0ACC1AF5" w14:textId="6EE1FCD5">
      <w:pPr>
        <w:pStyle w:val="Heading1"/>
      </w:pPr>
      <w:bookmarkStart w:name="_Toc169873483" w:id="11"/>
      <w:bookmarkStart w:name="_Toc169873484" w:id="12"/>
      <w:bookmarkStart w:name="_Toc169873485" w:id="13"/>
      <w:bookmarkStart w:name="_Toc169873486" w:id="14"/>
      <w:bookmarkStart w:name="_Toc169873487" w:id="15"/>
      <w:bookmarkStart w:name="_Toc169873488" w:id="16"/>
      <w:bookmarkStart w:name="_Toc169873489" w:id="17"/>
      <w:bookmarkStart w:name="_Toc171690417" w:id="18"/>
      <w:bookmarkEnd w:id="11"/>
      <w:bookmarkEnd w:id="12"/>
      <w:bookmarkEnd w:id="13"/>
      <w:bookmarkEnd w:id="14"/>
      <w:bookmarkEnd w:id="15"/>
      <w:bookmarkEnd w:id="16"/>
      <w:bookmarkEnd w:id="17"/>
      <w:r w:rsidRPr="00CB7E6C">
        <w:lastRenderedPageBreak/>
        <w:t>Energization Timeline</w:t>
      </w:r>
      <w:r w:rsidR="00B25C4A">
        <w:t xml:space="preserve"> Data Analysi</w:t>
      </w:r>
      <w:r w:rsidRPr="00CB7E6C">
        <w:t xml:space="preserve">s </w:t>
      </w:r>
      <w:r w:rsidR="00B25C4A">
        <w:t>–</w:t>
      </w:r>
      <w:r w:rsidRPr="00CB7E6C">
        <w:t xml:space="preserve"> IOU Dependent Steps</w:t>
      </w:r>
      <w:bookmarkEnd w:id="18"/>
    </w:p>
    <w:p w:rsidR="00BB5A45" w:rsidP="00A84017" w:rsidRDefault="00A84017" w14:paraId="5332EF5C" w14:textId="4F6CD09D">
      <w:pPr>
        <w:pStyle w:val="Heading2"/>
      </w:pPr>
      <w:bookmarkStart w:name="_Toc171690418" w:id="19"/>
      <w:r>
        <w:t>Objective</w:t>
      </w:r>
      <w:bookmarkEnd w:id="19"/>
    </w:p>
    <w:p w:rsidRPr="002954AD" w:rsidR="00A84017" w:rsidP="001055E0" w:rsidRDefault="001055E0" w14:paraId="255502BE" w14:textId="342DA579">
      <w:pPr>
        <w:spacing w:after="160" w:line="259" w:lineRule="auto"/>
        <w:rPr>
          <w:szCs w:val="22"/>
        </w:rPr>
      </w:pPr>
      <w:r w:rsidRPr="002954AD">
        <w:rPr>
          <w:szCs w:val="22"/>
        </w:rPr>
        <w:t xml:space="preserve">The primary objective of this task was to calculate the average and maximum energization timelines for </w:t>
      </w:r>
      <w:r w:rsidRPr="002954AD" w:rsidR="00510A99">
        <w:rPr>
          <w:szCs w:val="22"/>
        </w:rPr>
        <w:t>“</w:t>
      </w:r>
      <w:r w:rsidRPr="002954AD">
        <w:rPr>
          <w:szCs w:val="22"/>
        </w:rPr>
        <w:t>IOU dependent</w:t>
      </w:r>
      <w:r w:rsidRPr="002954AD" w:rsidR="00B00DD6">
        <w:rPr>
          <w:szCs w:val="22"/>
        </w:rPr>
        <w:t>”</w:t>
      </w:r>
      <w:r w:rsidRPr="002954AD">
        <w:rPr>
          <w:szCs w:val="22"/>
        </w:rPr>
        <w:t xml:space="preserve"> steps for Electric Rule 15</w:t>
      </w:r>
      <w:r w:rsidR="002954AD">
        <w:rPr>
          <w:szCs w:val="22"/>
        </w:rPr>
        <w:t xml:space="preserve">, </w:t>
      </w:r>
      <w:r w:rsidRPr="002954AD">
        <w:rPr>
          <w:szCs w:val="22"/>
        </w:rPr>
        <w:t>Rule 16</w:t>
      </w:r>
      <w:r w:rsidR="002954AD">
        <w:rPr>
          <w:szCs w:val="22"/>
        </w:rPr>
        <w:t>, and Rule 15/16</w:t>
      </w:r>
      <w:r w:rsidR="007F25F4">
        <w:rPr>
          <w:rStyle w:val="FootnoteReference"/>
          <w:szCs w:val="22"/>
        </w:rPr>
        <w:footnoteReference w:id="8"/>
      </w:r>
      <w:r w:rsidRPr="002954AD">
        <w:rPr>
          <w:szCs w:val="22"/>
        </w:rPr>
        <w:t>. These are steps in the energization process that the IOUs have control over</w:t>
      </w:r>
      <w:r w:rsidRPr="002954AD" w:rsidR="00AC0198">
        <w:rPr>
          <w:szCs w:val="22"/>
        </w:rPr>
        <w:t xml:space="preserve">, </w:t>
      </w:r>
      <w:r w:rsidRPr="007207BB">
        <w:rPr>
          <w:szCs w:val="22"/>
        </w:rPr>
        <w:t>exclud</w:t>
      </w:r>
      <w:r w:rsidRPr="007207BB" w:rsidR="00AC0198">
        <w:rPr>
          <w:szCs w:val="22"/>
        </w:rPr>
        <w:t>ing</w:t>
      </w:r>
      <w:r w:rsidRPr="007207BB">
        <w:rPr>
          <w:szCs w:val="22"/>
        </w:rPr>
        <w:t xml:space="preserve"> steps where a </w:t>
      </w:r>
      <w:r w:rsidRPr="007207BB" w:rsidR="0081762E">
        <w:rPr>
          <w:szCs w:val="22"/>
        </w:rPr>
        <w:t xml:space="preserve">non-IOU </w:t>
      </w:r>
      <w:r w:rsidRPr="007207BB">
        <w:rPr>
          <w:szCs w:val="22"/>
        </w:rPr>
        <w:t>party is involved.</w:t>
      </w:r>
    </w:p>
    <w:p w:rsidR="00C75610" w:rsidP="00DE16A8" w:rsidRDefault="001055E0" w14:paraId="09236D34" w14:textId="07DD89E0">
      <w:pPr>
        <w:pStyle w:val="Heading2"/>
      </w:pPr>
      <w:bookmarkStart w:name="_Toc171690419" w:id="20"/>
      <w:r>
        <w:t>Input Data</w:t>
      </w:r>
      <w:bookmarkEnd w:id="20"/>
    </w:p>
    <w:p w:rsidR="000432B4" w:rsidP="000432B4" w:rsidRDefault="00573A57" w14:paraId="6DD59281" w14:textId="703FB07F">
      <w:pPr>
        <w:spacing w:after="160" w:line="259" w:lineRule="auto"/>
      </w:pPr>
      <w:r>
        <w:t>T</w:t>
      </w:r>
      <w:r w:rsidR="000432B4">
        <w:t>he CPUC developed propos</w:t>
      </w:r>
      <w:r>
        <w:t>ed</w:t>
      </w:r>
      <w:r w:rsidR="000432B4">
        <w:t xml:space="preserve"> steps for the energization process</w:t>
      </w:r>
      <w:r>
        <w:t xml:space="preserve"> b</w:t>
      </w:r>
      <w:r>
        <w:rPr>
          <w:bCs/>
        </w:rPr>
        <w:t xml:space="preserve">uilding </w:t>
      </w:r>
      <w:r w:rsidR="00197BD0">
        <w:rPr>
          <w:bCs/>
        </w:rPr>
        <w:t>upon</w:t>
      </w:r>
      <w:r>
        <w:rPr>
          <w:bCs/>
        </w:rPr>
        <w:t xml:space="preserve"> the steps proposed by the IOUs in response to the </w:t>
      </w:r>
      <w:r>
        <w:t>Rulemaking 24-01-018 data request</w:t>
      </w:r>
      <w:r w:rsidR="00197BD0">
        <w:t xml:space="preserve">. The CPUC steps </w:t>
      </w:r>
      <w:r w:rsidR="00AC300F">
        <w:t xml:space="preserve">include designations </w:t>
      </w:r>
      <w:r w:rsidR="009F294B">
        <w:t xml:space="preserve">reflecting </w:t>
      </w:r>
      <w:r w:rsidR="008D06B6">
        <w:t>whether</w:t>
      </w:r>
      <w:r w:rsidR="00BD5895">
        <w:t xml:space="preserve"> the step is wholly </w:t>
      </w:r>
      <w:r w:rsidR="008D06B6">
        <w:t>dependent on actions performed</w:t>
      </w:r>
      <w:r w:rsidR="001D7DAE">
        <w:t xml:space="preserve"> by an IOU or includes </w:t>
      </w:r>
      <w:r w:rsidR="008D06B6">
        <w:t xml:space="preserve">actions </w:t>
      </w:r>
      <w:r w:rsidR="00384871">
        <w:t xml:space="preserve">performed by </w:t>
      </w:r>
      <w:r w:rsidR="001D7DAE">
        <w:t xml:space="preserve">a non-IOU </w:t>
      </w:r>
      <w:r w:rsidR="008D06B6">
        <w:t>party</w:t>
      </w:r>
      <w:r w:rsidR="000432B4">
        <w:t>:</w:t>
      </w:r>
    </w:p>
    <w:p w:rsidR="00055847" w:rsidP="002954AD" w:rsidRDefault="000432B4" w14:paraId="038650BD" w14:textId="77777777">
      <w:pPr>
        <w:pStyle w:val="ListParagraph"/>
        <w:numPr>
          <w:ilvl w:val="0"/>
          <w:numId w:val="45"/>
        </w:numPr>
      </w:pPr>
      <w:r>
        <w:t>Customer Intake (non-IOU dependent)</w:t>
      </w:r>
    </w:p>
    <w:p w:rsidRPr="00055847" w:rsidR="00055847" w:rsidP="002954AD" w:rsidRDefault="000432B4" w14:paraId="03A7B32C" w14:textId="77777777">
      <w:pPr>
        <w:pStyle w:val="ListParagraph"/>
        <w:numPr>
          <w:ilvl w:val="0"/>
          <w:numId w:val="45"/>
        </w:numPr>
      </w:pPr>
      <w:r w:rsidRPr="00055847">
        <w:rPr>
          <w:b/>
        </w:rPr>
        <w:t>Engineering and Design (IOU dependent)</w:t>
      </w:r>
    </w:p>
    <w:p w:rsidR="00055847" w:rsidP="002954AD" w:rsidRDefault="000432B4" w14:paraId="23BBEE80" w14:textId="77777777">
      <w:pPr>
        <w:pStyle w:val="ListParagraph"/>
        <w:numPr>
          <w:ilvl w:val="0"/>
          <w:numId w:val="45"/>
        </w:numPr>
      </w:pPr>
      <w:r>
        <w:t>Customer Dependencies (non-IOU dependent)</w:t>
      </w:r>
    </w:p>
    <w:p w:rsidRPr="00055847" w:rsidR="00055847" w:rsidP="002954AD" w:rsidRDefault="000432B4" w14:paraId="6869EC30" w14:textId="77777777">
      <w:pPr>
        <w:pStyle w:val="ListParagraph"/>
        <w:numPr>
          <w:ilvl w:val="0"/>
          <w:numId w:val="45"/>
        </w:numPr>
      </w:pPr>
      <w:r w:rsidRPr="00055847">
        <w:rPr>
          <w:b/>
        </w:rPr>
        <w:t>Utility Dependencies (IOU dependent)</w:t>
      </w:r>
    </w:p>
    <w:p w:rsidR="00055847" w:rsidP="002954AD" w:rsidRDefault="000432B4" w14:paraId="57FE7F32" w14:textId="77777777">
      <w:pPr>
        <w:pStyle w:val="ListParagraph"/>
        <w:numPr>
          <w:ilvl w:val="0"/>
          <w:numId w:val="45"/>
        </w:numPr>
      </w:pPr>
      <w:r>
        <w:t>Site Readiness (non-IOU dependent)</w:t>
      </w:r>
    </w:p>
    <w:p w:rsidRPr="00055847" w:rsidR="00055847" w:rsidP="002954AD" w:rsidRDefault="000432B4" w14:paraId="129E80CD" w14:textId="77777777">
      <w:pPr>
        <w:pStyle w:val="ListParagraph"/>
        <w:numPr>
          <w:ilvl w:val="0"/>
          <w:numId w:val="45"/>
        </w:numPr>
      </w:pPr>
      <w:r w:rsidRPr="00055847">
        <w:rPr>
          <w:b/>
        </w:rPr>
        <w:t>Construction (IOU dependent)</w:t>
      </w:r>
    </w:p>
    <w:p w:rsidRPr="00055847" w:rsidR="000432B4" w:rsidP="002954AD" w:rsidRDefault="000432B4" w14:paraId="3762DB85" w14:textId="40E45505">
      <w:pPr>
        <w:pStyle w:val="ListParagraph"/>
        <w:numPr>
          <w:ilvl w:val="0"/>
          <w:numId w:val="45"/>
        </w:numPr>
      </w:pPr>
      <w:r w:rsidRPr="00055847">
        <w:rPr>
          <w:b/>
        </w:rPr>
        <w:t>Service Energization Provided to Customer (IOU dependent)</w:t>
      </w:r>
    </w:p>
    <w:p w:rsidRPr="002E2D3B" w:rsidR="00BD3B0E" w:rsidP="00BD3B0E" w:rsidRDefault="00BD3B0E" w14:paraId="4D917FAC" w14:textId="77777777">
      <w:pPr>
        <w:pStyle w:val="ListNumber"/>
        <w:numPr>
          <w:ilvl w:val="0"/>
          <w:numId w:val="0"/>
        </w:numPr>
        <w:ind w:left="360"/>
        <w:rPr>
          <w:b/>
        </w:rPr>
      </w:pPr>
    </w:p>
    <w:p w:rsidR="008B4F5E" w:rsidP="000432B4" w:rsidRDefault="000432B4" w14:paraId="28CE1292" w14:textId="625E952D">
      <w:pPr>
        <w:spacing w:after="160" w:line="259" w:lineRule="auto"/>
        <w:rPr>
          <w:bCs/>
        </w:rPr>
      </w:pPr>
      <w:r>
        <w:rPr>
          <w:bCs/>
        </w:rPr>
        <w:t xml:space="preserve">The </w:t>
      </w:r>
      <w:r w:rsidR="008B4F5E">
        <w:rPr>
          <w:bCs/>
        </w:rPr>
        <w:t xml:space="preserve">CPUC steps reflect the following </w:t>
      </w:r>
      <w:r w:rsidR="008812A4">
        <w:rPr>
          <w:bCs/>
        </w:rPr>
        <w:t>modifications to</w:t>
      </w:r>
      <w:r w:rsidR="008B4F5E">
        <w:rPr>
          <w:bCs/>
        </w:rPr>
        <w:t xml:space="preserve"> the IOU</w:t>
      </w:r>
      <w:r w:rsidR="008812A4">
        <w:rPr>
          <w:bCs/>
        </w:rPr>
        <w:t>-proposed</w:t>
      </w:r>
      <w:r w:rsidR="008B4F5E">
        <w:rPr>
          <w:bCs/>
        </w:rPr>
        <w:t xml:space="preserve"> steps:</w:t>
      </w:r>
    </w:p>
    <w:p w:rsidRPr="002954AD" w:rsidR="005F3770" w:rsidP="005F3770" w:rsidRDefault="005F3770" w14:paraId="30A225DD" w14:textId="3536A1F3">
      <w:pPr>
        <w:pStyle w:val="ListParagraph"/>
        <w:numPr>
          <w:ilvl w:val="0"/>
          <w:numId w:val="47"/>
        </w:numPr>
        <w:spacing w:after="160" w:line="259" w:lineRule="auto"/>
        <w:rPr>
          <w:bCs/>
          <w:sz w:val="20"/>
          <w:szCs w:val="22"/>
        </w:rPr>
      </w:pPr>
      <w:r w:rsidRPr="005F3770">
        <w:rPr>
          <w:bCs/>
        </w:rPr>
        <w:t>S</w:t>
      </w:r>
      <w:r w:rsidRPr="005F3770" w:rsidR="000432B4">
        <w:rPr>
          <w:bCs/>
        </w:rPr>
        <w:t>tep</w:t>
      </w:r>
      <w:r w:rsidR="000432B4">
        <w:rPr>
          <w:bCs/>
        </w:rPr>
        <w:t xml:space="preserve"> 3</w:t>
      </w:r>
      <w:r w:rsidR="0010610D">
        <w:rPr>
          <w:bCs/>
        </w:rPr>
        <w:t xml:space="preserve"> (Dependencies)</w:t>
      </w:r>
      <w:r w:rsidR="000432B4">
        <w:rPr>
          <w:bCs/>
        </w:rPr>
        <w:t xml:space="preserve"> was split into </w:t>
      </w:r>
      <w:r w:rsidR="00A53636">
        <w:rPr>
          <w:bCs/>
        </w:rPr>
        <w:t xml:space="preserve">non-IOU </w:t>
      </w:r>
      <w:r w:rsidR="008812A4">
        <w:rPr>
          <w:bCs/>
        </w:rPr>
        <w:t>actions</w:t>
      </w:r>
      <w:r w:rsidRPr="005F3770" w:rsidR="000432B4">
        <w:rPr>
          <w:bCs/>
        </w:rPr>
        <w:t xml:space="preserve"> (</w:t>
      </w:r>
      <w:r w:rsidR="008812A4">
        <w:rPr>
          <w:bCs/>
        </w:rPr>
        <w:t>S</w:t>
      </w:r>
      <w:r w:rsidR="000432B4">
        <w:rPr>
          <w:bCs/>
        </w:rPr>
        <w:t>tep 3</w:t>
      </w:r>
      <w:r w:rsidRPr="005F3770" w:rsidR="000432B4">
        <w:rPr>
          <w:bCs/>
        </w:rPr>
        <w:t>)</w:t>
      </w:r>
      <w:r w:rsidR="00D3334D">
        <w:rPr>
          <w:bCs/>
        </w:rPr>
        <w:t xml:space="preserve"> and IOU</w:t>
      </w:r>
      <w:r w:rsidRPr="005F3770" w:rsidR="00D3334D">
        <w:rPr>
          <w:bCs/>
        </w:rPr>
        <w:t xml:space="preserve"> actions (</w:t>
      </w:r>
      <w:r w:rsidR="00D3334D">
        <w:rPr>
          <w:bCs/>
        </w:rPr>
        <w:t>S</w:t>
      </w:r>
      <w:r w:rsidRPr="005F3770" w:rsidR="00D3334D">
        <w:rPr>
          <w:bCs/>
        </w:rPr>
        <w:t>tep 4)</w:t>
      </w:r>
      <w:r w:rsidRPr="005F3770" w:rsidR="000432B4">
        <w:rPr>
          <w:bCs/>
        </w:rPr>
        <w:t xml:space="preserve">. </w:t>
      </w:r>
    </w:p>
    <w:p w:rsidRPr="002954AD" w:rsidR="003C44BD" w:rsidP="005F3770" w:rsidRDefault="00EF7B1B" w14:paraId="49A709C0" w14:textId="10B82729">
      <w:pPr>
        <w:pStyle w:val="ListParagraph"/>
        <w:numPr>
          <w:ilvl w:val="0"/>
          <w:numId w:val="47"/>
        </w:numPr>
        <w:spacing w:after="160" w:line="259" w:lineRule="auto"/>
        <w:rPr>
          <w:bCs/>
          <w:sz w:val="20"/>
          <w:szCs w:val="22"/>
        </w:rPr>
      </w:pPr>
      <w:r>
        <w:rPr>
          <w:bCs/>
        </w:rPr>
        <w:t>Addition of S</w:t>
      </w:r>
      <w:r w:rsidR="000432B4">
        <w:rPr>
          <w:bCs/>
        </w:rPr>
        <w:t>tep 7</w:t>
      </w:r>
      <w:r w:rsidR="00024726">
        <w:rPr>
          <w:bCs/>
        </w:rPr>
        <w:t xml:space="preserve"> </w:t>
      </w:r>
      <w:r w:rsidR="001E0B63">
        <w:rPr>
          <w:bCs/>
        </w:rPr>
        <w:t xml:space="preserve">(Service Energization) </w:t>
      </w:r>
      <w:r w:rsidR="005A2121">
        <w:rPr>
          <w:bCs/>
        </w:rPr>
        <w:t>by the</w:t>
      </w:r>
      <w:r w:rsidRPr="005F3770" w:rsidR="000432B4">
        <w:rPr>
          <w:bCs/>
        </w:rPr>
        <w:t xml:space="preserve"> </w:t>
      </w:r>
      <w:r w:rsidR="000432B4">
        <w:rPr>
          <w:bCs/>
        </w:rPr>
        <w:t xml:space="preserve">CPUC </w:t>
      </w:r>
      <w:r w:rsidR="005A2121">
        <w:rPr>
          <w:bCs/>
        </w:rPr>
        <w:t>to</w:t>
      </w:r>
      <w:r w:rsidR="000432B4">
        <w:rPr>
          <w:bCs/>
        </w:rPr>
        <w:t xml:space="preserve"> include all final inspections, and if performed by IOU, completed; site is “energized”, allowing customer to start receiving service. </w:t>
      </w:r>
    </w:p>
    <w:p w:rsidR="001344DF" w:rsidP="00872BF4" w:rsidRDefault="00432608" w14:paraId="546BB0DB" w14:textId="15C90B4F">
      <w:pPr>
        <w:spacing w:after="160" w:line="259" w:lineRule="auto"/>
        <w:rPr>
          <w:bCs/>
        </w:rPr>
      </w:pPr>
      <w:r>
        <w:rPr>
          <w:bCs/>
        </w:rPr>
        <w:t>T</w:t>
      </w:r>
      <w:r w:rsidRPr="00872BF4" w:rsidR="000432B4">
        <w:rPr>
          <w:bCs/>
        </w:rPr>
        <w:t>he</w:t>
      </w:r>
      <w:r w:rsidR="000432B4">
        <w:rPr>
          <w:bCs/>
        </w:rPr>
        <w:t xml:space="preserve"> focus of this </w:t>
      </w:r>
      <w:r w:rsidR="009D19AC">
        <w:rPr>
          <w:bCs/>
        </w:rPr>
        <w:t>task</w:t>
      </w:r>
      <w:r>
        <w:rPr>
          <w:bCs/>
        </w:rPr>
        <w:t xml:space="preserve"> was </w:t>
      </w:r>
      <w:r w:rsidR="0082259C">
        <w:rPr>
          <w:bCs/>
        </w:rPr>
        <w:t xml:space="preserve">the </w:t>
      </w:r>
      <w:r w:rsidRPr="002954AD" w:rsidR="0082259C">
        <w:rPr>
          <w:b/>
        </w:rPr>
        <w:t>IOU dependent steps</w:t>
      </w:r>
      <w:r w:rsidR="0082259C">
        <w:rPr>
          <w:bCs/>
        </w:rPr>
        <w:t xml:space="preserve"> (</w:t>
      </w:r>
      <w:r w:rsidR="00310D8F">
        <w:rPr>
          <w:bCs/>
        </w:rPr>
        <w:t xml:space="preserve">2, </w:t>
      </w:r>
      <w:r w:rsidR="00DB66A7">
        <w:rPr>
          <w:bCs/>
        </w:rPr>
        <w:t xml:space="preserve">4, </w:t>
      </w:r>
      <w:r w:rsidR="003E53B0">
        <w:rPr>
          <w:bCs/>
        </w:rPr>
        <w:t>6, and 7)</w:t>
      </w:r>
      <w:r w:rsidR="009D19AC">
        <w:rPr>
          <w:bCs/>
        </w:rPr>
        <w:t xml:space="preserve"> from the CPUC steps</w:t>
      </w:r>
      <w:r w:rsidRPr="00872BF4" w:rsidR="000432B4">
        <w:rPr>
          <w:bCs/>
        </w:rPr>
        <w:t>. Th</w:t>
      </w:r>
      <w:r w:rsidR="009D19AC">
        <w:rPr>
          <w:bCs/>
        </w:rPr>
        <w:t xml:space="preserve">e analysis used </w:t>
      </w:r>
      <w:r w:rsidR="000432B4">
        <w:rPr>
          <w:bCs/>
        </w:rPr>
        <w:t xml:space="preserve">the database developed by </w:t>
      </w:r>
      <w:proofErr w:type="spellStart"/>
      <w:r w:rsidR="000432B4">
        <w:rPr>
          <w:bCs/>
        </w:rPr>
        <w:t>Guidehouse</w:t>
      </w:r>
      <w:proofErr w:type="spellEnd"/>
      <w:r w:rsidR="000432B4">
        <w:rPr>
          <w:bCs/>
        </w:rPr>
        <w:t xml:space="preserve"> </w:t>
      </w:r>
      <w:r w:rsidR="004D2663">
        <w:rPr>
          <w:bCs/>
        </w:rPr>
        <w:t>(</w:t>
      </w:r>
      <w:r w:rsidR="00496F44">
        <w:rPr>
          <w:bCs/>
        </w:rPr>
        <w:t>described in</w:t>
      </w:r>
      <w:r w:rsidR="00F27CB0">
        <w:rPr>
          <w:bCs/>
        </w:rPr>
        <w:t xml:space="preserve"> </w:t>
      </w:r>
      <w:r w:rsidR="00496F44">
        <w:rPr>
          <w:bCs/>
        </w:rPr>
        <w:t xml:space="preserve">Section </w:t>
      </w:r>
      <w:r w:rsidR="00496F44">
        <w:rPr>
          <w:bCs/>
        </w:rPr>
        <w:fldChar w:fldCharType="begin"/>
      </w:r>
      <w:r w:rsidR="00496F44">
        <w:rPr>
          <w:bCs/>
        </w:rPr>
        <w:instrText xml:space="preserve"> REF _Ref171597980 \r \h </w:instrText>
      </w:r>
      <w:r w:rsidR="00496F44">
        <w:rPr>
          <w:bCs/>
        </w:rPr>
      </w:r>
      <w:r w:rsidR="00496F44">
        <w:rPr>
          <w:bCs/>
        </w:rPr>
        <w:fldChar w:fldCharType="separate"/>
      </w:r>
      <w:r w:rsidR="00E16E7D">
        <w:rPr>
          <w:bCs/>
        </w:rPr>
        <w:t>2</w:t>
      </w:r>
      <w:r w:rsidR="00496F44">
        <w:rPr>
          <w:bCs/>
        </w:rPr>
        <w:fldChar w:fldCharType="end"/>
      </w:r>
      <w:r w:rsidR="004D2663">
        <w:rPr>
          <w:bCs/>
        </w:rPr>
        <w:t xml:space="preserve">) </w:t>
      </w:r>
      <w:r w:rsidR="001344DF">
        <w:rPr>
          <w:bCs/>
        </w:rPr>
        <w:t xml:space="preserve">and CPUC assumptions </w:t>
      </w:r>
      <w:r w:rsidR="004D2663">
        <w:rPr>
          <w:bCs/>
        </w:rPr>
        <w:t>as follows:</w:t>
      </w:r>
      <w:r w:rsidRPr="00872BF4" w:rsidR="000432B4">
        <w:rPr>
          <w:bCs/>
        </w:rPr>
        <w:t xml:space="preserve"> </w:t>
      </w:r>
    </w:p>
    <w:p w:rsidRPr="002954AD" w:rsidR="001344DF" w:rsidP="001344DF" w:rsidRDefault="001344DF" w14:paraId="520C4E94" w14:textId="1CC21EE3">
      <w:pPr>
        <w:pStyle w:val="ListParagraph"/>
        <w:numPr>
          <w:ilvl w:val="0"/>
          <w:numId w:val="48"/>
        </w:numPr>
        <w:spacing w:after="160" w:line="259" w:lineRule="auto"/>
        <w:rPr>
          <w:bCs/>
          <w:sz w:val="20"/>
          <w:szCs w:val="22"/>
        </w:rPr>
      </w:pPr>
      <w:r>
        <w:rPr>
          <w:bCs/>
        </w:rPr>
        <w:t xml:space="preserve">Step 2: </w:t>
      </w:r>
      <w:r w:rsidR="000432B4">
        <w:rPr>
          <w:bCs/>
        </w:rPr>
        <w:t>Engineering and Design</w:t>
      </w:r>
      <w:r w:rsidRPr="001344DF" w:rsidR="00B36709">
        <w:rPr>
          <w:bCs/>
        </w:rPr>
        <w:t xml:space="preserve"> (</w:t>
      </w:r>
      <w:r>
        <w:rPr>
          <w:bCs/>
        </w:rPr>
        <w:t xml:space="preserve">IOU </w:t>
      </w:r>
      <w:r w:rsidRPr="001344DF" w:rsidR="00B36709">
        <w:rPr>
          <w:bCs/>
        </w:rPr>
        <w:t>Step 2</w:t>
      </w:r>
      <w:r w:rsidRPr="001344DF" w:rsidR="000432B4">
        <w:rPr>
          <w:bCs/>
        </w:rPr>
        <w:t>)</w:t>
      </w:r>
    </w:p>
    <w:p w:rsidRPr="002954AD" w:rsidR="00D60CDA" w:rsidP="001344DF" w:rsidRDefault="001344DF" w14:paraId="75D4F6E1" w14:textId="31F44898">
      <w:pPr>
        <w:pStyle w:val="ListParagraph"/>
        <w:numPr>
          <w:ilvl w:val="0"/>
          <w:numId w:val="48"/>
        </w:numPr>
        <w:spacing w:after="160" w:line="259" w:lineRule="auto"/>
        <w:rPr>
          <w:bCs/>
          <w:sz w:val="20"/>
          <w:szCs w:val="22"/>
        </w:rPr>
      </w:pPr>
      <w:r>
        <w:rPr>
          <w:bCs/>
        </w:rPr>
        <w:t xml:space="preserve">Step </w:t>
      </w:r>
      <w:r w:rsidR="00D52B30">
        <w:rPr>
          <w:bCs/>
        </w:rPr>
        <w:t xml:space="preserve">4: </w:t>
      </w:r>
      <w:r w:rsidR="000432B4">
        <w:rPr>
          <w:bCs/>
        </w:rPr>
        <w:t>Dependencies</w:t>
      </w:r>
      <w:r w:rsidRPr="001344DF" w:rsidR="008F765D">
        <w:rPr>
          <w:bCs/>
        </w:rPr>
        <w:t xml:space="preserve"> (</w:t>
      </w:r>
      <w:r w:rsidRPr="001344DF" w:rsidR="000F4688">
        <w:rPr>
          <w:bCs/>
        </w:rPr>
        <w:t xml:space="preserve">IOU-dependent portion of </w:t>
      </w:r>
      <w:r w:rsidR="00D60CDA">
        <w:rPr>
          <w:bCs/>
        </w:rPr>
        <w:t xml:space="preserve">IOU </w:t>
      </w:r>
      <w:r w:rsidRPr="001344DF" w:rsidR="008F765D">
        <w:rPr>
          <w:bCs/>
        </w:rPr>
        <w:t>Step 3</w:t>
      </w:r>
      <w:r w:rsidRPr="001344DF" w:rsidR="000432B4">
        <w:rPr>
          <w:bCs/>
        </w:rPr>
        <w:t>)</w:t>
      </w:r>
    </w:p>
    <w:p w:rsidRPr="002954AD" w:rsidR="009C3AAC" w:rsidP="001344DF" w:rsidRDefault="00D60CDA" w14:paraId="4CA8A909" w14:textId="61764BCE">
      <w:pPr>
        <w:pStyle w:val="ListParagraph"/>
        <w:numPr>
          <w:ilvl w:val="0"/>
          <w:numId w:val="48"/>
        </w:numPr>
        <w:spacing w:after="160" w:line="259" w:lineRule="auto"/>
        <w:rPr>
          <w:bCs/>
          <w:sz w:val="20"/>
          <w:szCs w:val="22"/>
        </w:rPr>
      </w:pPr>
      <w:r>
        <w:rPr>
          <w:bCs/>
        </w:rPr>
        <w:t xml:space="preserve">Step </w:t>
      </w:r>
      <w:r w:rsidR="000409DE">
        <w:rPr>
          <w:bCs/>
        </w:rPr>
        <w:t xml:space="preserve">6: </w:t>
      </w:r>
      <w:r w:rsidR="000432B4">
        <w:rPr>
          <w:bCs/>
        </w:rPr>
        <w:t>Construction</w:t>
      </w:r>
      <w:r w:rsidRPr="001344DF" w:rsidR="008F765D">
        <w:rPr>
          <w:bCs/>
        </w:rPr>
        <w:t xml:space="preserve"> (</w:t>
      </w:r>
      <w:r w:rsidR="009C3AAC">
        <w:rPr>
          <w:bCs/>
        </w:rPr>
        <w:t xml:space="preserve">IOU </w:t>
      </w:r>
      <w:r w:rsidRPr="001344DF" w:rsidR="008F765D">
        <w:rPr>
          <w:bCs/>
        </w:rPr>
        <w:t>Step 5</w:t>
      </w:r>
      <w:r w:rsidRPr="001344DF" w:rsidR="000432B4">
        <w:rPr>
          <w:bCs/>
        </w:rPr>
        <w:t>)</w:t>
      </w:r>
    </w:p>
    <w:p w:rsidRPr="002E2D3B" w:rsidR="000432B4" w:rsidP="002954AD" w:rsidRDefault="009C3AAC" w14:paraId="668C4997" w14:textId="03EE3D26">
      <w:pPr>
        <w:pStyle w:val="ListParagraph"/>
        <w:numPr>
          <w:ilvl w:val="0"/>
          <w:numId w:val="48"/>
        </w:numPr>
        <w:spacing w:after="160" w:line="259" w:lineRule="auto"/>
        <w:rPr>
          <w:bCs/>
          <w:sz w:val="20"/>
          <w:szCs w:val="22"/>
        </w:rPr>
      </w:pPr>
      <w:r>
        <w:rPr>
          <w:bCs/>
        </w:rPr>
        <w:lastRenderedPageBreak/>
        <w:t xml:space="preserve">Step 7: </w:t>
      </w:r>
      <w:r w:rsidRPr="00C37DB1" w:rsidR="00C37DB1">
        <w:rPr>
          <w:bCs/>
        </w:rPr>
        <w:t xml:space="preserve">Service Energization Provided to Customer </w:t>
      </w:r>
      <w:r w:rsidR="002E0DB0">
        <w:rPr>
          <w:bCs/>
        </w:rPr>
        <w:t>(</w:t>
      </w:r>
      <w:r w:rsidRPr="001344DF" w:rsidR="002E0DB0">
        <w:rPr>
          <w:bCs/>
        </w:rPr>
        <w:t xml:space="preserve">CPUC </w:t>
      </w:r>
      <w:r w:rsidR="002E0DB0">
        <w:rPr>
          <w:bCs/>
        </w:rPr>
        <w:t>assumption)</w:t>
      </w:r>
    </w:p>
    <w:p w:rsidR="001055E0" w:rsidP="000432B4" w:rsidRDefault="000432B4" w14:paraId="49DF30BD" w14:textId="4196CE34">
      <w:pPr>
        <w:pStyle w:val="Heading2"/>
      </w:pPr>
      <w:bookmarkStart w:name="_Toc171690420" w:id="21"/>
      <w:r>
        <w:t>Outputs</w:t>
      </w:r>
      <w:bookmarkEnd w:id="21"/>
    </w:p>
    <w:p w:rsidR="0091023F" w:rsidP="0091023F" w:rsidRDefault="00177779" w14:paraId="639385A0" w14:textId="0EC115F4">
      <w:pPr>
        <w:spacing w:after="160" w:line="259" w:lineRule="auto"/>
      </w:pPr>
      <w:proofErr w:type="spellStart"/>
      <w:r>
        <w:t>Guidehouse</w:t>
      </w:r>
      <w:proofErr w:type="spellEnd"/>
      <w:r>
        <w:t xml:space="preserve"> analyzed</w:t>
      </w:r>
      <w:r w:rsidR="0091023F">
        <w:t xml:space="preserve"> the average and maximum timelines for the IOU dependent </w:t>
      </w:r>
      <w:r>
        <w:t xml:space="preserve">steps </w:t>
      </w:r>
      <w:r w:rsidR="001D2B7B">
        <w:rPr>
          <w:bCs/>
        </w:rPr>
        <w:t xml:space="preserve">(2, 4, 6, and 7) </w:t>
      </w:r>
      <w:r w:rsidR="0091023F">
        <w:t>of Rule 15</w:t>
      </w:r>
      <w:r w:rsidR="002954AD">
        <w:t xml:space="preserve">, </w:t>
      </w:r>
      <w:r w:rsidR="00935D23">
        <w:t xml:space="preserve">Rule </w:t>
      </w:r>
      <w:r w:rsidR="0091023F">
        <w:t>16</w:t>
      </w:r>
      <w:r w:rsidR="00935D23">
        <w:t>, and Rule 15/16</w:t>
      </w:r>
      <w:r w:rsidR="0091023F">
        <w:t xml:space="preserve"> energization projects. </w:t>
      </w:r>
      <w:r w:rsidR="002954AD">
        <w:t>Results for</w:t>
      </w:r>
      <w:r w:rsidR="0091023F">
        <w:t xml:space="preserve"> PG&amp;E, SCE, </w:t>
      </w:r>
      <w:r w:rsidR="00547F61">
        <w:t xml:space="preserve">SDG&amp;E, </w:t>
      </w:r>
      <w:r w:rsidR="0091023F">
        <w:t>and all IOUs</w:t>
      </w:r>
      <w:r w:rsidR="00CC53E2">
        <w:t xml:space="preserve">, </w:t>
      </w:r>
      <w:r w:rsidR="00285E7B">
        <w:t>appear</w:t>
      </w:r>
      <w:r w:rsidR="00CC53E2">
        <w:t xml:space="preserve"> in </w:t>
      </w:r>
      <w:r w:rsidR="00CC53E2">
        <w:fldChar w:fldCharType="begin"/>
      </w:r>
      <w:r w:rsidR="00CC53E2">
        <w:instrText xml:space="preserve"> REF _Ref171598151 \h </w:instrText>
      </w:r>
      <w:r w:rsidR="00CC53E2">
        <w:fldChar w:fldCharType="separate"/>
      </w:r>
      <w:r w:rsidR="00E16E7D">
        <w:t xml:space="preserve">Table </w:t>
      </w:r>
      <w:r w:rsidR="00E16E7D">
        <w:rPr>
          <w:noProof/>
        </w:rPr>
        <w:t>1</w:t>
      </w:r>
      <w:r w:rsidR="00CC53E2">
        <w:fldChar w:fldCharType="end"/>
      </w:r>
      <w:r w:rsidR="0091023F">
        <w:t xml:space="preserve">. </w:t>
      </w:r>
      <w:r w:rsidR="003A6E44">
        <w:t xml:space="preserve">The calculation methodology appears in Section </w:t>
      </w:r>
      <w:r w:rsidR="003A6E44">
        <w:fldChar w:fldCharType="begin"/>
      </w:r>
      <w:r w:rsidR="003A6E44">
        <w:instrText xml:space="preserve"> REF _Ref171598092 \w \h </w:instrText>
      </w:r>
      <w:r w:rsidR="003A6E44">
        <w:fldChar w:fldCharType="separate"/>
      </w:r>
      <w:r w:rsidR="00E16E7D">
        <w:t>3.4</w:t>
      </w:r>
      <w:r w:rsidR="003A6E44">
        <w:fldChar w:fldCharType="end"/>
      </w:r>
      <w:r w:rsidR="003A6E44">
        <w:t xml:space="preserve">. Notably, </w:t>
      </w:r>
      <w:r w:rsidR="0091023F">
        <w:t xml:space="preserve">SDG&amp;E </w:t>
      </w:r>
      <w:r w:rsidR="00547F61">
        <w:t xml:space="preserve">did not provide data for the </w:t>
      </w:r>
      <w:r w:rsidR="002D2B76">
        <w:t>D</w:t>
      </w:r>
      <w:r w:rsidR="768A6638">
        <w:t>ependencies</w:t>
      </w:r>
      <w:r w:rsidR="00547F61">
        <w:t xml:space="preserve"> step; therefore, the </w:t>
      </w:r>
      <w:r w:rsidR="00AB2949">
        <w:t xml:space="preserve">SDG&amp;E </w:t>
      </w:r>
      <w:r w:rsidR="00547F61">
        <w:t xml:space="preserve">timelines </w:t>
      </w:r>
      <w:r w:rsidR="001D2B7B">
        <w:t xml:space="preserve">in </w:t>
      </w:r>
      <w:r w:rsidR="001D2B7B">
        <w:fldChar w:fldCharType="begin"/>
      </w:r>
      <w:r w:rsidR="001D2B7B">
        <w:instrText xml:space="preserve"> REF _Ref171598151 \h </w:instrText>
      </w:r>
      <w:r w:rsidR="001D2B7B">
        <w:fldChar w:fldCharType="separate"/>
      </w:r>
      <w:r w:rsidR="00E16E7D">
        <w:t xml:space="preserve">Table </w:t>
      </w:r>
      <w:r w:rsidR="00E16E7D">
        <w:rPr>
          <w:noProof/>
        </w:rPr>
        <w:t>1</w:t>
      </w:r>
      <w:r w:rsidR="001D2B7B">
        <w:fldChar w:fldCharType="end"/>
      </w:r>
      <w:r w:rsidR="001D2B7B">
        <w:t xml:space="preserve"> </w:t>
      </w:r>
      <w:r w:rsidR="676C86FD">
        <w:t xml:space="preserve">may </w:t>
      </w:r>
      <w:r w:rsidR="00AB542F">
        <w:t>differ</w:t>
      </w:r>
      <w:r w:rsidR="006A399A">
        <w:t xml:space="preserve"> </w:t>
      </w:r>
      <w:r w:rsidR="57CAFE18">
        <w:t xml:space="preserve">after </w:t>
      </w:r>
      <w:r w:rsidR="00D24186">
        <w:t xml:space="preserve">further insight into </w:t>
      </w:r>
      <w:r w:rsidR="57CAFE18">
        <w:t xml:space="preserve">the </w:t>
      </w:r>
      <w:r w:rsidR="00C94011">
        <w:t>D</w:t>
      </w:r>
      <w:r w:rsidR="57CAFE18">
        <w:t>ependencies step</w:t>
      </w:r>
      <w:r w:rsidR="0091023F">
        <w:t>.</w:t>
      </w:r>
      <w:r w:rsidRPr="036BD2F1">
        <w:rPr>
          <w:vertAlign w:val="superscript"/>
        </w:rPr>
        <w:footnoteReference w:id="9"/>
      </w:r>
      <w:r w:rsidR="0091023F">
        <w:t xml:space="preserve"> </w:t>
      </w:r>
    </w:p>
    <w:p w:rsidR="000807A9" w:rsidP="00253024" w:rsidRDefault="00253024" w14:paraId="0711E73D" w14:textId="2131E27A">
      <w:pPr>
        <w:pStyle w:val="Caption"/>
      </w:pPr>
      <w:bookmarkStart w:name="_Ref171598151" w:id="22"/>
      <w:bookmarkStart w:name="_Toc171690429" w:id="23"/>
      <w:r>
        <w:t xml:space="preserve">Table </w:t>
      </w:r>
      <w:r>
        <w:fldChar w:fldCharType="begin"/>
      </w:r>
      <w:r>
        <w:instrText xml:space="preserve"> SEQ Table \* ARABIC </w:instrText>
      </w:r>
      <w:r>
        <w:fldChar w:fldCharType="separate"/>
      </w:r>
      <w:r w:rsidR="00E16E7D">
        <w:rPr>
          <w:noProof/>
        </w:rPr>
        <w:t>1</w:t>
      </w:r>
      <w:r>
        <w:rPr>
          <w:noProof/>
        </w:rPr>
        <w:fldChar w:fldCharType="end"/>
      </w:r>
      <w:bookmarkEnd w:id="22"/>
      <w:r>
        <w:t>. Summary of Rule 15</w:t>
      </w:r>
      <w:r w:rsidR="00935D23">
        <w:t>,</w:t>
      </w:r>
      <w:r>
        <w:t xml:space="preserve"> Rule 16</w:t>
      </w:r>
      <w:r w:rsidR="00935D23">
        <w:t>, and Rule 15/16</w:t>
      </w:r>
      <w:r>
        <w:t xml:space="preserve"> Timelines for IOU Dependent Energization Steps</w:t>
      </w:r>
      <w:bookmarkEnd w:id="23"/>
    </w:p>
    <w:p w:rsidR="0091023F" w:rsidP="002954AD" w:rsidRDefault="0082027A" w14:paraId="2D7A25E8" w14:textId="254A55B1">
      <w:pPr>
        <w:spacing w:line="259" w:lineRule="auto"/>
      </w:pPr>
      <w:r w:rsidRPr="0082027A">
        <w:rPr>
          <w:noProof/>
        </w:rPr>
        <w:drawing>
          <wp:inline distT="0" distB="0" distL="0" distR="0" wp14:anchorId="01C6E0DF" wp14:editId="41100C66">
            <wp:extent cx="5581934" cy="15058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97409" cy="1509985"/>
                    </a:xfrm>
                    <a:prstGeom prst="rect">
                      <a:avLst/>
                    </a:prstGeom>
                  </pic:spPr>
                </pic:pic>
              </a:graphicData>
            </a:graphic>
          </wp:inline>
        </w:drawing>
      </w:r>
    </w:p>
    <w:p w:rsidRPr="002954AD" w:rsidR="00FE26B4" w:rsidP="00FE26B4" w:rsidRDefault="008C2F5A" w14:paraId="0D38DF6C" w14:textId="28B591EB">
      <w:pPr>
        <w:pStyle w:val="TableFigureNote"/>
        <w:rPr>
          <w:i/>
        </w:rPr>
      </w:pPr>
      <w:r w:rsidRPr="002954AD">
        <w:rPr>
          <w:i/>
        </w:rPr>
        <w:t xml:space="preserve">Note: </w:t>
      </w:r>
      <w:r w:rsidRPr="002954AD" w:rsidR="00FE26B4">
        <w:rPr>
          <w:i/>
        </w:rPr>
        <w:t>Calculated in business days.</w:t>
      </w:r>
    </w:p>
    <w:p w:rsidR="00FE26B4" w:rsidP="002954AD" w:rsidRDefault="00FE26B4" w14:paraId="2D70B43C" w14:textId="77777777">
      <w:pPr>
        <w:spacing w:line="259" w:lineRule="auto"/>
      </w:pPr>
    </w:p>
    <w:p w:rsidR="0091023F" w:rsidP="0091023F" w:rsidRDefault="00F975E6" w14:paraId="420CEEC0" w14:textId="10DC08E6">
      <w:pPr>
        <w:spacing w:after="160" w:line="259" w:lineRule="auto"/>
      </w:pPr>
      <w:r>
        <w:fldChar w:fldCharType="begin"/>
      </w:r>
      <w:r>
        <w:instrText xml:space="preserve"> REF _Ref171598284 \h </w:instrText>
      </w:r>
      <w:r>
        <w:fldChar w:fldCharType="separate"/>
      </w:r>
      <w:r w:rsidR="00E16E7D">
        <w:t xml:space="preserve">Table </w:t>
      </w:r>
      <w:r w:rsidR="00E16E7D">
        <w:rPr>
          <w:noProof/>
        </w:rPr>
        <w:t>2</w:t>
      </w:r>
      <w:r>
        <w:fldChar w:fldCharType="end"/>
      </w:r>
      <w:r>
        <w:t xml:space="preserve"> </w:t>
      </w:r>
      <w:r w:rsidR="000A2C48">
        <w:t>provides</w:t>
      </w:r>
      <w:r w:rsidR="0091023F">
        <w:t xml:space="preserve"> </w:t>
      </w:r>
      <w:r w:rsidRPr="000F167A" w:rsidR="0091023F">
        <w:t xml:space="preserve">the </w:t>
      </w:r>
      <w:r w:rsidR="0091023F">
        <w:t>percent</w:t>
      </w:r>
      <w:r w:rsidR="000A2C48">
        <w:t>age</w:t>
      </w:r>
      <w:r w:rsidRPr="000F167A" w:rsidR="0091023F">
        <w:t xml:space="preserve"> difference between </w:t>
      </w:r>
      <w:r w:rsidR="0091023F">
        <w:t>PG&amp;E</w:t>
      </w:r>
      <w:r w:rsidR="001838C8">
        <w:t xml:space="preserve">, </w:t>
      </w:r>
      <w:r w:rsidR="0091023F">
        <w:t>SCE</w:t>
      </w:r>
      <w:r w:rsidR="001838C8">
        <w:t>, and SDG&amp;E</w:t>
      </w:r>
      <w:r w:rsidRPr="000F167A" w:rsidR="0091023F">
        <w:t xml:space="preserve"> individual timelines </w:t>
      </w:r>
      <w:r w:rsidR="00AD1C54">
        <w:t xml:space="preserve">and statewide timelines </w:t>
      </w:r>
      <w:r w:rsidR="00E91003">
        <w:t>by timeline type (</w:t>
      </w:r>
      <w:r w:rsidRPr="000F167A" w:rsidR="0091023F">
        <w:t>average and max</w:t>
      </w:r>
      <w:r w:rsidR="00E91003">
        <w:t>imum)</w:t>
      </w:r>
      <w:r w:rsidRPr="000F167A" w:rsidR="0091023F">
        <w:t xml:space="preserve"> </w:t>
      </w:r>
      <w:r w:rsidR="0091023F">
        <w:t>for IOU dependent steps</w:t>
      </w:r>
      <w:r w:rsidRPr="000F167A" w:rsidR="0091023F">
        <w:t>.</w:t>
      </w:r>
      <w:r w:rsidR="0091023F">
        <w:t xml:space="preserve"> </w:t>
      </w:r>
      <w:r w:rsidRPr="000F167A" w:rsidR="0091023F">
        <w:t xml:space="preserve">This </w:t>
      </w:r>
      <w:r w:rsidR="0091023F">
        <w:t xml:space="preserve">difference </w:t>
      </w:r>
      <w:r w:rsidRPr="000F167A" w:rsidR="0091023F">
        <w:t xml:space="preserve">reflects </w:t>
      </w:r>
      <w:r w:rsidR="0091023F">
        <w:t xml:space="preserve">the </w:t>
      </w:r>
      <w:r w:rsidRPr="00973D5E" w:rsidR="0091023F">
        <w:t xml:space="preserve">rate of acceleration required </w:t>
      </w:r>
      <w:r w:rsidR="0091023F">
        <w:t>for PG&amp;E</w:t>
      </w:r>
      <w:r w:rsidR="001838C8">
        <w:t xml:space="preserve">, </w:t>
      </w:r>
      <w:r w:rsidR="0091023F">
        <w:t>SCE</w:t>
      </w:r>
      <w:r w:rsidR="001838C8">
        <w:t>, and SDG&amp;E</w:t>
      </w:r>
      <w:r w:rsidR="0091023F">
        <w:t xml:space="preserve"> to </w:t>
      </w:r>
      <w:r w:rsidRPr="00973D5E" w:rsidR="0091023F">
        <w:t xml:space="preserve">achieve </w:t>
      </w:r>
      <w:r w:rsidR="0091023F">
        <w:t>the statewide</w:t>
      </w:r>
      <w:r w:rsidRPr="00973D5E" w:rsidR="0091023F">
        <w:t xml:space="preserve"> timeline</w:t>
      </w:r>
      <w:r w:rsidR="009D7645">
        <w:t xml:space="preserve"> type</w:t>
      </w:r>
      <w:r w:rsidR="0091023F">
        <w:t>s.</w:t>
      </w:r>
      <w:r w:rsidR="001838C8">
        <w:t xml:space="preserve"> </w:t>
      </w:r>
      <w:r w:rsidR="002954AD">
        <w:t>Again,</w:t>
      </w:r>
      <w:r w:rsidR="001838C8">
        <w:t xml:space="preserve"> </w:t>
      </w:r>
      <w:r w:rsidR="00883829">
        <w:t>because</w:t>
      </w:r>
      <w:r w:rsidR="001838C8">
        <w:t xml:space="preserve"> SDG&amp;E did not provide data for the </w:t>
      </w:r>
      <w:r w:rsidR="00D17DAC">
        <w:t>D</w:t>
      </w:r>
      <w:r w:rsidR="001838C8">
        <w:t>ependencies st</w:t>
      </w:r>
      <w:r w:rsidR="00DE0511">
        <w:t>e</w:t>
      </w:r>
      <w:r w:rsidR="001838C8">
        <w:t>p</w:t>
      </w:r>
      <w:r w:rsidR="00D17DAC">
        <w:t>,</w:t>
      </w:r>
      <w:r w:rsidR="001838C8">
        <w:t xml:space="preserve"> the </w:t>
      </w:r>
      <w:r w:rsidR="00BE2CCA">
        <w:t xml:space="preserve">SDG&amp;E </w:t>
      </w:r>
      <w:r w:rsidR="00565A6D">
        <w:t>acceleration rates</w:t>
      </w:r>
      <w:r w:rsidR="001838C8">
        <w:t xml:space="preserve"> </w:t>
      </w:r>
      <w:r w:rsidR="00D17DAC">
        <w:t xml:space="preserve">in </w:t>
      </w:r>
      <w:r w:rsidR="00D17DAC">
        <w:fldChar w:fldCharType="begin"/>
      </w:r>
      <w:r w:rsidR="00D17DAC">
        <w:instrText xml:space="preserve"> REF _Ref171598284 \h </w:instrText>
      </w:r>
      <w:r w:rsidR="00D17DAC">
        <w:fldChar w:fldCharType="separate"/>
      </w:r>
      <w:r w:rsidR="00E16E7D">
        <w:t xml:space="preserve">Table </w:t>
      </w:r>
      <w:r w:rsidR="00E16E7D">
        <w:rPr>
          <w:noProof/>
        </w:rPr>
        <w:t>2</w:t>
      </w:r>
      <w:r w:rsidR="00D17DAC">
        <w:fldChar w:fldCharType="end"/>
      </w:r>
      <w:r w:rsidR="00D17DAC">
        <w:t xml:space="preserve"> </w:t>
      </w:r>
      <w:r w:rsidR="00F717F7">
        <w:t>may differ after further insight into the Dependencies step</w:t>
      </w:r>
      <w:r w:rsidR="00565A6D">
        <w:t>.</w:t>
      </w:r>
    </w:p>
    <w:p w:rsidR="007A66E8" w:rsidP="00895E18" w:rsidRDefault="00895E18" w14:paraId="2761B04F" w14:textId="385E5C9D">
      <w:pPr>
        <w:pStyle w:val="Caption"/>
      </w:pPr>
      <w:bookmarkStart w:name="_Ref171598284" w:id="24"/>
      <w:bookmarkStart w:name="_Toc171690430" w:id="25"/>
      <w:r>
        <w:t xml:space="preserve">Table </w:t>
      </w:r>
      <w:r>
        <w:fldChar w:fldCharType="begin"/>
      </w:r>
      <w:r>
        <w:instrText xml:space="preserve"> SEQ Table \* ARABIC </w:instrText>
      </w:r>
      <w:r>
        <w:fldChar w:fldCharType="separate"/>
      </w:r>
      <w:r w:rsidR="00E16E7D">
        <w:rPr>
          <w:noProof/>
        </w:rPr>
        <w:t>2</w:t>
      </w:r>
      <w:r>
        <w:rPr>
          <w:noProof/>
        </w:rPr>
        <w:fldChar w:fldCharType="end"/>
      </w:r>
      <w:bookmarkEnd w:id="24"/>
      <w:r>
        <w:t xml:space="preserve">. </w:t>
      </w:r>
      <w:r w:rsidRPr="00A46EA6">
        <w:t xml:space="preserve">Summary of </w:t>
      </w:r>
      <w:r w:rsidR="00935D23">
        <w:t xml:space="preserve">Rule 15, Rule 16, and Rule 15/16 </w:t>
      </w:r>
      <w:r w:rsidRPr="00A46EA6">
        <w:t>Timelines for IOU Dependent Energization Steps</w:t>
      </w:r>
      <w:r>
        <w:t xml:space="preserve"> – Acceleration Rates</w:t>
      </w:r>
      <w:bookmarkEnd w:id="25"/>
    </w:p>
    <w:p w:rsidR="0091023F" w:rsidP="002954AD" w:rsidRDefault="00FE70E0" w14:paraId="053021CE" w14:textId="6E83E2C0">
      <w:pPr>
        <w:spacing w:line="259" w:lineRule="auto"/>
      </w:pPr>
      <w:r w:rsidRPr="00FE70E0">
        <w:rPr>
          <w:noProof/>
        </w:rPr>
        <w:drawing>
          <wp:inline distT="0" distB="0" distL="0" distR="0" wp14:anchorId="20436571" wp14:editId="73FA20E3">
            <wp:extent cx="5575110" cy="1441428"/>
            <wp:effectExtent l="0" t="0" r="698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97688" cy="1447265"/>
                    </a:xfrm>
                    <a:prstGeom prst="rect">
                      <a:avLst/>
                    </a:prstGeom>
                  </pic:spPr>
                </pic:pic>
              </a:graphicData>
            </a:graphic>
          </wp:inline>
        </w:drawing>
      </w:r>
    </w:p>
    <w:p w:rsidRPr="002954AD" w:rsidR="008C2F5A" w:rsidP="008C2F5A" w:rsidRDefault="008C2F5A" w14:paraId="72C7F522" w14:textId="0C1934E1">
      <w:pPr>
        <w:pStyle w:val="TableFigureNote"/>
        <w:rPr>
          <w:i/>
        </w:rPr>
      </w:pPr>
      <w:r w:rsidRPr="002954AD">
        <w:rPr>
          <w:i/>
        </w:rPr>
        <w:t xml:space="preserve">Note: Percent difference between IOUs’ individual timelines relative to average and maximum timelines for all IOUs, reflecting rate of acceleration required to achieve all IOU timelines. </w:t>
      </w:r>
    </w:p>
    <w:p w:rsidR="008C2F5A" w:rsidP="002954AD" w:rsidRDefault="008C2F5A" w14:paraId="2E87CF24" w14:textId="77777777">
      <w:pPr>
        <w:spacing w:line="259" w:lineRule="auto"/>
      </w:pPr>
    </w:p>
    <w:p w:rsidR="000432B4" w:rsidP="0091023F" w:rsidRDefault="008C2F5A" w14:paraId="5F40B3BE" w14:textId="3C3E9082">
      <w:pPr>
        <w:pStyle w:val="BodyText"/>
      </w:pPr>
      <w:r>
        <w:lastRenderedPageBreak/>
        <w:t>D</w:t>
      </w:r>
      <w:r w:rsidR="0091023F">
        <w:t xml:space="preserve">etailed summaries by </w:t>
      </w:r>
      <w:r>
        <w:t>r</w:t>
      </w:r>
      <w:r w:rsidR="0091023F">
        <w:t xml:space="preserve">ule and IOU </w:t>
      </w:r>
      <w:r>
        <w:t>appear</w:t>
      </w:r>
      <w:r w:rsidR="0091023F">
        <w:t xml:space="preserve"> in the workbook</w:t>
      </w:r>
      <w:r w:rsidR="009E5833">
        <w:t xml:space="preserve"> </w:t>
      </w:r>
      <w:proofErr w:type="spellStart"/>
      <w:r w:rsidR="009E5833">
        <w:t>Guidehouse</w:t>
      </w:r>
      <w:proofErr w:type="spellEnd"/>
      <w:r w:rsidR="009E5833">
        <w:t xml:space="preserve"> provided the CPUC</w:t>
      </w:r>
      <w:r w:rsidR="0091023F">
        <w:t>, “</w:t>
      </w:r>
      <w:r w:rsidR="009E5833">
        <w:t>Statewide Energization Timelines Analyses –</w:t>
      </w:r>
      <w:r w:rsidR="008477A0">
        <w:t xml:space="preserve"> </w:t>
      </w:r>
      <w:r w:rsidR="009E5833">
        <w:t>IOU Dependent Steps</w:t>
      </w:r>
      <w:r w:rsidR="0091023F">
        <w:t>”.</w:t>
      </w:r>
    </w:p>
    <w:p w:rsidR="00324948" w:rsidP="00324948" w:rsidRDefault="00324948" w14:paraId="0582D163" w14:textId="3CAF7754">
      <w:pPr>
        <w:pStyle w:val="Heading2"/>
      </w:pPr>
      <w:bookmarkStart w:name="_Ref171598092" w:id="26"/>
      <w:bookmarkStart w:name="_Toc171690421" w:id="27"/>
      <w:r>
        <w:t>Analysis Methodology</w:t>
      </w:r>
      <w:bookmarkEnd w:id="26"/>
      <w:bookmarkEnd w:id="27"/>
    </w:p>
    <w:p w:rsidRPr="00C5035E" w:rsidR="00333F32" w:rsidP="00333F32" w:rsidRDefault="00333F32" w14:paraId="191EA9C5" w14:textId="41EA795E">
      <w:pPr>
        <w:spacing w:after="160" w:line="259" w:lineRule="auto"/>
        <w:rPr>
          <w:rFonts w:cs="Arial"/>
        </w:rPr>
      </w:pPr>
      <w:proofErr w:type="spellStart"/>
      <w:r>
        <w:rPr>
          <w:bCs/>
        </w:rPr>
        <w:t>Guidehouse</w:t>
      </w:r>
      <w:proofErr w:type="spellEnd"/>
      <w:r>
        <w:rPr>
          <w:bCs/>
        </w:rPr>
        <w:t xml:space="preserve"> utilized the database developed in </w:t>
      </w:r>
      <w:r w:rsidR="00BD5A7D">
        <w:rPr>
          <w:bCs/>
        </w:rPr>
        <w:t xml:space="preserve">Section </w:t>
      </w:r>
      <w:r w:rsidR="00BD5A7D">
        <w:rPr>
          <w:bCs/>
        </w:rPr>
        <w:fldChar w:fldCharType="begin"/>
      </w:r>
      <w:r w:rsidR="00BD5A7D">
        <w:rPr>
          <w:bCs/>
        </w:rPr>
        <w:instrText xml:space="preserve"> REF _Ref171597980 \r \h </w:instrText>
      </w:r>
      <w:r w:rsidR="00BD5A7D">
        <w:rPr>
          <w:bCs/>
        </w:rPr>
      </w:r>
      <w:r w:rsidR="00BD5A7D">
        <w:rPr>
          <w:bCs/>
        </w:rPr>
        <w:fldChar w:fldCharType="separate"/>
      </w:r>
      <w:r w:rsidR="00E16E7D">
        <w:rPr>
          <w:bCs/>
        </w:rPr>
        <w:t>2</w:t>
      </w:r>
      <w:r w:rsidR="00BD5A7D">
        <w:rPr>
          <w:bCs/>
        </w:rPr>
        <w:fldChar w:fldCharType="end"/>
      </w:r>
      <w:r w:rsidR="00BD5A7D">
        <w:rPr>
          <w:bCs/>
        </w:rPr>
        <w:t xml:space="preserve"> </w:t>
      </w:r>
      <w:r>
        <w:rPr>
          <w:bCs/>
        </w:rPr>
        <w:t>for this analysis. For each of the Electric Rules (i.</w:t>
      </w:r>
      <w:r w:rsidRPr="00C5035E">
        <w:rPr>
          <w:rFonts w:cs="Arial"/>
        </w:rPr>
        <w:t>e., Rule 15</w:t>
      </w:r>
      <w:r w:rsidR="00935D23">
        <w:rPr>
          <w:rFonts w:cs="Arial"/>
        </w:rPr>
        <w:t xml:space="preserve">, </w:t>
      </w:r>
      <w:r w:rsidRPr="00C5035E">
        <w:rPr>
          <w:rFonts w:cs="Arial"/>
        </w:rPr>
        <w:t>Rule 16</w:t>
      </w:r>
      <w:r w:rsidR="00935D23">
        <w:rPr>
          <w:rFonts w:cs="Arial"/>
        </w:rPr>
        <w:t>, and Rule 15/16</w:t>
      </w:r>
      <w:r w:rsidRPr="00C5035E">
        <w:rPr>
          <w:rFonts w:cs="Arial"/>
        </w:rPr>
        <w:t xml:space="preserve">) </w:t>
      </w:r>
      <w:proofErr w:type="spellStart"/>
      <w:r w:rsidRPr="00C5035E">
        <w:rPr>
          <w:rFonts w:cs="Arial"/>
        </w:rPr>
        <w:t>Guidehouse</w:t>
      </w:r>
      <w:proofErr w:type="spellEnd"/>
      <w:r w:rsidRPr="00C5035E">
        <w:rPr>
          <w:rFonts w:cs="Arial"/>
        </w:rPr>
        <w:t xml:space="preserve"> followed the </w:t>
      </w:r>
      <w:r w:rsidR="001F76F0">
        <w:rPr>
          <w:rFonts w:cs="Arial"/>
        </w:rPr>
        <w:t xml:space="preserve">following </w:t>
      </w:r>
      <w:r w:rsidRPr="00C5035E">
        <w:rPr>
          <w:rFonts w:cs="Arial"/>
        </w:rPr>
        <w:t>methodology:</w:t>
      </w:r>
    </w:p>
    <w:p w:rsidR="00333F32" w:rsidP="00505D15" w:rsidRDefault="006D6DA7" w14:paraId="4863B439" w14:textId="543B44C0">
      <w:pPr>
        <w:pStyle w:val="ListNumber"/>
      </w:pPr>
      <w:r>
        <w:rPr>
          <w:bCs/>
        </w:rPr>
        <w:t>C</w:t>
      </w:r>
      <w:r w:rsidRPr="002954AD" w:rsidR="00333F32">
        <w:rPr>
          <w:bCs/>
        </w:rPr>
        <w:t>alculate</w:t>
      </w:r>
      <w:r w:rsidR="004C26CE">
        <w:rPr>
          <w:bCs/>
        </w:rPr>
        <w:t>d</w:t>
      </w:r>
      <w:r w:rsidRPr="002954AD" w:rsidR="00333F32">
        <w:t xml:space="preserve"> the</w:t>
      </w:r>
      <w:r w:rsidRPr="002E2D3B" w:rsidR="00333F32">
        <w:rPr>
          <w:b/>
        </w:rPr>
        <w:t xml:space="preserve"> average timelines for all energization steps</w:t>
      </w:r>
      <w:r w:rsidRPr="002E2D3B" w:rsidR="00333F32">
        <w:t xml:space="preserve"> by IOU and </w:t>
      </w:r>
      <w:r w:rsidR="00F924A6">
        <w:t>statewide</w:t>
      </w:r>
      <w:r w:rsidRPr="002E2D3B" w:rsidR="00333F32">
        <w:t>. Additional calculat</w:t>
      </w:r>
      <w:r w:rsidR="0044429A">
        <w:t>ions included</w:t>
      </w:r>
      <w:r w:rsidRPr="002E2D3B" w:rsidR="00333F32">
        <w:t xml:space="preserve"> </w:t>
      </w:r>
      <w:r w:rsidRPr="002954AD" w:rsidR="0044429A">
        <w:rPr>
          <w:b/>
          <w:bCs/>
        </w:rPr>
        <w:t>project</w:t>
      </w:r>
      <w:r w:rsidRPr="002954AD" w:rsidR="00333F32">
        <w:rPr>
          <w:b/>
        </w:rPr>
        <w:t xml:space="preserve"> </w:t>
      </w:r>
      <w:r w:rsidRPr="002E2D3B" w:rsidR="00333F32">
        <w:rPr>
          <w:b/>
        </w:rPr>
        <w:t>count, standard deviation, and variance</w:t>
      </w:r>
      <w:r w:rsidRPr="002E2D3B" w:rsidR="00333F32">
        <w:t xml:space="preserve"> for each step by IOU and </w:t>
      </w:r>
      <w:r w:rsidR="004E20A8">
        <w:t>statewide</w:t>
      </w:r>
      <w:r w:rsidRPr="002E2D3B" w:rsidR="00333F32">
        <w:t xml:space="preserve">. </w:t>
      </w:r>
    </w:p>
    <w:p w:rsidRPr="002E2D3B" w:rsidR="00BD3B0E" w:rsidRDefault="00BD3B0E" w14:paraId="6C81DB37" w14:textId="77777777">
      <w:pPr>
        <w:pStyle w:val="ListNumber"/>
        <w:numPr>
          <w:ilvl w:val="0"/>
          <w:numId w:val="0"/>
        </w:numPr>
      </w:pPr>
    </w:p>
    <w:p w:rsidRPr="002E2D3B" w:rsidR="00333F32" w:rsidP="002954AD" w:rsidRDefault="006D6DA7" w14:paraId="2AE5A5D6" w14:textId="3527485B">
      <w:pPr>
        <w:pStyle w:val="ListNumber"/>
      </w:pPr>
      <w:r>
        <w:t>C</w:t>
      </w:r>
      <w:r w:rsidRPr="002E2D3B" w:rsidR="00333F32">
        <w:t xml:space="preserve">alculated the </w:t>
      </w:r>
      <w:r w:rsidRPr="002E2D3B" w:rsidR="00333F32">
        <w:rPr>
          <w:b/>
        </w:rPr>
        <w:t xml:space="preserve">total average timeline </w:t>
      </w:r>
      <w:r w:rsidRPr="002954AD" w:rsidR="00333F32">
        <w:t>for the</w:t>
      </w:r>
      <w:r w:rsidRPr="002E2D3B" w:rsidR="00333F32">
        <w:rPr>
          <w:b/>
        </w:rPr>
        <w:t xml:space="preserve"> IOU-dependent steps.</w:t>
      </w:r>
      <w:r w:rsidRPr="002E2D3B" w:rsidR="00333F32">
        <w:t xml:space="preserve"> This was done by adding the average timelines for each IOU-dependent step by IOU and statewide. </w:t>
      </w:r>
    </w:p>
    <w:p w:rsidRPr="002E2D3B" w:rsidR="00BD3B0E" w:rsidP="00BD3B0E" w:rsidRDefault="00BD3B0E" w14:paraId="0AAC825D" w14:textId="77777777"/>
    <w:p w:rsidRPr="00505D15" w:rsidR="00333F32" w:rsidP="002954AD" w:rsidRDefault="006D6DA7" w14:paraId="765CB57E" w14:textId="6A509D7A">
      <w:pPr>
        <w:pStyle w:val="ListNumber"/>
        <w:spacing w:after="120"/>
        <w:contextualSpacing w:val="0"/>
      </w:pPr>
      <w:r>
        <w:t>C</w:t>
      </w:r>
      <w:r w:rsidRPr="00505D15" w:rsidR="00333F32">
        <w:t xml:space="preserve">alculated the IOU-dependent </w:t>
      </w:r>
      <w:r w:rsidRPr="002954AD" w:rsidR="00333F32">
        <w:rPr>
          <w:b/>
        </w:rPr>
        <w:t>standard deviation</w:t>
      </w:r>
      <w:r w:rsidRPr="00505D15" w:rsidR="00333F32">
        <w:t xml:space="preserve"> associated with each IOU timeline and the statewide timeline. To calculate the standard deviations for these total average timelines, </w:t>
      </w:r>
      <w:proofErr w:type="spellStart"/>
      <w:r w:rsidRPr="00505D15" w:rsidR="00333F32">
        <w:t>Guidehouse</w:t>
      </w:r>
      <w:proofErr w:type="spellEnd"/>
      <w:r w:rsidRPr="00505D15" w:rsidR="00333F32">
        <w:t xml:space="preserve"> used </w:t>
      </w:r>
      <w:r w:rsidR="00F70125">
        <w:fldChar w:fldCharType="begin"/>
      </w:r>
      <w:r w:rsidR="00F70125">
        <w:instrText xml:space="preserve"> REF _Ref171598542 \h </w:instrText>
      </w:r>
      <w:r w:rsidR="00F70125">
        <w:fldChar w:fldCharType="separate"/>
      </w:r>
      <w:r w:rsidR="00E16E7D">
        <w:t xml:space="preserve">Equation </w:t>
      </w:r>
      <w:r w:rsidR="00E16E7D">
        <w:rPr>
          <w:noProof/>
        </w:rPr>
        <w:t>1</w:t>
      </w:r>
      <w:r w:rsidR="00F70125">
        <w:fldChar w:fldCharType="end"/>
      </w:r>
      <w:r w:rsidR="00F70125">
        <w:t xml:space="preserve"> </w:t>
      </w:r>
      <w:r w:rsidRPr="00505D15" w:rsidR="00333F32">
        <w:t xml:space="preserve">with the </w:t>
      </w:r>
      <w:r w:rsidR="0078428B">
        <w:t>outputs from</w:t>
      </w:r>
      <w:r w:rsidRPr="00505D15" w:rsidR="00333F32">
        <w:t xml:space="preserve"> the first step of this task</w:t>
      </w:r>
      <w:r w:rsidR="00101963">
        <w:t>.</w:t>
      </w:r>
    </w:p>
    <w:p w:rsidR="00C06E16" w:rsidP="00C06E16" w:rsidRDefault="00C06E16" w14:paraId="0E8C582B" w14:textId="77832E5D">
      <w:pPr>
        <w:pStyle w:val="Caption"/>
      </w:pPr>
      <w:bookmarkStart w:name="_Ref171598542" w:id="28"/>
      <w:bookmarkStart w:name="_Toc171690440" w:id="29"/>
      <w:r>
        <w:t xml:space="preserve">Equation </w:t>
      </w:r>
      <w:r>
        <w:fldChar w:fldCharType="begin"/>
      </w:r>
      <w:r>
        <w:instrText xml:space="preserve"> SEQ Equation \* ARABIC </w:instrText>
      </w:r>
      <w:r>
        <w:fldChar w:fldCharType="separate"/>
      </w:r>
      <w:r w:rsidR="00E16E7D">
        <w:rPr>
          <w:noProof/>
        </w:rPr>
        <w:t>1</w:t>
      </w:r>
      <w:r>
        <w:rPr>
          <w:noProof/>
        </w:rPr>
        <w:fldChar w:fldCharType="end"/>
      </w:r>
      <w:bookmarkEnd w:id="28"/>
      <w:r>
        <w:t xml:space="preserve">. </w:t>
      </w:r>
      <w:r w:rsidR="00471E5A">
        <w:t xml:space="preserve">Standard Deviation of IOU Dependent Energization </w:t>
      </w:r>
      <w:r w:rsidR="000807A9">
        <w:t>Timeline</w:t>
      </w:r>
      <w:bookmarkEnd w:id="29"/>
    </w:p>
    <w:p w:rsidRPr="00242825" w:rsidR="00333F32" w:rsidP="00333F32" w:rsidRDefault="006B7772" w14:paraId="5DAB950A" w14:textId="481CA901">
      <w:pPr>
        <w:spacing w:after="160" w:line="259" w:lineRule="auto"/>
        <w:rPr>
          <w:rFonts w:eastAsiaTheme="minorEastAsia"/>
          <w:bCs/>
        </w:rPr>
      </w:pPr>
      <m:oMathPara>
        <m:oMath>
          <m:sSub>
            <m:sSubPr>
              <m:ctrlPr>
                <w:rPr>
                  <w:rFonts w:ascii="Cambria Math" w:hAnsi="Cambria Math"/>
                  <w:bCs/>
                  <w:i/>
                </w:rPr>
              </m:ctrlPr>
            </m:sSubPr>
            <m:e>
              <m:r>
                <w:rPr>
                  <w:rFonts w:ascii="Cambria Math" w:hAnsi="Cambria Math"/>
                </w:rPr>
                <m:t>σ</m:t>
              </m:r>
            </m:e>
            <m:sub>
              <m:r>
                <w:rPr>
                  <w:rFonts w:ascii="Cambria Math" w:hAnsi="Cambria Math"/>
                </w:rPr>
                <m:t>Total</m:t>
              </m:r>
            </m:sub>
          </m:sSub>
          <m:r>
            <w:rPr>
              <w:rFonts w:ascii="Cambria Math" w:hAnsi="Cambria Math"/>
            </w:rPr>
            <m:t xml:space="preserve">= </m:t>
          </m:r>
          <m:rad>
            <m:radPr>
              <m:degHide m:val="1"/>
              <m:ctrlPr>
                <w:rPr>
                  <w:rFonts w:ascii="Cambria Math" w:hAnsi="Cambria Math"/>
                  <w:bCs/>
                  <w:i/>
                </w:rPr>
              </m:ctrlPr>
            </m:radPr>
            <m:deg/>
            <m:e>
              <m:sSubSup>
                <m:sSubSupPr>
                  <m:ctrlPr>
                    <w:rPr>
                      <w:rFonts w:ascii="Cambria Math" w:hAnsi="Cambria Math"/>
                      <w:bCs/>
                      <w:i/>
                    </w:rPr>
                  </m:ctrlPr>
                </m:sSubSupPr>
                <m:e>
                  <m:r>
                    <w:rPr>
                      <w:rFonts w:ascii="Cambria Math" w:hAnsi="Cambria Math"/>
                    </w:rPr>
                    <m:t>σ</m:t>
                  </m:r>
                </m:e>
                <m:sub>
                  <m:r>
                    <w:rPr>
                      <w:rFonts w:ascii="Cambria Math" w:hAnsi="Cambria Math"/>
                    </w:rPr>
                    <m:t>Step</m:t>
                  </m:r>
                  <m:r>
                    <w:rPr>
                      <w:rFonts w:ascii="Cambria Math" w:hAnsi="Cambria Math"/>
                    </w:rPr>
                    <m:t xml:space="preserve"> 2</m:t>
                  </m:r>
                </m:sub>
                <m:sup>
                  <m:r>
                    <w:rPr>
                      <w:rFonts w:ascii="Cambria Math" w:hAnsi="Cambria Math"/>
                    </w:rPr>
                    <m:t>2</m:t>
                  </m:r>
                </m:sup>
              </m:sSubSup>
              <m:r>
                <w:rPr>
                  <w:rFonts w:ascii="Cambria Math" w:hAnsi="Cambria Math"/>
                </w:rPr>
                <m:t>+</m:t>
              </m:r>
              <m:sSup>
                <m:sSupPr>
                  <m:ctrlPr>
                    <w:rPr>
                      <w:rFonts w:ascii="Cambria Math" w:hAnsi="Cambria Math"/>
                      <w:bCs/>
                      <w:i/>
                    </w:rPr>
                  </m:ctrlPr>
                </m:sSupPr>
                <m:e>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2</m:t>
                      </m:r>
                    </m:den>
                  </m:f>
                  <m:sSub>
                    <m:sSubPr>
                      <m:ctrlPr>
                        <w:rPr>
                          <w:rFonts w:ascii="Cambria Math" w:hAnsi="Cambria Math"/>
                          <w:bCs/>
                          <w:i/>
                        </w:rPr>
                      </m:ctrlPr>
                    </m:sSubPr>
                    <m:e>
                      <m:r>
                        <w:rPr>
                          <w:rFonts w:ascii="Cambria Math" w:hAnsi="Cambria Math"/>
                        </w:rPr>
                        <m:t>σ</m:t>
                      </m:r>
                    </m:e>
                    <m:sub>
                      <m:r>
                        <w:rPr>
                          <w:rFonts w:ascii="Cambria Math" w:hAnsi="Cambria Math"/>
                        </w:rPr>
                        <m:t>Step</m:t>
                      </m:r>
                      <m:r>
                        <w:rPr>
                          <w:rFonts w:ascii="Cambria Math" w:hAnsi="Cambria Math"/>
                        </w:rPr>
                        <m:t xml:space="preserve"> 3</m:t>
                      </m:r>
                    </m:sub>
                  </m:sSub>
                  <m:r>
                    <w:rPr>
                      <w:rFonts w:ascii="Cambria Math" w:hAnsi="Cambria Math"/>
                    </w:rPr>
                    <m:t>)</m:t>
                  </m:r>
                </m:e>
                <m:sup>
                  <m:r>
                    <w:rPr>
                      <w:rFonts w:ascii="Cambria Math" w:hAnsi="Cambria Math"/>
                    </w:rPr>
                    <m:t>2</m:t>
                  </m:r>
                </m:sup>
              </m:sSup>
              <m:r>
                <w:rPr>
                  <w:rFonts w:ascii="Cambria Math" w:hAnsi="Cambria Math"/>
                </w:rPr>
                <m:t>+</m:t>
              </m:r>
              <m:sSubSup>
                <m:sSubSupPr>
                  <m:ctrlPr>
                    <w:rPr>
                      <w:rFonts w:ascii="Cambria Math" w:hAnsi="Cambria Math"/>
                      <w:bCs/>
                      <w:i/>
                    </w:rPr>
                  </m:ctrlPr>
                </m:sSubSupPr>
                <m:e>
                  <m:r>
                    <w:rPr>
                      <w:rFonts w:ascii="Cambria Math" w:hAnsi="Cambria Math"/>
                    </w:rPr>
                    <m:t>σ</m:t>
                  </m:r>
                </m:e>
                <m:sub>
                  <m:r>
                    <w:rPr>
                      <w:rFonts w:ascii="Cambria Math" w:hAnsi="Cambria Math"/>
                    </w:rPr>
                    <m:t>Step</m:t>
                  </m:r>
                  <m:r>
                    <w:rPr>
                      <w:rFonts w:ascii="Cambria Math" w:hAnsi="Cambria Math"/>
                    </w:rPr>
                    <m:t xml:space="preserve"> 5</m:t>
                  </m:r>
                </m:sub>
                <m:sup>
                  <m:r>
                    <w:rPr>
                      <w:rFonts w:ascii="Cambria Math" w:hAnsi="Cambria Math"/>
                    </w:rPr>
                    <m:t>2</m:t>
                  </m:r>
                </m:sup>
              </m:sSubSup>
            </m:e>
          </m:rad>
          <m:r>
            <w:rPr>
              <w:rFonts w:ascii="Cambria Math" w:hAnsi="Cambria Math"/>
            </w:rPr>
            <m:t>=</m:t>
          </m:r>
          <m:rad>
            <m:radPr>
              <m:degHide m:val="1"/>
              <m:ctrlPr>
                <w:rPr>
                  <w:rFonts w:ascii="Cambria Math" w:hAnsi="Cambria Math"/>
                  <w:bCs/>
                  <w:i/>
                </w:rPr>
              </m:ctrlPr>
            </m:radPr>
            <m:deg/>
            <m:e>
              <m:sSubSup>
                <m:sSubSupPr>
                  <m:ctrlPr>
                    <w:rPr>
                      <w:rFonts w:ascii="Cambria Math" w:hAnsi="Cambria Math"/>
                      <w:bCs/>
                      <w:i/>
                    </w:rPr>
                  </m:ctrlPr>
                </m:sSubSupPr>
                <m:e>
                  <m:r>
                    <w:rPr>
                      <w:rFonts w:ascii="Cambria Math" w:hAnsi="Cambria Math"/>
                    </w:rPr>
                    <m:t>σ</m:t>
                  </m:r>
                </m:e>
                <m:sub>
                  <m:r>
                    <w:rPr>
                      <w:rFonts w:ascii="Cambria Math" w:hAnsi="Cambria Math"/>
                    </w:rPr>
                    <m:t>Step</m:t>
                  </m:r>
                  <m:r>
                    <w:rPr>
                      <w:rFonts w:ascii="Cambria Math" w:hAnsi="Cambria Math"/>
                    </w:rPr>
                    <m:t xml:space="preserve"> 2</m:t>
                  </m:r>
                </m:sub>
                <m:sup>
                  <m:r>
                    <w:rPr>
                      <w:rFonts w:ascii="Cambria Math" w:hAnsi="Cambria Math"/>
                    </w:rPr>
                    <m:t>2</m:t>
                  </m:r>
                </m:sup>
              </m:sSubSup>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4</m:t>
                  </m:r>
                </m:den>
              </m:f>
              <m:sSubSup>
                <m:sSubSupPr>
                  <m:ctrlPr>
                    <w:rPr>
                      <w:rFonts w:ascii="Cambria Math" w:hAnsi="Cambria Math"/>
                      <w:bCs/>
                      <w:i/>
                    </w:rPr>
                  </m:ctrlPr>
                </m:sSubSupPr>
                <m:e>
                  <m:r>
                    <w:rPr>
                      <w:rFonts w:ascii="Cambria Math" w:hAnsi="Cambria Math"/>
                    </w:rPr>
                    <m:t>σ</m:t>
                  </m:r>
                </m:e>
                <m:sub>
                  <m:r>
                    <w:rPr>
                      <w:rFonts w:ascii="Cambria Math" w:hAnsi="Cambria Math"/>
                    </w:rPr>
                    <m:t>Step</m:t>
                  </m:r>
                  <m:r>
                    <w:rPr>
                      <w:rFonts w:ascii="Cambria Math" w:hAnsi="Cambria Math"/>
                    </w:rPr>
                    <m:t xml:space="preserve"> 3</m:t>
                  </m:r>
                </m:sub>
                <m:sup>
                  <m:r>
                    <w:rPr>
                      <w:rFonts w:ascii="Cambria Math" w:hAnsi="Cambria Math"/>
                    </w:rPr>
                    <m:t>2</m:t>
                  </m:r>
                </m:sup>
              </m:sSubSup>
              <m:r>
                <w:rPr>
                  <w:rFonts w:ascii="Cambria Math" w:hAnsi="Cambria Math"/>
                </w:rPr>
                <m:t>+</m:t>
              </m:r>
              <m:sSubSup>
                <m:sSubSupPr>
                  <m:ctrlPr>
                    <w:rPr>
                      <w:rFonts w:ascii="Cambria Math" w:hAnsi="Cambria Math"/>
                      <w:bCs/>
                      <w:i/>
                    </w:rPr>
                  </m:ctrlPr>
                </m:sSubSupPr>
                <m:e>
                  <m:r>
                    <w:rPr>
                      <w:rFonts w:ascii="Cambria Math" w:hAnsi="Cambria Math"/>
                    </w:rPr>
                    <m:t>σ</m:t>
                  </m:r>
                </m:e>
                <m:sub>
                  <m:r>
                    <w:rPr>
                      <w:rFonts w:ascii="Cambria Math" w:hAnsi="Cambria Math"/>
                    </w:rPr>
                    <m:t>Step</m:t>
                  </m:r>
                  <m:r>
                    <w:rPr>
                      <w:rFonts w:ascii="Cambria Math" w:hAnsi="Cambria Math"/>
                    </w:rPr>
                    <m:t xml:space="preserve"> 5</m:t>
                  </m:r>
                </m:sub>
                <m:sup>
                  <m:r>
                    <w:rPr>
                      <w:rFonts w:ascii="Cambria Math" w:hAnsi="Cambria Math"/>
                    </w:rPr>
                    <m:t>2</m:t>
                  </m:r>
                </m:sup>
              </m:sSubSup>
            </m:e>
          </m:rad>
          <m:r>
            <w:rPr>
              <w:rFonts w:ascii="Cambria Math" w:hAnsi="Cambria Math"/>
            </w:rPr>
            <m:t>=</m:t>
          </m:r>
          <m:rad>
            <m:radPr>
              <m:degHide m:val="1"/>
              <m:ctrlPr>
                <w:rPr>
                  <w:rFonts w:ascii="Cambria Math" w:hAnsi="Cambria Math"/>
                  <w:bCs/>
                  <w:i/>
                </w:rPr>
              </m:ctrlPr>
            </m:radPr>
            <m:deg/>
            <m:e>
              <m:sSub>
                <m:sSubPr>
                  <m:ctrlPr>
                    <w:rPr>
                      <w:rFonts w:ascii="Cambria Math" w:hAnsi="Cambria Math"/>
                      <w:bCs/>
                      <w:i/>
                    </w:rPr>
                  </m:ctrlPr>
                </m:sSubPr>
                <m:e>
                  <m:r>
                    <w:rPr>
                      <w:rFonts w:ascii="Cambria Math" w:hAnsi="Cambria Math"/>
                    </w:rPr>
                    <m:t>var</m:t>
                  </m:r>
                </m:e>
                <m:sub>
                  <m:r>
                    <w:rPr>
                      <w:rFonts w:ascii="Cambria Math" w:hAnsi="Cambria Math"/>
                    </w:rPr>
                    <m:t>Step</m:t>
                  </m:r>
                  <m:r>
                    <w:rPr>
                      <w:rFonts w:ascii="Cambria Math" w:hAnsi="Cambria Math"/>
                    </w:rPr>
                    <m:t xml:space="preserve"> 2</m:t>
                  </m:r>
                </m:sub>
              </m:sSub>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4</m:t>
                  </m:r>
                </m:den>
              </m:f>
              <m:sSub>
                <m:sSubPr>
                  <m:ctrlPr>
                    <w:rPr>
                      <w:rFonts w:ascii="Cambria Math" w:hAnsi="Cambria Math"/>
                      <w:bCs/>
                      <w:i/>
                    </w:rPr>
                  </m:ctrlPr>
                </m:sSubPr>
                <m:e>
                  <m:r>
                    <w:rPr>
                      <w:rFonts w:ascii="Cambria Math" w:hAnsi="Cambria Math"/>
                    </w:rPr>
                    <m:t>var</m:t>
                  </m:r>
                </m:e>
                <m:sub>
                  <m:r>
                    <w:rPr>
                      <w:rFonts w:ascii="Cambria Math" w:hAnsi="Cambria Math"/>
                    </w:rPr>
                    <m:t>Step</m:t>
                  </m:r>
                  <m:r>
                    <w:rPr>
                      <w:rFonts w:ascii="Cambria Math" w:hAnsi="Cambria Math"/>
                    </w:rPr>
                    <m:t xml:space="preserve"> 3</m:t>
                  </m:r>
                </m:sub>
              </m:sSub>
              <m:r>
                <w:rPr>
                  <w:rFonts w:ascii="Cambria Math" w:hAnsi="Cambria Math"/>
                </w:rPr>
                <m:t>+</m:t>
              </m:r>
              <m:sSub>
                <m:sSubPr>
                  <m:ctrlPr>
                    <w:rPr>
                      <w:rFonts w:ascii="Cambria Math" w:hAnsi="Cambria Math"/>
                      <w:bCs/>
                      <w:i/>
                    </w:rPr>
                  </m:ctrlPr>
                </m:sSubPr>
                <m:e>
                  <m:r>
                    <w:rPr>
                      <w:rFonts w:ascii="Cambria Math" w:hAnsi="Cambria Math"/>
                    </w:rPr>
                    <m:t>var</m:t>
                  </m:r>
                </m:e>
                <m:sub>
                  <m:r>
                    <w:rPr>
                      <w:rFonts w:ascii="Cambria Math" w:hAnsi="Cambria Math"/>
                    </w:rPr>
                    <m:t>Step</m:t>
                  </m:r>
                  <m:r>
                    <w:rPr>
                      <w:rFonts w:ascii="Cambria Math" w:hAnsi="Cambria Math"/>
                    </w:rPr>
                    <m:t xml:space="preserve"> 5</m:t>
                  </m:r>
                </m:sub>
              </m:sSub>
            </m:e>
          </m:rad>
        </m:oMath>
      </m:oMathPara>
    </w:p>
    <w:p w:rsidRPr="00786BD1" w:rsidR="00BD3B0E" w:rsidP="00333F32" w:rsidRDefault="00333F32" w14:paraId="5C94A98F" w14:textId="6235B3E1">
      <w:pPr>
        <w:spacing w:after="160" w:line="259" w:lineRule="auto"/>
        <w:rPr>
          <w:b/>
        </w:rPr>
      </w:pPr>
      <m:oMathPara>
        <m:oMath>
          <m:r>
            <m:rPr>
              <m:sty m:val="bi"/>
            </m:rPr>
            <w:rPr>
              <w:rFonts w:ascii="Cambria Math" w:hAnsi="Cambria Math"/>
            </w:rPr>
            <m:t>σ=Standard Deviation</m:t>
          </m:r>
          <m:r>
            <w:rPr>
              <w:rFonts w:ascii="Cambria Math" w:hAnsi="Cambria Math"/>
            </w:rPr>
            <m:t xml:space="preserve"> </m:t>
          </m:r>
          <m:r>
            <m:rPr>
              <m:sty m:val="p"/>
            </m:rPr>
            <w:rPr>
              <w:rFonts w:ascii="Cambria Math" w:hAnsi="Cambria Math"/>
            </w:rPr>
            <m:t>and</m:t>
          </m:r>
          <m:r>
            <w:rPr>
              <w:rFonts w:ascii="Cambria Math" w:hAnsi="Cambria Math"/>
            </w:rPr>
            <m:t xml:space="preserve"> </m:t>
          </m:r>
          <m:r>
            <m:rPr>
              <m:sty m:val="bi"/>
            </m:rPr>
            <w:rPr>
              <w:rFonts w:ascii="Cambria Math" w:hAnsi="Cambria Math"/>
            </w:rPr>
            <m:t>var=Variance</m:t>
          </m:r>
        </m:oMath>
      </m:oMathPara>
    </w:p>
    <w:p w:rsidR="00333F32" w:rsidP="002954AD" w:rsidRDefault="002B5EC9" w14:paraId="744A055E" w14:textId="2DC6B194">
      <w:pPr>
        <w:pStyle w:val="ListNumber"/>
        <w:spacing w:after="120"/>
        <w:contextualSpacing w:val="0"/>
      </w:pPr>
      <w:r w:rsidRPr="002954AD">
        <w:t>C</w:t>
      </w:r>
      <w:r w:rsidRPr="002954AD" w:rsidR="00333F32">
        <w:t>alculated the</w:t>
      </w:r>
      <w:r w:rsidRPr="002E2D3B" w:rsidR="00333F32">
        <w:rPr>
          <w:b/>
        </w:rPr>
        <w:t xml:space="preserve"> maximum timeline </w:t>
      </w:r>
      <w:r w:rsidRPr="002954AD" w:rsidR="00333F32">
        <w:t>for each IOU and statewide</w:t>
      </w:r>
      <w:r w:rsidR="00333F32">
        <w:rPr>
          <w:b/>
        </w:rPr>
        <w:t xml:space="preserve"> </w:t>
      </w:r>
      <w:r w:rsidRPr="002E2D3B" w:rsidR="00333F32">
        <w:t>using</w:t>
      </w:r>
      <w:r w:rsidRPr="00224E7C" w:rsidR="00333F32">
        <w:t xml:space="preserve"> the averages and standard deviations for the IOU-dependent energization steps.</w:t>
      </w:r>
      <w:r w:rsidR="00333F32">
        <w:t xml:space="preserve"> Based on guidance from CPUC, the maximum timeline threshold is within two standard deviations from the mean</w:t>
      </w:r>
      <w:r w:rsidR="00101963">
        <w:t xml:space="preserve"> as seen in </w:t>
      </w:r>
      <w:r w:rsidR="00101963">
        <w:fldChar w:fldCharType="begin"/>
      </w:r>
      <w:r w:rsidR="00101963">
        <w:instrText xml:space="preserve"> REF _Ref171598570 \h </w:instrText>
      </w:r>
      <w:r w:rsidR="00101963">
        <w:fldChar w:fldCharType="separate"/>
      </w:r>
      <w:r w:rsidR="00E16E7D">
        <w:t xml:space="preserve">Equation </w:t>
      </w:r>
      <w:r w:rsidR="00E16E7D">
        <w:rPr>
          <w:noProof/>
        </w:rPr>
        <w:t>2</w:t>
      </w:r>
      <w:r w:rsidR="00101963">
        <w:fldChar w:fldCharType="end"/>
      </w:r>
      <w:r w:rsidR="00101963">
        <w:t>.</w:t>
      </w:r>
    </w:p>
    <w:p w:rsidR="00D32290" w:rsidP="00D32290" w:rsidRDefault="00D32290" w14:paraId="0FE1659F" w14:textId="0CD2EEC8">
      <w:pPr>
        <w:pStyle w:val="Caption"/>
      </w:pPr>
      <w:bookmarkStart w:name="_Ref171598570" w:id="30"/>
      <w:bookmarkStart w:name="_Toc171690441" w:id="31"/>
      <w:r>
        <w:t xml:space="preserve">Equation </w:t>
      </w:r>
      <w:r>
        <w:fldChar w:fldCharType="begin"/>
      </w:r>
      <w:r>
        <w:instrText xml:space="preserve"> SEQ Equation \* ARABIC </w:instrText>
      </w:r>
      <w:r>
        <w:fldChar w:fldCharType="separate"/>
      </w:r>
      <w:r w:rsidR="00E16E7D">
        <w:rPr>
          <w:noProof/>
        </w:rPr>
        <w:t>2</w:t>
      </w:r>
      <w:r>
        <w:rPr>
          <w:noProof/>
        </w:rPr>
        <w:fldChar w:fldCharType="end"/>
      </w:r>
      <w:bookmarkEnd w:id="30"/>
      <w:r>
        <w:t>. Maximum Energization Timeline Calculation</w:t>
      </w:r>
      <w:bookmarkEnd w:id="31"/>
    </w:p>
    <w:p w:rsidRPr="00BD3B0E" w:rsidR="00BD3B0E" w:rsidP="00333F32" w:rsidRDefault="006B7772" w14:paraId="496A284F" w14:textId="12193852">
      <w:pPr>
        <w:spacing w:after="160" w:line="259" w:lineRule="auto"/>
        <w:rPr>
          <w:rFonts w:eastAsiaTheme="minorEastAsia"/>
          <w:bCs/>
        </w:rPr>
      </w:pPr>
      <m:oMathPara>
        <m:oMath>
          <m:sSub>
            <m:sSubPr>
              <m:ctrlPr>
                <w:rPr>
                  <w:rFonts w:ascii="Cambria Math" w:hAnsi="Cambria Math"/>
                  <w:bCs/>
                  <w:i/>
                </w:rPr>
              </m:ctrlPr>
            </m:sSubPr>
            <m:e>
              <m:r>
                <w:rPr>
                  <w:rFonts w:ascii="Cambria Math" w:hAnsi="Cambria Math"/>
                </w:rPr>
                <m:t>Time</m:t>
              </m:r>
            </m:e>
            <m:sub>
              <m:r>
                <w:rPr>
                  <w:rFonts w:ascii="Cambria Math" w:hAnsi="Cambria Math"/>
                </w:rPr>
                <m:t>Max</m:t>
              </m:r>
            </m:sub>
          </m:sSub>
          <m:r>
            <w:rPr>
              <w:rFonts w:ascii="Cambria Math" w:hAnsi="Cambria Math"/>
            </w:rPr>
            <m:t xml:space="preserve">= </m:t>
          </m:r>
          <m:sSub>
            <m:sSubPr>
              <m:ctrlPr>
                <w:rPr>
                  <w:rFonts w:ascii="Cambria Math" w:hAnsi="Cambria Math"/>
                  <w:bCs/>
                  <w:i/>
                </w:rPr>
              </m:ctrlPr>
            </m:sSubPr>
            <m:e>
              <m:r>
                <w:rPr>
                  <w:rFonts w:ascii="Cambria Math" w:hAnsi="Cambria Math"/>
                </w:rPr>
                <m:t>Time</m:t>
              </m:r>
            </m:e>
            <m:sub>
              <m:r>
                <w:rPr>
                  <w:rFonts w:ascii="Cambria Math" w:hAnsi="Cambria Math"/>
                </w:rPr>
                <m:t>Avg</m:t>
              </m:r>
            </m:sub>
          </m:sSub>
          <m:r>
            <w:rPr>
              <w:rFonts w:ascii="Cambria Math" w:hAnsi="Cambria Math"/>
            </w:rPr>
            <m:t>+(2*</m:t>
          </m:r>
          <m:sSub>
            <m:sSubPr>
              <m:ctrlPr>
                <w:rPr>
                  <w:rFonts w:ascii="Cambria Math" w:hAnsi="Cambria Math"/>
                  <w:bCs/>
                  <w:i/>
                </w:rPr>
              </m:ctrlPr>
            </m:sSubPr>
            <m:e>
              <m:r>
                <w:rPr>
                  <w:rFonts w:ascii="Cambria Math" w:hAnsi="Cambria Math"/>
                </w:rPr>
                <m:t>σ</m:t>
              </m:r>
            </m:e>
            <m:sub>
              <m:r>
                <w:rPr>
                  <w:rFonts w:ascii="Cambria Math" w:hAnsi="Cambria Math"/>
                </w:rPr>
                <m:t>Total</m:t>
              </m:r>
            </m:sub>
          </m:sSub>
          <m:r>
            <w:rPr>
              <w:rFonts w:ascii="Cambria Math" w:hAnsi="Cambria Math"/>
            </w:rPr>
            <m:t>)</m:t>
          </m:r>
        </m:oMath>
      </m:oMathPara>
    </w:p>
    <w:p w:rsidR="00333F32" w:rsidP="00BD3B0E" w:rsidRDefault="003A72CC" w14:paraId="26B6C872" w14:textId="57FF306B">
      <w:pPr>
        <w:pStyle w:val="ListNumber"/>
      </w:pPr>
      <w:r>
        <w:t xml:space="preserve">Added </w:t>
      </w:r>
      <w:r w:rsidRPr="002E2D3B">
        <w:rPr>
          <w:b/>
        </w:rPr>
        <w:t>Service Energization Provided to Customer step</w:t>
      </w:r>
      <w:r>
        <w:t xml:space="preserve"> (CPUC assumption) to the average and maximum timelines</w:t>
      </w:r>
      <w:r w:rsidR="00333F32">
        <w:t xml:space="preserve">. </w:t>
      </w:r>
      <w:r>
        <w:t xml:space="preserve">The </w:t>
      </w:r>
      <w:r w:rsidR="00333F32">
        <w:t>CPUC provided assumed value</w:t>
      </w:r>
      <w:r w:rsidR="007207BB">
        <w:t>s</w:t>
      </w:r>
      <w:r w:rsidR="00333F32">
        <w:t xml:space="preserve"> of </w:t>
      </w:r>
      <w:r w:rsidRPr="002954AD" w:rsidR="00333F32">
        <w:rPr>
          <w:b/>
          <w:bCs/>
        </w:rPr>
        <w:t xml:space="preserve">10 days </w:t>
      </w:r>
      <w:r w:rsidRPr="002954AD" w:rsidR="00333F32">
        <w:rPr>
          <w:b/>
        </w:rPr>
        <w:t>add</w:t>
      </w:r>
      <w:r w:rsidR="007207BB">
        <w:rPr>
          <w:b/>
        </w:rPr>
        <w:t>ed</w:t>
      </w:r>
      <w:r w:rsidRPr="002954AD" w:rsidR="00333F32">
        <w:rPr>
          <w:b/>
          <w:bCs/>
        </w:rPr>
        <w:t xml:space="preserve"> to the average timelines </w:t>
      </w:r>
      <w:r w:rsidRPr="007207BB" w:rsidR="00333F32">
        <w:t>and</w:t>
      </w:r>
      <w:r w:rsidRPr="002954AD" w:rsidR="00333F32">
        <w:rPr>
          <w:b/>
          <w:bCs/>
        </w:rPr>
        <w:t xml:space="preserve"> 45 days added to the maximum timelines</w:t>
      </w:r>
      <w:r w:rsidR="00333F32">
        <w:t xml:space="preserve"> for this step.</w:t>
      </w:r>
    </w:p>
    <w:p w:rsidR="00BD3B0E" w:rsidP="00BD3B0E" w:rsidRDefault="00BD3B0E" w14:paraId="032C2E98" w14:textId="77777777">
      <w:pPr>
        <w:pStyle w:val="ListNumber"/>
        <w:numPr>
          <w:ilvl w:val="0"/>
          <w:numId w:val="0"/>
        </w:numPr>
        <w:ind w:left="360"/>
      </w:pPr>
    </w:p>
    <w:p w:rsidR="00812AAB" w:rsidP="00BD3B0E" w:rsidRDefault="003A72CC" w14:paraId="4204DD7A" w14:textId="78A42CCA">
      <w:pPr>
        <w:pStyle w:val="ListNumber"/>
      </w:pPr>
      <w:r>
        <w:t>D</w:t>
      </w:r>
      <w:r w:rsidR="00333F32">
        <w:t xml:space="preserve">etermined the </w:t>
      </w:r>
      <w:r w:rsidRPr="002954AD" w:rsidR="00333F32">
        <w:rPr>
          <w:b/>
        </w:rPr>
        <w:t>acceleration rates</w:t>
      </w:r>
      <w:r w:rsidR="00333F32">
        <w:t xml:space="preserve"> </w:t>
      </w:r>
      <w:r w:rsidRPr="00973D5E" w:rsidR="00333F32">
        <w:t xml:space="preserve">required </w:t>
      </w:r>
      <w:r w:rsidR="00333F32">
        <w:t xml:space="preserve">for PG&amp;E and SCE to </w:t>
      </w:r>
      <w:r w:rsidRPr="00973D5E" w:rsidR="00333F32">
        <w:t xml:space="preserve">achieve </w:t>
      </w:r>
      <w:r w:rsidR="00333F32">
        <w:t>the statewide</w:t>
      </w:r>
      <w:r w:rsidRPr="00973D5E" w:rsidR="00333F32">
        <w:t xml:space="preserve"> timeline</w:t>
      </w:r>
      <w:r w:rsidR="00333F32">
        <w:t>s, both average and maximum, for Rule 15</w:t>
      </w:r>
      <w:r w:rsidR="00935D23">
        <w:t xml:space="preserve">, </w:t>
      </w:r>
      <w:r w:rsidR="00333F32">
        <w:t>Rule 16</w:t>
      </w:r>
      <w:r w:rsidR="00935D23">
        <w:t>, and Rule 15/16</w:t>
      </w:r>
      <w:r w:rsidR="00333F32">
        <w:t xml:space="preserve">. This was done by calculating the percent difference between the IOU (i.e., PG&amp;E and SCE) timelines (i.e., </w:t>
      </w:r>
      <w:r w:rsidR="002954AD">
        <w:t>average,</w:t>
      </w:r>
      <w:r w:rsidR="00333F32">
        <w:t xml:space="preserve"> and maximum) and the corresponding statewide timeline. </w:t>
      </w:r>
    </w:p>
    <w:p w:rsidR="004C5690" w:rsidP="00812AAB" w:rsidRDefault="004C5690" w14:paraId="22192B9D" w14:textId="77777777">
      <w:pPr>
        <w:spacing w:after="160" w:line="259" w:lineRule="auto"/>
        <w:contextualSpacing/>
        <w:sectPr w:rsidR="004C5690" w:rsidSect="00351117">
          <w:headerReference w:type="even" r:id="rId19"/>
          <w:headerReference w:type="default" r:id="rId20"/>
          <w:footerReference w:type="default" r:id="rId21"/>
          <w:headerReference w:type="first" r:id="rId22"/>
          <w:pgSz w:w="12240" w:h="15840"/>
          <w:pgMar w:top="1440" w:right="1440" w:bottom="1440" w:left="1440" w:header="720" w:footer="720" w:gutter="0"/>
          <w:pgNumType w:start="1"/>
          <w:cols w:space="720"/>
          <w:docGrid w:linePitch="360"/>
        </w:sectPr>
      </w:pPr>
    </w:p>
    <w:p w:rsidR="00324948" w:rsidRDefault="007D2942" w14:paraId="6A7CA93A" w14:textId="610B7F33">
      <w:pPr>
        <w:pStyle w:val="Heading5"/>
      </w:pPr>
      <w:bookmarkStart w:name="_Ref171597082" w:id="32"/>
      <w:bookmarkStart w:name="_Toc171690422" w:id="33"/>
      <w:r>
        <w:lastRenderedPageBreak/>
        <w:t>Overview</w:t>
      </w:r>
      <w:r w:rsidR="00E46018">
        <w:t xml:space="preserve"> of Energization Data Provided by IOUs</w:t>
      </w:r>
      <w:bookmarkEnd w:id="32"/>
      <w:bookmarkEnd w:id="33"/>
    </w:p>
    <w:p w:rsidR="007D2942" w:rsidP="007D2942" w:rsidRDefault="00F0010E" w14:paraId="29F19770" w14:textId="0E7B9F6C">
      <w:pPr>
        <w:pStyle w:val="Heading6"/>
      </w:pPr>
      <w:bookmarkStart w:name="_Toc171690423" w:id="34"/>
      <w:r>
        <w:t>Overall Energization Project Data Count</w:t>
      </w:r>
      <w:bookmarkEnd w:id="34"/>
    </w:p>
    <w:p w:rsidRPr="00D533D7" w:rsidR="00D533D7" w:rsidP="002954AD" w:rsidRDefault="00F34E9B" w14:paraId="28D69411" w14:textId="53CAB73A">
      <w:pPr>
        <w:pStyle w:val="BodyText"/>
      </w:pPr>
      <w:r>
        <w:fldChar w:fldCharType="begin"/>
      </w:r>
      <w:r>
        <w:instrText xml:space="preserve"> REF _Ref171611584 \h </w:instrText>
      </w:r>
      <w:r>
        <w:fldChar w:fldCharType="separate"/>
      </w:r>
      <w:r w:rsidR="00E16E7D">
        <w:t xml:space="preserve">Table </w:t>
      </w:r>
      <w:r w:rsidR="00E16E7D">
        <w:rPr>
          <w:noProof/>
        </w:rPr>
        <w:t>3</w:t>
      </w:r>
      <w:r>
        <w:fldChar w:fldCharType="end"/>
      </w:r>
      <w:r>
        <w:t xml:space="preserve"> r</w:t>
      </w:r>
      <w:r w:rsidRPr="00D533D7" w:rsidR="00D533D7">
        <w:t>eflects</w:t>
      </w:r>
      <w:r>
        <w:t xml:space="preserve"> the</w:t>
      </w:r>
      <w:r w:rsidRPr="00D533D7" w:rsidR="00D533D7">
        <w:t xml:space="preserve"> number of datapoints provided by IOUs for each Tariff Type and energization step. The purpose of this table is to show the quantity of energization projects for each IOU and Tariff Type</w:t>
      </w:r>
      <w:r>
        <w:t>,</w:t>
      </w:r>
      <w:r w:rsidRPr="00D533D7" w:rsidR="00D533D7">
        <w:t xml:space="preserve"> as well as the data quantity and gaps present in the datasets provided by IOUs.</w:t>
      </w:r>
    </w:p>
    <w:p w:rsidR="00F0010E" w:rsidP="00280580" w:rsidRDefault="00280580" w14:paraId="55D35EB9" w14:textId="0054523B">
      <w:pPr>
        <w:pStyle w:val="Caption"/>
      </w:pPr>
      <w:bookmarkStart w:name="_Ref171611584" w:id="35"/>
      <w:bookmarkStart w:name="_Toc171690431" w:id="36"/>
      <w:r>
        <w:t xml:space="preserve">Table </w:t>
      </w:r>
      <w:r>
        <w:fldChar w:fldCharType="begin"/>
      </w:r>
      <w:r>
        <w:instrText xml:space="preserve"> SEQ Table \* ARABIC </w:instrText>
      </w:r>
      <w:r>
        <w:fldChar w:fldCharType="separate"/>
      </w:r>
      <w:r w:rsidR="00E16E7D">
        <w:rPr>
          <w:noProof/>
        </w:rPr>
        <w:t>3</w:t>
      </w:r>
      <w:r>
        <w:rPr>
          <w:noProof/>
        </w:rPr>
        <w:fldChar w:fldCharType="end"/>
      </w:r>
      <w:bookmarkEnd w:id="35"/>
      <w:r>
        <w:t>. Raw Project Count by IOU, Tariff Type, and Energization Step</w:t>
      </w:r>
      <w:bookmarkEnd w:id="36"/>
    </w:p>
    <w:p w:rsidR="008120FD" w:rsidP="002954AD" w:rsidRDefault="009D66E7" w14:paraId="1BB68FCA" w14:textId="44F76052">
      <w:pPr>
        <w:pStyle w:val="BodyText"/>
        <w:spacing w:after="0"/>
      </w:pPr>
      <w:r w:rsidRPr="002B1938">
        <w:rPr>
          <w:noProof/>
        </w:rPr>
        <w:drawing>
          <wp:inline distT="0" distB="0" distL="0" distR="0" wp14:anchorId="6136FADC" wp14:editId="629FDF8D">
            <wp:extent cx="8363716" cy="2702257"/>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389653" cy="2710637"/>
                    </a:xfrm>
                    <a:prstGeom prst="rect">
                      <a:avLst/>
                    </a:prstGeom>
                  </pic:spPr>
                </pic:pic>
              </a:graphicData>
            </a:graphic>
          </wp:inline>
        </w:drawing>
      </w:r>
    </w:p>
    <w:p w:rsidR="00F74240" w:rsidP="002954AD" w:rsidRDefault="00F74240" w14:paraId="6736CE8A" w14:textId="1F4C9B73">
      <w:pPr>
        <w:pStyle w:val="TableFigureNote"/>
      </w:pPr>
    </w:p>
    <w:p w:rsidR="007C2446" w:rsidP="002B1938" w:rsidRDefault="007C2446" w14:paraId="5D05DE62" w14:textId="77777777">
      <w:pPr>
        <w:pStyle w:val="BodyText"/>
      </w:pPr>
    </w:p>
    <w:p w:rsidR="007C2446" w:rsidP="002B1938" w:rsidRDefault="007C2446" w14:paraId="176A189C" w14:textId="77777777">
      <w:pPr>
        <w:pStyle w:val="BodyText"/>
      </w:pPr>
    </w:p>
    <w:p w:rsidR="007C2446" w:rsidP="002B1938" w:rsidRDefault="007C2446" w14:paraId="7BA06C87" w14:textId="77777777">
      <w:pPr>
        <w:pStyle w:val="BodyText"/>
      </w:pPr>
    </w:p>
    <w:p w:rsidR="007C2446" w:rsidP="002B1938" w:rsidRDefault="007C2446" w14:paraId="12484EBB" w14:textId="77777777">
      <w:pPr>
        <w:pStyle w:val="BodyText"/>
      </w:pPr>
    </w:p>
    <w:p w:rsidR="009A6C64" w:rsidP="009A6C64" w:rsidRDefault="009A6C64" w14:paraId="2BD41216" w14:textId="3EC1F130">
      <w:pPr>
        <w:pStyle w:val="Heading6"/>
      </w:pPr>
      <w:bookmarkStart w:name="_Ref171597204" w:id="37"/>
      <w:bookmarkStart w:name="_Toc171690424" w:id="38"/>
      <w:r>
        <w:lastRenderedPageBreak/>
        <w:t>Impact on Data of Outlier Removal and Data Clean Up</w:t>
      </w:r>
      <w:bookmarkEnd w:id="37"/>
      <w:bookmarkEnd w:id="38"/>
    </w:p>
    <w:bookmarkStart w:name="_Ref171597243" w:id="39"/>
    <w:bookmarkStart w:name="_Ref171597263" w:id="40"/>
    <w:p w:rsidR="00F34E9B" w:rsidP="00F34E9B" w:rsidRDefault="00F34E9B" w14:paraId="48935A97" w14:textId="5196B0DC">
      <w:pPr>
        <w:pStyle w:val="BodyTextNoSpacingAfter"/>
      </w:pPr>
      <w:r>
        <w:fldChar w:fldCharType="begin"/>
      </w:r>
      <w:r>
        <w:instrText xml:space="preserve"> REF _Ref171611684 \h </w:instrText>
      </w:r>
      <w:r>
        <w:fldChar w:fldCharType="separate"/>
      </w:r>
      <w:r w:rsidR="00E16E7D">
        <w:t xml:space="preserve">Table </w:t>
      </w:r>
      <w:r w:rsidR="00E16E7D">
        <w:rPr>
          <w:noProof/>
        </w:rPr>
        <w:t>4</w:t>
      </w:r>
      <w:r>
        <w:fldChar w:fldCharType="end"/>
      </w:r>
      <w:r>
        <w:t xml:space="preserve"> </w:t>
      </w:r>
      <w:r w:rsidR="00B65B91">
        <w:t>reflects the</w:t>
      </w:r>
      <w:r w:rsidRPr="00F34E9B">
        <w:t xml:space="preserve"> percentage of projects </w:t>
      </w:r>
      <w:r w:rsidR="006F62FA">
        <w:t xml:space="preserve">from </w:t>
      </w:r>
      <w:r w:rsidR="006F62FA">
        <w:fldChar w:fldCharType="begin"/>
      </w:r>
      <w:r w:rsidR="006F62FA">
        <w:instrText xml:space="preserve"> REF _Ref171611584 \h </w:instrText>
      </w:r>
      <w:r w:rsidR="006F62FA">
        <w:fldChar w:fldCharType="separate"/>
      </w:r>
      <w:r w:rsidR="00E16E7D">
        <w:t xml:space="preserve">Table </w:t>
      </w:r>
      <w:r w:rsidR="00E16E7D">
        <w:rPr>
          <w:noProof/>
        </w:rPr>
        <w:t>3</w:t>
      </w:r>
      <w:r w:rsidR="006F62FA">
        <w:fldChar w:fldCharType="end"/>
      </w:r>
      <w:r w:rsidR="006F62FA">
        <w:t xml:space="preserve"> </w:t>
      </w:r>
      <w:r w:rsidRPr="00F34E9B">
        <w:t>deemed to be outliers and therefore removed from the dataset.</w:t>
      </w:r>
    </w:p>
    <w:p w:rsidR="00F34E9B" w:rsidP="002954AD" w:rsidRDefault="00F34E9B" w14:paraId="587415C9" w14:textId="77777777">
      <w:pPr>
        <w:pStyle w:val="BodyTextNoSpacingAfter"/>
      </w:pPr>
    </w:p>
    <w:p w:rsidR="009D66E7" w:rsidP="003204C2" w:rsidRDefault="003204C2" w14:paraId="68E01D33" w14:textId="2CE2D354">
      <w:pPr>
        <w:pStyle w:val="Caption"/>
      </w:pPr>
      <w:bookmarkStart w:name="_Ref171611684" w:id="41"/>
      <w:bookmarkStart w:name="_Toc171690432" w:id="42"/>
      <w:r>
        <w:t xml:space="preserve">Table </w:t>
      </w:r>
      <w:r>
        <w:fldChar w:fldCharType="begin"/>
      </w:r>
      <w:r>
        <w:instrText xml:space="preserve"> SEQ Table \* ARABIC </w:instrText>
      </w:r>
      <w:r>
        <w:fldChar w:fldCharType="separate"/>
      </w:r>
      <w:r w:rsidR="00E16E7D">
        <w:rPr>
          <w:noProof/>
        </w:rPr>
        <w:t>4</w:t>
      </w:r>
      <w:r>
        <w:rPr>
          <w:noProof/>
        </w:rPr>
        <w:fldChar w:fldCharType="end"/>
      </w:r>
      <w:bookmarkEnd w:id="39"/>
      <w:bookmarkEnd w:id="41"/>
      <w:r>
        <w:t>. Percentage of Outliers Removed Due to Data Cleanup</w:t>
      </w:r>
      <w:bookmarkEnd w:id="40"/>
      <w:bookmarkEnd w:id="42"/>
    </w:p>
    <w:p w:rsidRPr="00B22F56" w:rsidR="00B22F56" w:rsidP="002B1938" w:rsidRDefault="002B1938" w14:paraId="072D7D59" w14:textId="6DA8180A">
      <w:pPr>
        <w:pStyle w:val="BodyText"/>
        <w:jc w:val="center"/>
      </w:pPr>
      <w:r w:rsidRPr="00D23857">
        <w:rPr>
          <w:noProof/>
        </w:rPr>
        <w:drawing>
          <wp:inline distT="0" distB="0" distL="0" distR="0" wp14:anchorId="64AF1ECF" wp14:editId="2D3DC9AF">
            <wp:extent cx="6067294" cy="32004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79726" cy="3207022"/>
                    </a:xfrm>
                    <a:prstGeom prst="rect">
                      <a:avLst/>
                    </a:prstGeom>
                  </pic:spPr>
                </pic:pic>
              </a:graphicData>
            </a:graphic>
          </wp:inline>
        </w:drawing>
      </w:r>
    </w:p>
    <w:p w:rsidRPr="003204C2" w:rsidR="003204C2" w:rsidP="00B22F56" w:rsidRDefault="003204C2" w14:paraId="13472E74" w14:textId="77777777">
      <w:pPr>
        <w:pStyle w:val="TableFigureNote"/>
      </w:pPr>
    </w:p>
    <w:p w:rsidR="00280580" w:rsidP="004C3452" w:rsidRDefault="009A6C64" w14:paraId="62096D4D" w14:textId="4FD8A536">
      <w:pPr>
        <w:pStyle w:val="Heading5"/>
      </w:pPr>
      <w:bookmarkStart w:name="_Ref171596776" w:id="43"/>
      <w:bookmarkStart w:name="_Ref171597117" w:id="44"/>
      <w:bookmarkStart w:name="_Ref171597393" w:id="45"/>
      <w:bookmarkStart w:name="_Ref171597398" w:id="46"/>
      <w:bookmarkStart w:name="_Ref171597773" w:id="47"/>
      <w:bookmarkStart w:name="_Ref171597778" w:id="48"/>
      <w:bookmarkStart w:name="_Toc171690425" w:id="49"/>
      <w:r>
        <w:lastRenderedPageBreak/>
        <w:t xml:space="preserve">Statistics </w:t>
      </w:r>
      <w:r w:rsidR="004C3452">
        <w:t>Summary Tables of California IOU Energization Data</w:t>
      </w:r>
      <w:bookmarkEnd w:id="43"/>
      <w:bookmarkEnd w:id="44"/>
      <w:bookmarkEnd w:id="45"/>
      <w:bookmarkEnd w:id="46"/>
      <w:bookmarkEnd w:id="47"/>
      <w:bookmarkEnd w:id="48"/>
      <w:bookmarkEnd w:id="49"/>
      <w:r w:rsidR="004C3452">
        <w:t xml:space="preserve"> </w:t>
      </w:r>
    </w:p>
    <w:p w:rsidR="009A6C64" w:rsidP="00E33445" w:rsidRDefault="00B53729" w14:paraId="13F296DC" w14:textId="76BF08C0">
      <w:pPr>
        <w:pStyle w:val="Heading6"/>
      </w:pPr>
      <w:bookmarkStart w:name="_Ref171597327" w:id="50"/>
      <w:bookmarkStart w:name="_Ref171597332" w:id="51"/>
      <w:bookmarkStart w:name="_Ref171597366" w:id="52"/>
      <w:bookmarkStart w:name="_Ref171597432" w:id="53"/>
      <w:bookmarkStart w:name="_Toc171690426" w:id="54"/>
      <w:r>
        <w:t xml:space="preserve">Overall </w:t>
      </w:r>
      <w:r w:rsidR="00D1218A">
        <w:t xml:space="preserve">Energization </w:t>
      </w:r>
      <w:r>
        <w:t xml:space="preserve">Timeline Statistics Calculated by </w:t>
      </w:r>
      <w:proofErr w:type="spellStart"/>
      <w:r>
        <w:t>Guidehouse</w:t>
      </w:r>
      <w:proofErr w:type="spellEnd"/>
      <w:r>
        <w:t xml:space="preserve"> using IOU Data</w:t>
      </w:r>
      <w:bookmarkEnd w:id="50"/>
      <w:bookmarkEnd w:id="51"/>
      <w:bookmarkEnd w:id="52"/>
      <w:bookmarkEnd w:id="53"/>
      <w:bookmarkEnd w:id="54"/>
    </w:p>
    <w:p w:rsidRPr="002E2D3B" w:rsidR="00650530" w:rsidP="002954AD" w:rsidRDefault="001F6E6A" w14:paraId="1A87B9C0" w14:textId="39C10FEA">
      <w:pPr>
        <w:spacing w:line="259" w:lineRule="auto"/>
      </w:pPr>
      <w:r>
        <w:fldChar w:fldCharType="begin"/>
      </w:r>
      <w:r>
        <w:instrText xml:space="preserve"> REF _Ref171611991 \h </w:instrText>
      </w:r>
      <w:r>
        <w:fldChar w:fldCharType="separate"/>
      </w:r>
      <w:r w:rsidR="00E16E7D">
        <w:t xml:space="preserve">Table </w:t>
      </w:r>
      <w:r w:rsidR="00E16E7D">
        <w:rPr>
          <w:noProof/>
        </w:rPr>
        <w:t>5</w:t>
      </w:r>
      <w:r>
        <w:fldChar w:fldCharType="end"/>
      </w:r>
      <w:r>
        <w:t xml:space="preserve"> </w:t>
      </w:r>
      <w:r w:rsidRPr="002E2D3B" w:rsidR="00650530">
        <w:t xml:space="preserve">provides </w:t>
      </w:r>
      <w:r w:rsidR="00494C9B">
        <w:t>summary</w:t>
      </w:r>
      <w:r w:rsidRPr="002E2D3B" w:rsidR="00650530">
        <w:t xml:space="preserve"> statistics </w:t>
      </w:r>
      <w:r w:rsidR="00494C9B">
        <w:t>for</w:t>
      </w:r>
      <w:r w:rsidRPr="002E2D3B" w:rsidR="00650530">
        <w:t xml:space="preserve"> the database developed by </w:t>
      </w:r>
      <w:proofErr w:type="spellStart"/>
      <w:r w:rsidRPr="002E2D3B" w:rsidR="00650530">
        <w:t>Guidehouse</w:t>
      </w:r>
      <w:proofErr w:type="spellEnd"/>
      <w:r w:rsidRPr="002E2D3B" w:rsidR="00650530">
        <w:t xml:space="preserve"> </w:t>
      </w:r>
      <w:r w:rsidR="00043625">
        <w:t>containing</w:t>
      </w:r>
      <w:r w:rsidRPr="002E2D3B" w:rsidR="00650530">
        <w:t xml:space="preserve"> energization project</w:t>
      </w:r>
      <w:r w:rsidR="00043625">
        <w:t xml:space="preserve"> data</w:t>
      </w:r>
      <w:r w:rsidRPr="002E2D3B" w:rsidR="00650530">
        <w:t xml:space="preserve"> provided by </w:t>
      </w:r>
      <w:r w:rsidR="00043625">
        <w:t xml:space="preserve">the </w:t>
      </w:r>
      <w:r w:rsidRPr="002E2D3B" w:rsidR="00650530">
        <w:t>IOUs</w:t>
      </w:r>
      <w:r w:rsidR="0042027A">
        <w:t xml:space="preserve"> in response to R.24-01-018</w:t>
      </w:r>
      <w:r w:rsidRPr="002E2D3B" w:rsidR="00650530">
        <w:t>.</w:t>
      </w:r>
      <w:r w:rsidR="006C0BDF">
        <w:t xml:space="preserve"> The table includes the average, median, standard deviation, maximum, and the associated project population for each energization step for each IOU and statewide. The data utilized to develop this table includes all tariff types relevant to each IOU for which IOUs provided data. </w:t>
      </w:r>
    </w:p>
    <w:p w:rsidRPr="002E2D3B" w:rsidR="00043625" w:rsidP="002954AD" w:rsidRDefault="00043625" w14:paraId="44352BCB" w14:textId="77777777"/>
    <w:p w:rsidRPr="002E2D3B" w:rsidR="00C50903" w:rsidP="002954AD" w:rsidRDefault="00B53729" w14:paraId="775435B4" w14:textId="758FCC7C">
      <w:pPr>
        <w:pStyle w:val="Caption"/>
      </w:pPr>
      <w:bookmarkStart w:name="_Ref171611991" w:id="55"/>
      <w:bookmarkStart w:name="_Toc171690433" w:id="56"/>
      <w:r>
        <w:t xml:space="preserve">Table </w:t>
      </w:r>
      <w:r>
        <w:fldChar w:fldCharType="begin"/>
      </w:r>
      <w:r>
        <w:instrText xml:space="preserve"> SEQ Table \* ARABIC </w:instrText>
      </w:r>
      <w:r>
        <w:fldChar w:fldCharType="separate"/>
      </w:r>
      <w:r w:rsidR="00E16E7D">
        <w:rPr>
          <w:noProof/>
        </w:rPr>
        <w:t>5</w:t>
      </w:r>
      <w:r>
        <w:rPr>
          <w:noProof/>
        </w:rPr>
        <w:fldChar w:fldCharType="end"/>
      </w:r>
      <w:bookmarkEnd w:id="55"/>
      <w:r>
        <w:t xml:space="preserve">. </w:t>
      </w:r>
      <w:proofErr w:type="spellStart"/>
      <w:r>
        <w:t>Guidehouse</w:t>
      </w:r>
      <w:proofErr w:type="spellEnd"/>
      <w:r>
        <w:t xml:space="preserve"> Timeline Summary Statistics</w:t>
      </w:r>
      <w:bookmarkEnd w:id="56"/>
    </w:p>
    <w:p w:rsidR="00E43B8A" w:rsidP="002954AD" w:rsidRDefault="008C36AD" w14:paraId="7B6EE918" w14:textId="59EBE3D9">
      <w:pPr>
        <w:pStyle w:val="TableFigureNote"/>
        <w:spacing w:after="0"/>
      </w:pPr>
      <w:r w:rsidRPr="008C36AD">
        <w:rPr>
          <w:noProof/>
        </w:rPr>
        <w:drawing>
          <wp:inline distT="0" distB="0" distL="0" distR="0" wp14:anchorId="4990DF43" wp14:editId="444B3488">
            <wp:extent cx="8973261" cy="132383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07111" cy="1328827"/>
                    </a:xfrm>
                    <a:prstGeom prst="rect">
                      <a:avLst/>
                    </a:prstGeom>
                  </pic:spPr>
                </pic:pic>
              </a:graphicData>
            </a:graphic>
          </wp:inline>
        </w:drawing>
      </w:r>
    </w:p>
    <w:p w:rsidRPr="002954AD" w:rsidR="002929BF" w:rsidP="002954AD" w:rsidRDefault="002929BF" w14:paraId="78125CE1" w14:textId="4576B669">
      <w:pPr>
        <w:pStyle w:val="TableFigureSource"/>
        <w:spacing w:before="0"/>
        <w:rPr>
          <w:sz w:val="16"/>
          <w:szCs w:val="18"/>
        </w:rPr>
      </w:pPr>
      <w:r w:rsidRPr="002954AD">
        <w:rPr>
          <w:sz w:val="16"/>
          <w:szCs w:val="18"/>
        </w:rPr>
        <w:t>Note: Calculated in business days.</w:t>
      </w:r>
    </w:p>
    <w:p w:rsidR="008824AC" w:rsidP="008824AC" w:rsidRDefault="00D1218A" w14:paraId="382F2F1E" w14:textId="29F8794A">
      <w:pPr>
        <w:pStyle w:val="Heading6"/>
      </w:pPr>
      <w:bookmarkStart w:name="_Ref171597441" w:id="57"/>
      <w:bookmarkStart w:name="_Toc171690427" w:id="58"/>
      <w:r>
        <w:t xml:space="preserve">Comparison of </w:t>
      </w:r>
      <w:proofErr w:type="spellStart"/>
      <w:r>
        <w:t>Guidehouse</w:t>
      </w:r>
      <w:proofErr w:type="spellEnd"/>
      <w:r>
        <w:t xml:space="preserve"> and IOU Energization Timeline Statistics – Energization Timelines by Step</w:t>
      </w:r>
      <w:bookmarkEnd w:id="57"/>
      <w:bookmarkEnd w:id="58"/>
    </w:p>
    <w:p w:rsidR="005F089F" w:rsidP="005F089F" w:rsidRDefault="005F089F" w14:paraId="7F170756" w14:textId="406A7B60">
      <w:pPr>
        <w:spacing w:after="160" w:line="259" w:lineRule="auto"/>
      </w:pPr>
      <w:r>
        <w:t xml:space="preserve">The data summary statistics provided by IOUs (as seen in </w:t>
      </w:r>
      <w:r>
        <w:fldChar w:fldCharType="begin"/>
      </w:r>
      <w:r>
        <w:instrText xml:space="preserve"> REF _Ref171597492 \h </w:instrText>
      </w:r>
      <w:r>
        <w:fldChar w:fldCharType="separate"/>
      </w:r>
      <w:r w:rsidR="00E16E7D">
        <w:t xml:space="preserve">Table </w:t>
      </w:r>
      <w:r w:rsidR="00E16E7D">
        <w:rPr>
          <w:noProof/>
        </w:rPr>
        <w:t>7</w:t>
      </w:r>
      <w:r>
        <w:fldChar w:fldCharType="end"/>
      </w:r>
      <w:r>
        <w:t xml:space="preserve">) did not include all tariff types as those developed by </w:t>
      </w:r>
      <w:proofErr w:type="spellStart"/>
      <w:r w:rsidRPr="00600B70">
        <w:t>Guidehouse</w:t>
      </w:r>
      <w:proofErr w:type="spellEnd"/>
      <w:r w:rsidRPr="00600B70">
        <w:t xml:space="preserve"> in section </w:t>
      </w:r>
      <w:r w:rsidRPr="00600B70">
        <w:fldChar w:fldCharType="begin"/>
      </w:r>
      <w:r w:rsidRPr="00600B70">
        <w:instrText xml:space="preserve"> REF _Ref171597366 \n \h  \* MERGEFORMAT </w:instrText>
      </w:r>
      <w:r w:rsidRPr="00600B70">
        <w:fldChar w:fldCharType="separate"/>
      </w:r>
      <w:r w:rsidR="00E16E7D">
        <w:t>B.1</w:t>
      </w:r>
      <w:r w:rsidRPr="00600B70">
        <w:fldChar w:fldCharType="end"/>
      </w:r>
      <w:r>
        <w:t xml:space="preserve">. Therefore, to make an appropriate comparison </w:t>
      </w:r>
      <w:proofErr w:type="spellStart"/>
      <w:r>
        <w:t>Guidehouse</w:t>
      </w:r>
      <w:proofErr w:type="spellEnd"/>
      <w:r>
        <w:t xml:space="preserve"> only included the same tariff types to those provided by the IOUs (as seen in</w:t>
      </w:r>
      <w:r w:rsidR="00B35997">
        <w:t xml:space="preserve"> </w:t>
      </w:r>
      <w:r w:rsidR="00B35997">
        <w:fldChar w:fldCharType="begin"/>
      </w:r>
      <w:r w:rsidR="00B35997">
        <w:instrText xml:space="preserve"> REF _Ref171612728 \h </w:instrText>
      </w:r>
      <w:r w:rsidR="00B35997">
        <w:fldChar w:fldCharType="separate"/>
      </w:r>
      <w:r w:rsidR="00E16E7D">
        <w:t xml:space="preserve">Table </w:t>
      </w:r>
      <w:r w:rsidR="00E16E7D">
        <w:rPr>
          <w:noProof/>
        </w:rPr>
        <w:t>6</w:t>
      </w:r>
      <w:r w:rsidR="00B35997">
        <w:fldChar w:fldCharType="end"/>
      </w:r>
      <w:r>
        <w:t xml:space="preserve">) as follows: </w:t>
      </w:r>
    </w:p>
    <w:p w:rsidR="005F089F" w:rsidP="005F089F" w:rsidRDefault="005F089F" w14:paraId="31815A37" w14:textId="77777777">
      <w:pPr>
        <w:pStyle w:val="ListParagraph"/>
        <w:numPr>
          <w:ilvl w:val="0"/>
          <w:numId w:val="39"/>
        </w:numPr>
        <w:spacing w:before="0" w:after="60" w:line="259" w:lineRule="auto"/>
        <w:ind w:left="900"/>
      </w:pPr>
      <w:r>
        <w:t>PG&amp;E did not filter out any electric rule in their statistics calculations.</w:t>
      </w:r>
      <w:r>
        <w:rPr>
          <w:rStyle w:val="FootnoteReference"/>
        </w:rPr>
        <w:footnoteReference w:id="10"/>
      </w:r>
      <w:r>
        <w:t xml:space="preserve"> No changes to the </w:t>
      </w:r>
      <w:proofErr w:type="spellStart"/>
      <w:r>
        <w:t>Guidehouse</w:t>
      </w:r>
      <w:proofErr w:type="spellEnd"/>
      <w:r>
        <w:t xml:space="preserve"> statistics were required.</w:t>
      </w:r>
    </w:p>
    <w:p w:rsidR="005F089F" w:rsidP="005F089F" w:rsidRDefault="005F089F" w14:paraId="4A6EC014" w14:textId="77777777">
      <w:pPr>
        <w:pStyle w:val="ListParagraph"/>
        <w:numPr>
          <w:ilvl w:val="0"/>
          <w:numId w:val="39"/>
        </w:numPr>
        <w:spacing w:before="0" w:after="60" w:line="259" w:lineRule="auto"/>
        <w:ind w:left="900"/>
      </w:pPr>
      <w:r>
        <w:lastRenderedPageBreak/>
        <w:t>SCE only included statistics for Rule 15, Rule 16, and Rule 15 &amp; 16.</w:t>
      </w:r>
      <w:r>
        <w:rPr>
          <w:rStyle w:val="FootnoteReference"/>
        </w:rPr>
        <w:footnoteReference w:id="11"/>
      </w:r>
      <w:r>
        <w:t xml:space="preserve"> </w:t>
      </w:r>
      <w:proofErr w:type="spellStart"/>
      <w:r>
        <w:t>Guidehouse</w:t>
      </w:r>
      <w:proofErr w:type="spellEnd"/>
      <w:r>
        <w:t xml:space="preserve"> excluded Rule 29 data from the calculations. </w:t>
      </w:r>
    </w:p>
    <w:p w:rsidR="005F089F" w:rsidP="005F089F" w:rsidRDefault="005F089F" w14:paraId="15CB9FC7" w14:textId="77777777">
      <w:pPr>
        <w:pStyle w:val="ListParagraph"/>
        <w:numPr>
          <w:ilvl w:val="0"/>
          <w:numId w:val="39"/>
        </w:numPr>
        <w:spacing w:before="0" w:after="60" w:line="259" w:lineRule="auto"/>
        <w:ind w:left="900"/>
      </w:pPr>
      <w:r>
        <w:t xml:space="preserve">SDG&amp;E only included Rule 15 statistics. </w:t>
      </w:r>
      <w:proofErr w:type="spellStart"/>
      <w:r>
        <w:t>Guidehouse</w:t>
      </w:r>
      <w:proofErr w:type="spellEnd"/>
      <w:r>
        <w:t xml:space="preserve"> excluded Rule 16 and Rule 15/16 data from the calculations. </w:t>
      </w:r>
    </w:p>
    <w:p w:rsidR="005F089F" w:rsidP="005F089F" w:rsidRDefault="005F089F" w14:paraId="3FBD46F9" w14:textId="77777777">
      <w:pPr>
        <w:spacing w:after="60" w:line="259" w:lineRule="auto"/>
      </w:pPr>
      <w:r>
        <w:t>Beyond the level of granularity, the following are additional notes to consider when reviewing these tables and comparing the statistics:</w:t>
      </w:r>
    </w:p>
    <w:p w:rsidR="005F089F" w:rsidP="005F089F" w:rsidRDefault="005F089F" w14:paraId="35C27D6D" w14:textId="5B4A7586">
      <w:pPr>
        <w:pStyle w:val="ListParagraph"/>
        <w:numPr>
          <w:ilvl w:val="0"/>
          <w:numId w:val="39"/>
        </w:numPr>
        <w:spacing w:before="0" w:after="60" w:line="259" w:lineRule="auto"/>
        <w:ind w:left="900"/>
      </w:pPr>
      <w:r>
        <w:t>SDG&amp;E data granularity that does not include step 3 (Dependencies) data and thus is highlighted in the summary tables.</w:t>
      </w:r>
    </w:p>
    <w:p w:rsidR="005F089F" w:rsidP="002954AD" w:rsidRDefault="005F089F" w14:paraId="30933F12" w14:textId="77777777">
      <w:pPr>
        <w:pStyle w:val="ListParagraph"/>
        <w:numPr>
          <w:ilvl w:val="0"/>
          <w:numId w:val="39"/>
        </w:numPr>
        <w:spacing w:before="0" w:after="60" w:line="259" w:lineRule="auto"/>
        <w:ind w:left="900"/>
      </w:pPr>
      <w:r>
        <w:t xml:space="preserve">SCE data granularity does not differentiate between steps 3 (Dependencies) and 4 (Site Readiness). </w:t>
      </w:r>
      <w:proofErr w:type="spellStart"/>
      <w:r>
        <w:t>Guidehouse</w:t>
      </w:r>
      <w:proofErr w:type="spellEnd"/>
      <w:r>
        <w:t xml:space="preserve"> developed data points for each step based on assumptions mentioned above. Therefore, when comparing </w:t>
      </w:r>
      <w:proofErr w:type="spellStart"/>
      <w:r>
        <w:t>Guidehouse</w:t>
      </w:r>
      <w:proofErr w:type="spellEnd"/>
      <w:r>
        <w:t xml:space="preserve"> statistics and SCE-provided statistics the differences for steps 3 and 4 are only approximations based on the assumptions made by </w:t>
      </w:r>
      <w:proofErr w:type="spellStart"/>
      <w:r>
        <w:t>Guidehouse</w:t>
      </w:r>
      <w:proofErr w:type="spellEnd"/>
      <w:r>
        <w:t>.</w:t>
      </w:r>
    </w:p>
    <w:p w:rsidR="005F089F" w:rsidP="000A28E1" w:rsidRDefault="005F089F" w14:paraId="008AB2A6" w14:textId="77777777"/>
    <w:p w:rsidR="005F089F" w:rsidP="005F089F" w:rsidRDefault="000A28E1" w14:paraId="515E76C6" w14:textId="65389E8A">
      <w:pPr>
        <w:rPr>
          <w:noProof/>
        </w:rPr>
      </w:pPr>
      <w:r>
        <w:rPr>
          <w:noProof/>
        </w:rPr>
        <w:fldChar w:fldCharType="begin"/>
      </w:r>
      <w:r>
        <w:rPr>
          <w:noProof/>
        </w:rPr>
        <w:instrText xml:space="preserve"> REF _Ref171612728 \h </w:instrText>
      </w:r>
      <w:r>
        <w:rPr>
          <w:noProof/>
        </w:rPr>
      </w:r>
      <w:r>
        <w:rPr>
          <w:noProof/>
        </w:rPr>
        <w:fldChar w:fldCharType="separate"/>
      </w:r>
      <w:r w:rsidR="00E16E7D">
        <w:t xml:space="preserve">Table </w:t>
      </w:r>
      <w:r w:rsidR="00E16E7D">
        <w:rPr>
          <w:noProof/>
        </w:rPr>
        <w:t>6</w:t>
      </w:r>
      <w:r>
        <w:rPr>
          <w:noProof/>
        </w:rPr>
        <w:fldChar w:fldCharType="end"/>
      </w:r>
      <w:r>
        <w:rPr>
          <w:noProof/>
        </w:rPr>
        <w:t xml:space="preserve"> refects </w:t>
      </w:r>
      <w:r w:rsidRPr="009E04BD">
        <w:t xml:space="preserve">business days </w:t>
      </w:r>
      <w:r w:rsidR="00F366ED">
        <w:rPr>
          <w:noProof/>
        </w:rPr>
        <w:t xml:space="preserve">calculated </w:t>
      </w:r>
      <w:r w:rsidR="000C145A">
        <w:rPr>
          <w:noProof/>
        </w:rPr>
        <w:t xml:space="preserve">by Guidehouse </w:t>
      </w:r>
      <w:r w:rsidRPr="009E04BD">
        <w:t>for the IOU reported data summaries of the cleaned dataset.</w:t>
      </w:r>
      <w:r w:rsidR="006C0BDF">
        <w:t xml:space="preserve"> </w:t>
      </w:r>
    </w:p>
    <w:p w:rsidR="000A28E1" w:rsidP="000A28E1" w:rsidRDefault="000A28E1" w14:paraId="4535E7FE" w14:textId="77777777"/>
    <w:p w:rsidR="00D1218A" w:rsidP="00D1218A" w:rsidRDefault="00D1218A" w14:paraId="714FB5F5" w14:textId="4FD6CF68">
      <w:pPr>
        <w:pStyle w:val="Caption"/>
      </w:pPr>
      <w:bookmarkStart w:name="_Ref171612728" w:id="59"/>
      <w:bookmarkStart w:name="_Toc171690434" w:id="60"/>
      <w:r>
        <w:t xml:space="preserve">Table </w:t>
      </w:r>
      <w:r>
        <w:fldChar w:fldCharType="begin"/>
      </w:r>
      <w:r>
        <w:instrText xml:space="preserve"> SEQ Table \* ARABIC </w:instrText>
      </w:r>
      <w:r>
        <w:fldChar w:fldCharType="separate"/>
      </w:r>
      <w:r w:rsidR="00E16E7D">
        <w:rPr>
          <w:noProof/>
        </w:rPr>
        <w:t>6</w:t>
      </w:r>
      <w:r>
        <w:rPr>
          <w:noProof/>
        </w:rPr>
        <w:fldChar w:fldCharType="end"/>
      </w:r>
      <w:bookmarkEnd w:id="59"/>
      <w:r>
        <w:t xml:space="preserve">. </w:t>
      </w:r>
      <w:proofErr w:type="spellStart"/>
      <w:r>
        <w:t>Guidehouse</w:t>
      </w:r>
      <w:proofErr w:type="spellEnd"/>
      <w:r>
        <w:t xml:space="preserve"> Timeline Statistics Calculated with IOU Data</w:t>
      </w:r>
      <w:r w:rsidR="007C2DD2">
        <w:t xml:space="preserve"> – By Step</w:t>
      </w:r>
      <w:bookmarkEnd w:id="60"/>
    </w:p>
    <w:p w:rsidRPr="009E04BD" w:rsidR="009E04BD" w:rsidP="002954AD" w:rsidRDefault="00FA303C" w14:paraId="00643632" w14:textId="130B109A">
      <w:pPr>
        <w:pStyle w:val="TableFigureSource"/>
        <w:spacing w:before="0"/>
      </w:pPr>
      <w:r w:rsidRPr="00FA303C">
        <w:rPr>
          <w:noProof/>
        </w:rPr>
        <w:drawing>
          <wp:inline distT="0" distB="0" distL="0" distR="0" wp14:anchorId="2142DCA6" wp14:editId="7CBE43EF">
            <wp:extent cx="8740202" cy="1958453"/>
            <wp:effectExtent l="0" t="0" r="381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757407" cy="1962308"/>
                    </a:xfrm>
                    <a:prstGeom prst="rect">
                      <a:avLst/>
                    </a:prstGeom>
                  </pic:spPr>
                </pic:pic>
              </a:graphicData>
            </a:graphic>
          </wp:inline>
        </w:drawing>
      </w:r>
      <w:r w:rsidRPr="00964EFD" w:rsidR="00964EFD">
        <w:rPr>
          <w:sz w:val="16"/>
          <w:szCs w:val="18"/>
        </w:rPr>
        <w:t xml:space="preserve"> </w:t>
      </w:r>
      <w:r w:rsidRPr="008E60F1" w:rsidR="009E04BD">
        <w:rPr>
          <w:sz w:val="16"/>
          <w:szCs w:val="18"/>
        </w:rPr>
        <w:t>Note: Calculated in business days</w:t>
      </w:r>
      <w:r w:rsidRPr="008E60F1" w:rsidR="00964EFD">
        <w:rPr>
          <w:sz w:val="16"/>
          <w:szCs w:val="18"/>
        </w:rPr>
        <w:t>.</w:t>
      </w:r>
    </w:p>
    <w:p w:rsidR="00EB6C7C" w:rsidP="00AC2FCA" w:rsidRDefault="00EB6C7C" w14:paraId="06010E22" w14:textId="77777777">
      <w:pPr>
        <w:spacing w:after="160" w:line="259" w:lineRule="auto"/>
        <w:rPr>
          <w:i/>
        </w:rPr>
      </w:pPr>
    </w:p>
    <w:p w:rsidR="00EB6C7C" w:rsidP="00AC2FCA" w:rsidRDefault="00EB6C7C" w14:paraId="24824316" w14:textId="77777777">
      <w:pPr>
        <w:spacing w:after="160" w:line="259" w:lineRule="auto"/>
        <w:rPr>
          <w:i/>
        </w:rPr>
      </w:pPr>
    </w:p>
    <w:p w:rsidR="006C0BDF" w:rsidP="00AC2FCA" w:rsidRDefault="00413257" w14:paraId="216037B2" w14:textId="14B5D187">
      <w:pPr>
        <w:spacing w:after="160" w:line="259" w:lineRule="auto"/>
      </w:pPr>
      <w:r>
        <w:rPr>
          <w:i/>
        </w:rPr>
        <w:lastRenderedPageBreak/>
        <w:fldChar w:fldCharType="begin"/>
      </w:r>
      <w:r>
        <w:instrText xml:space="preserve"> REF _Ref171597492 \h  \* MERGEFORMAT </w:instrText>
      </w:r>
      <w:r>
        <w:rPr>
          <w:i/>
        </w:rPr>
      </w:r>
      <w:r>
        <w:rPr>
          <w:i/>
        </w:rPr>
        <w:fldChar w:fldCharType="separate"/>
      </w:r>
      <w:r w:rsidR="00E16E7D">
        <w:t>Table 7</w:t>
      </w:r>
      <w:r>
        <w:rPr>
          <w:i/>
        </w:rPr>
        <w:fldChar w:fldCharType="end"/>
      </w:r>
      <w:r>
        <w:rPr>
          <w:i/>
          <w:noProof/>
        </w:rPr>
        <w:t xml:space="preserve"> </w:t>
      </w:r>
      <w:r w:rsidRPr="007E07BC">
        <w:rPr>
          <w:noProof/>
        </w:rPr>
        <w:t>ref</w:t>
      </w:r>
      <w:r w:rsidRPr="002954AD" w:rsidR="00C324A5">
        <w:rPr>
          <w:noProof/>
        </w:rPr>
        <w:t>l</w:t>
      </w:r>
      <w:r w:rsidRPr="007E07BC">
        <w:rPr>
          <w:noProof/>
        </w:rPr>
        <w:t>ects</w:t>
      </w:r>
      <w:r w:rsidRPr="006C0BDF">
        <w:rPr>
          <w:noProof/>
        </w:rPr>
        <w:t xml:space="preserve"> business days </w:t>
      </w:r>
      <w:r w:rsidRPr="002954AD">
        <w:rPr>
          <w:iCs/>
          <w:noProof/>
        </w:rPr>
        <w:t>provided</w:t>
      </w:r>
      <w:r w:rsidRPr="006C0BDF">
        <w:rPr>
          <w:noProof/>
        </w:rPr>
        <w:t xml:space="preserve"> </w:t>
      </w:r>
      <w:r w:rsidRPr="007E07BC">
        <w:rPr>
          <w:noProof/>
        </w:rPr>
        <w:t>by the IOU</w:t>
      </w:r>
      <w:r w:rsidRPr="002954AD">
        <w:rPr>
          <w:noProof/>
        </w:rPr>
        <w:t>s in response to R.24-01-018</w:t>
      </w:r>
      <w:r w:rsidRPr="007E07BC">
        <w:rPr>
          <w:noProof/>
        </w:rPr>
        <w:t>.</w:t>
      </w:r>
      <w:r w:rsidR="006C0BDF">
        <w:rPr>
          <w:i/>
          <w:noProof/>
        </w:rPr>
        <w:t xml:space="preserve"> </w:t>
      </w:r>
    </w:p>
    <w:p w:rsidR="00E3014E" w:rsidP="00E3014E" w:rsidRDefault="00E3014E" w14:paraId="400CACCD" w14:textId="6F0BB95D">
      <w:pPr>
        <w:pStyle w:val="Caption"/>
      </w:pPr>
      <w:bookmarkStart w:name="_Ref171597492" w:id="61"/>
      <w:bookmarkStart w:name="_Toc171690435" w:id="62"/>
      <w:r>
        <w:t xml:space="preserve">Table </w:t>
      </w:r>
      <w:r>
        <w:fldChar w:fldCharType="begin"/>
      </w:r>
      <w:r>
        <w:instrText xml:space="preserve"> SEQ Table \* ARABIC </w:instrText>
      </w:r>
      <w:r>
        <w:fldChar w:fldCharType="separate"/>
      </w:r>
      <w:r w:rsidR="00E16E7D">
        <w:rPr>
          <w:noProof/>
        </w:rPr>
        <w:t>7</w:t>
      </w:r>
      <w:r>
        <w:rPr>
          <w:noProof/>
        </w:rPr>
        <w:fldChar w:fldCharType="end"/>
      </w:r>
      <w:bookmarkEnd w:id="61"/>
      <w:r>
        <w:t>. IOU Timeline Statistics Provided in Proceeding Response</w:t>
      </w:r>
      <w:r w:rsidR="007C2DD2">
        <w:t xml:space="preserve"> – By Step</w:t>
      </w:r>
      <w:bookmarkEnd w:id="62"/>
    </w:p>
    <w:p w:rsidR="00E3014E" w:rsidP="00E3014E" w:rsidRDefault="0029704E" w14:paraId="02D792F8" w14:textId="4878BFB6">
      <w:pPr>
        <w:pStyle w:val="TableFigureNote"/>
      </w:pPr>
      <w:r w:rsidRPr="0029704E">
        <w:rPr>
          <w:noProof/>
        </w:rPr>
        <w:drawing>
          <wp:inline distT="0" distB="0" distL="0" distR="0" wp14:anchorId="5B5F7338" wp14:editId="53A50051">
            <wp:extent cx="7185546" cy="2016500"/>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219358" cy="2025989"/>
                    </a:xfrm>
                    <a:prstGeom prst="rect">
                      <a:avLst/>
                    </a:prstGeom>
                  </pic:spPr>
                </pic:pic>
              </a:graphicData>
            </a:graphic>
          </wp:inline>
        </w:drawing>
      </w:r>
    </w:p>
    <w:p w:rsidR="007A2780" w:rsidP="007A2780" w:rsidRDefault="00CC17BF" w14:paraId="2F126AEA" w14:textId="784ED9E1">
      <w:pPr>
        <w:pStyle w:val="TableFigureSource"/>
      </w:pPr>
      <w:r w:rsidRPr="00C047D1">
        <w:t>Note: Provided in business days</w:t>
      </w:r>
    </w:p>
    <w:p w:rsidR="000F6A04" w:rsidP="00EB6C7C" w:rsidRDefault="007A2780" w14:paraId="58FBC0C6" w14:textId="39B7FB56">
      <w:pPr>
        <w:pStyle w:val="BodyText"/>
      </w:pPr>
      <w:r>
        <w:fldChar w:fldCharType="begin"/>
      </w:r>
      <w:r>
        <w:instrText xml:space="preserve"> REF _Ref171612201 \h </w:instrText>
      </w:r>
      <w:r>
        <w:fldChar w:fldCharType="separate"/>
      </w:r>
      <w:r w:rsidR="00E16E7D">
        <w:t xml:space="preserve">Table </w:t>
      </w:r>
      <w:r w:rsidR="00E16E7D">
        <w:rPr>
          <w:noProof/>
        </w:rPr>
        <w:t>8</w:t>
      </w:r>
      <w:r>
        <w:fldChar w:fldCharType="end"/>
      </w:r>
      <w:r>
        <w:t xml:space="preserve"> provides </w:t>
      </w:r>
      <w:r w:rsidR="007B713D">
        <w:t xml:space="preserve">the </w:t>
      </w:r>
      <w:r>
        <w:t xml:space="preserve">differences between </w:t>
      </w:r>
      <w:proofErr w:type="spellStart"/>
      <w:r w:rsidRPr="007A2780">
        <w:t>Guidehouse</w:t>
      </w:r>
      <w:proofErr w:type="spellEnd"/>
      <w:r w:rsidRPr="007A2780">
        <w:t xml:space="preserve"> days </w:t>
      </w:r>
      <w:r w:rsidR="00563371">
        <w:t>(</w:t>
      </w:r>
      <w:r w:rsidR="00563371">
        <w:fldChar w:fldCharType="begin"/>
      </w:r>
      <w:r w:rsidR="00563371">
        <w:instrText xml:space="preserve"> REF _Ref171612728 \h </w:instrText>
      </w:r>
      <w:r w:rsidR="00563371">
        <w:fldChar w:fldCharType="separate"/>
      </w:r>
      <w:r w:rsidR="00E16E7D">
        <w:t xml:space="preserve">Table </w:t>
      </w:r>
      <w:r w:rsidR="00E16E7D">
        <w:rPr>
          <w:noProof/>
        </w:rPr>
        <w:t>6</w:t>
      </w:r>
      <w:r w:rsidR="00563371">
        <w:fldChar w:fldCharType="end"/>
      </w:r>
      <w:r>
        <w:t xml:space="preserve">) </w:t>
      </w:r>
      <w:r w:rsidRPr="007A2780">
        <w:t>minus IOU days</w:t>
      </w:r>
      <w:r>
        <w:t xml:space="preserve"> (</w:t>
      </w:r>
      <w:r>
        <w:fldChar w:fldCharType="begin"/>
      </w:r>
      <w:r>
        <w:instrText xml:space="preserve"> REF _Ref171597492 \h </w:instrText>
      </w:r>
      <w:r>
        <w:fldChar w:fldCharType="separate"/>
      </w:r>
      <w:r w:rsidR="00E16E7D">
        <w:t xml:space="preserve">Table </w:t>
      </w:r>
      <w:r w:rsidR="00E16E7D">
        <w:rPr>
          <w:noProof/>
        </w:rPr>
        <w:t>7</w:t>
      </w:r>
      <w:r>
        <w:fldChar w:fldCharType="end"/>
      </w:r>
      <w:r>
        <w:t>).</w:t>
      </w:r>
    </w:p>
    <w:p w:rsidR="00383F90" w:rsidP="002954AD" w:rsidRDefault="00383F90" w14:paraId="3A8850FA" w14:textId="7562A8C5">
      <w:pPr>
        <w:pStyle w:val="Caption"/>
        <w:keepLines/>
      </w:pPr>
      <w:bookmarkStart w:name="_Ref171612201" w:id="63"/>
      <w:bookmarkStart w:name="_Toc171690436" w:id="64"/>
      <w:r>
        <w:t xml:space="preserve">Table </w:t>
      </w:r>
      <w:r>
        <w:fldChar w:fldCharType="begin"/>
      </w:r>
      <w:r>
        <w:instrText xml:space="preserve"> SEQ Table \* ARABIC </w:instrText>
      </w:r>
      <w:r>
        <w:fldChar w:fldCharType="separate"/>
      </w:r>
      <w:r w:rsidR="00E16E7D">
        <w:rPr>
          <w:noProof/>
        </w:rPr>
        <w:t>8</w:t>
      </w:r>
      <w:r>
        <w:rPr>
          <w:noProof/>
        </w:rPr>
        <w:fldChar w:fldCharType="end"/>
      </w:r>
      <w:bookmarkEnd w:id="63"/>
      <w:r>
        <w:t xml:space="preserve">. Differences Between </w:t>
      </w:r>
      <w:proofErr w:type="spellStart"/>
      <w:r>
        <w:t>Guidehouse</w:t>
      </w:r>
      <w:proofErr w:type="spellEnd"/>
      <w:r>
        <w:t>-Calculated and IOU-Provided Timeline Statistics</w:t>
      </w:r>
      <w:r w:rsidR="007C2DD2">
        <w:t xml:space="preserve"> – by Step</w:t>
      </w:r>
      <w:r w:rsidR="007B713D">
        <w:t>*</w:t>
      </w:r>
      <w:bookmarkEnd w:id="64"/>
    </w:p>
    <w:p w:rsidR="00E3014E" w:rsidP="002A773C" w:rsidRDefault="008E3F08" w14:paraId="777B7354" w14:textId="61D28BBD">
      <w:pPr>
        <w:pStyle w:val="TableFigureNote"/>
      </w:pPr>
      <w:r w:rsidRPr="008E3F08">
        <w:rPr>
          <w:noProof/>
        </w:rPr>
        <w:drawing>
          <wp:inline distT="0" distB="0" distL="0" distR="0" wp14:anchorId="6547B204" wp14:editId="643BE596">
            <wp:extent cx="7096836" cy="2511821"/>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130376" cy="2523692"/>
                    </a:xfrm>
                    <a:prstGeom prst="rect">
                      <a:avLst/>
                    </a:prstGeom>
                  </pic:spPr>
                </pic:pic>
              </a:graphicData>
            </a:graphic>
          </wp:inline>
        </w:drawing>
      </w:r>
    </w:p>
    <w:p w:rsidR="00106C35" w:rsidP="00106C35" w:rsidRDefault="00106C35" w14:paraId="7AFB8556" w14:textId="0F5F9E25">
      <w:pPr>
        <w:pStyle w:val="Heading6"/>
      </w:pPr>
      <w:bookmarkStart w:name="_Ref171597750" w:id="65"/>
      <w:bookmarkStart w:name="_Ref171597754" w:id="66"/>
      <w:bookmarkStart w:name="_Toc171690428" w:id="67"/>
      <w:r>
        <w:lastRenderedPageBreak/>
        <w:t xml:space="preserve">Comparison of </w:t>
      </w:r>
      <w:proofErr w:type="spellStart"/>
      <w:r>
        <w:t>Guidehouse</w:t>
      </w:r>
      <w:proofErr w:type="spellEnd"/>
      <w:r>
        <w:t xml:space="preserve"> and IOU Energization Timeline Statistics – Energization Timelines by Tariff</w:t>
      </w:r>
      <w:bookmarkEnd w:id="65"/>
      <w:bookmarkEnd w:id="66"/>
      <w:bookmarkEnd w:id="67"/>
    </w:p>
    <w:p w:rsidR="007E07BC" w:rsidP="007E07BC" w:rsidRDefault="007E07BC" w14:paraId="3FB6CF37" w14:textId="13FF67C2">
      <w:pPr>
        <w:spacing w:after="160" w:line="259" w:lineRule="auto"/>
      </w:pPr>
      <w:proofErr w:type="spellStart"/>
      <w:r>
        <w:t>Guidehouse</w:t>
      </w:r>
      <w:proofErr w:type="spellEnd"/>
      <w:r>
        <w:t xml:space="preserve"> calculations and comparisons in this section reflect that:</w:t>
      </w:r>
    </w:p>
    <w:p w:rsidR="007E07BC" w:rsidP="007E07BC" w:rsidRDefault="007E07BC" w14:paraId="633855D5" w14:textId="77777777">
      <w:pPr>
        <w:pStyle w:val="ListParagraph"/>
        <w:numPr>
          <w:ilvl w:val="0"/>
          <w:numId w:val="39"/>
        </w:numPr>
        <w:spacing w:before="0" w:after="60" w:line="259" w:lineRule="auto"/>
        <w:ind w:left="907"/>
      </w:pPr>
      <w:r>
        <w:t xml:space="preserve">SCE Rule 29 dataset had less than 30 projects with significant data gaps rendering the project population insufficient for a material statistical analysis. The results for SCE Rule 29 are included only for reference and should </w:t>
      </w:r>
      <w:r w:rsidRPr="007A072F">
        <w:rPr>
          <w:b/>
          <w:bCs/>
        </w:rPr>
        <w:t>not</w:t>
      </w:r>
      <w:r>
        <w:t xml:space="preserve"> be considered in CPUC decision-making until SCE provides a more robust dataset for comparison with the other IOU Rule 29 data. </w:t>
      </w:r>
    </w:p>
    <w:p w:rsidR="007E07BC" w:rsidP="007E07BC" w:rsidRDefault="007E07BC" w14:paraId="0341B8F4" w14:textId="77777777">
      <w:pPr>
        <w:pStyle w:val="ListParagraph"/>
        <w:numPr>
          <w:ilvl w:val="0"/>
          <w:numId w:val="39"/>
        </w:numPr>
        <w:spacing w:before="0" w:after="60" w:line="259" w:lineRule="auto"/>
        <w:ind w:left="907"/>
      </w:pPr>
      <w:r>
        <w:t xml:space="preserve">SDG&amp;E did not provide Rule 45 specific data. SCE and PG&amp;E also do not provide any Rule 45 data as this rule does not apply to them. </w:t>
      </w:r>
    </w:p>
    <w:p w:rsidRPr="00563371" w:rsidR="007E07BC" w:rsidP="00563371" w:rsidRDefault="007E07BC" w14:paraId="45E38B23" w14:textId="03E563F1">
      <w:pPr>
        <w:pStyle w:val="ListParagraph"/>
        <w:numPr>
          <w:ilvl w:val="0"/>
          <w:numId w:val="39"/>
        </w:numPr>
        <w:spacing w:before="0" w:after="160" w:line="259" w:lineRule="auto"/>
        <w:ind w:left="900"/>
        <w:contextualSpacing/>
      </w:pPr>
      <w:r>
        <w:t>No IOU provided combined Rule 15 &amp; 29/45 data.</w:t>
      </w:r>
    </w:p>
    <w:p w:rsidRPr="004F620F" w:rsidR="004F620F" w:rsidP="00633D06" w:rsidRDefault="004F620F" w14:paraId="5FC426B1" w14:textId="6568194E">
      <w:pPr>
        <w:pStyle w:val="TableFigureNote"/>
        <w:spacing w:before="0" w:after="0"/>
        <w:rPr>
          <w:sz w:val="22"/>
          <w:szCs w:val="24"/>
        </w:rPr>
      </w:pPr>
      <w:r w:rsidRPr="004F620F">
        <w:rPr>
          <w:sz w:val="22"/>
          <w:szCs w:val="24"/>
        </w:rPr>
        <w:fldChar w:fldCharType="begin"/>
      </w:r>
      <w:r w:rsidRPr="004F620F">
        <w:rPr>
          <w:sz w:val="22"/>
          <w:szCs w:val="24"/>
        </w:rPr>
        <w:instrText xml:space="preserve"> REF _Ref171612407 \h  \* MERGEFORMAT </w:instrText>
      </w:r>
      <w:r w:rsidRPr="004F620F">
        <w:rPr>
          <w:sz w:val="22"/>
          <w:szCs w:val="24"/>
        </w:rPr>
      </w:r>
      <w:r w:rsidRPr="004F620F">
        <w:rPr>
          <w:sz w:val="22"/>
          <w:szCs w:val="24"/>
        </w:rPr>
        <w:fldChar w:fldCharType="separate"/>
      </w:r>
      <w:r w:rsidRPr="00E16E7D" w:rsidR="00E16E7D">
        <w:rPr>
          <w:sz w:val="22"/>
          <w:szCs w:val="24"/>
        </w:rPr>
        <w:t xml:space="preserve">Table </w:t>
      </w:r>
      <w:r w:rsidRPr="00E16E7D" w:rsidR="00E16E7D">
        <w:rPr>
          <w:noProof/>
          <w:sz w:val="22"/>
          <w:szCs w:val="24"/>
        </w:rPr>
        <w:t>9</w:t>
      </w:r>
      <w:r w:rsidRPr="004F620F">
        <w:rPr>
          <w:sz w:val="22"/>
          <w:szCs w:val="24"/>
        </w:rPr>
        <w:fldChar w:fldCharType="end"/>
      </w:r>
      <w:r w:rsidRPr="004F620F">
        <w:rPr>
          <w:sz w:val="22"/>
          <w:szCs w:val="24"/>
        </w:rPr>
        <w:t xml:space="preserve"> </w:t>
      </w:r>
      <w:r>
        <w:rPr>
          <w:sz w:val="22"/>
          <w:szCs w:val="24"/>
        </w:rPr>
        <w:t xml:space="preserve">reflects </w:t>
      </w:r>
      <w:r w:rsidR="00BB744F">
        <w:rPr>
          <w:sz w:val="22"/>
          <w:szCs w:val="24"/>
        </w:rPr>
        <w:t xml:space="preserve">timeline statistics </w:t>
      </w:r>
      <w:r w:rsidRPr="004F620F">
        <w:rPr>
          <w:sz w:val="22"/>
          <w:szCs w:val="24"/>
        </w:rPr>
        <w:t xml:space="preserve">from the date of </w:t>
      </w:r>
      <w:r w:rsidR="00BB744F">
        <w:rPr>
          <w:sz w:val="22"/>
          <w:szCs w:val="24"/>
        </w:rPr>
        <w:t xml:space="preserve">project </w:t>
      </w:r>
      <w:r w:rsidRPr="004F620F">
        <w:rPr>
          <w:sz w:val="22"/>
          <w:szCs w:val="24"/>
        </w:rPr>
        <w:t>initiation to the date of completion/energization.</w:t>
      </w:r>
      <w:r w:rsidR="002E7633">
        <w:rPr>
          <w:sz w:val="22"/>
          <w:szCs w:val="24"/>
        </w:rPr>
        <w:t xml:space="preserve"> </w:t>
      </w:r>
    </w:p>
    <w:p w:rsidR="004F620F" w:rsidP="00633D06" w:rsidRDefault="004F620F" w14:paraId="0D6E59DC" w14:textId="77777777">
      <w:pPr>
        <w:pStyle w:val="Caption"/>
        <w:spacing w:after="0"/>
      </w:pPr>
    </w:p>
    <w:p w:rsidR="00ED5875" w:rsidP="00ED5875" w:rsidRDefault="00ED5875" w14:paraId="02B4BD41" w14:textId="52A18765">
      <w:pPr>
        <w:pStyle w:val="Caption"/>
        <w:rPr>
          <w:noProof/>
        </w:rPr>
      </w:pPr>
      <w:bookmarkStart w:name="_Ref171612407" w:id="68"/>
      <w:bookmarkStart w:name="_Toc171690437" w:id="69"/>
      <w:r>
        <w:t xml:space="preserve">Table </w:t>
      </w:r>
      <w:r>
        <w:fldChar w:fldCharType="begin"/>
      </w:r>
      <w:r>
        <w:instrText xml:space="preserve"> SEQ Table \* ARABIC </w:instrText>
      </w:r>
      <w:r>
        <w:fldChar w:fldCharType="separate"/>
      </w:r>
      <w:r w:rsidR="00E16E7D">
        <w:rPr>
          <w:noProof/>
        </w:rPr>
        <w:t>9</w:t>
      </w:r>
      <w:r>
        <w:rPr>
          <w:noProof/>
        </w:rPr>
        <w:fldChar w:fldCharType="end"/>
      </w:r>
      <w:bookmarkEnd w:id="68"/>
      <w:r>
        <w:t xml:space="preserve">. </w:t>
      </w:r>
      <w:proofErr w:type="spellStart"/>
      <w:r w:rsidRPr="00732D27">
        <w:t>Guidehouse</w:t>
      </w:r>
      <w:proofErr w:type="spellEnd"/>
      <w:r w:rsidRPr="00732D27">
        <w:t xml:space="preserve"> Timeline Statistics Calculated with IOU Data – By </w:t>
      </w:r>
      <w:r>
        <w:t>Tariff</w:t>
      </w:r>
      <w:bookmarkEnd w:id="69"/>
    </w:p>
    <w:p w:rsidRPr="002A773C" w:rsidR="002A773C" w:rsidP="002A773C" w:rsidRDefault="0004771F" w14:paraId="38927758" w14:textId="324AC1A6">
      <w:pPr>
        <w:pStyle w:val="TableFigureNote"/>
      </w:pPr>
      <w:r w:rsidRPr="0004771F">
        <w:rPr>
          <w:noProof/>
        </w:rPr>
        <w:drawing>
          <wp:inline distT="0" distB="0" distL="0" distR="0" wp14:anchorId="78F3C65B" wp14:editId="48F3705E">
            <wp:extent cx="8229600" cy="121666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253714" cy="1220225"/>
                    </a:xfrm>
                    <a:prstGeom prst="rect">
                      <a:avLst/>
                    </a:prstGeom>
                  </pic:spPr>
                </pic:pic>
              </a:graphicData>
            </a:graphic>
          </wp:inline>
        </w:drawing>
      </w:r>
    </w:p>
    <w:p w:rsidRPr="004F620F" w:rsidR="004F620F" w:rsidP="004F620F" w:rsidRDefault="004F620F" w14:paraId="6EA2AC72" w14:textId="624A4A6A">
      <w:pPr>
        <w:pStyle w:val="TableFigureSource"/>
        <w:spacing w:before="0"/>
        <w:rPr>
          <w:sz w:val="16"/>
          <w:szCs w:val="18"/>
        </w:rPr>
      </w:pPr>
      <w:r w:rsidRPr="002954AD">
        <w:rPr>
          <w:sz w:val="16"/>
          <w:szCs w:val="18"/>
        </w:rPr>
        <w:t>Note: Calculated in business days.</w:t>
      </w:r>
    </w:p>
    <w:p w:rsidR="00563371" w:rsidP="002954AD" w:rsidRDefault="00563371" w14:paraId="0C0C56D9" w14:textId="77777777">
      <w:pPr>
        <w:pStyle w:val="TableFigureSource"/>
        <w:rPr>
          <w:i w:val="0"/>
          <w:szCs w:val="24"/>
        </w:rPr>
      </w:pPr>
    </w:p>
    <w:p w:rsidR="00563371" w:rsidP="002954AD" w:rsidRDefault="00563371" w14:paraId="74581D0A" w14:textId="77777777">
      <w:pPr>
        <w:pStyle w:val="TableFigureSource"/>
        <w:rPr>
          <w:i w:val="0"/>
          <w:szCs w:val="24"/>
        </w:rPr>
      </w:pPr>
    </w:p>
    <w:p w:rsidR="00563371" w:rsidP="002954AD" w:rsidRDefault="00563371" w14:paraId="20BB55EC" w14:textId="77777777">
      <w:pPr>
        <w:pStyle w:val="TableFigureSource"/>
        <w:rPr>
          <w:i w:val="0"/>
          <w:szCs w:val="24"/>
        </w:rPr>
      </w:pPr>
    </w:p>
    <w:p w:rsidR="00563371" w:rsidP="002954AD" w:rsidRDefault="00563371" w14:paraId="55B1BD67" w14:textId="77777777">
      <w:pPr>
        <w:pStyle w:val="TableFigureSource"/>
        <w:rPr>
          <w:i w:val="0"/>
          <w:szCs w:val="24"/>
        </w:rPr>
      </w:pPr>
    </w:p>
    <w:p w:rsidR="00563371" w:rsidP="002954AD" w:rsidRDefault="00563371" w14:paraId="0EDAB77B" w14:textId="77777777">
      <w:pPr>
        <w:pStyle w:val="TableFigureSource"/>
        <w:rPr>
          <w:i w:val="0"/>
          <w:szCs w:val="24"/>
        </w:rPr>
      </w:pPr>
    </w:p>
    <w:p w:rsidR="00563371" w:rsidP="002954AD" w:rsidRDefault="00563371" w14:paraId="497BD468" w14:textId="77777777">
      <w:pPr>
        <w:pStyle w:val="TableFigureSource"/>
        <w:rPr>
          <w:i w:val="0"/>
          <w:szCs w:val="24"/>
        </w:rPr>
      </w:pPr>
    </w:p>
    <w:p w:rsidR="000F6A04" w:rsidP="002954AD" w:rsidRDefault="005A65F6" w14:paraId="23BDAB15" w14:textId="21E1543C">
      <w:pPr>
        <w:pStyle w:val="TableFigureSource"/>
      </w:pPr>
      <w:r w:rsidRPr="005A65F6">
        <w:rPr>
          <w:i w:val="0"/>
          <w:szCs w:val="24"/>
        </w:rPr>
        <w:lastRenderedPageBreak/>
        <w:fldChar w:fldCharType="begin"/>
      </w:r>
      <w:r w:rsidRPr="005A65F6">
        <w:rPr>
          <w:i w:val="0"/>
          <w:sz w:val="22"/>
          <w:szCs w:val="24"/>
        </w:rPr>
        <w:instrText xml:space="preserve"> REF _Ref171612639 \h </w:instrText>
      </w:r>
      <w:r>
        <w:rPr>
          <w:i w:val="0"/>
          <w:sz w:val="22"/>
          <w:szCs w:val="24"/>
        </w:rPr>
        <w:instrText xml:space="preserve"> \* MERGEFORMAT </w:instrText>
      </w:r>
      <w:r w:rsidRPr="005A65F6">
        <w:rPr>
          <w:i w:val="0"/>
          <w:szCs w:val="24"/>
        </w:rPr>
      </w:r>
      <w:r w:rsidRPr="005A65F6">
        <w:rPr>
          <w:i w:val="0"/>
          <w:szCs w:val="24"/>
        </w:rPr>
        <w:fldChar w:fldCharType="separate"/>
      </w:r>
      <w:r w:rsidRPr="00E16E7D" w:rsidR="00E16E7D">
        <w:rPr>
          <w:i w:val="0"/>
          <w:sz w:val="22"/>
          <w:szCs w:val="24"/>
        </w:rPr>
        <w:t>Table 10</w:t>
      </w:r>
      <w:r w:rsidRPr="005A65F6">
        <w:rPr>
          <w:i w:val="0"/>
          <w:szCs w:val="24"/>
        </w:rPr>
        <w:fldChar w:fldCharType="end"/>
      </w:r>
      <w:r>
        <w:rPr>
          <w:i w:val="0"/>
          <w:noProof/>
          <w:sz w:val="22"/>
        </w:rPr>
        <w:t xml:space="preserve"> </w:t>
      </w:r>
      <w:r w:rsidRPr="008E60F1">
        <w:rPr>
          <w:i w:val="0"/>
          <w:noProof/>
          <w:sz w:val="22"/>
        </w:rPr>
        <w:t xml:space="preserve">refects business days </w:t>
      </w:r>
      <w:r>
        <w:rPr>
          <w:i w:val="0"/>
          <w:noProof/>
          <w:sz w:val="22"/>
        </w:rPr>
        <w:t>provided</w:t>
      </w:r>
      <w:r w:rsidRPr="008E60F1">
        <w:rPr>
          <w:i w:val="0"/>
          <w:noProof/>
          <w:sz w:val="22"/>
        </w:rPr>
        <w:t xml:space="preserve"> by the IOU</w:t>
      </w:r>
      <w:r>
        <w:rPr>
          <w:i w:val="0"/>
          <w:noProof/>
          <w:sz w:val="22"/>
        </w:rPr>
        <w:t xml:space="preserve">s in response to </w:t>
      </w:r>
      <w:r w:rsidRPr="00413257">
        <w:rPr>
          <w:i w:val="0"/>
          <w:noProof/>
          <w:sz w:val="22"/>
        </w:rPr>
        <w:t>R.24-01-018</w:t>
      </w:r>
      <w:r w:rsidRPr="008E60F1">
        <w:rPr>
          <w:i w:val="0"/>
          <w:noProof/>
          <w:sz w:val="22"/>
        </w:rPr>
        <w:t>.</w:t>
      </w:r>
    </w:p>
    <w:p w:rsidR="00106C35" w:rsidP="00106C35" w:rsidRDefault="00106C35" w14:paraId="5439621C" w14:textId="0430C991">
      <w:pPr>
        <w:pStyle w:val="Caption"/>
      </w:pPr>
      <w:bookmarkStart w:name="_Ref171612639" w:id="70"/>
      <w:bookmarkStart w:name="_Toc171690438" w:id="71"/>
      <w:r>
        <w:t xml:space="preserve">Table </w:t>
      </w:r>
      <w:r>
        <w:fldChar w:fldCharType="begin"/>
      </w:r>
      <w:r>
        <w:instrText xml:space="preserve"> SEQ Table \* ARABIC </w:instrText>
      </w:r>
      <w:r>
        <w:fldChar w:fldCharType="separate"/>
      </w:r>
      <w:r w:rsidR="00E16E7D">
        <w:rPr>
          <w:noProof/>
        </w:rPr>
        <w:t>10</w:t>
      </w:r>
      <w:r>
        <w:rPr>
          <w:noProof/>
        </w:rPr>
        <w:fldChar w:fldCharType="end"/>
      </w:r>
      <w:bookmarkEnd w:id="70"/>
      <w:r>
        <w:t>. IOU Timeline Statistics Provided in Proceeding Response</w:t>
      </w:r>
      <w:r w:rsidR="003730F5">
        <w:t xml:space="preserve"> – By Tariff</w:t>
      </w:r>
      <w:bookmarkEnd w:id="71"/>
    </w:p>
    <w:p w:rsidR="00106C35" w:rsidP="00106C35" w:rsidRDefault="00345839" w14:paraId="142C75BD" w14:textId="5AA5168F">
      <w:pPr>
        <w:pStyle w:val="TableFigureNote"/>
      </w:pPr>
      <w:r w:rsidRPr="00345839">
        <w:rPr>
          <w:noProof/>
        </w:rPr>
        <w:drawing>
          <wp:inline distT="0" distB="0" distL="0" distR="0" wp14:anchorId="0A5F5F31" wp14:editId="1C9B1753">
            <wp:extent cx="6967182" cy="1173024"/>
            <wp:effectExtent l="0" t="0" r="571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997306" cy="1178096"/>
                    </a:xfrm>
                    <a:prstGeom prst="rect">
                      <a:avLst/>
                    </a:prstGeom>
                  </pic:spPr>
                </pic:pic>
              </a:graphicData>
            </a:graphic>
          </wp:inline>
        </w:drawing>
      </w:r>
    </w:p>
    <w:p w:rsidR="005A65F6" w:rsidP="00563371" w:rsidRDefault="00BB744F" w14:paraId="781000B3" w14:textId="7C4844DE">
      <w:pPr>
        <w:pStyle w:val="TableFigureSource"/>
        <w:spacing w:before="0"/>
      </w:pPr>
      <w:r w:rsidRPr="007A2780">
        <w:rPr>
          <w:i w:val="0"/>
        </w:rPr>
        <w:t>Note: Provided in business days</w:t>
      </w:r>
    </w:p>
    <w:p w:rsidRPr="007A2780" w:rsidR="00AB0500" w:rsidP="002954AD" w:rsidRDefault="00AB0500" w14:paraId="0D5C860E" w14:textId="292119F8">
      <w:pPr>
        <w:pStyle w:val="BodyText"/>
        <w:spacing w:after="0"/>
      </w:pPr>
      <w:r>
        <w:fldChar w:fldCharType="begin"/>
      </w:r>
      <w:r>
        <w:instrText xml:space="preserve"> REF _Ref171612608 \h </w:instrText>
      </w:r>
      <w:r>
        <w:fldChar w:fldCharType="separate"/>
      </w:r>
      <w:r w:rsidR="00E16E7D">
        <w:t xml:space="preserve">Table </w:t>
      </w:r>
      <w:r w:rsidR="00E16E7D">
        <w:rPr>
          <w:noProof/>
        </w:rPr>
        <w:t>11</w:t>
      </w:r>
      <w:r>
        <w:fldChar w:fldCharType="end"/>
      </w:r>
      <w:r>
        <w:t xml:space="preserve"> provides the differences between </w:t>
      </w:r>
      <w:proofErr w:type="spellStart"/>
      <w:r w:rsidRPr="007A2780">
        <w:t>Guidehouse</w:t>
      </w:r>
      <w:proofErr w:type="spellEnd"/>
      <w:r w:rsidRPr="007A2780">
        <w:t xml:space="preserve"> days </w:t>
      </w:r>
      <w:r>
        <w:t>(</w:t>
      </w:r>
      <w:r w:rsidR="00D20026">
        <w:fldChar w:fldCharType="begin"/>
      </w:r>
      <w:r w:rsidR="00D20026">
        <w:instrText xml:space="preserve"> REF _Ref171612407 \h </w:instrText>
      </w:r>
      <w:r w:rsidR="00D20026">
        <w:fldChar w:fldCharType="separate"/>
      </w:r>
      <w:r w:rsidR="00E16E7D">
        <w:t xml:space="preserve">Table </w:t>
      </w:r>
      <w:r w:rsidR="00E16E7D">
        <w:rPr>
          <w:noProof/>
        </w:rPr>
        <w:t>9</w:t>
      </w:r>
      <w:r w:rsidR="00D20026">
        <w:fldChar w:fldCharType="end"/>
      </w:r>
      <w:r>
        <w:t xml:space="preserve">) </w:t>
      </w:r>
      <w:r w:rsidRPr="007A2780">
        <w:t>minus IOU days</w:t>
      </w:r>
      <w:r>
        <w:t xml:space="preserve"> (</w:t>
      </w:r>
      <w:r w:rsidR="00D20026">
        <w:fldChar w:fldCharType="begin"/>
      </w:r>
      <w:r w:rsidR="00D20026">
        <w:instrText xml:space="preserve"> REF _Ref171612639 \h </w:instrText>
      </w:r>
      <w:r w:rsidR="00D20026">
        <w:fldChar w:fldCharType="separate"/>
      </w:r>
      <w:r w:rsidR="00E16E7D">
        <w:t xml:space="preserve">Table </w:t>
      </w:r>
      <w:r w:rsidR="00E16E7D">
        <w:rPr>
          <w:noProof/>
        </w:rPr>
        <w:t>10</w:t>
      </w:r>
      <w:r w:rsidR="00D20026">
        <w:fldChar w:fldCharType="end"/>
      </w:r>
      <w:r>
        <w:t>).</w:t>
      </w:r>
    </w:p>
    <w:p w:rsidR="000F6A04" w:rsidP="00633D06" w:rsidRDefault="000F6A04" w14:paraId="6375347F" w14:textId="77777777">
      <w:pPr>
        <w:pStyle w:val="Caption"/>
        <w:spacing w:after="0"/>
      </w:pPr>
    </w:p>
    <w:p w:rsidR="00106C35" w:rsidP="00106C35" w:rsidRDefault="00106C35" w14:paraId="08AD98BF" w14:textId="04C0F08C">
      <w:pPr>
        <w:pStyle w:val="Caption"/>
      </w:pPr>
      <w:bookmarkStart w:name="_Ref171612608" w:id="72"/>
      <w:bookmarkStart w:name="_Toc171690439" w:id="73"/>
      <w:r>
        <w:t xml:space="preserve">Table </w:t>
      </w:r>
      <w:r>
        <w:fldChar w:fldCharType="begin"/>
      </w:r>
      <w:r>
        <w:instrText xml:space="preserve"> SEQ Table \* ARABIC </w:instrText>
      </w:r>
      <w:r>
        <w:fldChar w:fldCharType="separate"/>
      </w:r>
      <w:r w:rsidR="00E16E7D">
        <w:rPr>
          <w:noProof/>
        </w:rPr>
        <w:t>11</w:t>
      </w:r>
      <w:r>
        <w:rPr>
          <w:noProof/>
        </w:rPr>
        <w:fldChar w:fldCharType="end"/>
      </w:r>
      <w:bookmarkEnd w:id="72"/>
      <w:r>
        <w:t xml:space="preserve">. Differences Between </w:t>
      </w:r>
      <w:proofErr w:type="spellStart"/>
      <w:r>
        <w:t>Guidehouse</w:t>
      </w:r>
      <w:proofErr w:type="spellEnd"/>
      <w:r>
        <w:t>-Calculated and IOU-Provided Timeline Statistics</w:t>
      </w:r>
      <w:r w:rsidR="003730F5">
        <w:t xml:space="preserve"> – By Tariff</w:t>
      </w:r>
      <w:bookmarkEnd w:id="73"/>
    </w:p>
    <w:p w:rsidR="00A676A3" w:rsidP="00E3014E" w:rsidRDefault="007C2446" w14:paraId="4893BD87" w14:textId="77777777">
      <w:pPr>
        <w:sectPr w:rsidR="00A676A3" w:rsidSect="004C5690">
          <w:pgSz w:w="15840" w:h="12240" w:orient="landscape"/>
          <w:pgMar w:top="1440" w:right="1440" w:bottom="1440" w:left="1440" w:header="720" w:footer="720" w:gutter="0"/>
          <w:cols w:space="720"/>
          <w:docGrid w:linePitch="360"/>
        </w:sectPr>
      </w:pPr>
      <w:r w:rsidRPr="007C2446">
        <w:rPr>
          <w:noProof/>
        </w:rPr>
        <w:drawing>
          <wp:inline distT="0" distB="0" distL="0" distR="0" wp14:anchorId="4C3B563C" wp14:editId="14AC32C9">
            <wp:extent cx="6966585" cy="1171848"/>
            <wp:effectExtent l="0" t="0" r="571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005361" cy="1178371"/>
                    </a:xfrm>
                    <a:prstGeom prst="rect">
                      <a:avLst/>
                    </a:prstGeom>
                  </pic:spPr>
                </pic:pic>
              </a:graphicData>
            </a:graphic>
          </wp:inline>
        </w:drawing>
      </w:r>
    </w:p>
    <w:p w:rsidRPr="00A676A3" w:rsidR="00106C35" w:rsidP="00A676A3" w:rsidRDefault="00106C35" w14:paraId="4FF4EE32" w14:textId="55BD5963">
      <w:pPr>
        <w:jc w:val="center"/>
        <w:rPr>
          <w:rFonts w:ascii="Book Antiqua" w:hAnsi="Book Antiqua"/>
          <w:b/>
          <w:bCs/>
          <w:sz w:val="26"/>
          <w:szCs w:val="26"/>
        </w:rPr>
      </w:pPr>
    </w:p>
    <w:p w:rsidRPr="00A676A3" w:rsidR="00A676A3" w:rsidP="00A676A3" w:rsidRDefault="00A676A3" w14:paraId="373578FB" w14:textId="77777777">
      <w:pPr>
        <w:jc w:val="center"/>
        <w:rPr>
          <w:rFonts w:ascii="Book Antiqua" w:hAnsi="Book Antiqua"/>
          <w:b/>
          <w:bCs/>
          <w:sz w:val="26"/>
          <w:szCs w:val="26"/>
        </w:rPr>
      </w:pPr>
    </w:p>
    <w:p w:rsidRPr="00A676A3" w:rsidR="00A676A3" w:rsidP="00A676A3" w:rsidRDefault="00A676A3" w14:paraId="515310DF" w14:textId="39E671E7">
      <w:pPr>
        <w:jc w:val="center"/>
        <w:rPr>
          <w:rFonts w:ascii="Book Antiqua" w:hAnsi="Book Antiqua"/>
          <w:b/>
          <w:bCs/>
          <w:sz w:val="26"/>
          <w:szCs w:val="26"/>
        </w:rPr>
      </w:pPr>
      <w:r w:rsidRPr="00A676A3">
        <w:rPr>
          <w:rFonts w:ascii="Book Antiqua" w:hAnsi="Book Antiqua"/>
          <w:b/>
          <w:bCs/>
          <w:sz w:val="26"/>
          <w:szCs w:val="26"/>
        </w:rPr>
        <w:t>(END OF APPENDIX A)</w:t>
      </w:r>
    </w:p>
    <w:sectPr w:rsidRPr="00A676A3" w:rsidR="00A676A3" w:rsidSect="00A676A3">
      <w:headerReference w:type="default" r:id="rId32"/>
      <w:footerReference w:type="default" r:id="rId33"/>
      <w:pgSz w:w="15840" w:h="12240" w:orient="landscape"/>
      <w:pgMar w:top="172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2F4A45" w14:textId="77777777" w:rsidR="00300E77" w:rsidRDefault="00300E77">
      <w:r>
        <w:separator/>
      </w:r>
    </w:p>
  </w:endnote>
  <w:endnote w:type="continuationSeparator" w:id="0">
    <w:p w14:paraId="5159C1A2" w14:textId="77777777" w:rsidR="00300E77" w:rsidRDefault="00300E77">
      <w:r>
        <w:continuationSeparator/>
      </w:r>
    </w:p>
  </w:endnote>
  <w:endnote w:type="continuationNotice" w:id="1">
    <w:p w14:paraId="1E92A75E" w14:textId="77777777" w:rsidR="00300E77" w:rsidRDefault="00300E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04A65" w14:textId="14994100" w:rsidR="5E342F57" w:rsidRDefault="5E342F57" w:rsidP="5E342F57">
    <w:pPr>
      <w:pStyle w:val="Footer"/>
      <w:jc w:val="center"/>
    </w:pPr>
  </w:p>
  <w:p w14:paraId="2369CD83" w14:textId="744E8C71" w:rsidR="00AA515A" w:rsidRPr="007A268D" w:rsidRDefault="00AA515A" w:rsidP="00A51CF4">
    <w:pPr>
      <w:pStyle w:val="Footer"/>
      <w:tabs>
        <w:tab w:val="clear" w:pos="4320"/>
        <w:tab w:val="right" w:pos="9270"/>
      </w:tabs>
      <w:ind w:right="18"/>
      <w:rPr>
        <w:rFonts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8CFE1" w14:textId="565F5F9C" w:rsidR="5E342F57" w:rsidRDefault="5E342F57" w:rsidP="5E342F57">
    <w:pPr>
      <w:pStyle w:val="Footer"/>
      <w:jc w:val="center"/>
    </w:pPr>
  </w:p>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AA515A" w:rsidRPr="00582062" w14:paraId="33FD6D19" w14:textId="77777777" w:rsidTr="005140A6">
      <w:trPr>
        <w:trHeight w:val="144"/>
        <w:jc w:val="center"/>
      </w:trPr>
      <w:tc>
        <w:tcPr>
          <w:tcW w:w="7470" w:type="dxa"/>
          <w:tcBorders>
            <w:top w:val="single" w:sz="8" w:space="0" w:color="8C8C8C"/>
            <w:left w:val="nil"/>
            <w:bottom w:val="nil"/>
          </w:tcBorders>
        </w:tcPr>
        <w:p w14:paraId="0E25CA07" w14:textId="77777777" w:rsidR="00AA515A" w:rsidRPr="00582062" w:rsidRDefault="00AA515A" w:rsidP="008B6585">
          <w:pPr>
            <w:pStyle w:val="Footer"/>
            <w:spacing w:before="120"/>
            <w:rPr>
              <w:sz w:val="2"/>
              <w:szCs w:val="2"/>
            </w:rPr>
          </w:pPr>
        </w:p>
      </w:tc>
      <w:tc>
        <w:tcPr>
          <w:tcW w:w="1890" w:type="dxa"/>
          <w:tcBorders>
            <w:top w:val="single" w:sz="8" w:space="0" w:color="8C8C8C"/>
          </w:tcBorders>
        </w:tcPr>
        <w:p w14:paraId="5AC433A0" w14:textId="77777777" w:rsidR="00AA515A" w:rsidRPr="00582062" w:rsidRDefault="00AA515A" w:rsidP="008B6585">
          <w:pPr>
            <w:pStyle w:val="Footer"/>
            <w:spacing w:before="120"/>
            <w:jc w:val="right"/>
            <w:rPr>
              <w:sz w:val="2"/>
              <w:szCs w:val="2"/>
            </w:rPr>
          </w:pPr>
        </w:p>
      </w:tc>
    </w:tr>
    <w:tr w:rsidR="00AA515A" w:rsidRPr="00EA2FA5" w14:paraId="74E9CB7E" w14:textId="77777777" w:rsidTr="00005A99">
      <w:trPr>
        <w:trHeight w:val="195"/>
        <w:jc w:val="center"/>
      </w:trPr>
      <w:tc>
        <w:tcPr>
          <w:tcW w:w="7470" w:type="dxa"/>
          <w:tcBorders>
            <w:top w:val="nil"/>
            <w:left w:val="nil"/>
          </w:tcBorders>
          <w:vAlign w:val="center"/>
        </w:tcPr>
        <w:p w14:paraId="1C4F281C" w14:textId="60F66536" w:rsidR="00AA515A" w:rsidRPr="0075421C" w:rsidRDefault="009E7B22" w:rsidP="00005A99">
          <w:pPr>
            <w:pStyle w:val="Footer"/>
            <w:rPr>
              <w:i/>
              <w:iCs/>
              <w:sz w:val="18"/>
            </w:rPr>
          </w:pPr>
          <w:r w:rsidRPr="009E7B22">
            <w:rPr>
              <w:i/>
              <w:iCs/>
              <w:sz w:val="18"/>
            </w:rPr>
            <w:t xml:space="preserve">© 2024 </w:t>
          </w:r>
          <w:proofErr w:type="spellStart"/>
          <w:r w:rsidRPr="009E7B22">
            <w:rPr>
              <w:i/>
              <w:iCs/>
              <w:sz w:val="18"/>
            </w:rPr>
            <w:t>Guidehouse</w:t>
          </w:r>
          <w:proofErr w:type="spellEnd"/>
          <w:r w:rsidRPr="009E7B22">
            <w:rPr>
              <w:i/>
              <w:iCs/>
              <w:sz w:val="18"/>
            </w:rPr>
            <w:t xml:space="preserve"> Inc. All rights reserved.</w:t>
          </w:r>
        </w:p>
      </w:tc>
      <w:tc>
        <w:tcPr>
          <w:tcW w:w="1890" w:type="dxa"/>
          <w:vAlign w:val="center"/>
        </w:tcPr>
        <w:p w14:paraId="23C26D5A" w14:textId="77777777" w:rsidR="00AA515A" w:rsidRPr="0075421C" w:rsidRDefault="00AA515A" w:rsidP="00005A99">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48308AA6" w14:textId="77777777" w:rsidR="00AA515A" w:rsidRPr="000C64C5" w:rsidRDefault="00AA515A" w:rsidP="008B6585">
    <w:pPr>
      <w:pStyle w:val="Footer"/>
      <w:ind w:right="360"/>
      <w:rPr>
        <w:sz w:val="2"/>
        <w:szCs w:val="2"/>
      </w:rPr>
    </w:pPr>
  </w:p>
  <w:p w14:paraId="0943CF1C" w14:textId="77777777" w:rsidR="00AA515A" w:rsidRPr="008B6585" w:rsidRDefault="00AA515A" w:rsidP="008B6585">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tblLayout w:type="fixed"/>
      <w:tblCellMar>
        <w:left w:w="58" w:type="dxa"/>
        <w:right w:w="58" w:type="dxa"/>
      </w:tblCellMar>
      <w:tblLook w:val="01E0" w:firstRow="1" w:lastRow="1" w:firstColumn="1" w:lastColumn="1" w:noHBand="0" w:noVBand="0"/>
    </w:tblPr>
    <w:tblGrid>
      <w:gridCol w:w="7470"/>
      <w:gridCol w:w="1890"/>
    </w:tblGrid>
    <w:tr w:rsidR="002F5D05" w:rsidRPr="00EA2FA5" w14:paraId="329282BA" w14:textId="77777777" w:rsidTr="000571F0">
      <w:trPr>
        <w:trHeight w:val="195"/>
      </w:trPr>
      <w:tc>
        <w:tcPr>
          <w:tcW w:w="7470" w:type="dxa"/>
          <w:vAlign w:val="center"/>
        </w:tcPr>
        <w:p w14:paraId="44CACCAF" w14:textId="77777777" w:rsidR="002F5D05" w:rsidRPr="00425635" w:rsidRDefault="002F5D05" w:rsidP="00005A99">
          <w:pPr>
            <w:pStyle w:val="Footer"/>
            <w:rPr>
              <w:sz w:val="18"/>
            </w:rPr>
          </w:pPr>
          <w:r w:rsidRPr="00425635">
            <w:rPr>
              <w:sz w:val="18"/>
            </w:rPr>
            <w:t xml:space="preserve">© 2024 </w:t>
          </w:r>
          <w:proofErr w:type="spellStart"/>
          <w:r w:rsidRPr="00425635">
            <w:rPr>
              <w:sz w:val="18"/>
            </w:rPr>
            <w:t>Guidehouse</w:t>
          </w:r>
          <w:proofErr w:type="spellEnd"/>
          <w:r w:rsidRPr="00425635">
            <w:rPr>
              <w:sz w:val="18"/>
            </w:rPr>
            <w:t xml:space="preserve"> Inc. All rights reserved.</w:t>
          </w:r>
        </w:p>
      </w:tc>
      <w:tc>
        <w:tcPr>
          <w:tcW w:w="1890" w:type="dxa"/>
          <w:vAlign w:val="center"/>
        </w:tcPr>
        <w:p w14:paraId="331B1F74" w14:textId="77777777" w:rsidR="002F5D05" w:rsidRPr="0075421C" w:rsidRDefault="002F5D05" w:rsidP="00005A99">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39ADEE64" w14:textId="77777777" w:rsidR="002F5D05" w:rsidRPr="000C64C5" w:rsidRDefault="002F5D05" w:rsidP="008B6585">
    <w:pPr>
      <w:pStyle w:val="Footer"/>
      <w:ind w:right="360"/>
      <w:rPr>
        <w:sz w:val="2"/>
        <w:szCs w:val="2"/>
      </w:rPr>
    </w:pPr>
  </w:p>
  <w:p w14:paraId="609F3D7B" w14:textId="77777777" w:rsidR="002F5D05" w:rsidRDefault="002F5D05" w:rsidP="008B65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A844F" w14:textId="77777777" w:rsidR="00A676A3" w:rsidRPr="000C64C5" w:rsidRDefault="00A676A3" w:rsidP="008B6585">
    <w:pPr>
      <w:pStyle w:val="Footer"/>
      <w:ind w:right="36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883ED7" w14:textId="77777777" w:rsidR="00300E77" w:rsidRDefault="00300E77">
      <w:bookmarkStart w:id="0" w:name="_Hlk172642610"/>
      <w:bookmarkEnd w:id="0"/>
      <w:r>
        <w:separator/>
      </w:r>
    </w:p>
  </w:footnote>
  <w:footnote w:type="continuationSeparator" w:id="0">
    <w:p w14:paraId="1E907639" w14:textId="77777777" w:rsidR="00300E77" w:rsidRDefault="00300E77">
      <w:r>
        <w:continuationSeparator/>
      </w:r>
    </w:p>
  </w:footnote>
  <w:footnote w:type="continuationNotice" w:id="1">
    <w:p w14:paraId="4AF71852" w14:textId="77777777" w:rsidR="00300E77" w:rsidRDefault="00300E77"/>
  </w:footnote>
  <w:footnote w:id="2">
    <w:p w14:paraId="59526274" w14:textId="202449B2" w:rsidR="007C351E" w:rsidRDefault="007C351E" w:rsidP="007674F3">
      <w:pPr>
        <w:pStyle w:val="FootnoteText"/>
      </w:pPr>
      <w:r>
        <w:rPr>
          <w:rStyle w:val="FootnoteReference"/>
        </w:rPr>
        <w:footnoteRef/>
      </w:r>
      <w:r>
        <w:t xml:space="preserve"> CPUC. </w:t>
      </w:r>
      <w:r w:rsidR="007674F3">
        <w:t>March 21, 2024. Administrative Law Judge’s Ruling Directing Utility</w:t>
      </w:r>
      <w:r w:rsidR="00B879DC">
        <w:t xml:space="preserve"> </w:t>
      </w:r>
      <w:r w:rsidR="007674F3">
        <w:t xml:space="preserve">Responses to Questions Regarding Energization Timelines. Available at </w:t>
      </w:r>
      <w:hyperlink r:id="rId1" w:history="1">
        <w:r w:rsidR="007674F3">
          <w:rPr>
            <w:rStyle w:val="Hyperlink"/>
            <w:sz w:val="18"/>
          </w:rPr>
          <w:t>https://docs.cpuc.ca.gov/PublishedDocs/Efile/G000/M527/K533/527533715.PDF</w:t>
        </w:r>
      </w:hyperlink>
    </w:p>
  </w:footnote>
  <w:footnote w:id="3">
    <w:p w14:paraId="7635A701" w14:textId="13B7A307" w:rsidR="003F3859" w:rsidRPr="003F3859" w:rsidRDefault="003F3859" w:rsidP="003F3859">
      <w:pPr>
        <w:pStyle w:val="FootnoteText"/>
      </w:pPr>
      <w:r>
        <w:rPr>
          <w:rStyle w:val="FootnoteReference"/>
        </w:rPr>
        <w:footnoteRef/>
      </w:r>
      <w:r>
        <w:t xml:space="preserve"> </w:t>
      </w:r>
      <w:r w:rsidR="0065789B">
        <w:t>SDG&amp;E, PG&amp;E, and SCE</w:t>
      </w:r>
      <w:r w:rsidR="00BB66A3">
        <w:t xml:space="preserve">. April 22, 2024. </w:t>
      </w:r>
      <w:r>
        <w:t>Joint IOU Response and data files</w:t>
      </w:r>
      <w:r w:rsidR="00BB66A3">
        <w:t xml:space="preserve">. Available at </w:t>
      </w:r>
      <w:hyperlink r:id="rId2" w:history="1">
        <w:r w:rsidR="007674F3">
          <w:rPr>
            <w:rStyle w:val="Hyperlink"/>
            <w:sz w:val="18"/>
          </w:rPr>
          <w:t>https://www.sdge.com/rates-and-regulations/proceedings/Order-Instituting-Rulemaking-to-Establish-Energization-Timelines</w:t>
        </w:r>
      </w:hyperlink>
      <w:r w:rsidRPr="003F3859">
        <w:t xml:space="preserve">. </w:t>
      </w:r>
    </w:p>
  </w:footnote>
  <w:footnote w:id="4">
    <w:p w14:paraId="0354D6BD" w14:textId="3CACF13A" w:rsidR="003F3859" w:rsidRDefault="003F3859" w:rsidP="003F3859">
      <w:pPr>
        <w:pStyle w:val="FootnoteText"/>
      </w:pPr>
      <w:r>
        <w:rPr>
          <w:rStyle w:val="FootnoteReference"/>
        </w:rPr>
        <w:footnoteRef/>
      </w:r>
      <w:r>
        <w:t xml:space="preserve"> </w:t>
      </w:r>
      <w:r w:rsidR="007674F3">
        <w:t xml:space="preserve">CPUC. January 25, 2024. </w:t>
      </w:r>
      <w:r w:rsidRPr="003F3859">
        <w:t>Order Instituting Rulemaking to Establish Energization Timelines</w:t>
      </w:r>
      <w:r w:rsidR="007674F3">
        <w:t xml:space="preserve"> (</w:t>
      </w:r>
      <w:r w:rsidRPr="003F3859">
        <w:t>R.24-01-018</w:t>
      </w:r>
      <w:r w:rsidR="007674F3">
        <w:t>)</w:t>
      </w:r>
      <w:r w:rsidRPr="003F3859">
        <w:t>.</w:t>
      </w:r>
      <w:r w:rsidR="007674F3">
        <w:t xml:space="preserve"> Available at</w:t>
      </w:r>
      <w:r w:rsidRPr="003F3859">
        <w:t xml:space="preserve"> </w:t>
      </w:r>
      <w:hyperlink r:id="rId3" w:history="1">
        <w:r w:rsidR="007674F3">
          <w:rPr>
            <w:rStyle w:val="Hyperlink"/>
            <w:sz w:val="18"/>
          </w:rPr>
          <w:t>https://docs.cpuc.ca.gov/PublishedDocs/Published/G000/M524/K427/524427971.PDF</w:t>
        </w:r>
      </w:hyperlink>
    </w:p>
  </w:footnote>
  <w:footnote w:id="5">
    <w:p w14:paraId="68BED06C" w14:textId="05BC0308" w:rsidR="003F3859" w:rsidRDefault="003F3859" w:rsidP="003F3859">
      <w:pPr>
        <w:pStyle w:val="FootnoteText"/>
      </w:pPr>
      <w:r>
        <w:rPr>
          <w:rStyle w:val="FootnoteReference"/>
        </w:rPr>
        <w:footnoteRef/>
      </w:r>
      <w:r>
        <w:t xml:space="preserve"> Purpose of the proceeding as found in the Order Instituting Rulemaking to Establish Energization Timelines</w:t>
      </w:r>
      <w:r w:rsidR="007674F3">
        <w:t xml:space="preserve"> (</w:t>
      </w:r>
      <w:r>
        <w:t>R.24-01-018</w:t>
      </w:r>
      <w:r w:rsidR="007674F3">
        <w:t>) published</w:t>
      </w:r>
      <w:r>
        <w:t xml:space="preserve"> January 25, 2024</w:t>
      </w:r>
      <w:r w:rsidR="007674F3">
        <w:t>.</w:t>
      </w:r>
    </w:p>
  </w:footnote>
  <w:footnote w:id="6">
    <w:p w14:paraId="0CDB59D7" w14:textId="1DA6ADAA" w:rsidR="00B17FE9" w:rsidRDefault="00B17FE9" w:rsidP="00B17FE9">
      <w:pPr>
        <w:pStyle w:val="FootnoteText"/>
      </w:pPr>
      <w:r>
        <w:rPr>
          <w:rStyle w:val="FootnoteReference"/>
        </w:rPr>
        <w:footnoteRef/>
      </w:r>
      <w:r>
        <w:t xml:space="preserve"> </w:t>
      </w:r>
      <w:r w:rsidR="00F34E4A">
        <w:t>Guidehouse workbooks: (</w:t>
      </w:r>
      <w:r>
        <w:t>1) Statewide Energization Timelines Analyses –</w:t>
      </w:r>
      <w:r w:rsidR="000646F4">
        <w:t xml:space="preserve"> </w:t>
      </w:r>
      <w:r>
        <w:t xml:space="preserve">Energization Timelines </w:t>
      </w:r>
      <w:r w:rsidR="00462213">
        <w:t xml:space="preserve">Data </w:t>
      </w:r>
      <w:r>
        <w:t>Analysis for All Steps</w:t>
      </w:r>
      <w:r w:rsidR="00F34E4A">
        <w:t>; (</w:t>
      </w:r>
      <w:r>
        <w:t>2) Statewide Energization Timelines Analyses – Energization Timelines for IOU Dependent Steps</w:t>
      </w:r>
    </w:p>
  </w:footnote>
  <w:footnote w:id="7">
    <w:p w14:paraId="168C8FC9" w14:textId="77777777" w:rsidR="00E16E7D" w:rsidRDefault="00C239A6" w:rsidP="00E16E7D">
      <w:pPr>
        <w:pStyle w:val="FootnoteText"/>
      </w:pPr>
      <w:r>
        <w:rPr>
          <w:rStyle w:val="FootnoteReference"/>
        </w:rPr>
        <w:footnoteRef/>
      </w:r>
      <w:r>
        <w:t xml:space="preserve"> </w:t>
      </w:r>
      <w:r w:rsidR="007C7D71" w:rsidRPr="001749CB">
        <w:t>Recognizing that the energization data provided by IOUs does not follow a normal distribution</w:t>
      </w:r>
      <w:r w:rsidR="0040706F" w:rsidRPr="001749CB">
        <w:t xml:space="preserve">. While this outlier methodology is typically utilized for data with normal distribution it still provided valuable </w:t>
      </w:r>
      <w:r w:rsidR="00E5615C" w:rsidRPr="001749CB">
        <w:t>data cleaning</w:t>
      </w:r>
      <w:r w:rsidR="00D92E39" w:rsidRPr="001749CB">
        <w:t xml:space="preserve"> for this data</w:t>
      </w:r>
      <w:r w:rsidR="00E5615C" w:rsidRPr="001749CB">
        <w:t xml:space="preserve">, as can be seen in </w:t>
      </w:r>
      <w:r w:rsidR="00D92E39" w:rsidRPr="001749CB">
        <w:fldChar w:fldCharType="begin"/>
      </w:r>
      <w:r w:rsidR="00D92E39" w:rsidRPr="001749CB">
        <w:instrText xml:space="preserve"> REF _Ref171597263 \p \h </w:instrText>
      </w:r>
      <w:r w:rsidR="001749CB">
        <w:instrText xml:space="preserve"> \* MERGEFORMAT </w:instrText>
      </w:r>
      <w:r w:rsidR="00D92E39" w:rsidRPr="001749CB">
        <w:fldChar w:fldCharType="separate"/>
      </w:r>
      <w:r w:rsidR="00E16E7D">
        <w:t>Table 4 reflects the</w:t>
      </w:r>
      <w:r w:rsidR="00E16E7D" w:rsidRPr="00F34E9B">
        <w:t xml:space="preserve"> percentage of projects </w:t>
      </w:r>
      <w:r w:rsidR="00E16E7D">
        <w:t xml:space="preserve">from Table 3 </w:t>
      </w:r>
      <w:r w:rsidR="00E16E7D" w:rsidRPr="00F34E9B">
        <w:t>deemed to be outliers and therefore removed from the dataset.</w:t>
      </w:r>
    </w:p>
    <w:p w14:paraId="2974DB00" w14:textId="77777777" w:rsidR="00E16E7D" w:rsidRDefault="00E16E7D" w:rsidP="002954AD">
      <w:pPr>
        <w:pStyle w:val="BodyTextNoSpacingAfter"/>
      </w:pPr>
    </w:p>
    <w:p w14:paraId="4E5615E9" w14:textId="0E041736" w:rsidR="00C239A6" w:rsidRDefault="00E16E7D">
      <w:pPr>
        <w:pStyle w:val="FootnoteText"/>
      </w:pPr>
      <w:r>
        <w:t xml:space="preserve">Table </w:t>
      </w:r>
      <w:r>
        <w:rPr>
          <w:noProof/>
        </w:rPr>
        <w:t>4</w:t>
      </w:r>
      <w:r>
        <w:t>. Percentage of Outliers Removed Due to Data Cleanup</w:t>
      </w:r>
      <w:r w:rsidR="00D92E39" w:rsidRPr="001749CB">
        <w:fldChar w:fldCharType="end"/>
      </w:r>
      <w:r w:rsidR="00D92E39">
        <w:t>.</w:t>
      </w:r>
      <w:r w:rsidR="007C7D71">
        <w:t xml:space="preserve">  </w:t>
      </w:r>
    </w:p>
  </w:footnote>
  <w:footnote w:id="8">
    <w:p w14:paraId="3E8549E7" w14:textId="55AF0436" w:rsidR="007F25F4" w:rsidRDefault="007F25F4">
      <w:pPr>
        <w:pStyle w:val="FootnoteText"/>
      </w:pPr>
      <w:r>
        <w:rPr>
          <w:rStyle w:val="FootnoteReference"/>
        </w:rPr>
        <w:footnoteRef/>
      </w:r>
      <w:r>
        <w:t xml:space="preserve"> Rule 15/16 refers to </w:t>
      </w:r>
      <w:r w:rsidR="00A57A1B">
        <w:t xml:space="preserve">energization projects that involve </w:t>
      </w:r>
      <w:r w:rsidR="00A57A1B" w:rsidRPr="008311B3">
        <w:rPr>
          <w:b/>
          <w:bCs/>
        </w:rPr>
        <w:t>both</w:t>
      </w:r>
      <w:r w:rsidR="00A57A1B">
        <w:t xml:space="preserve"> Rule 15 and Rule 16 </w:t>
      </w:r>
      <w:r w:rsidR="008B2740">
        <w:t>activities</w:t>
      </w:r>
      <w:r w:rsidR="007C14C2">
        <w:t xml:space="preserve"> and procedures</w:t>
      </w:r>
      <w:r w:rsidR="008B2740">
        <w:t xml:space="preserve">. Further detail about these rules is available at </w:t>
      </w:r>
      <w:hyperlink r:id="rId4" w:history="1">
        <w:r w:rsidR="008B2740" w:rsidRPr="000A6714">
          <w:rPr>
            <w:rStyle w:val="Hyperlink"/>
            <w:sz w:val="18"/>
          </w:rPr>
          <w:t>https://www.cpuc.ca.gov/industries-and-topics/electrical-energy/infrastructure/electric-reliability/undergrounding-program-description/rule-20/cpuc-rule-20-undergrounding-programs-current-proceeding-r1705010/electric-tariff-rules-15-and-16-distribution-line-and-service-extensions</w:t>
        </w:r>
      </w:hyperlink>
      <w:r w:rsidR="008B2740">
        <w:t xml:space="preserve"> </w:t>
      </w:r>
    </w:p>
  </w:footnote>
  <w:footnote w:id="9">
    <w:p w14:paraId="6F9E7B6E" w14:textId="671698BF" w:rsidR="5BE5A192" w:rsidRDefault="5BE5A192" w:rsidP="00FF00C8">
      <w:pPr>
        <w:pStyle w:val="FootnoteText"/>
      </w:pPr>
      <w:r w:rsidRPr="00716F70">
        <w:rPr>
          <w:rStyle w:val="FootnoteReference"/>
        </w:rPr>
        <w:footnoteRef/>
      </w:r>
      <w:r w:rsidR="4C35A48A" w:rsidRPr="00716F70">
        <w:rPr>
          <w:rStyle w:val="FootnoteReference"/>
        </w:rPr>
        <w:t xml:space="preserve"> </w:t>
      </w:r>
      <w:r w:rsidR="4C35A48A" w:rsidRPr="00FF00C8">
        <w:rPr>
          <w:rStyle w:val="FootnoteTextChar"/>
        </w:rPr>
        <w:t xml:space="preserve">Without knowing </w:t>
      </w:r>
      <w:r w:rsidR="00A1485E">
        <w:rPr>
          <w:rStyle w:val="FootnoteTextChar"/>
        </w:rPr>
        <w:t xml:space="preserve">further </w:t>
      </w:r>
      <w:r w:rsidR="4C35A48A" w:rsidRPr="00FF00C8">
        <w:rPr>
          <w:rStyle w:val="FootnoteTextChar"/>
        </w:rPr>
        <w:t xml:space="preserve">details on what </w:t>
      </w:r>
      <w:r w:rsidR="00423061">
        <w:rPr>
          <w:rStyle w:val="FootnoteTextChar"/>
        </w:rPr>
        <w:t xml:space="preserve">elements </w:t>
      </w:r>
      <w:r w:rsidR="4C35A48A" w:rsidRPr="00FF00C8">
        <w:rPr>
          <w:rStyle w:val="FootnoteTextChar"/>
        </w:rPr>
        <w:t>are included in other SDG&amp;E steps</w:t>
      </w:r>
      <w:r w:rsidR="00A01FD5">
        <w:rPr>
          <w:rStyle w:val="FootnoteTextChar"/>
        </w:rPr>
        <w:t xml:space="preserve"> (e.g., how the dependencies step is distributed across other steps)</w:t>
      </w:r>
      <w:r w:rsidR="4C35A48A" w:rsidRPr="00FF00C8">
        <w:rPr>
          <w:rStyle w:val="FootnoteTextChar"/>
        </w:rPr>
        <w:t xml:space="preserve"> and how it may or </w:t>
      </w:r>
      <w:r w:rsidR="00423061">
        <w:rPr>
          <w:rStyle w:val="FootnoteTextChar"/>
        </w:rPr>
        <w:t xml:space="preserve">may </w:t>
      </w:r>
      <w:r w:rsidR="4C35A48A" w:rsidRPr="00FF00C8">
        <w:rPr>
          <w:rStyle w:val="FootnoteTextChar"/>
        </w:rPr>
        <w:t>not</w:t>
      </w:r>
      <w:r w:rsidR="00423061">
        <w:rPr>
          <w:rStyle w:val="FootnoteTextChar"/>
        </w:rPr>
        <w:t xml:space="preserve"> align</w:t>
      </w:r>
      <w:r w:rsidR="4C35A48A" w:rsidRPr="00FF00C8">
        <w:rPr>
          <w:rStyle w:val="FootnoteTextChar"/>
        </w:rPr>
        <w:t xml:space="preserve"> to the assumptions used in developing the IOU </w:t>
      </w:r>
      <w:r w:rsidR="0F9D900D" w:rsidRPr="00FF00C8">
        <w:rPr>
          <w:rStyle w:val="FootnoteTextChar"/>
        </w:rPr>
        <w:t>dependent energization step timeline,</w:t>
      </w:r>
      <w:r w:rsidR="5B527BD4" w:rsidRPr="00FF00C8">
        <w:rPr>
          <w:rStyle w:val="FootnoteTextChar"/>
        </w:rPr>
        <w:t xml:space="preserve"> the SDG&amp;E timeline may </w:t>
      </w:r>
      <w:r w:rsidR="41E257B9" w:rsidRPr="00FF00C8">
        <w:rPr>
          <w:rStyle w:val="FootnoteTextChar"/>
        </w:rPr>
        <w:t xml:space="preserve">vary upon further </w:t>
      </w:r>
      <w:r w:rsidR="00EC1783">
        <w:rPr>
          <w:rStyle w:val="FootnoteTextChar"/>
        </w:rPr>
        <w:t>insight</w:t>
      </w:r>
      <w:r w:rsidR="41E257B9" w:rsidRPr="00FF00C8">
        <w:rPr>
          <w:rStyle w:val="FootnoteTextChar"/>
        </w:rPr>
        <w:t xml:space="preserve"> of the </w:t>
      </w:r>
      <w:r w:rsidR="4DBD9ADA" w:rsidRPr="00FF00C8">
        <w:rPr>
          <w:rStyle w:val="FootnoteTextChar"/>
        </w:rPr>
        <w:t xml:space="preserve">data provided for </w:t>
      </w:r>
      <w:r w:rsidR="4A591601" w:rsidRPr="00FF00C8">
        <w:rPr>
          <w:rStyle w:val="FootnoteTextChar"/>
        </w:rPr>
        <w:t>this analysis.</w:t>
      </w:r>
    </w:p>
  </w:footnote>
  <w:footnote w:id="10">
    <w:p w14:paraId="5CF10A94" w14:textId="77777777" w:rsidR="005F089F" w:rsidRDefault="005F089F" w:rsidP="005F089F">
      <w:pPr>
        <w:pStyle w:val="FootnoteText"/>
      </w:pPr>
      <w:r>
        <w:rPr>
          <w:rStyle w:val="FootnoteReference"/>
        </w:rPr>
        <w:footnoteRef/>
      </w:r>
      <w:r>
        <w:t xml:space="preserve"> </w:t>
      </w:r>
      <w:r w:rsidRPr="002E2D3B">
        <w:t xml:space="preserve">PG&amp;E utilized the complete raw data they provided to calculate statistics. Notably, the dataset does not include Rule 15/29 data as they claim to have too few projects associated with that rule. </w:t>
      </w:r>
      <w:r w:rsidRPr="003B2A0F">
        <w:t>Additionally, there is no Rule 45 data for PG&amp;E as this rule only applies to SDG&amp;E.</w:t>
      </w:r>
      <w:r w:rsidRPr="002E2D3B">
        <w:t xml:space="preserve"> </w:t>
      </w:r>
    </w:p>
  </w:footnote>
  <w:footnote w:id="11">
    <w:p w14:paraId="262FC9AD" w14:textId="77777777" w:rsidR="005F089F" w:rsidRDefault="005F089F" w:rsidP="005F089F">
      <w:pPr>
        <w:pStyle w:val="FootnoteText"/>
      </w:pPr>
      <w:r w:rsidRPr="002E2D3B">
        <w:rPr>
          <w:rStyle w:val="FootnoteReference"/>
          <w:rFonts w:asciiTheme="minorHAnsi" w:hAnsiTheme="minorHAnsi" w:cstheme="minorHAnsi"/>
        </w:rPr>
        <w:footnoteRef/>
      </w:r>
      <w:r w:rsidRPr="002E2D3B">
        <w:rPr>
          <w:rFonts w:asciiTheme="minorHAnsi" w:hAnsiTheme="minorHAnsi" w:cstheme="minorHAnsi"/>
        </w:rPr>
        <w:t xml:space="preserve"> </w:t>
      </w:r>
      <w:r w:rsidRPr="002B51B5">
        <w:rPr>
          <w:rStyle w:val="FootnoteTextChar"/>
          <w:rFonts w:cs="Arial"/>
        </w:rPr>
        <w:t>While SCE did provide statistics for Rule 29 and Rule 15/29, Guidehouse did not include the data from these Rules in calculations since a) the SCE Rule 29 raw data was limited in project counts and b) SCE did not provide any raw data for Rule 15/29.</w:t>
      </w:r>
      <w:r w:rsidRPr="00C355FA">
        <w:rPr>
          <w:rStyle w:val="cf01"/>
          <w:rFonts w:cs="Aria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BBFDC" w14:textId="4716AEFD" w:rsidR="003B593F" w:rsidRPr="00A676A3" w:rsidRDefault="00A676A3" w:rsidP="00A676A3">
    <w:pPr>
      <w:pStyle w:val="Header"/>
      <w:rPr>
        <w:rFonts w:ascii="Book Antiqua" w:hAnsi="Book Antiqua"/>
        <w:sz w:val="26"/>
        <w:szCs w:val="26"/>
      </w:rPr>
    </w:pPr>
    <w:r>
      <w:rPr>
        <w:rFonts w:ascii="Book Antiqua" w:hAnsi="Book Antiqua"/>
        <w:sz w:val="26"/>
        <w:szCs w:val="26"/>
      </w:rPr>
      <w:t>R.24-01-018  COM/ARD/jnf</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589E0" w14:textId="77777777" w:rsidR="00A676A3" w:rsidRDefault="00A676A3" w:rsidP="00E8061E">
    <w:pPr>
      <w:pStyle w:val="Header"/>
    </w:pPr>
    <w:r w:rsidRPr="00FB65FA">
      <w:rPr>
        <w:noProof/>
      </w:rPr>
      <w:drawing>
        <wp:anchor distT="0" distB="0" distL="114300" distR="114300" simplePos="0" relativeHeight="251660290" behindDoc="1" locked="0" layoutInCell="1" allowOverlap="1" wp14:anchorId="2954C584" wp14:editId="342A2767">
          <wp:simplePos x="0" y="0"/>
          <wp:positionH relativeFrom="column">
            <wp:align>center</wp:align>
          </wp:positionH>
          <wp:positionV relativeFrom="page">
            <wp:align>top</wp:align>
          </wp:positionV>
          <wp:extent cx="7854696" cy="3895344"/>
          <wp:effectExtent l="0" t="0" r="0" b="0"/>
          <wp:wrapNone/>
          <wp:docPr id="7058489" name="Picture 7058489"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p w14:paraId="76171F81" w14:textId="77777777" w:rsidR="00A676A3" w:rsidRDefault="00A676A3" w:rsidP="00E8061E">
    <w:pPr>
      <w:pStyle w:val="Header"/>
    </w:pPr>
    <w:r>
      <w:rPr>
        <w:noProof/>
      </w:rPr>
      <w:drawing>
        <wp:inline distT="0" distB="0" distL="0" distR="0" wp14:anchorId="50367B13" wp14:editId="551C6DE1">
          <wp:extent cx="1900052" cy="630165"/>
          <wp:effectExtent l="0" t="0" r="5080" b="0"/>
          <wp:docPr id="111485723" name="Picture 11148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p w14:paraId="70207C7D" w14:textId="77777777" w:rsidR="00A676A3" w:rsidRPr="00E8061E" w:rsidRDefault="00A676A3" w:rsidP="00E806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AA515A" w14:paraId="2CF91294" w14:textId="77777777" w:rsidTr="00E8061E">
      <w:trPr>
        <w:jc w:val="center"/>
      </w:trPr>
      <w:tc>
        <w:tcPr>
          <w:tcW w:w="1980" w:type="dxa"/>
          <w:vAlign w:val="center"/>
        </w:tcPr>
        <w:p w14:paraId="474DF638" w14:textId="77777777" w:rsidR="00AA515A" w:rsidRPr="006A71F6" w:rsidRDefault="00E8061E" w:rsidP="00B21048">
          <w:pPr>
            <w:pStyle w:val="Header"/>
          </w:pPr>
          <w:r>
            <w:rPr>
              <w:noProof/>
            </w:rPr>
            <w:drawing>
              <wp:inline distT="0" distB="0" distL="0" distR="0" wp14:anchorId="07C4E9BD" wp14:editId="2847B328">
                <wp:extent cx="1066800" cy="353812"/>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14EB967E" w14:textId="5E7EA4B1" w:rsidR="00AA515A" w:rsidRPr="007B09EC" w:rsidRDefault="00AA515A" w:rsidP="00E8061E">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6B7772">
            <w:rPr>
              <w:bCs/>
              <w:noProof/>
            </w:rPr>
            <w:t>Statewide Energization Timelines Analyses Report</w:t>
          </w:r>
          <w:r>
            <w:rPr>
              <w:bCs/>
              <w:noProof/>
            </w:rPr>
            <w:fldChar w:fldCharType="end"/>
          </w:r>
        </w:p>
      </w:tc>
    </w:tr>
  </w:tbl>
  <w:p w14:paraId="6A4A7115" w14:textId="77777777" w:rsidR="00AA515A" w:rsidRPr="00B21048" w:rsidRDefault="00AA515A" w:rsidP="00B2104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2ED71" w14:textId="77777777" w:rsidR="005E0D7F" w:rsidRDefault="00A7087B">
    <w:pPr>
      <w:pStyle w:val="Header"/>
    </w:pPr>
    <w:r>
      <w:rPr>
        <w:noProof/>
      </w:rPr>
      <mc:AlternateContent>
        <mc:Choice Requires="wps">
          <w:drawing>
            <wp:anchor distT="0" distB="0" distL="0" distR="0" simplePos="0" relativeHeight="251658241" behindDoc="0" locked="0" layoutInCell="1" allowOverlap="1" wp14:anchorId="163C61BC" wp14:editId="257E1F06">
              <wp:simplePos x="635" y="635"/>
              <wp:positionH relativeFrom="page">
                <wp:align>left</wp:align>
              </wp:positionH>
              <wp:positionV relativeFrom="page">
                <wp:align>top</wp:align>
              </wp:positionV>
              <wp:extent cx="443865" cy="443865"/>
              <wp:effectExtent l="0" t="0" r="13335" b="4445"/>
              <wp:wrapNone/>
              <wp:docPr id="5" name="Text Box 5" descr="CLIENT PROPRIETARY \ PRIVILEGED AND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F1C97E" w14:textId="77777777" w:rsidR="00A7087B" w:rsidRPr="00DF6FC7" w:rsidRDefault="00A7087B" w:rsidP="00A7087B">
                          <w:pPr>
                            <w:rPr>
                              <w:rFonts w:ascii="Calibri" w:eastAsia="Calibri" w:hAnsi="Calibri" w:cs="Calibri"/>
                              <w:noProof/>
                              <w:color w:val="FF0000"/>
                              <w:sz w:val="20"/>
                            </w:rPr>
                          </w:pPr>
                          <w:r w:rsidRPr="00DF6FC7">
                            <w:rPr>
                              <w:rFonts w:ascii="Calibri" w:eastAsia="Calibri" w:hAnsi="Calibri" w:cs="Calibri"/>
                              <w:noProof/>
                              <w:color w:val="FF0000"/>
                              <w:sz w:val="20"/>
                            </w:rPr>
                            <w:t>CLIENT PROPRIETARY \ PRIVILEGED AND CONFIDENTIAL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63C61BC" id="_x0000_t202" coordsize="21600,21600" o:spt="202" path="m,l,21600r21600,l21600,xe">
              <v:stroke joinstyle="miter"/>
              <v:path gradientshapeok="t" o:connecttype="rect"/>
            </v:shapetype>
            <v:shape id="Text Box 5" o:spid="_x0000_s1026" type="#_x0000_t202" alt="CLIENT PROPRIETARY \ PRIVILEGED AND CONFIDENTIAL" style="position:absolute;margin-left:0;margin-top:0;width:34.95pt;height:34.95pt;z-index:251658241;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textbox style="mso-fit-shape-to-text:t" inset="20pt,15pt,0,0">
                <w:txbxContent>
                  <w:p w14:paraId="30F1C97E" w14:textId="77777777" w:rsidR="00A7087B" w:rsidRPr="00DF6FC7" w:rsidRDefault="00A7087B" w:rsidP="00A7087B">
                    <w:pPr>
                      <w:rPr>
                        <w:rFonts w:ascii="Calibri" w:eastAsia="Calibri" w:hAnsi="Calibri" w:cs="Calibri"/>
                        <w:noProof/>
                        <w:color w:val="FF0000"/>
                        <w:sz w:val="20"/>
                      </w:rPr>
                    </w:pPr>
                    <w:r w:rsidRPr="00DF6FC7">
                      <w:rPr>
                        <w:rFonts w:ascii="Calibri" w:eastAsia="Calibri" w:hAnsi="Calibri" w:cs="Calibri"/>
                        <w:noProof/>
                        <w:color w:val="FF0000"/>
                        <w:sz w:val="20"/>
                      </w:rPr>
                      <w:t>CLIENT PROPRIETARY \ PRIVILEGED AND CONFIDENTIAL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96BCA8" w14:textId="0FABA53C" w:rsidR="005E0D7F" w:rsidRDefault="00A7087B" w:rsidP="000F087F">
    <w:pPr>
      <w:pStyle w:val="Header"/>
      <w:tabs>
        <w:tab w:val="clear" w:pos="4680"/>
        <w:tab w:val="center" w:pos="4320"/>
      </w:tabs>
    </w:pPr>
    <w:r>
      <w:rPr>
        <w:noProof/>
      </w:rPr>
      <w:drawing>
        <wp:inline distT="0" distB="0" distL="0" distR="0" wp14:anchorId="7A41E19F" wp14:editId="46EEAE90">
          <wp:extent cx="1066800" cy="353812"/>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r>
      <w:tab/>
    </w:r>
    <w:r w:rsidR="00D22353">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CB9F5" w14:textId="77777777" w:rsidR="005E0D7F" w:rsidRDefault="00A7087B">
    <w:pPr>
      <w:pStyle w:val="Header"/>
    </w:pPr>
    <w:r>
      <w:rPr>
        <w:noProof/>
      </w:rPr>
      <mc:AlternateContent>
        <mc:Choice Requires="wps">
          <w:drawing>
            <wp:anchor distT="0" distB="0" distL="0" distR="0" simplePos="0" relativeHeight="251658242" behindDoc="0" locked="0" layoutInCell="1" allowOverlap="1" wp14:anchorId="6F14418A" wp14:editId="77234C28">
              <wp:simplePos x="635" y="635"/>
              <wp:positionH relativeFrom="page">
                <wp:align>left</wp:align>
              </wp:positionH>
              <wp:positionV relativeFrom="page">
                <wp:align>top</wp:align>
              </wp:positionV>
              <wp:extent cx="443865" cy="443865"/>
              <wp:effectExtent l="0" t="0" r="13335" b="4445"/>
              <wp:wrapNone/>
              <wp:docPr id="1" name="Text Box 1" descr="CLIENT PROPRIETARY \ PRIVILEGED AND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CA311F" w14:textId="77777777" w:rsidR="00A7087B" w:rsidRPr="00DF6FC7" w:rsidRDefault="00A7087B" w:rsidP="00A7087B">
                          <w:pPr>
                            <w:rPr>
                              <w:rFonts w:ascii="Calibri" w:eastAsia="Calibri" w:hAnsi="Calibri" w:cs="Calibri"/>
                              <w:noProof/>
                              <w:color w:val="FF0000"/>
                              <w:sz w:val="20"/>
                            </w:rPr>
                          </w:pPr>
                          <w:r w:rsidRPr="00DF6FC7">
                            <w:rPr>
                              <w:rFonts w:ascii="Calibri" w:eastAsia="Calibri" w:hAnsi="Calibri" w:cs="Calibri"/>
                              <w:noProof/>
                              <w:color w:val="FF0000"/>
                              <w:sz w:val="20"/>
                            </w:rPr>
                            <w:t>CLIENT PROPRIETARY \ PRIVILEGED AND CONFIDENTIAL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F14418A" id="_x0000_t202" coordsize="21600,21600" o:spt="202" path="m,l,21600r21600,l21600,xe">
              <v:stroke joinstyle="miter"/>
              <v:path gradientshapeok="t" o:connecttype="rect"/>
            </v:shapetype>
            <v:shape id="Text Box 1" o:spid="_x0000_s1027" type="#_x0000_t202" alt="CLIENT PROPRIETARY \ PRIVILEGED AND CONFIDENTIAL" style="position:absolute;margin-left:0;margin-top:0;width:34.95pt;height:34.95pt;z-index:25165824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EJ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" filled="f" stroked="f">
              <v:textbox style="mso-fit-shape-to-text:t" inset="20pt,15pt,0,0">
                <w:txbxContent>
                  <w:p w14:paraId="18CA311F" w14:textId="77777777" w:rsidR="00A7087B" w:rsidRPr="00DF6FC7" w:rsidRDefault="00A7087B" w:rsidP="00A7087B">
                    <w:pPr>
                      <w:rPr>
                        <w:rFonts w:ascii="Calibri" w:eastAsia="Calibri" w:hAnsi="Calibri" w:cs="Calibri"/>
                        <w:noProof/>
                        <w:color w:val="FF0000"/>
                        <w:sz w:val="20"/>
                      </w:rPr>
                    </w:pPr>
                    <w:r w:rsidRPr="00DF6FC7">
                      <w:rPr>
                        <w:rFonts w:ascii="Calibri" w:eastAsia="Calibri" w:hAnsi="Calibri" w:cs="Calibri"/>
                        <w:noProof/>
                        <w:color w:val="FF0000"/>
                        <w:sz w:val="20"/>
                      </w:rPr>
                      <w:t>CLIENT PROPRIETARY \ PRIVILEGED AND CONFIDENTIAL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E86AA" w14:textId="4E0B942C" w:rsidR="00A676A3" w:rsidRPr="00A676A3" w:rsidRDefault="00A676A3" w:rsidP="000F087F">
    <w:pPr>
      <w:pStyle w:val="Header"/>
      <w:tabs>
        <w:tab w:val="clear" w:pos="4680"/>
        <w:tab w:val="center" w:pos="4320"/>
      </w:tabs>
      <w:rPr>
        <w:rFonts w:ascii="Book Antiqua" w:hAnsi="Book Antiqua"/>
        <w:sz w:val="26"/>
        <w:szCs w:val="26"/>
      </w:rPr>
    </w:pPr>
    <w:r w:rsidRPr="00A676A3">
      <w:rPr>
        <w:rFonts w:ascii="Book Antiqua" w:hAnsi="Book Antiqua"/>
        <w:sz w:val="26"/>
        <w:szCs w:val="26"/>
      </w:rPr>
      <w:t>R.24-01-018  COM/ARD/jnf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800B9F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318336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30082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73C7F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020D43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B2603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CA019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6C1B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2804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334E59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04F72"/>
    <w:multiLevelType w:val="hybridMultilevel"/>
    <w:tmpl w:val="D8B881F4"/>
    <w:lvl w:ilvl="0" w:tplc="01B6E23A">
      <w:start w:val="1"/>
      <w:numFmt w:val="decimal"/>
      <w:lvlText w:val="%1."/>
      <w:lvlJc w:val="left"/>
      <w:pPr>
        <w:ind w:left="360" w:hanging="360"/>
      </w:pPr>
      <w:rPr>
        <w:rFonts w:ascii="Arial" w:hAnsi="Arial" w:hint="default"/>
        <w:sz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065179FF"/>
    <w:multiLevelType w:val="multilevel"/>
    <w:tmpl w:val="4E6A9A44"/>
    <w:lvl w:ilvl="0">
      <w:start w:val="1"/>
      <w:numFmt w:val="decimal"/>
      <w:pStyle w:val="Heading1"/>
      <w:suff w:val="space"/>
      <w:lvlText w:val="%1."/>
      <w:lvlJc w:val="left"/>
      <w:pPr>
        <w:ind w:left="432" w:hanging="432"/>
      </w:pPr>
      <w:rPr>
        <w:rFonts w:ascii="Arial" w:hAnsi="Arial" w:cs="Arial" w:hint="default"/>
        <w:b/>
        <w:i w:val="0"/>
        <w:caps w:val="0"/>
        <w:color w:val="auto"/>
        <w:spacing w:val="0"/>
        <w:sz w:val="32"/>
      </w:rPr>
    </w:lvl>
    <w:lvl w:ilvl="1">
      <w:start w:val="1"/>
      <w:numFmt w:val="decimal"/>
      <w:pStyle w:val="Heading2"/>
      <w:suff w:val="space"/>
      <w:lvlText w:val="%1.%2"/>
      <w:lvlJc w:val="left"/>
      <w:pPr>
        <w:ind w:left="1080" w:hanging="720"/>
      </w:pPr>
      <w:rPr>
        <w:rFonts w:ascii="Arial" w:hAnsi="Arial" w:cs="Arial" w:hint="default"/>
        <w:b/>
        <w:i w:val="0"/>
        <w:caps w:val="0"/>
        <w:vanish w:val="0"/>
        <w:color w:val="auto"/>
        <w:sz w:val="28"/>
      </w:rPr>
    </w:lvl>
    <w:lvl w:ilvl="2">
      <w:start w:val="1"/>
      <w:numFmt w:val="decimal"/>
      <w:pStyle w:val="Heading3"/>
      <w:suff w:val="space"/>
      <w:lvlText w:val="%1.%2.%3"/>
      <w:lvlJc w:val="left"/>
      <w:pPr>
        <w:ind w:left="720" w:hanging="720"/>
      </w:pPr>
      <w:rPr>
        <w:rFonts w:ascii="Arial" w:hAnsi="Arial" w:cs="Arial" w:hint="default"/>
        <w:b/>
        <w:i w:val="0"/>
        <w:iCs w:val="0"/>
        <w:caps w:val="0"/>
        <w:vanish w:val="0"/>
        <w:color w:val="auto"/>
        <w:sz w:val="24"/>
      </w:rPr>
    </w:lvl>
    <w:lvl w:ilvl="3">
      <w:start w:val="1"/>
      <w:numFmt w:val="decimal"/>
      <w:pStyle w:val="Heading4"/>
      <w:suff w:val="space"/>
      <w:lvlText w:val="%1.%2.%3.%4"/>
      <w:lvlJc w:val="left"/>
      <w:pPr>
        <w:ind w:left="864" w:hanging="864"/>
      </w:pPr>
      <w:rPr>
        <w:rFonts w:ascii="Arial" w:hAnsi="Arial" w:cs="Arial" w:hint="default"/>
        <w:b/>
        <w:i/>
        <w:caps w:val="0"/>
        <w:vanish w:val="0"/>
        <w:color w:val="auto"/>
        <w:kern w:val="0"/>
        <w:position w:val="0"/>
        <w:sz w:val="22"/>
      </w:rPr>
    </w:lvl>
    <w:lvl w:ilvl="4">
      <w:start w:val="1"/>
      <w:numFmt w:val="upperLetter"/>
      <w:pStyle w:val="Heading5"/>
      <w:suff w:val="space"/>
      <w:lvlText w:val="Appendix %5."/>
      <w:lvlJc w:val="left"/>
      <w:pPr>
        <w:ind w:left="0" w:firstLine="0"/>
      </w:pPr>
      <w:rPr>
        <w:rFonts w:ascii="Arial" w:hAnsi="Arial" w:cs="Arial" w:hint="default"/>
        <w:b/>
        <w:bCs w:val="0"/>
        <w:i w:val="0"/>
        <w:iCs w:val="0"/>
        <w:caps w:val="0"/>
        <w:smallCaps w:val="0"/>
        <w:strike w:val="0"/>
        <w:dstrike w:val="0"/>
        <w:noProof w:val="0"/>
        <w:vanish w:val="0"/>
        <w:color w:val="auto"/>
        <w:spacing w:val="0"/>
        <w:kern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5.%6"/>
      <w:lvlJc w:val="left"/>
      <w:pPr>
        <w:ind w:left="720" w:hanging="720"/>
      </w:pPr>
      <w:rPr>
        <w:rFonts w:ascii="Arial" w:hAnsi="Arial" w:cs="Arial" w:hint="default"/>
        <w:b/>
        <w:i w:val="0"/>
        <w:caps w:val="0"/>
        <w:vanish w:val="0"/>
        <w:color w:val="auto"/>
        <w:kern w:val="0"/>
        <w:sz w:val="28"/>
      </w:rPr>
    </w:lvl>
    <w:lvl w:ilvl="6">
      <w:start w:val="1"/>
      <w:numFmt w:val="decimal"/>
      <w:pStyle w:val="Heading7"/>
      <w:lvlText w:val="%5.%6.%7"/>
      <w:lvlJc w:val="left"/>
      <w:pPr>
        <w:ind w:left="720" w:hanging="720"/>
      </w:pPr>
      <w:rPr>
        <w:rFonts w:ascii="Arial" w:hAnsi="Arial" w:cs="Arial" w:hint="default"/>
        <w:b/>
        <w:i w:val="0"/>
        <w:caps w:val="0"/>
        <w:vanish w:val="0"/>
        <w:color w:val="auto"/>
        <w:sz w:val="24"/>
      </w:rPr>
    </w:lvl>
    <w:lvl w:ilvl="7">
      <w:start w:val="1"/>
      <w:numFmt w:val="none"/>
      <w:lvlText w:val=""/>
      <w:lvlJc w:val="left"/>
      <w:pPr>
        <w:ind w:left="720" w:hanging="720"/>
      </w:pPr>
      <w:rPr>
        <w:rFonts w:ascii="Arial Bold" w:hAnsi="Arial Bold" w:hint="default"/>
        <w:b/>
        <w:i w:val="0"/>
        <w:caps w:val="0"/>
        <w:vanish w:val="0"/>
        <w:color w:val="auto"/>
        <w:sz w:val="32"/>
        <w:u w:color="FFFFFF"/>
      </w:rPr>
    </w:lvl>
    <w:lvl w:ilvl="8">
      <w:start w:val="1"/>
      <w:numFmt w:val="none"/>
      <w:lvlText w:val=""/>
      <w:lvlJc w:val="left"/>
      <w:pPr>
        <w:ind w:left="1584" w:hanging="1584"/>
      </w:pPr>
      <w:rPr>
        <w:rFonts w:ascii="Arial Bold" w:hAnsi="Arial Bold" w:hint="default"/>
        <w:b/>
        <w:i w:val="0"/>
        <w:caps w:val="0"/>
        <w:vanish w:val="0"/>
        <w:color w:val="auto"/>
        <w:sz w:val="28"/>
      </w:rPr>
    </w:lvl>
  </w:abstractNum>
  <w:abstractNum w:abstractNumId="12"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A4035DB"/>
    <w:multiLevelType w:val="hybridMultilevel"/>
    <w:tmpl w:val="8140D16C"/>
    <w:lvl w:ilvl="0" w:tplc="A5DA2B04">
      <w:start w:val="1"/>
      <w:numFmt w:val="bullet"/>
      <w:lvlText w:val=""/>
      <w:lvlJc w:val="left"/>
      <w:pPr>
        <w:ind w:left="1440" w:hanging="360"/>
      </w:pPr>
      <w:rPr>
        <w:rFonts w:ascii="Symbol" w:hAnsi="Symbol"/>
      </w:rPr>
    </w:lvl>
    <w:lvl w:ilvl="1" w:tplc="B98251A4">
      <w:start w:val="1"/>
      <w:numFmt w:val="bullet"/>
      <w:lvlText w:val=""/>
      <w:lvlJc w:val="left"/>
      <w:pPr>
        <w:ind w:left="1440" w:hanging="360"/>
      </w:pPr>
      <w:rPr>
        <w:rFonts w:ascii="Symbol" w:hAnsi="Symbol"/>
      </w:rPr>
    </w:lvl>
    <w:lvl w:ilvl="2" w:tplc="835E4274">
      <w:start w:val="1"/>
      <w:numFmt w:val="bullet"/>
      <w:lvlText w:val=""/>
      <w:lvlJc w:val="left"/>
      <w:pPr>
        <w:ind w:left="1440" w:hanging="360"/>
      </w:pPr>
      <w:rPr>
        <w:rFonts w:ascii="Symbol" w:hAnsi="Symbol"/>
      </w:rPr>
    </w:lvl>
    <w:lvl w:ilvl="3" w:tplc="D388B4A8">
      <w:start w:val="1"/>
      <w:numFmt w:val="bullet"/>
      <w:lvlText w:val=""/>
      <w:lvlJc w:val="left"/>
      <w:pPr>
        <w:ind w:left="1440" w:hanging="360"/>
      </w:pPr>
      <w:rPr>
        <w:rFonts w:ascii="Symbol" w:hAnsi="Symbol"/>
      </w:rPr>
    </w:lvl>
    <w:lvl w:ilvl="4" w:tplc="2BCC7A18">
      <w:start w:val="1"/>
      <w:numFmt w:val="bullet"/>
      <w:lvlText w:val=""/>
      <w:lvlJc w:val="left"/>
      <w:pPr>
        <w:ind w:left="1440" w:hanging="360"/>
      </w:pPr>
      <w:rPr>
        <w:rFonts w:ascii="Symbol" w:hAnsi="Symbol"/>
      </w:rPr>
    </w:lvl>
    <w:lvl w:ilvl="5" w:tplc="6CA45658">
      <w:start w:val="1"/>
      <w:numFmt w:val="bullet"/>
      <w:lvlText w:val=""/>
      <w:lvlJc w:val="left"/>
      <w:pPr>
        <w:ind w:left="1440" w:hanging="360"/>
      </w:pPr>
      <w:rPr>
        <w:rFonts w:ascii="Symbol" w:hAnsi="Symbol"/>
      </w:rPr>
    </w:lvl>
    <w:lvl w:ilvl="6" w:tplc="F1D401DC">
      <w:start w:val="1"/>
      <w:numFmt w:val="bullet"/>
      <w:lvlText w:val=""/>
      <w:lvlJc w:val="left"/>
      <w:pPr>
        <w:ind w:left="1440" w:hanging="360"/>
      </w:pPr>
      <w:rPr>
        <w:rFonts w:ascii="Symbol" w:hAnsi="Symbol"/>
      </w:rPr>
    </w:lvl>
    <w:lvl w:ilvl="7" w:tplc="C7D600EA">
      <w:start w:val="1"/>
      <w:numFmt w:val="bullet"/>
      <w:lvlText w:val=""/>
      <w:lvlJc w:val="left"/>
      <w:pPr>
        <w:ind w:left="1440" w:hanging="360"/>
      </w:pPr>
      <w:rPr>
        <w:rFonts w:ascii="Symbol" w:hAnsi="Symbol"/>
      </w:rPr>
    </w:lvl>
    <w:lvl w:ilvl="8" w:tplc="6CA223A0">
      <w:start w:val="1"/>
      <w:numFmt w:val="bullet"/>
      <w:lvlText w:val=""/>
      <w:lvlJc w:val="left"/>
      <w:pPr>
        <w:ind w:left="1440" w:hanging="360"/>
      </w:pPr>
      <w:rPr>
        <w:rFonts w:ascii="Symbol" w:hAnsi="Symbol"/>
      </w:rPr>
    </w:lvl>
  </w:abstractNum>
  <w:abstractNum w:abstractNumId="15" w15:restartNumberingAfterBreak="0">
    <w:nsid w:val="1C9C3BAB"/>
    <w:multiLevelType w:val="hybridMultilevel"/>
    <w:tmpl w:val="C2500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4E7D67"/>
    <w:multiLevelType w:val="hybridMultilevel"/>
    <w:tmpl w:val="9E48CD1A"/>
    <w:lvl w:ilvl="0" w:tplc="0CDCA1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3954686"/>
    <w:multiLevelType w:val="hybridMultilevel"/>
    <w:tmpl w:val="189C591C"/>
    <w:lvl w:ilvl="0" w:tplc="F878AC9A">
      <w:start w:val="1"/>
      <w:numFmt w:val="decimal"/>
      <w:pStyle w:val="GHTableCaption"/>
      <w:lvlText w:val="Tabl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4C019F"/>
    <w:multiLevelType w:val="hybridMultilevel"/>
    <w:tmpl w:val="FC70191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9163A5"/>
    <w:multiLevelType w:val="hybridMultilevel"/>
    <w:tmpl w:val="E8EC4206"/>
    <w:lvl w:ilvl="0" w:tplc="442CDF74">
      <w:start w:val="1"/>
      <w:numFmt w:val="bullet"/>
      <w:pStyle w:val="TableBullet"/>
      <w:lvlText w:val=""/>
      <w:lvlJc w:val="left"/>
      <w:pPr>
        <w:ind w:left="720" w:hanging="360"/>
      </w:pPr>
      <w:rPr>
        <w:rFonts w:ascii="Symbol" w:hAnsi="Symbol" w:hint="default"/>
        <w:color w:val="auto"/>
        <w:u w:val="none"/>
      </w:rPr>
    </w:lvl>
    <w:lvl w:ilvl="1" w:tplc="3500AB7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942CFE"/>
    <w:multiLevelType w:val="hybridMultilevel"/>
    <w:tmpl w:val="B3008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8A7ABA"/>
    <w:multiLevelType w:val="hybridMultilevel"/>
    <w:tmpl w:val="6A188204"/>
    <w:lvl w:ilvl="0" w:tplc="FFFFFFFF">
      <w:numFmt w:val="bullet"/>
      <w:lvlText w:val=""/>
      <w:lvlJc w:val="left"/>
      <w:pPr>
        <w:ind w:left="360" w:hanging="360"/>
      </w:pPr>
      <w:rPr>
        <w:rFonts w:ascii="Symbol" w:eastAsiaTheme="minorHAnsi" w:hAnsi="Symbol" w:cstheme="minorBidi" w:hint="default"/>
      </w:rPr>
    </w:lvl>
    <w:lvl w:ilvl="1" w:tplc="04090001">
      <w:start w:val="1"/>
      <w:numFmt w:val="bullet"/>
      <w:lvlText w:val=""/>
      <w:lvlJc w:val="left"/>
      <w:pPr>
        <w:ind w:left="777" w:hanging="360"/>
      </w:pPr>
      <w:rPr>
        <w:rFonts w:ascii="Symbol" w:hAnsi="Symbol" w:hint="default"/>
      </w:rPr>
    </w:lvl>
    <w:lvl w:ilvl="2" w:tplc="FFFFFFFF">
      <w:start w:val="1"/>
      <w:numFmt w:val="bullet"/>
      <w:lvlText w:val="o"/>
      <w:lvlJc w:val="left"/>
      <w:pPr>
        <w:ind w:left="1800" w:hanging="360"/>
      </w:pPr>
      <w:rPr>
        <w:rFonts w:ascii="Courier New" w:hAnsi="Courier New" w:cs="Courier New"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347246AE"/>
    <w:multiLevelType w:val="hybridMultilevel"/>
    <w:tmpl w:val="A24A9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5833F5"/>
    <w:multiLevelType w:val="hybridMultilevel"/>
    <w:tmpl w:val="2B04B8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D470830"/>
    <w:multiLevelType w:val="hybridMultilevel"/>
    <w:tmpl w:val="B9E056C0"/>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8" w15:restartNumberingAfterBreak="0">
    <w:nsid w:val="4AF56175"/>
    <w:multiLevelType w:val="hybridMultilevel"/>
    <w:tmpl w:val="4284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376ADA"/>
    <w:multiLevelType w:val="hybridMultilevel"/>
    <w:tmpl w:val="DF3A6D0E"/>
    <w:lvl w:ilvl="0" w:tplc="6DC4805C">
      <w:start w:val="1"/>
      <w:numFmt w:val="bullet"/>
      <w:pStyle w:val="TableBullet1"/>
      <w:lvlText w:val=""/>
      <w:lvlJc w:val="left"/>
      <w:pPr>
        <w:tabs>
          <w:tab w:val="num" w:pos="360"/>
        </w:tabs>
        <w:ind w:left="360" w:hanging="360"/>
      </w:pPr>
      <w:rPr>
        <w:rFonts w:ascii="Symbol" w:hAnsi="Symbol"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0E47D52"/>
    <w:multiLevelType w:val="hybridMultilevel"/>
    <w:tmpl w:val="75F0102C"/>
    <w:lvl w:ilvl="0" w:tplc="34AC3026">
      <w:numFmt w:val="bullet"/>
      <w:lvlText w:val=""/>
      <w:lvlJc w:val="left"/>
      <w:pPr>
        <w:ind w:left="360" w:hanging="360"/>
      </w:pPr>
      <w:rPr>
        <w:rFonts w:ascii="Symbol" w:eastAsiaTheme="minorHAnsi" w:hAnsi="Symbol" w:cstheme="minorBidi" w:hint="default"/>
      </w:rPr>
    </w:lvl>
    <w:lvl w:ilvl="1" w:tplc="04090003">
      <w:start w:val="1"/>
      <w:numFmt w:val="bullet"/>
      <w:lvlText w:val="o"/>
      <w:lvlJc w:val="left"/>
      <w:pPr>
        <w:ind w:left="99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24E4CA7"/>
    <w:multiLevelType w:val="hybridMultilevel"/>
    <w:tmpl w:val="D5BAD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B66D69"/>
    <w:multiLevelType w:val="hybridMultilevel"/>
    <w:tmpl w:val="608EC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796032"/>
    <w:multiLevelType w:val="hybridMultilevel"/>
    <w:tmpl w:val="333E1E4C"/>
    <w:lvl w:ilvl="0" w:tplc="6DC6D9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397198"/>
    <w:multiLevelType w:val="hybridMultilevel"/>
    <w:tmpl w:val="4F9EAF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4431EF0"/>
    <w:multiLevelType w:val="hybridMultilevel"/>
    <w:tmpl w:val="40100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ED351B"/>
    <w:multiLevelType w:val="hybridMultilevel"/>
    <w:tmpl w:val="5470CD06"/>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EC23D05"/>
    <w:multiLevelType w:val="hybridMultilevel"/>
    <w:tmpl w:val="FFFFFFFF"/>
    <w:lvl w:ilvl="0" w:tplc="37D0A2E6">
      <w:start w:val="1"/>
      <w:numFmt w:val="decimal"/>
      <w:lvlText w:val="%1."/>
      <w:lvlJc w:val="left"/>
      <w:pPr>
        <w:ind w:left="432" w:hanging="360"/>
      </w:pPr>
    </w:lvl>
    <w:lvl w:ilvl="1" w:tplc="CA16477A">
      <w:start w:val="1"/>
      <w:numFmt w:val="lowerLetter"/>
      <w:lvlText w:val="%2."/>
      <w:lvlJc w:val="left"/>
      <w:pPr>
        <w:ind w:left="1080" w:hanging="360"/>
      </w:pPr>
    </w:lvl>
    <w:lvl w:ilvl="2" w:tplc="A878706A">
      <w:start w:val="1"/>
      <w:numFmt w:val="lowerRoman"/>
      <w:lvlText w:val="%3."/>
      <w:lvlJc w:val="right"/>
      <w:pPr>
        <w:ind w:left="720" w:hanging="180"/>
      </w:pPr>
    </w:lvl>
    <w:lvl w:ilvl="3" w:tplc="FC38BC78">
      <w:start w:val="1"/>
      <w:numFmt w:val="decimal"/>
      <w:lvlText w:val="%4."/>
      <w:lvlJc w:val="left"/>
      <w:pPr>
        <w:ind w:left="864" w:hanging="360"/>
      </w:pPr>
    </w:lvl>
    <w:lvl w:ilvl="4" w:tplc="BC0EEB8A">
      <w:start w:val="1"/>
      <w:numFmt w:val="lowerLetter"/>
      <w:lvlText w:val="%5."/>
      <w:lvlJc w:val="left"/>
      <w:pPr>
        <w:ind w:left="0" w:hanging="360"/>
      </w:pPr>
    </w:lvl>
    <w:lvl w:ilvl="5" w:tplc="D5CEC8B2">
      <w:start w:val="1"/>
      <w:numFmt w:val="lowerRoman"/>
      <w:lvlText w:val="%6."/>
      <w:lvlJc w:val="right"/>
      <w:pPr>
        <w:ind w:left="720" w:hanging="180"/>
      </w:pPr>
    </w:lvl>
    <w:lvl w:ilvl="6" w:tplc="DF66F486">
      <w:start w:val="1"/>
      <w:numFmt w:val="decimal"/>
      <w:lvlText w:val="%7."/>
      <w:lvlJc w:val="left"/>
      <w:pPr>
        <w:ind w:left="720" w:hanging="360"/>
      </w:pPr>
    </w:lvl>
    <w:lvl w:ilvl="7" w:tplc="41DA934A">
      <w:start w:val="1"/>
      <w:numFmt w:val="lowerLetter"/>
      <w:lvlText w:val="%8."/>
      <w:lvlJc w:val="left"/>
      <w:pPr>
        <w:ind w:left="720" w:hanging="360"/>
      </w:pPr>
    </w:lvl>
    <w:lvl w:ilvl="8" w:tplc="0AE0AF30">
      <w:start w:val="1"/>
      <w:numFmt w:val="lowerRoman"/>
      <w:lvlText w:val="%9."/>
      <w:lvlJc w:val="right"/>
      <w:pPr>
        <w:ind w:left="1584" w:hanging="180"/>
      </w:pPr>
    </w:lvl>
  </w:abstractNum>
  <w:abstractNum w:abstractNumId="38" w15:restartNumberingAfterBreak="0">
    <w:nsid w:val="6F653E7F"/>
    <w:multiLevelType w:val="hybridMultilevel"/>
    <w:tmpl w:val="B7CCB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E276D6"/>
    <w:multiLevelType w:val="hybridMultilevel"/>
    <w:tmpl w:val="68061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BB49D8"/>
    <w:multiLevelType w:val="multilevel"/>
    <w:tmpl w:val="EAF0A172"/>
    <w:lvl w:ilvl="0">
      <w:start w:val="1"/>
      <w:numFmt w:val="decimal"/>
      <w:pStyle w:val="AnswerNumbered"/>
      <w:lvlText w:val="%1."/>
      <w:lvlJc w:val="left"/>
      <w:pPr>
        <w:tabs>
          <w:tab w:val="num" w:pos="936"/>
        </w:tabs>
        <w:ind w:left="936" w:hanging="360"/>
      </w:pPr>
      <w:rPr>
        <w:rFonts w:cs="Times New Roman" w:hint="default"/>
      </w:rPr>
    </w:lvl>
    <w:lvl w:ilvl="1">
      <w:start w:val="1"/>
      <w:numFmt w:val="decimal"/>
      <w:lvlText w:val="%1.%2."/>
      <w:lvlJc w:val="left"/>
      <w:pPr>
        <w:tabs>
          <w:tab w:val="num" w:pos="2016"/>
        </w:tabs>
        <w:ind w:left="1368" w:hanging="432"/>
      </w:pPr>
      <w:rPr>
        <w:rFonts w:cs="Times New Roman" w:hint="default"/>
      </w:rPr>
    </w:lvl>
    <w:lvl w:ilvl="2">
      <w:start w:val="1"/>
      <w:numFmt w:val="decimal"/>
      <w:lvlText w:val="%1.%2.%3."/>
      <w:lvlJc w:val="left"/>
      <w:pPr>
        <w:tabs>
          <w:tab w:val="num" w:pos="2736"/>
        </w:tabs>
        <w:ind w:left="1800" w:hanging="504"/>
      </w:pPr>
      <w:rPr>
        <w:rFonts w:cs="Times New Roman" w:hint="default"/>
      </w:rPr>
    </w:lvl>
    <w:lvl w:ilvl="3">
      <w:start w:val="1"/>
      <w:numFmt w:val="decimal"/>
      <w:lvlText w:val="%1.%2.%3.%4."/>
      <w:lvlJc w:val="left"/>
      <w:pPr>
        <w:tabs>
          <w:tab w:val="num" w:pos="3456"/>
        </w:tabs>
        <w:ind w:left="2304" w:hanging="648"/>
      </w:pPr>
      <w:rPr>
        <w:rFonts w:cs="Times New Roman" w:hint="default"/>
      </w:rPr>
    </w:lvl>
    <w:lvl w:ilvl="4">
      <w:start w:val="1"/>
      <w:numFmt w:val="decimal"/>
      <w:lvlText w:val="%1.%2.%3.%4.%5."/>
      <w:lvlJc w:val="left"/>
      <w:pPr>
        <w:tabs>
          <w:tab w:val="num" w:pos="4176"/>
        </w:tabs>
        <w:ind w:left="2808" w:hanging="792"/>
      </w:pPr>
      <w:rPr>
        <w:rFonts w:cs="Times New Roman" w:hint="default"/>
      </w:rPr>
    </w:lvl>
    <w:lvl w:ilvl="5">
      <w:start w:val="1"/>
      <w:numFmt w:val="decimal"/>
      <w:lvlText w:val="%1.%2.%3.%4.%5.%6."/>
      <w:lvlJc w:val="left"/>
      <w:pPr>
        <w:tabs>
          <w:tab w:val="num" w:pos="4896"/>
        </w:tabs>
        <w:ind w:left="3312" w:hanging="936"/>
      </w:pPr>
      <w:rPr>
        <w:rFonts w:cs="Times New Roman" w:hint="default"/>
      </w:rPr>
    </w:lvl>
    <w:lvl w:ilvl="6">
      <w:start w:val="1"/>
      <w:numFmt w:val="decimal"/>
      <w:lvlText w:val="%1.%2.%3.%4.%5.%6.%7."/>
      <w:lvlJc w:val="left"/>
      <w:pPr>
        <w:tabs>
          <w:tab w:val="num" w:pos="5616"/>
        </w:tabs>
        <w:ind w:left="3816" w:hanging="1080"/>
      </w:pPr>
      <w:rPr>
        <w:rFonts w:cs="Times New Roman" w:hint="default"/>
      </w:rPr>
    </w:lvl>
    <w:lvl w:ilvl="7">
      <w:start w:val="1"/>
      <w:numFmt w:val="decimal"/>
      <w:lvlText w:val="%1.%2.%3.%4.%5.%6.%7.%8."/>
      <w:lvlJc w:val="left"/>
      <w:pPr>
        <w:tabs>
          <w:tab w:val="num" w:pos="6336"/>
        </w:tabs>
        <w:ind w:left="4320" w:hanging="1224"/>
      </w:pPr>
      <w:rPr>
        <w:rFonts w:cs="Times New Roman" w:hint="default"/>
      </w:rPr>
    </w:lvl>
    <w:lvl w:ilvl="8">
      <w:start w:val="1"/>
      <w:numFmt w:val="decimal"/>
      <w:lvlText w:val="%1.%2.%3.%4.%5.%6.%7.%8.%9."/>
      <w:lvlJc w:val="left"/>
      <w:pPr>
        <w:tabs>
          <w:tab w:val="num" w:pos="7056"/>
        </w:tabs>
        <w:ind w:left="4896" w:hanging="1440"/>
      </w:pPr>
      <w:rPr>
        <w:rFonts w:cs="Times New Roman" w:hint="default"/>
      </w:rPr>
    </w:lvl>
  </w:abstractNum>
  <w:abstractNum w:abstractNumId="41" w15:restartNumberingAfterBreak="0">
    <w:nsid w:val="7F702CF6"/>
    <w:multiLevelType w:val="hybridMultilevel"/>
    <w:tmpl w:val="3B84B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73854153">
    <w:abstractNumId w:val="24"/>
  </w:num>
  <w:num w:numId="2" w16cid:durableId="1885603383">
    <w:abstractNumId w:val="12"/>
  </w:num>
  <w:num w:numId="3" w16cid:durableId="428814842">
    <w:abstractNumId w:val="13"/>
  </w:num>
  <w:num w:numId="4" w16cid:durableId="1398088211">
    <w:abstractNumId w:val="26"/>
  </w:num>
  <w:num w:numId="5" w16cid:durableId="219102348">
    <w:abstractNumId w:val="19"/>
  </w:num>
  <w:num w:numId="6" w16cid:durableId="1751081331">
    <w:abstractNumId w:val="20"/>
  </w:num>
  <w:num w:numId="7" w16cid:durableId="1595360554">
    <w:abstractNumId w:val="11"/>
  </w:num>
  <w:num w:numId="8" w16cid:durableId="1743520558">
    <w:abstractNumId w:val="9"/>
  </w:num>
  <w:num w:numId="9" w16cid:durableId="900211507">
    <w:abstractNumId w:val="6"/>
  </w:num>
  <w:num w:numId="10" w16cid:durableId="431049966">
    <w:abstractNumId w:val="5"/>
  </w:num>
  <w:num w:numId="11" w16cid:durableId="984091231">
    <w:abstractNumId w:val="4"/>
  </w:num>
  <w:num w:numId="12" w16cid:durableId="1006908711">
    <w:abstractNumId w:val="8"/>
  </w:num>
  <w:num w:numId="13" w16cid:durableId="1548026716">
    <w:abstractNumId w:val="3"/>
  </w:num>
  <w:num w:numId="14" w16cid:durableId="745540880">
    <w:abstractNumId w:val="2"/>
  </w:num>
  <w:num w:numId="15" w16cid:durableId="1483695450">
    <w:abstractNumId w:val="1"/>
  </w:num>
  <w:num w:numId="16" w16cid:durableId="1476796207">
    <w:abstractNumId w:val="0"/>
  </w:num>
  <w:num w:numId="17" w16cid:durableId="1251886528">
    <w:abstractNumId w:val="17"/>
  </w:num>
  <w:num w:numId="18" w16cid:durableId="1766416757">
    <w:abstractNumId w:val="29"/>
  </w:num>
  <w:num w:numId="19" w16cid:durableId="2010480039">
    <w:abstractNumId w:val="40"/>
  </w:num>
  <w:num w:numId="20" w16cid:durableId="68816253">
    <w:abstractNumId w:val="7"/>
  </w:num>
  <w:num w:numId="21" w16cid:durableId="119344589">
    <w:abstractNumId w:val="21"/>
  </w:num>
  <w:num w:numId="22" w16cid:durableId="107167007">
    <w:abstractNumId w:val="41"/>
  </w:num>
  <w:num w:numId="23" w16cid:durableId="1784491895">
    <w:abstractNumId w:val="25"/>
  </w:num>
  <w:num w:numId="24" w16cid:durableId="6605461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4387618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65820915">
    <w:abstractNumId w:val="28"/>
  </w:num>
  <w:num w:numId="27" w16cid:durableId="201405406">
    <w:abstractNumId w:val="9"/>
  </w:num>
  <w:num w:numId="28" w16cid:durableId="38479295">
    <w:abstractNumId w:val="14"/>
  </w:num>
  <w:num w:numId="29" w16cid:durableId="350228850">
    <w:abstractNumId w:val="11"/>
  </w:num>
  <w:num w:numId="30" w16cid:durableId="1995911740">
    <w:abstractNumId w:val="9"/>
  </w:num>
  <w:num w:numId="31" w16cid:durableId="181364123">
    <w:abstractNumId w:val="9"/>
  </w:num>
  <w:num w:numId="32" w16cid:durableId="1267806874">
    <w:abstractNumId w:val="38"/>
  </w:num>
  <w:num w:numId="33" w16cid:durableId="1614283030">
    <w:abstractNumId w:val="9"/>
  </w:num>
  <w:num w:numId="34" w16cid:durableId="1537504226">
    <w:abstractNumId w:val="9"/>
  </w:num>
  <w:num w:numId="35" w16cid:durableId="404228712">
    <w:abstractNumId w:val="9"/>
  </w:num>
  <w:num w:numId="36" w16cid:durableId="1663774665">
    <w:abstractNumId w:val="9"/>
  </w:num>
  <w:num w:numId="37" w16cid:durableId="312371765">
    <w:abstractNumId w:val="27"/>
  </w:num>
  <w:num w:numId="38" w16cid:durableId="316501163">
    <w:abstractNumId w:val="18"/>
  </w:num>
  <w:num w:numId="39" w16cid:durableId="924729324">
    <w:abstractNumId w:val="30"/>
  </w:num>
  <w:num w:numId="40" w16cid:durableId="1131559228">
    <w:abstractNumId w:val="22"/>
  </w:num>
  <w:num w:numId="41" w16cid:durableId="315181937">
    <w:abstractNumId w:val="32"/>
  </w:num>
  <w:num w:numId="42" w16cid:durableId="306714901">
    <w:abstractNumId w:val="36"/>
  </w:num>
  <w:num w:numId="43" w16cid:durableId="1888948630">
    <w:abstractNumId w:val="10"/>
  </w:num>
  <w:num w:numId="44" w16cid:durableId="1437363055">
    <w:abstractNumId w:val="34"/>
  </w:num>
  <w:num w:numId="45" w16cid:durableId="468131509">
    <w:abstractNumId w:val="33"/>
  </w:num>
  <w:num w:numId="46" w16cid:durableId="1365592565">
    <w:abstractNumId w:val="16"/>
  </w:num>
  <w:num w:numId="47" w16cid:durableId="229275624">
    <w:abstractNumId w:val="15"/>
  </w:num>
  <w:num w:numId="48" w16cid:durableId="1061253470">
    <w:abstractNumId w:val="39"/>
  </w:num>
  <w:num w:numId="49" w16cid:durableId="1352226087">
    <w:abstractNumId w:val="31"/>
  </w:num>
  <w:num w:numId="50" w16cid:durableId="382992598">
    <w:abstractNumId w:val="23"/>
  </w:num>
  <w:num w:numId="51" w16cid:durableId="2055500973">
    <w:abstractNumId w:val="35"/>
  </w:num>
  <w:num w:numId="52" w16cid:durableId="122970821">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B9E"/>
    <w:rsid w:val="00000C01"/>
    <w:rsid w:val="0000181E"/>
    <w:rsid w:val="0000184C"/>
    <w:rsid w:val="00001948"/>
    <w:rsid w:val="000019D7"/>
    <w:rsid w:val="00001A92"/>
    <w:rsid w:val="00002CC3"/>
    <w:rsid w:val="00002DC6"/>
    <w:rsid w:val="00002F1F"/>
    <w:rsid w:val="000035AC"/>
    <w:rsid w:val="000038AB"/>
    <w:rsid w:val="0000398F"/>
    <w:rsid w:val="00003C8F"/>
    <w:rsid w:val="00004606"/>
    <w:rsid w:val="00004836"/>
    <w:rsid w:val="000048B6"/>
    <w:rsid w:val="00005274"/>
    <w:rsid w:val="00005A99"/>
    <w:rsid w:val="0000646A"/>
    <w:rsid w:val="000068A3"/>
    <w:rsid w:val="000068CF"/>
    <w:rsid w:val="000069E2"/>
    <w:rsid w:val="00007001"/>
    <w:rsid w:val="00007410"/>
    <w:rsid w:val="0000782A"/>
    <w:rsid w:val="00007C30"/>
    <w:rsid w:val="00010191"/>
    <w:rsid w:val="0001024B"/>
    <w:rsid w:val="0001034C"/>
    <w:rsid w:val="00010E1B"/>
    <w:rsid w:val="00011739"/>
    <w:rsid w:val="00011856"/>
    <w:rsid w:val="00011D02"/>
    <w:rsid w:val="00011DB8"/>
    <w:rsid w:val="0001296E"/>
    <w:rsid w:val="00012AC8"/>
    <w:rsid w:val="00013A1E"/>
    <w:rsid w:val="00013D64"/>
    <w:rsid w:val="00014184"/>
    <w:rsid w:val="000149FB"/>
    <w:rsid w:val="00014C5E"/>
    <w:rsid w:val="0001503C"/>
    <w:rsid w:val="000150E2"/>
    <w:rsid w:val="0001554B"/>
    <w:rsid w:val="000157F9"/>
    <w:rsid w:val="00016151"/>
    <w:rsid w:val="000166D7"/>
    <w:rsid w:val="00016910"/>
    <w:rsid w:val="00016FA2"/>
    <w:rsid w:val="000170DE"/>
    <w:rsid w:val="000179CE"/>
    <w:rsid w:val="00017B85"/>
    <w:rsid w:val="0002005D"/>
    <w:rsid w:val="00020072"/>
    <w:rsid w:val="00020189"/>
    <w:rsid w:val="00020619"/>
    <w:rsid w:val="000212D3"/>
    <w:rsid w:val="000218A1"/>
    <w:rsid w:val="000218FF"/>
    <w:rsid w:val="00021D41"/>
    <w:rsid w:val="00021D4E"/>
    <w:rsid w:val="000222C1"/>
    <w:rsid w:val="0002288F"/>
    <w:rsid w:val="00022A2D"/>
    <w:rsid w:val="00022B3E"/>
    <w:rsid w:val="00022BD0"/>
    <w:rsid w:val="0002316D"/>
    <w:rsid w:val="00023651"/>
    <w:rsid w:val="0002370D"/>
    <w:rsid w:val="00023D0C"/>
    <w:rsid w:val="0002406D"/>
    <w:rsid w:val="00024218"/>
    <w:rsid w:val="00024323"/>
    <w:rsid w:val="00024327"/>
    <w:rsid w:val="000245F7"/>
    <w:rsid w:val="00024726"/>
    <w:rsid w:val="00024A32"/>
    <w:rsid w:val="00024E71"/>
    <w:rsid w:val="000253AB"/>
    <w:rsid w:val="000255FA"/>
    <w:rsid w:val="00025E73"/>
    <w:rsid w:val="00026385"/>
    <w:rsid w:val="00026A6E"/>
    <w:rsid w:val="00026BD9"/>
    <w:rsid w:val="00026C99"/>
    <w:rsid w:val="00027092"/>
    <w:rsid w:val="00030729"/>
    <w:rsid w:val="0003083D"/>
    <w:rsid w:val="000309F6"/>
    <w:rsid w:val="00030FEB"/>
    <w:rsid w:val="000310D1"/>
    <w:rsid w:val="00031165"/>
    <w:rsid w:val="00031391"/>
    <w:rsid w:val="00031F54"/>
    <w:rsid w:val="00032256"/>
    <w:rsid w:val="000329F2"/>
    <w:rsid w:val="00032A3B"/>
    <w:rsid w:val="00032A54"/>
    <w:rsid w:val="00032B57"/>
    <w:rsid w:val="000334E1"/>
    <w:rsid w:val="00033C80"/>
    <w:rsid w:val="00033D1F"/>
    <w:rsid w:val="00033E73"/>
    <w:rsid w:val="00034D37"/>
    <w:rsid w:val="00034D42"/>
    <w:rsid w:val="0003514C"/>
    <w:rsid w:val="00035163"/>
    <w:rsid w:val="0003616C"/>
    <w:rsid w:val="00036CD5"/>
    <w:rsid w:val="00036F06"/>
    <w:rsid w:val="00037191"/>
    <w:rsid w:val="000373FD"/>
    <w:rsid w:val="00037436"/>
    <w:rsid w:val="000378B2"/>
    <w:rsid w:val="000379EB"/>
    <w:rsid w:val="0004014A"/>
    <w:rsid w:val="00040346"/>
    <w:rsid w:val="000406FB"/>
    <w:rsid w:val="000409DE"/>
    <w:rsid w:val="000409F6"/>
    <w:rsid w:val="00041113"/>
    <w:rsid w:val="00041822"/>
    <w:rsid w:val="000418AD"/>
    <w:rsid w:val="00041B19"/>
    <w:rsid w:val="00041DBE"/>
    <w:rsid w:val="00041E3E"/>
    <w:rsid w:val="00041EE3"/>
    <w:rsid w:val="0004204A"/>
    <w:rsid w:val="0004223E"/>
    <w:rsid w:val="000427D4"/>
    <w:rsid w:val="000432B4"/>
    <w:rsid w:val="00043410"/>
    <w:rsid w:val="0004343E"/>
    <w:rsid w:val="00043625"/>
    <w:rsid w:val="00043659"/>
    <w:rsid w:val="00043DB3"/>
    <w:rsid w:val="000440DC"/>
    <w:rsid w:val="000445F3"/>
    <w:rsid w:val="00044738"/>
    <w:rsid w:val="00044C09"/>
    <w:rsid w:val="0004601F"/>
    <w:rsid w:val="00046CA5"/>
    <w:rsid w:val="000476CA"/>
    <w:rsid w:val="0004771F"/>
    <w:rsid w:val="000477EB"/>
    <w:rsid w:val="00047A6B"/>
    <w:rsid w:val="00050069"/>
    <w:rsid w:val="000502A4"/>
    <w:rsid w:val="000502F5"/>
    <w:rsid w:val="00050476"/>
    <w:rsid w:val="00050A87"/>
    <w:rsid w:val="00051F88"/>
    <w:rsid w:val="00052075"/>
    <w:rsid w:val="00052303"/>
    <w:rsid w:val="00052906"/>
    <w:rsid w:val="000534AC"/>
    <w:rsid w:val="00053601"/>
    <w:rsid w:val="00053BD2"/>
    <w:rsid w:val="00053BEE"/>
    <w:rsid w:val="00054DEE"/>
    <w:rsid w:val="00054EA5"/>
    <w:rsid w:val="00054EC4"/>
    <w:rsid w:val="00054F92"/>
    <w:rsid w:val="0005518B"/>
    <w:rsid w:val="00055847"/>
    <w:rsid w:val="00055D36"/>
    <w:rsid w:val="000561C9"/>
    <w:rsid w:val="00056265"/>
    <w:rsid w:val="000571F0"/>
    <w:rsid w:val="00057229"/>
    <w:rsid w:val="00057579"/>
    <w:rsid w:val="00057C6A"/>
    <w:rsid w:val="00057DBE"/>
    <w:rsid w:val="00057FCC"/>
    <w:rsid w:val="00060E26"/>
    <w:rsid w:val="00062449"/>
    <w:rsid w:val="00062A80"/>
    <w:rsid w:val="00062D70"/>
    <w:rsid w:val="000635DC"/>
    <w:rsid w:val="00063776"/>
    <w:rsid w:val="00063DC8"/>
    <w:rsid w:val="00063ED2"/>
    <w:rsid w:val="00064130"/>
    <w:rsid w:val="00064199"/>
    <w:rsid w:val="00064459"/>
    <w:rsid w:val="00064484"/>
    <w:rsid w:val="00064691"/>
    <w:rsid w:val="000646F4"/>
    <w:rsid w:val="00064B2F"/>
    <w:rsid w:val="00066BFA"/>
    <w:rsid w:val="00066D5C"/>
    <w:rsid w:val="00067A51"/>
    <w:rsid w:val="00070B0E"/>
    <w:rsid w:val="00070CB7"/>
    <w:rsid w:val="00070D5A"/>
    <w:rsid w:val="0007123F"/>
    <w:rsid w:val="000714B9"/>
    <w:rsid w:val="00071942"/>
    <w:rsid w:val="00071C2F"/>
    <w:rsid w:val="00072130"/>
    <w:rsid w:val="0007262A"/>
    <w:rsid w:val="000730E3"/>
    <w:rsid w:val="000748BB"/>
    <w:rsid w:val="000749E9"/>
    <w:rsid w:val="00074F49"/>
    <w:rsid w:val="00075022"/>
    <w:rsid w:val="00075123"/>
    <w:rsid w:val="00075531"/>
    <w:rsid w:val="00075537"/>
    <w:rsid w:val="000755C5"/>
    <w:rsid w:val="00075BDA"/>
    <w:rsid w:val="00075E6A"/>
    <w:rsid w:val="00076CB5"/>
    <w:rsid w:val="00077641"/>
    <w:rsid w:val="00077A1F"/>
    <w:rsid w:val="00077EBE"/>
    <w:rsid w:val="00077F72"/>
    <w:rsid w:val="0008033C"/>
    <w:rsid w:val="000807A9"/>
    <w:rsid w:val="00080812"/>
    <w:rsid w:val="000808C9"/>
    <w:rsid w:val="0008155F"/>
    <w:rsid w:val="00081589"/>
    <w:rsid w:val="00081A38"/>
    <w:rsid w:val="00081A78"/>
    <w:rsid w:val="00081DA8"/>
    <w:rsid w:val="000823AC"/>
    <w:rsid w:val="000825E2"/>
    <w:rsid w:val="00082D15"/>
    <w:rsid w:val="00082DF7"/>
    <w:rsid w:val="00082ED9"/>
    <w:rsid w:val="00083B73"/>
    <w:rsid w:val="00083CD3"/>
    <w:rsid w:val="00083F82"/>
    <w:rsid w:val="00084196"/>
    <w:rsid w:val="000841C8"/>
    <w:rsid w:val="000845CB"/>
    <w:rsid w:val="00084C63"/>
    <w:rsid w:val="00084FF5"/>
    <w:rsid w:val="000850A1"/>
    <w:rsid w:val="000850E4"/>
    <w:rsid w:val="00085362"/>
    <w:rsid w:val="00085805"/>
    <w:rsid w:val="0008584F"/>
    <w:rsid w:val="00085D3F"/>
    <w:rsid w:val="00086D57"/>
    <w:rsid w:val="00086D90"/>
    <w:rsid w:val="0009014D"/>
    <w:rsid w:val="000901A5"/>
    <w:rsid w:val="0009021A"/>
    <w:rsid w:val="000904DC"/>
    <w:rsid w:val="00090DAF"/>
    <w:rsid w:val="00090DC1"/>
    <w:rsid w:val="00090E77"/>
    <w:rsid w:val="00090FDA"/>
    <w:rsid w:val="00091003"/>
    <w:rsid w:val="00091C0E"/>
    <w:rsid w:val="00091D47"/>
    <w:rsid w:val="00091EC6"/>
    <w:rsid w:val="00092743"/>
    <w:rsid w:val="00092C50"/>
    <w:rsid w:val="00092FB8"/>
    <w:rsid w:val="000940B6"/>
    <w:rsid w:val="00094286"/>
    <w:rsid w:val="000946BE"/>
    <w:rsid w:val="00094B43"/>
    <w:rsid w:val="00094C7B"/>
    <w:rsid w:val="00095E1B"/>
    <w:rsid w:val="0009608E"/>
    <w:rsid w:val="0009623F"/>
    <w:rsid w:val="00096676"/>
    <w:rsid w:val="00096F94"/>
    <w:rsid w:val="00097280"/>
    <w:rsid w:val="000972A9"/>
    <w:rsid w:val="00097791"/>
    <w:rsid w:val="000977B4"/>
    <w:rsid w:val="000A039D"/>
    <w:rsid w:val="000A03B3"/>
    <w:rsid w:val="000A0C95"/>
    <w:rsid w:val="000A0DDB"/>
    <w:rsid w:val="000A1284"/>
    <w:rsid w:val="000A1B1C"/>
    <w:rsid w:val="000A1EAD"/>
    <w:rsid w:val="000A1EF7"/>
    <w:rsid w:val="000A202B"/>
    <w:rsid w:val="000A204B"/>
    <w:rsid w:val="000A247C"/>
    <w:rsid w:val="000A2719"/>
    <w:rsid w:val="000A28E1"/>
    <w:rsid w:val="000A2C48"/>
    <w:rsid w:val="000A357E"/>
    <w:rsid w:val="000A3784"/>
    <w:rsid w:val="000A38CE"/>
    <w:rsid w:val="000A3D9F"/>
    <w:rsid w:val="000A4528"/>
    <w:rsid w:val="000A46DE"/>
    <w:rsid w:val="000A4E48"/>
    <w:rsid w:val="000A4F12"/>
    <w:rsid w:val="000A5199"/>
    <w:rsid w:val="000A5277"/>
    <w:rsid w:val="000A52D4"/>
    <w:rsid w:val="000A5421"/>
    <w:rsid w:val="000A56F6"/>
    <w:rsid w:val="000A65E9"/>
    <w:rsid w:val="000A69BE"/>
    <w:rsid w:val="000A712A"/>
    <w:rsid w:val="000A7A2B"/>
    <w:rsid w:val="000A7E26"/>
    <w:rsid w:val="000A7F83"/>
    <w:rsid w:val="000B0695"/>
    <w:rsid w:val="000B0700"/>
    <w:rsid w:val="000B0A47"/>
    <w:rsid w:val="000B1534"/>
    <w:rsid w:val="000B1600"/>
    <w:rsid w:val="000B189C"/>
    <w:rsid w:val="000B1AE4"/>
    <w:rsid w:val="000B20D3"/>
    <w:rsid w:val="000B24C0"/>
    <w:rsid w:val="000B2BCB"/>
    <w:rsid w:val="000B2BE9"/>
    <w:rsid w:val="000B2C2D"/>
    <w:rsid w:val="000B2CB2"/>
    <w:rsid w:val="000B2D1E"/>
    <w:rsid w:val="000B3389"/>
    <w:rsid w:val="000B3483"/>
    <w:rsid w:val="000B47E7"/>
    <w:rsid w:val="000B4CE7"/>
    <w:rsid w:val="000B4DCC"/>
    <w:rsid w:val="000B515B"/>
    <w:rsid w:val="000B532F"/>
    <w:rsid w:val="000B606D"/>
    <w:rsid w:val="000B6142"/>
    <w:rsid w:val="000B626B"/>
    <w:rsid w:val="000B643C"/>
    <w:rsid w:val="000B68CE"/>
    <w:rsid w:val="000B698F"/>
    <w:rsid w:val="000B6D57"/>
    <w:rsid w:val="000B7847"/>
    <w:rsid w:val="000B7D4C"/>
    <w:rsid w:val="000C07AA"/>
    <w:rsid w:val="000C0F63"/>
    <w:rsid w:val="000C1395"/>
    <w:rsid w:val="000C145A"/>
    <w:rsid w:val="000C1711"/>
    <w:rsid w:val="000C1DB5"/>
    <w:rsid w:val="000C1FA3"/>
    <w:rsid w:val="000C20F4"/>
    <w:rsid w:val="000C2CB0"/>
    <w:rsid w:val="000C2ED7"/>
    <w:rsid w:val="000C3155"/>
    <w:rsid w:val="000C32B7"/>
    <w:rsid w:val="000C356B"/>
    <w:rsid w:val="000C35E2"/>
    <w:rsid w:val="000C3A19"/>
    <w:rsid w:val="000C3ABE"/>
    <w:rsid w:val="000C3BA6"/>
    <w:rsid w:val="000C4628"/>
    <w:rsid w:val="000C4666"/>
    <w:rsid w:val="000C4F1C"/>
    <w:rsid w:val="000C521C"/>
    <w:rsid w:val="000C52C0"/>
    <w:rsid w:val="000C5374"/>
    <w:rsid w:val="000C5BA1"/>
    <w:rsid w:val="000C5BA4"/>
    <w:rsid w:val="000C5EC5"/>
    <w:rsid w:val="000C5F75"/>
    <w:rsid w:val="000C665C"/>
    <w:rsid w:val="000C69D1"/>
    <w:rsid w:val="000C6D87"/>
    <w:rsid w:val="000C7150"/>
    <w:rsid w:val="000C75E6"/>
    <w:rsid w:val="000C7D3F"/>
    <w:rsid w:val="000D0049"/>
    <w:rsid w:val="000D027D"/>
    <w:rsid w:val="000D05D3"/>
    <w:rsid w:val="000D09ED"/>
    <w:rsid w:val="000D0B8E"/>
    <w:rsid w:val="000D0E78"/>
    <w:rsid w:val="000D11B9"/>
    <w:rsid w:val="000D1B8B"/>
    <w:rsid w:val="000D1BB7"/>
    <w:rsid w:val="000D2099"/>
    <w:rsid w:val="000D20D0"/>
    <w:rsid w:val="000D2948"/>
    <w:rsid w:val="000D2B16"/>
    <w:rsid w:val="000D2F34"/>
    <w:rsid w:val="000D35C8"/>
    <w:rsid w:val="000D4CDF"/>
    <w:rsid w:val="000D4EAA"/>
    <w:rsid w:val="000D501E"/>
    <w:rsid w:val="000D534A"/>
    <w:rsid w:val="000D54AD"/>
    <w:rsid w:val="000D569E"/>
    <w:rsid w:val="000D5AD2"/>
    <w:rsid w:val="000D6D89"/>
    <w:rsid w:val="000D6E92"/>
    <w:rsid w:val="000D7121"/>
    <w:rsid w:val="000D7C58"/>
    <w:rsid w:val="000E00B2"/>
    <w:rsid w:val="000E0BAA"/>
    <w:rsid w:val="000E0FEF"/>
    <w:rsid w:val="000E1B25"/>
    <w:rsid w:val="000E1F3B"/>
    <w:rsid w:val="000E2DBF"/>
    <w:rsid w:val="000E3369"/>
    <w:rsid w:val="000E3703"/>
    <w:rsid w:val="000E39BC"/>
    <w:rsid w:val="000E3CE6"/>
    <w:rsid w:val="000E44E1"/>
    <w:rsid w:val="000E4A87"/>
    <w:rsid w:val="000E4DA0"/>
    <w:rsid w:val="000E5A68"/>
    <w:rsid w:val="000E6571"/>
    <w:rsid w:val="000E6A02"/>
    <w:rsid w:val="000E6A81"/>
    <w:rsid w:val="000E7527"/>
    <w:rsid w:val="000E77AA"/>
    <w:rsid w:val="000E7DFC"/>
    <w:rsid w:val="000F028F"/>
    <w:rsid w:val="000F087F"/>
    <w:rsid w:val="000F089C"/>
    <w:rsid w:val="000F0A91"/>
    <w:rsid w:val="000F0BCE"/>
    <w:rsid w:val="000F0CD4"/>
    <w:rsid w:val="000F1593"/>
    <w:rsid w:val="000F1831"/>
    <w:rsid w:val="000F1973"/>
    <w:rsid w:val="000F20A3"/>
    <w:rsid w:val="000F225B"/>
    <w:rsid w:val="000F22F4"/>
    <w:rsid w:val="000F2625"/>
    <w:rsid w:val="000F2942"/>
    <w:rsid w:val="000F2A61"/>
    <w:rsid w:val="000F2B8D"/>
    <w:rsid w:val="000F2FE8"/>
    <w:rsid w:val="000F38EB"/>
    <w:rsid w:val="000F3F89"/>
    <w:rsid w:val="000F4688"/>
    <w:rsid w:val="000F4B8D"/>
    <w:rsid w:val="000F56BD"/>
    <w:rsid w:val="000F6A04"/>
    <w:rsid w:val="000F6A62"/>
    <w:rsid w:val="000F73BE"/>
    <w:rsid w:val="000F769D"/>
    <w:rsid w:val="000F7922"/>
    <w:rsid w:val="000F7994"/>
    <w:rsid w:val="000F7AC3"/>
    <w:rsid w:val="000F7C34"/>
    <w:rsid w:val="000F7E47"/>
    <w:rsid w:val="000F7F79"/>
    <w:rsid w:val="00100832"/>
    <w:rsid w:val="00100DF8"/>
    <w:rsid w:val="00101027"/>
    <w:rsid w:val="00101422"/>
    <w:rsid w:val="001016C7"/>
    <w:rsid w:val="00101963"/>
    <w:rsid w:val="00102537"/>
    <w:rsid w:val="00102720"/>
    <w:rsid w:val="00102D8A"/>
    <w:rsid w:val="00102D8C"/>
    <w:rsid w:val="00102F4A"/>
    <w:rsid w:val="001031A9"/>
    <w:rsid w:val="001038F5"/>
    <w:rsid w:val="001039DD"/>
    <w:rsid w:val="00103DEC"/>
    <w:rsid w:val="00103FF9"/>
    <w:rsid w:val="0010418E"/>
    <w:rsid w:val="00104A39"/>
    <w:rsid w:val="00104CA6"/>
    <w:rsid w:val="001054D4"/>
    <w:rsid w:val="001055E0"/>
    <w:rsid w:val="001056AF"/>
    <w:rsid w:val="001056FA"/>
    <w:rsid w:val="001057B9"/>
    <w:rsid w:val="00105829"/>
    <w:rsid w:val="00105CC7"/>
    <w:rsid w:val="0010610D"/>
    <w:rsid w:val="001061DD"/>
    <w:rsid w:val="0010625A"/>
    <w:rsid w:val="001062DE"/>
    <w:rsid w:val="00106C35"/>
    <w:rsid w:val="0010739E"/>
    <w:rsid w:val="001073CD"/>
    <w:rsid w:val="00107A48"/>
    <w:rsid w:val="00107B42"/>
    <w:rsid w:val="00107CD9"/>
    <w:rsid w:val="001106CB"/>
    <w:rsid w:val="0011175D"/>
    <w:rsid w:val="0011268F"/>
    <w:rsid w:val="001131A6"/>
    <w:rsid w:val="00113B90"/>
    <w:rsid w:val="00113E9C"/>
    <w:rsid w:val="0011412B"/>
    <w:rsid w:val="0011467A"/>
    <w:rsid w:val="00114CA3"/>
    <w:rsid w:val="00115FAC"/>
    <w:rsid w:val="001165B3"/>
    <w:rsid w:val="001167D5"/>
    <w:rsid w:val="00116941"/>
    <w:rsid w:val="00116D83"/>
    <w:rsid w:val="00116E9B"/>
    <w:rsid w:val="00117B54"/>
    <w:rsid w:val="00117CD9"/>
    <w:rsid w:val="00117E65"/>
    <w:rsid w:val="00117F87"/>
    <w:rsid w:val="001200B2"/>
    <w:rsid w:val="001200D2"/>
    <w:rsid w:val="00120958"/>
    <w:rsid w:val="00120CE7"/>
    <w:rsid w:val="00121141"/>
    <w:rsid w:val="00121255"/>
    <w:rsid w:val="001213A2"/>
    <w:rsid w:val="00121A1C"/>
    <w:rsid w:val="00121D08"/>
    <w:rsid w:val="0012224F"/>
    <w:rsid w:val="0012258F"/>
    <w:rsid w:val="00122F16"/>
    <w:rsid w:val="0012345D"/>
    <w:rsid w:val="001236BB"/>
    <w:rsid w:val="00123751"/>
    <w:rsid w:val="00124E03"/>
    <w:rsid w:val="00124F02"/>
    <w:rsid w:val="001253DF"/>
    <w:rsid w:val="00125E82"/>
    <w:rsid w:val="00125F9E"/>
    <w:rsid w:val="00126054"/>
    <w:rsid w:val="001264D4"/>
    <w:rsid w:val="00126638"/>
    <w:rsid w:val="00126818"/>
    <w:rsid w:val="00126E6F"/>
    <w:rsid w:val="001276F8"/>
    <w:rsid w:val="001277A7"/>
    <w:rsid w:val="001278EC"/>
    <w:rsid w:val="00127937"/>
    <w:rsid w:val="00127BF6"/>
    <w:rsid w:val="00127E6A"/>
    <w:rsid w:val="00130123"/>
    <w:rsid w:val="0013025B"/>
    <w:rsid w:val="00130742"/>
    <w:rsid w:val="001308CC"/>
    <w:rsid w:val="00130A67"/>
    <w:rsid w:val="00130AE5"/>
    <w:rsid w:val="00131022"/>
    <w:rsid w:val="00131376"/>
    <w:rsid w:val="00131913"/>
    <w:rsid w:val="00132B26"/>
    <w:rsid w:val="001333FE"/>
    <w:rsid w:val="001344DF"/>
    <w:rsid w:val="00134A6D"/>
    <w:rsid w:val="00134B9B"/>
    <w:rsid w:val="00135221"/>
    <w:rsid w:val="00135A23"/>
    <w:rsid w:val="00136028"/>
    <w:rsid w:val="00136416"/>
    <w:rsid w:val="0013684E"/>
    <w:rsid w:val="001368A3"/>
    <w:rsid w:val="00136C06"/>
    <w:rsid w:val="00136DB7"/>
    <w:rsid w:val="00136FAB"/>
    <w:rsid w:val="00137016"/>
    <w:rsid w:val="0013747B"/>
    <w:rsid w:val="00137740"/>
    <w:rsid w:val="00137838"/>
    <w:rsid w:val="00137EF7"/>
    <w:rsid w:val="00140333"/>
    <w:rsid w:val="00140F43"/>
    <w:rsid w:val="001410A8"/>
    <w:rsid w:val="001412F5"/>
    <w:rsid w:val="001413A0"/>
    <w:rsid w:val="001413DD"/>
    <w:rsid w:val="00141A70"/>
    <w:rsid w:val="00141CD6"/>
    <w:rsid w:val="00142232"/>
    <w:rsid w:val="001431FC"/>
    <w:rsid w:val="0014330B"/>
    <w:rsid w:val="00143D6B"/>
    <w:rsid w:val="0014404D"/>
    <w:rsid w:val="001444C7"/>
    <w:rsid w:val="00144FA7"/>
    <w:rsid w:val="0014520E"/>
    <w:rsid w:val="00145690"/>
    <w:rsid w:val="00145989"/>
    <w:rsid w:val="00145CB1"/>
    <w:rsid w:val="00145FE3"/>
    <w:rsid w:val="00146577"/>
    <w:rsid w:val="00146647"/>
    <w:rsid w:val="001469A2"/>
    <w:rsid w:val="00146C6E"/>
    <w:rsid w:val="00146F0C"/>
    <w:rsid w:val="00146F6F"/>
    <w:rsid w:val="00147917"/>
    <w:rsid w:val="00147ACB"/>
    <w:rsid w:val="0015006B"/>
    <w:rsid w:val="00150284"/>
    <w:rsid w:val="001503E3"/>
    <w:rsid w:val="001510DC"/>
    <w:rsid w:val="00151B09"/>
    <w:rsid w:val="00151F0A"/>
    <w:rsid w:val="0015222C"/>
    <w:rsid w:val="00152486"/>
    <w:rsid w:val="00152CCD"/>
    <w:rsid w:val="001536C3"/>
    <w:rsid w:val="00153A31"/>
    <w:rsid w:val="00153B2E"/>
    <w:rsid w:val="00153D82"/>
    <w:rsid w:val="00153E21"/>
    <w:rsid w:val="001541FD"/>
    <w:rsid w:val="00154544"/>
    <w:rsid w:val="00154839"/>
    <w:rsid w:val="00155D6A"/>
    <w:rsid w:val="00156213"/>
    <w:rsid w:val="00156826"/>
    <w:rsid w:val="001570C4"/>
    <w:rsid w:val="00157749"/>
    <w:rsid w:val="00157755"/>
    <w:rsid w:val="00157A2D"/>
    <w:rsid w:val="00157BC5"/>
    <w:rsid w:val="00160574"/>
    <w:rsid w:val="001611C4"/>
    <w:rsid w:val="00161643"/>
    <w:rsid w:val="00161923"/>
    <w:rsid w:val="001627AE"/>
    <w:rsid w:val="00162BE3"/>
    <w:rsid w:val="001630E4"/>
    <w:rsid w:val="001637E0"/>
    <w:rsid w:val="00163887"/>
    <w:rsid w:val="001641AB"/>
    <w:rsid w:val="00164231"/>
    <w:rsid w:val="001645AA"/>
    <w:rsid w:val="00164C97"/>
    <w:rsid w:val="00164C9C"/>
    <w:rsid w:val="00165543"/>
    <w:rsid w:val="00165D3C"/>
    <w:rsid w:val="00165D56"/>
    <w:rsid w:val="00165DC8"/>
    <w:rsid w:val="00166183"/>
    <w:rsid w:val="001666DE"/>
    <w:rsid w:val="00166EB4"/>
    <w:rsid w:val="00167269"/>
    <w:rsid w:val="00167317"/>
    <w:rsid w:val="001673B2"/>
    <w:rsid w:val="00167BDA"/>
    <w:rsid w:val="001703D5"/>
    <w:rsid w:val="00170636"/>
    <w:rsid w:val="00170850"/>
    <w:rsid w:val="00170B5F"/>
    <w:rsid w:val="00170E84"/>
    <w:rsid w:val="001714B7"/>
    <w:rsid w:val="00171678"/>
    <w:rsid w:val="00171C00"/>
    <w:rsid w:val="00172127"/>
    <w:rsid w:val="0017225A"/>
    <w:rsid w:val="001729B6"/>
    <w:rsid w:val="00172AB5"/>
    <w:rsid w:val="00172B43"/>
    <w:rsid w:val="00173661"/>
    <w:rsid w:val="00173724"/>
    <w:rsid w:val="00173EE6"/>
    <w:rsid w:val="00173FD9"/>
    <w:rsid w:val="00174137"/>
    <w:rsid w:val="00174336"/>
    <w:rsid w:val="00174875"/>
    <w:rsid w:val="001748F3"/>
    <w:rsid w:val="001749CB"/>
    <w:rsid w:val="00175737"/>
    <w:rsid w:val="00175C13"/>
    <w:rsid w:val="00175C43"/>
    <w:rsid w:val="0017628A"/>
    <w:rsid w:val="00176354"/>
    <w:rsid w:val="00176707"/>
    <w:rsid w:val="00176789"/>
    <w:rsid w:val="001767E6"/>
    <w:rsid w:val="00176821"/>
    <w:rsid w:val="00176E4E"/>
    <w:rsid w:val="00176F00"/>
    <w:rsid w:val="00177191"/>
    <w:rsid w:val="001775C8"/>
    <w:rsid w:val="00177779"/>
    <w:rsid w:val="00177AE9"/>
    <w:rsid w:val="001802A7"/>
    <w:rsid w:val="001806B8"/>
    <w:rsid w:val="001812ED"/>
    <w:rsid w:val="0018141B"/>
    <w:rsid w:val="0018159C"/>
    <w:rsid w:val="0018181A"/>
    <w:rsid w:val="00182253"/>
    <w:rsid w:val="0018265D"/>
    <w:rsid w:val="00182A9A"/>
    <w:rsid w:val="00182E55"/>
    <w:rsid w:val="0018310B"/>
    <w:rsid w:val="001832E7"/>
    <w:rsid w:val="001838C8"/>
    <w:rsid w:val="00183F27"/>
    <w:rsid w:val="001841C4"/>
    <w:rsid w:val="00184A37"/>
    <w:rsid w:val="00185054"/>
    <w:rsid w:val="0018531B"/>
    <w:rsid w:val="0018559B"/>
    <w:rsid w:val="0018578C"/>
    <w:rsid w:val="00185DE1"/>
    <w:rsid w:val="001868DD"/>
    <w:rsid w:val="001873E8"/>
    <w:rsid w:val="00187C0E"/>
    <w:rsid w:val="00187D09"/>
    <w:rsid w:val="0019055B"/>
    <w:rsid w:val="00190669"/>
    <w:rsid w:val="001908C6"/>
    <w:rsid w:val="001910FD"/>
    <w:rsid w:val="00191A01"/>
    <w:rsid w:val="00191A2D"/>
    <w:rsid w:val="00191CF6"/>
    <w:rsid w:val="00191E52"/>
    <w:rsid w:val="0019258F"/>
    <w:rsid w:val="00192706"/>
    <w:rsid w:val="001929E9"/>
    <w:rsid w:val="00192BC2"/>
    <w:rsid w:val="00192DE7"/>
    <w:rsid w:val="00192F2B"/>
    <w:rsid w:val="00192F8C"/>
    <w:rsid w:val="001938B0"/>
    <w:rsid w:val="00193986"/>
    <w:rsid w:val="00193DED"/>
    <w:rsid w:val="001943B5"/>
    <w:rsid w:val="001946E3"/>
    <w:rsid w:val="00195166"/>
    <w:rsid w:val="00195704"/>
    <w:rsid w:val="00195BED"/>
    <w:rsid w:val="00195E34"/>
    <w:rsid w:val="00195F8A"/>
    <w:rsid w:val="00196004"/>
    <w:rsid w:val="001966BE"/>
    <w:rsid w:val="00197BD0"/>
    <w:rsid w:val="001A0C69"/>
    <w:rsid w:val="001A0D87"/>
    <w:rsid w:val="001A100A"/>
    <w:rsid w:val="001A1022"/>
    <w:rsid w:val="001A13B8"/>
    <w:rsid w:val="001A1A2A"/>
    <w:rsid w:val="001A1BD5"/>
    <w:rsid w:val="001A1F98"/>
    <w:rsid w:val="001A224B"/>
    <w:rsid w:val="001A268B"/>
    <w:rsid w:val="001A35D3"/>
    <w:rsid w:val="001A3C83"/>
    <w:rsid w:val="001A3EB9"/>
    <w:rsid w:val="001A4CA8"/>
    <w:rsid w:val="001A52C7"/>
    <w:rsid w:val="001A5A68"/>
    <w:rsid w:val="001A5F8C"/>
    <w:rsid w:val="001A6035"/>
    <w:rsid w:val="001A6A06"/>
    <w:rsid w:val="001A7399"/>
    <w:rsid w:val="001A79C7"/>
    <w:rsid w:val="001B02CC"/>
    <w:rsid w:val="001B089C"/>
    <w:rsid w:val="001B0E94"/>
    <w:rsid w:val="001B19A4"/>
    <w:rsid w:val="001B1DDA"/>
    <w:rsid w:val="001B237B"/>
    <w:rsid w:val="001B27A0"/>
    <w:rsid w:val="001B2CE7"/>
    <w:rsid w:val="001B30EB"/>
    <w:rsid w:val="001B3224"/>
    <w:rsid w:val="001B3D14"/>
    <w:rsid w:val="001B4678"/>
    <w:rsid w:val="001B4CD9"/>
    <w:rsid w:val="001B5236"/>
    <w:rsid w:val="001B5294"/>
    <w:rsid w:val="001B5343"/>
    <w:rsid w:val="001B5421"/>
    <w:rsid w:val="001B5691"/>
    <w:rsid w:val="001B603C"/>
    <w:rsid w:val="001B62D7"/>
    <w:rsid w:val="001B638A"/>
    <w:rsid w:val="001B669A"/>
    <w:rsid w:val="001B6A01"/>
    <w:rsid w:val="001B6CE3"/>
    <w:rsid w:val="001B6E7A"/>
    <w:rsid w:val="001B6F58"/>
    <w:rsid w:val="001B7085"/>
    <w:rsid w:val="001B7164"/>
    <w:rsid w:val="001B79F2"/>
    <w:rsid w:val="001B7E63"/>
    <w:rsid w:val="001C0000"/>
    <w:rsid w:val="001C027F"/>
    <w:rsid w:val="001C0497"/>
    <w:rsid w:val="001C0742"/>
    <w:rsid w:val="001C0F93"/>
    <w:rsid w:val="001C1100"/>
    <w:rsid w:val="001C18C0"/>
    <w:rsid w:val="001C29A2"/>
    <w:rsid w:val="001C2BC1"/>
    <w:rsid w:val="001C2E94"/>
    <w:rsid w:val="001C35F5"/>
    <w:rsid w:val="001C3D4B"/>
    <w:rsid w:val="001C3DE3"/>
    <w:rsid w:val="001C3E43"/>
    <w:rsid w:val="001C43FE"/>
    <w:rsid w:val="001C4AA7"/>
    <w:rsid w:val="001C4B46"/>
    <w:rsid w:val="001C554D"/>
    <w:rsid w:val="001C577B"/>
    <w:rsid w:val="001C5BA2"/>
    <w:rsid w:val="001C5FEB"/>
    <w:rsid w:val="001C60D8"/>
    <w:rsid w:val="001C6C36"/>
    <w:rsid w:val="001C7566"/>
    <w:rsid w:val="001D00E0"/>
    <w:rsid w:val="001D0228"/>
    <w:rsid w:val="001D1021"/>
    <w:rsid w:val="001D131B"/>
    <w:rsid w:val="001D1BDA"/>
    <w:rsid w:val="001D2B7B"/>
    <w:rsid w:val="001D2CED"/>
    <w:rsid w:val="001D314A"/>
    <w:rsid w:val="001D37EE"/>
    <w:rsid w:val="001D3D81"/>
    <w:rsid w:val="001D3D85"/>
    <w:rsid w:val="001D3E5B"/>
    <w:rsid w:val="001D4327"/>
    <w:rsid w:val="001D4613"/>
    <w:rsid w:val="001D4B4F"/>
    <w:rsid w:val="001D4EA6"/>
    <w:rsid w:val="001D4FF7"/>
    <w:rsid w:val="001D5D16"/>
    <w:rsid w:val="001D66FA"/>
    <w:rsid w:val="001D6766"/>
    <w:rsid w:val="001D7782"/>
    <w:rsid w:val="001D7DAE"/>
    <w:rsid w:val="001D7F3B"/>
    <w:rsid w:val="001E012A"/>
    <w:rsid w:val="001E0B63"/>
    <w:rsid w:val="001E0C0E"/>
    <w:rsid w:val="001E0D50"/>
    <w:rsid w:val="001E16C9"/>
    <w:rsid w:val="001E1A04"/>
    <w:rsid w:val="001E1E5E"/>
    <w:rsid w:val="001E289D"/>
    <w:rsid w:val="001E2B36"/>
    <w:rsid w:val="001E323D"/>
    <w:rsid w:val="001E3885"/>
    <w:rsid w:val="001E3FB7"/>
    <w:rsid w:val="001E4111"/>
    <w:rsid w:val="001E51DD"/>
    <w:rsid w:val="001E5A0F"/>
    <w:rsid w:val="001E5E70"/>
    <w:rsid w:val="001E6048"/>
    <w:rsid w:val="001E6849"/>
    <w:rsid w:val="001E6CC9"/>
    <w:rsid w:val="001E6E98"/>
    <w:rsid w:val="001E706C"/>
    <w:rsid w:val="001E7842"/>
    <w:rsid w:val="001E7965"/>
    <w:rsid w:val="001E7B39"/>
    <w:rsid w:val="001E7BFB"/>
    <w:rsid w:val="001F02B4"/>
    <w:rsid w:val="001F06A2"/>
    <w:rsid w:val="001F0E38"/>
    <w:rsid w:val="001F1001"/>
    <w:rsid w:val="001F127A"/>
    <w:rsid w:val="001F1707"/>
    <w:rsid w:val="001F1E04"/>
    <w:rsid w:val="001F1F4B"/>
    <w:rsid w:val="001F202C"/>
    <w:rsid w:val="001F26E3"/>
    <w:rsid w:val="001F2C5B"/>
    <w:rsid w:val="001F35C3"/>
    <w:rsid w:val="001F3C5C"/>
    <w:rsid w:val="001F3CBC"/>
    <w:rsid w:val="001F4061"/>
    <w:rsid w:val="001F423E"/>
    <w:rsid w:val="001F4390"/>
    <w:rsid w:val="001F4474"/>
    <w:rsid w:val="001F4D0B"/>
    <w:rsid w:val="001F4EA8"/>
    <w:rsid w:val="001F5481"/>
    <w:rsid w:val="001F56B8"/>
    <w:rsid w:val="001F574A"/>
    <w:rsid w:val="001F5A7C"/>
    <w:rsid w:val="001F6280"/>
    <w:rsid w:val="001F6818"/>
    <w:rsid w:val="001F6E6A"/>
    <w:rsid w:val="001F6FF0"/>
    <w:rsid w:val="001F76F0"/>
    <w:rsid w:val="001F774C"/>
    <w:rsid w:val="001F7821"/>
    <w:rsid w:val="001F790F"/>
    <w:rsid w:val="001F7DBC"/>
    <w:rsid w:val="0020031A"/>
    <w:rsid w:val="0020051D"/>
    <w:rsid w:val="00201092"/>
    <w:rsid w:val="00201538"/>
    <w:rsid w:val="002015E1"/>
    <w:rsid w:val="00201B49"/>
    <w:rsid w:val="00201D46"/>
    <w:rsid w:val="00201E2E"/>
    <w:rsid w:val="002023C0"/>
    <w:rsid w:val="0020256A"/>
    <w:rsid w:val="002025E9"/>
    <w:rsid w:val="00202CBA"/>
    <w:rsid w:val="00202E74"/>
    <w:rsid w:val="0020342B"/>
    <w:rsid w:val="00203B10"/>
    <w:rsid w:val="00203DE6"/>
    <w:rsid w:val="0020410C"/>
    <w:rsid w:val="002047CA"/>
    <w:rsid w:val="00204BA0"/>
    <w:rsid w:val="0020508B"/>
    <w:rsid w:val="00205407"/>
    <w:rsid w:val="00205E2D"/>
    <w:rsid w:val="002062EA"/>
    <w:rsid w:val="002067A0"/>
    <w:rsid w:val="00206ABE"/>
    <w:rsid w:val="00206B2F"/>
    <w:rsid w:val="002077DB"/>
    <w:rsid w:val="00207EF2"/>
    <w:rsid w:val="00210415"/>
    <w:rsid w:val="00210591"/>
    <w:rsid w:val="0021107C"/>
    <w:rsid w:val="00211085"/>
    <w:rsid w:val="002115BE"/>
    <w:rsid w:val="0021166E"/>
    <w:rsid w:val="00212116"/>
    <w:rsid w:val="00212245"/>
    <w:rsid w:val="00212524"/>
    <w:rsid w:val="00212852"/>
    <w:rsid w:val="00212DE8"/>
    <w:rsid w:val="00212EA3"/>
    <w:rsid w:val="002131D2"/>
    <w:rsid w:val="00213F99"/>
    <w:rsid w:val="00214565"/>
    <w:rsid w:val="00214D2C"/>
    <w:rsid w:val="00214DD0"/>
    <w:rsid w:val="002154EB"/>
    <w:rsid w:val="002157AF"/>
    <w:rsid w:val="00215CD3"/>
    <w:rsid w:val="00215F79"/>
    <w:rsid w:val="00216335"/>
    <w:rsid w:val="00216BEF"/>
    <w:rsid w:val="0021736C"/>
    <w:rsid w:val="00217BD4"/>
    <w:rsid w:val="00217D9E"/>
    <w:rsid w:val="00220715"/>
    <w:rsid w:val="0022127B"/>
    <w:rsid w:val="00221A76"/>
    <w:rsid w:val="002227FF"/>
    <w:rsid w:val="002228AB"/>
    <w:rsid w:val="00222919"/>
    <w:rsid w:val="00222AB1"/>
    <w:rsid w:val="00222AC7"/>
    <w:rsid w:val="00222C50"/>
    <w:rsid w:val="00223188"/>
    <w:rsid w:val="0022329D"/>
    <w:rsid w:val="002248DA"/>
    <w:rsid w:val="00224FD7"/>
    <w:rsid w:val="002253A8"/>
    <w:rsid w:val="00226819"/>
    <w:rsid w:val="00226DEC"/>
    <w:rsid w:val="0022710B"/>
    <w:rsid w:val="0022745C"/>
    <w:rsid w:val="00227B46"/>
    <w:rsid w:val="00227EF3"/>
    <w:rsid w:val="00230217"/>
    <w:rsid w:val="00230760"/>
    <w:rsid w:val="0023080C"/>
    <w:rsid w:val="0023158C"/>
    <w:rsid w:val="002319B1"/>
    <w:rsid w:val="00232B75"/>
    <w:rsid w:val="00233422"/>
    <w:rsid w:val="00233733"/>
    <w:rsid w:val="0023376C"/>
    <w:rsid w:val="002346D1"/>
    <w:rsid w:val="00234E6C"/>
    <w:rsid w:val="00234E8D"/>
    <w:rsid w:val="002351C4"/>
    <w:rsid w:val="0023553C"/>
    <w:rsid w:val="002356E0"/>
    <w:rsid w:val="002357F2"/>
    <w:rsid w:val="002359E9"/>
    <w:rsid w:val="002360F2"/>
    <w:rsid w:val="002361CF"/>
    <w:rsid w:val="00236278"/>
    <w:rsid w:val="0023639E"/>
    <w:rsid w:val="002365F5"/>
    <w:rsid w:val="00236BAC"/>
    <w:rsid w:val="00236C28"/>
    <w:rsid w:val="00237906"/>
    <w:rsid w:val="0024072D"/>
    <w:rsid w:val="002412B5"/>
    <w:rsid w:val="00241756"/>
    <w:rsid w:val="00242237"/>
    <w:rsid w:val="00242E1E"/>
    <w:rsid w:val="00243510"/>
    <w:rsid w:val="00243725"/>
    <w:rsid w:val="00243BEC"/>
    <w:rsid w:val="00243CC3"/>
    <w:rsid w:val="00243D4B"/>
    <w:rsid w:val="0024434D"/>
    <w:rsid w:val="00244A5B"/>
    <w:rsid w:val="00244E07"/>
    <w:rsid w:val="00244FB6"/>
    <w:rsid w:val="00245007"/>
    <w:rsid w:val="00246237"/>
    <w:rsid w:val="00246480"/>
    <w:rsid w:val="00247FB1"/>
    <w:rsid w:val="002504D6"/>
    <w:rsid w:val="002508EA"/>
    <w:rsid w:val="002510B0"/>
    <w:rsid w:val="0025127F"/>
    <w:rsid w:val="00251550"/>
    <w:rsid w:val="002518BE"/>
    <w:rsid w:val="00251B86"/>
    <w:rsid w:val="00251F46"/>
    <w:rsid w:val="00251F53"/>
    <w:rsid w:val="00252052"/>
    <w:rsid w:val="00252117"/>
    <w:rsid w:val="00252361"/>
    <w:rsid w:val="0025278A"/>
    <w:rsid w:val="0025297C"/>
    <w:rsid w:val="00252CCD"/>
    <w:rsid w:val="00253024"/>
    <w:rsid w:val="002534A0"/>
    <w:rsid w:val="0025354A"/>
    <w:rsid w:val="0025437E"/>
    <w:rsid w:val="002543A6"/>
    <w:rsid w:val="00254446"/>
    <w:rsid w:val="002548F7"/>
    <w:rsid w:val="0025524A"/>
    <w:rsid w:val="00255679"/>
    <w:rsid w:val="00255A86"/>
    <w:rsid w:val="00255C70"/>
    <w:rsid w:val="00255CA7"/>
    <w:rsid w:val="00255F9E"/>
    <w:rsid w:val="0025606E"/>
    <w:rsid w:val="00256F8D"/>
    <w:rsid w:val="00257988"/>
    <w:rsid w:val="00257BB8"/>
    <w:rsid w:val="00257C36"/>
    <w:rsid w:val="002604AD"/>
    <w:rsid w:val="00260735"/>
    <w:rsid w:val="00260792"/>
    <w:rsid w:val="00260BBF"/>
    <w:rsid w:val="00260C37"/>
    <w:rsid w:val="00261029"/>
    <w:rsid w:val="0026112E"/>
    <w:rsid w:val="00261485"/>
    <w:rsid w:val="00261BA8"/>
    <w:rsid w:val="00261C23"/>
    <w:rsid w:val="00261D5C"/>
    <w:rsid w:val="0026205C"/>
    <w:rsid w:val="00262372"/>
    <w:rsid w:val="00262999"/>
    <w:rsid w:val="00262C3F"/>
    <w:rsid w:val="00262E50"/>
    <w:rsid w:val="002633D4"/>
    <w:rsid w:val="002635E3"/>
    <w:rsid w:val="00263755"/>
    <w:rsid w:val="002637F1"/>
    <w:rsid w:val="00264335"/>
    <w:rsid w:val="00265B60"/>
    <w:rsid w:val="00265C7A"/>
    <w:rsid w:val="002661E4"/>
    <w:rsid w:val="00266587"/>
    <w:rsid w:val="00266B56"/>
    <w:rsid w:val="00266E21"/>
    <w:rsid w:val="00267132"/>
    <w:rsid w:val="0027008A"/>
    <w:rsid w:val="0027021F"/>
    <w:rsid w:val="00270387"/>
    <w:rsid w:val="002703A1"/>
    <w:rsid w:val="002703B5"/>
    <w:rsid w:val="002709AA"/>
    <w:rsid w:val="00271752"/>
    <w:rsid w:val="00271CC8"/>
    <w:rsid w:val="002722F3"/>
    <w:rsid w:val="002728E5"/>
    <w:rsid w:val="00273480"/>
    <w:rsid w:val="00273727"/>
    <w:rsid w:val="00274095"/>
    <w:rsid w:val="002740AC"/>
    <w:rsid w:val="002742DA"/>
    <w:rsid w:val="002744EA"/>
    <w:rsid w:val="00274CBB"/>
    <w:rsid w:val="00274FF7"/>
    <w:rsid w:val="002751C9"/>
    <w:rsid w:val="002755C3"/>
    <w:rsid w:val="00275849"/>
    <w:rsid w:val="00275B75"/>
    <w:rsid w:val="00275CFA"/>
    <w:rsid w:val="00275D60"/>
    <w:rsid w:val="00275E95"/>
    <w:rsid w:val="002760F7"/>
    <w:rsid w:val="00277120"/>
    <w:rsid w:val="00277173"/>
    <w:rsid w:val="00277282"/>
    <w:rsid w:val="00277450"/>
    <w:rsid w:val="00277DC4"/>
    <w:rsid w:val="00280273"/>
    <w:rsid w:val="00280580"/>
    <w:rsid w:val="0028075D"/>
    <w:rsid w:val="00280C0F"/>
    <w:rsid w:val="00281D39"/>
    <w:rsid w:val="002827DA"/>
    <w:rsid w:val="002835D2"/>
    <w:rsid w:val="00283880"/>
    <w:rsid w:val="00283EFC"/>
    <w:rsid w:val="00284491"/>
    <w:rsid w:val="00284785"/>
    <w:rsid w:val="00284C73"/>
    <w:rsid w:val="002851E2"/>
    <w:rsid w:val="00285305"/>
    <w:rsid w:val="00285848"/>
    <w:rsid w:val="002858BE"/>
    <w:rsid w:val="00285B9D"/>
    <w:rsid w:val="00285D33"/>
    <w:rsid w:val="00285D40"/>
    <w:rsid w:val="00285E7B"/>
    <w:rsid w:val="00285F3D"/>
    <w:rsid w:val="00286219"/>
    <w:rsid w:val="002867C3"/>
    <w:rsid w:val="002868D1"/>
    <w:rsid w:val="002872AB"/>
    <w:rsid w:val="00290428"/>
    <w:rsid w:val="00290589"/>
    <w:rsid w:val="00290F90"/>
    <w:rsid w:val="0029107B"/>
    <w:rsid w:val="00291130"/>
    <w:rsid w:val="00291149"/>
    <w:rsid w:val="002915DD"/>
    <w:rsid w:val="00291723"/>
    <w:rsid w:val="0029173F"/>
    <w:rsid w:val="002919FF"/>
    <w:rsid w:val="002922B0"/>
    <w:rsid w:val="00292384"/>
    <w:rsid w:val="0029250B"/>
    <w:rsid w:val="00292639"/>
    <w:rsid w:val="002929BF"/>
    <w:rsid w:val="00292BC6"/>
    <w:rsid w:val="00292F80"/>
    <w:rsid w:val="002930CA"/>
    <w:rsid w:val="002937DB"/>
    <w:rsid w:val="00293865"/>
    <w:rsid w:val="002941F3"/>
    <w:rsid w:val="0029478E"/>
    <w:rsid w:val="00294B55"/>
    <w:rsid w:val="00294C63"/>
    <w:rsid w:val="00294E46"/>
    <w:rsid w:val="0029518E"/>
    <w:rsid w:val="0029544E"/>
    <w:rsid w:val="002954AD"/>
    <w:rsid w:val="00295E23"/>
    <w:rsid w:val="00296EE7"/>
    <w:rsid w:val="0029704E"/>
    <w:rsid w:val="002972A8"/>
    <w:rsid w:val="002A04AB"/>
    <w:rsid w:val="002A0627"/>
    <w:rsid w:val="002A0666"/>
    <w:rsid w:val="002A0B3B"/>
    <w:rsid w:val="002A0DEB"/>
    <w:rsid w:val="002A17CA"/>
    <w:rsid w:val="002A18D9"/>
    <w:rsid w:val="002A19DF"/>
    <w:rsid w:val="002A1BF2"/>
    <w:rsid w:val="002A1C14"/>
    <w:rsid w:val="002A2726"/>
    <w:rsid w:val="002A2CA5"/>
    <w:rsid w:val="002A2DF8"/>
    <w:rsid w:val="002A2EB0"/>
    <w:rsid w:val="002A3525"/>
    <w:rsid w:val="002A3CA2"/>
    <w:rsid w:val="002A3CE8"/>
    <w:rsid w:val="002A4166"/>
    <w:rsid w:val="002A42F1"/>
    <w:rsid w:val="002A4450"/>
    <w:rsid w:val="002A466F"/>
    <w:rsid w:val="002A4C9C"/>
    <w:rsid w:val="002A502C"/>
    <w:rsid w:val="002A534F"/>
    <w:rsid w:val="002A5EB2"/>
    <w:rsid w:val="002A5FDB"/>
    <w:rsid w:val="002A6738"/>
    <w:rsid w:val="002A74F1"/>
    <w:rsid w:val="002A773C"/>
    <w:rsid w:val="002A79A7"/>
    <w:rsid w:val="002A7A23"/>
    <w:rsid w:val="002A7B1F"/>
    <w:rsid w:val="002A7C02"/>
    <w:rsid w:val="002A7C97"/>
    <w:rsid w:val="002B06C2"/>
    <w:rsid w:val="002B0A83"/>
    <w:rsid w:val="002B0DD3"/>
    <w:rsid w:val="002B0F2B"/>
    <w:rsid w:val="002B141F"/>
    <w:rsid w:val="002B1938"/>
    <w:rsid w:val="002B22DC"/>
    <w:rsid w:val="002B27CF"/>
    <w:rsid w:val="002B28A9"/>
    <w:rsid w:val="002B2905"/>
    <w:rsid w:val="002B311E"/>
    <w:rsid w:val="002B3333"/>
    <w:rsid w:val="002B359E"/>
    <w:rsid w:val="002B3779"/>
    <w:rsid w:val="002B37EF"/>
    <w:rsid w:val="002B3A85"/>
    <w:rsid w:val="002B3A99"/>
    <w:rsid w:val="002B3EB9"/>
    <w:rsid w:val="002B3FB8"/>
    <w:rsid w:val="002B418B"/>
    <w:rsid w:val="002B41E4"/>
    <w:rsid w:val="002B444D"/>
    <w:rsid w:val="002B4487"/>
    <w:rsid w:val="002B486B"/>
    <w:rsid w:val="002B4956"/>
    <w:rsid w:val="002B4C3D"/>
    <w:rsid w:val="002B51B5"/>
    <w:rsid w:val="002B51C3"/>
    <w:rsid w:val="002B58B1"/>
    <w:rsid w:val="002B5EC9"/>
    <w:rsid w:val="002B5FA2"/>
    <w:rsid w:val="002B69C3"/>
    <w:rsid w:val="002B6C7B"/>
    <w:rsid w:val="002B74AA"/>
    <w:rsid w:val="002B7646"/>
    <w:rsid w:val="002B77A0"/>
    <w:rsid w:val="002C0063"/>
    <w:rsid w:val="002C00D4"/>
    <w:rsid w:val="002C0127"/>
    <w:rsid w:val="002C090D"/>
    <w:rsid w:val="002C12D7"/>
    <w:rsid w:val="002C133B"/>
    <w:rsid w:val="002C13A8"/>
    <w:rsid w:val="002C1530"/>
    <w:rsid w:val="002C177B"/>
    <w:rsid w:val="002C1798"/>
    <w:rsid w:val="002C19F7"/>
    <w:rsid w:val="002C1FA7"/>
    <w:rsid w:val="002C2365"/>
    <w:rsid w:val="002C2538"/>
    <w:rsid w:val="002C284A"/>
    <w:rsid w:val="002C2A2E"/>
    <w:rsid w:val="002C2AE9"/>
    <w:rsid w:val="002C2EB0"/>
    <w:rsid w:val="002C2EEE"/>
    <w:rsid w:val="002C321A"/>
    <w:rsid w:val="002C3328"/>
    <w:rsid w:val="002C3B55"/>
    <w:rsid w:val="002C3DB9"/>
    <w:rsid w:val="002C4078"/>
    <w:rsid w:val="002C42D5"/>
    <w:rsid w:val="002C4DCA"/>
    <w:rsid w:val="002C4E6C"/>
    <w:rsid w:val="002C5308"/>
    <w:rsid w:val="002C54C0"/>
    <w:rsid w:val="002C5B89"/>
    <w:rsid w:val="002C5F1E"/>
    <w:rsid w:val="002C630C"/>
    <w:rsid w:val="002C639B"/>
    <w:rsid w:val="002C642B"/>
    <w:rsid w:val="002C64DA"/>
    <w:rsid w:val="002C6EC2"/>
    <w:rsid w:val="002C7E18"/>
    <w:rsid w:val="002C7EC6"/>
    <w:rsid w:val="002D057E"/>
    <w:rsid w:val="002D05C0"/>
    <w:rsid w:val="002D0A3E"/>
    <w:rsid w:val="002D0D6C"/>
    <w:rsid w:val="002D22B6"/>
    <w:rsid w:val="002D254C"/>
    <w:rsid w:val="002D2925"/>
    <w:rsid w:val="002D2B76"/>
    <w:rsid w:val="002D2F83"/>
    <w:rsid w:val="002D3502"/>
    <w:rsid w:val="002D3F26"/>
    <w:rsid w:val="002D458D"/>
    <w:rsid w:val="002D472C"/>
    <w:rsid w:val="002D47ED"/>
    <w:rsid w:val="002D4E3A"/>
    <w:rsid w:val="002D548B"/>
    <w:rsid w:val="002D54EC"/>
    <w:rsid w:val="002D5D03"/>
    <w:rsid w:val="002D632D"/>
    <w:rsid w:val="002D6421"/>
    <w:rsid w:val="002D64D7"/>
    <w:rsid w:val="002D7101"/>
    <w:rsid w:val="002D743A"/>
    <w:rsid w:val="002D7723"/>
    <w:rsid w:val="002D7A6C"/>
    <w:rsid w:val="002D7F2F"/>
    <w:rsid w:val="002D7F9A"/>
    <w:rsid w:val="002E00F0"/>
    <w:rsid w:val="002E0626"/>
    <w:rsid w:val="002E0DB0"/>
    <w:rsid w:val="002E1536"/>
    <w:rsid w:val="002E18D4"/>
    <w:rsid w:val="002E191D"/>
    <w:rsid w:val="002E1ABF"/>
    <w:rsid w:val="002E1BF7"/>
    <w:rsid w:val="002E22F3"/>
    <w:rsid w:val="002E2C6B"/>
    <w:rsid w:val="002E2DB6"/>
    <w:rsid w:val="002E3369"/>
    <w:rsid w:val="002E397F"/>
    <w:rsid w:val="002E4426"/>
    <w:rsid w:val="002E4685"/>
    <w:rsid w:val="002E46F2"/>
    <w:rsid w:val="002E4C9C"/>
    <w:rsid w:val="002E52FE"/>
    <w:rsid w:val="002E5430"/>
    <w:rsid w:val="002E55C7"/>
    <w:rsid w:val="002E5606"/>
    <w:rsid w:val="002E57EE"/>
    <w:rsid w:val="002E5A3A"/>
    <w:rsid w:val="002E6191"/>
    <w:rsid w:val="002E635F"/>
    <w:rsid w:val="002E6907"/>
    <w:rsid w:val="002E6A06"/>
    <w:rsid w:val="002E6B75"/>
    <w:rsid w:val="002E728E"/>
    <w:rsid w:val="002E7633"/>
    <w:rsid w:val="002E79B1"/>
    <w:rsid w:val="002E7AF8"/>
    <w:rsid w:val="002E7B35"/>
    <w:rsid w:val="002F0995"/>
    <w:rsid w:val="002F0E61"/>
    <w:rsid w:val="002F0F18"/>
    <w:rsid w:val="002F1A82"/>
    <w:rsid w:val="002F1E18"/>
    <w:rsid w:val="002F1F06"/>
    <w:rsid w:val="002F2124"/>
    <w:rsid w:val="002F25EF"/>
    <w:rsid w:val="002F30F6"/>
    <w:rsid w:val="002F319B"/>
    <w:rsid w:val="002F4036"/>
    <w:rsid w:val="002F4703"/>
    <w:rsid w:val="002F4D99"/>
    <w:rsid w:val="002F53CE"/>
    <w:rsid w:val="002F54C3"/>
    <w:rsid w:val="002F550E"/>
    <w:rsid w:val="002F5D05"/>
    <w:rsid w:val="002F5EF0"/>
    <w:rsid w:val="002F65C3"/>
    <w:rsid w:val="002F68B4"/>
    <w:rsid w:val="002F6A58"/>
    <w:rsid w:val="002F724C"/>
    <w:rsid w:val="002F7313"/>
    <w:rsid w:val="002F7337"/>
    <w:rsid w:val="002F7BF5"/>
    <w:rsid w:val="002F7F7F"/>
    <w:rsid w:val="002F7F88"/>
    <w:rsid w:val="00300492"/>
    <w:rsid w:val="00300759"/>
    <w:rsid w:val="00300E77"/>
    <w:rsid w:val="00300FB5"/>
    <w:rsid w:val="00301017"/>
    <w:rsid w:val="0030140D"/>
    <w:rsid w:val="0030192D"/>
    <w:rsid w:val="00302235"/>
    <w:rsid w:val="00302507"/>
    <w:rsid w:val="00302FD1"/>
    <w:rsid w:val="00303131"/>
    <w:rsid w:val="00303B94"/>
    <w:rsid w:val="0030413E"/>
    <w:rsid w:val="003049FD"/>
    <w:rsid w:val="00304F12"/>
    <w:rsid w:val="003050AD"/>
    <w:rsid w:val="003058AA"/>
    <w:rsid w:val="00305E63"/>
    <w:rsid w:val="00306150"/>
    <w:rsid w:val="00306178"/>
    <w:rsid w:val="0030648E"/>
    <w:rsid w:val="00306E52"/>
    <w:rsid w:val="0030719C"/>
    <w:rsid w:val="003072F6"/>
    <w:rsid w:val="00310D8F"/>
    <w:rsid w:val="00311704"/>
    <w:rsid w:val="00311818"/>
    <w:rsid w:val="00311E4A"/>
    <w:rsid w:val="00311F86"/>
    <w:rsid w:val="0031241F"/>
    <w:rsid w:val="00312B18"/>
    <w:rsid w:val="00312CB0"/>
    <w:rsid w:val="003130D7"/>
    <w:rsid w:val="00313C08"/>
    <w:rsid w:val="003140A3"/>
    <w:rsid w:val="0031420C"/>
    <w:rsid w:val="00314CDE"/>
    <w:rsid w:val="00314E50"/>
    <w:rsid w:val="0031504E"/>
    <w:rsid w:val="00315A39"/>
    <w:rsid w:val="00315E6B"/>
    <w:rsid w:val="00316B77"/>
    <w:rsid w:val="00316E53"/>
    <w:rsid w:val="00316E57"/>
    <w:rsid w:val="00317268"/>
    <w:rsid w:val="00317389"/>
    <w:rsid w:val="003200DE"/>
    <w:rsid w:val="003204C2"/>
    <w:rsid w:val="003207C6"/>
    <w:rsid w:val="003209E3"/>
    <w:rsid w:val="00320A91"/>
    <w:rsid w:val="003210B9"/>
    <w:rsid w:val="00321227"/>
    <w:rsid w:val="0032133C"/>
    <w:rsid w:val="00321770"/>
    <w:rsid w:val="00321B8F"/>
    <w:rsid w:val="00321F88"/>
    <w:rsid w:val="0032266A"/>
    <w:rsid w:val="003232A3"/>
    <w:rsid w:val="0032352B"/>
    <w:rsid w:val="00323AE1"/>
    <w:rsid w:val="00323C67"/>
    <w:rsid w:val="00324948"/>
    <w:rsid w:val="00325E00"/>
    <w:rsid w:val="003264C7"/>
    <w:rsid w:val="0032699A"/>
    <w:rsid w:val="00326CDB"/>
    <w:rsid w:val="00326EB5"/>
    <w:rsid w:val="00327525"/>
    <w:rsid w:val="003279F0"/>
    <w:rsid w:val="00327A1A"/>
    <w:rsid w:val="0033048F"/>
    <w:rsid w:val="00330DF4"/>
    <w:rsid w:val="003312F5"/>
    <w:rsid w:val="00331652"/>
    <w:rsid w:val="00332174"/>
    <w:rsid w:val="00332289"/>
    <w:rsid w:val="0033267B"/>
    <w:rsid w:val="00332B92"/>
    <w:rsid w:val="00332D22"/>
    <w:rsid w:val="00332D8E"/>
    <w:rsid w:val="00332DCB"/>
    <w:rsid w:val="00333965"/>
    <w:rsid w:val="003339D1"/>
    <w:rsid w:val="00333C97"/>
    <w:rsid w:val="00333D54"/>
    <w:rsid w:val="00333F32"/>
    <w:rsid w:val="00334168"/>
    <w:rsid w:val="00335A52"/>
    <w:rsid w:val="00335A67"/>
    <w:rsid w:val="00335C4A"/>
    <w:rsid w:val="00336177"/>
    <w:rsid w:val="00336949"/>
    <w:rsid w:val="00337056"/>
    <w:rsid w:val="003376E3"/>
    <w:rsid w:val="00337B43"/>
    <w:rsid w:val="00337EA1"/>
    <w:rsid w:val="00340857"/>
    <w:rsid w:val="0034102A"/>
    <w:rsid w:val="003411D9"/>
    <w:rsid w:val="003412A1"/>
    <w:rsid w:val="00341809"/>
    <w:rsid w:val="00341CF1"/>
    <w:rsid w:val="00342074"/>
    <w:rsid w:val="0034209A"/>
    <w:rsid w:val="00342286"/>
    <w:rsid w:val="00342344"/>
    <w:rsid w:val="00342491"/>
    <w:rsid w:val="003424F3"/>
    <w:rsid w:val="00342D35"/>
    <w:rsid w:val="00342EE7"/>
    <w:rsid w:val="00343D37"/>
    <w:rsid w:val="0034517D"/>
    <w:rsid w:val="003457D4"/>
    <w:rsid w:val="00345839"/>
    <w:rsid w:val="00345C45"/>
    <w:rsid w:val="00345E43"/>
    <w:rsid w:val="0034656D"/>
    <w:rsid w:val="00346631"/>
    <w:rsid w:val="003466DD"/>
    <w:rsid w:val="00346788"/>
    <w:rsid w:val="00346881"/>
    <w:rsid w:val="00347694"/>
    <w:rsid w:val="00350307"/>
    <w:rsid w:val="0035065F"/>
    <w:rsid w:val="00350928"/>
    <w:rsid w:val="00350B4D"/>
    <w:rsid w:val="00350E24"/>
    <w:rsid w:val="00350EEF"/>
    <w:rsid w:val="00351117"/>
    <w:rsid w:val="00351368"/>
    <w:rsid w:val="00351382"/>
    <w:rsid w:val="00352867"/>
    <w:rsid w:val="00352C76"/>
    <w:rsid w:val="00352E6F"/>
    <w:rsid w:val="0035312D"/>
    <w:rsid w:val="0035359E"/>
    <w:rsid w:val="003540E9"/>
    <w:rsid w:val="003542BB"/>
    <w:rsid w:val="003554B6"/>
    <w:rsid w:val="00355F54"/>
    <w:rsid w:val="00357683"/>
    <w:rsid w:val="00357D08"/>
    <w:rsid w:val="00357DE1"/>
    <w:rsid w:val="00357E53"/>
    <w:rsid w:val="00360393"/>
    <w:rsid w:val="00360B92"/>
    <w:rsid w:val="0036104C"/>
    <w:rsid w:val="003610D6"/>
    <w:rsid w:val="00361339"/>
    <w:rsid w:val="003614E3"/>
    <w:rsid w:val="003616AC"/>
    <w:rsid w:val="00361709"/>
    <w:rsid w:val="00361A47"/>
    <w:rsid w:val="00361D44"/>
    <w:rsid w:val="00361E01"/>
    <w:rsid w:val="0036267D"/>
    <w:rsid w:val="003626D7"/>
    <w:rsid w:val="00362869"/>
    <w:rsid w:val="003629A4"/>
    <w:rsid w:val="003629AA"/>
    <w:rsid w:val="00362A9E"/>
    <w:rsid w:val="00362E80"/>
    <w:rsid w:val="003630F6"/>
    <w:rsid w:val="00363566"/>
    <w:rsid w:val="00363CA7"/>
    <w:rsid w:val="0036421D"/>
    <w:rsid w:val="003643FD"/>
    <w:rsid w:val="0036470D"/>
    <w:rsid w:val="00364D55"/>
    <w:rsid w:val="00365627"/>
    <w:rsid w:val="003657CE"/>
    <w:rsid w:val="00365B1B"/>
    <w:rsid w:val="0036626D"/>
    <w:rsid w:val="0036655C"/>
    <w:rsid w:val="0036714D"/>
    <w:rsid w:val="0036721D"/>
    <w:rsid w:val="00367D89"/>
    <w:rsid w:val="00367E79"/>
    <w:rsid w:val="00367EDC"/>
    <w:rsid w:val="00367FA8"/>
    <w:rsid w:val="003702A7"/>
    <w:rsid w:val="00370476"/>
    <w:rsid w:val="003708A4"/>
    <w:rsid w:val="00371294"/>
    <w:rsid w:val="003712BF"/>
    <w:rsid w:val="00372360"/>
    <w:rsid w:val="003724F6"/>
    <w:rsid w:val="00372841"/>
    <w:rsid w:val="003730F5"/>
    <w:rsid w:val="0037333C"/>
    <w:rsid w:val="00373585"/>
    <w:rsid w:val="0037384B"/>
    <w:rsid w:val="003738D0"/>
    <w:rsid w:val="00373E10"/>
    <w:rsid w:val="00374B09"/>
    <w:rsid w:val="003753F2"/>
    <w:rsid w:val="003756E8"/>
    <w:rsid w:val="00375E7D"/>
    <w:rsid w:val="003764C8"/>
    <w:rsid w:val="00376731"/>
    <w:rsid w:val="0037784C"/>
    <w:rsid w:val="00377A2C"/>
    <w:rsid w:val="00377A47"/>
    <w:rsid w:val="00377FD7"/>
    <w:rsid w:val="0038005E"/>
    <w:rsid w:val="0038098C"/>
    <w:rsid w:val="00380D7E"/>
    <w:rsid w:val="00380FB9"/>
    <w:rsid w:val="00381495"/>
    <w:rsid w:val="003815CD"/>
    <w:rsid w:val="00382C48"/>
    <w:rsid w:val="003838FA"/>
    <w:rsid w:val="00383F90"/>
    <w:rsid w:val="0038465C"/>
    <w:rsid w:val="00384871"/>
    <w:rsid w:val="00384B00"/>
    <w:rsid w:val="00385026"/>
    <w:rsid w:val="00385A0E"/>
    <w:rsid w:val="00385D50"/>
    <w:rsid w:val="003861B2"/>
    <w:rsid w:val="0038681B"/>
    <w:rsid w:val="00386FAC"/>
    <w:rsid w:val="0038700F"/>
    <w:rsid w:val="003874F2"/>
    <w:rsid w:val="00387859"/>
    <w:rsid w:val="0038786A"/>
    <w:rsid w:val="00390E19"/>
    <w:rsid w:val="003915FF"/>
    <w:rsid w:val="00391AE8"/>
    <w:rsid w:val="00391BFD"/>
    <w:rsid w:val="00391D01"/>
    <w:rsid w:val="00392021"/>
    <w:rsid w:val="00392645"/>
    <w:rsid w:val="00392691"/>
    <w:rsid w:val="0039277E"/>
    <w:rsid w:val="00392A82"/>
    <w:rsid w:val="0039325B"/>
    <w:rsid w:val="0039337B"/>
    <w:rsid w:val="003941A5"/>
    <w:rsid w:val="003942EC"/>
    <w:rsid w:val="00394C0C"/>
    <w:rsid w:val="00394EDF"/>
    <w:rsid w:val="00395227"/>
    <w:rsid w:val="00396185"/>
    <w:rsid w:val="00396534"/>
    <w:rsid w:val="00396B9C"/>
    <w:rsid w:val="003A019D"/>
    <w:rsid w:val="003A0301"/>
    <w:rsid w:val="003A06BD"/>
    <w:rsid w:val="003A1309"/>
    <w:rsid w:val="003A1C50"/>
    <w:rsid w:val="003A257E"/>
    <w:rsid w:val="003A2E2D"/>
    <w:rsid w:val="003A2E9D"/>
    <w:rsid w:val="003A2F6D"/>
    <w:rsid w:val="003A3134"/>
    <w:rsid w:val="003A3189"/>
    <w:rsid w:val="003A368A"/>
    <w:rsid w:val="003A3B9A"/>
    <w:rsid w:val="003A3EF6"/>
    <w:rsid w:val="003A3F48"/>
    <w:rsid w:val="003A42D4"/>
    <w:rsid w:val="003A4A6A"/>
    <w:rsid w:val="003A4E13"/>
    <w:rsid w:val="003A50A3"/>
    <w:rsid w:val="003A515D"/>
    <w:rsid w:val="003A5720"/>
    <w:rsid w:val="003A5BE7"/>
    <w:rsid w:val="003A68C8"/>
    <w:rsid w:val="003A68F8"/>
    <w:rsid w:val="003A6ABD"/>
    <w:rsid w:val="003A6E44"/>
    <w:rsid w:val="003A7198"/>
    <w:rsid w:val="003A72CC"/>
    <w:rsid w:val="003A7B7D"/>
    <w:rsid w:val="003A7D34"/>
    <w:rsid w:val="003A7F1C"/>
    <w:rsid w:val="003B04B1"/>
    <w:rsid w:val="003B0A21"/>
    <w:rsid w:val="003B0E82"/>
    <w:rsid w:val="003B1537"/>
    <w:rsid w:val="003B153C"/>
    <w:rsid w:val="003B1BA1"/>
    <w:rsid w:val="003B1BED"/>
    <w:rsid w:val="003B2773"/>
    <w:rsid w:val="003B2794"/>
    <w:rsid w:val="003B2A0F"/>
    <w:rsid w:val="003B2C1D"/>
    <w:rsid w:val="003B321F"/>
    <w:rsid w:val="003B39A3"/>
    <w:rsid w:val="003B3AFA"/>
    <w:rsid w:val="003B445D"/>
    <w:rsid w:val="003B4536"/>
    <w:rsid w:val="003B469E"/>
    <w:rsid w:val="003B485A"/>
    <w:rsid w:val="003B51E6"/>
    <w:rsid w:val="003B52F3"/>
    <w:rsid w:val="003B5580"/>
    <w:rsid w:val="003B593F"/>
    <w:rsid w:val="003B5D86"/>
    <w:rsid w:val="003B62C0"/>
    <w:rsid w:val="003B6B28"/>
    <w:rsid w:val="003B6BBE"/>
    <w:rsid w:val="003B6E43"/>
    <w:rsid w:val="003B6E48"/>
    <w:rsid w:val="003B6F55"/>
    <w:rsid w:val="003B7884"/>
    <w:rsid w:val="003B7E0F"/>
    <w:rsid w:val="003C0362"/>
    <w:rsid w:val="003C09EC"/>
    <w:rsid w:val="003C0EC0"/>
    <w:rsid w:val="003C1492"/>
    <w:rsid w:val="003C1AB3"/>
    <w:rsid w:val="003C2962"/>
    <w:rsid w:val="003C29B4"/>
    <w:rsid w:val="003C3110"/>
    <w:rsid w:val="003C378C"/>
    <w:rsid w:val="003C3A3F"/>
    <w:rsid w:val="003C44BD"/>
    <w:rsid w:val="003C4A1D"/>
    <w:rsid w:val="003C4E8A"/>
    <w:rsid w:val="003C5039"/>
    <w:rsid w:val="003C51CC"/>
    <w:rsid w:val="003C530D"/>
    <w:rsid w:val="003C54F1"/>
    <w:rsid w:val="003C551E"/>
    <w:rsid w:val="003C5CB3"/>
    <w:rsid w:val="003C5CCD"/>
    <w:rsid w:val="003C5EB0"/>
    <w:rsid w:val="003C61B8"/>
    <w:rsid w:val="003C6B89"/>
    <w:rsid w:val="003C700C"/>
    <w:rsid w:val="003C70E2"/>
    <w:rsid w:val="003C72CC"/>
    <w:rsid w:val="003C7916"/>
    <w:rsid w:val="003C7922"/>
    <w:rsid w:val="003C7A36"/>
    <w:rsid w:val="003C7A68"/>
    <w:rsid w:val="003D05B0"/>
    <w:rsid w:val="003D0761"/>
    <w:rsid w:val="003D16E3"/>
    <w:rsid w:val="003D1732"/>
    <w:rsid w:val="003D1861"/>
    <w:rsid w:val="003D1E50"/>
    <w:rsid w:val="003D1FDE"/>
    <w:rsid w:val="003D2388"/>
    <w:rsid w:val="003D2465"/>
    <w:rsid w:val="003D2EF4"/>
    <w:rsid w:val="003D3912"/>
    <w:rsid w:val="003D3CF0"/>
    <w:rsid w:val="003D3F0E"/>
    <w:rsid w:val="003D432E"/>
    <w:rsid w:val="003D4355"/>
    <w:rsid w:val="003D45DF"/>
    <w:rsid w:val="003D61C8"/>
    <w:rsid w:val="003D659C"/>
    <w:rsid w:val="003D6F72"/>
    <w:rsid w:val="003D74F5"/>
    <w:rsid w:val="003D77CB"/>
    <w:rsid w:val="003D7AFF"/>
    <w:rsid w:val="003D7B61"/>
    <w:rsid w:val="003D7E14"/>
    <w:rsid w:val="003E0303"/>
    <w:rsid w:val="003E0C94"/>
    <w:rsid w:val="003E0DD3"/>
    <w:rsid w:val="003E13C2"/>
    <w:rsid w:val="003E16B7"/>
    <w:rsid w:val="003E1805"/>
    <w:rsid w:val="003E187D"/>
    <w:rsid w:val="003E2728"/>
    <w:rsid w:val="003E29ED"/>
    <w:rsid w:val="003E2B0F"/>
    <w:rsid w:val="003E2C35"/>
    <w:rsid w:val="003E31C4"/>
    <w:rsid w:val="003E348A"/>
    <w:rsid w:val="003E38A7"/>
    <w:rsid w:val="003E38D8"/>
    <w:rsid w:val="003E4370"/>
    <w:rsid w:val="003E4C66"/>
    <w:rsid w:val="003E4DA7"/>
    <w:rsid w:val="003E5238"/>
    <w:rsid w:val="003E53B0"/>
    <w:rsid w:val="003E6169"/>
    <w:rsid w:val="003E6779"/>
    <w:rsid w:val="003E7313"/>
    <w:rsid w:val="003E7623"/>
    <w:rsid w:val="003E7E35"/>
    <w:rsid w:val="003F02B9"/>
    <w:rsid w:val="003F13B2"/>
    <w:rsid w:val="003F142A"/>
    <w:rsid w:val="003F1BC7"/>
    <w:rsid w:val="003F1C17"/>
    <w:rsid w:val="003F20AB"/>
    <w:rsid w:val="003F20E8"/>
    <w:rsid w:val="003F273A"/>
    <w:rsid w:val="003F3311"/>
    <w:rsid w:val="003F3859"/>
    <w:rsid w:val="003F3937"/>
    <w:rsid w:val="003F393C"/>
    <w:rsid w:val="003F39EF"/>
    <w:rsid w:val="003F416E"/>
    <w:rsid w:val="003F422F"/>
    <w:rsid w:val="003F42AE"/>
    <w:rsid w:val="003F491F"/>
    <w:rsid w:val="003F4998"/>
    <w:rsid w:val="003F4C56"/>
    <w:rsid w:val="003F4DF7"/>
    <w:rsid w:val="003F55FA"/>
    <w:rsid w:val="003F5D89"/>
    <w:rsid w:val="003F6428"/>
    <w:rsid w:val="003F6877"/>
    <w:rsid w:val="003F6EFD"/>
    <w:rsid w:val="00400162"/>
    <w:rsid w:val="0040037B"/>
    <w:rsid w:val="004004E7"/>
    <w:rsid w:val="00400A9F"/>
    <w:rsid w:val="00401A74"/>
    <w:rsid w:val="00401B0A"/>
    <w:rsid w:val="004020B0"/>
    <w:rsid w:val="004022F3"/>
    <w:rsid w:val="00402445"/>
    <w:rsid w:val="00402820"/>
    <w:rsid w:val="004029A1"/>
    <w:rsid w:val="00403177"/>
    <w:rsid w:val="00403A63"/>
    <w:rsid w:val="00403C83"/>
    <w:rsid w:val="00403D74"/>
    <w:rsid w:val="00404383"/>
    <w:rsid w:val="00404502"/>
    <w:rsid w:val="004045C5"/>
    <w:rsid w:val="004046C6"/>
    <w:rsid w:val="00404C78"/>
    <w:rsid w:val="00405218"/>
    <w:rsid w:val="0040524F"/>
    <w:rsid w:val="004065FD"/>
    <w:rsid w:val="0040706F"/>
    <w:rsid w:val="004072D4"/>
    <w:rsid w:val="00407C3B"/>
    <w:rsid w:val="004107A1"/>
    <w:rsid w:val="004115F6"/>
    <w:rsid w:val="00411688"/>
    <w:rsid w:val="00411B56"/>
    <w:rsid w:val="00411C9D"/>
    <w:rsid w:val="00412258"/>
    <w:rsid w:val="004122CF"/>
    <w:rsid w:val="004123A0"/>
    <w:rsid w:val="00412895"/>
    <w:rsid w:val="0041295A"/>
    <w:rsid w:val="00413257"/>
    <w:rsid w:val="0041361A"/>
    <w:rsid w:val="0041425A"/>
    <w:rsid w:val="004145DB"/>
    <w:rsid w:val="00414777"/>
    <w:rsid w:val="004148B5"/>
    <w:rsid w:val="00415A78"/>
    <w:rsid w:val="00415C84"/>
    <w:rsid w:val="00415DC0"/>
    <w:rsid w:val="00415F1E"/>
    <w:rsid w:val="004161C3"/>
    <w:rsid w:val="004166CF"/>
    <w:rsid w:val="00416D1E"/>
    <w:rsid w:val="00416EC8"/>
    <w:rsid w:val="004175F4"/>
    <w:rsid w:val="00417814"/>
    <w:rsid w:val="0041792F"/>
    <w:rsid w:val="00417BCF"/>
    <w:rsid w:val="0042027A"/>
    <w:rsid w:val="00420386"/>
    <w:rsid w:val="004206CE"/>
    <w:rsid w:val="00420F9B"/>
    <w:rsid w:val="004216E7"/>
    <w:rsid w:val="00421870"/>
    <w:rsid w:val="0042196D"/>
    <w:rsid w:val="004219F7"/>
    <w:rsid w:val="00421BA2"/>
    <w:rsid w:val="00422240"/>
    <w:rsid w:val="00422BFD"/>
    <w:rsid w:val="00422D26"/>
    <w:rsid w:val="00422F08"/>
    <w:rsid w:val="00422FEA"/>
    <w:rsid w:val="00423061"/>
    <w:rsid w:val="0042309A"/>
    <w:rsid w:val="004230A2"/>
    <w:rsid w:val="00423555"/>
    <w:rsid w:val="004239CE"/>
    <w:rsid w:val="00423ACF"/>
    <w:rsid w:val="00424495"/>
    <w:rsid w:val="00424553"/>
    <w:rsid w:val="00424CB8"/>
    <w:rsid w:val="00424CEF"/>
    <w:rsid w:val="00424E7F"/>
    <w:rsid w:val="00425635"/>
    <w:rsid w:val="00425B2E"/>
    <w:rsid w:val="00426726"/>
    <w:rsid w:val="00426797"/>
    <w:rsid w:val="00426DC9"/>
    <w:rsid w:val="004270ED"/>
    <w:rsid w:val="00427278"/>
    <w:rsid w:val="00427A99"/>
    <w:rsid w:val="00427D1A"/>
    <w:rsid w:val="004300DE"/>
    <w:rsid w:val="004301AF"/>
    <w:rsid w:val="004303C9"/>
    <w:rsid w:val="0043100E"/>
    <w:rsid w:val="004318FC"/>
    <w:rsid w:val="00431BDE"/>
    <w:rsid w:val="00431C2E"/>
    <w:rsid w:val="00431C61"/>
    <w:rsid w:val="00432600"/>
    <w:rsid w:val="00432608"/>
    <w:rsid w:val="004327CD"/>
    <w:rsid w:val="00432F45"/>
    <w:rsid w:val="00433085"/>
    <w:rsid w:val="00433549"/>
    <w:rsid w:val="004336CD"/>
    <w:rsid w:val="00433B95"/>
    <w:rsid w:val="004345A5"/>
    <w:rsid w:val="00434E9E"/>
    <w:rsid w:val="0043500D"/>
    <w:rsid w:val="00435321"/>
    <w:rsid w:val="0043555F"/>
    <w:rsid w:val="00435D4D"/>
    <w:rsid w:val="00435E26"/>
    <w:rsid w:val="0043607A"/>
    <w:rsid w:val="004369E1"/>
    <w:rsid w:val="00436A8E"/>
    <w:rsid w:val="004372CF"/>
    <w:rsid w:val="00437A23"/>
    <w:rsid w:val="00437B7C"/>
    <w:rsid w:val="00437BD5"/>
    <w:rsid w:val="004404F5"/>
    <w:rsid w:val="00440E2F"/>
    <w:rsid w:val="00441DCA"/>
    <w:rsid w:val="00441EA0"/>
    <w:rsid w:val="00442CC4"/>
    <w:rsid w:val="00442FE4"/>
    <w:rsid w:val="00443495"/>
    <w:rsid w:val="004441E7"/>
    <w:rsid w:val="0044429A"/>
    <w:rsid w:val="00445082"/>
    <w:rsid w:val="004451C9"/>
    <w:rsid w:val="0044575F"/>
    <w:rsid w:val="00445CE9"/>
    <w:rsid w:val="00445F6D"/>
    <w:rsid w:val="004465B4"/>
    <w:rsid w:val="00446AFE"/>
    <w:rsid w:val="00446B84"/>
    <w:rsid w:val="00447FED"/>
    <w:rsid w:val="004500E2"/>
    <w:rsid w:val="004503B2"/>
    <w:rsid w:val="00450928"/>
    <w:rsid w:val="00450EF1"/>
    <w:rsid w:val="00451CC0"/>
    <w:rsid w:val="00452A37"/>
    <w:rsid w:val="00453857"/>
    <w:rsid w:val="00453863"/>
    <w:rsid w:val="00453AFF"/>
    <w:rsid w:val="00454892"/>
    <w:rsid w:val="00454BD7"/>
    <w:rsid w:val="00454CCE"/>
    <w:rsid w:val="00455335"/>
    <w:rsid w:val="00455426"/>
    <w:rsid w:val="00455601"/>
    <w:rsid w:val="00455B56"/>
    <w:rsid w:val="00456EE9"/>
    <w:rsid w:val="0045703C"/>
    <w:rsid w:val="00457171"/>
    <w:rsid w:val="0045753E"/>
    <w:rsid w:val="00457B81"/>
    <w:rsid w:val="00457D7A"/>
    <w:rsid w:val="00457E97"/>
    <w:rsid w:val="00460367"/>
    <w:rsid w:val="00460414"/>
    <w:rsid w:val="0046098C"/>
    <w:rsid w:val="00461E63"/>
    <w:rsid w:val="00461FFA"/>
    <w:rsid w:val="00462213"/>
    <w:rsid w:val="00462685"/>
    <w:rsid w:val="00462B51"/>
    <w:rsid w:val="00462C52"/>
    <w:rsid w:val="0046304E"/>
    <w:rsid w:val="004637D8"/>
    <w:rsid w:val="00463BCD"/>
    <w:rsid w:val="00463BFB"/>
    <w:rsid w:val="00463E90"/>
    <w:rsid w:val="00463E98"/>
    <w:rsid w:val="00464ADD"/>
    <w:rsid w:val="00464E0C"/>
    <w:rsid w:val="004650A3"/>
    <w:rsid w:val="0046559E"/>
    <w:rsid w:val="00465989"/>
    <w:rsid w:val="0046610F"/>
    <w:rsid w:val="00467219"/>
    <w:rsid w:val="004675B5"/>
    <w:rsid w:val="004678C8"/>
    <w:rsid w:val="00467B38"/>
    <w:rsid w:val="00467BBC"/>
    <w:rsid w:val="00467F77"/>
    <w:rsid w:val="0047016D"/>
    <w:rsid w:val="00470CD6"/>
    <w:rsid w:val="00470E6D"/>
    <w:rsid w:val="004711AD"/>
    <w:rsid w:val="004711BD"/>
    <w:rsid w:val="00471C62"/>
    <w:rsid w:val="00471E5A"/>
    <w:rsid w:val="004721FB"/>
    <w:rsid w:val="0047290E"/>
    <w:rsid w:val="00472CA5"/>
    <w:rsid w:val="00472EDF"/>
    <w:rsid w:val="00472FC1"/>
    <w:rsid w:val="004733DB"/>
    <w:rsid w:val="00473AD5"/>
    <w:rsid w:val="00474157"/>
    <w:rsid w:val="00474639"/>
    <w:rsid w:val="0047494C"/>
    <w:rsid w:val="00474D1B"/>
    <w:rsid w:val="00475300"/>
    <w:rsid w:val="004754DE"/>
    <w:rsid w:val="00475514"/>
    <w:rsid w:val="004756F3"/>
    <w:rsid w:val="00475819"/>
    <w:rsid w:val="00475A32"/>
    <w:rsid w:val="00475B07"/>
    <w:rsid w:val="00475E1D"/>
    <w:rsid w:val="004764A6"/>
    <w:rsid w:val="004766A3"/>
    <w:rsid w:val="0047673E"/>
    <w:rsid w:val="0047686B"/>
    <w:rsid w:val="004768B4"/>
    <w:rsid w:val="00476BCF"/>
    <w:rsid w:val="00477142"/>
    <w:rsid w:val="00480167"/>
    <w:rsid w:val="0048021A"/>
    <w:rsid w:val="00480331"/>
    <w:rsid w:val="0048094B"/>
    <w:rsid w:val="00480A50"/>
    <w:rsid w:val="004813E1"/>
    <w:rsid w:val="00481A77"/>
    <w:rsid w:val="00481FAD"/>
    <w:rsid w:val="004822BC"/>
    <w:rsid w:val="004822D0"/>
    <w:rsid w:val="004822E0"/>
    <w:rsid w:val="004829B7"/>
    <w:rsid w:val="00482FDB"/>
    <w:rsid w:val="00483670"/>
    <w:rsid w:val="004837BF"/>
    <w:rsid w:val="00483BC0"/>
    <w:rsid w:val="004844A2"/>
    <w:rsid w:val="00484B57"/>
    <w:rsid w:val="00484EA7"/>
    <w:rsid w:val="004851DC"/>
    <w:rsid w:val="00485284"/>
    <w:rsid w:val="0048536B"/>
    <w:rsid w:val="00485B39"/>
    <w:rsid w:val="00486380"/>
    <w:rsid w:val="004863E5"/>
    <w:rsid w:val="0048670A"/>
    <w:rsid w:val="0048672B"/>
    <w:rsid w:val="00486B70"/>
    <w:rsid w:val="00487069"/>
    <w:rsid w:val="00487104"/>
    <w:rsid w:val="004875C7"/>
    <w:rsid w:val="00487F52"/>
    <w:rsid w:val="00490017"/>
    <w:rsid w:val="004903EF"/>
    <w:rsid w:val="00490A8E"/>
    <w:rsid w:val="00490BA8"/>
    <w:rsid w:val="00490DC0"/>
    <w:rsid w:val="00490ED8"/>
    <w:rsid w:val="004912E2"/>
    <w:rsid w:val="004922CE"/>
    <w:rsid w:val="00492BE9"/>
    <w:rsid w:val="00493910"/>
    <w:rsid w:val="004940C2"/>
    <w:rsid w:val="0049430B"/>
    <w:rsid w:val="00494B37"/>
    <w:rsid w:val="00494C9B"/>
    <w:rsid w:val="00494F2D"/>
    <w:rsid w:val="0049504C"/>
    <w:rsid w:val="00495117"/>
    <w:rsid w:val="0049548C"/>
    <w:rsid w:val="00495674"/>
    <w:rsid w:val="00496054"/>
    <w:rsid w:val="0049631F"/>
    <w:rsid w:val="00496605"/>
    <w:rsid w:val="00496625"/>
    <w:rsid w:val="0049672E"/>
    <w:rsid w:val="00496E2A"/>
    <w:rsid w:val="00496F44"/>
    <w:rsid w:val="00497533"/>
    <w:rsid w:val="00497DD6"/>
    <w:rsid w:val="004A03B9"/>
    <w:rsid w:val="004A104E"/>
    <w:rsid w:val="004A259C"/>
    <w:rsid w:val="004A4479"/>
    <w:rsid w:val="004A4737"/>
    <w:rsid w:val="004A4951"/>
    <w:rsid w:val="004A58A3"/>
    <w:rsid w:val="004A5BE9"/>
    <w:rsid w:val="004A5D6A"/>
    <w:rsid w:val="004A5FF0"/>
    <w:rsid w:val="004A6432"/>
    <w:rsid w:val="004A689E"/>
    <w:rsid w:val="004A6AB5"/>
    <w:rsid w:val="004A6BEC"/>
    <w:rsid w:val="004A701E"/>
    <w:rsid w:val="004A77FF"/>
    <w:rsid w:val="004A7D97"/>
    <w:rsid w:val="004B16CD"/>
    <w:rsid w:val="004B2482"/>
    <w:rsid w:val="004B2C31"/>
    <w:rsid w:val="004B37A9"/>
    <w:rsid w:val="004B393C"/>
    <w:rsid w:val="004B3EEC"/>
    <w:rsid w:val="004B3F04"/>
    <w:rsid w:val="004B3FA2"/>
    <w:rsid w:val="004B405F"/>
    <w:rsid w:val="004B410A"/>
    <w:rsid w:val="004B46C7"/>
    <w:rsid w:val="004B4F5F"/>
    <w:rsid w:val="004B50A7"/>
    <w:rsid w:val="004B5417"/>
    <w:rsid w:val="004B581B"/>
    <w:rsid w:val="004B5DC8"/>
    <w:rsid w:val="004B622D"/>
    <w:rsid w:val="004B63D0"/>
    <w:rsid w:val="004B6842"/>
    <w:rsid w:val="004B6C80"/>
    <w:rsid w:val="004B759B"/>
    <w:rsid w:val="004B77C9"/>
    <w:rsid w:val="004B77D1"/>
    <w:rsid w:val="004B7C28"/>
    <w:rsid w:val="004B7C53"/>
    <w:rsid w:val="004B7C75"/>
    <w:rsid w:val="004B7F37"/>
    <w:rsid w:val="004C01E5"/>
    <w:rsid w:val="004C1071"/>
    <w:rsid w:val="004C146B"/>
    <w:rsid w:val="004C1519"/>
    <w:rsid w:val="004C1C32"/>
    <w:rsid w:val="004C26CE"/>
    <w:rsid w:val="004C29CF"/>
    <w:rsid w:val="004C2BCD"/>
    <w:rsid w:val="004C3452"/>
    <w:rsid w:val="004C38FE"/>
    <w:rsid w:val="004C3B9F"/>
    <w:rsid w:val="004C3DCB"/>
    <w:rsid w:val="004C41FA"/>
    <w:rsid w:val="004C47B2"/>
    <w:rsid w:val="004C4A48"/>
    <w:rsid w:val="004C4B28"/>
    <w:rsid w:val="004C4FD0"/>
    <w:rsid w:val="004C54FD"/>
    <w:rsid w:val="004C555A"/>
    <w:rsid w:val="004C5617"/>
    <w:rsid w:val="004C5690"/>
    <w:rsid w:val="004C571E"/>
    <w:rsid w:val="004C5B56"/>
    <w:rsid w:val="004C5BCC"/>
    <w:rsid w:val="004C5D76"/>
    <w:rsid w:val="004C6022"/>
    <w:rsid w:val="004C68B3"/>
    <w:rsid w:val="004C7101"/>
    <w:rsid w:val="004C73CD"/>
    <w:rsid w:val="004C755C"/>
    <w:rsid w:val="004D04EC"/>
    <w:rsid w:val="004D052F"/>
    <w:rsid w:val="004D0580"/>
    <w:rsid w:val="004D13B6"/>
    <w:rsid w:val="004D197B"/>
    <w:rsid w:val="004D1B41"/>
    <w:rsid w:val="004D227C"/>
    <w:rsid w:val="004D236A"/>
    <w:rsid w:val="004D2663"/>
    <w:rsid w:val="004D2CAB"/>
    <w:rsid w:val="004D4355"/>
    <w:rsid w:val="004D47B8"/>
    <w:rsid w:val="004D4AE1"/>
    <w:rsid w:val="004D4B7A"/>
    <w:rsid w:val="004D5124"/>
    <w:rsid w:val="004D5653"/>
    <w:rsid w:val="004D5727"/>
    <w:rsid w:val="004D68E3"/>
    <w:rsid w:val="004D73D1"/>
    <w:rsid w:val="004D74F3"/>
    <w:rsid w:val="004D74F5"/>
    <w:rsid w:val="004E04E4"/>
    <w:rsid w:val="004E06D9"/>
    <w:rsid w:val="004E0F66"/>
    <w:rsid w:val="004E0FBA"/>
    <w:rsid w:val="004E1323"/>
    <w:rsid w:val="004E14C8"/>
    <w:rsid w:val="004E1ED4"/>
    <w:rsid w:val="004E20A8"/>
    <w:rsid w:val="004E2552"/>
    <w:rsid w:val="004E262F"/>
    <w:rsid w:val="004E319E"/>
    <w:rsid w:val="004E31C6"/>
    <w:rsid w:val="004E333F"/>
    <w:rsid w:val="004E39B5"/>
    <w:rsid w:val="004E3AC5"/>
    <w:rsid w:val="004E45DA"/>
    <w:rsid w:val="004E485B"/>
    <w:rsid w:val="004E4C7E"/>
    <w:rsid w:val="004E4D00"/>
    <w:rsid w:val="004E50A5"/>
    <w:rsid w:val="004E54E3"/>
    <w:rsid w:val="004E5BC3"/>
    <w:rsid w:val="004E5D1B"/>
    <w:rsid w:val="004E7A99"/>
    <w:rsid w:val="004F0FEE"/>
    <w:rsid w:val="004F150F"/>
    <w:rsid w:val="004F194C"/>
    <w:rsid w:val="004F25B4"/>
    <w:rsid w:val="004F2613"/>
    <w:rsid w:val="004F26F4"/>
    <w:rsid w:val="004F2BE6"/>
    <w:rsid w:val="004F3742"/>
    <w:rsid w:val="004F3DBE"/>
    <w:rsid w:val="004F41EC"/>
    <w:rsid w:val="004F46C4"/>
    <w:rsid w:val="004F4D54"/>
    <w:rsid w:val="004F4ED4"/>
    <w:rsid w:val="004F4FBE"/>
    <w:rsid w:val="004F50C7"/>
    <w:rsid w:val="004F5806"/>
    <w:rsid w:val="004F5AA8"/>
    <w:rsid w:val="004F620F"/>
    <w:rsid w:val="004F67F0"/>
    <w:rsid w:val="004F755C"/>
    <w:rsid w:val="004F75D4"/>
    <w:rsid w:val="004F7ABA"/>
    <w:rsid w:val="004F7ACB"/>
    <w:rsid w:val="004F7D3C"/>
    <w:rsid w:val="004F7EEB"/>
    <w:rsid w:val="00500024"/>
    <w:rsid w:val="00500293"/>
    <w:rsid w:val="00500697"/>
    <w:rsid w:val="00500968"/>
    <w:rsid w:val="0050109A"/>
    <w:rsid w:val="0050136A"/>
    <w:rsid w:val="0050157C"/>
    <w:rsid w:val="00501634"/>
    <w:rsid w:val="005018DE"/>
    <w:rsid w:val="00501E01"/>
    <w:rsid w:val="00502437"/>
    <w:rsid w:val="005024F9"/>
    <w:rsid w:val="00502E30"/>
    <w:rsid w:val="0050409B"/>
    <w:rsid w:val="00504633"/>
    <w:rsid w:val="00504C33"/>
    <w:rsid w:val="00505A45"/>
    <w:rsid w:val="00505D15"/>
    <w:rsid w:val="00505E45"/>
    <w:rsid w:val="005062A4"/>
    <w:rsid w:val="00506A2A"/>
    <w:rsid w:val="00506CCB"/>
    <w:rsid w:val="00507773"/>
    <w:rsid w:val="005079B3"/>
    <w:rsid w:val="00507B08"/>
    <w:rsid w:val="00507C91"/>
    <w:rsid w:val="00507D3C"/>
    <w:rsid w:val="00507FEE"/>
    <w:rsid w:val="00510491"/>
    <w:rsid w:val="00510A93"/>
    <w:rsid w:val="00510A99"/>
    <w:rsid w:val="00510C55"/>
    <w:rsid w:val="005111B7"/>
    <w:rsid w:val="0051141D"/>
    <w:rsid w:val="0051201F"/>
    <w:rsid w:val="0051257B"/>
    <w:rsid w:val="00512E1E"/>
    <w:rsid w:val="005140A6"/>
    <w:rsid w:val="0051496D"/>
    <w:rsid w:val="00514AFA"/>
    <w:rsid w:val="005150B9"/>
    <w:rsid w:val="005150F3"/>
    <w:rsid w:val="00515625"/>
    <w:rsid w:val="00515638"/>
    <w:rsid w:val="0051565A"/>
    <w:rsid w:val="005156A2"/>
    <w:rsid w:val="00515E21"/>
    <w:rsid w:val="00515F5B"/>
    <w:rsid w:val="00516276"/>
    <w:rsid w:val="005164DE"/>
    <w:rsid w:val="00516D6C"/>
    <w:rsid w:val="0051710C"/>
    <w:rsid w:val="0051755D"/>
    <w:rsid w:val="005179D4"/>
    <w:rsid w:val="00517A45"/>
    <w:rsid w:val="00517BD7"/>
    <w:rsid w:val="00517D7C"/>
    <w:rsid w:val="00517DAF"/>
    <w:rsid w:val="0052001A"/>
    <w:rsid w:val="005201F9"/>
    <w:rsid w:val="0052026C"/>
    <w:rsid w:val="00520BD2"/>
    <w:rsid w:val="00520D7A"/>
    <w:rsid w:val="0052172B"/>
    <w:rsid w:val="00521988"/>
    <w:rsid w:val="00522061"/>
    <w:rsid w:val="0052242F"/>
    <w:rsid w:val="005226DB"/>
    <w:rsid w:val="00522C46"/>
    <w:rsid w:val="00522E42"/>
    <w:rsid w:val="00522F1F"/>
    <w:rsid w:val="005230C1"/>
    <w:rsid w:val="005231F6"/>
    <w:rsid w:val="00523616"/>
    <w:rsid w:val="00523B05"/>
    <w:rsid w:val="00523EBA"/>
    <w:rsid w:val="0052436B"/>
    <w:rsid w:val="0052446D"/>
    <w:rsid w:val="005253B6"/>
    <w:rsid w:val="005255B9"/>
    <w:rsid w:val="0052566F"/>
    <w:rsid w:val="00525D9F"/>
    <w:rsid w:val="00526277"/>
    <w:rsid w:val="00526353"/>
    <w:rsid w:val="00526611"/>
    <w:rsid w:val="00526B58"/>
    <w:rsid w:val="00526C8D"/>
    <w:rsid w:val="005276B3"/>
    <w:rsid w:val="00530054"/>
    <w:rsid w:val="0053061F"/>
    <w:rsid w:val="005306FA"/>
    <w:rsid w:val="0053092F"/>
    <w:rsid w:val="00530E8D"/>
    <w:rsid w:val="00530EB1"/>
    <w:rsid w:val="00530FD9"/>
    <w:rsid w:val="00531423"/>
    <w:rsid w:val="005314B4"/>
    <w:rsid w:val="005314E5"/>
    <w:rsid w:val="00531873"/>
    <w:rsid w:val="005319A8"/>
    <w:rsid w:val="00531A13"/>
    <w:rsid w:val="00531A5A"/>
    <w:rsid w:val="00531DC1"/>
    <w:rsid w:val="00532298"/>
    <w:rsid w:val="00533DEF"/>
    <w:rsid w:val="00534430"/>
    <w:rsid w:val="0053480B"/>
    <w:rsid w:val="00534D01"/>
    <w:rsid w:val="00534F3E"/>
    <w:rsid w:val="00534FB4"/>
    <w:rsid w:val="0053565F"/>
    <w:rsid w:val="00535F19"/>
    <w:rsid w:val="00536134"/>
    <w:rsid w:val="005362E6"/>
    <w:rsid w:val="005364AE"/>
    <w:rsid w:val="005364C2"/>
    <w:rsid w:val="00536727"/>
    <w:rsid w:val="00536D6E"/>
    <w:rsid w:val="00537619"/>
    <w:rsid w:val="00537623"/>
    <w:rsid w:val="005405E2"/>
    <w:rsid w:val="00540627"/>
    <w:rsid w:val="005406EF"/>
    <w:rsid w:val="00540898"/>
    <w:rsid w:val="00540B4C"/>
    <w:rsid w:val="00540BE4"/>
    <w:rsid w:val="00541CBD"/>
    <w:rsid w:val="005425B1"/>
    <w:rsid w:val="005426E4"/>
    <w:rsid w:val="00542752"/>
    <w:rsid w:val="00542818"/>
    <w:rsid w:val="00542982"/>
    <w:rsid w:val="00542AAF"/>
    <w:rsid w:val="00542E8A"/>
    <w:rsid w:val="00542F8D"/>
    <w:rsid w:val="0054321D"/>
    <w:rsid w:val="00543796"/>
    <w:rsid w:val="00543C79"/>
    <w:rsid w:val="00543C9C"/>
    <w:rsid w:val="00544034"/>
    <w:rsid w:val="0054404E"/>
    <w:rsid w:val="0054437D"/>
    <w:rsid w:val="005445C2"/>
    <w:rsid w:val="0054466F"/>
    <w:rsid w:val="005449F9"/>
    <w:rsid w:val="00544D36"/>
    <w:rsid w:val="00544DAA"/>
    <w:rsid w:val="00544DFD"/>
    <w:rsid w:val="0054519D"/>
    <w:rsid w:val="00545255"/>
    <w:rsid w:val="0054552C"/>
    <w:rsid w:val="0054559C"/>
    <w:rsid w:val="00545701"/>
    <w:rsid w:val="00545A67"/>
    <w:rsid w:val="00546091"/>
    <w:rsid w:val="005463D5"/>
    <w:rsid w:val="0054640F"/>
    <w:rsid w:val="0054730E"/>
    <w:rsid w:val="00547753"/>
    <w:rsid w:val="005479E1"/>
    <w:rsid w:val="00547F61"/>
    <w:rsid w:val="00547FAE"/>
    <w:rsid w:val="00550488"/>
    <w:rsid w:val="005506A3"/>
    <w:rsid w:val="005508E3"/>
    <w:rsid w:val="0055093D"/>
    <w:rsid w:val="005510D2"/>
    <w:rsid w:val="00551485"/>
    <w:rsid w:val="005517FF"/>
    <w:rsid w:val="00551DF9"/>
    <w:rsid w:val="00552028"/>
    <w:rsid w:val="00552641"/>
    <w:rsid w:val="00552BFE"/>
    <w:rsid w:val="00552C35"/>
    <w:rsid w:val="005530C0"/>
    <w:rsid w:val="005537A2"/>
    <w:rsid w:val="005541D5"/>
    <w:rsid w:val="00554829"/>
    <w:rsid w:val="005549FF"/>
    <w:rsid w:val="00554B54"/>
    <w:rsid w:val="005551B3"/>
    <w:rsid w:val="00555202"/>
    <w:rsid w:val="00555245"/>
    <w:rsid w:val="005553EF"/>
    <w:rsid w:val="00555973"/>
    <w:rsid w:val="00555C78"/>
    <w:rsid w:val="00555DD7"/>
    <w:rsid w:val="00556082"/>
    <w:rsid w:val="005565C1"/>
    <w:rsid w:val="00557281"/>
    <w:rsid w:val="00557403"/>
    <w:rsid w:val="00557DE7"/>
    <w:rsid w:val="00560687"/>
    <w:rsid w:val="00560B5A"/>
    <w:rsid w:val="00560C2E"/>
    <w:rsid w:val="00560D84"/>
    <w:rsid w:val="00560F1A"/>
    <w:rsid w:val="00561320"/>
    <w:rsid w:val="005617B4"/>
    <w:rsid w:val="005618B6"/>
    <w:rsid w:val="005619C3"/>
    <w:rsid w:val="005627E4"/>
    <w:rsid w:val="00562B0B"/>
    <w:rsid w:val="00563219"/>
    <w:rsid w:val="00563371"/>
    <w:rsid w:val="0056371D"/>
    <w:rsid w:val="00563F37"/>
    <w:rsid w:val="005640B8"/>
    <w:rsid w:val="005643C5"/>
    <w:rsid w:val="00564582"/>
    <w:rsid w:val="005646EB"/>
    <w:rsid w:val="00564CC2"/>
    <w:rsid w:val="005653CB"/>
    <w:rsid w:val="005657C2"/>
    <w:rsid w:val="00565A6D"/>
    <w:rsid w:val="00565F15"/>
    <w:rsid w:val="005664EA"/>
    <w:rsid w:val="00566635"/>
    <w:rsid w:val="00566A09"/>
    <w:rsid w:val="00567298"/>
    <w:rsid w:val="00567437"/>
    <w:rsid w:val="0056782D"/>
    <w:rsid w:val="005700AC"/>
    <w:rsid w:val="00570E06"/>
    <w:rsid w:val="00570FF8"/>
    <w:rsid w:val="005714E8"/>
    <w:rsid w:val="005715FF"/>
    <w:rsid w:val="00571642"/>
    <w:rsid w:val="00572A95"/>
    <w:rsid w:val="00572AB0"/>
    <w:rsid w:val="00572AC2"/>
    <w:rsid w:val="00573599"/>
    <w:rsid w:val="00573807"/>
    <w:rsid w:val="00573A57"/>
    <w:rsid w:val="00574054"/>
    <w:rsid w:val="00574537"/>
    <w:rsid w:val="00574BE6"/>
    <w:rsid w:val="00574C4A"/>
    <w:rsid w:val="00574F56"/>
    <w:rsid w:val="00574F7E"/>
    <w:rsid w:val="005753F2"/>
    <w:rsid w:val="00575526"/>
    <w:rsid w:val="00576911"/>
    <w:rsid w:val="00576D41"/>
    <w:rsid w:val="00576E71"/>
    <w:rsid w:val="0057708F"/>
    <w:rsid w:val="0058066E"/>
    <w:rsid w:val="00580984"/>
    <w:rsid w:val="00580A61"/>
    <w:rsid w:val="00580B27"/>
    <w:rsid w:val="00580BD8"/>
    <w:rsid w:val="00580F56"/>
    <w:rsid w:val="005818CC"/>
    <w:rsid w:val="00581DDF"/>
    <w:rsid w:val="005820A4"/>
    <w:rsid w:val="005829E8"/>
    <w:rsid w:val="00582C29"/>
    <w:rsid w:val="00582E28"/>
    <w:rsid w:val="0058364B"/>
    <w:rsid w:val="00583791"/>
    <w:rsid w:val="0058387F"/>
    <w:rsid w:val="005839D0"/>
    <w:rsid w:val="00584112"/>
    <w:rsid w:val="00584757"/>
    <w:rsid w:val="005847BF"/>
    <w:rsid w:val="00584928"/>
    <w:rsid w:val="005854FD"/>
    <w:rsid w:val="0058598A"/>
    <w:rsid w:val="00585A89"/>
    <w:rsid w:val="00585ACB"/>
    <w:rsid w:val="00585CCE"/>
    <w:rsid w:val="00585D2D"/>
    <w:rsid w:val="005862D0"/>
    <w:rsid w:val="00586682"/>
    <w:rsid w:val="0058689B"/>
    <w:rsid w:val="00586D91"/>
    <w:rsid w:val="005874ED"/>
    <w:rsid w:val="005876D5"/>
    <w:rsid w:val="00587724"/>
    <w:rsid w:val="005878A4"/>
    <w:rsid w:val="005878E1"/>
    <w:rsid w:val="00587942"/>
    <w:rsid w:val="00587977"/>
    <w:rsid w:val="00587C1C"/>
    <w:rsid w:val="0059052B"/>
    <w:rsid w:val="00590619"/>
    <w:rsid w:val="0059080F"/>
    <w:rsid w:val="00590834"/>
    <w:rsid w:val="005908E5"/>
    <w:rsid w:val="00590A32"/>
    <w:rsid w:val="005911E5"/>
    <w:rsid w:val="005916C8"/>
    <w:rsid w:val="00592050"/>
    <w:rsid w:val="0059223D"/>
    <w:rsid w:val="00592F24"/>
    <w:rsid w:val="00593489"/>
    <w:rsid w:val="005938EA"/>
    <w:rsid w:val="00593BA5"/>
    <w:rsid w:val="00593CA1"/>
    <w:rsid w:val="00593CAA"/>
    <w:rsid w:val="005941F1"/>
    <w:rsid w:val="005944D8"/>
    <w:rsid w:val="00594646"/>
    <w:rsid w:val="00594F25"/>
    <w:rsid w:val="00595E2D"/>
    <w:rsid w:val="00595F2F"/>
    <w:rsid w:val="00596904"/>
    <w:rsid w:val="005A0D96"/>
    <w:rsid w:val="005A17A1"/>
    <w:rsid w:val="005A1879"/>
    <w:rsid w:val="005A1FF2"/>
    <w:rsid w:val="005A2121"/>
    <w:rsid w:val="005A2337"/>
    <w:rsid w:val="005A2FD4"/>
    <w:rsid w:val="005A33DA"/>
    <w:rsid w:val="005A34EA"/>
    <w:rsid w:val="005A37F9"/>
    <w:rsid w:val="005A3B9F"/>
    <w:rsid w:val="005A3BBC"/>
    <w:rsid w:val="005A3FFD"/>
    <w:rsid w:val="005A40FB"/>
    <w:rsid w:val="005A47FA"/>
    <w:rsid w:val="005A520A"/>
    <w:rsid w:val="005A5376"/>
    <w:rsid w:val="005A5523"/>
    <w:rsid w:val="005A561D"/>
    <w:rsid w:val="005A568C"/>
    <w:rsid w:val="005A571A"/>
    <w:rsid w:val="005A58B2"/>
    <w:rsid w:val="005A595E"/>
    <w:rsid w:val="005A5B18"/>
    <w:rsid w:val="005A64AB"/>
    <w:rsid w:val="005A65F6"/>
    <w:rsid w:val="005A6F00"/>
    <w:rsid w:val="005A71AB"/>
    <w:rsid w:val="005A7499"/>
    <w:rsid w:val="005A7C47"/>
    <w:rsid w:val="005B0710"/>
    <w:rsid w:val="005B0D9B"/>
    <w:rsid w:val="005B17C6"/>
    <w:rsid w:val="005B1807"/>
    <w:rsid w:val="005B18DD"/>
    <w:rsid w:val="005B24F9"/>
    <w:rsid w:val="005B2696"/>
    <w:rsid w:val="005B2911"/>
    <w:rsid w:val="005B2C40"/>
    <w:rsid w:val="005B30A7"/>
    <w:rsid w:val="005B35AF"/>
    <w:rsid w:val="005B3611"/>
    <w:rsid w:val="005B3825"/>
    <w:rsid w:val="005B3AFC"/>
    <w:rsid w:val="005B3B20"/>
    <w:rsid w:val="005B3B4B"/>
    <w:rsid w:val="005B3D8B"/>
    <w:rsid w:val="005B4183"/>
    <w:rsid w:val="005B442A"/>
    <w:rsid w:val="005B5659"/>
    <w:rsid w:val="005B598F"/>
    <w:rsid w:val="005B59FA"/>
    <w:rsid w:val="005B6444"/>
    <w:rsid w:val="005B6CB1"/>
    <w:rsid w:val="005B77C5"/>
    <w:rsid w:val="005B7819"/>
    <w:rsid w:val="005B7950"/>
    <w:rsid w:val="005B79CB"/>
    <w:rsid w:val="005B7ABA"/>
    <w:rsid w:val="005C022E"/>
    <w:rsid w:val="005C0255"/>
    <w:rsid w:val="005C0697"/>
    <w:rsid w:val="005C0F24"/>
    <w:rsid w:val="005C10DB"/>
    <w:rsid w:val="005C1157"/>
    <w:rsid w:val="005C1241"/>
    <w:rsid w:val="005C1541"/>
    <w:rsid w:val="005C1AB1"/>
    <w:rsid w:val="005C21BB"/>
    <w:rsid w:val="005C226D"/>
    <w:rsid w:val="005C23B8"/>
    <w:rsid w:val="005C27DE"/>
    <w:rsid w:val="005C2FDF"/>
    <w:rsid w:val="005C313A"/>
    <w:rsid w:val="005C389F"/>
    <w:rsid w:val="005C4C41"/>
    <w:rsid w:val="005C4F89"/>
    <w:rsid w:val="005C537A"/>
    <w:rsid w:val="005C53D4"/>
    <w:rsid w:val="005C5407"/>
    <w:rsid w:val="005C57E3"/>
    <w:rsid w:val="005C6078"/>
    <w:rsid w:val="005C612B"/>
    <w:rsid w:val="005C6218"/>
    <w:rsid w:val="005C622C"/>
    <w:rsid w:val="005C6A1A"/>
    <w:rsid w:val="005C6B22"/>
    <w:rsid w:val="005C7548"/>
    <w:rsid w:val="005C79E8"/>
    <w:rsid w:val="005C7DDC"/>
    <w:rsid w:val="005D0176"/>
    <w:rsid w:val="005D05F6"/>
    <w:rsid w:val="005D0687"/>
    <w:rsid w:val="005D172B"/>
    <w:rsid w:val="005D1C57"/>
    <w:rsid w:val="005D2345"/>
    <w:rsid w:val="005D2918"/>
    <w:rsid w:val="005D2919"/>
    <w:rsid w:val="005D2D4A"/>
    <w:rsid w:val="005D481F"/>
    <w:rsid w:val="005D491D"/>
    <w:rsid w:val="005D499C"/>
    <w:rsid w:val="005D4B04"/>
    <w:rsid w:val="005D4CB5"/>
    <w:rsid w:val="005D5534"/>
    <w:rsid w:val="005D5602"/>
    <w:rsid w:val="005D5621"/>
    <w:rsid w:val="005D56D0"/>
    <w:rsid w:val="005D599C"/>
    <w:rsid w:val="005D5F31"/>
    <w:rsid w:val="005D634D"/>
    <w:rsid w:val="005D64A2"/>
    <w:rsid w:val="005D7208"/>
    <w:rsid w:val="005D7209"/>
    <w:rsid w:val="005D776D"/>
    <w:rsid w:val="005D7803"/>
    <w:rsid w:val="005E05C4"/>
    <w:rsid w:val="005E0635"/>
    <w:rsid w:val="005E0D7F"/>
    <w:rsid w:val="005E1459"/>
    <w:rsid w:val="005E1A56"/>
    <w:rsid w:val="005E1C09"/>
    <w:rsid w:val="005E3A78"/>
    <w:rsid w:val="005E3D7B"/>
    <w:rsid w:val="005E41E0"/>
    <w:rsid w:val="005E4A47"/>
    <w:rsid w:val="005E4B23"/>
    <w:rsid w:val="005E520F"/>
    <w:rsid w:val="005E5315"/>
    <w:rsid w:val="005E53D6"/>
    <w:rsid w:val="005E5BAF"/>
    <w:rsid w:val="005E6B3E"/>
    <w:rsid w:val="005E6D67"/>
    <w:rsid w:val="005E6EFC"/>
    <w:rsid w:val="005E721F"/>
    <w:rsid w:val="005E7CD3"/>
    <w:rsid w:val="005F07A2"/>
    <w:rsid w:val="005F089F"/>
    <w:rsid w:val="005F0A0F"/>
    <w:rsid w:val="005F0D20"/>
    <w:rsid w:val="005F0EC2"/>
    <w:rsid w:val="005F1293"/>
    <w:rsid w:val="005F1838"/>
    <w:rsid w:val="005F1ED9"/>
    <w:rsid w:val="005F2204"/>
    <w:rsid w:val="005F2D79"/>
    <w:rsid w:val="005F2DB7"/>
    <w:rsid w:val="005F2E7D"/>
    <w:rsid w:val="005F353E"/>
    <w:rsid w:val="005F3770"/>
    <w:rsid w:val="005F3CE8"/>
    <w:rsid w:val="005F40D3"/>
    <w:rsid w:val="005F4B5B"/>
    <w:rsid w:val="005F4CFB"/>
    <w:rsid w:val="005F53A8"/>
    <w:rsid w:val="005F5574"/>
    <w:rsid w:val="005F5E2E"/>
    <w:rsid w:val="005F6F7A"/>
    <w:rsid w:val="005F6FD0"/>
    <w:rsid w:val="005F707D"/>
    <w:rsid w:val="005F70A5"/>
    <w:rsid w:val="005F734B"/>
    <w:rsid w:val="005F7381"/>
    <w:rsid w:val="005F7910"/>
    <w:rsid w:val="006000A5"/>
    <w:rsid w:val="00600AB2"/>
    <w:rsid w:val="00600B70"/>
    <w:rsid w:val="0060203C"/>
    <w:rsid w:val="00602970"/>
    <w:rsid w:val="00602EB2"/>
    <w:rsid w:val="00602F8B"/>
    <w:rsid w:val="00603180"/>
    <w:rsid w:val="00603F1C"/>
    <w:rsid w:val="00603FA0"/>
    <w:rsid w:val="00604500"/>
    <w:rsid w:val="006049FD"/>
    <w:rsid w:val="00604AA9"/>
    <w:rsid w:val="00605882"/>
    <w:rsid w:val="00605B81"/>
    <w:rsid w:val="0060627A"/>
    <w:rsid w:val="006062EB"/>
    <w:rsid w:val="006063F3"/>
    <w:rsid w:val="0060666D"/>
    <w:rsid w:val="006068F2"/>
    <w:rsid w:val="006069E5"/>
    <w:rsid w:val="006073B6"/>
    <w:rsid w:val="0060770B"/>
    <w:rsid w:val="00607D01"/>
    <w:rsid w:val="006104DC"/>
    <w:rsid w:val="006107DA"/>
    <w:rsid w:val="00611177"/>
    <w:rsid w:val="00611489"/>
    <w:rsid w:val="00611943"/>
    <w:rsid w:val="00611A83"/>
    <w:rsid w:val="00612317"/>
    <w:rsid w:val="0061279B"/>
    <w:rsid w:val="006127FE"/>
    <w:rsid w:val="00612FBA"/>
    <w:rsid w:val="006130BE"/>
    <w:rsid w:val="006130D2"/>
    <w:rsid w:val="00613140"/>
    <w:rsid w:val="006135AF"/>
    <w:rsid w:val="0061384C"/>
    <w:rsid w:val="006138DC"/>
    <w:rsid w:val="00613F4A"/>
    <w:rsid w:val="006142A3"/>
    <w:rsid w:val="0061465B"/>
    <w:rsid w:val="0061549B"/>
    <w:rsid w:val="006157D2"/>
    <w:rsid w:val="006162A8"/>
    <w:rsid w:val="00616546"/>
    <w:rsid w:val="006167EC"/>
    <w:rsid w:val="00616FDE"/>
    <w:rsid w:val="00617961"/>
    <w:rsid w:val="00617B5C"/>
    <w:rsid w:val="006206E0"/>
    <w:rsid w:val="006207AE"/>
    <w:rsid w:val="0062085A"/>
    <w:rsid w:val="00620EC6"/>
    <w:rsid w:val="0062130C"/>
    <w:rsid w:val="00621893"/>
    <w:rsid w:val="00621ECB"/>
    <w:rsid w:val="00621FDA"/>
    <w:rsid w:val="00622641"/>
    <w:rsid w:val="00622DF3"/>
    <w:rsid w:val="0062332F"/>
    <w:rsid w:val="00623357"/>
    <w:rsid w:val="0062402C"/>
    <w:rsid w:val="006247B3"/>
    <w:rsid w:val="00624DFA"/>
    <w:rsid w:val="00624ED9"/>
    <w:rsid w:val="006251A5"/>
    <w:rsid w:val="006251A7"/>
    <w:rsid w:val="0062538A"/>
    <w:rsid w:val="00625ACD"/>
    <w:rsid w:val="00625C8E"/>
    <w:rsid w:val="0062683E"/>
    <w:rsid w:val="006268F2"/>
    <w:rsid w:val="00626C90"/>
    <w:rsid w:val="00626EF8"/>
    <w:rsid w:val="00626F39"/>
    <w:rsid w:val="00627064"/>
    <w:rsid w:val="00627520"/>
    <w:rsid w:val="0063079A"/>
    <w:rsid w:val="00630CDA"/>
    <w:rsid w:val="0063159C"/>
    <w:rsid w:val="006318D5"/>
    <w:rsid w:val="00631BEC"/>
    <w:rsid w:val="00632079"/>
    <w:rsid w:val="00632806"/>
    <w:rsid w:val="00632A62"/>
    <w:rsid w:val="00632F3E"/>
    <w:rsid w:val="0063353F"/>
    <w:rsid w:val="00633D06"/>
    <w:rsid w:val="0063453F"/>
    <w:rsid w:val="006348FD"/>
    <w:rsid w:val="006349F0"/>
    <w:rsid w:val="00634A04"/>
    <w:rsid w:val="00634B94"/>
    <w:rsid w:val="00634BAD"/>
    <w:rsid w:val="00635292"/>
    <w:rsid w:val="006358F8"/>
    <w:rsid w:val="00635CFE"/>
    <w:rsid w:val="00636292"/>
    <w:rsid w:val="0063646E"/>
    <w:rsid w:val="0063647B"/>
    <w:rsid w:val="006366F3"/>
    <w:rsid w:val="00636CD9"/>
    <w:rsid w:val="00636EF3"/>
    <w:rsid w:val="00637144"/>
    <w:rsid w:val="00637C3E"/>
    <w:rsid w:val="00637ED3"/>
    <w:rsid w:val="00640226"/>
    <w:rsid w:val="0064035C"/>
    <w:rsid w:val="006404BB"/>
    <w:rsid w:val="00640759"/>
    <w:rsid w:val="006412E3"/>
    <w:rsid w:val="00641AA5"/>
    <w:rsid w:val="00641F05"/>
    <w:rsid w:val="00642090"/>
    <w:rsid w:val="00642540"/>
    <w:rsid w:val="00642736"/>
    <w:rsid w:val="00643457"/>
    <w:rsid w:val="00643C90"/>
    <w:rsid w:val="00643E3E"/>
    <w:rsid w:val="00644186"/>
    <w:rsid w:val="0064496A"/>
    <w:rsid w:val="00644A44"/>
    <w:rsid w:val="00645579"/>
    <w:rsid w:val="00645A9D"/>
    <w:rsid w:val="00645B8E"/>
    <w:rsid w:val="00646404"/>
    <w:rsid w:val="0064698E"/>
    <w:rsid w:val="00646AF3"/>
    <w:rsid w:val="00646E55"/>
    <w:rsid w:val="00646E97"/>
    <w:rsid w:val="0064771E"/>
    <w:rsid w:val="006504AD"/>
    <w:rsid w:val="00650530"/>
    <w:rsid w:val="00651368"/>
    <w:rsid w:val="0065187F"/>
    <w:rsid w:val="0065193F"/>
    <w:rsid w:val="00651A28"/>
    <w:rsid w:val="00651BB0"/>
    <w:rsid w:val="00652E33"/>
    <w:rsid w:val="00653014"/>
    <w:rsid w:val="006531D6"/>
    <w:rsid w:val="0065331F"/>
    <w:rsid w:val="006534D7"/>
    <w:rsid w:val="006537D8"/>
    <w:rsid w:val="0065459F"/>
    <w:rsid w:val="006549B8"/>
    <w:rsid w:val="00654C58"/>
    <w:rsid w:val="006557EE"/>
    <w:rsid w:val="0065676E"/>
    <w:rsid w:val="00656A36"/>
    <w:rsid w:val="00656C7A"/>
    <w:rsid w:val="0065789B"/>
    <w:rsid w:val="00657A6D"/>
    <w:rsid w:val="00657AAA"/>
    <w:rsid w:val="00657D83"/>
    <w:rsid w:val="00657FB6"/>
    <w:rsid w:val="00660035"/>
    <w:rsid w:val="0066010D"/>
    <w:rsid w:val="00660129"/>
    <w:rsid w:val="00660245"/>
    <w:rsid w:val="00660573"/>
    <w:rsid w:val="0066100D"/>
    <w:rsid w:val="00661010"/>
    <w:rsid w:val="00661653"/>
    <w:rsid w:val="00661F54"/>
    <w:rsid w:val="006620CA"/>
    <w:rsid w:val="0066227D"/>
    <w:rsid w:val="0066244A"/>
    <w:rsid w:val="006626A6"/>
    <w:rsid w:val="0066291C"/>
    <w:rsid w:val="00662979"/>
    <w:rsid w:val="00662B13"/>
    <w:rsid w:val="00662DE1"/>
    <w:rsid w:val="00663043"/>
    <w:rsid w:val="006637B5"/>
    <w:rsid w:val="00664021"/>
    <w:rsid w:val="00664156"/>
    <w:rsid w:val="006642C0"/>
    <w:rsid w:val="006649AB"/>
    <w:rsid w:val="006650AF"/>
    <w:rsid w:val="006650D8"/>
    <w:rsid w:val="0066563F"/>
    <w:rsid w:val="006661D9"/>
    <w:rsid w:val="00666418"/>
    <w:rsid w:val="006674A4"/>
    <w:rsid w:val="006674ED"/>
    <w:rsid w:val="006676D2"/>
    <w:rsid w:val="0067007A"/>
    <w:rsid w:val="00670E4D"/>
    <w:rsid w:val="00670E6E"/>
    <w:rsid w:val="0067122E"/>
    <w:rsid w:val="00671C32"/>
    <w:rsid w:val="006733D4"/>
    <w:rsid w:val="0067375E"/>
    <w:rsid w:val="00673B07"/>
    <w:rsid w:val="00673BB3"/>
    <w:rsid w:val="00673DC6"/>
    <w:rsid w:val="006740E2"/>
    <w:rsid w:val="00674957"/>
    <w:rsid w:val="00674D39"/>
    <w:rsid w:val="00675EBF"/>
    <w:rsid w:val="0067639A"/>
    <w:rsid w:val="00677179"/>
    <w:rsid w:val="006778DD"/>
    <w:rsid w:val="00677B0D"/>
    <w:rsid w:val="00677C61"/>
    <w:rsid w:val="00677FA6"/>
    <w:rsid w:val="00681B72"/>
    <w:rsid w:val="00681F7D"/>
    <w:rsid w:val="00682339"/>
    <w:rsid w:val="00682574"/>
    <w:rsid w:val="00682B8C"/>
    <w:rsid w:val="00683879"/>
    <w:rsid w:val="006838A3"/>
    <w:rsid w:val="00683A7F"/>
    <w:rsid w:val="00683DCA"/>
    <w:rsid w:val="00684264"/>
    <w:rsid w:val="006843D2"/>
    <w:rsid w:val="0068495A"/>
    <w:rsid w:val="00685D7E"/>
    <w:rsid w:val="00685EBE"/>
    <w:rsid w:val="00685F05"/>
    <w:rsid w:val="00685F95"/>
    <w:rsid w:val="00686433"/>
    <w:rsid w:val="00686CA6"/>
    <w:rsid w:val="00686E71"/>
    <w:rsid w:val="0068784C"/>
    <w:rsid w:val="00687D1A"/>
    <w:rsid w:val="00690227"/>
    <w:rsid w:val="00690977"/>
    <w:rsid w:val="006909F3"/>
    <w:rsid w:val="00690E0A"/>
    <w:rsid w:val="006911FE"/>
    <w:rsid w:val="0069139F"/>
    <w:rsid w:val="006914F5"/>
    <w:rsid w:val="00692063"/>
    <w:rsid w:val="006933FB"/>
    <w:rsid w:val="006934A5"/>
    <w:rsid w:val="00693CDD"/>
    <w:rsid w:val="00693D4C"/>
    <w:rsid w:val="006940CA"/>
    <w:rsid w:val="00694B01"/>
    <w:rsid w:val="00694C2B"/>
    <w:rsid w:val="00695ED2"/>
    <w:rsid w:val="006963D3"/>
    <w:rsid w:val="00696577"/>
    <w:rsid w:val="00696747"/>
    <w:rsid w:val="006967E4"/>
    <w:rsid w:val="00696973"/>
    <w:rsid w:val="00696B93"/>
    <w:rsid w:val="00696C76"/>
    <w:rsid w:val="00696CDB"/>
    <w:rsid w:val="00697340"/>
    <w:rsid w:val="0069735F"/>
    <w:rsid w:val="006976B3"/>
    <w:rsid w:val="006977C6"/>
    <w:rsid w:val="00697EA4"/>
    <w:rsid w:val="006A001F"/>
    <w:rsid w:val="006A072B"/>
    <w:rsid w:val="006A0AE6"/>
    <w:rsid w:val="006A1A8B"/>
    <w:rsid w:val="006A1AD2"/>
    <w:rsid w:val="006A1B94"/>
    <w:rsid w:val="006A2E0A"/>
    <w:rsid w:val="006A399A"/>
    <w:rsid w:val="006A4298"/>
    <w:rsid w:val="006A4322"/>
    <w:rsid w:val="006A437F"/>
    <w:rsid w:val="006A49CF"/>
    <w:rsid w:val="006A4D9C"/>
    <w:rsid w:val="006A56DA"/>
    <w:rsid w:val="006A5D87"/>
    <w:rsid w:val="006A5DCC"/>
    <w:rsid w:val="006A60E3"/>
    <w:rsid w:val="006A69DC"/>
    <w:rsid w:val="006A6EB7"/>
    <w:rsid w:val="006A71DA"/>
    <w:rsid w:val="006A7575"/>
    <w:rsid w:val="006A7EEF"/>
    <w:rsid w:val="006B0065"/>
    <w:rsid w:val="006B0634"/>
    <w:rsid w:val="006B0FE9"/>
    <w:rsid w:val="006B14E7"/>
    <w:rsid w:val="006B1871"/>
    <w:rsid w:val="006B18B8"/>
    <w:rsid w:val="006B1AF0"/>
    <w:rsid w:val="006B1BCC"/>
    <w:rsid w:val="006B1E3B"/>
    <w:rsid w:val="006B2572"/>
    <w:rsid w:val="006B2676"/>
    <w:rsid w:val="006B3293"/>
    <w:rsid w:val="006B3470"/>
    <w:rsid w:val="006B3CFC"/>
    <w:rsid w:val="006B3EB9"/>
    <w:rsid w:val="006B4AB6"/>
    <w:rsid w:val="006B4FE3"/>
    <w:rsid w:val="006B588B"/>
    <w:rsid w:val="006B595D"/>
    <w:rsid w:val="006B598D"/>
    <w:rsid w:val="006B69BD"/>
    <w:rsid w:val="006B6F87"/>
    <w:rsid w:val="006B74FA"/>
    <w:rsid w:val="006B7578"/>
    <w:rsid w:val="006B7772"/>
    <w:rsid w:val="006B78A9"/>
    <w:rsid w:val="006B7EBB"/>
    <w:rsid w:val="006B7F0C"/>
    <w:rsid w:val="006C02F7"/>
    <w:rsid w:val="006C0BDF"/>
    <w:rsid w:val="006C10FF"/>
    <w:rsid w:val="006C1140"/>
    <w:rsid w:val="006C16AE"/>
    <w:rsid w:val="006C1BD3"/>
    <w:rsid w:val="006C2082"/>
    <w:rsid w:val="006C211B"/>
    <w:rsid w:val="006C2153"/>
    <w:rsid w:val="006C242B"/>
    <w:rsid w:val="006C2485"/>
    <w:rsid w:val="006C250A"/>
    <w:rsid w:val="006C284A"/>
    <w:rsid w:val="006C3089"/>
    <w:rsid w:val="006C3832"/>
    <w:rsid w:val="006C42E5"/>
    <w:rsid w:val="006C434F"/>
    <w:rsid w:val="006C447D"/>
    <w:rsid w:val="006C48CC"/>
    <w:rsid w:val="006C57ED"/>
    <w:rsid w:val="006C5BA3"/>
    <w:rsid w:val="006C626C"/>
    <w:rsid w:val="006C6435"/>
    <w:rsid w:val="006C6BF9"/>
    <w:rsid w:val="006C79EB"/>
    <w:rsid w:val="006D013D"/>
    <w:rsid w:val="006D04BE"/>
    <w:rsid w:val="006D0552"/>
    <w:rsid w:val="006D0C55"/>
    <w:rsid w:val="006D0FE7"/>
    <w:rsid w:val="006D11C7"/>
    <w:rsid w:val="006D12C2"/>
    <w:rsid w:val="006D191E"/>
    <w:rsid w:val="006D1E92"/>
    <w:rsid w:val="006D2113"/>
    <w:rsid w:val="006D213F"/>
    <w:rsid w:val="006D264B"/>
    <w:rsid w:val="006D3024"/>
    <w:rsid w:val="006D328D"/>
    <w:rsid w:val="006D32F9"/>
    <w:rsid w:val="006D341D"/>
    <w:rsid w:val="006D38FE"/>
    <w:rsid w:val="006D3967"/>
    <w:rsid w:val="006D3DA4"/>
    <w:rsid w:val="006D4266"/>
    <w:rsid w:val="006D4C30"/>
    <w:rsid w:val="006D4E8F"/>
    <w:rsid w:val="006D5685"/>
    <w:rsid w:val="006D5DDE"/>
    <w:rsid w:val="006D61C6"/>
    <w:rsid w:val="006D6567"/>
    <w:rsid w:val="006D6DA7"/>
    <w:rsid w:val="006D6F62"/>
    <w:rsid w:val="006D7C30"/>
    <w:rsid w:val="006E0300"/>
    <w:rsid w:val="006E0911"/>
    <w:rsid w:val="006E0A87"/>
    <w:rsid w:val="006E0B96"/>
    <w:rsid w:val="006E1189"/>
    <w:rsid w:val="006E15EC"/>
    <w:rsid w:val="006E1CC3"/>
    <w:rsid w:val="006E24DD"/>
    <w:rsid w:val="006E282D"/>
    <w:rsid w:val="006E2CB2"/>
    <w:rsid w:val="006E348E"/>
    <w:rsid w:val="006E35A6"/>
    <w:rsid w:val="006E3ABC"/>
    <w:rsid w:val="006E3B93"/>
    <w:rsid w:val="006E3DF3"/>
    <w:rsid w:val="006E40B3"/>
    <w:rsid w:val="006E45DF"/>
    <w:rsid w:val="006E4815"/>
    <w:rsid w:val="006E485F"/>
    <w:rsid w:val="006E488E"/>
    <w:rsid w:val="006E4B6D"/>
    <w:rsid w:val="006E4E9D"/>
    <w:rsid w:val="006E4EA0"/>
    <w:rsid w:val="006E501C"/>
    <w:rsid w:val="006E510F"/>
    <w:rsid w:val="006E5304"/>
    <w:rsid w:val="006E5354"/>
    <w:rsid w:val="006E62D7"/>
    <w:rsid w:val="006E6B87"/>
    <w:rsid w:val="006E6EDE"/>
    <w:rsid w:val="006E760B"/>
    <w:rsid w:val="006E77D2"/>
    <w:rsid w:val="006E7AF7"/>
    <w:rsid w:val="006E7D34"/>
    <w:rsid w:val="006F014D"/>
    <w:rsid w:val="006F017B"/>
    <w:rsid w:val="006F01B6"/>
    <w:rsid w:val="006F0469"/>
    <w:rsid w:val="006F071C"/>
    <w:rsid w:val="006F0ABD"/>
    <w:rsid w:val="006F1679"/>
    <w:rsid w:val="006F18F6"/>
    <w:rsid w:val="006F29FF"/>
    <w:rsid w:val="006F2A91"/>
    <w:rsid w:val="006F2BE9"/>
    <w:rsid w:val="006F2CC8"/>
    <w:rsid w:val="006F31FC"/>
    <w:rsid w:val="006F39FE"/>
    <w:rsid w:val="006F3A9C"/>
    <w:rsid w:val="006F3F07"/>
    <w:rsid w:val="006F3FF2"/>
    <w:rsid w:val="006F42FE"/>
    <w:rsid w:val="006F4323"/>
    <w:rsid w:val="006F5499"/>
    <w:rsid w:val="006F5719"/>
    <w:rsid w:val="006F584A"/>
    <w:rsid w:val="006F59C1"/>
    <w:rsid w:val="006F5A49"/>
    <w:rsid w:val="006F5ABA"/>
    <w:rsid w:val="006F62FA"/>
    <w:rsid w:val="006F6A7B"/>
    <w:rsid w:val="006F6BF3"/>
    <w:rsid w:val="006F6CAC"/>
    <w:rsid w:val="006F6E76"/>
    <w:rsid w:val="006F7197"/>
    <w:rsid w:val="006F7C06"/>
    <w:rsid w:val="006F7F4C"/>
    <w:rsid w:val="007005CD"/>
    <w:rsid w:val="0070095A"/>
    <w:rsid w:val="007019DE"/>
    <w:rsid w:val="00701A04"/>
    <w:rsid w:val="00702102"/>
    <w:rsid w:val="00702347"/>
    <w:rsid w:val="0070248D"/>
    <w:rsid w:val="0070264F"/>
    <w:rsid w:val="007026EC"/>
    <w:rsid w:val="00703228"/>
    <w:rsid w:val="00703613"/>
    <w:rsid w:val="007039A4"/>
    <w:rsid w:val="00703BFA"/>
    <w:rsid w:val="00704172"/>
    <w:rsid w:val="0070475F"/>
    <w:rsid w:val="0070499C"/>
    <w:rsid w:val="00704C98"/>
    <w:rsid w:val="00704D56"/>
    <w:rsid w:val="00704FF6"/>
    <w:rsid w:val="007055A9"/>
    <w:rsid w:val="0070590A"/>
    <w:rsid w:val="007060FB"/>
    <w:rsid w:val="0070636A"/>
    <w:rsid w:val="00706937"/>
    <w:rsid w:val="00706BAC"/>
    <w:rsid w:val="007072A3"/>
    <w:rsid w:val="00707CE2"/>
    <w:rsid w:val="00707CFD"/>
    <w:rsid w:val="00710A61"/>
    <w:rsid w:val="00710B75"/>
    <w:rsid w:val="00711365"/>
    <w:rsid w:val="0071178D"/>
    <w:rsid w:val="00711B38"/>
    <w:rsid w:val="00711D31"/>
    <w:rsid w:val="00712057"/>
    <w:rsid w:val="0071268F"/>
    <w:rsid w:val="00712876"/>
    <w:rsid w:val="0071302C"/>
    <w:rsid w:val="00713F40"/>
    <w:rsid w:val="00713FBC"/>
    <w:rsid w:val="007140FF"/>
    <w:rsid w:val="0071475E"/>
    <w:rsid w:val="0071555C"/>
    <w:rsid w:val="00715636"/>
    <w:rsid w:val="00715F82"/>
    <w:rsid w:val="00715FB0"/>
    <w:rsid w:val="00716154"/>
    <w:rsid w:val="0071684D"/>
    <w:rsid w:val="00716F70"/>
    <w:rsid w:val="00717200"/>
    <w:rsid w:val="007173C6"/>
    <w:rsid w:val="007175FF"/>
    <w:rsid w:val="00717A17"/>
    <w:rsid w:val="00717A3D"/>
    <w:rsid w:val="00717B44"/>
    <w:rsid w:val="007207BB"/>
    <w:rsid w:val="00720F9F"/>
    <w:rsid w:val="00721383"/>
    <w:rsid w:val="007215EA"/>
    <w:rsid w:val="00721A32"/>
    <w:rsid w:val="00722437"/>
    <w:rsid w:val="00723854"/>
    <w:rsid w:val="0072386D"/>
    <w:rsid w:val="00723A8F"/>
    <w:rsid w:val="00723F9A"/>
    <w:rsid w:val="00724106"/>
    <w:rsid w:val="00724A17"/>
    <w:rsid w:val="00724DCE"/>
    <w:rsid w:val="00724FF3"/>
    <w:rsid w:val="007269D1"/>
    <w:rsid w:val="00726FCE"/>
    <w:rsid w:val="00727267"/>
    <w:rsid w:val="00730716"/>
    <w:rsid w:val="00730AC0"/>
    <w:rsid w:val="00730D7E"/>
    <w:rsid w:val="00730EF4"/>
    <w:rsid w:val="00731739"/>
    <w:rsid w:val="00731CD1"/>
    <w:rsid w:val="007327DF"/>
    <w:rsid w:val="00732888"/>
    <w:rsid w:val="00732C50"/>
    <w:rsid w:val="0073335D"/>
    <w:rsid w:val="00733497"/>
    <w:rsid w:val="007338B5"/>
    <w:rsid w:val="007339BF"/>
    <w:rsid w:val="00734097"/>
    <w:rsid w:val="0073491C"/>
    <w:rsid w:val="00735EAB"/>
    <w:rsid w:val="00736113"/>
    <w:rsid w:val="00736129"/>
    <w:rsid w:val="00736289"/>
    <w:rsid w:val="0073635E"/>
    <w:rsid w:val="00736745"/>
    <w:rsid w:val="00736B30"/>
    <w:rsid w:val="00736CE6"/>
    <w:rsid w:val="0073736B"/>
    <w:rsid w:val="007373D9"/>
    <w:rsid w:val="007375E6"/>
    <w:rsid w:val="00737C1D"/>
    <w:rsid w:val="00740449"/>
    <w:rsid w:val="007404EC"/>
    <w:rsid w:val="007405F1"/>
    <w:rsid w:val="00740687"/>
    <w:rsid w:val="007413F4"/>
    <w:rsid w:val="0074179C"/>
    <w:rsid w:val="00741A4A"/>
    <w:rsid w:val="007426C2"/>
    <w:rsid w:val="00742EFF"/>
    <w:rsid w:val="0074373E"/>
    <w:rsid w:val="00744147"/>
    <w:rsid w:val="00744413"/>
    <w:rsid w:val="007449B4"/>
    <w:rsid w:val="00744C03"/>
    <w:rsid w:val="00744C9D"/>
    <w:rsid w:val="00744F65"/>
    <w:rsid w:val="007455B0"/>
    <w:rsid w:val="00745D41"/>
    <w:rsid w:val="00745ED3"/>
    <w:rsid w:val="00745F52"/>
    <w:rsid w:val="007463D1"/>
    <w:rsid w:val="00746F39"/>
    <w:rsid w:val="007479E4"/>
    <w:rsid w:val="00747A3A"/>
    <w:rsid w:val="00747BA7"/>
    <w:rsid w:val="0075054B"/>
    <w:rsid w:val="007508D5"/>
    <w:rsid w:val="00750F1A"/>
    <w:rsid w:val="0075114C"/>
    <w:rsid w:val="00751386"/>
    <w:rsid w:val="00751BAE"/>
    <w:rsid w:val="007525BF"/>
    <w:rsid w:val="00752E58"/>
    <w:rsid w:val="00753626"/>
    <w:rsid w:val="00753DAA"/>
    <w:rsid w:val="00753F81"/>
    <w:rsid w:val="007542AE"/>
    <w:rsid w:val="00754393"/>
    <w:rsid w:val="007547C6"/>
    <w:rsid w:val="0075486C"/>
    <w:rsid w:val="00754C71"/>
    <w:rsid w:val="007551A4"/>
    <w:rsid w:val="007557E0"/>
    <w:rsid w:val="0075589D"/>
    <w:rsid w:val="007558AF"/>
    <w:rsid w:val="00755A60"/>
    <w:rsid w:val="00756004"/>
    <w:rsid w:val="0075616C"/>
    <w:rsid w:val="007561E4"/>
    <w:rsid w:val="007563D8"/>
    <w:rsid w:val="00756491"/>
    <w:rsid w:val="0075681A"/>
    <w:rsid w:val="00756A8A"/>
    <w:rsid w:val="00757173"/>
    <w:rsid w:val="00757749"/>
    <w:rsid w:val="00757F91"/>
    <w:rsid w:val="00760002"/>
    <w:rsid w:val="00760320"/>
    <w:rsid w:val="00760600"/>
    <w:rsid w:val="007613D0"/>
    <w:rsid w:val="00762440"/>
    <w:rsid w:val="007625F0"/>
    <w:rsid w:val="00762A1E"/>
    <w:rsid w:val="00762C35"/>
    <w:rsid w:val="00762DFC"/>
    <w:rsid w:val="00762F9F"/>
    <w:rsid w:val="007630F1"/>
    <w:rsid w:val="0076354D"/>
    <w:rsid w:val="00763B3E"/>
    <w:rsid w:val="007644AB"/>
    <w:rsid w:val="00764AA3"/>
    <w:rsid w:val="00764ACE"/>
    <w:rsid w:val="00764CF4"/>
    <w:rsid w:val="00764F8D"/>
    <w:rsid w:val="0076503B"/>
    <w:rsid w:val="00765BCF"/>
    <w:rsid w:val="007667BD"/>
    <w:rsid w:val="00766E39"/>
    <w:rsid w:val="007674F3"/>
    <w:rsid w:val="007675B7"/>
    <w:rsid w:val="00767672"/>
    <w:rsid w:val="007700C5"/>
    <w:rsid w:val="00770AAD"/>
    <w:rsid w:val="00770CF5"/>
    <w:rsid w:val="00771268"/>
    <w:rsid w:val="00772030"/>
    <w:rsid w:val="00772C76"/>
    <w:rsid w:val="00772F95"/>
    <w:rsid w:val="00773261"/>
    <w:rsid w:val="00773636"/>
    <w:rsid w:val="00773A4F"/>
    <w:rsid w:val="00773F5D"/>
    <w:rsid w:val="0077413B"/>
    <w:rsid w:val="00774211"/>
    <w:rsid w:val="007744A2"/>
    <w:rsid w:val="007745C9"/>
    <w:rsid w:val="007745CC"/>
    <w:rsid w:val="0077471E"/>
    <w:rsid w:val="007748FB"/>
    <w:rsid w:val="00775B37"/>
    <w:rsid w:val="00775D36"/>
    <w:rsid w:val="0077682F"/>
    <w:rsid w:val="00776A9F"/>
    <w:rsid w:val="00776C6A"/>
    <w:rsid w:val="007770BA"/>
    <w:rsid w:val="00777377"/>
    <w:rsid w:val="00777ADD"/>
    <w:rsid w:val="00777EE2"/>
    <w:rsid w:val="00780426"/>
    <w:rsid w:val="00780AC7"/>
    <w:rsid w:val="00780ADB"/>
    <w:rsid w:val="007812EF"/>
    <w:rsid w:val="00781347"/>
    <w:rsid w:val="00781467"/>
    <w:rsid w:val="00781A7D"/>
    <w:rsid w:val="00781AAC"/>
    <w:rsid w:val="00781CF4"/>
    <w:rsid w:val="00782E01"/>
    <w:rsid w:val="00784097"/>
    <w:rsid w:val="0078428B"/>
    <w:rsid w:val="0078431E"/>
    <w:rsid w:val="0078434D"/>
    <w:rsid w:val="00784A33"/>
    <w:rsid w:val="007852BC"/>
    <w:rsid w:val="00786553"/>
    <w:rsid w:val="007865B8"/>
    <w:rsid w:val="00786938"/>
    <w:rsid w:val="00786A13"/>
    <w:rsid w:val="00786AC4"/>
    <w:rsid w:val="00786BD1"/>
    <w:rsid w:val="00786BF1"/>
    <w:rsid w:val="00786D00"/>
    <w:rsid w:val="00787A06"/>
    <w:rsid w:val="00787B8C"/>
    <w:rsid w:val="00787E16"/>
    <w:rsid w:val="0079010E"/>
    <w:rsid w:val="00790631"/>
    <w:rsid w:val="007908DA"/>
    <w:rsid w:val="007908DE"/>
    <w:rsid w:val="00790DCF"/>
    <w:rsid w:val="0079123D"/>
    <w:rsid w:val="007912CF"/>
    <w:rsid w:val="007918FD"/>
    <w:rsid w:val="00791DB2"/>
    <w:rsid w:val="00792E54"/>
    <w:rsid w:val="0079347E"/>
    <w:rsid w:val="00793BE9"/>
    <w:rsid w:val="00793E30"/>
    <w:rsid w:val="00793F9D"/>
    <w:rsid w:val="0079426F"/>
    <w:rsid w:val="00794787"/>
    <w:rsid w:val="00794DA5"/>
    <w:rsid w:val="00795079"/>
    <w:rsid w:val="007951A7"/>
    <w:rsid w:val="00795560"/>
    <w:rsid w:val="00795911"/>
    <w:rsid w:val="00796EFF"/>
    <w:rsid w:val="007971B9"/>
    <w:rsid w:val="0079794C"/>
    <w:rsid w:val="00797B7A"/>
    <w:rsid w:val="007A00B1"/>
    <w:rsid w:val="007A0772"/>
    <w:rsid w:val="007A0AF0"/>
    <w:rsid w:val="007A0B6A"/>
    <w:rsid w:val="007A0CA9"/>
    <w:rsid w:val="007A0F53"/>
    <w:rsid w:val="007A102D"/>
    <w:rsid w:val="007A12CB"/>
    <w:rsid w:val="007A1AC3"/>
    <w:rsid w:val="007A1CAD"/>
    <w:rsid w:val="007A1CBC"/>
    <w:rsid w:val="007A1FFA"/>
    <w:rsid w:val="007A2618"/>
    <w:rsid w:val="007A268D"/>
    <w:rsid w:val="007A2780"/>
    <w:rsid w:val="007A27D7"/>
    <w:rsid w:val="007A2D24"/>
    <w:rsid w:val="007A33C1"/>
    <w:rsid w:val="007A36A4"/>
    <w:rsid w:val="007A379B"/>
    <w:rsid w:val="007A3D55"/>
    <w:rsid w:val="007A3DFC"/>
    <w:rsid w:val="007A3E4C"/>
    <w:rsid w:val="007A45B2"/>
    <w:rsid w:val="007A4DA1"/>
    <w:rsid w:val="007A526D"/>
    <w:rsid w:val="007A58D5"/>
    <w:rsid w:val="007A5D9A"/>
    <w:rsid w:val="007A66E8"/>
    <w:rsid w:val="007A6A5C"/>
    <w:rsid w:val="007A71CF"/>
    <w:rsid w:val="007A7392"/>
    <w:rsid w:val="007A73A2"/>
    <w:rsid w:val="007A777F"/>
    <w:rsid w:val="007A7973"/>
    <w:rsid w:val="007A7A99"/>
    <w:rsid w:val="007A7DCC"/>
    <w:rsid w:val="007A7E75"/>
    <w:rsid w:val="007A7FA4"/>
    <w:rsid w:val="007B09C4"/>
    <w:rsid w:val="007B0A26"/>
    <w:rsid w:val="007B0F03"/>
    <w:rsid w:val="007B0F1E"/>
    <w:rsid w:val="007B1159"/>
    <w:rsid w:val="007B1790"/>
    <w:rsid w:val="007B1B57"/>
    <w:rsid w:val="007B1B7F"/>
    <w:rsid w:val="007B1C9C"/>
    <w:rsid w:val="007B2CC5"/>
    <w:rsid w:val="007B2D2E"/>
    <w:rsid w:val="007B2FBD"/>
    <w:rsid w:val="007B3144"/>
    <w:rsid w:val="007B36C1"/>
    <w:rsid w:val="007B3877"/>
    <w:rsid w:val="007B3D87"/>
    <w:rsid w:val="007B3EC4"/>
    <w:rsid w:val="007B42C4"/>
    <w:rsid w:val="007B43D1"/>
    <w:rsid w:val="007B4BF7"/>
    <w:rsid w:val="007B5318"/>
    <w:rsid w:val="007B58FB"/>
    <w:rsid w:val="007B6050"/>
    <w:rsid w:val="007B61C6"/>
    <w:rsid w:val="007B6DAA"/>
    <w:rsid w:val="007B713D"/>
    <w:rsid w:val="007B71F3"/>
    <w:rsid w:val="007B738E"/>
    <w:rsid w:val="007B77C4"/>
    <w:rsid w:val="007C0089"/>
    <w:rsid w:val="007C05AF"/>
    <w:rsid w:val="007C0F58"/>
    <w:rsid w:val="007C14C2"/>
    <w:rsid w:val="007C1A47"/>
    <w:rsid w:val="007C1B80"/>
    <w:rsid w:val="007C2101"/>
    <w:rsid w:val="007C21FC"/>
    <w:rsid w:val="007C2446"/>
    <w:rsid w:val="007C2654"/>
    <w:rsid w:val="007C2837"/>
    <w:rsid w:val="007C2DD2"/>
    <w:rsid w:val="007C351E"/>
    <w:rsid w:val="007C365C"/>
    <w:rsid w:val="007C3667"/>
    <w:rsid w:val="007C3E24"/>
    <w:rsid w:val="007C3E39"/>
    <w:rsid w:val="007C52BD"/>
    <w:rsid w:val="007C5560"/>
    <w:rsid w:val="007C56A2"/>
    <w:rsid w:val="007C589D"/>
    <w:rsid w:val="007C59F5"/>
    <w:rsid w:val="007C5CFE"/>
    <w:rsid w:val="007C5D97"/>
    <w:rsid w:val="007C5DD7"/>
    <w:rsid w:val="007C6239"/>
    <w:rsid w:val="007C6479"/>
    <w:rsid w:val="007C6635"/>
    <w:rsid w:val="007C69C2"/>
    <w:rsid w:val="007C6BA5"/>
    <w:rsid w:val="007C6CB8"/>
    <w:rsid w:val="007C730A"/>
    <w:rsid w:val="007C7591"/>
    <w:rsid w:val="007C76CC"/>
    <w:rsid w:val="007C77BC"/>
    <w:rsid w:val="007C7D04"/>
    <w:rsid w:val="007C7D71"/>
    <w:rsid w:val="007C7EEA"/>
    <w:rsid w:val="007D0A95"/>
    <w:rsid w:val="007D0F2E"/>
    <w:rsid w:val="007D12D9"/>
    <w:rsid w:val="007D1311"/>
    <w:rsid w:val="007D14D1"/>
    <w:rsid w:val="007D239F"/>
    <w:rsid w:val="007D25DD"/>
    <w:rsid w:val="007D2942"/>
    <w:rsid w:val="007D2AD5"/>
    <w:rsid w:val="007D3462"/>
    <w:rsid w:val="007D375E"/>
    <w:rsid w:val="007D3ADE"/>
    <w:rsid w:val="007D3CF7"/>
    <w:rsid w:val="007D42DB"/>
    <w:rsid w:val="007D4D78"/>
    <w:rsid w:val="007D4E1C"/>
    <w:rsid w:val="007D5111"/>
    <w:rsid w:val="007D570C"/>
    <w:rsid w:val="007D5744"/>
    <w:rsid w:val="007D61D3"/>
    <w:rsid w:val="007D6360"/>
    <w:rsid w:val="007D6401"/>
    <w:rsid w:val="007D66DB"/>
    <w:rsid w:val="007D67AC"/>
    <w:rsid w:val="007D6BCD"/>
    <w:rsid w:val="007D6C14"/>
    <w:rsid w:val="007D6EA5"/>
    <w:rsid w:val="007D702C"/>
    <w:rsid w:val="007D7486"/>
    <w:rsid w:val="007D7720"/>
    <w:rsid w:val="007D7AC3"/>
    <w:rsid w:val="007D7EEA"/>
    <w:rsid w:val="007E07BC"/>
    <w:rsid w:val="007E0C4C"/>
    <w:rsid w:val="007E0E63"/>
    <w:rsid w:val="007E0E7E"/>
    <w:rsid w:val="007E17E0"/>
    <w:rsid w:val="007E19E6"/>
    <w:rsid w:val="007E1A48"/>
    <w:rsid w:val="007E29EB"/>
    <w:rsid w:val="007E2F63"/>
    <w:rsid w:val="007E3A8B"/>
    <w:rsid w:val="007E3CEC"/>
    <w:rsid w:val="007E3D31"/>
    <w:rsid w:val="007E3F24"/>
    <w:rsid w:val="007E4147"/>
    <w:rsid w:val="007E4989"/>
    <w:rsid w:val="007E527A"/>
    <w:rsid w:val="007E55E5"/>
    <w:rsid w:val="007E5D79"/>
    <w:rsid w:val="007E62BF"/>
    <w:rsid w:val="007E643E"/>
    <w:rsid w:val="007E6932"/>
    <w:rsid w:val="007E6AAF"/>
    <w:rsid w:val="007E6EB3"/>
    <w:rsid w:val="007E7344"/>
    <w:rsid w:val="007E7423"/>
    <w:rsid w:val="007E7D7C"/>
    <w:rsid w:val="007F00E3"/>
    <w:rsid w:val="007F0309"/>
    <w:rsid w:val="007F0692"/>
    <w:rsid w:val="007F083D"/>
    <w:rsid w:val="007F0BE7"/>
    <w:rsid w:val="007F0DA1"/>
    <w:rsid w:val="007F1387"/>
    <w:rsid w:val="007F141A"/>
    <w:rsid w:val="007F14CB"/>
    <w:rsid w:val="007F1618"/>
    <w:rsid w:val="007F1791"/>
    <w:rsid w:val="007F1B79"/>
    <w:rsid w:val="007F254E"/>
    <w:rsid w:val="007F25F4"/>
    <w:rsid w:val="007F28B6"/>
    <w:rsid w:val="007F2944"/>
    <w:rsid w:val="007F2E92"/>
    <w:rsid w:val="007F304C"/>
    <w:rsid w:val="007F30E5"/>
    <w:rsid w:val="007F3118"/>
    <w:rsid w:val="007F3158"/>
    <w:rsid w:val="007F3605"/>
    <w:rsid w:val="007F36C5"/>
    <w:rsid w:val="007F437D"/>
    <w:rsid w:val="007F4608"/>
    <w:rsid w:val="007F46F7"/>
    <w:rsid w:val="007F4704"/>
    <w:rsid w:val="007F47D3"/>
    <w:rsid w:val="007F49B7"/>
    <w:rsid w:val="007F4A68"/>
    <w:rsid w:val="007F524D"/>
    <w:rsid w:val="007F5416"/>
    <w:rsid w:val="007F5629"/>
    <w:rsid w:val="007F59F2"/>
    <w:rsid w:val="007F631C"/>
    <w:rsid w:val="007F653A"/>
    <w:rsid w:val="007F6EA5"/>
    <w:rsid w:val="007F7597"/>
    <w:rsid w:val="008001EC"/>
    <w:rsid w:val="0080021D"/>
    <w:rsid w:val="00800C37"/>
    <w:rsid w:val="00800E8D"/>
    <w:rsid w:val="00801408"/>
    <w:rsid w:val="0080140A"/>
    <w:rsid w:val="00801498"/>
    <w:rsid w:val="008015E2"/>
    <w:rsid w:val="00801648"/>
    <w:rsid w:val="00801763"/>
    <w:rsid w:val="00801790"/>
    <w:rsid w:val="00802071"/>
    <w:rsid w:val="008024E9"/>
    <w:rsid w:val="00802787"/>
    <w:rsid w:val="00802A8C"/>
    <w:rsid w:val="00802D86"/>
    <w:rsid w:val="0080324C"/>
    <w:rsid w:val="00803DCD"/>
    <w:rsid w:val="00804019"/>
    <w:rsid w:val="00804242"/>
    <w:rsid w:val="00804328"/>
    <w:rsid w:val="00804A03"/>
    <w:rsid w:val="00805587"/>
    <w:rsid w:val="00806036"/>
    <w:rsid w:val="0080636E"/>
    <w:rsid w:val="008069D1"/>
    <w:rsid w:val="00806B66"/>
    <w:rsid w:val="00807136"/>
    <w:rsid w:val="008072C7"/>
    <w:rsid w:val="008079F4"/>
    <w:rsid w:val="00807EA6"/>
    <w:rsid w:val="008101E5"/>
    <w:rsid w:val="00810AD5"/>
    <w:rsid w:val="00810C1A"/>
    <w:rsid w:val="00810D43"/>
    <w:rsid w:val="00810E9C"/>
    <w:rsid w:val="008111B8"/>
    <w:rsid w:val="0081130E"/>
    <w:rsid w:val="00811A7C"/>
    <w:rsid w:val="00811C77"/>
    <w:rsid w:val="008120FD"/>
    <w:rsid w:val="00812374"/>
    <w:rsid w:val="008128C2"/>
    <w:rsid w:val="008129DE"/>
    <w:rsid w:val="00812AAB"/>
    <w:rsid w:val="008137BD"/>
    <w:rsid w:val="00813B27"/>
    <w:rsid w:val="00813C2A"/>
    <w:rsid w:val="0081410D"/>
    <w:rsid w:val="0081436F"/>
    <w:rsid w:val="00814762"/>
    <w:rsid w:val="00814C00"/>
    <w:rsid w:val="00814FC1"/>
    <w:rsid w:val="008157E5"/>
    <w:rsid w:val="00815FDE"/>
    <w:rsid w:val="008167FC"/>
    <w:rsid w:val="00816B2C"/>
    <w:rsid w:val="00817004"/>
    <w:rsid w:val="0081762E"/>
    <w:rsid w:val="008176BC"/>
    <w:rsid w:val="008176EB"/>
    <w:rsid w:val="00817845"/>
    <w:rsid w:val="00817A15"/>
    <w:rsid w:val="00817F78"/>
    <w:rsid w:val="00817FC4"/>
    <w:rsid w:val="008201B1"/>
    <w:rsid w:val="0082027A"/>
    <w:rsid w:val="008204B5"/>
    <w:rsid w:val="00820B08"/>
    <w:rsid w:val="00820C0D"/>
    <w:rsid w:val="0082197C"/>
    <w:rsid w:val="00821A08"/>
    <w:rsid w:val="00821A55"/>
    <w:rsid w:val="0082259C"/>
    <w:rsid w:val="0082284B"/>
    <w:rsid w:val="00822CBC"/>
    <w:rsid w:val="00822D6D"/>
    <w:rsid w:val="00822EAA"/>
    <w:rsid w:val="0082332F"/>
    <w:rsid w:val="008238E5"/>
    <w:rsid w:val="0082454B"/>
    <w:rsid w:val="008251D9"/>
    <w:rsid w:val="00825682"/>
    <w:rsid w:val="00826047"/>
    <w:rsid w:val="0082631B"/>
    <w:rsid w:val="00826349"/>
    <w:rsid w:val="00826519"/>
    <w:rsid w:val="00826685"/>
    <w:rsid w:val="008274E4"/>
    <w:rsid w:val="00827655"/>
    <w:rsid w:val="00827872"/>
    <w:rsid w:val="0083062A"/>
    <w:rsid w:val="00830AD9"/>
    <w:rsid w:val="00830FB0"/>
    <w:rsid w:val="008311B3"/>
    <w:rsid w:val="008311C5"/>
    <w:rsid w:val="00831316"/>
    <w:rsid w:val="00831320"/>
    <w:rsid w:val="00831766"/>
    <w:rsid w:val="00831834"/>
    <w:rsid w:val="0083189F"/>
    <w:rsid w:val="00832067"/>
    <w:rsid w:val="00832911"/>
    <w:rsid w:val="00832913"/>
    <w:rsid w:val="00832955"/>
    <w:rsid w:val="00832D2D"/>
    <w:rsid w:val="00832D59"/>
    <w:rsid w:val="00832E9C"/>
    <w:rsid w:val="008331DB"/>
    <w:rsid w:val="00834493"/>
    <w:rsid w:val="00835044"/>
    <w:rsid w:val="00835995"/>
    <w:rsid w:val="00835A24"/>
    <w:rsid w:val="00835BFC"/>
    <w:rsid w:val="00835FFE"/>
    <w:rsid w:val="00836243"/>
    <w:rsid w:val="0083634E"/>
    <w:rsid w:val="008363A0"/>
    <w:rsid w:val="008367D3"/>
    <w:rsid w:val="00837E23"/>
    <w:rsid w:val="00840090"/>
    <w:rsid w:val="00840438"/>
    <w:rsid w:val="00840D12"/>
    <w:rsid w:val="00840EA9"/>
    <w:rsid w:val="00841AA2"/>
    <w:rsid w:val="00842091"/>
    <w:rsid w:val="00842CEC"/>
    <w:rsid w:val="00842DBD"/>
    <w:rsid w:val="00842FFF"/>
    <w:rsid w:val="00843614"/>
    <w:rsid w:val="00843A7A"/>
    <w:rsid w:val="00843D91"/>
    <w:rsid w:val="0084437F"/>
    <w:rsid w:val="00844446"/>
    <w:rsid w:val="00844532"/>
    <w:rsid w:val="0084463B"/>
    <w:rsid w:val="0084479A"/>
    <w:rsid w:val="0084495E"/>
    <w:rsid w:val="00844C54"/>
    <w:rsid w:val="00845047"/>
    <w:rsid w:val="00845F3E"/>
    <w:rsid w:val="00846053"/>
    <w:rsid w:val="0084617F"/>
    <w:rsid w:val="0084620A"/>
    <w:rsid w:val="0084631D"/>
    <w:rsid w:val="00846D0A"/>
    <w:rsid w:val="00847421"/>
    <w:rsid w:val="008474F6"/>
    <w:rsid w:val="008477A0"/>
    <w:rsid w:val="00847862"/>
    <w:rsid w:val="00847926"/>
    <w:rsid w:val="00847969"/>
    <w:rsid w:val="008479C1"/>
    <w:rsid w:val="00847E9D"/>
    <w:rsid w:val="00847F93"/>
    <w:rsid w:val="0085142C"/>
    <w:rsid w:val="008524D6"/>
    <w:rsid w:val="008524FF"/>
    <w:rsid w:val="008525B0"/>
    <w:rsid w:val="008525FA"/>
    <w:rsid w:val="00852C74"/>
    <w:rsid w:val="0085321D"/>
    <w:rsid w:val="0085324B"/>
    <w:rsid w:val="008534CC"/>
    <w:rsid w:val="008534D1"/>
    <w:rsid w:val="00853910"/>
    <w:rsid w:val="00853AB8"/>
    <w:rsid w:val="00853D43"/>
    <w:rsid w:val="00854481"/>
    <w:rsid w:val="00854875"/>
    <w:rsid w:val="00854B48"/>
    <w:rsid w:val="00855152"/>
    <w:rsid w:val="008551CB"/>
    <w:rsid w:val="00855231"/>
    <w:rsid w:val="008552E2"/>
    <w:rsid w:val="008555DD"/>
    <w:rsid w:val="00855646"/>
    <w:rsid w:val="0085598D"/>
    <w:rsid w:val="00856807"/>
    <w:rsid w:val="00856CD7"/>
    <w:rsid w:val="00857A22"/>
    <w:rsid w:val="00857D85"/>
    <w:rsid w:val="00857D87"/>
    <w:rsid w:val="008600F6"/>
    <w:rsid w:val="00860603"/>
    <w:rsid w:val="0086185E"/>
    <w:rsid w:val="008618DC"/>
    <w:rsid w:val="00861F1E"/>
    <w:rsid w:val="00862509"/>
    <w:rsid w:val="00863020"/>
    <w:rsid w:val="00863234"/>
    <w:rsid w:val="00863819"/>
    <w:rsid w:val="00864581"/>
    <w:rsid w:val="008647C7"/>
    <w:rsid w:val="00864AE9"/>
    <w:rsid w:val="00864D31"/>
    <w:rsid w:val="00864D34"/>
    <w:rsid w:val="00865223"/>
    <w:rsid w:val="00865492"/>
    <w:rsid w:val="0086584F"/>
    <w:rsid w:val="008660E0"/>
    <w:rsid w:val="00866169"/>
    <w:rsid w:val="00866526"/>
    <w:rsid w:val="008666E9"/>
    <w:rsid w:val="008668EC"/>
    <w:rsid w:val="00866D58"/>
    <w:rsid w:val="0086721B"/>
    <w:rsid w:val="00867271"/>
    <w:rsid w:val="008673CA"/>
    <w:rsid w:val="0086772D"/>
    <w:rsid w:val="0087008B"/>
    <w:rsid w:val="00870551"/>
    <w:rsid w:val="008707D4"/>
    <w:rsid w:val="00870BBE"/>
    <w:rsid w:val="00870C7B"/>
    <w:rsid w:val="00870CD0"/>
    <w:rsid w:val="00871115"/>
    <w:rsid w:val="0087170A"/>
    <w:rsid w:val="00871C9D"/>
    <w:rsid w:val="00872989"/>
    <w:rsid w:val="00872BF4"/>
    <w:rsid w:val="00872CE0"/>
    <w:rsid w:val="00872D90"/>
    <w:rsid w:val="0087305C"/>
    <w:rsid w:val="00873BBD"/>
    <w:rsid w:val="00873D07"/>
    <w:rsid w:val="00873E36"/>
    <w:rsid w:val="00874A9A"/>
    <w:rsid w:val="0087520E"/>
    <w:rsid w:val="00875317"/>
    <w:rsid w:val="00875353"/>
    <w:rsid w:val="00875444"/>
    <w:rsid w:val="008755A7"/>
    <w:rsid w:val="008755B5"/>
    <w:rsid w:val="0087577E"/>
    <w:rsid w:val="00875D37"/>
    <w:rsid w:val="008765FB"/>
    <w:rsid w:val="00876C41"/>
    <w:rsid w:val="00876CA4"/>
    <w:rsid w:val="00876FFB"/>
    <w:rsid w:val="00877319"/>
    <w:rsid w:val="008778F5"/>
    <w:rsid w:val="0088092B"/>
    <w:rsid w:val="008812A4"/>
    <w:rsid w:val="0088152D"/>
    <w:rsid w:val="008824AC"/>
    <w:rsid w:val="008826B2"/>
    <w:rsid w:val="008828B2"/>
    <w:rsid w:val="00882AED"/>
    <w:rsid w:val="00883829"/>
    <w:rsid w:val="00885635"/>
    <w:rsid w:val="00885DCB"/>
    <w:rsid w:val="00885F2F"/>
    <w:rsid w:val="008867F9"/>
    <w:rsid w:val="00886F85"/>
    <w:rsid w:val="00887CA3"/>
    <w:rsid w:val="00890054"/>
    <w:rsid w:val="00890551"/>
    <w:rsid w:val="0089079C"/>
    <w:rsid w:val="00890819"/>
    <w:rsid w:val="00891963"/>
    <w:rsid w:val="008923A0"/>
    <w:rsid w:val="00892FBD"/>
    <w:rsid w:val="008931C4"/>
    <w:rsid w:val="008932FF"/>
    <w:rsid w:val="0089401B"/>
    <w:rsid w:val="0089426E"/>
    <w:rsid w:val="00894483"/>
    <w:rsid w:val="0089478E"/>
    <w:rsid w:val="00895452"/>
    <w:rsid w:val="00895966"/>
    <w:rsid w:val="00895E18"/>
    <w:rsid w:val="00896730"/>
    <w:rsid w:val="00896A68"/>
    <w:rsid w:val="008970C3"/>
    <w:rsid w:val="008972FF"/>
    <w:rsid w:val="00897418"/>
    <w:rsid w:val="00897B70"/>
    <w:rsid w:val="00897B84"/>
    <w:rsid w:val="008A09E2"/>
    <w:rsid w:val="008A11AD"/>
    <w:rsid w:val="008A13B5"/>
    <w:rsid w:val="008A153E"/>
    <w:rsid w:val="008A1B3F"/>
    <w:rsid w:val="008A1B74"/>
    <w:rsid w:val="008A1BBF"/>
    <w:rsid w:val="008A275A"/>
    <w:rsid w:val="008A2A3E"/>
    <w:rsid w:val="008A3E1F"/>
    <w:rsid w:val="008A3E48"/>
    <w:rsid w:val="008A4B93"/>
    <w:rsid w:val="008A4E6A"/>
    <w:rsid w:val="008A527B"/>
    <w:rsid w:val="008A529D"/>
    <w:rsid w:val="008A5959"/>
    <w:rsid w:val="008A5AE8"/>
    <w:rsid w:val="008A5AF8"/>
    <w:rsid w:val="008A5C24"/>
    <w:rsid w:val="008A620A"/>
    <w:rsid w:val="008A625E"/>
    <w:rsid w:val="008A6564"/>
    <w:rsid w:val="008A66A9"/>
    <w:rsid w:val="008A7057"/>
    <w:rsid w:val="008A71B5"/>
    <w:rsid w:val="008A73C5"/>
    <w:rsid w:val="008A741F"/>
    <w:rsid w:val="008A76A8"/>
    <w:rsid w:val="008A7B9E"/>
    <w:rsid w:val="008A7C63"/>
    <w:rsid w:val="008A7E87"/>
    <w:rsid w:val="008B0830"/>
    <w:rsid w:val="008B0E8F"/>
    <w:rsid w:val="008B0F43"/>
    <w:rsid w:val="008B11CE"/>
    <w:rsid w:val="008B12C1"/>
    <w:rsid w:val="008B1655"/>
    <w:rsid w:val="008B16F3"/>
    <w:rsid w:val="008B1CFE"/>
    <w:rsid w:val="008B202B"/>
    <w:rsid w:val="008B2652"/>
    <w:rsid w:val="008B2740"/>
    <w:rsid w:val="008B29F5"/>
    <w:rsid w:val="008B2B27"/>
    <w:rsid w:val="008B39A1"/>
    <w:rsid w:val="008B3D93"/>
    <w:rsid w:val="008B47AD"/>
    <w:rsid w:val="008B4884"/>
    <w:rsid w:val="008B48CC"/>
    <w:rsid w:val="008B4975"/>
    <w:rsid w:val="008B4F5E"/>
    <w:rsid w:val="008B5318"/>
    <w:rsid w:val="008B53E5"/>
    <w:rsid w:val="008B591B"/>
    <w:rsid w:val="008B5C8D"/>
    <w:rsid w:val="008B5D3F"/>
    <w:rsid w:val="008B603B"/>
    <w:rsid w:val="008B61EE"/>
    <w:rsid w:val="008B6444"/>
    <w:rsid w:val="008B6585"/>
    <w:rsid w:val="008B75C2"/>
    <w:rsid w:val="008B76A5"/>
    <w:rsid w:val="008B7A05"/>
    <w:rsid w:val="008C003F"/>
    <w:rsid w:val="008C0183"/>
    <w:rsid w:val="008C06C0"/>
    <w:rsid w:val="008C0729"/>
    <w:rsid w:val="008C09DD"/>
    <w:rsid w:val="008C121B"/>
    <w:rsid w:val="008C1548"/>
    <w:rsid w:val="008C1704"/>
    <w:rsid w:val="008C17F8"/>
    <w:rsid w:val="008C18BD"/>
    <w:rsid w:val="008C1A44"/>
    <w:rsid w:val="008C2011"/>
    <w:rsid w:val="008C2590"/>
    <w:rsid w:val="008C27B4"/>
    <w:rsid w:val="008C2DE6"/>
    <w:rsid w:val="008C2F5A"/>
    <w:rsid w:val="008C2FD4"/>
    <w:rsid w:val="008C300D"/>
    <w:rsid w:val="008C36AD"/>
    <w:rsid w:val="008C3BBD"/>
    <w:rsid w:val="008C3E12"/>
    <w:rsid w:val="008C4685"/>
    <w:rsid w:val="008C46AA"/>
    <w:rsid w:val="008C4B19"/>
    <w:rsid w:val="008C4D92"/>
    <w:rsid w:val="008C5103"/>
    <w:rsid w:val="008C5827"/>
    <w:rsid w:val="008C593F"/>
    <w:rsid w:val="008C60B9"/>
    <w:rsid w:val="008C664D"/>
    <w:rsid w:val="008C67CE"/>
    <w:rsid w:val="008C691E"/>
    <w:rsid w:val="008C726B"/>
    <w:rsid w:val="008C7501"/>
    <w:rsid w:val="008C7705"/>
    <w:rsid w:val="008C7CE0"/>
    <w:rsid w:val="008D04B3"/>
    <w:rsid w:val="008D06B6"/>
    <w:rsid w:val="008D0B78"/>
    <w:rsid w:val="008D0C17"/>
    <w:rsid w:val="008D115C"/>
    <w:rsid w:val="008D184F"/>
    <w:rsid w:val="008D1910"/>
    <w:rsid w:val="008D1B29"/>
    <w:rsid w:val="008D1FB9"/>
    <w:rsid w:val="008D26E4"/>
    <w:rsid w:val="008D2943"/>
    <w:rsid w:val="008D2F5C"/>
    <w:rsid w:val="008D31A8"/>
    <w:rsid w:val="008D3497"/>
    <w:rsid w:val="008D34D6"/>
    <w:rsid w:val="008D355E"/>
    <w:rsid w:val="008D35D2"/>
    <w:rsid w:val="008D417A"/>
    <w:rsid w:val="008D4336"/>
    <w:rsid w:val="008D4787"/>
    <w:rsid w:val="008D4ACD"/>
    <w:rsid w:val="008D51CF"/>
    <w:rsid w:val="008D5428"/>
    <w:rsid w:val="008D5DD5"/>
    <w:rsid w:val="008D6014"/>
    <w:rsid w:val="008D67C0"/>
    <w:rsid w:val="008D67FA"/>
    <w:rsid w:val="008D7A3D"/>
    <w:rsid w:val="008D7D6F"/>
    <w:rsid w:val="008E0017"/>
    <w:rsid w:val="008E03CF"/>
    <w:rsid w:val="008E06D6"/>
    <w:rsid w:val="008E0E4A"/>
    <w:rsid w:val="008E1252"/>
    <w:rsid w:val="008E1317"/>
    <w:rsid w:val="008E1373"/>
    <w:rsid w:val="008E13F6"/>
    <w:rsid w:val="008E14A7"/>
    <w:rsid w:val="008E20DD"/>
    <w:rsid w:val="008E27D7"/>
    <w:rsid w:val="008E2A56"/>
    <w:rsid w:val="008E2B97"/>
    <w:rsid w:val="008E2CC5"/>
    <w:rsid w:val="008E3059"/>
    <w:rsid w:val="008E3266"/>
    <w:rsid w:val="008E353C"/>
    <w:rsid w:val="008E3820"/>
    <w:rsid w:val="008E3CED"/>
    <w:rsid w:val="008E3F08"/>
    <w:rsid w:val="008E4B9E"/>
    <w:rsid w:val="008E4E53"/>
    <w:rsid w:val="008E512A"/>
    <w:rsid w:val="008E519D"/>
    <w:rsid w:val="008E5479"/>
    <w:rsid w:val="008E5671"/>
    <w:rsid w:val="008E5885"/>
    <w:rsid w:val="008E5AEB"/>
    <w:rsid w:val="008E64FB"/>
    <w:rsid w:val="008E6605"/>
    <w:rsid w:val="008E6853"/>
    <w:rsid w:val="008E6CA8"/>
    <w:rsid w:val="008E704F"/>
    <w:rsid w:val="008E7BBF"/>
    <w:rsid w:val="008F000E"/>
    <w:rsid w:val="008F0491"/>
    <w:rsid w:val="008F10D4"/>
    <w:rsid w:val="008F123A"/>
    <w:rsid w:val="008F1248"/>
    <w:rsid w:val="008F12FB"/>
    <w:rsid w:val="008F16F9"/>
    <w:rsid w:val="008F1BC8"/>
    <w:rsid w:val="008F2323"/>
    <w:rsid w:val="008F3E53"/>
    <w:rsid w:val="008F469F"/>
    <w:rsid w:val="008F49EA"/>
    <w:rsid w:val="008F4A0D"/>
    <w:rsid w:val="008F5916"/>
    <w:rsid w:val="008F5A33"/>
    <w:rsid w:val="008F5B75"/>
    <w:rsid w:val="008F6133"/>
    <w:rsid w:val="008F6202"/>
    <w:rsid w:val="008F6F9E"/>
    <w:rsid w:val="008F7002"/>
    <w:rsid w:val="008F70CF"/>
    <w:rsid w:val="008F765D"/>
    <w:rsid w:val="009006A9"/>
    <w:rsid w:val="009006AF"/>
    <w:rsid w:val="00901012"/>
    <w:rsid w:val="009018BE"/>
    <w:rsid w:val="0090194A"/>
    <w:rsid w:val="00901CBF"/>
    <w:rsid w:val="00902951"/>
    <w:rsid w:val="00902E37"/>
    <w:rsid w:val="00903250"/>
    <w:rsid w:val="00903364"/>
    <w:rsid w:val="00903B96"/>
    <w:rsid w:val="00903CDF"/>
    <w:rsid w:val="00903D4E"/>
    <w:rsid w:val="00903DEE"/>
    <w:rsid w:val="009040BD"/>
    <w:rsid w:val="0090580D"/>
    <w:rsid w:val="00905856"/>
    <w:rsid w:val="00905C71"/>
    <w:rsid w:val="00905E8F"/>
    <w:rsid w:val="00906487"/>
    <w:rsid w:val="00906500"/>
    <w:rsid w:val="00907075"/>
    <w:rsid w:val="009101EC"/>
    <w:rsid w:val="0091023F"/>
    <w:rsid w:val="009107DE"/>
    <w:rsid w:val="00910A5B"/>
    <w:rsid w:val="009110A8"/>
    <w:rsid w:val="0091167C"/>
    <w:rsid w:val="00911D4E"/>
    <w:rsid w:val="00912372"/>
    <w:rsid w:val="00912C0B"/>
    <w:rsid w:val="00912EE3"/>
    <w:rsid w:val="009130DC"/>
    <w:rsid w:val="0091347F"/>
    <w:rsid w:val="009134C9"/>
    <w:rsid w:val="00913945"/>
    <w:rsid w:val="009139A6"/>
    <w:rsid w:val="00913D4C"/>
    <w:rsid w:val="00913DF0"/>
    <w:rsid w:val="00913FB1"/>
    <w:rsid w:val="00914150"/>
    <w:rsid w:val="0091417B"/>
    <w:rsid w:val="00914609"/>
    <w:rsid w:val="00914FA8"/>
    <w:rsid w:val="00915153"/>
    <w:rsid w:val="00915AD1"/>
    <w:rsid w:val="00915C38"/>
    <w:rsid w:val="00915D14"/>
    <w:rsid w:val="00915DF0"/>
    <w:rsid w:val="009163F9"/>
    <w:rsid w:val="0091669A"/>
    <w:rsid w:val="0091669C"/>
    <w:rsid w:val="0091693A"/>
    <w:rsid w:val="0091724E"/>
    <w:rsid w:val="00917483"/>
    <w:rsid w:val="009176DD"/>
    <w:rsid w:val="00920AF9"/>
    <w:rsid w:val="00920D73"/>
    <w:rsid w:val="0092115B"/>
    <w:rsid w:val="0092128C"/>
    <w:rsid w:val="00921747"/>
    <w:rsid w:val="00921975"/>
    <w:rsid w:val="00921A87"/>
    <w:rsid w:val="00921AE9"/>
    <w:rsid w:val="00922147"/>
    <w:rsid w:val="009221D3"/>
    <w:rsid w:val="00922352"/>
    <w:rsid w:val="0092288F"/>
    <w:rsid w:val="00922940"/>
    <w:rsid w:val="00922BB1"/>
    <w:rsid w:val="00922FE7"/>
    <w:rsid w:val="009230BD"/>
    <w:rsid w:val="00923288"/>
    <w:rsid w:val="009232DD"/>
    <w:rsid w:val="00923304"/>
    <w:rsid w:val="009233C6"/>
    <w:rsid w:val="0092349F"/>
    <w:rsid w:val="00923E0A"/>
    <w:rsid w:val="009248BD"/>
    <w:rsid w:val="00924E89"/>
    <w:rsid w:val="009253CD"/>
    <w:rsid w:val="0092578E"/>
    <w:rsid w:val="009266A8"/>
    <w:rsid w:val="0092699B"/>
    <w:rsid w:val="00926CE6"/>
    <w:rsid w:val="00927804"/>
    <w:rsid w:val="00927995"/>
    <w:rsid w:val="00927E8C"/>
    <w:rsid w:val="0093002A"/>
    <w:rsid w:val="009304E1"/>
    <w:rsid w:val="00930E8E"/>
    <w:rsid w:val="00931239"/>
    <w:rsid w:val="009313CF"/>
    <w:rsid w:val="00931A6A"/>
    <w:rsid w:val="00932649"/>
    <w:rsid w:val="00932B14"/>
    <w:rsid w:val="00932B8D"/>
    <w:rsid w:val="00932C86"/>
    <w:rsid w:val="00933029"/>
    <w:rsid w:val="00933938"/>
    <w:rsid w:val="00933E06"/>
    <w:rsid w:val="00933E23"/>
    <w:rsid w:val="00933E26"/>
    <w:rsid w:val="00933E7B"/>
    <w:rsid w:val="00933FB3"/>
    <w:rsid w:val="009341E3"/>
    <w:rsid w:val="009341F2"/>
    <w:rsid w:val="009342B3"/>
    <w:rsid w:val="0093437F"/>
    <w:rsid w:val="00935D23"/>
    <w:rsid w:val="00935E28"/>
    <w:rsid w:val="00936145"/>
    <w:rsid w:val="00936307"/>
    <w:rsid w:val="00936439"/>
    <w:rsid w:val="00936E9B"/>
    <w:rsid w:val="00937182"/>
    <w:rsid w:val="00937336"/>
    <w:rsid w:val="0093778D"/>
    <w:rsid w:val="00937F4A"/>
    <w:rsid w:val="0094062A"/>
    <w:rsid w:val="0094069C"/>
    <w:rsid w:val="00940E15"/>
    <w:rsid w:val="009410C5"/>
    <w:rsid w:val="00941256"/>
    <w:rsid w:val="00941576"/>
    <w:rsid w:val="00941F0A"/>
    <w:rsid w:val="0094213E"/>
    <w:rsid w:val="0094252A"/>
    <w:rsid w:val="00942600"/>
    <w:rsid w:val="00942960"/>
    <w:rsid w:val="00942A6C"/>
    <w:rsid w:val="00942A84"/>
    <w:rsid w:val="00942F64"/>
    <w:rsid w:val="00943012"/>
    <w:rsid w:val="0094360C"/>
    <w:rsid w:val="00943A28"/>
    <w:rsid w:val="009440AF"/>
    <w:rsid w:val="00944B26"/>
    <w:rsid w:val="00944CCD"/>
    <w:rsid w:val="0094554B"/>
    <w:rsid w:val="0094564B"/>
    <w:rsid w:val="00945671"/>
    <w:rsid w:val="0094575E"/>
    <w:rsid w:val="00946184"/>
    <w:rsid w:val="009462D2"/>
    <w:rsid w:val="0094634D"/>
    <w:rsid w:val="00946732"/>
    <w:rsid w:val="0094730D"/>
    <w:rsid w:val="0094798E"/>
    <w:rsid w:val="00947DD9"/>
    <w:rsid w:val="0095003A"/>
    <w:rsid w:val="0095087E"/>
    <w:rsid w:val="0095185E"/>
    <w:rsid w:val="00951D89"/>
    <w:rsid w:val="009525DA"/>
    <w:rsid w:val="00952F33"/>
    <w:rsid w:val="009544B3"/>
    <w:rsid w:val="0095482A"/>
    <w:rsid w:val="00954BB9"/>
    <w:rsid w:val="00955A0E"/>
    <w:rsid w:val="00955A5C"/>
    <w:rsid w:val="00956304"/>
    <w:rsid w:val="0095667D"/>
    <w:rsid w:val="009567BF"/>
    <w:rsid w:val="00956BAB"/>
    <w:rsid w:val="00957129"/>
    <w:rsid w:val="0095713A"/>
    <w:rsid w:val="009572A1"/>
    <w:rsid w:val="00957563"/>
    <w:rsid w:val="00957FFE"/>
    <w:rsid w:val="00960A8C"/>
    <w:rsid w:val="00960DC0"/>
    <w:rsid w:val="0096113C"/>
    <w:rsid w:val="009611B6"/>
    <w:rsid w:val="00961341"/>
    <w:rsid w:val="009614AF"/>
    <w:rsid w:val="009614D6"/>
    <w:rsid w:val="00961C53"/>
    <w:rsid w:val="009620D3"/>
    <w:rsid w:val="00962218"/>
    <w:rsid w:val="009623FD"/>
    <w:rsid w:val="00964006"/>
    <w:rsid w:val="009640F1"/>
    <w:rsid w:val="00964362"/>
    <w:rsid w:val="0096473D"/>
    <w:rsid w:val="0096483F"/>
    <w:rsid w:val="00964C50"/>
    <w:rsid w:val="00964EDB"/>
    <w:rsid w:val="00964EFD"/>
    <w:rsid w:val="009655A5"/>
    <w:rsid w:val="00965D97"/>
    <w:rsid w:val="00965EA3"/>
    <w:rsid w:val="00966403"/>
    <w:rsid w:val="00966638"/>
    <w:rsid w:val="009668B2"/>
    <w:rsid w:val="00966E0C"/>
    <w:rsid w:val="00966EAB"/>
    <w:rsid w:val="00967161"/>
    <w:rsid w:val="00967185"/>
    <w:rsid w:val="009671D6"/>
    <w:rsid w:val="00967221"/>
    <w:rsid w:val="009673AB"/>
    <w:rsid w:val="00967651"/>
    <w:rsid w:val="00967902"/>
    <w:rsid w:val="009679D7"/>
    <w:rsid w:val="00970A5C"/>
    <w:rsid w:val="00970BC1"/>
    <w:rsid w:val="00971544"/>
    <w:rsid w:val="00971739"/>
    <w:rsid w:val="00971B7A"/>
    <w:rsid w:val="00971BB0"/>
    <w:rsid w:val="00971F7A"/>
    <w:rsid w:val="009722AF"/>
    <w:rsid w:val="009729BB"/>
    <w:rsid w:val="00972EE6"/>
    <w:rsid w:val="00972F43"/>
    <w:rsid w:val="009738F9"/>
    <w:rsid w:val="00973AE6"/>
    <w:rsid w:val="00973B87"/>
    <w:rsid w:val="00973D2B"/>
    <w:rsid w:val="0097410B"/>
    <w:rsid w:val="00974285"/>
    <w:rsid w:val="00974963"/>
    <w:rsid w:val="0097534C"/>
    <w:rsid w:val="00975500"/>
    <w:rsid w:val="009756EE"/>
    <w:rsid w:val="0097573E"/>
    <w:rsid w:val="00975A80"/>
    <w:rsid w:val="00975B5C"/>
    <w:rsid w:val="00975DDE"/>
    <w:rsid w:val="00976EBF"/>
    <w:rsid w:val="009776B5"/>
    <w:rsid w:val="009800BC"/>
    <w:rsid w:val="009800F6"/>
    <w:rsid w:val="0098053B"/>
    <w:rsid w:val="00980D21"/>
    <w:rsid w:val="00981A6A"/>
    <w:rsid w:val="009825C2"/>
    <w:rsid w:val="009826C1"/>
    <w:rsid w:val="00982B20"/>
    <w:rsid w:val="0098309D"/>
    <w:rsid w:val="00983306"/>
    <w:rsid w:val="009833D6"/>
    <w:rsid w:val="00983457"/>
    <w:rsid w:val="00983531"/>
    <w:rsid w:val="0098371C"/>
    <w:rsid w:val="00983AA3"/>
    <w:rsid w:val="00983E38"/>
    <w:rsid w:val="0098415F"/>
    <w:rsid w:val="0098441F"/>
    <w:rsid w:val="00984459"/>
    <w:rsid w:val="00985074"/>
    <w:rsid w:val="009855B8"/>
    <w:rsid w:val="00985A66"/>
    <w:rsid w:val="00985C1B"/>
    <w:rsid w:val="00986779"/>
    <w:rsid w:val="0098695B"/>
    <w:rsid w:val="00986F4A"/>
    <w:rsid w:val="00987409"/>
    <w:rsid w:val="00987C49"/>
    <w:rsid w:val="00987E85"/>
    <w:rsid w:val="009900A5"/>
    <w:rsid w:val="00990211"/>
    <w:rsid w:val="009916D4"/>
    <w:rsid w:val="009919CE"/>
    <w:rsid w:val="00991C13"/>
    <w:rsid w:val="00991EB8"/>
    <w:rsid w:val="009922EA"/>
    <w:rsid w:val="0099248B"/>
    <w:rsid w:val="00992993"/>
    <w:rsid w:val="00992BEB"/>
    <w:rsid w:val="00993090"/>
    <w:rsid w:val="0099329C"/>
    <w:rsid w:val="009934A7"/>
    <w:rsid w:val="0099364D"/>
    <w:rsid w:val="00993AD8"/>
    <w:rsid w:val="00993B4A"/>
    <w:rsid w:val="00993F93"/>
    <w:rsid w:val="00994447"/>
    <w:rsid w:val="009944EA"/>
    <w:rsid w:val="00994FF3"/>
    <w:rsid w:val="00995089"/>
    <w:rsid w:val="009951B5"/>
    <w:rsid w:val="009953C1"/>
    <w:rsid w:val="00995417"/>
    <w:rsid w:val="00995433"/>
    <w:rsid w:val="00995D14"/>
    <w:rsid w:val="00995D7C"/>
    <w:rsid w:val="00996132"/>
    <w:rsid w:val="00996721"/>
    <w:rsid w:val="00996B6B"/>
    <w:rsid w:val="00997672"/>
    <w:rsid w:val="00997B16"/>
    <w:rsid w:val="00997E68"/>
    <w:rsid w:val="009A01AA"/>
    <w:rsid w:val="009A01F9"/>
    <w:rsid w:val="009A03A7"/>
    <w:rsid w:val="009A0542"/>
    <w:rsid w:val="009A0AA4"/>
    <w:rsid w:val="009A1A21"/>
    <w:rsid w:val="009A2696"/>
    <w:rsid w:val="009A2F3C"/>
    <w:rsid w:val="009A33DA"/>
    <w:rsid w:val="009A3AE2"/>
    <w:rsid w:val="009A3B8E"/>
    <w:rsid w:val="009A41FE"/>
    <w:rsid w:val="009A4B02"/>
    <w:rsid w:val="009A4BF9"/>
    <w:rsid w:val="009A4FEF"/>
    <w:rsid w:val="009A5BCC"/>
    <w:rsid w:val="009A5FDF"/>
    <w:rsid w:val="009A637F"/>
    <w:rsid w:val="009A6977"/>
    <w:rsid w:val="009A69F6"/>
    <w:rsid w:val="009A6C62"/>
    <w:rsid w:val="009A6C64"/>
    <w:rsid w:val="009A7665"/>
    <w:rsid w:val="009A7850"/>
    <w:rsid w:val="009A7D80"/>
    <w:rsid w:val="009B03A3"/>
    <w:rsid w:val="009B03FC"/>
    <w:rsid w:val="009B0587"/>
    <w:rsid w:val="009B0692"/>
    <w:rsid w:val="009B0D3C"/>
    <w:rsid w:val="009B12F7"/>
    <w:rsid w:val="009B1432"/>
    <w:rsid w:val="009B166D"/>
    <w:rsid w:val="009B218F"/>
    <w:rsid w:val="009B2840"/>
    <w:rsid w:val="009B2D13"/>
    <w:rsid w:val="009B3221"/>
    <w:rsid w:val="009B3308"/>
    <w:rsid w:val="009B3BDB"/>
    <w:rsid w:val="009B3ED4"/>
    <w:rsid w:val="009B4E36"/>
    <w:rsid w:val="009B4FD5"/>
    <w:rsid w:val="009B512C"/>
    <w:rsid w:val="009B5564"/>
    <w:rsid w:val="009B5CC1"/>
    <w:rsid w:val="009B5DB5"/>
    <w:rsid w:val="009B5E9F"/>
    <w:rsid w:val="009B637E"/>
    <w:rsid w:val="009B6713"/>
    <w:rsid w:val="009B67E3"/>
    <w:rsid w:val="009B6AE4"/>
    <w:rsid w:val="009B6F82"/>
    <w:rsid w:val="009B7248"/>
    <w:rsid w:val="009B7919"/>
    <w:rsid w:val="009B7C22"/>
    <w:rsid w:val="009B7EFE"/>
    <w:rsid w:val="009C079F"/>
    <w:rsid w:val="009C0CCC"/>
    <w:rsid w:val="009C0E66"/>
    <w:rsid w:val="009C156D"/>
    <w:rsid w:val="009C1C22"/>
    <w:rsid w:val="009C1F55"/>
    <w:rsid w:val="009C3067"/>
    <w:rsid w:val="009C31AF"/>
    <w:rsid w:val="009C32EC"/>
    <w:rsid w:val="009C33AA"/>
    <w:rsid w:val="009C3AAC"/>
    <w:rsid w:val="009C3D63"/>
    <w:rsid w:val="009C3E6A"/>
    <w:rsid w:val="009C4666"/>
    <w:rsid w:val="009C4689"/>
    <w:rsid w:val="009C47F1"/>
    <w:rsid w:val="009C4BBD"/>
    <w:rsid w:val="009C511D"/>
    <w:rsid w:val="009C5196"/>
    <w:rsid w:val="009C54F7"/>
    <w:rsid w:val="009C5CBD"/>
    <w:rsid w:val="009C5FA8"/>
    <w:rsid w:val="009C6081"/>
    <w:rsid w:val="009C6370"/>
    <w:rsid w:val="009C64D0"/>
    <w:rsid w:val="009C64FF"/>
    <w:rsid w:val="009C6A9B"/>
    <w:rsid w:val="009C6BE2"/>
    <w:rsid w:val="009C71D6"/>
    <w:rsid w:val="009C7854"/>
    <w:rsid w:val="009D0B21"/>
    <w:rsid w:val="009D0F20"/>
    <w:rsid w:val="009D1313"/>
    <w:rsid w:val="009D1375"/>
    <w:rsid w:val="009D1454"/>
    <w:rsid w:val="009D17AC"/>
    <w:rsid w:val="009D1965"/>
    <w:rsid w:val="009D19AC"/>
    <w:rsid w:val="009D1F7C"/>
    <w:rsid w:val="009D2302"/>
    <w:rsid w:val="009D3101"/>
    <w:rsid w:val="009D3497"/>
    <w:rsid w:val="009D3905"/>
    <w:rsid w:val="009D3D95"/>
    <w:rsid w:val="009D3EBF"/>
    <w:rsid w:val="009D458D"/>
    <w:rsid w:val="009D5610"/>
    <w:rsid w:val="009D5DEA"/>
    <w:rsid w:val="009D5ED0"/>
    <w:rsid w:val="009D6651"/>
    <w:rsid w:val="009D66E7"/>
    <w:rsid w:val="009D7645"/>
    <w:rsid w:val="009D7BAD"/>
    <w:rsid w:val="009D7C25"/>
    <w:rsid w:val="009D7DD1"/>
    <w:rsid w:val="009E0349"/>
    <w:rsid w:val="009E04BD"/>
    <w:rsid w:val="009E08ED"/>
    <w:rsid w:val="009E0CF6"/>
    <w:rsid w:val="009E190D"/>
    <w:rsid w:val="009E1F38"/>
    <w:rsid w:val="009E2761"/>
    <w:rsid w:val="009E29AB"/>
    <w:rsid w:val="009E2A89"/>
    <w:rsid w:val="009E2DAB"/>
    <w:rsid w:val="009E3758"/>
    <w:rsid w:val="009E38A6"/>
    <w:rsid w:val="009E3945"/>
    <w:rsid w:val="009E3A44"/>
    <w:rsid w:val="009E3D91"/>
    <w:rsid w:val="009E3F4D"/>
    <w:rsid w:val="009E4036"/>
    <w:rsid w:val="009E50EB"/>
    <w:rsid w:val="009E553C"/>
    <w:rsid w:val="009E5833"/>
    <w:rsid w:val="009E5E35"/>
    <w:rsid w:val="009E69F3"/>
    <w:rsid w:val="009E6DA5"/>
    <w:rsid w:val="009E74D9"/>
    <w:rsid w:val="009E790B"/>
    <w:rsid w:val="009E7B22"/>
    <w:rsid w:val="009E7EDE"/>
    <w:rsid w:val="009F0094"/>
    <w:rsid w:val="009F03C1"/>
    <w:rsid w:val="009F088D"/>
    <w:rsid w:val="009F0AB8"/>
    <w:rsid w:val="009F0BE1"/>
    <w:rsid w:val="009F0E22"/>
    <w:rsid w:val="009F1219"/>
    <w:rsid w:val="009F14E9"/>
    <w:rsid w:val="009F282D"/>
    <w:rsid w:val="009F285F"/>
    <w:rsid w:val="009F294B"/>
    <w:rsid w:val="009F2CDF"/>
    <w:rsid w:val="009F3678"/>
    <w:rsid w:val="009F38D3"/>
    <w:rsid w:val="009F3AB3"/>
    <w:rsid w:val="009F3F7F"/>
    <w:rsid w:val="009F41A3"/>
    <w:rsid w:val="009F4DCA"/>
    <w:rsid w:val="009F65F1"/>
    <w:rsid w:val="009F68F3"/>
    <w:rsid w:val="009F7441"/>
    <w:rsid w:val="009F7923"/>
    <w:rsid w:val="00A005BC"/>
    <w:rsid w:val="00A009E8"/>
    <w:rsid w:val="00A00CBD"/>
    <w:rsid w:val="00A00F64"/>
    <w:rsid w:val="00A00FFF"/>
    <w:rsid w:val="00A01419"/>
    <w:rsid w:val="00A01FD5"/>
    <w:rsid w:val="00A020B4"/>
    <w:rsid w:val="00A020B6"/>
    <w:rsid w:val="00A022FA"/>
    <w:rsid w:val="00A0234F"/>
    <w:rsid w:val="00A025D7"/>
    <w:rsid w:val="00A0289F"/>
    <w:rsid w:val="00A02A3A"/>
    <w:rsid w:val="00A02D02"/>
    <w:rsid w:val="00A0338E"/>
    <w:rsid w:val="00A03416"/>
    <w:rsid w:val="00A034B3"/>
    <w:rsid w:val="00A03572"/>
    <w:rsid w:val="00A039B1"/>
    <w:rsid w:val="00A03C01"/>
    <w:rsid w:val="00A03FDC"/>
    <w:rsid w:val="00A04430"/>
    <w:rsid w:val="00A04505"/>
    <w:rsid w:val="00A04BE6"/>
    <w:rsid w:val="00A04C16"/>
    <w:rsid w:val="00A04CD5"/>
    <w:rsid w:val="00A057AA"/>
    <w:rsid w:val="00A05A57"/>
    <w:rsid w:val="00A05EFE"/>
    <w:rsid w:val="00A06152"/>
    <w:rsid w:val="00A066D8"/>
    <w:rsid w:val="00A06B34"/>
    <w:rsid w:val="00A06D1D"/>
    <w:rsid w:val="00A07498"/>
    <w:rsid w:val="00A07938"/>
    <w:rsid w:val="00A07E17"/>
    <w:rsid w:val="00A10A52"/>
    <w:rsid w:val="00A10AAC"/>
    <w:rsid w:val="00A10D8E"/>
    <w:rsid w:val="00A10F83"/>
    <w:rsid w:val="00A11446"/>
    <w:rsid w:val="00A1178F"/>
    <w:rsid w:val="00A11C1F"/>
    <w:rsid w:val="00A11C20"/>
    <w:rsid w:val="00A11CD2"/>
    <w:rsid w:val="00A12211"/>
    <w:rsid w:val="00A1245E"/>
    <w:rsid w:val="00A12D49"/>
    <w:rsid w:val="00A12F55"/>
    <w:rsid w:val="00A13389"/>
    <w:rsid w:val="00A13978"/>
    <w:rsid w:val="00A13F78"/>
    <w:rsid w:val="00A1407B"/>
    <w:rsid w:val="00A1413B"/>
    <w:rsid w:val="00A1413C"/>
    <w:rsid w:val="00A14315"/>
    <w:rsid w:val="00A1485E"/>
    <w:rsid w:val="00A148F6"/>
    <w:rsid w:val="00A14936"/>
    <w:rsid w:val="00A14A9D"/>
    <w:rsid w:val="00A14B7E"/>
    <w:rsid w:val="00A153E3"/>
    <w:rsid w:val="00A1652C"/>
    <w:rsid w:val="00A16FEC"/>
    <w:rsid w:val="00A1745C"/>
    <w:rsid w:val="00A17730"/>
    <w:rsid w:val="00A17951"/>
    <w:rsid w:val="00A17A44"/>
    <w:rsid w:val="00A20394"/>
    <w:rsid w:val="00A20412"/>
    <w:rsid w:val="00A20930"/>
    <w:rsid w:val="00A210F3"/>
    <w:rsid w:val="00A21564"/>
    <w:rsid w:val="00A2168A"/>
    <w:rsid w:val="00A217B9"/>
    <w:rsid w:val="00A2244F"/>
    <w:rsid w:val="00A22607"/>
    <w:rsid w:val="00A230E1"/>
    <w:rsid w:val="00A233D1"/>
    <w:rsid w:val="00A234A2"/>
    <w:rsid w:val="00A23549"/>
    <w:rsid w:val="00A23AAD"/>
    <w:rsid w:val="00A243E2"/>
    <w:rsid w:val="00A2480D"/>
    <w:rsid w:val="00A25010"/>
    <w:rsid w:val="00A253B4"/>
    <w:rsid w:val="00A257FF"/>
    <w:rsid w:val="00A2607F"/>
    <w:rsid w:val="00A2678E"/>
    <w:rsid w:val="00A2699C"/>
    <w:rsid w:val="00A26B42"/>
    <w:rsid w:val="00A26E3D"/>
    <w:rsid w:val="00A272D1"/>
    <w:rsid w:val="00A2735B"/>
    <w:rsid w:val="00A2752A"/>
    <w:rsid w:val="00A275EE"/>
    <w:rsid w:val="00A279A6"/>
    <w:rsid w:val="00A27FC4"/>
    <w:rsid w:val="00A30204"/>
    <w:rsid w:val="00A303EB"/>
    <w:rsid w:val="00A305F4"/>
    <w:rsid w:val="00A30C21"/>
    <w:rsid w:val="00A31108"/>
    <w:rsid w:val="00A31609"/>
    <w:rsid w:val="00A31D1C"/>
    <w:rsid w:val="00A31E7D"/>
    <w:rsid w:val="00A322F6"/>
    <w:rsid w:val="00A326B5"/>
    <w:rsid w:val="00A327DB"/>
    <w:rsid w:val="00A3298A"/>
    <w:rsid w:val="00A33965"/>
    <w:rsid w:val="00A3399E"/>
    <w:rsid w:val="00A33B44"/>
    <w:rsid w:val="00A34AD0"/>
    <w:rsid w:val="00A34E6E"/>
    <w:rsid w:val="00A34E90"/>
    <w:rsid w:val="00A352D2"/>
    <w:rsid w:val="00A3545F"/>
    <w:rsid w:val="00A35A85"/>
    <w:rsid w:val="00A36937"/>
    <w:rsid w:val="00A3754F"/>
    <w:rsid w:val="00A37A65"/>
    <w:rsid w:val="00A400A5"/>
    <w:rsid w:val="00A4026C"/>
    <w:rsid w:val="00A40D52"/>
    <w:rsid w:val="00A4109F"/>
    <w:rsid w:val="00A4189E"/>
    <w:rsid w:val="00A419BF"/>
    <w:rsid w:val="00A41EE5"/>
    <w:rsid w:val="00A422E2"/>
    <w:rsid w:val="00A42679"/>
    <w:rsid w:val="00A426E4"/>
    <w:rsid w:val="00A42E82"/>
    <w:rsid w:val="00A42F78"/>
    <w:rsid w:val="00A43B37"/>
    <w:rsid w:val="00A43EA3"/>
    <w:rsid w:val="00A4416D"/>
    <w:rsid w:val="00A44231"/>
    <w:rsid w:val="00A44291"/>
    <w:rsid w:val="00A44630"/>
    <w:rsid w:val="00A44911"/>
    <w:rsid w:val="00A44AC7"/>
    <w:rsid w:val="00A4512D"/>
    <w:rsid w:val="00A458C4"/>
    <w:rsid w:val="00A46133"/>
    <w:rsid w:val="00A46531"/>
    <w:rsid w:val="00A46782"/>
    <w:rsid w:val="00A47149"/>
    <w:rsid w:val="00A4758C"/>
    <w:rsid w:val="00A47972"/>
    <w:rsid w:val="00A47D6D"/>
    <w:rsid w:val="00A5037F"/>
    <w:rsid w:val="00A50C18"/>
    <w:rsid w:val="00A5121B"/>
    <w:rsid w:val="00A518DA"/>
    <w:rsid w:val="00A51BF0"/>
    <w:rsid w:val="00A51CF4"/>
    <w:rsid w:val="00A529CD"/>
    <w:rsid w:val="00A5340A"/>
    <w:rsid w:val="00A53568"/>
    <w:rsid w:val="00A53636"/>
    <w:rsid w:val="00A538E3"/>
    <w:rsid w:val="00A53949"/>
    <w:rsid w:val="00A53EEE"/>
    <w:rsid w:val="00A5400D"/>
    <w:rsid w:val="00A544D6"/>
    <w:rsid w:val="00A546F7"/>
    <w:rsid w:val="00A54BFA"/>
    <w:rsid w:val="00A54F10"/>
    <w:rsid w:val="00A5523A"/>
    <w:rsid w:val="00A555EA"/>
    <w:rsid w:val="00A55A12"/>
    <w:rsid w:val="00A55D0B"/>
    <w:rsid w:val="00A56248"/>
    <w:rsid w:val="00A562E3"/>
    <w:rsid w:val="00A5658C"/>
    <w:rsid w:val="00A5669C"/>
    <w:rsid w:val="00A569C6"/>
    <w:rsid w:val="00A56B12"/>
    <w:rsid w:val="00A571C5"/>
    <w:rsid w:val="00A571CC"/>
    <w:rsid w:val="00A578CC"/>
    <w:rsid w:val="00A57A1B"/>
    <w:rsid w:val="00A602D7"/>
    <w:rsid w:val="00A60915"/>
    <w:rsid w:val="00A60DC7"/>
    <w:rsid w:val="00A610B0"/>
    <w:rsid w:val="00A615F0"/>
    <w:rsid w:val="00A61B29"/>
    <w:rsid w:val="00A61DC5"/>
    <w:rsid w:val="00A62104"/>
    <w:rsid w:val="00A62149"/>
    <w:rsid w:val="00A62BED"/>
    <w:rsid w:val="00A62C97"/>
    <w:rsid w:val="00A637EA"/>
    <w:rsid w:val="00A64566"/>
    <w:rsid w:val="00A64640"/>
    <w:rsid w:val="00A65078"/>
    <w:rsid w:val="00A65F2B"/>
    <w:rsid w:val="00A66833"/>
    <w:rsid w:val="00A6702A"/>
    <w:rsid w:val="00A671B7"/>
    <w:rsid w:val="00A676A3"/>
    <w:rsid w:val="00A7022D"/>
    <w:rsid w:val="00A7087B"/>
    <w:rsid w:val="00A70AD9"/>
    <w:rsid w:val="00A70DAB"/>
    <w:rsid w:val="00A70EA5"/>
    <w:rsid w:val="00A71243"/>
    <w:rsid w:val="00A7164F"/>
    <w:rsid w:val="00A71E1C"/>
    <w:rsid w:val="00A71E7C"/>
    <w:rsid w:val="00A71EF6"/>
    <w:rsid w:val="00A72942"/>
    <w:rsid w:val="00A7296D"/>
    <w:rsid w:val="00A72FDC"/>
    <w:rsid w:val="00A72FEA"/>
    <w:rsid w:val="00A7346D"/>
    <w:rsid w:val="00A73D27"/>
    <w:rsid w:val="00A74817"/>
    <w:rsid w:val="00A74AAF"/>
    <w:rsid w:val="00A761E8"/>
    <w:rsid w:val="00A767C8"/>
    <w:rsid w:val="00A7739B"/>
    <w:rsid w:val="00A8072A"/>
    <w:rsid w:val="00A8093E"/>
    <w:rsid w:val="00A81B3C"/>
    <w:rsid w:val="00A81DEB"/>
    <w:rsid w:val="00A8215C"/>
    <w:rsid w:val="00A8244A"/>
    <w:rsid w:val="00A828B9"/>
    <w:rsid w:val="00A837C6"/>
    <w:rsid w:val="00A83C2E"/>
    <w:rsid w:val="00A83C3E"/>
    <w:rsid w:val="00A84017"/>
    <w:rsid w:val="00A84091"/>
    <w:rsid w:val="00A841F1"/>
    <w:rsid w:val="00A84454"/>
    <w:rsid w:val="00A84B07"/>
    <w:rsid w:val="00A84EA1"/>
    <w:rsid w:val="00A8646B"/>
    <w:rsid w:val="00A8679D"/>
    <w:rsid w:val="00A86D5F"/>
    <w:rsid w:val="00A870AD"/>
    <w:rsid w:val="00A87911"/>
    <w:rsid w:val="00A90817"/>
    <w:rsid w:val="00A90894"/>
    <w:rsid w:val="00A90B02"/>
    <w:rsid w:val="00A90EA7"/>
    <w:rsid w:val="00A91984"/>
    <w:rsid w:val="00A91C98"/>
    <w:rsid w:val="00A9272B"/>
    <w:rsid w:val="00A93381"/>
    <w:rsid w:val="00A9361E"/>
    <w:rsid w:val="00A9392C"/>
    <w:rsid w:val="00A93D90"/>
    <w:rsid w:val="00A93D9C"/>
    <w:rsid w:val="00A93DD5"/>
    <w:rsid w:val="00A93E78"/>
    <w:rsid w:val="00A93E81"/>
    <w:rsid w:val="00A9488D"/>
    <w:rsid w:val="00A952E2"/>
    <w:rsid w:val="00A9593C"/>
    <w:rsid w:val="00A95D9D"/>
    <w:rsid w:val="00A95F37"/>
    <w:rsid w:val="00A96019"/>
    <w:rsid w:val="00A962F9"/>
    <w:rsid w:val="00A964A2"/>
    <w:rsid w:val="00A96870"/>
    <w:rsid w:val="00A96A7D"/>
    <w:rsid w:val="00A9747C"/>
    <w:rsid w:val="00A97481"/>
    <w:rsid w:val="00A97698"/>
    <w:rsid w:val="00A979F6"/>
    <w:rsid w:val="00AA0220"/>
    <w:rsid w:val="00AA0ADF"/>
    <w:rsid w:val="00AA0E46"/>
    <w:rsid w:val="00AA1CB5"/>
    <w:rsid w:val="00AA1E1B"/>
    <w:rsid w:val="00AA2740"/>
    <w:rsid w:val="00AA2D9D"/>
    <w:rsid w:val="00AA31FC"/>
    <w:rsid w:val="00AA35EA"/>
    <w:rsid w:val="00AA3A89"/>
    <w:rsid w:val="00AA458A"/>
    <w:rsid w:val="00AA4610"/>
    <w:rsid w:val="00AA486D"/>
    <w:rsid w:val="00AA515A"/>
    <w:rsid w:val="00AA5889"/>
    <w:rsid w:val="00AA6073"/>
    <w:rsid w:val="00AA6479"/>
    <w:rsid w:val="00AA65C0"/>
    <w:rsid w:val="00AA66A8"/>
    <w:rsid w:val="00AA6D23"/>
    <w:rsid w:val="00AB03DA"/>
    <w:rsid w:val="00AB0500"/>
    <w:rsid w:val="00AB0D5E"/>
    <w:rsid w:val="00AB0EB6"/>
    <w:rsid w:val="00AB1026"/>
    <w:rsid w:val="00AB118B"/>
    <w:rsid w:val="00AB14F9"/>
    <w:rsid w:val="00AB183A"/>
    <w:rsid w:val="00AB1929"/>
    <w:rsid w:val="00AB1A95"/>
    <w:rsid w:val="00AB1CF7"/>
    <w:rsid w:val="00AB20B1"/>
    <w:rsid w:val="00AB231E"/>
    <w:rsid w:val="00AB2949"/>
    <w:rsid w:val="00AB29CB"/>
    <w:rsid w:val="00AB2B67"/>
    <w:rsid w:val="00AB317C"/>
    <w:rsid w:val="00AB335A"/>
    <w:rsid w:val="00AB347F"/>
    <w:rsid w:val="00AB3574"/>
    <w:rsid w:val="00AB3588"/>
    <w:rsid w:val="00AB3DDA"/>
    <w:rsid w:val="00AB3EBC"/>
    <w:rsid w:val="00AB4080"/>
    <w:rsid w:val="00AB4AC7"/>
    <w:rsid w:val="00AB4B36"/>
    <w:rsid w:val="00AB4F95"/>
    <w:rsid w:val="00AB5133"/>
    <w:rsid w:val="00AB542F"/>
    <w:rsid w:val="00AB5B0A"/>
    <w:rsid w:val="00AB5C5A"/>
    <w:rsid w:val="00AB7227"/>
    <w:rsid w:val="00AB7E93"/>
    <w:rsid w:val="00AC0198"/>
    <w:rsid w:val="00AC03BA"/>
    <w:rsid w:val="00AC06F4"/>
    <w:rsid w:val="00AC0C2B"/>
    <w:rsid w:val="00AC0EF9"/>
    <w:rsid w:val="00AC1282"/>
    <w:rsid w:val="00AC1E6B"/>
    <w:rsid w:val="00AC2BF2"/>
    <w:rsid w:val="00AC2FCA"/>
    <w:rsid w:val="00AC300F"/>
    <w:rsid w:val="00AC3081"/>
    <w:rsid w:val="00AC37A1"/>
    <w:rsid w:val="00AC382B"/>
    <w:rsid w:val="00AC3CC0"/>
    <w:rsid w:val="00AC3F2A"/>
    <w:rsid w:val="00AC4319"/>
    <w:rsid w:val="00AC46B9"/>
    <w:rsid w:val="00AC46ED"/>
    <w:rsid w:val="00AC4A6C"/>
    <w:rsid w:val="00AC4A99"/>
    <w:rsid w:val="00AC4D5F"/>
    <w:rsid w:val="00AC4D88"/>
    <w:rsid w:val="00AC4FE5"/>
    <w:rsid w:val="00AC5666"/>
    <w:rsid w:val="00AC5778"/>
    <w:rsid w:val="00AC6C55"/>
    <w:rsid w:val="00AC6F67"/>
    <w:rsid w:val="00AC6FA1"/>
    <w:rsid w:val="00AC730F"/>
    <w:rsid w:val="00AC7FCC"/>
    <w:rsid w:val="00AD07A2"/>
    <w:rsid w:val="00AD0ABD"/>
    <w:rsid w:val="00AD1313"/>
    <w:rsid w:val="00AD167B"/>
    <w:rsid w:val="00AD176A"/>
    <w:rsid w:val="00AD1C54"/>
    <w:rsid w:val="00AD2032"/>
    <w:rsid w:val="00AD2323"/>
    <w:rsid w:val="00AD24C4"/>
    <w:rsid w:val="00AD2846"/>
    <w:rsid w:val="00AD2E71"/>
    <w:rsid w:val="00AD394C"/>
    <w:rsid w:val="00AD3B59"/>
    <w:rsid w:val="00AD4597"/>
    <w:rsid w:val="00AD555E"/>
    <w:rsid w:val="00AD5F44"/>
    <w:rsid w:val="00AD63D0"/>
    <w:rsid w:val="00AD67C1"/>
    <w:rsid w:val="00AD71CF"/>
    <w:rsid w:val="00AE0011"/>
    <w:rsid w:val="00AE007C"/>
    <w:rsid w:val="00AE0114"/>
    <w:rsid w:val="00AE019D"/>
    <w:rsid w:val="00AE049B"/>
    <w:rsid w:val="00AE09FB"/>
    <w:rsid w:val="00AE1062"/>
    <w:rsid w:val="00AE17A7"/>
    <w:rsid w:val="00AE1B50"/>
    <w:rsid w:val="00AE1F95"/>
    <w:rsid w:val="00AE2374"/>
    <w:rsid w:val="00AE23ED"/>
    <w:rsid w:val="00AE26F1"/>
    <w:rsid w:val="00AE2826"/>
    <w:rsid w:val="00AE2FEB"/>
    <w:rsid w:val="00AE301A"/>
    <w:rsid w:val="00AE3951"/>
    <w:rsid w:val="00AE3AAF"/>
    <w:rsid w:val="00AE57B5"/>
    <w:rsid w:val="00AE5ACD"/>
    <w:rsid w:val="00AE5B70"/>
    <w:rsid w:val="00AE5C4B"/>
    <w:rsid w:val="00AE5E1C"/>
    <w:rsid w:val="00AE5E3C"/>
    <w:rsid w:val="00AE5F98"/>
    <w:rsid w:val="00AE6273"/>
    <w:rsid w:val="00AE6402"/>
    <w:rsid w:val="00AE661D"/>
    <w:rsid w:val="00AE7007"/>
    <w:rsid w:val="00AE7185"/>
    <w:rsid w:val="00AE7414"/>
    <w:rsid w:val="00AE7523"/>
    <w:rsid w:val="00AE78DC"/>
    <w:rsid w:val="00AE79AB"/>
    <w:rsid w:val="00AE7A58"/>
    <w:rsid w:val="00AF03C3"/>
    <w:rsid w:val="00AF0B3C"/>
    <w:rsid w:val="00AF110B"/>
    <w:rsid w:val="00AF21BB"/>
    <w:rsid w:val="00AF28BB"/>
    <w:rsid w:val="00AF2E89"/>
    <w:rsid w:val="00AF3610"/>
    <w:rsid w:val="00AF376F"/>
    <w:rsid w:val="00AF3A1A"/>
    <w:rsid w:val="00AF3B65"/>
    <w:rsid w:val="00AF3CCF"/>
    <w:rsid w:val="00AF4161"/>
    <w:rsid w:val="00AF4662"/>
    <w:rsid w:val="00AF46C6"/>
    <w:rsid w:val="00AF54D4"/>
    <w:rsid w:val="00AF5AE3"/>
    <w:rsid w:val="00AF5B48"/>
    <w:rsid w:val="00AF61F0"/>
    <w:rsid w:val="00AF63BC"/>
    <w:rsid w:val="00AF652C"/>
    <w:rsid w:val="00AF6706"/>
    <w:rsid w:val="00AF6BE4"/>
    <w:rsid w:val="00AF6C48"/>
    <w:rsid w:val="00AF754E"/>
    <w:rsid w:val="00B000D1"/>
    <w:rsid w:val="00B0051E"/>
    <w:rsid w:val="00B00A80"/>
    <w:rsid w:val="00B00DD6"/>
    <w:rsid w:val="00B00FF7"/>
    <w:rsid w:val="00B017B3"/>
    <w:rsid w:val="00B02586"/>
    <w:rsid w:val="00B025E8"/>
    <w:rsid w:val="00B02CD2"/>
    <w:rsid w:val="00B02D37"/>
    <w:rsid w:val="00B0300E"/>
    <w:rsid w:val="00B03385"/>
    <w:rsid w:val="00B0346A"/>
    <w:rsid w:val="00B04000"/>
    <w:rsid w:val="00B04038"/>
    <w:rsid w:val="00B046AA"/>
    <w:rsid w:val="00B04B50"/>
    <w:rsid w:val="00B050B3"/>
    <w:rsid w:val="00B051F5"/>
    <w:rsid w:val="00B05D14"/>
    <w:rsid w:val="00B06070"/>
    <w:rsid w:val="00B06148"/>
    <w:rsid w:val="00B064EC"/>
    <w:rsid w:val="00B0792B"/>
    <w:rsid w:val="00B10193"/>
    <w:rsid w:val="00B1034D"/>
    <w:rsid w:val="00B104EA"/>
    <w:rsid w:val="00B10E3B"/>
    <w:rsid w:val="00B116F8"/>
    <w:rsid w:val="00B11951"/>
    <w:rsid w:val="00B11CF3"/>
    <w:rsid w:val="00B12A86"/>
    <w:rsid w:val="00B12B90"/>
    <w:rsid w:val="00B1337E"/>
    <w:rsid w:val="00B136E8"/>
    <w:rsid w:val="00B13738"/>
    <w:rsid w:val="00B1373E"/>
    <w:rsid w:val="00B138BD"/>
    <w:rsid w:val="00B13F6C"/>
    <w:rsid w:val="00B1430C"/>
    <w:rsid w:val="00B1485D"/>
    <w:rsid w:val="00B14BC5"/>
    <w:rsid w:val="00B154AF"/>
    <w:rsid w:val="00B1588C"/>
    <w:rsid w:val="00B1633D"/>
    <w:rsid w:val="00B164CC"/>
    <w:rsid w:val="00B16536"/>
    <w:rsid w:val="00B1675A"/>
    <w:rsid w:val="00B1710F"/>
    <w:rsid w:val="00B1732A"/>
    <w:rsid w:val="00B17A91"/>
    <w:rsid w:val="00B17AB4"/>
    <w:rsid w:val="00B17FB0"/>
    <w:rsid w:val="00B17FE9"/>
    <w:rsid w:val="00B20984"/>
    <w:rsid w:val="00B20A64"/>
    <w:rsid w:val="00B20A69"/>
    <w:rsid w:val="00B20BDC"/>
    <w:rsid w:val="00B20D68"/>
    <w:rsid w:val="00B21048"/>
    <w:rsid w:val="00B21372"/>
    <w:rsid w:val="00B2164B"/>
    <w:rsid w:val="00B21E66"/>
    <w:rsid w:val="00B2203F"/>
    <w:rsid w:val="00B223EE"/>
    <w:rsid w:val="00B224D6"/>
    <w:rsid w:val="00B22F56"/>
    <w:rsid w:val="00B23235"/>
    <w:rsid w:val="00B235FB"/>
    <w:rsid w:val="00B23B6B"/>
    <w:rsid w:val="00B23CE0"/>
    <w:rsid w:val="00B23E87"/>
    <w:rsid w:val="00B245ED"/>
    <w:rsid w:val="00B25033"/>
    <w:rsid w:val="00B257C3"/>
    <w:rsid w:val="00B258BC"/>
    <w:rsid w:val="00B25C4A"/>
    <w:rsid w:val="00B26461"/>
    <w:rsid w:val="00B26C2A"/>
    <w:rsid w:val="00B26D4E"/>
    <w:rsid w:val="00B26E66"/>
    <w:rsid w:val="00B272CA"/>
    <w:rsid w:val="00B274DA"/>
    <w:rsid w:val="00B30344"/>
    <w:rsid w:val="00B3053C"/>
    <w:rsid w:val="00B3088F"/>
    <w:rsid w:val="00B328AE"/>
    <w:rsid w:val="00B32FCB"/>
    <w:rsid w:val="00B3470C"/>
    <w:rsid w:val="00B34A1E"/>
    <w:rsid w:val="00B34A67"/>
    <w:rsid w:val="00B3545C"/>
    <w:rsid w:val="00B3547D"/>
    <w:rsid w:val="00B35997"/>
    <w:rsid w:val="00B362F2"/>
    <w:rsid w:val="00B36709"/>
    <w:rsid w:val="00B367AF"/>
    <w:rsid w:val="00B36C92"/>
    <w:rsid w:val="00B3774D"/>
    <w:rsid w:val="00B37DDB"/>
    <w:rsid w:val="00B40C4A"/>
    <w:rsid w:val="00B40DAB"/>
    <w:rsid w:val="00B4145C"/>
    <w:rsid w:val="00B4149F"/>
    <w:rsid w:val="00B41BEB"/>
    <w:rsid w:val="00B41CDD"/>
    <w:rsid w:val="00B42200"/>
    <w:rsid w:val="00B42385"/>
    <w:rsid w:val="00B43A88"/>
    <w:rsid w:val="00B43F59"/>
    <w:rsid w:val="00B445BA"/>
    <w:rsid w:val="00B44E6B"/>
    <w:rsid w:val="00B4538E"/>
    <w:rsid w:val="00B45B57"/>
    <w:rsid w:val="00B45CDC"/>
    <w:rsid w:val="00B46605"/>
    <w:rsid w:val="00B47582"/>
    <w:rsid w:val="00B47EF9"/>
    <w:rsid w:val="00B50367"/>
    <w:rsid w:val="00B505ED"/>
    <w:rsid w:val="00B50C01"/>
    <w:rsid w:val="00B5141B"/>
    <w:rsid w:val="00B5154E"/>
    <w:rsid w:val="00B517A7"/>
    <w:rsid w:val="00B51D56"/>
    <w:rsid w:val="00B51E53"/>
    <w:rsid w:val="00B51FA3"/>
    <w:rsid w:val="00B52087"/>
    <w:rsid w:val="00B5216D"/>
    <w:rsid w:val="00B52529"/>
    <w:rsid w:val="00B528B0"/>
    <w:rsid w:val="00B52D2B"/>
    <w:rsid w:val="00B52D4A"/>
    <w:rsid w:val="00B52FC1"/>
    <w:rsid w:val="00B5329A"/>
    <w:rsid w:val="00B532AC"/>
    <w:rsid w:val="00B53729"/>
    <w:rsid w:val="00B54439"/>
    <w:rsid w:val="00B54ECD"/>
    <w:rsid w:val="00B55213"/>
    <w:rsid w:val="00B557A9"/>
    <w:rsid w:val="00B55971"/>
    <w:rsid w:val="00B55CFB"/>
    <w:rsid w:val="00B55EC6"/>
    <w:rsid w:val="00B55FE6"/>
    <w:rsid w:val="00B575A1"/>
    <w:rsid w:val="00B57748"/>
    <w:rsid w:val="00B57D29"/>
    <w:rsid w:val="00B602AD"/>
    <w:rsid w:val="00B60866"/>
    <w:rsid w:val="00B60C56"/>
    <w:rsid w:val="00B61312"/>
    <w:rsid w:val="00B61562"/>
    <w:rsid w:val="00B618CA"/>
    <w:rsid w:val="00B61B90"/>
    <w:rsid w:val="00B62159"/>
    <w:rsid w:val="00B62702"/>
    <w:rsid w:val="00B62E18"/>
    <w:rsid w:val="00B62F8E"/>
    <w:rsid w:val="00B6315F"/>
    <w:rsid w:val="00B63434"/>
    <w:rsid w:val="00B639E7"/>
    <w:rsid w:val="00B63E1C"/>
    <w:rsid w:val="00B64125"/>
    <w:rsid w:val="00B6429D"/>
    <w:rsid w:val="00B64879"/>
    <w:rsid w:val="00B64B71"/>
    <w:rsid w:val="00B65412"/>
    <w:rsid w:val="00B65993"/>
    <w:rsid w:val="00B65AD5"/>
    <w:rsid w:val="00B65B91"/>
    <w:rsid w:val="00B65D71"/>
    <w:rsid w:val="00B6601E"/>
    <w:rsid w:val="00B66029"/>
    <w:rsid w:val="00B66667"/>
    <w:rsid w:val="00B6671B"/>
    <w:rsid w:val="00B6692F"/>
    <w:rsid w:val="00B66A7E"/>
    <w:rsid w:val="00B671AA"/>
    <w:rsid w:val="00B67629"/>
    <w:rsid w:val="00B678CA"/>
    <w:rsid w:val="00B67F66"/>
    <w:rsid w:val="00B7057E"/>
    <w:rsid w:val="00B7089F"/>
    <w:rsid w:val="00B70942"/>
    <w:rsid w:val="00B71CDD"/>
    <w:rsid w:val="00B72141"/>
    <w:rsid w:val="00B728B4"/>
    <w:rsid w:val="00B7304F"/>
    <w:rsid w:val="00B731AD"/>
    <w:rsid w:val="00B73219"/>
    <w:rsid w:val="00B74388"/>
    <w:rsid w:val="00B74561"/>
    <w:rsid w:val="00B75048"/>
    <w:rsid w:val="00B753AF"/>
    <w:rsid w:val="00B7542D"/>
    <w:rsid w:val="00B756AC"/>
    <w:rsid w:val="00B75861"/>
    <w:rsid w:val="00B76818"/>
    <w:rsid w:val="00B768E1"/>
    <w:rsid w:val="00B76D2E"/>
    <w:rsid w:val="00B77404"/>
    <w:rsid w:val="00B7778D"/>
    <w:rsid w:val="00B778F5"/>
    <w:rsid w:val="00B77FAC"/>
    <w:rsid w:val="00B8035C"/>
    <w:rsid w:val="00B80A3D"/>
    <w:rsid w:val="00B80E50"/>
    <w:rsid w:val="00B8114E"/>
    <w:rsid w:val="00B81357"/>
    <w:rsid w:val="00B815A8"/>
    <w:rsid w:val="00B81780"/>
    <w:rsid w:val="00B81889"/>
    <w:rsid w:val="00B81B63"/>
    <w:rsid w:val="00B81C95"/>
    <w:rsid w:val="00B81E60"/>
    <w:rsid w:val="00B8314D"/>
    <w:rsid w:val="00B831A9"/>
    <w:rsid w:val="00B83E40"/>
    <w:rsid w:val="00B83E73"/>
    <w:rsid w:val="00B847CB"/>
    <w:rsid w:val="00B849E2"/>
    <w:rsid w:val="00B84BD5"/>
    <w:rsid w:val="00B85AEE"/>
    <w:rsid w:val="00B86171"/>
    <w:rsid w:val="00B861C3"/>
    <w:rsid w:val="00B862A8"/>
    <w:rsid w:val="00B867A3"/>
    <w:rsid w:val="00B86C31"/>
    <w:rsid w:val="00B87437"/>
    <w:rsid w:val="00B879DC"/>
    <w:rsid w:val="00B9017B"/>
    <w:rsid w:val="00B904A0"/>
    <w:rsid w:val="00B907CF"/>
    <w:rsid w:val="00B90E43"/>
    <w:rsid w:val="00B91002"/>
    <w:rsid w:val="00B913C9"/>
    <w:rsid w:val="00B920BC"/>
    <w:rsid w:val="00B924CA"/>
    <w:rsid w:val="00B9258E"/>
    <w:rsid w:val="00B92EEA"/>
    <w:rsid w:val="00B92FA3"/>
    <w:rsid w:val="00B9308B"/>
    <w:rsid w:val="00B930C0"/>
    <w:rsid w:val="00B9357B"/>
    <w:rsid w:val="00B94006"/>
    <w:rsid w:val="00B94182"/>
    <w:rsid w:val="00B94AB3"/>
    <w:rsid w:val="00B94C7B"/>
    <w:rsid w:val="00B952B4"/>
    <w:rsid w:val="00B95396"/>
    <w:rsid w:val="00B95EEC"/>
    <w:rsid w:val="00B962AA"/>
    <w:rsid w:val="00B963A6"/>
    <w:rsid w:val="00B96C87"/>
    <w:rsid w:val="00B97393"/>
    <w:rsid w:val="00B973B2"/>
    <w:rsid w:val="00B9745F"/>
    <w:rsid w:val="00B9766F"/>
    <w:rsid w:val="00B97AC4"/>
    <w:rsid w:val="00B97E95"/>
    <w:rsid w:val="00B97F91"/>
    <w:rsid w:val="00BA0077"/>
    <w:rsid w:val="00BA0196"/>
    <w:rsid w:val="00BA0A09"/>
    <w:rsid w:val="00BA0AEF"/>
    <w:rsid w:val="00BA0CE1"/>
    <w:rsid w:val="00BA0D6A"/>
    <w:rsid w:val="00BA0F01"/>
    <w:rsid w:val="00BA1C98"/>
    <w:rsid w:val="00BA1DB9"/>
    <w:rsid w:val="00BA304C"/>
    <w:rsid w:val="00BA30F4"/>
    <w:rsid w:val="00BA3330"/>
    <w:rsid w:val="00BA4D13"/>
    <w:rsid w:val="00BA4E94"/>
    <w:rsid w:val="00BA5470"/>
    <w:rsid w:val="00BA5829"/>
    <w:rsid w:val="00BA5EEB"/>
    <w:rsid w:val="00BA5FE4"/>
    <w:rsid w:val="00BA6293"/>
    <w:rsid w:val="00BA63E7"/>
    <w:rsid w:val="00BA7D6F"/>
    <w:rsid w:val="00BA7DC3"/>
    <w:rsid w:val="00BB08B9"/>
    <w:rsid w:val="00BB0CE6"/>
    <w:rsid w:val="00BB1011"/>
    <w:rsid w:val="00BB15DC"/>
    <w:rsid w:val="00BB2078"/>
    <w:rsid w:val="00BB20F9"/>
    <w:rsid w:val="00BB251F"/>
    <w:rsid w:val="00BB2629"/>
    <w:rsid w:val="00BB294B"/>
    <w:rsid w:val="00BB3842"/>
    <w:rsid w:val="00BB3B09"/>
    <w:rsid w:val="00BB3D92"/>
    <w:rsid w:val="00BB47B1"/>
    <w:rsid w:val="00BB4FBF"/>
    <w:rsid w:val="00BB546A"/>
    <w:rsid w:val="00BB5628"/>
    <w:rsid w:val="00BB57CF"/>
    <w:rsid w:val="00BB5850"/>
    <w:rsid w:val="00BB5A45"/>
    <w:rsid w:val="00BB5F7B"/>
    <w:rsid w:val="00BB60D3"/>
    <w:rsid w:val="00BB63AD"/>
    <w:rsid w:val="00BB65A2"/>
    <w:rsid w:val="00BB66A3"/>
    <w:rsid w:val="00BB6ACE"/>
    <w:rsid w:val="00BB6E89"/>
    <w:rsid w:val="00BB6FE5"/>
    <w:rsid w:val="00BB701E"/>
    <w:rsid w:val="00BB744F"/>
    <w:rsid w:val="00BB76B8"/>
    <w:rsid w:val="00BB7747"/>
    <w:rsid w:val="00BB79F3"/>
    <w:rsid w:val="00BB7AFE"/>
    <w:rsid w:val="00BB7E09"/>
    <w:rsid w:val="00BC0690"/>
    <w:rsid w:val="00BC06C7"/>
    <w:rsid w:val="00BC08E3"/>
    <w:rsid w:val="00BC092D"/>
    <w:rsid w:val="00BC09F3"/>
    <w:rsid w:val="00BC1259"/>
    <w:rsid w:val="00BC129E"/>
    <w:rsid w:val="00BC12FE"/>
    <w:rsid w:val="00BC1672"/>
    <w:rsid w:val="00BC1FA3"/>
    <w:rsid w:val="00BC2C4F"/>
    <w:rsid w:val="00BC2DA1"/>
    <w:rsid w:val="00BC371B"/>
    <w:rsid w:val="00BC3B56"/>
    <w:rsid w:val="00BC3D39"/>
    <w:rsid w:val="00BC3E10"/>
    <w:rsid w:val="00BC4014"/>
    <w:rsid w:val="00BC493C"/>
    <w:rsid w:val="00BC4E6D"/>
    <w:rsid w:val="00BC4E8D"/>
    <w:rsid w:val="00BC5260"/>
    <w:rsid w:val="00BC608A"/>
    <w:rsid w:val="00BC61FF"/>
    <w:rsid w:val="00BC68F2"/>
    <w:rsid w:val="00BC6943"/>
    <w:rsid w:val="00BC6A90"/>
    <w:rsid w:val="00BC6C96"/>
    <w:rsid w:val="00BC7524"/>
    <w:rsid w:val="00BC7B44"/>
    <w:rsid w:val="00BD07FD"/>
    <w:rsid w:val="00BD0AC7"/>
    <w:rsid w:val="00BD0BF9"/>
    <w:rsid w:val="00BD0D62"/>
    <w:rsid w:val="00BD0FEA"/>
    <w:rsid w:val="00BD1183"/>
    <w:rsid w:val="00BD13CF"/>
    <w:rsid w:val="00BD14B2"/>
    <w:rsid w:val="00BD1548"/>
    <w:rsid w:val="00BD2095"/>
    <w:rsid w:val="00BD20B9"/>
    <w:rsid w:val="00BD34FE"/>
    <w:rsid w:val="00BD3B0E"/>
    <w:rsid w:val="00BD3CBE"/>
    <w:rsid w:val="00BD3F65"/>
    <w:rsid w:val="00BD4547"/>
    <w:rsid w:val="00BD4C71"/>
    <w:rsid w:val="00BD4E4A"/>
    <w:rsid w:val="00BD54CE"/>
    <w:rsid w:val="00BD5895"/>
    <w:rsid w:val="00BD5A7D"/>
    <w:rsid w:val="00BD6083"/>
    <w:rsid w:val="00BD6313"/>
    <w:rsid w:val="00BD72A1"/>
    <w:rsid w:val="00BD774F"/>
    <w:rsid w:val="00BD79B9"/>
    <w:rsid w:val="00BD7EC9"/>
    <w:rsid w:val="00BE03FE"/>
    <w:rsid w:val="00BE05A6"/>
    <w:rsid w:val="00BE0A70"/>
    <w:rsid w:val="00BE0EA6"/>
    <w:rsid w:val="00BE1780"/>
    <w:rsid w:val="00BE1CCB"/>
    <w:rsid w:val="00BE1F0D"/>
    <w:rsid w:val="00BE1F1A"/>
    <w:rsid w:val="00BE1F8E"/>
    <w:rsid w:val="00BE207E"/>
    <w:rsid w:val="00BE251E"/>
    <w:rsid w:val="00BE281A"/>
    <w:rsid w:val="00BE2CCA"/>
    <w:rsid w:val="00BE2D96"/>
    <w:rsid w:val="00BE3006"/>
    <w:rsid w:val="00BE379E"/>
    <w:rsid w:val="00BE3992"/>
    <w:rsid w:val="00BE3C70"/>
    <w:rsid w:val="00BE3EA5"/>
    <w:rsid w:val="00BE4320"/>
    <w:rsid w:val="00BE4E4E"/>
    <w:rsid w:val="00BE4FD2"/>
    <w:rsid w:val="00BE541B"/>
    <w:rsid w:val="00BE5700"/>
    <w:rsid w:val="00BE575B"/>
    <w:rsid w:val="00BE5DA6"/>
    <w:rsid w:val="00BE5E64"/>
    <w:rsid w:val="00BE5EB8"/>
    <w:rsid w:val="00BE5F96"/>
    <w:rsid w:val="00BE6079"/>
    <w:rsid w:val="00BE64D1"/>
    <w:rsid w:val="00BE689A"/>
    <w:rsid w:val="00BE6D8D"/>
    <w:rsid w:val="00BE6F89"/>
    <w:rsid w:val="00BE723C"/>
    <w:rsid w:val="00BE741E"/>
    <w:rsid w:val="00BE77E9"/>
    <w:rsid w:val="00BE7943"/>
    <w:rsid w:val="00BE7B14"/>
    <w:rsid w:val="00BF0778"/>
    <w:rsid w:val="00BF0EB5"/>
    <w:rsid w:val="00BF0F4B"/>
    <w:rsid w:val="00BF1178"/>
    <w:rsid w:val="00BF1596"/>
    <w:rsid w:val="00BF16C6"/>
    <w:rsid w:val="00BF1A15"/>
    <w:rsid w:val="00BF1D71"/>
    <w:rsid w:val="00BF1F15"/>
    <w:rsid w:val="00BF1F57"/>
    <w:rsid w:val="00BF1FBD"/>
    <w:rsid w:val="00BF3438"/>
    <w:rsid w:val="00BF36E1"/>
    <w:rsid w:val="00BF39F0"/>
    <w:rsid w:val="00BF3A54"/>
    <w:rsid w:val="00BF3E1E"/>
    <w:rsid w:val="00BF4181"/>
    <w:rsid w:val="00BF4488"/>
    <w:rsid w:val="00BF4875"/>
    <w:rsid w:val="00BF4E10"/>
    <w:rsid w:val="00BF50D8"/>
    <w:rsid w:val="00BF539F"/>
    <w:rsid w:val="00BF55FF"/>
    <w:rsid w:val="00BF57F6"/>
    <w:rsid w:val="00BF5CD2"/>
    <w:rsid w:val="00BF627B"/>
    <w:rsid w:val="00BF631C"/>
    <w:rsid w:val="00BF64FE"/>
    <w:rsid w:val="00BF692B"/>
    <w:rsid w:val="00BF6AA0"/>
    <w:rsid w:val="00BF6B1B"/>
    <w:rsid w:val="00BF6F86"/>
    <w:rsid w:val="00BF7412"/>
    <w:rsid w:val="00BF790F"/>
    <w:rsid w:val="00C005E0"/>
    <w:rsid w:val="00C017BA"/>
    <w:rsid w:val="00C025C6"/>
    <w:rsid w:val="00C02FB2"/>
    <w:rsid w:val="00C03A70"/>
    <w:rsid w:val="00C03E1B"/>
    <w:rsid w:val="00C03F80"/>
    <w:rsid w:val="00C0419A"/>
    <w:rsid w:val="00C0442D"/>
    <w:rsid w:val="00C04511"/>
    <w:rsid w:val="00C047D1"/>
    <w:rsid w:val="00C0530A"/>
    <w:rsid w:val="00C056FC"/>
    <w:rsid w:val="00C05795"/>
    <w:rsid w:val="00C05819"/>
    <w:rsid w:val="00C0602C"/>
    <w:rsid w:val="00C06343"/>
    <w:rsid w:val="00C06B45"/>
    <w:rsid w:val="00C06D04"/>
    <w:rsid w:val="00C06E16"/>
    <w:rsid w:val="00C07D22"/>
    <w:rsid w:val="00C10BD5"/>
    <w:rsid w:val="00C10F18"/>
    <w:rsid w:val="00C11913"/>
    <w:rsid w:val="00C119DE"/>
    <w:rsid w:val="00C11A56"/>
    <w:rsid w:val="00C11DF5"/>
    <w:rsid w:val="00C1206D"/>
    <w:rsid w:val="00C125BD"/>
    <w:rsid w:val="00C12E02"/>
    <w:rsid w:val="00C13327"/>
    <w:rsid w:val="00C133F0"/>
    <w:rsid w:val="00C139B9"/>
    <w:rsid w:val="00C13A47"/>
    <w:rsid w:val="00C13D29"/>
    <w:rsid w:val="00C1472A"/>
    <w:rsid w:val="00C1658A"/>
    <w:rsid w:val="00C167CC"/>
    <w:rsid w:val="00C17056"/>
    <w:rsid w:val="00C17064"/>
    <w:rsid w:val="00C1787B"/>
    <w:rsid w:val="00C17ACD"/>
    <w:rsid w:val="00C17C83"/>
    <w:rsid w:val="00C20207"/>
    <w:rsid w:val="00C209E1"/>
    <w:rsid w:val="00C20B3E"/>
    <w:rsid w:val="00C21845"/>
    <w:rsid w:val="00C218E7"/>
    <w:rsid w:val="00C22037"/>
    <w:rsid w:val="00C22252"/>
    <w:rsid w:val="00C22D81"/>
    <w:rsid w:val="00C22F0D"/>
    <w:rsid w:val="00C22F4F"/>
    <w:rsid w:val="00C239A6"/>
    <w:rsid w:val="00C23E72"/>
    <w:rsid w:val="00C24229"/>
    <w:rsid w:val="00C2432C"/>
    <w:rsid w:val="00C24443"/>
    <w:rsid w:val="00C24516"/>
    <w:rsid w:val="00C2459F"/>
    <w:rsid w:val="00C247B8"/>
    <w:rsid w:val="00C24B05"/>
    <w:rsid w:val="00C24F69"/>
    <w:rsid w:val="00C25437"/>
    <w:rsid w:val="00C257A4"/>
    <w:rsid w:val="00C258FF"/>
    <w:rsid w:val="00C25AA7"/>
    <w:rsid w:val="00C25E79"/>
    <w:rsid w:val="00C26248"/>
    <w:rsid w:val="00C266DC"/>
    <w:rsid w:val="00C26E7E"/>
    <w:rsid w:val="00C279AF"/>
    <w:rsid w:val="00C3099B"/>
    <w:rsid w:val="00C30C68"/>
    <w:rsid w:val="00C30CA5"/>
    <w:rsid w:val="00C30E80"/>
    <w:rsid w:val="00C30ED0"/>
    <w:rsid w:val="00C30EE0"/>
    <w:rsid w:val="00C31B55"/>
    <w:rsid w:val="00C31E48"/>
    <w:rsid w:val="00C32477"/>
    <w:rsid w:val="00C324A5"/>
    <w:rsid w:val="00C325D0"/>
    <w:rsid w:val="00C32E16"/>
    <w:rsid w:val="00C32FFF"/>
    <w:rsid w:val="00C331B6"/>
    <w:rsid w:val="00C33250"/>
    <w:rsid w:val="00C333CD"/>
    <w:rsid w:val="00C334E6"/>
    <w:rsid w:val="00C33868"/>
    <w:rsid w:val="00C33930"/>
    <w:rsid w:val="00C346BA"/>
    <w:rsid w:val="00C34A02"/>
    <w:rsid w:val="00C34EF4"/>
    <w:rsid w:val="00C3511F"/>
    <w:rsid w:val="00C35390"/>
    <w:rsid w:val="00C359EB"/>
    <w:rsid w:val="00C35CC2"/>
    <w:rsid w:val="00C35E78"/>
    <w:rsid w:val="00C35FA4"/>
    <w:rsid w:val="00C360AB"/>
    <w:rsid w:val="00C363B1"/>
    <w:rsid w:val="00C36933"/>
    <w:rsid w:val="00C37680"/>
    <w:rsid w:val="00C3792A"/>
    <w:rsid w:val="00C37DB1"/>
    <w:rsid w:val="00C37DBA"/>
    <w:rsid w:val="00C400B9"/>
    <w:rsid w:val="00C403B2"/>
    <w:rsid w:val="00C40404"/>
    <w:rsid w:val="00C41DFC"/>
    <w:rsid w:val="00C42ED7"/>
    <w:rsid w:val="00C436ED"/>
    <w:rsid w:val="00C437B2"/>
    <w:rsid w:val="00C43805"/>
    <w:rsid w:val="00C43AD2"/>
    <w:rsid w:val="00C441C7"/>
    <w:rsid w:val="00C44594"/>
    <w:rsid w:val="00C44A6B"/>
    <w:rsid w:val="00C4514B"/>
    <w:rsid w:val="00C45926"/>
    <w:rsid w:val="00C45A54"/>
    <w:rsid w:val="00C45A5B"/>
    <w:rsid w:val="00C4636E"/>
    <w:rsid w:val="00C466DB"/>
    <w:rsid w:val="00C469EA"/>
    <w:rsid w:val="00C47695"/>
    <w:rsid w:val="00C47EF3"/>
    <w:rsid w:val="00C50495"/>
    <w:rsid w:val="00C50500"/>
    <w:rsid w:val="00C50903"/>
    <w:rsid w:val="00C50EEA"/>
    <w:rsid w:val="00C51386"/>
    <w:rsid w:val="00C5179E"/>
    <w:rsid w:val="00C51969"/>
    <w:rsid w:val="00C51C7B"/>
    <w:rsid w:val="00C51D2C"/>
    <w:rsid w:val="00C51E13"/>
    <w:rsid w:val="00C51EF9"/>
    <w:rsid w:val="00C530A2"/>
    <w:rsid w:val="00C531F2"/>
    <w:rsid w:val="00C53AEF"/>
    <w:rsid w:val="00C53BC4"/>
    <w:rsid w:val="00C53D78"/>
    <w:rsid w:val="00C53E48"/>
    <w:rsid w:val="00C5419E"/>
    <w:rsid w:val="00C54280"/>
    <w:rsid w:val="00C551A8"/>
    <w:rsid w:val="00C558A9"/>
    <w:rsid w:val="00C55AE8"/>
    <w:rsid w:val="00C55E4A"/>
    <w:rsid w:val="00C55F32"/>
    <w:rsid w:val="00C56984"/>
    <w:rsid w:val="00C56AD4"/>
    <w:rsid w:val="00C57251"/>
    <w:rsid w:val="00C57446"/>
    <w:rsid w:val="00C576E3"/>
    <w:rsid w:val="00C578A7"/>
    <w:rsid w:val="00C57B76"/>
    <w:rsid w:val="00C57C9A"/>
    <w:rsid w:val="00C57D42"/>
    <w:rsid w:val="00C600C4"/>
    <w:rsid w:val="00C60E57"/>
    <w:rsid w:val="00C61578"/>
    <w:rsid w:val="00C616AE"/>
    <w:rsid w:val="00C61714"/>
    <w:rsid w:val="00C62112"/>
    <w:rsid w:val="00C623AA"/>
    <w:rsid w:val="00C623D7"/>
    <w:rsid w:val="00C62941"/>
    <w:rsid w:val="00C62AA3"/>
    <w:rsid w:val="00C62D2A"/>
    <w:rsid w:val="00C6321F"/>
    <w:rsid w:val="00C63D60"/>
    <w:rsid w:val="00C63FF0"/>
    <w:rsid w:val="00C6408C"/>
    <w:rsid w:val="00C64246"/>
    <w:rsid w:val="00C64E9A"/>
    <w:rsid w:val="00C6561F"/>
    <w:rsid w:val="00C6565C"/>
    <w:rsid w:val="00C6618F"/>
    <w:rsid w:val="00C661B1"/>
    <w:rsid w:val="00C66AB0"/>
    <w:rsid w:val="00C66B1C"/>
    <w:rsid w:val="00C67619"/>
    <w:rsid w:val="00C679B2"/>
    <w:rsid w:val="00C679C3"/>
    <w:rsid w:val="00C704A8"/>
    <w:rsid w:val="00C7087E"/>
    <w:rsid w:val="00C709CB"/>
    <w:rsid w:val="00C7107B"/>
    <w:rsid w:val="00C7136B"/>
    <w:rsid w:val="00C71852"/>
    <w:rsid w:val="00C71E8E"/>
    <w:rsid w:val="00C72488"/>
    <w:rsid w:val="00C72503"/>
    <w:rsid w:val="00C72A04"/>
    <w:rsid w:val="00C72B1A"/>
    <w:rsid w:val="00C72E05"/>
    <w:rsid w:val="00C72E97"/>
    <w:rsid w:val="00C73099"/>
    <w:rsid w:val="00C735D7"/>
    <w:rsid w:val="00C73A2C"/>
    <w:rsid w:val="00C73D15"/>
    <w:rsid w:val="00C73D92"/>
    <w:rsid w:val="00C73E9C"/>
    <w:rsid w:val="00C73ECE"/>
    <w:rsid w:val="00C74260"/>
    <w:rsid w:val="00C749ED"/>
    <w:rsid w:val="00C74B24"/>
    <w:rsid w:val="00C75004"/>
    <w:rsid w:val="00C75609"/>
    <w:rsid w:val="00C75610"/>
    <w:rsid w:val="00C75E2B"/>
    <w:rsid w:val="00C76102"/>
    <w:rsid w:val="00C7649A"/>
    <w:rsid w:val="00C76803"/>
    <w:rsid w:val="00C76ACB"/>
    <w:rsid w:val="00C77505"/>
    <w:rsid w:val="00C7757F"/>
    <w:rsid w:val="00C77CFF"/>
    <w:rsid w:val="00C80554"/>
    <w:rsid w:val="00C809CC"/>
    <w:rsid w:val="00C809FC"/>
    <w:rsid w:val="00C810AA"/>
    <w:rsid w:val="00C8179A"/>
    <w:rsid w:val="00C818D2"/>
    <w:rsid w:val="00C821AA"/>
    <w:rsid w:val="00C821B8"/>
    <w:rsid w:val="00C82518"/>
    <w:rsid w:val="00C8253E"/>
    <w:rsid w:val="00C826B6"/>
    <w:rsid w:val="00C832B6"/>
    <w:rsid w:val="00C833AA"/>
    <w:rsid w:val="00C83437"/>
    <w:rsid w:val="00C837B7"/>
    <w:rsid w:val="00C8384B"/>
    <w:rsid w:val="00C83B50"/>
    <w:rsid w:val="00C8415C"/>
    <w:rsid w:val="00C84288"/>
    <w:rsid w:val="00C8479A"/>
    <w:rsid w:val="00C84848"/>
    <w:rsid w:val="00C84E75"/>
    <w:rsid w:val="00C8534B"/>
    <w:rsid w:val="00C8561C"/>
    <w:rsid w:val="00C85FD9"/>
    <w:rsid w:val="00C86A02"/>
    <w:rsid w:val="00C86BAB"/>
    <w:rsid w:val="00C86EAB"/>
    <w:rsid w:val="00C87130"/>
    <w:rsid w:val="00C8794F"/>
    <w:rsid w:val="00C904DF"/>
    <w:rsid w:val="00C90CCB"/>
    <w:rsid w:val="00C90F4E"/>
    <w:rsid w:val="00C910D4"/>
    <w:rsid w:val="00C9128A"/>
    <w:rsid w:val="00C91410"/>
    <w:rsid w:val="00C91C86"/>
    <w:rsid w:val="00C91D76"/>
    <w:rsid w:val="00C9215B"/>
    <w:rsid w:val="00C92C63"/>
    <w:rsid w:val="00C939B9"/>
    <w:rsid w:val="00C94011"/>
    <w:rsid w:val="00C94162"/>
    <w:rsid w:val="00C942B4"/>
    <w:rsid w:val="00C951E9"/>
    <w:rsid w:val="00C95325"/>
    <w:rsid w:val="00C95EDE"/>
    <w:rsid w:val="00C96169"/>
    <w:rsid w:val="00C965E9"/>
    <w:rsid w:val="00C96C9C"/>
    <w:rsid w:val="00C9715A"/>
    <w:rsid w:val="00C971C5"/>
    <w:rsid w:val="00C9737C"/>
    <w:rsid w:val="00C973D6"/>
    <w:rsid w:val="00C9771C"/>
    <w:rsid w:val="00C97BA9"/>
    <w:rsid w:val="00CA0187"/>
    <w:rsid w:val="00CA080C"/>
    <w:rsid w:val="00CA0FC9"/>
    <w:rsid w:val="00CA11BC"/>
    <w:rsid w:val="00CA1E4F"/>
    <w:rsid w:val="00CA1EA3"/>
    <w:rsid w:val="00CA20F8"/>
    <w:rsid w:val="00CA272B"/>
    <w:rsid w:val="00CA2D30"/>
    <w:rsid w:val="00CA2EB1"/>
    <w:rsid w:val="00CA2EFD"/>
    <w:rsid w:val="00CA2F4C"/>
    <w:rsid w:val="00CA2F66"/>
    <w:rsid w:val="00CA3082"/>
    <w:rsid w:val="00CA351F"/>
    <w:rsid w:val="00CA3BE3"/>
    <w:rsid w:val="00CA400C"/>
    <w:rsid w:val="00CA4101"/>
    <w:rsid w:val="00CA45FF"/>
    <w:rsid w:val="00CA4638"/>
    <w:rsid w:val="00CA4A27"/>
    <w:rsid w:val="00CA5115"/>
    <w:rsid w:val="00CA5C57"/>
    <w:rsid w:val="00CA60A6"/>
    <w:rsid w:val="00CA6221"/>
    <w:rsid w:val="00CA6BB0"/>
    <w:rsid w:val="00CA6F31"/>
    <w:rsid w:val="00CA7261"/>
    <w:rsid w:val="00CA7BDE"/>
    <w:rsid w:val="00CA7D6B"/>
    <w:rsid w:val="00CA7E56"/>
    <w:rsid w:val="00CB06BE"/>
    <w:rsid w:val="00CB09BB"/>
    <w:rsid w:val="00CB0A93"/>
    <w:rsid w:val="00CB0E42"/>
    <w:rsid w:val="00CB0E74"/>
    <w:rsid w:val="00CB109D"/>
    <w:rsid w:val="00CB1A69"/>
    <w:rsid w:val="00CB1FE4"/>
    <w:rsid w:val="00CB2069"/>
    <w:rsid w:val="00CB23C1"/>
    <w:rsid w:val="00CB2878"/>
    <w:rsid w:val="00CB2BAE"/>
    <w:rsid w:val="00CB2C72"/>
    <w:rsid w:val="00CB2CB8"/>
    <w:rsid w:val="00CB2E39"/>
    <w:rsid w:val="00CB3376"/>
    <w:rsid w:val="00CB34C1"/>
    <w:rsid w:val="00CB3556"/>
    <w:rsid w:val="00CB36ED"/>
    <w:rsid w:val="00CB3989"/>
    <w:rsid w:val="00CB4347"/>
    <w:rsid w:val="00CB4430"/>
    <w:rsid w:val="00CB4775"/>
    <w:rsid w:val="00CB478B"/>
    <w:rsid w:val="00CB482A"/>
    <w:rsid w:val="00CB5B68"/>
    <w:rsid w:val="00CB60EF"/>
    <w:rsid w:val="00CB615F"/>
    <w:rsid w:val="00CB63B6"/>
    <w:rsid w:val="00CB730A"/>
    <w:rsid w:val="00CB74EF"/>
    <w:rsid w:val="00CB780C"/>
    <w:rsid w:val="00CB7996"/>
    <w:rsid w:val="00CB7AF4"/>
    <w:rsid w:val="00CB7E6C"/>
    <w:rsid w:val="00CB7EFD"/>
    <w:rsid w:val="00CC0305"/>
    <w:rsid w:val="00CC0C24"/>
    <w:rsid w:val="00CC0E19"/>
    <w:rsid w:val="00CC1094"/>
    <w:rsid w:val="00CC1524"/>
    <w:rsid w:val="00CC17BF"/>
    <w:rsid w:val="00CC19F1"/>
    <w:rsid w:val="00CC1B2A"/>
    <w:rsid w:val="00CC215C"/>
    <w:rsid w:val="00CC299D"/>
    <w:rsid w:val="00CC2AF5"/>
    <w:rsid w:val="00CC37F9"/>
    <w:rsid w:val="00CC39E1"/>
    <w:rsid w:val="00CC4028"/>
    <w:rsid w:val="00CC40AA"/>
    <w:rsid w:val="00CC46CE"/>
    <w:rsid w:val="00CC4A49"/>
    <w:rsid w:val="00CC4AEA"/>
    <w:rsid w:val="00CC4C91"/>
    <w:rsid w:val="00CC4D7D"/>
    <w:rsid w:val="00CC525C"/>
    <w:rsid w:val="00CC53E2"/>
    <w:rsid w:val="00CC5BB0"/>
    <w:rsid w:val="00CC5E13"/>
    <w:rsid w:val="00CC6520"/>
    <w:rsid w:val="00CC6989"/>
    <w:rsid w:val="00CC6F73"/>
    <w:rsid w:val="00CC7801"/>
    <w:rsid w:val="00CC7CBC"/>
    <w:rsid w:val="00CC7E79"/>
    <w:rsid w:val="00CD01D3"/>
    <w:rsid w:val="00CD0331"/>
    <w:rsid w:val="00CD03A1"/>
    <w:rsid w:val="00CD078D"/>
    <w:rsid w:val="00CD09CC"/>
    <w:rsid w:val="00CD12E8"/>
    <w:rsid w:val="00CD1724"/>
    <w:rsid w:val="00CD1983"/>
    <w:rsid w:val="00CD1AC0"/>
    <w:rsid w:val="00CD1CDC"/>
    <w:rsid w:val="00CD1DE5"/>
    <w:rsid w:val="00CD20DE"/>
    <w:rsid w:val="00CD2A7F"/>
    <w:rsid w:val="00CD2C79"/>
    <w:rsid w:val="00CD2CD3"/>
    <w:rsid w:val="00CD2EEA"/>
    <w:rsid w:val="00CD3691"/>
    <w:rsid w:val="00CD3DE5"/>
    <w:rsid w:val="00CD47FB"/>
    <w:rsid w:val="00CD4C60"/>
    <w:rsid w:val="00CD4D77"/>
    <w:rsid w:val="00CD4DF4"/>
    <w:rsid w:val="00CD4FF6"/>
    <w:rsid w:val="00CD514B"/>
    <w:rsid w:val="00CD6336"/>
    <w:rsid w:val="00CD6F8D"/>
    <w:rsid w:val="00CD760C"/>
    <w:rsid w:val="00CD78A7"/>
    <w:rsid w:val="00CD7B4B"/>
    <w:rsid w:val="00CD7FE6"/>
    <w:rsid w:val="00CE0414"/>
    <w:rsid w:val="00CE065B"/>
    <w:rsid w:val="00CE0EEE"/>
    <w:rsid w:val="00CE1F68"/>
    <w:rsid w:val="00CE271C"/>
    <w:rsid w:val="00CE2A37"/>
    <w:rsid w:val="00CE2B8C"/>
    <w:rsid w:val="00CE2B9A"/>
    <w:rsid w:val="00CE36D8"/>
    <w:rsid w:val="00CE40D5"/>
    <w:rsid w:val="00CE44C5"/>
    <w:rsid w:val="00CE4776"/>
    <w:rsid w:val="00CE494E"/>
    <w:rsid w:val="00CE4A06"/>
    <w:rsid w:val="00CE4CDC"/>
    <w:rsid w:val="00CE5236"/>
    <w:rsid w:val="00CE54BE"/>
    <w:rsid w:val="00CE5D7D"/>
    <w:rsid w:val="00CE5F8E"/>
    <w:rsid w:val="00CE61B5"/>
    <w:rsid w:val="00CE61C0"/>
    <w:rsid w:val="00CE6367"/>
    <w:rsid w:val="00CE749F"/>
    <w:rsid w:val="00CE74DA"/>
    <w:rsid w:val="00CE7816"/>
    <w:rsid w:val="00CE7AD5"/>
    <w:rsid w:val="00CE7BA6"/>
    <w:rsid w:val="00CE7BF8"/>
    <w:rsid w:val="00CE7BFC"/>
    <w:rsid w:val="00CE7DBD"/>
    <w:rsid w:val="00CE7FB3"/>
    <w:rsid w:val="00CF0B72"/>
    <w:rsid w:val="00CF0BA4"/>
    <w:rsid w:val="00CF15D2"/>
    <w:rsid w:val="00CF1AEC"/>
    <w:rsid w:val="00CF2025"/>
    <w:rsid w:val="00CF207E"/>
    <w:rsid w:val="00CF2251"/>
    <w:rsid w:val="00CF3129"/>
    <w:rsid w:val="00CF354D"/>
    <w:rsid w:val="00CF3E67"/>
    <w:rsid w:val="00CF3F43"/>
    <w:rsid w:val="00CF43EF"/>
    <w:rsid w:val="00CF4D13"/>
    <w:rsid w:val="00CF54FF"/>
    <w:rsid w:val="00CF57C9"/>
    <w:rsid w:val="00CF5812"/>
    <w:rsid w:val="00CF633C"/>
    <w:rsid w:val="00CF639F"/>
    <w:rsid w:val="00CF74FD"/>
    <w:rsid w:val="00D00461"/>
    <w:rsid w:val="00D00B83"/>
    <w:rsid w:val="00D01510"/>
    <w:rsid w:val="00D01B7D"/>
    <w:rsid w:val="00D01FEE"/>
    <w:rsid w:val="00D022FC"/>
    <w:rsid w:val="00D03265"/>
    <w:rsid w:val="00D03A98"/>
    <w:rsid w:val="00D0452D"/>
    <w:rsid w:val="00D04C17"/>
    <w:rsid w:val="00D04E1A"/>
    <w:rsid w:val="00D05231"/>
    <w:rsid w:val="00D0546B"/>
    <w:rsid w:val="00D05509"/>
    <w:rsid w:val="00D05524"/>
    <w:rsid w:val="00D059B0"/>
    <w:rsid w:val="00D0617B"/>
    <w:rsid w:val="00D062A0"/>
    <w:rsid w:val="00D071A9"/>
    <w:rsid w:val="00D071B5"/>
    <w:rsid w:val="00D07D76"/>
    <w:rsid w:val="00D105A3"/>
    <w:rsid w:val="00D1079C"/>
    <w:rsid w:val="00D107A1"/>
    <w:rsid w:val="00D1120A"/>
    <w:rsid w:val="00D11610"/>
    <w:rsid w:val="00D11F10"/>
    <w:rsid w:val="00D1218A"/>
    <w:rsid w:val="00D122E0"/>
    <w:rsid w:val="00D123DB"/>
    <w:rsid w:val="00D132AF"/>
    <w:rsid w:val="00D1337B"/>
    <w:rsid w:val="00D13EEA"/>
    <w:rsid w:val="00D13F11"/>
    <w:rsid w:val="00D13F6E"/>
    <w:rsid w:val="00D15480"/>
    <w:rsid w:val="00D15FE8"/>
    <w:rsid w:val="00D1603E"/>
    <w:rsid w:val="00D1683A"/>
    <w:rsid w:val="00D16A95"/>
    <w:rsid w:val="00D16B62"/>
    <w:rsid w:val="00D17DAC"/>
    <w:rsid w:val="00D17DD6"/>
    <w:rsid w:val="00D20003"/>
    <w:rsid w:val="00D20026"/>
    <w:rsid w:val="00D20239"/>
    <w:rsid w:val="00D203B9"/>
    <w:rsid w:val="00D209C1"/>
    <w:rsid w:val="00D2127C"/>
    <w:rsid w:val="00D217AA"/>
    <w:rsid w:val="00D21822"/>
    <w:rsid w:val="00D21881"/>
    <w:rsid w:val="00D22353"/>
    <w:rsid w:val="00D2377E"/>
    <w:rsid w:val="00D240E2"/>
    <w:rsid w:val="00D24186"/>
    <w:rsid w:val="00D24562"/>
    <w:rsid w:val="00D24CA5"/>
    <w:rsid w:val="00D24D4D"/>
    <w:rsid w:val="00D24ECB"/>
    <w:rsid w:val="00D264DB"/>
    <w:rsid w:val="00D26781"/>
    <w:rsid w:val="00D26C50"/>
    <w:rsid w:val="00D27564"/>
    <w:rsid w:val="00D27829"/>
    <w:rsid w:val="00D30641"/>
    <w:rsid w:val="00D306B2"/>
    <w:rsid w:val="00D3074D"/>
    <w:rsid w:val="00D30873"/>
    <w:rsid w:val="00D30B13"/>
    <w:rsid w:val="00D30C0F"/>
    <w:rsid w:val="00D30C69"/>
    <w:rsid w:val="00D310A4"/>
    <w:rsid w:val="00D312DF"/>
    <w:rsid w:val="00D313E0"/>
    <w:rsid w:val="00D32290"/>
    <w:rsid w:val="00D322DF"/>
    <w:rsid w:val="00D33092"/>
    <w:rsid w:val="00D3309D"/>
    <w:rsid w:val="00D3334D"/>
    <w:rsid w:val="00D33747"/>
    <w:rsid w:val="00D33CBD"/>
    <w:rsid w:val="00D347AD"/>
    <w:rsid w:val="00D347D9"/>
    <w:rsid w:val="00D34D12"/>
    <w:rsid w:val="00D34FAB"/>
    <w:rsid w:val="00D35547"/>
    <w:rsid w:val="00D35A16"/>
    <w:rsid w:val="00D35A75"/>
    <w:rsid w:val="00D375C4"/>
    <w:rsid w:val="00D37846"/>
    <w:rsid w:val="00D378AC"/>
    <w:rsid w:val="00D37D98"/>
    <w:rsid w:val="00D40191"/>
    <w:rsid w:val="00D40A41"/>
    <w:rsid w:val="00D40C8F"/>
    <w:rsid w:val="00D40F47"/>
    <w:rsid w:val="00D41424"/>
    <w:rsid w:val="00D4170F"/>
    <w:rsid w:val="00D41842"/>
    <w:rsid w:val="00D419D9"/>
    <w:rsid w:val="00D41F9A"/>
    <w:rsid w:val="00D421A2"/>
    <w:rsid w:val="00D42230"/>
    <w:rsid w:val="00D432B5"/>
    <w:rsid w:val="00D435DA"/>
    <w:rsid w:val="00D4545C"/>
    <w:rsid w:val="00D46CB3"/>
    <w:rsid w:val="00D46CE9"/>
    <w:rsid w:val="00D46E43"/>
    <w:rsid w:val="00D47DE4"/>
    <w:rsid w:val="00D50083"/>
    <w:rsid w:val="00D500A2"/>
    <w:rsid w:val="00D5051E"/>
    <w:rsid w:val="00D5071F"/>
    <w:rsid w:val="00D50785"/>
    <w:rsid w:val="00D50B5E"/>
    <w:rsid w:val="00D51060"/>
    <w:rsid w:val="00D51296"/>
    <w:rsid w:val="00D515C9"/>
    <w:rsid w:val="00D51789"/>
    <w:rsid w:val="00D52869"/>
    <w:rsid w:val="00D52A0C"/>
    <w:rsid w:val="00D52B30"/>
    <w:rsid w:val="00D533D7"/>
    <w:rsid w:val="00D53520"/>
    <w:rsid w:val="00D53C9D"/>
    <w:rsid w:val="00D53D22"/>
    <w:rsid w:val="00D54144"/>
    <w:rsid w:val="00D546AB"/>
    <w:rsid w:val="00D54A9A"/>
    <w:rsid w:val="00D54B6C"/>
    <w:rsid w:val="00D54C26"/>
    <w:rsid w:val="00D54E87"/>
    <w:rsid w:val="00D5592D"/>
    <w:rsid w:val="00D55BA2"/>
    <w:rsid w:val="00D5638F"/>
    <w:rsid w:val="00D5650E"/>
    <w:rsid w:val="00D56A39"/>
    <w:rsid w:val="00D56DCF"/>
    <w:rsid w:val="00D56FE1"/>
    <w:rsid w:val="00D5734D"/>
    <w:rsid w:val="00D57752"/>
    <w:rsid w:val="00D57D1C"/>
    <w:rsid w:val="00D60388"/>
    <w:rsid w:val="00D6067F"/>
    <w:rsid w:val="00D608B2"/>
    <w:rsid w:val="00D60CDA"/>
    <w:rsid w:val="00D60D1A"/>
    <w:rsid w:val="00D6144F"/>
    <w:rsid w:val="00D616EB"/>
    <w:rsid w:val="00D61A4F"/>
    <w:rsid w:val="00D61C25"/>
    <w:rsid w:val="00D61E97"/>
    <w:rsid w:val="00D61F48"/>
    <w:rsid w:val="00D62110"/>
    <w:rsid w:val="00D6212C"/>
    <w:rsid w:val="00D6283D"/>
    <w:rsid w:val="00D63046"/>
    <w:rsid w:val="00D63780"/>
    <w:rsid w:val="00D63DA8"/>
    <w:rsid w:val="00D646E3"/>
    <w:rsid w:val="00D65366"/>
    <w:rsid w:val="00D658F4"/>
    <w:rsid w:val="00D65C9D"/>
    <w:rsid w:val="00D65CC6"/>
    <w:rsid w:val="00D65CD6"/>
    <w:rsid w:val="00D65DF1"/>
    <w:rsid w:val="00D66200"/>
    <w:rsid w:val="00D662D3"/>
    <w:rsid w:val="00D6672D"/>
    <w:rsid w:val="00D668C5"/>
    <w:rsid w:val="00D67197"/>
    <w:rsid w:val="00D674B8"/>
    <w:rsid w:val="00D704BC"/>
    <w:rsid w:val="00D7069B"/>
    <w:rsid w:val="00D706C2"/>
    <w:rsid w:val="00D70C3D"/>
    <w:rsid w:val="00D70CA3"/>
    <w:rsid w:val="00D72271"/>
    <w:rsid w:val="00D72486"/>
    <w:rsid w:val="00D724C1"/>
    <w:rsid w:val="00D725A3"/>
    <w:rsid w:val="00D7286B"/>
    <w:rsid w:val="00D734BF"/>
    <w:rsid w:val="00D73A1D"/>
    <w:rsid w:val="00D73BE0"/>
    <w:rsid w:val="00D73C85"/>
    <w:rsid w:val="00D73FCC"/>
    <w:rsid w:val="00D748D0"/>
    <w:rsid w:val="00D75026"/>
    <w:rsid w:val="00D75121"/>
    <w:rsid w:val="00D754E8"/>
    <w:rsid w:val="00D75588"/>
    <w:rsid w:val="00D7619E"/>
    <w:rsid w:val="00D769BC"/>
    <w:rsid w:val="00D76C4E"/>
    <w:rsid w:val="00D76EB0"/>
    <w:rsid w:val="00D76F9D"/>
    <w:rsid w:val="00D771B4"/>
    <w:rsid w:val="00D776B5"/>
    <w:rsid w:val="00D77ABD"/>
    <w:rsid w:val="00D77EBF"/>
    <w:rsid w:val="00D80151"/>
    <w:rsid w:val="00D8064B"/>
    <w:rsid w:val="00D80A55"/>
    <w:rsid w:val="00D80D8E"/>
    <w:rsid w:val="00D80D8F"/>
    <w:rsid w:val="00D80F44"/>
    <w:rsid w:val="00D81DA5"/>
    <w:rsid w:val="00D81ECC"/>
    <w:rsid w:val="00D8209C"/>
    <w:rsid w:val="00D82890"/>
    <w:rsid w:val="00D83184"/>
    <w:rsid w:val="00D8330D"/>
    <w:rsid w:val="00D839E8"/>
    <w:rsid w:val="00D83BBC"/>
    <w:rsid w:val="00D83C26"/>
    <w:rsid w:val="00D83E2F"/>
    <w:rsid w:val="00D84140"/>
    <w:rsid w:val="00D852B0"/>
    <w:rsid w:val="00D852CA"/>
    <w:rsid w:val="00D85D9D"/>
    <w:rsid w:val="00D85FE7"/>
    <w:rsid w:val="00D86081"/>
    <w:rsid w:val="00D86295"/>
    <w:rsid w:val="00D8645F"/>
    <w:rsid w:val="00D86723"/>
    <w:rsid w:val="00D86CA8"/>
    <w:rsid w:val="00D86CBF"/>
    <w:rsid w:val="00D86DEC"/>
    <w:rsid w:val="00D86E6F"/>
    <w:rsid w:val="00D8711C"/>
    <w:rsid w:val="00D876D6"/>
    <w:rsid w:val="00D8799E"/>
    <w:rsid w:val="00D87CED"/>
    <w:rsid w:val="00D87D5B"/>
    <w:rsid w:val="00D87D62"/>
    <w:rsid w:val="00D90C56"/>
    <w:rsid w:val="00D90E9C"/>
    <w:rsid w:val="00D917FA"/>
    <w:rsid w:val="00D91D86"/>
    <w:rsid w:val="00D921C6"/>
    <w:rsid w:val="00D922D7"/>
    <w:rsid w:val="00D92E39"/>
    <w:rsid w:val="00D934E7"/>
    <w:rsid w:val="00D936AE"/>
    <w:rsid w:val="00D9457F"/>
    <w:rsid w:val="00D9554E"/>
    <w:rsid w:val="00D95764"/>
    <w:rsid w:val="00D95C63"/>
    <w:rsid w:val="00D95C9B"/>
    <w:rsid w:val="00D95DA0"/>
    <w:rsid w:val="00D95F9F"/>
    <w:rsid w:val="00D963BA"/>
    <w:rsid w:val="00D964D4"/>
    <w:rsid w:val="00D9660C"/>
    <w:rsid w:val="00D969A2"/>
    <w:rsid w:val="00D96C46"/>
    <w:rsid w:val="00D96D8D"/>
    <w:rsid w:val="00D974A2"/>
    <w:rsid w:val="00D974E4"/>
    <w:rsid w:val="00D97587"/>
    <w:rsid w:val="00D975DF"/>
    <w:rsid w:val="00D97E53"/>
    <w:rsid w:val="00DA00DD"/>
    <w:rsid w:val="00DA031E"/>
    <w:rsid w:val="00DA0379"/>
    <w:rsid w:val="00DA0477"/>
    <w:rsid w:val="00DA0A6A"/>
    <w:rsid w:val="00DA10E3"/>
    <w:rsid w:val="00DA11BD"/>
    <w:rsid w:val="00DA1B49"/>
    <w:rsid w:val="00DA1F12"/>
    <w:rsid w:val="00DA295A"/>
    <w:rsid w:val="00DA3057"/>
    <w:rsid w:val="00DA3B6D"/>
    <w:rsid w:val="00DA42F1"/>
    <w:rsid w:val="00DA4773"/>
    <w:rsid w:val="00DA5187"/>
    <w:rsid w:val="00DA52DA"/>
    <w:rsid w:val="00DA561A"/>
    <w:rsid w:val="00DA5719"/>
    <w:rsid w:val="00DA5834"/>
    <w:rsid w:val="00DA5CAD"/>
    <w:rsid w:val="00DA5EE8"/>
    <w:rsid w:val="00DA6148"/>
    <w:rsid w:val="00DA692E"/>
    <w:rsid w:val="00DA736B"/>
    <w:rsid w:val="00DA7405"/>
    <w:rsid w:val="00DA773C"/>
    <w:rsid w:val="00DA78C2"/>
    <w:rsid w:val="00DA797E"/>
    <w:rsid w:val="00DA7CC3"/>
    <w:rsid w:val="00DB1271"/>
    <w:rsid w:val="00DB14E0"/>
    <w:rsid w:val="00DB17AA"/>
    <w:rsid w:val="00DB19B0"/>
    <w:rsid w:val="00DB28A5"/>
    <w:rsid w:val="00DB290C"/>
    <w:rsid w:val="00DB2BDE"/>
    <w:rsid w:val="00DB2DBB"/>
    <w:rsid w:val="00DB2EB2"/>
    <w:rsid w:val="00DB5A44"/>
    <w:rsid w:val="00DB5F31"/>
    <w:rsid w:val="00DB64CA"/>
    <w:rsid w:val="00DB66A7"/>
    <w:rsid w:val="00DB6BD3"/>
    <w:rsid w:val="00DB6C04"/>
    <w:rsid w:val="00DB6DC8"/>
    <w:rsid w:val="00DB788B"/>
    <w:rsid w:val="00DB7A2E"/>
    <w:rsid w:val="00DB7ADF"/>
    <w:rsid w:val="00DB7C25"/>
    <w:rsid w:val="00DC0579"/>
    <w:rsid w:val="00DC08DB"/>
    <w:rsid w:val="00DC0A6D"/>
    <w:rsid w:val="00DC0B50"/>
    <w:rsid w:val="00DC109A"/>
    <w:rsid w:val="00DC12E4"/>
    <w:rsid w:val="00DC1A0D"/>
    <w:rsid w:val="00DC1ABF"/>
    <w:rsid w:val="00DC2084"/>
    <w:rsid w:val="00DC32ED"/>
    <w:rsid w:val="00DC37D4"/>
    <w:rsid w:val="00DC3BB8"/>
    <w:rsid w:val="00DC3C3F"/>
    <w:rsid w:val="00DC40BA"/>
    <w:rsid w:val="00DC43E5"/>
    <w:rsid w:val="00DC45E4"/>
    <w:rsid w:val="00DC5645"/>
    <w:rsid w:val="00DC5B0C"/>
    <w:rsid w:val="00DC5B50"/>
    <w:rsid w:val="00DC6021"/>
    <w:rsid w:val="00DC683F"/>
    <w:rsid w:val="00DC710C"/>
    <w:rsid w:val="00DC75CB"/>
    <w:rsid w:val="00DC7D33"/>
    <w:rsid w:val="00DD061F"/>
    <w:rsid w:val="00DD0950"/>
    <w:rsid w:val="00DD0CEC"/>
    <w:rsid w:val="00DD0D53"/>
    <w:rsid w:val="00DD106C"/>
    <w:rsid w:val="00DD1252"/>
    <w:rsid w:val="00DD12BE"/>
    <w:rsid w:val="00DD15BA"/>
    <w:rsid w:val="00DD1626"/>
    <w:rsid w:val="00DD1675"/>
    <w:rsid w:val="00DD1BF0"/>
    <w:rsid w:val="00DD1E7D"/>
    <w:rsid w:val="00DD35DC"/>
    <w:rsid w:val="00DD4A89"/>
    <w:rsid w:val="00DD4B8C"/>
    <w:rsid w:val="00DD4C96"/>
    <w:rsid w:val="00DD4CC4"/>
    <w:rsid w:val="00DD4E32"/>
    <w:rsid w:val="00DD4FEE"/>
    <w:rsid w:val="00DD5A22"/>
    <w:rsid w:val="00DD5E37"/>
    <w:rsid w:val="00DD650D"/>
    <w:rsid w:val="00DD6C86"/>
    <w:rsid w:val="00DD765F"/>
    <w:rsid w:val="00DD778E"/>
    <w:rsid w:val="00DE01BC"/>
    <w:rsid w:val="00DE028B"/>
    <w:rsid w:val="00DE02C9"/>
    <w:rsid w:val="00DE0380"/>
    <w:rsid w:val="00DE0511"/>
    <w:rsid w:val="00DE0B55"/>
    <w:rsid w:val="00DE0C90"/>
    <w:rsid w:val="00DE10ED"/>
    <w:rsid w:val="00DE14FB"/>
    <w:rsid w:val="00DE1669"/>
    <w:rsid w:val="00DE16A8"/>
    <w:rsid w:val="00DE16F9"/>
    <w:rsid w:val="00DE1BCC"/>
    <w:rsid w:val="00DE1D13"/>
    <w:rsid w:val="00DE22C8"/>
    <w:rsid w:val="00DE24E1"/>
    <w:rsid w:val="00DE283A"/>
    <w:rsid w:val="00DE2967"/>
    <w:rsid w:val="00DE30F1"/>
    <w:rsid w:val="00DE3988"/>
    <w:rsid w:val="00DE3CA4"/>
    <w:rsid w:val="00DE3CCF"/>
    <w:rsid w:val="00DE3D69"/>
    <w:rsid w:val="00DE3DA2"/>
    <w:rsid w:val="00DE421E"/>
    <w:rsid w:val="00DE45A2"/>
    <w:rsid w:val="00DE521B"/>
    <w:rsid w:val="00DE5234"/>
    <w:rsid w:val="00DE5381"/>
    <w:rsid w:val="00DE5425"/>
    <w:rsid w:val="00DE54BB"/>
    <w:rsid w:val="00DE56A7"/>
    <w:rsid w:val="00DE573E"/>
    <w:rsid w:val="00DE575A"/>
    <w:rsid w:val="00DE5988"/>
    <w:rsid w:val="00DE5F2C"/>
    <w:rsid w:val="00DE6CC2"/>
    <w:rsid w:val="00DE6CCF"/>
    <w:rsid w:val="00DE7131"/>
    <w:rsid w:val="00DE7225"/>
    <w:rsid w:val="00DE786C"/>
    <w:rsid w:val="00DE7890"/>
    <w:rsid w:val="00DF0BD0"/>
    <w:rsid w:val="00DF1FF5"/>
    <w:rsid w:val="00DF214D"/>
    <w:rsid w:val="00DF24D1"/>
    <w:rsid w:val="00DF26B6"/>
    <w:rsid w:val="00DF28E7"/>
    <w:rsid w:val="00DF3016"/>
    <w:rsid w:val="00DF31CD"/>
    <w:rsid w:val="00DF35AB"/>
    <w:rsid w:val="00DF374F"/>
    <w:rsid w:val="00DF37FB"/>
    <w:rsid w:val="00DF3C69"/>
    <w:rsid w:val="00DF429F"/>
    <w:rsid w:val="00DF42F3"/>
    <w:rsid w:val="00DF4594"/>
    <w:rsid w:val="00DF529A"/>
    <w:rsid w:val="00DF555C"/>
    <w:rsid w:val="00DF5788"/>
    <w:rsid w:val="00DF5BDC"/>
    <w:rsid w:val="00DF667F"/>
    <w:rsid w:val="00DF67A7"/>
    <w:rsid w:val="00DF6A45"/>
    <w:rsid w:val="00DF6E49"/>
    <w:rsid w:val="00DF7B09"/>
    <w:rsid w:val="00DF7B2A"/>
    <w:rsid w:val="00DF7C7D"/>
    <w:rsid w:val="00DF7FA6"/>
    <w:rsid w:val="00E00777"/>
    <w:rsid w:val="00E00902"/>
    <w:rsid w:val="00E00A2B"/>
    <w:rsid w:val="00E00F4E"/>
    <w:rsid w:val="00E0126A"/>
    <w:rsid w:val="00E01468"/>
    <w:rsid w:val="00E02023"/>
    <w:rsid w:val="00E02E03"/>
    <w:rsid w:val="00E03340"/>
    <w:rsid w:val="00E03AB7"/>
    <w:rsid w:val="00E03AC6"/>
    <w:rsid w:val="00E03BEE"/>
    <w:rsid w:val="00E03C68"/>
    <w:rsid w:val="00E03F9B"/>
    <w:rsid w:val="00E04018"/>
    <w:rsid w:val="00E04074"/>
    <w:rsid w:val="00E044E0"/>
    <w:rsid w:val="00E045A8"/>
    <w:rsid w:val="00E04A9F"/>
    <w:rsid w:val="00E04B6F"/>
    <w:rsid w:val="00E04E69"/>
    <w:rsid w:val="00E050B6"/>
    <w:rsid w:val="00E0533C"/>
    <w:rsid w:val="00E0574F"/>
    <w:rsid w:val="00E05791"/>
    <w:rsid w:val="00E05F43"/>
    <w:rsid w:val="00E063F2"/>
    <w:rsid w:val="00E07161"/>
    <w:rsid w:val="00E0782F"/>
    <w:rsid w:val="00E10097"/>
    <w:rsid w:val="00E10850"/>
    <w:rsid w:val="00E10F77"/>
    <w:rsid w:val="00E11190"/>
    <w:rsid w:val="00E116CA"/>
    <w:rsid w:val="00E11A02"/>
    <w:rsid w:val="00E127C0"/>
    <w:rsid w:val="00E128E4"/>
    <w:rsid w:val="00E12A82"/>
    <w:rsid w:val="00E12B16"/>
    <w:rsid w:val="00E12C88"/>
    <w:rsid w:val="00E12CD3"/>
    <w:rsid w:val="00E12DB0"/>
    <w:rsid w:val="00E13439"/>
    <w:rsid w:val="00E136BD"/>
    <w:rsid w:val="00E13B3C"/>
    <w:rsid w:val="00E13D2F"/>
    <w:rsid w:val="00E13EEB"/>
    <w:rsid w:val="00E14245"/>
    <w:rsid w:val="00E14433"/>
    <w:rsid w:val="00E15406"/>
    <w:rsid w:val="00E15521"/>
    <w:rsid w:val="00E157C3"/>
    <w:rsid w:val="00E15E4A"/>
    <w:rsid w:val="00E16218"/>
    <w:rsid w:val="00E162CC"/>
    <w:rsid w:val="00E16880"/>
    <w:rsid w:val="00E16CF6"/>
    <w:rsid w:val="00E16E7D"/>
    <w:rsid w:val="00E17A47"/>
    <w:rsid w:val="00E17E11"/>
    <w:rsid w:val="00E20B0B"/>
    <w:rsid w:val="00E20CF2"/>
    <w:rsid w:val="00E211F6"/>
    <w:rsid w:val="00E212A4"/>
    <w:rsid w:val="00E21458"/>
    <w:rsid w:val="00E214B2"/>
    <w:rsid w:val="00E2152F"/>
    <w:rsid w:val="00E21531"/>
    <w:rsid w:val="00E21B01"/>
    <w:rsid w:val="00E22225"/>
    <w:rsid w:val="00E22456"/>
    <w:rsid w:val="00E22FF4"/>
    <w:rsid w:val="00E23229"/>
    <w:rsid w:val="00E23438"/>
    <w:rsid w:val="00E23A17"/>
    <w:rsid w:val="00E23B97"/>
    <w:rsid w:val="00E23E65"/>
    <w:rsid w:val="00E240FF"/>
    <w:rsid w:val="00E24E39"/>
    <w:rsid w:val="00E24FE7"/>
    <w:rsid w:val="00E25460"/>
    <w:rsid w:val="00E25798"/>
    <w:rsid w:val="00E2584A"/>
    <w:rsid w:val="00E25867"/>
    <w:rsid w:val="00E25941"/>
    <w:rsid w:val="00E25B6B"/>
    <w:rsid w:val="00E2620A"/>
    <w:rsid w:val="00E2633A"/>
    <w:rsid w:val="00E263FB"/>
    <w:rsid w:val="00E26838"/>
    <w:rsid w:val="00E26942"/>
    <w:rsid w:val="00E26A68"/>
    <w:rsid w:val="00E26F56"/>
    <w:rsid w:val="00E27333"/>
    <w:rsid w:val="00E27620"/>
    <w:rsid w:val="00E3014E"/>
    <w:rsid w:val="00E30169"/>
    <w:rsid w:val="00E30A86"/>
    <w:rsid w:val="00E31228"/>
    <w:rsid w:val="00E313FC"/>
    <w:rsid w:val="00E316BF"/>
    <w:rsid w:val="00E31CB1"/>
    <w:rsid w:val="00E31CB4"/>
    <w:rsid w:val="00E32B06"/>
    <w:rsid w:val="00E32D7A"/>
    <w:rsid w:val="00E32D96"/>
    <w:rsid w:val="00E32F3F"/>
    <w:rsid w:val="00E32FA5"/>
    <w:rsid w:val="00E33378"/>
    <w:rsid w:val="00E33396"/>
    <w:rsid w:val="00E33445"/>
    <w:rsid w:val="00E33944"/>
    <w:rsid w:val="00E33A68"/>
    <w:rsid w:val="00E341F1"/>
    <w:rsid w:val="00E34203"/>
    <w:rsid w:val="00E34495"/>
    <w:rsid w:val="00E34FD7"/>
    <w:rsid w:val="00E350A0"/>
    <w:rsid w:val="00E3511F"/>
    <w:rsid w:val="00E35192"/>
    <w:rsid w:val="00E35C46"/>
    <w:rsid w:val="00E35CB3"/>
    <w:rsid w:val="00E3636E"/>
    <w:rsid w:val="00E36501"/>
    <w:rsid w:val="00E37005"/>
    <w:rsid w:val="00E3711A"/>
    <w:rsid w:val="00E371F5"/>
    <w:rsid w:val="00E372AF"/>
    <w:rsid w:val="00E37351"/>
    <w:rsid w:val="00E37696"/>
    <w:rsid w:val="00E37AF3"/>
    <w:rsid w:val="00E40156"/>
    <w:rsid w:val="00E401E9"/>
    <w:rsid w:val="00E40408"/>
    <w:rsid w:val="00E40AED"/>
    <w:rsid w:val="00E41569"/>
    <w:rsid w:val="00E415AE"/>
    <w:rsid w:val="00E41F24"/>
    <w:rsid w:val="00E422A8"/>
    <w:rsid w:val="00E422BF"/>
    <w:rsid w:val="00E42485"/>
    <w:rsid w:val="00E42542"/>
    <w:rsid w:val="00E43399"/>
    <w:rsid w:val="00E438EF"/>
    <w:rsid w:val="00E43A91"/>
    <w:rsid w:val="00E43B8A"/>
    <w:rsid w:val="00E43F2E"/>
    <w:rsid w:val="00E4486E"/>
    <w:rsid w:val="00E448F6"/>
    <w:rsid w:val="00E44D14"/>
    <w:rsid w:val="00E44D36"/>
    <w:rsid w:val="00E44E49"/>
    <w:rsid w:val="00E459A3"/>
    <w:rsid w:val="00E45ABF"/>
    <w:rsid w:val="00E46018"/>
    <w:rsid w:val="00E46391"/>
    <w:rsid w:val="00E46441"/>
    <w:rsid w:val="00E4644D"/>
    <w:rsid w:val="00E4662B"/>
    <w:rsid w:val="00E46993"/>
    <w:rsid w:val="00E47F42"/>
    <w:rsid w:val="00E501B4"/>
    <w:rsid w:val="00E502A2"/>
    <w:rsid w:val="00E5058C"/>
    <w:rsid w:val="00E50605"/>
    <w:rsid w:val="00E509A5"/>
    <w:rsid w:val="00E5130C"/>
    <w:rsid w:val="00E5193B"/>
    <w:rsid w:val="00E51A3E"/>
    <w:rsid w:val="00E51B34"/>
    <w:rsid w:val="00E51B4A"/>
    <w:rsid w:val="00E521BF"/>
    <w:rsid w:val="00E52630"/>
    <w:rsid w:val="00E5297F"/>
    <w:rsid w:val="00E52C81"/>
    <w:rsid w:val="00E52FB4"/>
    <w:rsid w:val="00E53512"/>
    <w:rsid w:val="00E543D3"/>
    <w:rsid w:val="00E54736"/>
    <w:rsid w:val="00E54FB2"/>
    <w:rsid w:val="00E550DD"/>
    <w:rsid w:val="00E55927"/>
    <w:rsid w:val="00E55A06"/>
    <w:rsid w:val="00E55C78"/>
    <w:rsid w:val="00E5615C"/>
    <w:rsid w:val="00E561BE"/>
    <w:rsid w:val="00E562A4"/>
    <w:rsid w:val="00E5694A"/>
    <w:rsid w:val="00E56ECA"/>
    <w:rsid w:val="00E5711F"/>
    <w:rsid w:val="00E57147"/>
    <w:rsid w:val="00E577EA"/>
    <w:rsid w:val="00E60030"/>
    <w:rsid w:val="00E603B1"/>
    <w:rsid w:val="00E61079"/>
    <w:rsid w:val="00E61932"/>
    <w:rsid w:val="00E61E9F"/>
    <w:rsid w:val="00E61F43"/>
    <w:rsid w:val="00E630FB"/>
    <w:rsid w:val="00E634F4"/>
    <w:rsid w:val="00E63530"/>
    <w:rsid w:val="00E636D2"/>
    <w:rsid w:val="00E63870"/>
    <w:rsid w:val="00E64131"/>
    <w:rsid w:val="00E64319"/>
    <w:rsid w:val="00E6447E"/>
    <w:rsid w:val="00E644D2"/>
    <w:rsid w:val="00E6495B"/>
    <w:rsid w:val="00E64F84"/>
    <w:rsid w:val="00E65117"/>
    <w:rsid w:val="00E65ADA"/>
    <w:rsid w:val="00E65BC0"/>
    <w:rsid w:val="00E65DF3"/>
    <w:rsid w:val="00E65ED7"/>
    <w:rsid w:val="00E660DB"/>
    <w:rsid w:val="00E664E9"/>
    <w:rsid w:val="00E66927"/>
    <w:rsid w:val="00E66983"/>
    <w:rsid w:val="00E66F66"/>
    <w:rsid w:val="00E670CB"/>
    <w:rsid w:val="00E67D30"/>
    <w:rsid w:val="00E70025"/>
    <w:rsid w:val="00E70176"/>
    <w:rsid w:val="00E701FB"/>
    <w:rsid w:val="00E703A2"/>
    <w:rsid w:val="00E70716"/>
    <w:rsid w:val="00E70B7F"/>
    <w:rsid w:val="00E71135"/>
    <w:rsid w:val="00E7136D"/>
    <w:rsid w:val="00E71A90"/>
    <w:rsid w:val="00E71D93"/>
    <w:rsid w:val="00E722FC"/>
    <w:rsid w:val="00E7252C"/>
    <w:rsid w:val="00E72B87"/>
    <w:rsid w:val="00E733EC"/>
    <w:rsid w:val="00E735B4"/>
    <w:rsid w:val="00E73F36"/>
    <w:rsid w:val="00E748E7"/>
    <w:rsid w:val="00E7495D"/>
    <w:rsid w:val="00E75356"/>
    <w:rsid w:val="00E75AD4"/>
    <w:rsid w:val="00E75B7D"/>
    <w:rsid w:val="00E75C88"/>
    <w:rsid w:val="00E75CA0"/>
    <w:rsid w:val="00E75CAD"/>
    <w:rsid w:val="00E763A3"/>
    <w:rsid w:val="00E765C0"/>
    <w:rsid w:val="00E76974"/>
    <w:rsid w:val="00E76BE4"/>
    <w:rsid w:val="00E76DC6"/>
    <w:rsid w:val="00E77087"/>
    <w:rsid w:val="00E77FF9"/>
    <w:rsid w:val="00E80249"/>
    <w:rsid w:val="00E803A4"/>
    <w:rsid w:val="00E8061E"/>
    <w:rsid w:val="00E811E9"/>
    <w:rsid w:val="00E814AB"/>
    <w:rsid w:val="00E816B6"/>
    <w:rsid w:val="00E8196E"/>
    <w:rsid w:val="00E82B0C"/>
    <w:rsid w:val="00E843D6"/>
    <w:rsid w:val="00E847E2"/>
    <w:rsid w:val="00E85348"/>
    <w:rsid w:val="00E8542D"/>
    <w:rsid w:val="00E862A0"/>
    <w:rsid w:val="00E86555"/>
    <w:rsid w:val="00E86831"/>
    <w:rsid w:val="00E86C0E"/>
    <w:rsid w:val="00E87132"/>
    <w:rsid w:val="00E874D6"/>
    <w:rsid w:val="00E8752A"/>
    <w:rsid w:val="00E901DC"/>
    <w:rsid w:val="00E906CF"/>
    <w:rsid w:val="00E9091F"/>
    <w:rsid w:val="00E91003"/>
    <w:rsid w:val="00E9247F"/>
    <w:rsid w:val="00E92907"/>
    <w:rsid w:val="00E92B3A"/>
    <w:rsid w:val="00E932D5"/>
    <w:rsid w:val="00E934BD"/>
    <w:rsid w:val="00E93638"/>
    <w:rsid w:val="00E9404B"/>
    <w:rsid w:val="00E9408A"/>
    <w:rsid w:val="00E941EC"/>
    <w:rsid w:val="00E94966"/>
    <w:rsid w:val="00E94FA4"/>
    <w:rsid w:val="00E9579E"/>
    <w:rsid w:val="00E957AC"/>
    <w:rsid w:val="00E95EF6"/>
    <w:rsid w:val="00E95F5F"/>
    <w:rsid w:val="00E962CA"/>
    <w:rsid w:val="00E9673A"/>
    <w:rsid w:val="00E9698E"/>
    <w:rsid w:val="00E97CDC"/>
    <w:rsid w:val="00E97FB5"/>
    <w:rsid w:val="00EA0213"/>
    <w:rsid w:val="00EA02E5"/>
    <w:rsid w:val="00EA04AE"/>
    <w:rsid w:val="00EA0787"/>
    <w:rsid w:val="00EA0818"/>
    <w:rsid w:val="00EA0F7D"/>
    <w:rsid w:val="00EA10F9"/>
    <w:rsid w:val="00EA11BB"/>
    <w:rsid w:val="00EA1E5E"/>
    <w:rsid w:val="00EA227D"/>
    <w:rsid w:val="00EA2A73"/>
    <w:rsid w:val="00EA2FFA"/>
    <w:rsid w:val="00EA41F8"/>
    <w:rsid w:val="00EA4C55"/>
    <w:rsid w:val="00EA4C67"/>
    <w:rsid w:val="00EA5191"/>
    <w:rsid w:val="00EA5421"/>
    <w:rsid w:val="00EA5B32"/>
    <w:rsid w:val="00EA5BBE"/>
    <w:rsid w:val="00EA5CEB"/>
    <w:rsid w:val="00EA5E47"/>
    <w:rsid w:val="00EA5E68"/>
    <w:rsid w:val="00EA6287"/>
    <w:rsid w:val="00EA6BAD"/>
    <w:rsid w:val="00EA6C6F"/>
    <w:rsid w:val="00EA6D7E"/>
    <w:rsid w:val="00EA7163"/>
    <w:rsid w:val="00EB0748"/>
    <w:rsid w:val="00EB07AD"/>
    <w:rsid w:val="00EB0E0A"/>
    <w:rsid w:val="00EB124C"/>
    <w:rsid w:val="00EB127A"/>
    <w:rsid w:val="00EB131A"/>
    <w:rsid w:val="00EB25FE"/>
    <w:rsid w:val="00EB278A"/>
    <w:rsid w:val="00EB2993"/>
    <w:rsid w:val="00EB2A57"/>
    <w:rsid w:val="00EB2E7E"/>
    <w:rsid w:val="00EB38FA"/>
    <w:rsid w:val="00EB4473"/>
    <w:rsid w:val="00EB452D"/>
    <w:rsid w:val="00EB45E6"/>
    <w:rsid w:val="00EB4725"/>
    <w:rsid w:val="00EB4B3F"/>
    <w:rsid w:val="00EB4B79"/>
    <w:rsid w:val="00EB4B7F"/>
    <w:rsid w:val="00EB4C30"/>
    <w:rsid w:val="00EB4EF3"/>
    <w:rsid w:val="00EB4F31"/>
    <w:rsid w:val="00EB538C"/>
    <w:rsid w:val="00EB54C6"/>
    <w:rsid w:val="00EB5A37"/>
    <w:rsid w:val="00EB6118"/>
    <w:rsid w:val="00EB6176"/>
    <w:rsid w:val="00EB6C7C"/>
    <w:rsid w:val="00EB761D"/>
    <w:rsid w:val="00EB7DBD"/>
    <w:rsid w:val="00EC02FE"/>
    <w:rsid w:val="00EC079A"/>
    <w:rsid w:val="00EC08A2"/>
    <w:rsid w:val="00EC0995"/>
    <w:rsid w:val="00EC0CC8"/>
    <w:rsid w:val="00EC0E49"/>
    <w:rsid w:val="00EC1783"/>
    <w:rsid w:val="00EC1956"/>
    <w:rsid w:val="00EC1A50"/>
    <w:rsid w:val="00EC1BE5"/>
    <w:rsid w:val="00EC1DD7"/>
    <w:rsid w:val="00EC216A"/>
    <w:rsid w:val="00EC2378"/>
    <w:rsid w:val="00EC2AFB"/>
    <w:rsid w:val="00EC2C7A"/>
    <w:rsid w:val="00EC35B3"/>
    <w:rsid w:val="00EC3721"/>
    <w:rsid w:val="00EC3A33"/>
    <w:rsid w:val="00EC3A84"/>
    <w:rsid w:val="00EC3BE4"/>
    <w:rsid w:val="00EC4164"/>
    <w:rsid w:val="00EC43EA"/>
    <w:rsid w:val="00EC46A7"/>
    <w:rsid w:val="00EC4BBD"/>
    <w:rsid w:val="00EC4CED"/>
    <w:rsid w:val="00EC5BBD"/>
    <w:rsid w:val="00EC5C97"/>
    <w:rsid w:val="00EC6AC5"/>
    <w:rsid w:val="00EC6EE1"/>
    <w:rsid w:val="00EC6EEB"/>
    <w:rsid w:val="00EC7496"/>
    <w:rsid w:val="00EC7AAC"/>
    <w:rsid w:val="00EC7C2C"/>
    <w:rsid w:val="00EC7CDF"/>
    <w:rsid w:val="00ED0060"/>
    <w:rsid w:val="00ED0491"/>
    <w:rsid w:val="00ED08F6"/>
    <w:rsid w:val="00ED095F"/>
    <w:rsid w:val="00ED0A1D"/>
    <w:rsid w:val="00ED0C5E"/>
    <w:rsid w:val="00ED0EEC"/>
    <w:rsid w:val="00ED1CAD"/>
    <w:rsid w:val="00ED1F8E"/>
    <w:rsid w:val="00ED2116"/>
    <w:rsid w:val="00ED2841"/>
    <w:rsid w:val="00ED29DE"/>
    <w:rsid w:val="00ED32B5"/>
    <w:rsid w:val="00ED3901"/>
    <w:rsid w:val="00ED3FCF"/>
    <w:rsid w:val="00ED4778"/>
    <w:rsid w:val="00ED482E"/>
    <w:rsid w:val="00ED4AED"/>
    <w:rsid w:val="00ED4DC4"/>
    <w:rsid w:val="00ED5702"/>
    <w:rsid w:val="00ED5875"/>
    <w:rsid w:val="00ED6045"/>
    <w:rsid w:val="00ED6F1B"/>
    <w:rsid w:val="00ED76B7"/>
    <w:rsid w:val="00ED7942"/>
    <w:rsid w:val="00EE02C9"/>
    <w:rsid w:val="00EE0F0B"/>
    <w:rsid w:val="00EE0F45"/>
    <w:rsid w:val="00EE0FDE"/>
    <w:rsid w:val="00EE11B5"/>
    <w:rsid w:val="00EE123A"/>
    <w:rsid w:val="00EE1725"/>
    <w:rsid w:val="00EE1E5A"/>
    <w:rsid w:val="00EE37D7"/>
    <w:rsid w:val="00EE3DBA"/>
    <w:rsid w:val="00EE4937"/>
    <w:rsid w:val="00EE4F7E"/>
    <w:rsid w:val="00EE5A3B"/>
    <w:rsid w:val="00EE5CE7"/>
    <w:rsid w:val="00EE5F41"/>
    <w:rsid w:val="00EE643B"/>
    <w:rsid w:val="00EE7950"/>
    <w:rsid w:val="00EF076E"/>
    <w:rsid w:val="00EF078F"/>
    <w:rsid w:val="00EF0ABC"/>
    <w:rsid w:val="00EF0D62"/>
    <w:rsid w:val="00EF126E"/>
    <w:rsid w:val="00EF165B"/>
    <w:rsid w:val="00EF170E"/>
    <w:rsid w:val="00EF1C6C"/>
    <w:rsid w:val="00EF244D"/>
    <w:rsid w:val="00EF2471"/>
    <w:rsid w:val="00EF266B"/>
    <w:rsid w:val="00EF2FB5"/>
    <w:rsid w:val="00EF30F5"/>
    <w:rsid w:val="00EF329A"/>
    <w:rsid w:val="00EF3784"/>
    <w:rsid w:val="00EF380D"/>
    <w:rsid w:val="00EF3BAF"/>
    <w:rsid w:val="00EF4D52"/>
    <w:rsid w:val="00EF501C"/>
    <w:rsid w:val="00EF52B8"/>
    <w:rsid w:val="00EF581B"/>
    <w:rsid w:val="00EF6487"/>
    <w:rsid w:val="00EF6BF1"/>
    <w:rsid w:val="00EF6CE8"/>
    <w:rsid w:val="00EF7B1B"/>
    <w:rsid w:val="00EF7C19"/>
    <w:rsid w:val="00EF7D1F"/>
    <w:rsid w:val="00F0010E"/>
    <w:rsid w:val="00F00753"/>
    <w:rsid w:val="00F00D8E"/>
    <w:rsid w:val="00F01A03"/>
    <w:rsid w:val="00F01DEE"/>
    <w:rsid w:val="00F02031"/>
    <w:rsid w:val="00F0221F"/>
    <w:rsid w:val="00F02A3B"/>
    <w:rsid w:val="00F0357D"/>
    <w:rsid w:val="00F03817"/>
    <w:rsid w:val="00F0391E"/>
    <w:rsid w:val="00F03A07"/>
    <w:rsid w:val="00F03BB8"/>
    <w:rsid w:val="00F03C51"/>
    <w:rsid w:val="00F03F7F"/>
    <w:rsid w:val="00F044AC"/>
    <w:rsid w:val="00F04535"/>
    <w:rsid w:val="00F046BD"/>
    <w:rsid w:val="00F04783"/>
    <w:rsid w:val="00F047E0"/>
    <w:rsid w:val="00F0482B"/>
    <w:rsid w:val="00F04FC9"/>
    <w:rsid w:val="00F05180"/>
    <w:rsid w:val="00F05283"/>
    <w:rsid w:val="00F05BAC"/>
    <w:rsid w:val="00F05D79"/>
    <w:rsid w:val="00F0603B"/>
    <w:rsid w:val="00F0688B"/>
    <w:rsid w:val="00F06D64"/>
    <w:rsid w:val="00F06EEA"/>
    <w:rsid w:val="00F06F9B"/>
    <w:rsid w:val="00F072F3"/>
    <w:rsid w:val="00F07846"/>
    <w:rsid w:val="00F10053"/>
    <w:rsid w:val="00F1043E"/>
    <w:rsid w:val="00F1057D"/>
    <w:rsid w:val="00F1064C"/>
    <w:rsid w:val="00F106D2"/>
    <w:rsid w:val="00F10D2D"/>
    <w:rsid w:val="00F10D6B"/>
    <w:rsid w:val="00F11AB6"/>
    <w:rsid w:val="00F11E84"/>
    <w:rsid w:val="00F11F0A"/>
    <w:rsid w:val="00F1217F"/>
    <w:rsid w:val="00F121F6"/>
    <w:rsid w:val="00F1236F"/>
    <w:rsid w:val="00F12EC2"/>
    <w:rsid w:val="00F12F14"/>
    <w:rsid w:val="00F1323D"/>
    <w:rsid w:val="00F13296"/>
    <w:rsid w:val="00F1381C"/>
    <w:rsid w:val="00F13E08"/>
    <w:rsid w:val="00F1499E"/>
    <w:rsid w:val="00F149D3"/>
    <w:rsid w:val="00F151CF"/>
    <w:rsid w:val="00F1536E"/>
    <w:rsid w:val="00F1554E"/>
    <w:rsid w:val="00F164C9"/>
    <w:rsid w:val="00F1652C"/>
    <w:rsid w:val="00F16591"/>
    <w:rsid w:val="00F16A34"/>
    <w:rsid w:val="00F16AF2"/>
    <w:rsid w:val="00F16EAF"/>
    <w:rsid w:val="00F1759D"/>
    <w:rsid w:val="00F17E5B"/>
    <w:rsid w:val="00F20080"/>
    <w:rsid w:val="00F20D2B"/>
    <w:rsid w:val="00F212F0"/>
    <w:rsid w:val="00F21358"/>
    <w:rsid w:val="00F21368"/>
    <w:rsid w:val="00F214CA"/>
    <w:rsid w:val="00F2189C"/>
    <w:rsid w:val="00F21A26"/>
    <w:rsid w:val="00F21C00"/>
    <w:rsid w:val="00F23ED9"/>
    <w:rsid w:val="00F24440"/>
    <w:rsid w:val="00F24861"/>
    <w:rsid w:val="00F24C76"/>
    <w:rsid w:val="00F2504F"/>
    <w:rsid w:val="00F25E83"/>
    <w:rsid w:val="00F261C5"/>
    <w:rsid w:val="00F26244"/>
    <w:rsid w:val="00F26AFA"/>
    <w:rsid w:val="00F26F14"/>
    <w:rsid w:val="00F27CB0"/>
    <w:rsid w:val="00F27E20"/>
    <w:rsid w:val="00F27FDA"/>
    <w:rsid w:val="00F3103B"/>
    <w:rsid w:val="00F31050"/>
    <w:rsid w:val="00F31331"/>
    <w:rsid w:val="00F313F1"/>
    <w:rsid w:val="00F31816"/>
    <w:rsid w:val="00F31CB1"/>
    <w:rsid w:val="00F326EF"/>
    <w:rsid w:val="00F3278F"/>
    <w:rsid w:val="00F328B2"/>
    <w:rsid w:val="00F32F10"/>
    <w:rsid w:val="00F33942"/>
    <w:rsid w:val="00F33D57"/>
    <w:rsid w:val="00F34DC8"/>
    <w:rsid w:val="00F34E4A"/>
    <w:rsid w:val="00F34E9B"/>
    <w:rsid w:val="00F34F4E"/>
    <w:rsid w:val="00F35632"/>
    <w:rsid w:val="00F35752"/>
    <w:rsid w:val="00F3587E"/>
    <w:rsid w:val="00F36374"/>
    <w:rsid w:val="00F366ED"/>
    <w:rsid w:val="00F368E7"/>
    <w:rsid w:val="00F3756B"/>
    <w:rsid w:val="00F376CD"/>
    <w:rsid w:val="00F37773"/>
    <w:rsid w:val="00F37808"/>
    <w:rsid w:val="00F37D62"/>
    <w:rsid w:val="00F406F3"/>
    <w:rsid w:val="00F40E2C"/>
    <w:rsid w:val="00F4127E"/>
    <w:rsid w:val="00F41376"/>
    <w:rsid w:val="00F4181E"/>
    <w:rsid w:val="00F42733"/>
    <w:rsid w:val="00F42A1B"/>
    <w:rsid w:val="00F42B98"/>
    <w:rsid w:val="00F432E8"/>
    <w:rsid w:val="00F4333D"/>
    <w:rsid w:val="00F43774"/>
    <w:rsid w:val="00F438C3"/>
    <w:rsid w:val="00F43C80"/>
    <w:rsid w:val="00F441BB"/>
    <w:rsid w:val="00F446EE"/>
    <w:rsid w:val="00F449E9"/>
    <w:rsid w:val="00F44A16"/>
    <w:rsid w:val="00F44AA5"/>
    <w:rsid w:val="00F44C90"/>
    <w:rsid w:val="00F44CB5"/>
    <w:rsid w:val="00F456B6"/>
    <w:rsid w:val="00F457A8"/>
    <w:rsid w:val="00F45A11"/>
    <w:rsid w:val="00F45A97"/>
    <w:rsid w:val="00F45B45"/>
    <w:rsid w:val="00F45E82"/>
    <w:rsid w:val="00F460CE"/>
    <w:rsid w:val="00F4712A"/>
    <w:rsid w:val="00F475E9"/>
    <w:rsid w:val="00F47716"/>
    <w:rsid w:val="00F47C27"/>
    <w:rsid w:val="00F47EB8"/>
    <w:rsid w:val="00F500D3"/>
    <w:rsid w:val="00F501FA"/>
    <w:rsid w:val="00F50516"/>
    <w:rsid w:val="00F50C9C"/>
    <w:rsid w:val="00F50FED"/>
    <w:rsid w:val="00F51371"/>
    <w:rsid w:val="00F51826"/>
    <w:rsid w:val="00F51BA6"/>
    <w:rsid w:val="00F51E9C"/>
    <w:rsid w:val="00F52185"/>
    <w:rsid w:val="00F524E4"/>
    <w:rsid w:val="00F526BE"/>
    <w:rsid w:val="00F52890"/>
    <w:rsid w:val="00F52B73"/>
    <w:rsid w:val="00F52E48"/>
    <w:rsid w:val="00F52FFB"/>
    <w:rsid w:val="00F53610"/>
    <w:rsid w:val="00F5376A"/>
    <w:rsid w:val="00F537CE"/>
    <w:rsid w:val="00F547FC"/>
    <w:rsid w:val="00F5499E"/>
    <w:rsid w:val="00F54E85"/>
    <w:rsid w:val="00F54F8E"/>
    <w:rsid w:val="00F552D3"/>
    <w:rsid w:val="00F555DC"/>
    <w:rsid w:val="00F55A35"/>
    <w:rsid w:val="00F55F80"/>
    <w:rsid w:val="00F560E6"/>
    <w:rsid w:val="00F562B8"/>
    <w:rsid w:val="00F56908"/>
    <w:rsid w:val="00F56A98"/>
    <w:rsid w:val="00F5714D"/>
    <w:rsid w:val="00F57943"/>
    <w:rsid w:val="00F57FE8"/>
    <w:rsid w:val="00F601A0"/>
    <w:rsid w:val="00F609F2"/>
    <w:rsid w:val="00F61980"/>
    <w:rsid w:val="00F61BD6"/>
    <w:rsid w:val="00F61CD4"/>
    <w:rsid w:val="00F629CF"/>
    <w:rsid w:val="00F62E7C"/>
    <w:rsid w:val="00F62EE9"/>
    <w:rsid w:val="00F649FB"/>
    <w:rsid w:val="00F6518B"/>
    <w:rsid w:val="00F65402"/>
    <w:rsid w:val="00F656A2"/>
    <w:rsid w:val="00F657F8"/>
    <w:rsid w:val="00F659E7"/>
    <w:rsid w:val="00F65A71"/>
    <w:rsid w:val="00F65BCE"/>
    <w:rsid w:val="00F666BB"/>
    <w:rsid w:val="00F66743"/>
    <w:rsid w:val="00F66B91"/>
    <w:rsid w:val="00F6706B"/>
    <w:rsid w:val="00F67118"/>
    <w:rsid w:val="00F67251"/>
    <w:rsid w:val="00F673BC"/>
    <w:rsid w:val="00F677F4"/>
    <w:rsid w:val="00F70125"/>
    <w:rsid w:val="00F70690"/>
    <w:rsid w:val="00F707F5"/>
    <w:rsid w:val="00F70929"/>
    <w:rsid w:val="00F70AB2"/>
    <w:rsid w:val="00F70DF2"/>
    <w:rsid w:val="00F710B3"/>
    <w:rsid w:val="00F717F7"/>
    <w:rsid w:val="00F71F12"/>
    <w:rsid w:val="00F721CD"/>
    <w:rsid w:val="00F7253F"/>
    <w:rsid w:val="00F72963"/>
    <w:rsid w:val="00F72BBD"/>
    <w:rsid w:val="00F72CC2"/>
    <w:rsid w:val="00F733A4"/>
    <w:rsid w:val="00F738D3"/>
    <w:rsid w:val="00F74240"/>
    <w:rsid w:val="00F74649"/>
    <w:rsid w:val="00F749AB"/>
    <w:rsid w:val="00F74B86"/>
    <w:rsid w:val="00F751C5"/>
    <w:rsid w:val="00F7521C"/>
    <w:rsid w:val="00F7549C"/>
    <w:rsid w:val="00F75B0A"/>
    <w:rsid w:val="00F75D8D"/>
    <w:rsid w:val="00F76A78"/>
    <w:rsid w:val="00F76F60"/>
    <w:rsid w:val="00F77297"/>
    <w:rsid w:val="00F77FCE"/>
    <w:rsid w:val="00F80504"/>
    <w:rsid w:val="00F80754"/>
    <w:rsid w:val="00F80B8E"/>
    <w:rsid w:val="00F80D40"/>
    <w:rsid w:val="00F81526"/>
    <w:rsid w:val="00F819A7"/>
    <w:rsid w:val="00F81A54"/>
    <w:rsid w:val="00F81DEE"/>
    <w:rsid w:val="00F8221C"/>
    <w:rsid w:val="00F82345"/>
    <w:rsid w:val="00F82390"/>
    <w:rsid w:val="00F82BE3"/>
    <w:rsid w:val="00F83218"/>
    <w:rsid w:val="00F834FA"/>
    <w:rsid w:val="00F83553"/>
    <w:rsid w:val="00F83FDC"/>
    <w:rsid w:val="00F84613"/>
    <w:rsid w:val="00F84D1D"/>
    <w:rsid w:val="00F84F2A"/>
    <w:rsid w:val="00F851F5"/>
    <w:rsid w:val="00F8546C"/>
    <w:rsid w:val="00F85533"/>
    <w:rsid w:val="00F8595D"/>
    <w:rsid w:val="00F85AC0"/>
    <w:rsid w:val="00F85C7B"/>
    <w:rsid w:val="00F85D30"/>
    <w:rsid w:val="00F861F0"/>
    <w:rsid w:val="00F8704E"/>
    <w:rsid w:val="00F87593"/>
    <w:rsid w:val="00F87B35"/>
    <w:rsid w:val="00F87BD8"/>
    <w:rsid w:val="00F87EDC"/>
    <w:rsid w:val="00F90335"/>
    <w:rsid w:val="00F905C8"/>
    <w:rsid w:val="00F905D9"/>
    <w:rsid w:val="00F90985"/>
    <w:rsid w:val="00F91EE9"/>
    <w:rsid w:val="00F9216D"/>
    <w:rsid w:val="00F924A6"/>
    <w:rsid w:val="00F925F9"/>
    <w:rsid w:val="00F9267F"/>
    <w:rsid w:val="00F93219"/>
    <w:rsid w:val="00F93E12"/>
    <w:rsid w:val="00F93E3F"/>
    <w:rsid w:val="00F94E1B"/>
    <w:rsid w:val="00F9570C"/>
    <w:rsid w:val="00F95A8F"/>
    <w:rsid w:val="00F9638B"/>
    <w:rsid w:val="00F96731"/>
    <w:rsid w:val="00F96B43"/>
    <w:rsid w:val="00F96C6A"/>
    <w:rsid w:val="00F96F5E"/>
    <w:rsid w:val="00F97247"/>
    <w:rsid w:val="00F975E6"/>
    <w:rsid w:val="00FA01A2"/>
    <w:rsid w:val="00FA0D9F"/>
    <w:rsid w:val="00FA15DA"/>
    <w:rsid w:val="00FA17EC"/>
    <w:rsid w:val="00FA193E"/>
    <w:rsid w:val="00FA1AB8"/>
    <w:rsid w:val="00FA22DD"/>
    <w:rsid w:val="00FA2573"/>
    <w:rsid w:val="00FA303C"/>
    <w:rsid w:val="00FA31C3"/>
    <w:rsid w:val="00FA3B6F"/>
    <w:rsid w:val="00FA419D"/>
    <w:rsid w:val="00FA42F7"/>
    <w:rsid w:val="00FA43C5"/>
    <w:rsid w:val="00FA4694"/>
    <w:rsid w:val="00FA47EF"/>
    <w:rsid w:val="00FA4B59"/>
    <w:rsid w:val="00FA5B5B"/>
    <w:rsid w:val="00FA5C5F"/>
    <w:rsid w:val="00FA5F36"/>
    <w:rsid w:val="00FA603A"/>
    <w:rsid w:val="00FA641A"/>
    <w:rsid w:val="00FA648A"/>
    <w:rsid w:val="00FA6862"/>
    <w:rsid w:val="00FA6C46"/>
    <w:rsid w:val="00FA6F4E"/>
    <w:rsid w:val="00FA719B"/>
    <w:rsid w:val="00FA7582"/>
    <w:rsid w:val="00FA7BAE"/>
    <w:rsid w:val="00FB0861"/>
    <w:rsid w:val="00FB0CFB"/>
    <w:rsid w:val="00FB0E91"/>
    <w:rsid w:val="00FB0F50"/>
    <w:rsid w:val="00FB110E"/>
    <w:rsid w:val="00FB1E3C"/>
    <w:rsid w:val="00FB23D4"/>
    <w:rsid w:val="00FB257D"/>
    <w:rsid w:val="00FB2D67"/>
    <w:rsid w:val="00FB323F"/>
    <w:rsid w:val="00FB3588"/>
    <w:rsid w:val="00FB3B4B"/>
    <w:rsid w:val="00FB3D7D"/>
    <w:rsid w:val="00FB4367"/>
    <w:rsid w:val="00FB4540"/>
    <w:rsid w:val="00FB461B"/>
    <w:rsid w:val="00FB5045"/>
    <w:rsid w:val="00FB61E1"/>
    <w:rsid w:val="00FB64B5"/>
    <w:rsid w:val="00FB6706"/>
    <w:rsid w:val="00FB699E"/>
    <w:rsid w:val="00FB6B5E"/>
    <w:rsid w:val="00FB72B6"/>
    <w:rsid w:val="00FB7785"/>
    <w:rsid w:val="00FB79CA"/>
    <w:rsid w:val="00FC05C6"/>
    <w:rsid w:val="00FC079F"/>
    <w:rsid w:val="00FC0882"/>
    <w:rsid w:val="00FC0DFB"/>
    <w:rsid w:val="00FC15A5"/>
    <w:rsid w:val="00FC19A7"/>
    <w:rsid w:val="00FC1BD9"/>
    <w:rsid w:val="00FC1C83"/>
    <w:rsid w:val="00FC1C89"/>
    <w:rsid w:val="00FC1F57"/>
    <w:rsid w:val="00FC1F86"/>
    <w:rsid w:val="00FC2EB6"/>
    <w:rsid w:val="00FC3320"/>
    <w:rsid w:val="00FC34ED"/>
    <w:rsid w:val="00FC3A4D"/>
    <w:rsid w:val="00FC3C68"/>
    <w:rsid w:val="00FC40D8"/>
    <w:rsid w:val="00FC44CA"/>
    <w:rsid w:val="00FC4D7D"/>
    <w:rsid w:val="00FC540F"/>
    <w:rsid w:val="00FC56B9"/>
    <w:rsid w:val="00FC5C44"/>
    <w:rsid w:val="00FC5E10"/>
    <w:rsid w:val="00FC6535"/>
    <w:rsid w:val="00FC653B"/>
    <w:rsid w:val="00FC6B19"/>
    <w:rsid w:val="00FC6F35"/>
    <w:rsid w:val="00FC7A4E"/>
    <w:rsid w:val="00FC7AA0"/>
    <w:rsid w:val="00FC7CC2"/>
    <w:rsid w:val="00FD03D7"/>
    <w:rsid w:val="00FD0BFB"/>
    <w:rsid w:val="00FD0CBF"/>
    <w:rsid w:val="00FD0FC6"/>
    <w:rsid w:val="00FD16FA"/>
    <w:rsid w:val="00FD17AD"/>
    <w:rsid w:val="00FD19E0"/>
    <w:rsid w:val="00FD1C50"/>
    <w:rsid w:val="00FD1F72"/>
    <w:rsid w:val="00FD2583"/>
    <w:rsid w:val="00FD2AB7"/>
    <w:rsid w:val="00FD2B85"/>
    <w:rsid w:val="00FD3440"/>
    <w:rsid w:val="00FD3DC2"/>
    <w:rsid w:val="00FD3FBB"/>
    <w:rsid w:val="00FD44BC"/>
    <w:rsid w:val="00FD4CE1"/>
    <w:rsid w:val="00FD4CEA"/>
    <w:rsid w:val="00FD500D"/>
    <w:rsid w:val="00FD5A0A"/>
    <w:rsid w:val="00FD5F46"/>
    <w:rsid w:val="00FD6186"/>
    <w:rsid w:val="00FD6A95"/>
    <w:rsid w:val="00FD7378"/>
    <w:rsid w:val="00FD73AF"/>
    <w:rsid w:val="00FD7C05"/>
    <w:rsid w:val="00FD7C23"/>
    <w:rsid w:val="00FE208B"/>
    <w:rsid w:val="00FE26B4"/>
    <w:rsid w:val="00FE2C6B"/>
    <w:rsid w:val="00FE2E1B"/>
    <w:rsid w:val="00FE3127"/>
    <w:rsid w:val="00FE3230"/>
    <w:rsid w:val="00FE325D"/>
    <w:rsid w:val="00FE32BF"/>
    <w:rsid w:val="00FE3378"/>
    <w:rsid w:val="00FE33A3"/>
    <w:rsid w:val="00FE38B4"/>
    <w:rsid w:val="00FE3BF3"/>
    <w:rsid w:val="00FE4D4B"/>
    <w:rsid w:val="00FE570B"/>
    <w:rsid w:val="00FE5A92"/>
    <w:rsid w:val="00FE60D7"/>
    <w:rsid w:val="00FE6353"/>
    <w:rsid w:val="00FE6372"/>
    <w:rsid w:val="00FE64D9"/>
    <w:rsid w:val="00FE683A"/>
    <w:rsid w:val="00FE689D"/>
    <w:rsid w:val="00FE6AB0"/>
    <w:rsid w:val="00FE70E0"/>
    <w:rsid w:val="00FE72F5"/>
    <w:rsid w:val="00FE7705"/>
    <w:rsid w:val="00FE7761"/>
    <w:rsid w:val="00FF00C8"/>
    <w:rsid w:val="00FF0150"/>
    <w:rsid w:val="00FF0865"/>
    <w:rsid w:val="00FF0F6E"/>
    <w:rsid w:val="00FF109C"/>
    <w:rsid w:val="00FF1C2D"/>
    <w:rsid w:val="00FF297E"/>
    <w:rsid w:val="00FF2B1D"/>
    <w:rsid w:val="00FF338D"/>
    <w:rsid w:val="00FF34F4"/>
    <w:rsid w:val="00FF396E"/>
    <w:rsid w:val="00FF3CAD"/>
    <w:rsid w:val="00FF40FA"/>
    <w:rsid w:val="00FF481C"/>
    <w:rsid w:val="00FF4BDB"/>
    <w:rsid w:val="00FF4D4B"/>
    <w:rsid w:val="00FF4F26"/>
    <w:rsid w:val="00FF55C7"/>
    <w:rsid w:val="00FF579C"/>
    <w:rsid w:val="00FF5842"/>
    <w:rsid w:val="00FF5D0F"/>
    <w:rsid w:val="00FF6183"/>
    <w:rsid w:val="00FF67C0"/>
    <w:rsid w:val="00FF69AB"/>
    <w:rsid w:val="00FF7579"/>
    <w:rsid w:val="00FF7597"/>
    <w:rsid w:val="00FF7F4A"/>
    <w:rsid w:val="0353D89F"/>
    <w:rsid w:val="036BD2F1"/>
    <w:rsid w:val="0880BA40"/>
    <w:rsid w:val="0DBF1E6F"/>
    <w:rsid w:val="0F9D900D"/>
    <w:rsid w:val="1207952D"/>
    <w:rsid w:val="12684517"/>
    <w:rsid w:val="20186B8F"/>
    <w:rsid w:val="2054F2AC"/>
    <w:rsid w:val="27230490"/>
    <w:rsid w:val="279815AF"/>
    <w:rsid w:val="2D598FA1"/>
    <w:rsid w:val="2EF56002"/>
    <w:rsid w:val="325E29F5"/>
    <w:rsid w:val="34D7F710"/>
    <w:rsid w:val="3B38A732"/>
    <w:rsid w:val="3F7C3C98"/>
    <w:rsid w:val="41E257B9"/>
    <w:rsid w:val="443C9B42"/>
    <w:rsid w:val="4A591601"/>
    <w:rsid w:val="4ABDA03D"/>
    <w:rsid w:val="4C35A48A"/>
    <w:rsid w:val="4DBD9ADA"/>
    <w:rsid w:val="4EE76024"/>
    <w:rsid w:val="57484A50"/>
    <w:rsid w:val="57CAFE18"/>
    <w:rsid w:val="582766A9"/>
    <w:rsid w:val="5B527BD4"/>
    <w:rsid w:val="5BE5A192"/>
    <w:rsid w:val="5C6F7861"/>
    <w:rsid w:val="5E342F57"/>
    <w:rsid w:val="5E8FD2EE"/>
    <w:rsid w:val="5FCEBFE6"/>
    <w:rsid w:val="61B527BE"/>
    <w:rsid w:val="62532235"/>
    <w:rsid w:val="676C86FD"/>
    <w:rsid w:val="6B341329"/>
    <w:rsid w:val="6BF3D8BA"/>
    <w:rsid w:val="6E5354FC"/>
    <w:rsid w:val="72DBEB52"/>
    <w:rsid w:val="75C786AC"/>
    <w:rsid w:val="768A6638"/>
    <w:rsid w:val="77539955"/>
    <w:rsid w:val="7E471C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CC1FC1"/>
  <w15:docId w15:val="{71195A4B-BBC1-490A-A7FC-7043EA998EFD}"/>
  <w:removePersonalInformatio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99"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6C35"/>
    <w:rPr>
      <w:sz w:val="22"/>
    </w:rPr>
  </w:style>
  <w:style w:type="paragraph" w:styleId="Heading1">
    <w:name w:val="heading 1"/>
    <w:basedOn w:val="Normal"/>
    <w:next w:val="BodyText"/>
    <w:link w:val="Heading1Char"/>
    <w:qFormat/>
    <w:rsid w:val="00D73C85"/>
    <w:pPr>
      <w:keepNext/>
      <w:keepLines/>
      <w:pageBreakBefore/>
      <w:numPr>
        <w:numId w:val="7"/>
      </w:numPr>
      <w:spacing w:before="120" w:after="240"/>
      <w:outlineLvl w:val="0"/>
    </w:pPr>
    <w:rPr>
      <w:rFonts w:cs="Arial"/>
      <w:b/>
      <w:bCs/>
      <w:kern w:val="28"/>
      <w:position w:val="6"/>
      <w:sz w:val="32"/>
      <w:szCs w:val="26"/>
    </w:rPr>
  </w:style>
  <w:style w:type="paragraph" w:styleId="Heading2">
    <w:name w:val="heading 2"/>
    <w:basedOn w:val="Normal"/>
    <w:next w:val="BodyText"/>
    <w:link w:val="Heading2Char"/>
    <w:qFormat/>
    <w:rsid w:val="00DE16A8"/>
    <w:pPr>
      <w:keepNext/>
      <w:numPr>
        <w:ilvl w:val="1"/>
        <w:numId w:val="7"/>
      </w:numPr>
      <w:spacing w:before="240" w:after="240"/>
      <w:ind w:hanging="1080"/>
      <w:outlineLvl w:val="1"/>
    </w:pPr>
    <w:rPr>
      <w:rFonts w:cs="Arial"/>
      <w:b/>
      <w:bCs/>
      <w:iCs/>
      <w:sz w:val="28"/>
      <w:szCs w:val="26"/>
    </w:rPr>
  </w:style>
  <w:style w:type="paragraph" w:styleId="Heading3">
    <w:name w:val="heading 3"/>
    <w:basedOn w:val="Normal"/>
    <w:next w:val="BodyText"/>
    <w:link w:val="Heading3Char"/>
    <w:qFormat/>
    <w:rsid w:val="00F905D9"/>
    <w:pPr>
      <w:keepNext/>
      <w:numPr>
        <w:ilvl w:val="2"/>
        <w:numId w:val="7"/>
      </w:numPr>
      <w:spacing w:before="240" w:after="240"/>
      <w:outlineLvl w:val="2"/>
    </w:pPr>
    <w:rPr>
      <w:rFonts w:cs="Arial"/>
      <w:b/>
      <w:bCs/>
      <w:sz w:val="24"/>
      <w:szCs w:val="26"/>
    </w:rPr>
  </w:style>
  <w:style w:type="paragraph" w:styleId="Heading4">
    <w:name w:val="heading 4"/>
    <w:basedOn w:val="Normal"/>
    <w:next w:val="BodyText"/>
    <w:link w:val="Heading4Char"/>
    <w:unhideWhenUsed/>
    <w:qFormat/>
    <w:rsid w:val="00F905D9"/>
    <w:pPr>
      <w:keepNext/>
      <w:keepLines/>
      <w:numPr>
        <w:ilvl w:val="3"/>
        <w:numId w:val="7"/>
      </w:numPr>
      <w:spacing w:before="240" w:after="240"/>
      <w:outlineLvl w:val="3"/>
    </w:pPr>
    <w:rPr>
      <w:b/>
      <w:bCs/>
      <w:i/>
      <w:iCs/>
      <w:kern w:val="28"/>
    </w:rPr>
  </w:style>
  <w:style w:type="paragraph" w:styleId="Heading5">
    <w:name w:val="heading 5"/>
    <w:aliases w:val="Append Level 1"/>
    <w:basedOn w:val="Normal"/>
    <w:next w:val="BodyText"/>
    <w:link w:val="Heading5Char"/>
    <w:unhideWhenUsed/>
    <w:qFormat/>
    <w:rsid w:val="004C5617"/>
    <w:pPr>
      <w:keepNext/>
      <w:keepLines/>
      <w:pageBreakBefore/>
      <w:numPr>
        <w:ilvl w:val="4"/>
        <w:numId w:val="7"/>
      </w:numPr>
      <w:spacing w:before="120" w:after="240"/>
      <w:outlineLvl w:val="4"/>
    </w:pPr>
    <w:rPr>
      <w:rFonts w:cs="Arial"/>
      <w:b/>
      <w:kern w:val="28"/>
      <w:sz w:val="32"/>
      <w:szCs w:val="28"/>
    </w:rPr>
  </w:style>
  <w:style w:type="paragraph" w:styleId="Heading6">
    <w:name w:val="heading 6"/>
    <w:aliases w:val="Append Level 2"/>
    <w:next w:val="BodyText"/>
    <w:link w:val="Heading6Char"/>
    <w:unhideWhenUsed/>
    <w:qFormat/>
    <w:rsid w:val="00F905D9"/>
    <w:pPr>
      <w:keepNext/>
      <w:keepLines/>
      <w:numPr>
        <w:ilvl w:val="5"/>
        <w:numId w:val="7"/>
      </w:numPr>
      <w:spacing w:before="240" w:after="240"/>
      <w:outlineLvl w:val="5"/>
    </w:pPr>
    <w:rPr>
      <w:rFonts w:cs="Arial"/>
      <w:b/>
      <w:iCs/>
      <w:kern w:val="28"/>
      <w:position w:val="6"/>
      <w:sz w:val="28"/>
      <w:szCs w:val="26"/>
    </w:rPr>
  </w:style>
  <w:style w:type="paragraph" w:styleId="Heading7">
    <w:name w:val="heading 7"/>
    <w:aliases w:val="Append Level 3"/>
    <w:next w:val="BodyText"/>
    <w:link w:val="Heading7Char"/>
    <w:unhideWhenUsed/>
    <w:qFormat/>
    <w:rsid w:val="00F905D9"/>
    <w:pPr>
      <w:numPr>
        <w:ilvl w:val="6"/>
        <w:numId w:val="7"/>
      </w:numPr>
      <w:spacing w:before="240" w:after="240"/>
      <w:outlineLvl w:val="6"/>
    </w:pPr>
    <w:rPr>
      <w:b/>
      <w:iCs/>
      <w:sz w:val="24"/>
      <w:szCs w:val="26"/>
    </w:rPr>
  </w:style>
  <w:style w:type="paragraph" w:styleId="Heading8">
    <w:name w:val="heading 8"/>
    <w:aliases w:val="Exec Sum Level 1"/>
    <w:basedOn w:val="Heading1"/>
    <w:next w:val="BodyText"/>
    <w:link w:val="Heading8Char"/>
    <w:unhideWhenUsed/>
    <w:qFormat/>
    <w:rsid w:val="00D8064B"/>
    <w:pPr>
      <w:numPr>
        <w:numId w:val="0"/>
      </w:numPr>
      <w:outlineLvl w:val="7"/>
    </w:pPr>
  </w:style>
  <w:style w:type="paragraph" w:styleId="Heading9">
    <w:name w:val="heading 9"/>
    <w:aliases w:val="Exec Sum Level 2"/>
    <w:basedOn w:val="Heading2"/>
    <w:next w:val="BodyText"/>
    <w:link w:val="Heading9Char"/>
    <w:unhideWhenUsed/>
    <w:qFormat/>
    <w:rsid w:val="00F905D9"/>
    <w:pPr>
      <w:keepLines/>
      <w:numPr>
        <w:ilvl w:val="0"/>
        <w:numId w:val="0"/>
      </w:numPr>
      <w:outlineLvl w:val="8"/>
    </w:pPr>
    <w:rPr>
      <w:i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Classic2">
    <w:name w:val="Table Classic 2"/>
    <w:basedOn w:val="TableNormal"/>
    <w:rsid w:val="00BF64FE"/>
    <w:pPr>
      <w:tabs>
        <w:tab w:val="left" w:pos="360"/>
        <w:tab w:val="left" w:pos="720"/>
        <w:tab w:val="left" w:pos="1080"/>
        <w:tab w:val="left" w:pos="1440"/>
      </w:tabs>
    </w:pPr>
    <w:rPr>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StyleBulleted6">
    <w:name w:val="Style Bulleted6"/>
    <w:rsid w:val="00BF64FE"/>
    <w:pPr>
      <w:numPr>
        <w:numId w:val="1"/>
      </w:numPr>
    </w:pPr>
  </w:style>
  <w:style w:type="numbering" w:customStyle="1" w:styleId="StyleBulleted9">
    <w:name w:val="Style Bulleted9"/>
    <w:basedOn w:val="NoList"/>
    <w:rsid w:val="00BF64FE"/>
    <w:pPr>
      <w:numPr>
        <w:numId w:val="2"/>
      </w:numPr>
    </w:pPr>
  </w:style>
  <w:style w:type="paragraph" w:styleId="Header">
    <w:name w:val="header"/>
    <w:basedOn w:val="Normal"/>
    <w:link w:val="HeaderChar"/>
    <w:uiPriority w:val="99"/>
    <w:unhideWhenUsed/>
    <w:rsid w:val="00C17056"/>
    <w:pPr>
      <w:tabs>
        <w:tab w:val="center" w:pos="4680"/>
        <w:tab w:val="right" w:pos="9360"/>
      </w:tabs>
    </w:pPr>
  </w:style>
  <w:style w:type="paragraph" w:styleId="Footer">
    <w:name w:val="footer"/>
    <w:basedOn w:val="Normal"/>
    <w:link w:val="FooterChar"/>
    <w:uiPriority w:val="99"/>
    <w:rsid w:val="007A268D"/>
    <w:pPr>
      <w:tabs>
        <w:tab w:val="center" w:pos="4320"/>
        <w:tab w:val="right" w:pos="9360"/>
      </w:tabs>
    </w:pPr>
    <w:rPr>
      <w:sz w:val="16"/>
    </w:rPr>
  </w:style>
  <w:style w:type="paragraph" w:styleId="Title">
    <w:name w:val="Title"/>
    <w:aliases w:val="Cover_Title,Report Title"/>
    <w:basedOn w:val="Normal"/>
    <w:next w:val="Normal"/>
    <w:link w:val="TitleChar"/>
    <w:uiPriority w:val="10"/>
    <w:qFormat/>
    <w:rsid w:val="00A53568"/>
    <w:pPr>
      <w:widowControl w:val="0"/>
      <w:spacing w:after="120"/>
    </w:pPr>
    <w:rPr>
      <w:b/>
      <w:spacing w:val="-10"/>
      <w:kern w:val="28"/>
      <w:sz w:val="48"/>
      <w:szCs w:val="56"/>
    </w:rPr>
  </w:style>
  <w:style w:type="paragraph" w:styleId="Subtitle">
    <w:name w:val="Subtitle"/>
    <w:aliases w:val="Cover_Subtitle,Report Subtitle"/>
    <w:basedOn w:val="Normal"/>
    <w:next w:val="Normal"/>
    <w:link w:val="SubtitleChar"/>
    <w:uiPriority w:val="11"/>
    <w:qFormat/>
    <w:rsid w:val="007A268D"/>
    <w:pPr>
      <w:widowControl w:val="0"/>
      <w:numPr>
        <w:ilvl w:val="1"/>
      </w:numPr>
      <w:spacing w:before="240" w:after="520"/>
    </w:pPr>
    <w:rPr>
      <w:b/>
      <w:sz w:val="28"/>
      <w:szCs w:val="22"/>
    </w:rPr>
  </w:style>
  <w:style w:type="character" w:customStyle="1" w:styleId="CoverText">
    <w:name w:val="Cover Text"/>
    <w:rsid w:val="007A268D"/>
    <w:rPr>
      <w:rFonts w:ascii="Arial" w:hAnsi="Arial"/>
      <w:color w:val="auto"/>
      <w:sz w:val="22"/>
    </w:rPr>
  </w:style>
  <w:style w:type="paragraph" w:styleId="TOC1">
    <w:name w:val="toc 1"/>
    <w:basedOn w:val="Normal"/>
    <w:next w:val="Normal"/>
    <w:link w:val="TOC1Char"/>
    <w:autoRedefine/>
    <w:uiPriority w:val="39"/>
    <w:unhideWhenUsed/>
    <w:rsid w:val="00FE70E0"/>
    <w:pPr>
      <w:widowControl w:val="0"/>
      <w:tabs>
        <w:tab w:val="right" w:leader="dot" w:pos="9350"/>
      </w:tabs>
      <w:spacing w:before="120" w:after="120"/>
    </w:pPr>
    <w:rPr>
      <w:rFonts w:eastAsia="Calibri"/>
      <w:b/>
      <w:sz w:val="24"/>
      <w:szCs w:val="22"/>
    </w:rPr>
  </w:style>
  <w:style w:type="paragraph" w:styleId="TOC2">
    <w:name w:val="toc 2"/>
    <w:basedOn w:val="NormalIndent"/>
    <w:next w:val="Normal"/>
    <w:autoRedefine/>
    <w:uiPriority w:val="39"/>
    <w:rsid w:val="00FE70E0"/>
    <w:pPr>
      <w:widowControl w:val="0"/>
      <w:tabs>
        <w:tab w:val="left" w:pos="1080"/>
        <w:tab w:val="right" w:leader="dot" w:pos="9346"/>
      </w:tabs>
      <w:spacing w:after="60"/>
      <w:ind w:left="1094" w:hanging="547"/>
    </w:pPr>
    <w:rPr>
      <w:noProof/>
    </w:rPr>
  </w:style>
  <w:style w:type="paragraph" w:styleId="TOC3">
    <w:name w:val="toc 3"/>
    <w:basedOn w:val="Normal"/>
    <w:next w:val="Normal"/>
    <w:autoRedefine/>
    <w:uiPriority w:val="39"/>
    <w:rsid w:val="00BC1259"/>
    <w:pPr>
      <w:widowControl w:val="0"/>
      <w:tabs>
        <w:tab w:val="left" w:pos="1800"/>
        <w:tab w:val="right" w:leader="dot" w:pos="9360"/>
      </w:tabs>
      <w:spacing w:after="60"/>
      <w:ind w:left="1800" w:hanging="720"/>
    </w:pPr>
    <w:rPr>
      <w:noProof/>
    </w:rPr>
  </w:style>
  <w:style w:type="character" w:styleId="Hyperlink">
    <w:name w:val="Hyperlink"/>
    <w:uiPriority w:val="99"/>
    <w:rsid w:val="00E8061E"/>
    <w:rPr>
      <w:rFonts w:ascii="Arial" w:hAnsi="Arial"/>
      <w:b w:val="0"/>
      <w:i w:val="0"/>
      <w:color w:val="68952D"/>
      <w:sz w:val="22"/>
      <w:u w:val="single" w:color="68952D"/>
    </w:rPr>
  </w:style>
  <w:style w:type="paragraph" w:styleId="TOCHeading">
    <w:name w:val="TOC Heading"/>
    <w:aliases w:val="TOC Heading (Not in TOC)"/>
    <w:basedOn w:val="Heading1"/>
    <w:next w:val="BodyText"/>
    <w:link w:val="TOCHeadingChar"/>
    <w:uiPriority w:val="39"/>
    <w:unhideWhenUsed/>
    <w:qFormat/>
    <w:rsid w:val="0023158C"/>
    <w:pPr>
      <w:keepLines w:val="0"/>
      <w:pageBreakBefore w:val="0"/>
      <w:numPr>
        <w:numId w:val="0"/>
      </w:numPr>
      <w:outlineLvl w:val="9"/>
    </w:pPr>
    <w:rPr>
      <w:rFonts w:eastAsia="Calibri" w:cs="Times New Roman"/>
      <w:bCs w:val="0"/>
      <w:kern w:val="0"/>
      <w:position w:val="0"/>
      <w:szCs w:val="22"/>
    </w:rPr>
  </w:style>
  <w:style w:type="numbering" w:customStyle="1" w:styleId="StyleNumberedLeft025Hanging025">
    <w:name w:val="Style Numbered Left:  0.25&quot; Hanging:  0.25&quot;"/>
    <w:basedOn w:val="NoList"/>
    <w:rsid w:val="00BF64FE"/>
    <w:pPr>
      <w:numPr>
        <w:numId w:val="3"/>
      </w:numPr>
    </w:pPr>
  </w:style>
  <w:style w:type="paragraph" w:styleId="FootnoteText">
    <w:name w:val="footnote text"/>
    <w:aliases w:val="E3 Footnote Text,E3 footnote text"/>
    <w:basedOn w:val="BodyText"/>
    <w:link w:val="FootnoteTextChar"/>
    <w:uiPriority w:val="99"/>
    <w:qFormat/>
    <w:rsid w:val="00121141"/>
    <w:pPr>
      <w:keepLines/>
      <w:tabs>
        <w:tab w:val="left" w:pos="360"/>
        <w:tab w:val="left" w:pos="720"/>
        <w:tab w:val="left" w:pos="1080"/>
        <w:tab w:val="left" w:pos="1440"/>
        <w:tab w:val="left" w:pos="1800"/>
        <w:tab w:val="left" w:pos="2160"/>
      </w:tabs>
      <w:spacing w:after="40"/>
    </w:pPr>
    <w:rPr>
      <w:sz w:val="18"/>
    </w:rPr>
  </w:style>
  <w:style w:type="character" w:styleId="FootnoteReference">
    <w:name w:val="footnote reference"/>
    <w:aliases w:val="o,o + Times New Roman,fr,o1,o2,o3,o4,o5,o6,o11,o21,o7,Style 13,Style 12,Style 15,Style 17,Style 9,fr1,fr2,fr3,Style 18,(NECG) Footnote Reference,Style 20,Style 7,Style 8,Style 19,Style 28,Style 11,Style 16,Styl,E3 footnote reference"/>
    <w:uiPriority w:val="99"/>
    <w:qFormat/>
    <w:rsid w:val="00FB6B5E"/>
    <w:rPr>
      <w:rFonts w:ascii="Arial" w:hAnsi="Arial"/>
      <w:color w:val="auto"/>
      <w:vertAlign w:val="superscript"/>
    </w:rPr>
  </w:style>
  <w:style w:type="paragraph" w:styleId="Caption">
    <w:name w:val="caption"/>
    <w:aliases w:val="Table/Figure Caption"/>
    <w:basedOn w:val="Normal"/>
    <w:next w:val="Normal"/>
    <w:link w:val="CaptionChar"/>
    <w:uiPriority w:val="35"/>
    <w:qFormat/>
    <w:rsid w:val="007667BD"/>
    <w:pPr>
      <w:keepNext/>
      <w:spacing w:after="120"/>
      <w:jc w:val="center"/>
    </w:pPr>
    <w:rPr>
      <w:rFonts w:cs="Arial"/>
      <w:b/>
      <w:bCs/>
    </w:rPr>
  </w:style>
  <w:style w:type="numbering" w:customStyle="1" w:styleId="StyleBulletedLeft0Hanging03">
    <w:name w:val="Style Bulleted Left:  0&quot; Hanging:  0.3&quot;"/>
    <w:basedOn w:val="NoList"/>
    <w:rsid w:val="00BF64FE"/>
    <w:pPr>
      <w:numPr>
        <w:numId w:val="4"/>
      </w:numPr>
    </w:pPr>
  </w:style>
  <w:style w:type="character" w:customStyle="1" w:styleId="HeaderChar">
    <w:name w:val="Header Char"/>
    <w:basedOn w:val="DefaultParagraphFont"/>
    <w:link w:val="Header"/>
    <w:uiPriority w:val="99"/>
    <w:rsid w:val="00C17056"/>
  </w:style>
  <w:style w:type="numbering" w:customStyle="1" w:styleId="StyleBulleted">
    <w:name w:val="Style Bulleted"/>
    <w:basedOn w:val="NoList"/>
    <w:rsid w:val="00BF64FE"/>
    <w:pPr>
      <w:numPr>
        <w:numId w:val="5"/>
      </w:numPr>
    </w:pPr>
  </w:style>
  <w:style w:type="character" w:customStyle="1" w:styleId="Heading4Char">
    <w:name w:val="Heading 4 Char"/>
    <w:link w:val="Heading4"/>
    <w:rsid w:val="00F905D9"/>
    <w:rPr>
      <w:b/>
      <w:bCs/>
      <w:i/>
      <w:iCs/>
      <w:kern w:val="28"/>
      <w:sz w:val="22"/>
    </w:rPr>
  </w:style>
  <w:style w:type="character" w:customStyle="1" w:styleId="Heading5Char">
    <w:name w:val="Heading 5 Char"/>
    <w:aliases w:val="Append Level 1 Char"/>
    <w:link w:val="Heading5"/>
    <w:rsid w:val="004C5617"/>
    <w:rPr>
      <w:rFonts w:cs="Arial"/>
      <w:b/>
      <w:kern w:val="28"/>
      <w:sz w:val="32"/>
      <w:szCs w:val="28"/>
    </w:rPr>
  </w:style>
  <w:style w:type="character" w:customStyle="1" w:styleId="Heading6Char">
    <w:name w:val="Heading 6 Char"/>
    <w:aliases w:val="Append Level 2 Char"/>
    <w:link w:val="Heading6"/>
    <w:rsid w:val="00F905D9"/>
    <w:rPr>
      <w:rFonts w:cs="Arial"/>
      <w:b/>
      <w:iCs/>
      <w:kern w:val="28"/>
      <w:position w:val="6"/>
      <w:sz w:val="28"/>
      <w:szCs w:val="26"/>
    </w:rPr>
  </w:style>
  <w:style w:type="character" w:customStyle="1" w:styleId="Heading7Char">
    <w:name w:val="Heading 7 Char"/>
    <w:aliases w:val="Append Level 3 Char"/>
    <w:link w:val="Heading7"/>
    <w:rsid w:val="00F905D9"/>
    <w:rPr>
      <w:b/>
      <w:iCs/>
      <w:sz w:val="24"/>
      <w:szCs w:val="26"/>
    </w:rPr>
  </w:style>
  <w:style w:type="character" w:customStyle="1" w:styleId="Heading8Char">
    <w:name w:val="Heading 8 Char"/>
    <w:aliases w:val="Exec Sum Level 1 Char"/>
    <w:link w:val="Heading8"/>
    <w:rsid w:val="00D8064B"/>
    <w:rPr>
      <w:rFonts w:cs="Arial"/>
      <w:b/>
      <w:bCs/>
      <w:kern w:val="28"/>
      <w:position w:val="6"/>
      <w:sz w:val="32"/>
      <w:szCs w:val="26"/>
    </w:rPr>
  </w:style>
  <w:style w:type="character" w:customStyle="1" w:styleId="Heading9Char">
    <w:name w:val="Heading 9 Char"/>
    <w:aliases w:val="Exec Sum Level 2 Char"/>
    <w:link w:val="Heading9"/>
    <w:rsid w:val="00F905D9"/>
    <w:rPr>
      <w:rFonts w:cs="Arial"/>
      <w:b/>
      <w:bCs/>
      <w:sz w:val="28"/>
      <w:szCs w:val="22"/>
    </w:rPr>
  </w:style>
  <w:style w:type="paragraph" w:styleId="ListParagraph">
    <w:name w:val="List Paragraph"/>
    <w:aliases w:val="List Paragraph - RFP,Bullet Styles para,Numbered Standard,TOC etc.,Numbered Para 1,Dot pt,No Spacing1,List Paragraph Char Char Char,Indicator Text,List Paragraph1,Bullet Points,MAIN CONTENT,List Paragraph12,F5 List Paragraph,lp1,TOC style"/>
    <w:basedOn w:val="BodyText"/>
    <w:link w:val="ListParagraphChar"/>
    <w:uiPriority w:val="34"/>
    <w:qFormat/>
    <w:rsid w:val="00DF3016"/>
    <w:pPr>
      <w:spacing w:before="120" w:after="120"/>
      <w:ind w:left="720"/>
    </w:pPr>
  </w:style>
  <w:style w:type="table" w:styleId="TableGrid">
    <w:name w:val="Table Grid"/>
    <w:basedOn w:val="TableNormal"/>
    <w:uiPriority w:val="59"/>
    <w:rsid w:val="00BF64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List7">
    <w:name w:val="Table List 7"/>
    <w:basedOn w:val="TableNormal"/>
    <w:rsid w:val="00BF64F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HeaderTitle">
    <w:name w:val="Header Title"/>
    <w:basedOn w:val="Normal"/>
    <w:rsid w:val="007A268D"/>
    <w:pPr>
      <w:spacing w:before="120" w:after="120"/>
    </w:pPr>
    <w:rPr>
      <w:b/>
      <w:sz w:val="24"/>
    </w:rPr>
  </w:style>
  <w:style w:type="character" w:customStyle="1" w:styleId="TOCHeadingChar">
    <w:name w:val="TOC Heading Char"/>
    <w:aliases w:val="TOC Heading (Not in TOC) Char"/>
    <w:link w:val="TOCHeading"/>
    <w:uiPriority w:val="39"/>
    <w:rsid w:val="0023158C"/>
    <w:rPr>
      <w:rFonts w:eastAsia="Calibri"/>
      <w:b/>
      <w:sz w:val="32"/>
      <w:szCs w:val="22"/>
    </w:rPr>
  </w:style>
  <w:style w:type="paragraph" w:styleId="BalloonText">
    <w:name w:val="Balloon Text"/>
    <w:basedOn w:val="Normal"/>
    <w:link w:val="BalloonTextChar"/>
    <w:semiHidden/>
    <w:unhideWhenUsed/>
    <w:rsid w:val="00EB4473"/>
    <w:rPr>
      <w:rFonts w:ascii="Segoe UI" w:hAnsi="Segoe UI" w:cs="Segoe UI"/>
      <w:sz w:val="18"/>
      <w:szCs w:val="18"/>
    </w:rPr>
  </w:style>
  <w:style w:type="character" w:customStyle="1" w:styleId="Heading1Char">
    <w:name w:val="Heading 1 Char"/>
    <w:link w:val="Heading1"/>
    <w:rsid w:val="00D73C85"/>
    <w:rPr>
      <w:rFonts w:cs="Arial"/>
      <w:b/>
      <w:bCs/>
      <w:kern w:val="28"/>
      <w:position w:val="6"/>
      <w:sz w:val="32"/>
      <w:szCs w:val="26"/>
    </w:rPr>
  </w:style>
  <w:style w:type="character" w:customStyle="1" w:styleId="Heading2Char">
    <w:name w:val="Heading 2 Char"/>
    <w:link w:val="Heading2"/>
    <w:rsid w:val="00DE16A8"/>
    <w:rPr>
      <w:rFonts w:cs="Arial"/>
      <w:b/>
      <w:bCs/>
      <w:iCs/>
      <w:sz w:val="28"/>
      <w:szCs w:val="26"/>
    </w:rPr>
  </w:style>
  <w:style w:type="character" w:customStyle="1" w:styleId="Heading3Char">
    <w:name w:val="Heading 3 Char"/>
    <w:link w:val="Heading3"/>
    <w:rsid w:val="00F905D9"/>
    <w:rPr>
      <w:rFonts w:cs="Arial"/>
      <w:b/>
      <w:bCs/>
      <w:sz w:val="24"/>
      <w:szCs w:val="26"/>
    </w:rPr>
  </w:style>
  <w:style w:type="character" w:styleId="PlaceholderText">
    <w:name w:val="Placeholder Text"/>
    <w:uiPriority w:val="99"/>
    <w:semiHidden/>
    <w:rsid w:val="00BF64FE"/>
    <w:rPr>
      <w:color w:val="808080"/>
    </w:rPr>
  </w:style>
  <w:style w:type="paragraph" w:styleId="TOC4">
    <w:name w:val="toc 4"/>
    <w:basedOn w:val="Normal"/>
    <w:next w:val="Normal"/>
    <w:autoRedefine/>
    <w:uiPriority w:val="39"/>
    <w:rsid w:val="00CB2CB8"/>
    <w:pPr>
      <w:tabs>
        <w:tab w:val="left" w:pos="2700"/>
        <w:tab w:val="right" w:leader="dot" w:pos="9278"/>
      </w:tabs>
      <w:spacing w:after="100"/>
      <w:ind w:left="2700" w:hanging="900"/>
    </w:pPr>
    <w:rPr>
      <w:i/>
      <w:noProof/>
    </w:rPr>
  </w:style>
  <w:style w:type="character" w:customStyle="1" w:styleId="CaptionChar">
    <w:name w:val="Caption Char"/>
    <w:aliases w:val="Table/Figure Caption Char"/>
    <w:link w:val="Caption"/>
    <w:uiPriority w:val="35"/>
    <w:rsid w:val="007667BD"/>
    <w:rPr>
      <w:rFonts w:cs="Arial"/>
      <w:b/>
      <w:bCs/>
      <w:sz w:val="22"/>
    </w:rPr>
  </w:style>
  <w:style w:type="paragraph" w:styleId="TableofFigures">
    <w:name w:val="table of figures"/>
    <w:basedOn w:val="Normal"/>
    <w:next w:val="Normal"/>
    <w:uiPriority w:val="99"/>
    <w:rsid w:val="008E5479"/>
    <w:pPr>
      <w:tabs>
        <w:tab w:val="right" w:leader="dot" w:pos="9274"/>
      </w:tabs>
    </w:pPr>
  </w:style>
  <w:style w:type="paragraph" w:customStyle="1" w:styleId="TableFigureSource">
    <w:name w:val="Table/Figure Source"/>
    <w:basedOn w:val="Normal"/>
    <w:next w:val="BodyText"/>
    <w:link w:val="TableFigureSourceChar"/>
    <w:qFormat/>
    <w:rsid w:val="00B66A7E"/>
    <w:pPr>
      <w:spacing w:before="60" w:after="240"/>
    </w:pPr>
    <w:rPr>
      <w:i/>
      <w:sz w:val="18"/>
    </w:rPr>
  </w:style>
  <w:style w:type="character" w:customStyle="1" w:styleId="TableFigureSourceChar">
    <w:name w:val="Table/Figure Source Char"/>
    <w:link w:val="TableFigureSource"/>
    <w:rsid w:val="00B66A7E"/>
    <w:rPr>
      <w:i/>
      <w:sz w:val="18"/>
    </w:rPr>
  </w:style>
  <w:style w:type="character" w:customStyle="1" w:styleId="BalloonTextChar">
    <w:name w:val="Balloon Text Char"/>
    <w:basedOn w:val="DefaultParagraphFont"/>
    <w:link w:val="BalloonText"/>
    <w:semiHidden/>
    <w:rsid w:val="00EB4473"/>
    <w:rPr>
      <w:rFonts w:ascii="Segoe UI" w:hAnsi="Segoe UI" w:cs="Segoe UI"/>
      <w:sz w:val="18"/>
      <w:szCs w:val="18"/>
    </w:rPr>
  </w:style>
  <w:style w:type="character" w:customStyle="1" w:styleId="ListParagraphChar">
    <w:name w:val="List Paragraph Char"/>
    <w:aliases w:val="List Paragraph - RFP Char,Bullet Styles para Char,Numbered Standard Char,TOC etc. Char,Numbered Para 1 Char,Dot pt Char,No Spacing1 Char,List Paragraph Char Char Char Char,Indicator Text Char,List Paragraph1 Char,Bullet Points Char"/>
    <w:link w:val="ListParagraph"/>
    <w:uiPriority w:val="34"/>
    <w:qFormat/>
    <w:locked/>
    <w:rsid w:val="00DF3016"/>
    <w:rPr>
      <w:sz w:val="22"/>
    </w:rPr>
  </w:style>
  <w:style w:type="table" w:styleId="MediumShading1-Accent6">
    <w:name w:val="Medium Shading 1 Accent 6"/>
    <w:basedOn w:val="TableNormal"/>
    <w:uiPriority w:val="63"/>
    <w:rsid w:val="00BF64FE"/>
    <w:tblPr>
      <w:tblStyleRowBandSize w:val="1"/>
      <w:tblStyleColBandSize w:val="1"/>
      <w:tblBorders>
        <w:top w:val="single" w:sz="8" w:space="0" w:color="FF015F"/>
        <w:left w:val="single" w:sz="8" w:space="0" w:color="FF015F"/>
        <w:bottom w:val="single" w:sz="8" w:space="0" w:color="FF015F"/>
        <w:right w:val="single" w:sz="8" w:space="0" w:color="FF015F"/>
        <w:insideH w:val="single" w:sz="8" w:space="0" w:color="FF015F"/>
      </w:tblBorders>
    </w:tblPr>
    <w:tblStylePr w:type="firstRow">
      <w:pPr>
        <w:spacing w:before="0" w:after="0" w:line="240" w:lineRule="auto"/>
      </w:pPr>
      <w:rPr>
        <w:b/>
        <w:bCs/>
        <w:color w:val="FFFFFF"/>
      </w:rPr>
      <w:tblPr/>
      <w:tcPr>
        <w:tcBorders>
          <w:top w:val="single" w:sz="8" w:space="0" w:color="FF015F"/>
          <w:left w:val="single" w:sz="8" w:space="0" w:color="FF015F"/>
          <w:bottom w:val="single" w:sz="8" w:space="0" w:color="FF015F"/>
          <w:right w:val="single" w:sz="8" w:space="0" w:color="FF015F"/>
          <w:insideH w:val="nil"/>
          <w:insideV w:val="nil"/>
        </w:tcBorders>
        <w:shd w:val="clear" w:color="auto" w:fill="AC0040"/>
      </w:tcPr>
    </w:tblStylePr>
    <w:tblStylePr w:type="lastRow">
      <w:pPr>
        <w:spacing w:before="0" w:after="0" w:line="240" w:lineRule="auto"/>
      </w:pPr>
      <w:rPr>
        <w:b/>
        <w:bCs/>
      </w:rPr>
      <w:tblPr/>
      <w:tcPr>
        <w:tcBorders>
          <w:top w:val="double" w:sz="6" w:space="0" w:color="FF015F"/>
          <w:left w:val="single" w:sz="8" w:space="0" w:color="FF015F"/>
          <w:bottom w:val="single" w:sz="8" w:space="0" w:color="FF015F"/>
          <w:right w:val="single" w:sz="8" w:space="0" w:color="FF015F"/>
          <w:insideH w:val="nil"/>
          <w:insideV w:val="nil"/>
        </w:tcBorders>
      </w:tcPr>
    </w:tblStylePr>
    <w:tblStylePr w:type="firstCol">
      <w:rPr>
        <w:b/>
        <w:bCs/>
      </w:rPr>
    </w:tblStylePr>
    <w:tblStylePr w:type="lastCol">
      <w:rPr>
        <w:b/>
        <w:bCs/>
      </w:rPr>
    </w:tblStylePr>
    <w:tblStylePr w:type="band1Vert">
      <w:tblPr/>
      <w:tcPr>
        <w:shd w:val="clear" w:color="auto" w:fill="FFABCA"/>
      </w:tcPr>
    </w:tblStylePr>
    <w:tblStylePr w:type="band1Horz">
      <w:tblPr/>
      <w:tcPr>
        <w:tcBorders>
          <w:insideH w:val="nil"/>
          <w:insideV w:val="nil"/>
        </w:tcBorders>
        <w:shd w:val="clear" w:color="auto" w:fill="FFABCA"/>
      </w:tcPr>
    </w:tblStylePr>
    <w:tblStylePr w:type="band2Horz">
      <w:tblPr/>
      <w:tcPr>
        <w:tcBorders>
          <w:insideH w:val="nil"/>
          <w:insideV w:val="nil"/>
        </w:tcBorders>
      </w:tcPr>
    </w:tblStylePr>
  </w:style>
  <w:style w:type="paragraph" w:styleId="EndnoteText">
    <w:name w:val="endnote text"/>
    <w:basedOn w:val="Normal"/>
    <w:link w:val="EndnoteTextChar"/>
    <w:rsid w:val="00C17056"/>
  </w:style>
  <w:style w:type="character" w:customStyle="1" w:styleId="EndnoteTextChar">
    <w:name w:val="Endnote Text Char"/>
    <w:link w:val="EndnoteText"/>
    <w:rsid w:val="00C17056"/>
  </w:style>
  <w:style w:type="character" w:styleId="EndnoteReference">
    <w:name w:val="endnote reference"/>
    <w:rsid w:val="00BF64FE"/>
    <w:rPr>
      <w:rFonts w:ascii="Arial" w:hAnsi="Arial"/>
      <w:color w:val="555759"/>
      <w:vertAlign w:val="superscript"/>
    </w:rPr>
  </w:style>
  <w:style w:type="paragraph" w:customStyle="1" w:styleId="TableBullet">
    <w:name w:val="Table Bullet"/>
    <w:basedOn w:val="Normal"/>
    <w:link w:val="TableBulletChar"/>
    <w:qFormat/>
    <w:rsid w:val="00C17056"/>
    <w:pPr>
      <w:keepNext/>
      <w:numPr>
        <w:numId w:val="6"/>
      </w:numPr>
      <w:spacing w:before="40" w:after="40" w:line="240" w:lineRule="atLeast"/>
      <w:ind w:left="259" w:hanging="187"/>
    </w:pPr>
    <w:rPr>
      <w:rFonts w:cs="Arial"/>
    </w:rPr>
  </w:style>
  <w:style w:type="character" w:customStyle="1" w:styleId="TableBulletChar">
    <w:name w:val="Table Bullet Char"/>
    <w:link w:val="TableBullet"/>
    <w:rsid w:val="00C17056"/>
    <w:rPr>
      <w:rFonts w:cs="Arial"/>
      <w:sz w:val="22"/>
    </w:rPr>
  </w:style>
  <w:style w:type="paragraph" w:styleId="Revision">
    <w:name w:val="Revision"/>
    <w:hidden/>
    <w:uiPriority w:val="99"/>
    <w:semiHidden/>
    <w:rsid w:val="000C2CB0"/>
    <w:rPr>
      <w:rFonts w:ascii="Palatino Linotype" w:hAnsi="Palatino Linotype"/>
      <w:szCs w:val="24"/>
    </w:rPr>
  </w:style>
  <w:style w:type="paragraph" w:customStyle="1" w:styleId="FooterAddress">
    <w:name w:val="Footer Address"/>
    <w:basedOn w:val="Footer"/>
    <w:link w:val="FooterAddressChar"/>
    <w:rsid w:val="00BF64FE"/>
    <w:pPr>
      <w:tabs>
        <w:tab w:val="left" w:pos="360"/>
        <w:tab w:val="left" w:pos="720"/>
        <w:tab w:val="left" w:pos="1080"/>
        <w:tab w:val="left" w:pos="1440"/>
      </w:tabs>
      <w:spacing w:line="240" w:lineRule="exact"/>
    </w:pPr>
    <w:rPr>
      <w:color w:val="555759"/>
    </w:rPr>
  </w:style>
  <w:style w:type="character" w:customStyle="1" w:styleId="FooterAddressChar">
    <w:name w:val="Footer Address Char"/>
    <w:link w:val="FooterAddress"/>
    <w:rsid w:val="00BF64FE"/>
    <w:rPr>
      <w:rFonts w:ascii="Arial" w:hAnsi="Arial"/>
      <w:color w:val="555759"/>
      <w:sz w:val="16"/>
      <w:szCs w:val="24"/>
    </w:rPr>
  </w:style>
  <w:style w:type="paragraph" w:styleId="BodyText">
    <w:name w:val="Body Text"/>
    <w:basedOn w:val="Normal"/>
    <w:link w:val="BodyTextChar"/>
    <w:uiPriority w:val="99"/>
    <w:unhideWhenUsed/>
    <w:qFormat/>
    <w:rsid w:val="00822EAA"/>
    <w:pPr>
      <w:spacing w:after="240"/>
    </w:pPr>
  </w:style>
  <w:style w:type="character" w:customStyle="1" w:styleId="BodyTextChar">
    <w:name w:val="Body Text Char"/>
    <w:link w:val="BodyText"/>
    <w:uiPriority w:val="99"/>
    <w:rsid w:val="00822EAA"/>
    <w:rPr>
      <w:sz w:val="22"/>
    </w:rPr>
  </w:style>
  <w:style w:type="character" w:customStyle="1" w:styleId="FooterChar">
    <w:name w:val="Footer Char"/>
    <w:link w:val="Footer"/>
    <w:uiPriority w:val="99"/>
    <w:rsid w:val="007A268D"/>
    <w:rPr>
      <w:sz w:val="16"/>
    </w:rPr>
  </w:style>
  <w:style w:type="character" w:customStyle="1" w:styleId="FootnoteTextChar">
    <w:name w:val="Footnote Text Char"/>
    <w:aliases w:val="E3 Footnote Text Char,E3 footnote text Char"/>
    <w:link w:val="FootnoteText"/>
    <w:uiPriority w:val="99"/>
    <w:rsid w:val="00121141"/>
    <w:rPr>
      <w:sz w:val="18"/>
    </w:rPr>
  </w:style>
  <w:style w:type="character" w:customStyle="1" w:styleId="SubtitleChar">
    <w:name w:val="Subtitle Char"/>
    <w:aliases w:val="Cover_Subtitle Char,Report Subtitle Char"/>
    <w:link w:val="Subtitle"/>
    <w:uiPriority w:val="11"/>
    <w:rsid w:val="007A268D"/>
    <w:rPr>
      <w:b/>
      <w:sz w:val="28"/>
      <w:szCs w:val="22"/>
    </w:rPr>
  </w:style>
  <w:style w:type="character" w:customStyle="1" w:styleId="TitleChar">
    <w:name w:val="Title Char"/>
    <w:aliases w:val="Cover_Title Char,Report Title Char"/>
    <w:link w:val="Title"/>
    <w:uiPriority w:val="10"/>
    <w:rsid w:val="00A53568"/>
    <w:rPr>
      <w:b/>
      <w:spacing w:val="-10"/>
      <w:kern w:val="28"/>
      <w:sz w:val="48"/>
      <w:szCs w:val="56"/>
    </w:rPr>
  </w:style>
  <w:style w:type="character" w:customStyle="1" w:styleId="TOC1Char">
    <w:name w:val="TOC 1 Char"/>
    <w:link w:val="TOC1"/>
    <w:uiPriority w:val="39"/>
    <w:rsid w:val="00FE70E0"/>
    <w:rPr>
      <w:rFonts w:eastAsia="Calibri"/>
      <w:b/>
      <w:sz w:val="24"/>
      <w:szCs w:val="22"/>
    </w:rPr>
  </w:style>
  <w:style w:type="table" w:styleId="TableGridLight">
    <w:name w:val="Grid Table Light"/>
    <w:basedOn w:val="TableNormal"/>
    <w:uiPriority w:val="40"/>
    <w:rsid w:val="00F261C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3-Accent1">
    <w:name w:val="List Table 3 Accent 1"/>
    <w:aliases w:val="Energy Table"/>
    <w:basedOn w:val="TableNormal"/>
    <w:uiPriority w:val="99"/>
    <w:qFormat/>
    <w:rsid w:val="002115BE"/>
    <w:pPr>
      <w:jc w:val="center"/>
    </w:pPr>
    <w:tblPr>
      <w:tblStyleRowBandSize w:val="1"/>
      <w:tblStyleColBandSize w:val="1"/>
      <w:tblBorders>
        <w:top w:val="single" w:sz="4" w:space="0" w:color="95D600"/>
        <w:bottom w:val="single" w:sz="4" w:space="0" w:color="95D600"/>
        <w:insideH w:val="single" w:sz="4" w:space="0" w:color="95D600"/>
      </w:tblBorders>
    </w:tblPr>
    <w:tcPr>
      <w:vAlign w:val="center"/>
    </w:tcPr>
    <w:tblStylePr w:type="firstRow">
      <w:pPr>
        <w:jc w:val="center"/>
      </w:pPr>
      <w:rPr>
        <w:b/>
        <w:bCs/>
        <w:color w:val="FFFFFF"/>
      </w:rPr>
      <w:tblPr/>
      <w:tcPr>
        <w:shd w:val="clear" w:color="auto" w:fill="95D600"/>
        <w:vAlign w:val="bottom"/>
      </w:tcPr>
    </w:tblStylePr>
    <w:tblStylePr w:type="lastRow">
      <w:rPr>
        <w:b/>
        <w:bCs/>
      </w:rPr>
      <w:tblPr/>
      <w:tcPr>
        <w:tcBorders>
          <w:top w:val="double" w:sz="4" w:space="0" w:color="95D6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5D600"/>
          <w:right w:val="single" w:sz="4" w:space="0" w:color="95D600"/>
        </w:tcBorders>
      </w:tcPr>
    </w:tblStylePr>
    <w:tblStylePr w:type="band1Horz">
      <w:tblPr/>
      <w:tcPr>
        <w:tcBorders>
          <w:top w:val="single" w:sz="4" w:space="0" w:color="95D600"/>
          <w:bottom w:val="single" w:sz="4" w:space="0" w:color="95D6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left w:val="nil"/>
        </w:tcBorders>
      </w:tcPr>
    </w:tblStylePr>
    <w:tblStylePr w:type="swCell">
      <w:tblPr/>
      <w:tcPr>
        <w:tcBorders>
          <w:top w:val="double" w:sz="4" w:space="0" w:color="95D600"/>
          <w:right w:val="nil"/>
        </w:tcBorders>
      </w:tcPr>
    </w:tblStylePr>
  </w:style>
  <w:style w:type="paragraph" w:customStyle="1" w:styleId="ExecSummaryLevel3">
    <w:name w:val="Exec Summary Level 3"/>
    <w:basedOn w:val="Normal"/>
    <w:next w:val="BodyText"/>
    <w:link w:val="ExecSummaryLevel3Char"/>
    <w:qFormat/>
    <w:rsid w:val="00F905D9"/>
    <w:pPr>
      <w:spacing w:before="240" w:after="240"/>
    </w:pPr>
    <w:rPr>
      <w:b/>
      <w:iCs/>
      <w:sz w:val="24"/>
    </w:rPr>
  </w:style>
  <w:style w:type="paragraph" w:styleId="CommentText">
    <w:name w:val="annotation text"/>
    <w:basedOn w:val="Normal"/>
    <w:link w:val="CommentTextChar"/>
    <w:uiPriority w:val="99"/>
    <w:unhideWhenUsed/>
    <w:rsid w:val="00EB4473"/>
    <w:rPr>
      <w:sz w:val="18"/>
    </w:rPr>
  </w:style>
  <w:style w:type="character" w:customStyle="1" w:styleId="ExecSummaryLevel3Char">
    <w:name w:val="Exec Summary Level 3 Char"/>
    <w:basedOn w:val="Heading9Char"/>
    <w:link w:val="ExecSummaryLevel3"/>
    <w:rsid w:val="00F905D9"/>
    <w:rPr>
      <w:rFonts w:cs="Arial"/>
      <w:b/>
      <w:bCs w:val="0"/>
      <w:iCs/>
      <w:sz w:val="24"/>
      <w:szCs w:val="22"/>
    </w:rPr>
  </w:style>
  <w:style w:type="character" w:customStyle="1" w:styleId="CommentTextChar">
    <w:name w:val="Comment Text Char"/>
    <w:basedOn w:val="DefaultParagraphFont"/>
    <w:link w:val="CommentText"/>
    <w:uiPriority w:val="99"/>
    <w:rsid w:val="00EB4473"/>
    <w:rPr>
      <w:sz w:val="18"/>
    </w:rPr>
  </w:style>
  <w:style w:type="paragraph" w:styleId="CommentSubject">
    <w:name w:val="annotation subject"/>
    <w:basedOn w:val="CommentText"/>
    <w:next w:val="CommentText"/>
    <w:link w:val="CommentSubjectChar"/>
    <w:uiPriority w:val="99"/>
    <w:semiHidden/>
    <w:unhideWhenUsed/>
    <w:rsid w:val="002C13A8"/>
    <w:rPr>
      <w:b/>
      <w:bCs/>
    </w:rPr>
  </w:style>
  <w:style w:type="character" w:customStyle="1" w:styleId="CommentSubjectChar">
    <w:name w:val="Comment Subject Char"/>
    <w:basedOn w:val="CommentTextChar"/>
    <w:link w:val="CommentSubject"/>
    <w:uiPriority w:val="99"/>
    <w:semiHidden/>
    <w:rsid w:val="002C13A8"/>
    <w:rPr>
      <w:rFonts w:ascii="Arial" w:hAnsi="Arial"/>
      <w:b/>
      <w:bCs/>
      <w:sz w:val="18"/>
    </w:rPr>
  </w:style>
  <w:style w:type="paragraph" w:styleId="BlockText">
    <w:name w:val="Block Text"/>
    <w:basedOn w:val="Normal"/>
    <w:unhideWhenUsed/>
    <w:rsid w:val="00C17056"/>
    <w:pPr>
      <w:pBdr>
        <w:top w:val="single" w:sz="12" w:space="10" w:color="648C1A"/>
        <w:left w:val="single" w:sz="12" w:space="10" w:color="648C1A"/>
        <w:bottom w:val="single" w:sz="12" w:space="10" w:color="648C1A"/>
        <w:right w:val="single" w:sz="12" w:space="10" w:color="648C1A"/>
      </w:pBdr>
      <w:shd w:val="clear" w:color="auto" w:fill="F2F2F2" w:themeFill="background1" w:themeFillShade="F2"/>
      <w:ind w:left="1152" w:right="1152"/>
    </w:pPr>
    <w:rPr>
      <w:rFonts w:eastAsiaTheme="minorEastAsia" w:cstheme="minorBidi"/>
      <w:b/>
      <w:i/>
      <w:iCs/>
      <w:color w:val="93D500" w:themeColor="accent1"/>
    </w:rPr>
  </w:style>
  <w:style w:type="paragraph" w:styleId="NormalIndent">
    <w:name w:val="Normal Indent"/>
    <w:basedOn w:val="Normal"/>
    <w:semiHidden/>
    <w:unhideWhenUsed/>
    <w:rsid w:val="00E51B34"/>
    <w:pPr>
      <w:ind w:left="720"/>
    </w:pPr>
  </w:style>
  <w:style w:type="character" w:styleId="UnresolvedMention">
    <w:name w:val="Unresolved Mention"/>
    <w:basedOn w:val="DefaultParagraphFont"/>
    <w:uiPriority w:val="99"/>
    <w:semiHidden/>
    <w:unhideWhenUsed/>
    <w:rsid w:val="00150284"/>
    <w:rPr>
      <w:color w:val="808080"/>
      <w:shd w:val="clear" w:color="auto" w:fill="E6E6E6"/>
    </w:rPr>
  </w:style>
  <w:style w:type="character" w:styleId="FollowedHyperlink">
    <w:name w:val="FollowedHyperlink"/>
    <w:basedOn w:val="DefaultParagraphFont"/>
    <w:semiHidden/>
    <w:unhideWhenUsed/>
    <w:rsid w:val="00150284"/>
    <w:rPr>
      <w:color w:val="036479" w:themeColor="followedHyperlink"/>
      <w:u w:val="single"/>
    </w:rPr>
  </w:style>
  <w:style w:type="paragraph" w:styleId="ListBullet">
    <w:name w:val="List Bullet"/>
    <w:basedOn w:val="BodyText"/>
    <w:unhideWhenUsed/>
    <w:qFormat/>
    <w:rsid w:val="00DF3016"/>
    <w:pPr>
      <w:numPr>
        <w:numId w:val="8"/>
      </w:numPr>
      <w:spacing w:after="120"/>
      <w:ind w:left="720"/>
    </w:pPr>
  </w:style>
  <w:style w:type="paragraph" w:customStyle="1" w:styleId="CoverClientName">
    <w:name w:val="Cover_Client Name"/>
    <w:basedOn w:val="Subtitle"/>
    <w:next w:val="BodyText"/>
    <w:rsid w:val="00FC3320"/>
    <w:pPr>
      <w:spacing w:before="0" w:after="2000"/>
    </w:pPr>
  </w:style>
  <w:style w:type="paragraph" w:customStyle="1" w:styleId="Preparedfor">
    <w:name w:val="Prepared for"/>
    <w:basedOn w:val="Subtitle"/>
    <w:next w:val="CoverClientName"/>
    <w:rsid w:val="00724FF3"/>
    <w:pPr>
      <w:spacing w:after="120"/>
    </w:pPr>
  </w:style>
  <w:style w:type="paragraph" w:customStyle="1" w:styleId="TableFigureNote">
    <w:name w:val="Table/Figure Note"/>
    <w:basedOn w:val="TableFigureSource"/>
    <w:next w:val="TableFigureSource"/>
    <w:qFormat/>
    <w:rsid w:val="00BA5470"/>
    <w:pPr>
      <w:spacing w:before="20" w:after="20"/>
    </w:pPr>
    <w:rPr>
      <w:i w:val="0"/>
    </w:rPr>
  </w:style>
  <w:style w:type="character" w:styleId="Strong">
    <w:name w:val="Strong"/>
    <w:basedOn w:val="DefaultParagraphFont"/>
    <w:rsid w:val="00C64246"/>
    <w:rPr>
      <w:b/>
      <w:bCs/>
      <w:lang w:val="en-US"/>
    </w:rPr>
  </w:style>
  <w:style w:type="character" w:styleId="CommentReference">
    <w:name w:val="annotation reference"/>
    <w:basedOn w:val="DefaultParagraphFont"/>
    <w:uiPriority w:val="99"/>
    <w:semiHidden/>
    <w:unhideWhenUsed/>
    <w:rPr>
      <w:sz w:val="16"/>
      <w:szCs w:val="16"/>
    </w:rPr>
  </w:style>
  <w:style w:type="paragraph" w:styleId="Bibliography">
    <w:name w:val="Bibliography"/>
    <w:basedOn w:val="Normal"/>
    <w:next w:val="Normal"/>
    <w:uiPriority w:val="37"/>
    <w:semiHidden/>
    <w:unhideWhenUsed/>
    <w:rsid w:val="00B753AF"/>
  </w:style>
  <w:style w:type="paragraph" w:styleId="BodyText2">
    <w:name w:val="Body Text 2"/>
    <w:basedOn w:val="Normal"/>
    <w:link w:val="BodyText2Char"/>
    <w:semiHidden/>
    <w:unhideWhenUsed/>
    <w:rsid w:val="00B753AF"/>
    <w:pPr>
      <w:spacing w:after="120" w:line="480" w:lineRule="auto"/>
    </w:pPr>
  </w:style>
  <w:style w:type="character" w:customStyle="1" w:styleId="BodyText2Char">
    <w:name w:val="Body Text 2 Char"/>
    <w:basedOn w:val="DefaultParagraphFont"/>
    <w:link w:val="BodyText2"/>
    <w:semiHidden/>
    <w:rsid w:val="00B753AF"/>
  </w:style>
  <w:style w:type="paragraph" w:styleId="BodyText3">
    <w:name w:val="Body Text 3"/>
    <w:basedOn w:val="Normal"/>
    <w:link w:val="BodyText3Char"/>
    <w:semiHidden/>
    <w:unhideWhenUsed/>
    <w:rsid w:val="00B753AF"/>
    <w:pPr>
      <w:spacing w:after="120"/>
    </w:pPr>
    <w:rPr>
      <w:sz w:val="16"/>
      <w:szCs w:val="16"/>
    </w:rPr>
  </w:style>
  <w:style w:type="character" w:customStyle="1" w:styleId="BodyText3Char">
    <w:name w:val="Body Text 3 Char"/>
    <w:basedOn w:val="DefaultParagraphFont"/>
    <w:link w:val="BodyText3"/>
    <w:semiHidden/>
    <w:rsid w:val="00B753AF"/>
    <w:rPr>
      <w:sz w:val="16"/>
      <w:szCs w:val="16"/>
    </w:rPr>
  </w:style>
  <w:style w:type="paragraph" w:styleId="BodyTextFirstIndent">
    <w:name w:val="Body Text First Indent"/>
    <w:basedOn w:val="BodyText"/>
    <w:link w:val="BodyTextFirstIndentChar"/>
    <w:rsid w:val="00B753AF"/>
    <w:pPr>
      <w:spacing w:after="0"/>
      <w:ind w:firstLine="360"/>
    </w:pPr>
  </w:style>
  <w:style w:type="character" w:customStyle="1" w:styleId="BodyTextFirstIndentChar">
    <w:name w:val="Body Text First Indent Char"/>
    <w:basedOn w:val="BodyTextChar"/>
    <w:link w:val="BodyTextFirstIndent"/>
    <w:rsid w:val="00B753AF"/>
    <w:rPr>
      <w:sz w:val="22"/>
    </w:rPr>
  </w:style>
  <w:style w:type="paragraph" w:styleId="BodyTextIndent">
    <w:name w:val="Body Text Indent"/>
    <w:basedOn w:val="Normal"/>
    <w:link w:val="BodyTextIndentChar"/>
    <w:semiHidden/>
    <w:unhideWhenUsed/>
    <w:rsid w:val="00B753AF"/>
    <w:pPr>
      <w:spacing w:after="120"/>
      <w:ind w:left="360"/>
    </w:pPr>
  </w:style>
  <w:style w:type="character" w:customStyle="1" w:styleId="BodyTextIndentChar">
    <w:name w:val="Body Text Indent Char"/>
    <w:basedOn w:val="DefaultParagraphFont"/>
    <w:link w:val="BodyTextIndent"/>
    <w:semiHidden/>
    <w:rsid w:val="00B753AF"/>
  </w:style>
  <w:style w:type="paragraph" w:styleId="BodyTextFirstIndent2">
    <w:name w:val="Body Text First Indent 2"/>
    <w:basedOn w:val="BodyTextIndent"/>
    <w:link w:val="BodyTextFirstIndent2Char"/>
    <w:semiHidden/>
    <w:unhideWhenUsed/>
    <w:rsid w:val="00B753AF"/>
    <w:pPr>
      <w:spacing w:after="0"/>
      <w:ind w:firstLine="360"/>
    </w:pPr>
  </w:style>
  <w:style w:type="character" w:customStyle="1" w:styleId="BodyTextFirstIndent2Char">
    <w:name w:val="Body Text First Indent 2 Char"/>
    <w:basedOn w:val="BodyTextIndentChar"/>
    <w:link w:val="BodyTextFirstIndent2"/>
    <w:semiHidden/>
    <w:rsid w:val="00B753AF"/>
  </w:style>
  <w:style w:type="paragraph" w:styleId="BodyTextIndent2">
    <w:name w:val="Body Text Indent 2"/>
    <w:basedOn w:val="Normal"/>
    <w:link w:val="BodyTextIndent2Char"/>
    <w:semiHidden/>
    <w:unhideWhenUsed/>
    <w:rsid w:val="00B753AF"/>
    <w:pPr>
      <w:spacing w:after="120" w:line="480" w:lineRule="auto"/>
      <w:ind w:left="360"/>
    </w:pPr>
  </w:style>
  <w:style w:type="character" w:customStyle="1" w:styleId="BodyTextIndent2Char">
    <w:name w:val="Body Text Indent 2 Char"/>
    <w:basedOn w:val="DefaultParagraphFont"/>
    <w:link w:val="BodyTextIndent2"/>
    <w:semiHidden/>
    <w:rsid w:val="00B753AF"/>
  </w:style>
  <w:style w:type="paragraph" w:styleId="BodyTextIndent3">
    <w:name w:val="Body Text Indent 3"/>
    <w:basedOn w:val="Normal"/>
    <w:link w:val="BodyTextIndent3Char"/>
    <w:semiHidden/>
    <w:unhideWhenUsed/>
    <w:rsid w:val="00B753AF"/>
    <w:pPr>
      <w:spacing w:after="120"/>
      <w:ind w:left="360"/>
    </w:pPr>
    <w:rPr>
      <w:sz w:val="16"/>
      <w:szCs w:val="16"/>
    </w:rPr>
  </w:style>
  <w:style w:type="character" w:customStyle="1" w:styleId="BodyTextIndent3Char">
    <w:name w:val="Body Text Indent 3 Char"/>
    <w:basedOn w:val="DefaultParagraphFont"/>
    <w:link w:val="BodyTextIndent3"/>
    <w:semiHidden/>
    <w:rsid w:val="00B753AF"/>
    <w:rPr>
      <w:sz w:val="16"/>
      <w:szCs w:val="16"/>
    </w:rPr>
  </w:style>
  <w:style w:type="paragraph" w:styleId="Closing">
    <w:name w:val="Closing"/>
    <w:basedOn w:val="Normal"/>
    <w:link w:val="ClosingChar"/>
    <w:semiHidden/>
    <w:unhideWhenUsed/>
    <w:rsid w:val="00B753AF"/>
    <w:pPr>
      <w:ind w:left="4320"/>
    </w:pPr>
  </w:style>
  <w:style w:type="character" w:customStyle="1" w:styleId="ClosingChar">
    <w:name w:val="Closing Char"/>
    <w:basedOn w:val="DefaultParagraphFont"/>
    <w:link w:val="Closing"/>
    <w:semiHidden/>
    <w:rsid w:val="00B753AF"/>
  </w:style>
  <w:style w:type="paragraph" w:styleId="Date">
    <w:name w:val="Date"/>
    <w:basedOn w:val="Normal"/>
    <w:next w:val="Normal"/>
    <w:link w:val="DateChar"/>
    <w:uiPriority w:val="99"/>
    <w:rsid w:val="00B753AF"/>
  </w:style>
  <w:style w:type="character" w:customStyle="1" w:styleId="DateChar">
    <w:name w:val="Date Char"/>
    <w:basedOn w:val="DefaultParagraphFont"/>
    <w:link w:val="Date"/>
    <w:uiPriority w:val="99"/>
    <w:rsid w:val="00B753AF"/>
  </w:style>
  <w:style w:type="paragraph" w:styleId="DocumentMap">
    <w:name w:val="Document Map"/>
    <w:basedOn w:val="Normal"/>
    <w:link w:val="DocumentMapChar"/>
    <w:semiHidden/>
    <w:unhideWhenUsed/>
    <w:rsid w:val="00B753AF"/>
    <w:rPr>
      <w:rFonts w:ascii="Segoe UI" w:hAnsi="Segoe UI" w:cs="Segoe UI"/>
      <w:sz w:val="16"/>
      <w:szCs w:val="16"/>
    </w:rPr>
  </w:style>
  <w:style w:type="character" w:customStyle="1" w:styleId="DocumentMapChar">
    <w:name w:val="Document Map Char"/>
    <w:basedOn w:val="DefaultParagraphFont"/>
    <w:link w:val="DocumentMap"/>
    <w:semiHidden/>
    <w:rsid w:val="00B753AF"/>
    <w:rPr>
      <w:rFonts w:ascii="Segoe UI" w:hAnsi="Segoe UI" w:cs="Segoe UI"/>
      <w:sz w:val="16"/>
      <w:szCs w:val="16"/>
    </w:rPr>
  </w:style>
  <w:style w:type="paragraph" w:styleId="E-mailSignature">
    <w:name w:val="E-mail Signature"/>
    <w:basedOn w:val="Normal"/>
    <w:link w:val="E-mailSignatureChar"/>
    <w:semiHidden/>
    <w:unhideWhenUsed/>
    <w:rsid w:val="00B753AF"/>
  </w:style>
  <w:style w:type="character" w:customStyle="1" w:styleId="E-mailSignatureChar">
    <w:name w:val="E-mail Signature Char"/>
    <w:basedOn w:val="DefaultParagraphFont"/>
    <w:link w:val="E-mailSignature"/>
    <w:semiHidden/>
    <w:rsid w:val="00B753AF"/>
  </w:style>
  <w:style w:type="paragraph" w:styleId="EnvelopeAddress">
    <w:name w:val="envelope address"/>
    <w:basedOn w:val="Normal"/>
    <w:semiHidden/>
    <w:unhideWhenUsed/>
    <w:rsid w:val="00B753AF"/>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B753AF"/>
    <w:rPr>
      <w:rFonts w:asciiTheme="majorHAnsi" w:eastAsiaTheme="majorEastAsia" w:hAnsiTheme="majorHAnsi" w:cstheme="majorBidi"/>
    </w:rPr>
  </w:style>
  <w:style w:type="paragraph" w:styleId="HTMLAddress">
    <w:name w:val="HTML Address"/>
    <w:basedOn w:val="Normal"/>
    <w:link w:val="HTMLAddressChar"/>
    <w:semiHidden/>
    <w:unhideWhenUsed/>
    <w:rsid w:val="00B753AF"/>
    <w:rPr>
      <w:i/>
      <w:iCs/>
    </w:rPr>
  </w:style>
  <w:style w:type="character" w:customStyle="1" w:styleId="HTMLAddressChar">
    <w:name w:val="HTML Address Char"/>
    <w:basedOn w:val="DefaultParagraphFont"/>
    <w:link w:val="HTMLAddress"/>
    <w:semiHidden/>
    <w:rsid w:val="00B753AF"/>
    <w:rPr>
      <w:i/>
      <w:iCs/>
    </w:rPr>
  </w:style>
  <w:style w:type="paragraph" w:styleId="HTMLPreformatted">
    <w:name w:val="HTML Preformatted"/>
    <w:basedOn w:val="Normal"/>
    <w:link w:val="HTMLPreformattedChar"/>
    <w:semiHidden/>
    <w:unhideWhenUsed/>
    <w:rsid w:val="00B753AF"/>
    <w:rPr>
      <w:rFonts w:ascii="Consolas" w:hAnsi="Consolas"/>
    </w:rPr>
  </w:style>
  <w:style w:type="character" w:customStyle="1" w:styleId="HTMLPreformattedChar">
    <w:name w:val="HTML Preformatted Char"/>
    <w:basedOn w:val="DefaultParagraphFont"/>
    <w:link w:val="HTMLPreformatted"/>
    <w:semiHidden/>
    <w:rsid w:val="00B753AF"/>
    <w:rPr>
      <w:rFonts w:ascii="Consolas" w:hAnsi="Consolas"/>
    </w:rPr>
  </w:style>
  <w:style w:type="paragraph" w:styleId="Index1">
    <w:name w:val="index 1"/>
    <w:basedOn w:val="Normal"/>
    <w:next w:val="Normal"/>
    <w:autoRedefine/>
    <w:semiHidden/>
    <w:unhideWhenUsed/>
    <w:rsid w:val="00B753AF"/>
    <w:pPr>
      <w:ind w:left="200" w:hanging="200"/>
    </w:pPr>
  </w:style>
  <w:style w:type="paragraph" w:styleId="Index2">
    <w:name w:val="index 2"/>
    <w:basedOn w:val="Normal"/>
    <w:next w:val="Normal"/>
    <w:autoRedefine/>
    <w:semiHidden/>
    <w:unhideWhenUsed/>
    <w:rsid w:val="00B753AF"/>
    <w:pPr>
      <w:ind w:left="400" w:hanging="200"/>
    </w:pPr>
  </w:style>
  <w:style w:type="paragraph" w:styleId="Index3">
    <w:name w:val="index 3"/>
    <w:basedOn w:val="Normal"/>
    <w:next w:val="Normal"/>
    <w:autoRedefine/>
    <w:semiHidden/>
    <w:unhideWhenUsed/>
    <w:rsid w:val="00B753AF"/>
    <w:pPr>
      <w:ind w:left="600" w:hanging="200"/>
    </w:pPr>
  </w:style>
  <w:style w:type="paragraph" w:styleId="Index4">
    <w:name w:val="index 4"/>
    <w:basedOn w:val="Normal"/>
    <w:next w:val="Normal"/>
    <w:autoRedefine/>
    <w:semiHidden/>
    <w:unhideWhenUsed/>
    <w:rsid w:val="00B753AF"/>
    <w:pPr>
      <w:ind w:left="800" w:hanging="200"/>
    </w:pPr>
  </w:style>
  <w:style w:type="paragraph" w:styleId="Index5">
    <w:name w:val="index 5"/>
    <w:basedOn w:val="Normal"/>
    <w:next w:val="Normal"/>
    <w:autoRedefine/>
    <w:semiHidden/>
    <w:unhideWhenUsed/>
    <w:rsid w:val="00B753AF"/>
    <w:pPr>
      <w:ind w:left="1000" w:hanging="200"/>
    </w:pPr>
  </w:style>
  <w:style w:type="paragraph" w:styleId="Index6">
    <w:name w:val="index 6"/>
    <w:basedOn w:val="Normal"/>
    <w:next w:val="Normal"/>
    <w:autoRedefine/>
    <w:semiHidden/>
    <w:unhideWhenUsed/>
    <w:rsid w:val="00B753AF"/>
    <w:pPr>
      <w:ind w:left="1200" w:hanging="200"/>
    </w:pPr>
  </w:style>
  <w:style w:type="paragraph" w:styleId="Index7">
    <w:name w:val="index 7"/>
    <w:basedOn w:val="Normal"/>
    <w:next w:val="Normal"/>
    <w:autoRedefine/>
    <w:semiHidden/>
    <w:unhideWhenUsed/>
    <w:rsid w:val="00B753AF"/>
    <w:pPr>
      <w:ind w:left="1400" w:hanging="200"/>
    </w:pPr>
  </w:style>
  <w:style w:type="paragraph" w:styleId="Index8">
    <w:name w:val="index 8"/>
    <w:basedOn w:val="Normal"/>
    <w:next w:val="Normal"/>
    <w:autoRedefine/>
    <w:semiHidden/>
    <w:unhideWhenUsed/>
    <w:rsid w:val="00B753AF"/>
    <w:pPr>
      <w:ind w:left="1600" w:hanging="200"/>
    </w:pPr>
  </w:style>
  <w:style w:type="paragraph" w:styleId="Index9">
    <w:name w:val="index 9"/>
    <w:basedOn w:val="Normal"/>
    <w:next w:val="Normal"/>
    <w:autoRedefine/>
    <w:semiHidden/>
    <w:unhideWhenUsed/>
    <w:rsid w:val="00B753AF"/>
    <w:pPr>
      <w:ind w:left="1800" w:hanging="200"/>
    </w:pPr>
  </w:style>
  <w:style w:type="paragraph" w:styleId="IndexHeading">
    <w:name w:val="index heading"/>
    <w:basedOn w:val="Normal"/>
    <w:next w:val="Index1"/>
    <w:semiHidden/>
    <w:unhideWhenUsed/>
    <w:rsid w:val="00B753AF"/>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B753AF"/>
    <w:pPr>
      <w:pBdr>
        <w:top w:val="single" w:sz="4" w:space="10" w:color="93D500" w:themeColor="accent1"/>
        <w:bottom w:val="single" w:sz="4" w:space="10" w:color="93D500" w:themeColor="accent1"/>
      </w:pBdr>
      <w:spacing w:before="360" w:after="360"/>
      <w:ind w:left="864" w:right="864"/>
      <w:jc w:val="center"/>
    </w:pPr>
    <w:rPr>
      <w:i/>
      <w:iCs/>
      <w:color w:val="93D500" w:themeColor="accent1"/>
    </w:rPr>
  </w:style>
  <w:style w:type="character" w:customStyle="1" w:styleId="IntenseQuoteChar">
    <w:name w:val="Intense Quote Char"/>
    <w:basedOn w:val="DefaultParagraphFont"/>
    <w:link w:val="IntenseQuote"/>
    <w:uiPriority w:val="30"/>
    <w:rsid w:val="00B753AF"/>
    <w:rPr>
      <w:i/>
      <w:iCs/>
      <w:color w:val="93D500" w:themeColor="accent1"/>
    </w:rPr>
  </w:style>
  <w:style w:type="paragraph" w:styleId="List">
    <w:name w:val="List"/>
    <w:basedOn w:val="Normal"/>
    <w:semiHidden/>
    <w:unhideWhenUsed/>
    <w:rsid w:val="00B753AF"/>
    <w:pPr>
      <w:ind w:left="360" w:hanging="360"/>
      <w:contextualSpacing/>
    </w:pPr>
  </w:style>
  <w:style w:type="paragraph" w:styleId="List2">
    <w:name w:val="List 2"/>
    <w:basedOn w:val="Normal"/>
    <w:semiHidden/>
    <w:unhideWhenUsed/>
    <w:rsid w:val="00B753AF"/>
    <w:pPr>
      <w:ind w:left="720" w:hanging="360"/>
      <w:contextualSpacing/>
    </w:pPr>
  </w:style>
  <w:style w:type="paragraph" w:styleId="List3">
    <w:name w:val="List 3"/>
    <w:basedOn w:val="Normal"/>
    <w:semiHidden/>
    <w:unhideWhenUsed/>
    <w:rsid w:val="00B753AF"/>
    <w:pPr>
      <w:ind w:left="1080" w:hanging="360"/>
      <w:contextualSpacing/>
    </w:pPr>
  </w:style>
  <w:style w:type="paragraph" w:styleId="List4">
    <w:name w:val="List 4"/>
    <w:basedOn w:val="Normal"/>
    <w:rsid w:val="00B753AF"/>
    <w:pPr>
      <w:ind w:left="1440" w:hanging="360"/>
      <w:contextualSpacing/>
    </w:pPr>
  </w:style>
  <w:style w:type="paragraph" w:styleId="List5">
    <w:name w:val="List 5"/>
    <w:basedOn w:val="Normal"/>
    <w:rsid w:val="00B753AF"/>
    <w:pPr>
      <w:ind w:left="1800" w:hanging="360"/>
      <w:contextualSpacing/>
    </w:pPr>
  </w:style>
  <w:style w:type="paragraph" w:styleId="ListBullet2">
    <w:name w:val="List Bullet 2"/>
    <w:basedOn w:val="Normal"/>
    <w:unhideWhenUsed/>
    <w:rsid w:val="00BB3842"/>
    <w:pPr>
      <w:numPr>
        <w:numId w:val="20"/>
      </w:numPr>
      <w:spacing w:after="200"/>
    </w:pPr>
  </w:style>
  <w:style w:type="paragraph" w:styleId="ListBullet3">
    <w:name w:val="List Bullet 3"/>
    <w:basedOn w:val="Normal"/>
    <w:semiHidden/>
    <w:unhideWhenUsed/>
    <w:rsid w:val="00B753AF"/>
    <w:pPr>
      <w:numPr>
        <w:numId w:val="9"/>
      </w:numPr>
      <w:contextualSpacing/>
    </w:pPr>
  </w:style>
  <w:style w:type="paragraph" w:styleId="ListBullet4">
    <w:name w:val="List Bullet 4"/>
    <w:basedOn w:val="Normal"/>
    <w:semiHidden/>
    <w:unhideWhenUsed/>
    <w:rsid w:val="00B753AF"/>
    <w:pPr>
      <w:numPr>
        <w:numId w:val="10"/>
      </w:numPr>
      <w:contextualSpacing/>
    </w:pPr>
  </w:style>
  <w:style w:type="paragraph" w:styleId="ListBullet5">
    <w:name w:val="List Bullet 5"/>
    <w:basedOn w:val="Normal"/>
    <w:semiHidden/>
    <w:unhideWhenUsed/>
    <w:rsid w:val="00B753AF"/>
    <w:pPr>
      <w:numPr>
        <w:numId w:val="11"/>
      </w:numPr>
      <w:contextualSpacing/>
    </w:pPr>
  </w:style>
  <w:style w:type="paragraph" w:styleId="ListContinue">
    <w:name w:val="List Continue"/>
    <w:basedOn w:val="Normal"/>
    <w:semiHidden/>
    <w:unhideWhenUsed/>
    <w:rsid w:val="00B753AF"/>
    <w:pPr>
      <w:spacing w:after="120"/>
      <w:ind w:left="360"/>
      <w:contextualSpacing/>
    </w:pPr>
  </w:style>
  <w:style w:type="paragraph" w:styleId="ListContinue2">
    <w:name w:val="List Continue 2"/>
    <w:basedOn w:val="Normal"/>
    <w:semiHidden/>
    <w:unhideWhenUsed/>
    <w:rsid w:val="00B753AF"/>
    <w:pPr>
      <w:spacing w:after="120"/>
      <w:ind w:left="720"/>
      <w:contextualSpacing/>
    </w:pPr>
  </w:style>
  <w:style w:type="paragraph" w:styleId="ListContinue3">
    <w:name w:val="List Continue 3"/>
    <w:basedOn w:val="Normal"/>
    <w:semiHidden/>
    <w:unhideWhenUsed/>
    <w:rsid w:val="00B753AF"/>
    <w:pPr>
      <w:spacing w:after="120"/>
      <w:ind w:left="1080"/>
      <w:contextualSpacing/>
    </w:pPr>
  </w:style>
  <w:style w:type="paragraph" w:styleId="ListContinue4">
    <w:name w:val="List Continue 4"/>
    <w:basedOn w:val="Normal"/>
    <w:semiHidden/>
    <w:unhideWhenUsed/>
    <w:rsid w:val="00B753AF"/>
    <w:pPr>
      <w:spacing w:after="120"/>
      <w:ind w:left="1440"/>
      <w:contextualSpacing/>
    </w:pPr>
  </w:style>
  <w:style w:type="paragraph" w:styleId="ListContinue5">
    <w:name w:val="List Continue 5"/>
    <w:basedOn w:val="Normal"/>
    <w:semiHidden/>
    <w:unhideWhenUsed/>
    <w:rsid w:val="00B753AF"/>
    <w:pPr>
      <w:spacing w:after="120"/>
      <w:ind w:left="1800"/>
      <w:contextualSpacing/>
    </w:pPr>
  </w:style>
  <w:style w:type="paragraph" w:styleId="ListNumber">
    <w:name w:val="List Number"/>
    <w:basedOn w:val="Normal"/>
    <w:qFormat/>
    <w:rsid w:val="00B753AF"/>
    <w:pPr>
      <w:numPr>
        <w:numId w:val="12"/>
      </w:numPr>
      <w:contextualSpacing/>
    </w:pPr>
  </w:style>
  <w:style w:type="paragraph" w:styleId="ListNumber2">
    <w:name w:val="List Number 2"/>
    <w:basedOn w:val="Normal"/>
    <w:semiHidden/>
    <w:unhideWhenUsed/>
    <w:rsid w:val="00B753AF"/>
    <w:pPr>
      <w:numPr>
        <w:numId w:val="13"/>
      </w:numPr>
      <w:contextualSpacing/>
    </w:pPr>
  </w:style>
  <w:style w:type="paragraph" w:styleId="ListNumber3">
    <w:name w:val="List Number 3"/>
    <w:basedOn w:val="Normal"/>
    <w:semiHidden/>
    <w:unhideWhenUsed/>
    <w:rsid w:val="00B753AF"/>
    <w:pPr>
      <w:numPr>
        <w:numId w:val="14"/>
      </w:numPr>
      <w:contextualSpacing/>
    </w:pPr>
  </w:style>
  <w:style w:type="paragraph" w:styleId="ListNumber4">
    <w:name w:val="List Number 4"/>
    <w:basedOn w:val="Normal"/>
    <w:semiHidden/>
    <w:unhideWhenUsed/>
    <w:rsid w:val="00B753AF"/>
    <w:pPr>
      <w:numPr>
        <w:numId w:val="15"/>
      </w:numPr>
      <w:contextualSpacing/>
    </w:pPr>
  </w:style>
  <w:style w:type="paragraph" w:styleId="ListNumber5">
    <w:name w:val="List Number 5"/>
    <w:basedOn w:val="Normal"/>
    <w:semiHidden/>
    <w:unhideWhenUsed/>
    <w:rsid w:val="00B753AF"/>
    <w:pPr>
      <w:numPr>
        <w:numId w:val="16"/>
      </w:numPr>
      <w:contextualSpacing/>
    </w:pPr>
  </w:style>
  <w:style w:type="paragraph" w:styleId="MacroText">
    <w:name w:val="macro"/>
    <w:link w:val="MacroTextChar"/>
    <w:semiHidden/>
    <w:unhideWhenUsed/>
    <w:rsid w:val="00B753AF"/>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B753AF"/>
    <w:rPr>
      <w:rFonts w:ascii="Consolas" w:hAnsi="Consolas"/>
    </w:rPr>
  </w:style>
  <w:style w:type="paragraph" w:styleId="MessageHeader">
    <w:name w:val="Message Header"/>
    <w:basedOn w:val="Normal"/>
    <w:link w:val="MessageHeaderChar"/>
    <w:semiHidden/>
    <w:unhideWhenUsed/>
    <w:rsid w:val="00B753AF"/>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B753AF"/>
    <w:rPr>
      <w:rFonts w:asciiTheme="majorHAnsi" w:eastAsiaTheme="majorEastAsia" w:hAnsiTheme="majorHAnsi" w:cstheme="majorBidi"/>
      <w:sz w:val="24"/>
      <w:szCs w:val="24"/>
      <w:shd w:val="pct20" w:color="auto" w:fill="auto"/>
    </w:rPr>
  </w:style>
  <w:style w:type="paragraph" w:styleId="NoSpacing">
    <w:name w:val="No Spacing"/>
    <w:uiPriority w:val="1"/>
    <w:rsid w:val="00B753AF"/>
  </w:style>
  <w:style w:type="paragraph" w:styleId="NormalWeb">
    <w:name w:val="Normal (Web)"/>
    <w:basedOn w:val="Normal"/>
    <w:uiPriority w:val="99"/>
    <w:semiHidden/>
    <w:unhideWhenUsed/>
    <w:rsid w:val="00B753AF"/>
    <w:rPr>
      <w:rFonts w:ascii="Times New Roman" w:hAnsi="Times New Roman"/>
      <w:sz w:val="24"/>
      <w:szCs w:val="24"/>
    </w:rPr>
  </w:style>
  <w:style w:type="paragraph" w:styleId="NoteHeading">
    <w:name w:val="Note Heading"/>
    <w:basedOn w:val="Normal"/>
    <w:next w:val="Normal"/>
    <w:link w:val="NoteHeadingChar"/>
    <w:semiHidden/>
    <w:unhideWhenUsed/>
    <w:rsid w:val="00B753AF"/>
  </w:style>
  <w:style w:type="character" w:customStyle="1" w:styleId="NoteHeadingChar">
    <w:name w:val="Note Heading Char"/>
    <w:basedOn w:val="DefaultParagraphFont"/>
    <w:link w:val="NoteHeading"/>
    <w:semiHidden/>
    <w:rsid w:val="00B753AF"/>
  </w:style>
  <w:style w:type="paragraph" w:styleId="PlainText">
    <w:name w:val="Plain Text"/>
    <w:basedOn w:val="Normal"/>
    <w:link w:val="PlainTextChar"/>
    <w:semiHidden/>
    <w:unhideWhenUsed/>
    <w:rsid w:val="00B753AF"/>
    <w:rPr>
      <w:rFonts w:ascii="Consolas" w:hAnsi="Consolas"/>
      <w:sz w:val="21"/>
      <w:szCs w:val="21"/>
    </w:rPr>
  </w:style>
  <w:style w:type="character" w:customStyle="1" w:styleId="PlainTextChar">
    <w:name w:val="Plain Text Char"/>
    <w:basedOn w:val="DefaultParagraphFont"/>
    <w:link w:val="PlainText"/>
    <w:semiHidden/>
    <w:rsid w:val="00B753AF"/>
    <w:rPr>
      <w:rFonts w:ascii="Consolas" w:hAnsi="Consolas"/>
      <w:sz w:val="21"/>
      <w:szCs w:val="21"/>
    </w:rPr>
  </w:style>
  <w:style w:type="paragraph" w:styleId="Quote">
    <w:name w:val="Quote"/>
    <w:basedOn w:val="Normal"/>
    <w:next w:val="Normal"/>
    <w:link w:val="QuoteChar"/>
    <w:uiPriority w:val="29"/>
    <w:rsid w:val="00B753A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753AF"/>
    <w:rPr>
      <w:i/>
      <w:iCs/>
      <w:color w:val="404040" w:themeColor="text1" w:themeTint="BF"/>
    </w:rPr>
  </w:style>
  <w:style w:type="paragraph" w:styleId="Salutation">
    <w:name w:val="Salutation"/>
    <w:basedOn w:val="Normal"/>
    <w:next w:val="Normal"/>
    <w:link w:val="SalutationChar"/>
    <w:rsid w:val="00B753AF"/>
  </w:style>
  <w:style w:type="character" w:customStyle="1" w:styleId="SalutationChar">
    <w:name w:val="Salutation Char"/>
    <w:basedOn w:val="DefaultParagraphFont"/>
    <w:link w:val="Salutation"/>
    <w:rsid w:val="00B753AF"/>
  </w:style>
  <w:style w:type="paragraph" w:styleId="Signature">
    <w:name w:val="Signature"/>
    <w:basedOn w:val="Normal"/>
    <w:link w:val="SignatureChar"/>
    <w:semiHidden/>
    <w:unhideWhenUsed/>
    <w:rsid w:val="00B753AF"/>
    <w:pPr>
      <w:ind w:left="4320"/>
    </w:pPr>
  </w:style>
  <w:style w:type="character" w:customStyle="1" w:styleId="SignatureChar">
    <w:name w:val="Signature Char"/>
    <w:basedOn w:val="DefaultParagraphFont"/>
    <w:link w:val="Signature"/>
    <w:semiHidden/>
    <w:rsid w:val="00B753AF"/>
  </w:style>
  <w:style w:type="paragraph" w:styleId="TableofAuthorities">
    <w:name w:val="table of authorities"/>
    <w:basedOn w:val="Normal"/>
    <w:next w:val="Normal"/>
    <w:semiHidden/>
    <w:unhideWhenUsed/>
    <w:rsid w:val="00B753AF"/>
    <w:pPr>
      <w:ind w:left="200" w:hanging="200"/>
    </w:pPr>
  </w:style>
  <w:style w:type="paragraph" w:styleId="TOAHeading">
    <w:name w:val="toa heading"/>
    <w:basedOn w:val="Normal"/>
    <w:next w:val="Normal"/>
    <w:semiHidden/>
    <w:unhideWhenUsed/>
    <w:rsid w:val="00B753AF"/>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semiHidden/>
    <w:unhideWhenUsed/>
    <w:rsid w:val="00B753AF"/>
    <w:pPr>
      <w:spacing w:after="100"/>
      <w:ind w:left="800"/>
    </w:pPr>
  </w:style>
  <w:style w:type="paragraph" w:styleId="TOC6">
    <w:name w:val="toc 6"/>
    <w:basedOn w:val="Normal"/>
    <w:next w:val="Normal"/>
    <w:autoRedefine/>
    <w:semiHidden/>
    <w:unhideWhenUsed/>
    <w:rsid w:val="00B753AF"/>
    <w:pPr>
      <w:spacing w:after="100"/>
      <w:ind w:left="1000"/>
    </w:pPr>
  </w:style>
  <w:style w:type="paragraph" w:styleId="TOC7">
    <w:name w:val="toc 7"/>
    <w:basedOn w:val="Normal"/>
    <w:next w:val="Normal"/>
    <w:autoRedefine/>
    <w:semiHidden/>
    <w:unhideWhenUsed/>
    <w:rsid w:val="00B753AF"/>
    <w:pPr>
      <w:spacing w:after="100"/>
      <w:ind w:left="1200"/>
    </w:pPr>
  </w:style>
  <w:style w:type="paragraph" w:styleId="TOC8">
    <w:name w:val="toc 8"/>
    <w:basedOn w:val="Normal"/>
    <w:next w:val="Normal"/>
    <w:autoRedefine/>
    <w:semiHidden/>
    <w:unhideWhenUsed/>
    <w:rsid w:val="00B753AF"/>
    <w:pPr>
      <w:spacing w:after="100"/>
      <w:ind w:left="1400"/>
    </w:pPr>
  </w:style>
  <w:style w:type="paragraph" w:styleId="TOC9">
    <w:name w:val="toc 9"/>
    <w:basedOn w:val="Normal"/>
    <w:next w:val="Normal"/>
    <w:autoRedefine/>
    <w:semiHidden/>
    <w:unhideWhenUsed/>
    <w:rsid w:val="00B753AF"/>
    <w:pPr>
      <w:spacing w:after="100"/>
      <w:ind w:left="1600"/>
    </w:pPr>
  </w:style>
  <w:style w:type="paragraph" w:customStyle="1" w:styleId="GHTableCaption">
    <w:name w:val="GH_Table_Caption"/>
    <w:basedOn w:val="Normal"/>
    <w:next w:val="Normal"/>
    <w:rsid w:val="00A53568"/>
    <w:pPr>
      <w:numPr>
        <w:numId w:val="17"/>
      </w:numPr>
      <w:tabs>
        <w:tab w:val="left" w:pos="1008"/>
      </w:tabs>
      <w:ind w:left="0" w:firstLine="0"/>
      <w:jc w:val="center"/>
    </w:pPr>
    <w:rPr>
      <w:b/>
      <w:szCs w:val="24"/>
    </w:rPr>
  </w:style>
  <w:style w:type="paragraph" w:customStyle="1" w:styleId="ProvidedTo-By">
    <w:name w:val="Provided To-By"/>
    <w:basedOn w:val="Normal"/>
    <w:qFormat/>
    <w:rsid w:val="00A53568"/>
    <w:rPr>
      <w:sz w:val="16"/>
      <w:szCs w:val="24"/>
    </w:rPr>
  </w:style>
  <w:style w:type="paragraph" w:customStyle="1" w:styleId="SolicitationNumber">
    <w:name w:val="Solicitation Number"/>
    <w:basedOn w:val="Normal"/>
    <w:rsid w:val="00A53568"/>
    <w:pPr>
      <w:framePr w:wrap="around" w:hAnchor="text"/>
    </w:pPr>
    <w:rPr>
      <w:szCs w:val="24"/>
    </w:rPr>
  </w:style>
  <w:style w:type="paragraph" w:customStyle="1" w:styleId="ProposalTitle">
    <w:name w:val="Proposal Title"/>
    <w:basedOn w:val="Normal"/>
    <w:rsid w:val="00A53568"/>
    <w:pPr>
      <w:spacing w:after="240"/>
    </w:pPr>
    <w:rPr>
      <w:b/>
      <w:sz w:val="44"/>
      <w:szCs w:val="24"/>
    </w:rPr>
  </w:style>
  <w:style w:type="paragraph" w:customStyle="1" w:styleId="ProposalSub-Title">
    <w:name w:val="Proposal Sub-Title"/>
    <w:basedOn w:val="Normal"/>
    <w:rsid w:val="00A53568"/>
    <w:rPr>
      <w:sz w:val="32"/>
      <w:szCs w:val="24"/>
    </w:rPr>
  </w:style>
  <w:style w:type="paragraph" w:customStyle="1" w:styleId="ProposalVolumeNumber">
    <w:name w:val="Proposal Volume Number"/>
    <w:basedOn w:val="Normal"/>
    <w:rsid w:val="00A53568"/>
    <w:pPr>
      <w:spacing w:after="240"/>
    </w:pPr>
    <w:rPr>
      <w:sz w:val="32"/>
      <w:szCs w:val="24"/>
    </w:rPr>
  </w:style>
  <w:style w:type="paragraph" w:customStyle="1" w:styleId="ProposalDueDate">
    <w:name w:val="Proposal Due Date"/>
    <w:basedOn w:val="Normal"/>
    <w:rsid w:val="00A53568"/>
    <w:pPr>
      <w:framePr w:wrap="around" w:hAnchor="text"/>
    </w:pPr>
    <w:rPr>
      <w:sz w:val="32"/>
      <w:szCs w:val="24"/>
    </w:rPr>
  </w:style>
  <w:style w:type="paragraph" w:customStyle="1" w:styleId="TitlepageRestriction">
    <w:name w:val="Titlepage_Restriction"/>
    <w:basedOn w:val="Normal"/>
    <w:rsid w:val="00A53568"/>
    <w:rPr>
      <w:sz w:val="16"/>
      <w:szCs w:val="24"/>
    </w:rPr>
  </w:style>
  <w:style w:type="character" w:styleId="PageNumber">
    <w:name w:val="page number"/>
    <w:basedOn w:val="DefaultParagraphFont"/>
    <w:rsid w:val="008B6585"/>
    <w:rPr>
      <w:sz w:val="20"/>
    </w:rPr>
  </w:style>
  <w:style w:type="paragraph" w:customStyle="1" w:styleId="BodyTextBold">
    <w:name w:val="Body Text Bold"/>
    <w:basedOn w:val="BodyText"/>
    <w:link w:val="BodyTextBoldChar"/>
    <w:qFormat/>
    <w:rsid w:val="00C7649A"/>
    <w:rPr>
      <w:b/>
      <w:noProof/>
      <w:szCs w:val="16"/>
    </w:rPr>
  </w:style>
  <w:style w:type="character" w:customStyle="1" w:styleId="BodyTextBoldChar">
    <w:name w:val="Body Text Bold Char"/>
    <w:basedOn w:val="BodyTextChar"/>
    <w:link w:val="BodyTextBold"/>
    <w:rsid w:val="00C7649A"/>
    <w:rPr>
      <w:b/>
      <w:noProof/>
      <w:sz w:val="22"/>
      <w:szCs w:val="16"/>
    </w:rPr>
  </w:style>
  <w:style w:type="paragraph" w:customStyle="1" w:styleId="BodyTextNoSpacingAfter">
    <w:name w:val="Body Text No Spacing After"/>
    <w:basedOn w:val="BodyText"/>
    <w:qFormat/>
    <w:rsid w:val="00B21048"/>
    <w:pPr>
      <w:spacing w:after="0"/>
    </w:pPr>
    <w:rPr>
      <w:iCs/>
      <w:szCs w:val="16"/>
    </w:rPr>
  </w:style>
  <w:style w:type="paragraph" w:customStyle="1" w:styleId="Bodytext0">
    <w:name w:val="Bodytext"/>
    <w:basedOn w:val="Normal"/>
    <w:link w:val="BodytextChar0"/>
    <w:rsid w:val="00D8064B"/>
    <w:pPr>
      <w:spacing w:after="160"/>
    </w:pPr>
    <w:rPr>
      <w:szCs w:val="24"/>
    </w:rPr>
  </w:style>
  <w:style w:type="paragraph" w:customStyle="1" w:styleId="BodytextHeading">
    <w:name w:val="Bodytext_Heading"/>
    <w:basedOn w:val="Bodytext0"/>
    <w:next w:val="Bodytext0"/>
    <w:rsid w:val="00D8064B"/>
    <w:pPr>
      <w:spacing w:before="160"/>
    </w:pPr>
    <w:rPr>
      <w:b/>
    </w:rPr>
  </w:style>
  <w:style w:type="character" w:customStyle="1" w:styleId="BodytextChar0">
    <w:name w:val="Bodytext Char"/>
    <w:basedOn w:val="DefaultParagraphFont"/>
    <w:link w:val="Bodytext0"/>
    <w:locked/>
    <w:rsid w:val="00D8064B"/>
    <w:rPr>
      <w:sz w:val="22"/>
      <w:szCs w:val="24"/>
    </w:rPr>
  </w:style>
  <w:style w:type="table" w:customStyle="1" w:styleId="ESIReport">
    <w:name w:val="ESI Report"/>
    <w:basedOn w:val="TableNormal"/>
    <w:uiPriority w:val="99"/>
    <w:rsid w:val="00BA5470"/>
    <w:pPr>
      <w:spacing w:before="40" w:after="40"/>
    </w:pPr>
    <w:tblPr>
      <w:jc w:val="center"/>
      <w:tblBorders>
        <w:top w:val="single" w:sz="4" w:space="0" w:color="A7A7A7" w:themeColor="background2" w:themeShade="BF"/>
        <w:bottom w:val="single" w:sz="4" w:space="0" w:color="A7A7A7" w:themeColor="background2" w:themeShade="BF"/>
        <w:insideH w:val="single" w:sz="4" w:space="0" w:color="A7A7A7" w:themeColor="background2" w:themeShade="BF"/>
      </w:tblBorders>
    </w:tblPr>
    <w:trPr>
      <w:jc w:val="center"/>
    </w:trPr>
    <w:tcPr>
      <w:vAlign w:val="center"/>
    </w:tcPr>
    <w:tblStylePr w:type="firstRow">
      <w:rPr>
        <w:b/>
        <w:color w:val="auto"/>
      </w:rPr>
      <w:tblPr/>
      <w:tcPr>
        <w:tcBorders>
          <w:top w:val="nil"/>
          <w:left w:val="nil"/>
          <w:bottom w:val="nil"/>
          <w:right w:val="nil"/>
          <w:insideH w:val="nil"/>
          <w:insideV w:val="nil"/>
          <w:tl2br w:val="nil"/>
          <w:tr2bl w:val="nil"/>
        </w:tcBorders>
        <w:shd w:val="clear" w:color="auto" w:fill="93D500" w:themeFill="accent1"/>
      </w:tcPr>
    </w:tblStylePr>
    <w:tblStylePr w:type="lastRow">
      <w:rPr>
        <w:b/>
      </w:rPr>
      <w:tblPr/>
      <w:tcPr>
        <w:tcBorders>
          <w:top w:val="double" w:sz="4" w:space="0" w:color="A7A7A7" w:themeColor="background2" w:themeShade="BF"/>
          <w:left w:val="nil"/>
          <w:bottom w:val="single" w:sz="4" w:space="0" w:color="A7A7A7" w:themeColor="background2" w:themeShade="BF"/>
          <w:right w:val="nil"/>
          <w:insideH w:val="nil"/>
          <w:insideV w:val="nil"/>
          <w:tl2br w:val="nil"/>
          <w:tr2bl w:val="nil"/>
        </w:tcBorders>
      </w:tcPr>
    </w:tblStylePr>
  </w:style>
  <w:style w:type="paragraph" w:customStyle="1" w:styleId="Tablebody">
    <w:name w:val="Tablebody"/>
    <w:basedOn w:val="Bodytext0"/>
    <w:rsid w:val="00627064"/>
    <w:pPr>
      <w:spacing w:before="40" w:after="40"/>
    </w:pPr>
    <w:rPr>
      <w:sz w:val="20"/>
    </w:rPr>
  </w:style>
  <w:style w:type="paragraph" w:customStyle="1" w:styleId="TableBullet1">
    <w:name w:val="TableBullet1"/>
    <w:basedOn w:val="Tablebody"/>
    <w:rsid w:val="00627064"/>
    <w:pPr>
      <w:numPr>
        <w:numId w:val="18"/>
      </w:numPr>
      <w:ind w:left="173" w:hanging="173"/>
    </w:pPr>
  </w:style>
  <w:style w:type="paragraph" w:customStyle="1" w:styleId="Tablenote">
    <w:name w:val="Tablenote"/>
    <w:basedOn w:val="Tablebody"/>
    <w:rsid w:val="00627064"/>
    <w:rPr>
      <w:sz w:val="18"/>
    </w:rPr>
  </w:style>
  <w:style w:type="paragraph" w:customStyle="1" w:styleId="Tablesubheader">
    <w:name w:val="Tablesubheader"/>
    <w:basedOn w:val="Normal"/>
    <w:rsid w:val="00627064"/>
    <w:pPr>
      <w:spacing w:before="40" w:after="40"/>
    </w:pPr>
    <w:rPr>
      <w:b/>
      <w:sz w:val="20"/>
      <w:szCs w:val="24"/>
    </w:rPr>
  </w:style>
  <w:style w:type="paragraph" w:customStyle="1" w:styleId="AnswerNumbered">
    <w:name w:val="Answer Numbered"/>
    <w:basedOn w:val="Normal"/>
    <w:uiPriority w:val="99"/>
    <w:rsid w:val="00E8061E"/>
    <w:pPr>
      <w:numPr>
        <w:numId w:val="19"/>
      </w:numPr>
    </w:pPr>
    <w:rPr>
      <w:rFonts w:ascii="Times New Roman" w:hAnsi="Times New Roman"/>
    </w:rPr>
  </w:style>
  <w:style w:type="paragraph" w:customStyle="1" w:styleId="Address">
    <w:name w:val="Address"/>
    <w:basedOn w:val="BodyText"/>
    <w:qFormat/>
    <w:rsid w:val="00BB5A45"/>
    <w:pPr>
      <w:spacing w:before="120" w:after="120"/>
    </w:pPr>
    <w:rPr>
      <w:rFonts w:eastAsiaTheme="minorHAnsi" w:cstheme="minorBidi"/>
      <w:color w:val="036479" w:themeColor="text2"/>
      <w:sz w:val="20"/>
      <w:szCs w:val="22"/>
    </w:rPr>
  </w:style>
  <w:style w:type="table" w:styleId="GridTable4">
    <w:name w:val="Grid Table 4"/>
    <w:basedOn w:val="TableNormal"/>
    <w:uiPriority w:val="49"/>
    <w:rsid w:val="00BB5A45"/>
    <w:rPr>
      <w:rFonts w:asciiTheme="minorHAnsi" w:eastAsiaTheme="minorEastAsia" w:hAnsiTheme="minorHAnsi" w:cstheme="minorBidi"/>
      <w:sz w:val="24"/>
      <w:szCs w:val="24"/>
      <w:lang w:eastAsia="ja-JP"/>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tion">
    <w:name w:val="Mention"/>
    <w:basedOn w:val="DefaultParagraphFont"/>
    <w:uiPriority w:val="99"/>
    <w:unhideWhenUsed/>
    <w:rsid w:val="00BB5A45"/>
    <w:rPr>
      <w:color w:val="2B579A"/>
      <w:shd w:val="clear" w:color="auto" w:fill="E1DFDD"/>
    </w:rPr>
  </w:style>
  <w:style w:type="paragraph" w:customStyle="1" w:styleId="pf0">
    <w:name w:val="pf0"/>
    <w:basedOn w:val="Normal"/>
    <w:rsid w:val="00BB5A45"/>
    <w:pPr>
      <w:spacing w:before="100" w:beforeAutospacing="1" w:after="100" w:afterAutospacing="1"/>
    </w:pPr>
    <w:rPr>
      <w:rFonts w:ascii="Times New Roman" w:hAnsi="Times New Roman"/>
      <w:sz w:val="24"/>
      <w:szCs w:val="24"/>
    </w:rPr>
  </w:style>
  <w:style w:type="character" w:customStyle="1" w:styleId="cf01">
    <w:name w:val="cf01"/>
    <w:basedOn w:val="DefaultParagraphFont"/>
    <w:rsid w:val="00BB5A45"/>
    <w:rPr>
      <w:rFonts w:ascii="Segoe UI" w:hAnsi="Segoe UI" w:cs="Segoe UI" w:hint="default"/>
      <w:sz w:val="18"/>
      <w:szCs w:val="18"/>
    </w:rPr>
  </w:style>
  <w:style w:type="character" w:customStyle="1" w:styleId="normaltextrun">
    <w:name w:val="normaltextrun"/>
    <w:basedOn w:val="DefaultParagraphFont"/>
    <w:rsid w:val="00BB5A45"/>
  </w:style>
  <w:style w:type="table" w:styleId="GridTable1Light">
    <w:name w:val="Grid Table 1 Light"/>
    <w:basedOn w:val="TableNormal"/>
    <w:uiPriority w:val="46"/>
    <w:rsid w:val="00BB5A45"/>
    <w:rPr>
      <w:rFonts w:asciiTheme="minorHAnsi" w:eastAsiaTheme="minorHAnsi" w:hAnsiTheme="minorHAnsi" w:cstheme="minorBidi"/>
      <w:kern w:val="2"/>
      <w:sz w:val="22"/>
      <w:szCs w:val="22"/>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eop">
    <w:name w:val="eop"/>
    <w:basedOn w:val="DefaultParagraphFont"/>
    <w:rsid w:val="00AE5C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63201">
      <w:bodyDiv w:val="1"/>
      <w:marLeft w:val="0"/>
      <w:marRight w:val="0"/>
      <w:marTop w:val="0"/>
      <w:marBottom w:val="0"/>
      <w:divBdr>
        <w:top w:val="none" w:sz="0" w:space="0" w:color="auto"/>
        <w:left w:val="none" w:sz="0" w:space="0" w:color="auto"/>
        <w:bottom w:val="none" w:sz="0" w:space="0" w:color="auto"/>
        <w:right w:val="none" w:sz="0" w:space="0" w:color="auto"/>
      </w:divBdr>
    </w:div>
    <w:div w:id="62486406">
      <w:bodyDiv w:val="1"/>
      <w:marLeft w:val="0"/>
      <w:marRight w:val="0"/>
      <w:marTop w:val="0"/>
      <w:marBottom w:val="0"/>
      <w:divBdr>
        <w:top w:val="none" w:sz="0" w:space="0" w:color="auto"/>
        <w:left w:val="none" w:sz="0" w:space="0" w:color="auto"/>
        <w:bottom w:val="none" w:sz="0" w:space="0" w:color="auto"/>
        <w:right w:val="none" w:sz="0" w:space="0" w:color="auto"/>
      </w:divBdr>
    </w:div>
    <w:div w:id="70934472">
      <w:bodyDiv w:val="1"/>
      <w:marLeft w:val="0"/>
      <w:marRight w:val="0"/>
      <w:marTop w:val="0"/>
      <w:marBottom w:val="0"/>
      <w:divBdr>
        <w:top w:val="none" w:sz="0" w:space="0" w:color="auto"/>
        <w:left w:val="none" w:sz="0" w:space="0" w:color="auto"/>
        <w:bottom w:val="none" w:sz="0" w:space="0" w:color="auto"/>
        <w:right w:val="none" w:sz="0" w:space="0" w:color="auto"/>
      </w:divBdr>
    </w:div>
    <w:div w:id="96367885">
      <w:bodyDiv w:val="1"/>
      <w:marLeft w:val="0"/>
      <w:marRight w:val="0"/>
      <w:marTop w:val="0"/>
      <w:marBottom w:val="0"/>
      <w:divBdr>
        <w:top w:val="none" w:sz="0" w:space="0" w:color="auto"/>
        <w:left w:val="none" w:sz="0" w:space="0" w:color="auto"/>
        <w:bottom w:val="none" w:sz="0" w:space="0" w:color="auto"/>
        <w:right w:val="none" w:sz="0" w:space="0" w:color="auto"/>
      </w:divBdr>
    </w:div>
    <w:div w:id="178934140">
      <w:bodyDiv w:val="1"/>
      <w:marLeft w:val="0"/>
      <w:marRight w:val="0"/>
      <w:marTop w:val="0"/>
      <w:marBottom w:val="0"/>
      <w:divBdr>
        <w:top w:val="none" w:sz="0" w:space="0" w:color="auto"/>
        <w:left w:val="none" w:sz="0" w:space="0" w:color="auto"/>
        <w:bottom w:val="none" w:sz="0" w:space="0" w:color="auto"/>
        <w:right w:val="none" w:sz="0" w:space="0" w:color="auto"/>
      </w:divBdr>
    </w:div>
    <w:div w:id="201787355">
      <w:bodyDiv w:val="1"/>
      <w:marLeft w:val="0"/>
      <w:marRight w:val="0"/>
      <w:marTop w:val="0"/>
      <w:marBottom w:val="0"/>
      <w:divBdr>
        <w:top w:val="none" w:sz="0" w:space="0" w:color="auto"/>
        <w:left w:val="none" w:sz="0" w:space="0" w:color="auto"/>
        <w:bottom w:val="none" w:sz="0" w:space="0" w:color="auto"/>
        <w:right w:val="none" w:sz="0" w:space="0" w:color="auto"/>
      </w:divBdr>
    </w:div>
    <w:div w:id="238443464">
      <w:bodyDiv w:val="1"/>
      <w:marLeft w:val="0"/>
      <w:marRight w:val="0"/>
      <w:marTop w:val="0"/>
      <w:marBottom w:val="0"/>
      <w:divBdr>
        <w:top w:val="none" w:sz="0" w:space="0" w:color="auto"/>
        <w:left w:val="none" w:sz="0" w:space="0" w:color="auto"/>
        <w:bottom w:val="none" w:sz="0" w:space="0" w:color="auto"/>
        <w:right w:val="none" w:sz="0" w:space="0" w:color="auto"/>
      </w:divBdr>
    </w:div>
    <w:div w:id="318073532">
      <w:bodyDiv w:val="1"/>
      <w:marLeft w:val="0"/>
      <w:marRight w:val="0"/>
      <w:marTop w:val="0"/>
      <w:marBottom w:val="0"/>
      <w:divBdr>
        <w:top w:val="none" w:sz="0" w:space="0" w:color="auto"/>
        <w:left w:val="none" w:sz="0" w:space="0" w:color="auto"/>
        <w:bottom w:val="none" w:sz="0" w:space="0" w:color="auto"/>
        <w:right w:val="none" w:sz="0" w:space="0" w:color="auto"/>
      </w:divBdr>
    </w:div>
    <w:div w:id="354159498">
      <w:bodyDiv w:val="1"/>
      <w:marLeft w:val="0"/>
      <w:marRight w:val="0"/>
      <w:marTop w:val="0"/>
      <w:marBottom w:val="0"/>
      <w:divBdr>
        <w:top w:val="none" w:sz="0" w:space="0" w:color="auto"/>
        <w:left w:val="none" w:sz="0" w:space="0" w:color="auto"/>
        <w:bottom w:val="none" w:sz="0" w:space="0" w:color="auto"/>
        <w:right w:val="none" w:sz="0" w:space="0" w:color="auto"/>
      </w:divBdr>
      <w:divsChild>
        <w:div w:id="511917668">
          <w:marLeft w:val="136"/>
          <w:marRight w:val="136"/>
          <w:marTop w:val="204"/>
          <w:marBottom w:val="0"/>
          <w:divBdr>
            <w:top w:val="none" w:sz="0" w:space="0" w:color="auto"/>
            <w:left w:val="none" w:sz="0" w:space="0" w:color="auto"/>
            <w:bottom w:val="none" w:sz="0" w:space="0" w:color="auto"/>
            <w:right w:val="none" w:sz="0" w:space="0" w:color="auto"/>
          </w:divBdr>
          <w:divsChild>
            <w:div w:id="147282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122164">
      <w:bodyDiv w:val="1"/>
      <w:marLeft w:val="0"/>
      <w:marRight w:val="0"/>
      <w:marTop w:val="0"/>
      <w:marBottom w:val="0"/>
      <w:divBdr>
        <w:top w:val="none" w:sz="0" w:space="0" w:color="auto"/>
        <w:left w:val="none" w:sz="0" w:space="0" w:color="auto"/>
        <w:bottom w:val="none" w:sz="0" w:space="0" w:color="auto"/>
        <w:right w:val="none" w:sz="0" w:space="0" w:color="auto"/>
      </w:divBdr>
    </w:div>
    <w:div w:id="577522783">
      <w:bodyDiv w:val="1"/>
      <w:marLeft w:val="0"/>
      <w:marRight w:val="0"/>
      <w:marTop w:val="0"/>
      <w:marBottom w:val="0"/>
      <w:divBdr>
        <w:top w:val="none" w:sz="0" w:space="0" w:color="auto"/>
        <w:left w:val="none" w:sz="0" w:space="0" w:color="auto"/>
        <w:bottom w:val="none" w:sz="0" w:space="0" w:color="auto"/>
        <w:right w:val="none" w:sz="0" w:space="0" w:color="auto"/>
      </w:divBdr>
    </w:div>
    <w:div w:id="624820892">
      <w:bodyDiv w:val="1"/>
      <w:marLeft w:val="0"/>
      <w:marRight w:val="0"/>
      <w:marTop w:val="0"/>
      <w:marBottom w:val="0"/>
      <w:divBdr>
        <w:top w:val="none" w:sz="0" w:space="0" w:color="auto"/>
        <w:left w:val="none" w:sz="0" w:space="0" w:color="auto"/>
        <w:bottom w:val="none" w:sz="0" w:space="0" w:color="auto"/>
        <w:right w:val="none" w:sz="0" w:space="0" w:color="auto"/>
      </w:divBdr>
    </w:div>
    <w:div w:id="641467980">
      <w:bodyDiv w:val="1"/>
      <w:marLeft w:val="0"/>
      <w:marRight w:val="0"/>
      <w:marTop w:val="0"/>
      <w:marBottom w:val="0"/>
      <w:divBdr>
        <w:top w:val="none" w:sz="0" w:space="0" w:color="auto"/>
        <w:left w:val="none" w:sz="0" w:space="0" w:color="auto"/>
        <w:bottom w:val="none" w:sz="0" w:space="0" w:color="auto"/>
        <w:right w:val="none" w:sz="0" w:space="0" w:color="auto"/>
      </w:divBdr>
    </w:div>
    <w:div w:id="728647449">
      <w:bodyDiv w:val="1"/>
      <w:marLeft w:val="0"/>
      <w:marRight w:val="0"/>
      <w:marTop w:val="0"/>
      <w:marBottom w:val="0"/>
      <w:divBdr>
        <w:top w:val="none" w:sz="0" w:space="0" w:color="auto"/>
        <w:left w:val="none" w:sz="0" w:space="0" w:color="auto"/>
        <w:bottom w:val="none" w:sz="0" w:space="0" w:color="auto"/>
        <w:right w:val="none" w:sz="0" w:space="0" w:color="auto"/>
      </w:divBdr>
    </w:div>
    <w:div w:id="747727103">
      <w:bodyDiv w:val="1"/>
      <w:marLeft w:val="0"/>
      <w:marRight w:val="0"/>
      <w:marTop w:val="0"/>
      <w:marBottom w:val="0"/>
      <w:divBdr>
        <w:top w:val="none" w:sz="0" w:space="0" w:color="auto"/>
        <w:left w:val="none" w:sz="0" w:space="0" w:color="auto"/>
        <w:bottom w:val="none" w:sz="0" w:space="0" w:color="auto"/>
        <w:right w:val="none" w:sz="0" w:space="0" w:color="auto"/>
      </w:divBdr>
    </w:div>
    <w:div w:id="847594698">
      <w:bodyDiv w:val="1"/>
      <w:marLeft w:val="0"/>
      <w:marRight w:val="0"/>
      <w:marTop w:val="0"/>
      <w:marBottom w:val="0"/>
      <w:divBdr>
        <w:top w:val="none" w:sz="0" w:space="0" w:color="auto"/>
        <w:left w:val="none" w:sz="0" w:space="0" w:color="auto"/>
        <w:bottom w:val="none" w:sz="0" w:space="0" w:color="auto"/>
        <w:right w:val="none" w:sz="0" w:space="0" w:color="auto"/>
      </w:divBdr>
      <w:divsChild>
        <w:div w:id="130711221">
          <w:marLeft w:val="576"/>
          <w:marRight w:val="0"/>
          <w:marTop w:val="40"/>
          <w:marBottom w:val="0"/>
          <w:divBdr>
            <w:top w:val="none" w:sz="0" w:space="0" w:color="auto"/>
            <w:left w:val="none" w:sz="0" w:space="0" w:color="auto"/>
            <w:bottom w:val="none" w:sz="0" w:space="0" w:color="auto"/>
            <w:right w:val="none" w:sz="0" w:space="0" w:color="auto"/>
          </w:divBdr>
        </w:div>
        <w:div w:id="752434799">
          <w:marLeft w:val="864"/>
          <w:marRight w:val="0"/>
          <w:marTop w:val="40"/>
          <w:marBottom w:val="0"/>
          <w:divBdr>
            <w:top w:val="none" w:sz="0" w:space="0" w:color="auto"/>
            <w:left w:val="none" w:sz="0" w:space="0" w:color="auto"/>
            <w:bottom w:val="none" w:sz="0" w:space="0" w:color="auto"/>
            <w:right w:val="none" w:sz="0" w:space="0" w:color="auto"/>
          </w:divBdr>
        </w:div>
        <w:div w:id="805900464">
          <w:marLeft w:val="576"/>
          <w:marRight w:val="0"/>
          <w:marTop w:val="40"/>
          <w:marBottom w:val="0"/>
          <w:divBdr>
            <w:top w:val="none" w:sz="0" w:space="0" w:color="auto"/>
            <w:left w:val="none" w:sz="0" w:space="0" w:color="auto"/>
            <w:bottom w:val="none" w:sz="0" w:space="0" w:color="auto"/>
            <w:right w:val="none" w:sz="0" w:space="0" w:color="auto"/>
          </w:divBdr>
        </w:div>
        <w:div w:id="844126738">
          <w:marLeft w:val="576"/>
          <w:marRight w:val="0"/>
          <w:marTop w:val="40"/>
          <w:marBottom w:val="0"/>
          <w:divBdr>
            <w:top w:val="none" w:sz="0" w:space="0" w:color="auto"/>
            <w:left w:val="none" w:sz="0" w:space="0" w:color="auto"/>
            <w:bottom w:val="none" w:sz="0" w:space="0" w:color="auto"/>
            <w:right w:val="none" w:sz="0" w:space="0" w:color="auto"/>
          </w:divBdr>
        </w:div>
        <w:div w:id="1143615289">
          <w:marLeft w:val="576"/>
          <w:marRight w:val="0"/>
          <w:marTop w:val="80"/>
          <w:marBottom w:val="0"/>
          <w:divBdr>
            <w:top w:val="none" w:sz="0" w:space="0" w:color="auto"/>
            <w:left w:val="none" w:sz="0" w:space="0" w:color="auto"/>
            <w:bottom w:val="none" w:sz="0" w:space="0" w:color="auto"/>
            <w:right w:val="none" w:sz="0" w:space="0" w:color="auto"/>
          </w:divBdr>
        </w:div>
        <w:div w:id="1201895407">
          <w:marLeft w:val="288"/>
          <w:marRight w:val="0"/>
          <w:marTop w:val="120"/>
          <w:marBottom w:val="0"/>
          <w:divBdr>
            <w:top w:val="none" w:sz="0" w:space="0" w:color="auto"/>
            <w:left w:val="none" w:sz="0" w:space="0" w:color="auto"/>
            <w:bottom w:val="none" w:sz="0" w:space="0" w:color="auto"/>
            <w:right w:val="none" w:sz="0" w:space="0" w:color="auto"/>
          </w:divBdr>
        </w:div>
        <w:div w:id="1218273579">
          <w:marLeft w:val="288"/>
          <w:marRight w:val="0"/>
          <w:marTop w:val="120"/>
          <w:marBottom w:val="0"/>
          <w:divBdr>
            <w:top w:val="none" w:sz="0" w:space="0" w:color="auto"/>
            <w:left w:val="none" w:sz="0" w:space="0" w:color="auto"/>
            <w:bottom w:val="none" w:sz="0" w:space="0" w:color="auto"/>
            <w:right w:val="none" w:sz="0" w:space="0" w:color="auto"/>
          </w:divBdr>
        </w:div>
        <w:div w:id="1321737994">
          <w:marLeft w:val="576"/>
          <w:marRight w:val="0"/>
          <w:marTop w:val="40"/>
          <w:marBottom w:val="0"/>
          <w:divBdr>
            <w:top w:val="none" w:sz="0" w:space="0" w:color="auto"/>
            <w:left w:val="none" w:sz="0" w:space="0" w:color="auto"/>
            <w:bottom w:val="none" w:sz="0" w:space="0" w:color="auto"/>
            <w:right w:val="none" w:sz="0" w:space="0" w:color="auto"/>
          </w:divBdr>
        </w:div>
        <w:div w:id="1330406580">
          <w:marLeft w:val="288"/>
          <w:marRight w:val="0"/>
          <w:marTop w:val="120"/>
          <w:marBottom w:val="0"/>
          <w:divBdr>
            <w:top w:val="none" w:sz="0" w:space="0" w:color="auto"/>
            <w:left w:val="none" w:sz="0" w:space="0" w:color="auto"/>
            <w:bottom w:val="none" w:sz="0" w:space="0" w:color="auto"/>
            <w:right w:val="none" w:sz="0" w:space="0" w:color="auto"/>
          </w:divBdr>
        </w:div>
        <w:div w:id="1602688157">
          <w:marLeft w:val="576"/>
          <w:marRight w:val="0"/>
          <w:marTop w:val="40"/>
          <w:marBottom w:val="0"/>
          <w:divBdr>
            <w:top w:val="none" w:sz="0" w:space="0" w:color="auto"/>
            <w:left w:val="none" w:sz="0" w:space="0" w:color="auto"/>
            <w:bottom w:val="none" w:sz="0" w:space="0" w:color="auto"/>
            <w:right w:val="none" w:sz="0" w:space="0" w:color="auto"/>
          </w:divBdr>
        </w:div>
        <w:div w:id="1637953377">
          <w:marLeft w:val="576"/>
          <w:marRight w:val="0"/>
          <w:marTop w:val="40"/>
          <w:marBottom w:val="0"/>
          <w:divBdr>
            <w:top w:val="none" w:sz="0" w:space="0" w:color="auto"/>
            <w:left w:val="none" w:sz="0" w:space="0" w:color="auto"/>
            <w:bottom w:val="none" w:sz="0" w:space="0" w:color="auto"/>
            <w:right w:val="none" w:sz="0" w:space="0" w:color="auto"/>
          </w:divBdr>
        </w:div>
        <w:div w:id="1769963297">
          <w:marLeft w:val="288"/>
          <w:marRight w:val="0"/>
          <w:marTop w:val="120"/>
          <w:marBottom w:val="0"/>
          <w:divBdr>
            <w:top w:val="none" w:sz="0" w:space="0" w:color="auto"/>
            <w:left w:val="none" w:sz="0" w:space="0" w:color="auto"/>
            <w:bottom w:val="none" w:sz="0" w:space="0" w:color="auto"/>
            <w:right w:val="none" w:sz="0" w:space="0" w:color="auto"/>
          </w:divBdr>
        </w:div>
        <w:div w:id="1874730835">
          <w:marLeft w:val="576"/>
          <w:marRight w:val="0"/>
          <w:marTop w:val="40"/>
          <w:marBottom w:val="0"/>
          <w:divBdr>
            <w:top w:val="none" w:sz="0" w:space="0" w:color="auto"/>
            <w:left w:val="none" w:sz="0" w:space="0" w:color="auto"/>
            <w:bottom w:val="none" w:sz="0" w:space="0" w:color="auto"/>
            <w:right w:val="none" w:sz="0" w:space="0" w:color="auto"/>
          </w:divBdr>
        </w:div>
        <w:div w:id="1918131338">
          <w:marLeft w:val="576"/>
          <w:marRight w:val="0"/>
          <w:marTop w:val="40"/>
          <w:marBottom w:val="0"/>
          <w:divBdr>
            <w:top w:val="none" w:sz="0" w:space="0" w:color="auto"/>
            <w:left w:val="none" w:sz="0" w:space="0" w:color="auto"/>
            <w:bottom w:val="none" w:sz="0" w:space="0" w:color="auto"/>
            <w:right w:val="none" w:sz="0" w:space="0" w:color="auto"/>
          </w:divBdr>
        </w:div>
      </w:divsChild>
    </w:div>
    <w:div w:id="874315837">
      <w:bodyDiv w:val="1"/>
      <w:marLeft w:val="0"/>
      <w:marRight w:val="0"/>
      <w:marTop w:val="0"/>
      <w:marBottom w:val="0"/>
      <w:divBdr>
        <w:top w:val="none" w:sz="0" w:space="0" w:color="auto"/>
        <w:left w:val="none" w:sz="0" w:space="0" w:color="auto"/>
        <w:bottom w:val="none" w:sz="0" w:space="0" w:color="auto"/>
        <w:right w:val="none" w:sz="0" w:space="0" w:color="auto"/>
      </w:divBdr>
    </w:div>
    <w:div w:id="901326471">
      <w:bodyDiv w:val="1"/>
      <w:marLeft w:val="0"/>
      <w:marRight w:val="0"/>
      <w:marTop w:val="0"/>
      <w:marBottom w:val="0"/>
      <w:divBdr>
        <w:top w:val="none" w:sz="0" w:space="0" w:color="auto"/>
        <w:left w:val="none" w:sz="0" w:space="0" w:color="auto"/>
        <w:bottom w:val="none" w:sz="0" w:space="0" w:color="auto"/>
        <w:right w:val="none" w:sz="0" w:space="0" w:color="auto"/>
      </w:divBdr>
    </w:div>
    <w:div w:id="1093210124">
      <w:bodyDiv w:val="1"/>
      <w:marLeft w:val="0"/>
      <w:marRight w:val="0"/>
      <w:marTop w:val="0"/>
      <w:marBottom w:val="0"/>
      <w:divBdr>
        <w:top w:val="none" w:sz="0" w:space="0" w:color="auto"/>
        <w:left w:val="none" w:sz="0" w:space="0" w:color="auto"/>
        <w:bottom w:val="none" w:sz="0" w:space="0" w:color="auto"/>
        <w:right w:val="none" w:sz="0" w:space="0" w:color="auto"/>
      </w:divBdr>
    </w:div>
    <w:div w:id="1349602182">
      <w:bodyDiv w:val="1"/>
      <w:marLeft w:val="0"/>
      <w:marRight w:val="0"/>
      <w:marTop w:val="0"/>
      <w:marBottom w:val="0"/>
      <w:divBdr>
        <w:top w:val="none" w:sz="0" w:space="0" w:color="auto"/>
        <w:left w:val="none" w:sz="0" w:space="0" w:color="auto"/>
        <w:bottom w:val="none" w:sz="0" w:space="0" w:color="auto"/>
        <w:right w:val="none" w:sz="0" w:space="0" w:color="auto"/>
      </w:divBdr>
      <w:divsChild>
        <w:div w:id="629480102">
          <w:marLeft w:val="0"/>
          <w:marRight w:val="0"/>
          <w:marTop w:val="0"/>
          <w:marBottom w:val="0"/>
          <w:divBdr>
            <w:top w:val="none" w:sz="0" w:space="0" w:color="auto"/>
            <w:left w:val="none" w:sz="0" w:space="0" w:color="auto"/>
            <w:bottom w:val="none" w:sz="0" w:space="0" w:color="auto"/>
            <w:right w:val="none" w:sz="0" w:space="0" w:color="auto"/>
          </w:divBdr>
          <w:divsChild>
            <w:div w:id="563764185">
              <w:marLeft w:val="0"/>
              <w:marRight w:val="0"/>
              <w:marTop w:val="0"/>
              <w:marBottom w:val="0"/>
              <w:divBdr>
                <w:top w:val="none" w:sz="0" w:space="0" w:color="auto"/>
                <w:left w:val="none" w:sz="0" w:space="0" w:color="auto"/>
                <w:bottom w:val="none" w:sz="0" w:space="0" w:color="auto"/>
                <w:right w:val="none" w:sz="0" w:space="0" w:color="auto"/>
              </w:divBdr>
              <w:divsChild>
                <w:div w:id="274101921">
                  <w:marLeft w:val="0"/>
                  <w:marRight w:val="0"/>
                  <w:marTop w:val="0"/>
                  <w:marBottom w:val="150"/>
                  <w:divBdr>
                    <w:top w:val="none" w:sz="0" w:space="0" w:color="auto"/>
                    <w:left w:val="none" w:sz="0" w:space="0" w:color="auto"/>
                    <w:bottom w:val="none" w:sz="0" w:space="0" w:color="auto"/>
                    <w:right w:val="none" w:sz="0" w:space="0" w:color="auto"/>
                  </w:divBdr>
                  <w:divsChild>
                    <w:div w:id="1461462266">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sChild>
        </w:div>
      </w:divsChild>
    </w:div>
    <w:div w:id="1389375335">
      <w:bodyDiv w:val="1"/>
      <w:marLeft w:val="0"/>
      <w:marRight w:val="0"/>
      <w:marTop w:val="0"/>
      <w:marBottom w:val="0"/>
      <w:divBdr>
        <w:top w:val="none" w:sz="0" w:space="0" w:color="auto"/>
        <w:left w:val="none" w:sz="0" w:space="0" w:color="auto"/>
        <w:bottom w:val="none" w:sz="0" w:space="0" w:color="auto"/>
        <w:right w:val="none" w:sz="0" w:space="0" w:color="auto"/>
      </w:divBdr>
    </w:div>
    <w:div w:id="1440833450">
      <w:bodyDiv w:val="1"/>
      <w:marLeft w:val="0"/>
      <w:marRight w:val="0"/>
      <w:marTop w:val="0"/>
      <w:marBottom w:val="0"/>
      <w:divBdr>
        <w:top w:val="none" w:sz="0" w:space="0" w:color="auto"/>
        <w:left w:val="none" w:sz="0" w:space="0" w:color="auto"/>
        <w:bottom w:val="none" w:sz="0" w:space="0" w:color="auto"/>
        <w:right w:val="none" w:sz="0" w:space="0" w:color="auto"/>
      </w:divBdr>
      <w:divsChild>
        <w:div w:id="1111123260">
          <w:marLeft w:val="136"/>
          <w:marRight w:val="136"/>
          <w:marTop w:val="204"/>
          <w:marBottom w:val="0"/>
          <w:divBdr>
            <w:top w:val="none" w:sz="0" w:space="0" w:color="auto"/>
            <w:left w:val="none" w:sz="0" w:space="0" w:color="auto"/>
            <w:bottom w:val="none" w:sz="0" w:space="0" w:color="auto"/>
            <w:right w:val="none" w:sz="0" w:space="0" w:color="auto"/>
          </w:divBdr>
          <w:divsChild>
            <w:div w:id="186543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036">
      <w:bodyDiv w:val="1"/>
      <w:marLeft w:val="0"/>
      <w:marRight w:val="0"/>
      <w:marTop w:val="0"/>
      <w:marBottom w:val="0"/>
      <w:divBdr>
        <w:top w:val="none" w:sz="0" w:space="0" w:color="auto"/>
        <w:left w:val="none" w:sz="0" w:space="0" w:color="auto"/>
        <w:bottom w:val="none" w:sz="0" w:space="0" w:color="auto"/>
        <w:right w:val="none" w:sz="0" w:space="0" w:color="auto"/>
      </w:divBdr>
    </w:div>
    <w:div w:id="2052803964">
      <w:bodyDiv w:val="1"/>
      <w:marLeft w:val="0"/>
      <w:marRight w:val="0"/>
      <w:marTop w:val="0"/>
      <w:marBottom w:val="0"/>
      <w:divBdr>
        <w:top w:val="none" w:sz="0" w:space="0" w:color="auto"/>
        <w:left w:val="none" w:sz="0" w:space="0" w:color="auto"/>
        <w:bottom w:val="none" w:sz="0" w:space="0" w:color="auto"/>
        <w:right w:val="none" w:sz="0" w:space="0" w:color="auto"/>
      </w:divBdr>
    </w:div>
    <w:div w:id="2138836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theme" Target="theme/theme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docs.cpuc.ca.gov/PublishedDocs/Published/G000/M524/K427/524427971.PDF" TargetMode="External"/><Relationship Id="rId2" Type="http://schemas.openxmlformats.org/officeDocument/2006/relationships/hyperlink" Target="https://www.sdge.com/rates-and-regulations/proceedings/Order-Instituting-Rulemaking-to-Establish-Energization-Timelines" TargetMode="External"/><Relationship Id="rId1" Type="http://schemas.openxmlformats.org/officeDocument/2006/relationships/hyperlink" Target="https://docs.cpuc.ca.gov/PublishedDocs/Efile/G000/M527/K533/527533715.PDF" TargetMode="External"/><Relationship Id="rId4" Type="http://schemas.openxmlformats.org/officeDocument/2006/relationships/hyperlink" Target="https://www.cpuc.ca.gov/industries-and-topics/electrical-energy/infrastructure/electric-reliability/undergrounding-program-description/rule-20/cpuc-rule-20-undergrounding-programs-current-proceeding-r1705010/electric-tariff-rules-15-and-16-distribution-line-and-service-extension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microsoft.com/office/2007/relationships/hdphoto" Target="media/hdphoto1.wdp"/><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GH report_2022">
      <a:dk1>
        <a:srgbClr val="000000"/>
      </a:dk1>
      <a:lt1>
        <a:srgbClr val="FFFFFF"/>
      </a:lt1>
      <a:dk2>
        <a:srgbClr val="036479"/>
      </a:dk2>
      <a:lt2>
        <a:srgbClr val="E0E0E0"/>
      </a:lt2>
      <a:accent1>
        <a:srgbClr val="93D500"/>
      </a:accent1>
      <a:accent2>
        <a:srgbClr val="C3EC0C"/>
      </a:accent2>
      <a:accent3>
        <a:srgbClr val="036479"/>
      </a:accent3>
      <a:accent4>
        <a:srgbClr val="60B8CC"/>
      </a:accent4>
      <a:accent5>
        <a:srgbClr val="68952C"/>
      </a:accent5>
      <a:accent6>
        <a:srgbClr val="F9B723"/>
      </a:accent6>
      <a:hlink>
        <a:srgbClr val="68952C"/>
      </a:hlink>
      <a:folHlink>
        <a:srgbClr val="03647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E4B8505639D5408CD81E2FCF6E06CB" ma:contentTypeVersion="6" ma:contentTypeDescription="Create a new document." ma:contentTypeScope="" ma:versionID="ca23e8111a8cca4cc2a3ddc0b5be7a77">
  <xsd:schema xmlns:xsd="http://www.w3.org/2001/XMLSchema" xmlns:xs="http://www.w3.org/2001/XMLSchema" xmlns:p="http://schemas.microsoft.com/office/2006/metadata/properties" xmlns:ns2="94f04d97-87b5-40bc-9b20-a537e43496b7" xmlns:ns3="1e357279-4555-4d60-a56a-fb09d8c418e2" targetNamespace="http://schemas.microsoft.com/office/2006/metadata/properties" ma:root="true" ma:fieldsID="b63c31a28175f2e97964e5003b2c3118" ns2:_="" ns3:_="">
    <xsd:import namespace="94f04d97-87b5-40bc-9b20-a537e43496b7"/>
    <xsd:import namespace="1e357279-4555-4d60-a56a-fb09d8c418e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f04d97-87b5-40bc-9b20-a537e43496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357279-4555-4d60-a56a-fb09d8c418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1e357279-4555-4d60-a56a-fb09d8c418e2">
      <UserInfo>
        <DisplayName>Karen Maoz</DisplayName>
        <AccountId>12</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A5163F-25A1-4FF1-8182-38F116C022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f04d97-87b5-40bc-9b20-a537e43496b7"/>
    <ds:schemaRef ds:uri="1e357279-4555-4d60-a56a-fb09d8c418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F1B8DA-0FC2-499D-BF92-5DB901DF9982}">
  <ds:schemaRefs>
    <ds:schemaRef ds:uri="http://schemas.openxmlformats.org/officeDocument/2006/bibliography"/>
  </ds:schemaRefs>
</ds:datastoreItem>
</file>

<file path=customXml/itemProps3.xml><?xml version="1.0" encoding="utf-8"?>
<ds:datastoreItem xmlns:ds="http://schemas.openxmlformats.org/officeDocument/2006/customXml" ds:itemID="{913EB1CF-1389-4408-8BEF-9784C7569C22}">
  <ds:schemaRefs>
    <ds:schemaRef ds:uri="http://schemas.microsoft.com/office/2006/metadata/properties"/>
    <ds:schemaRef ds:uri="http://schemas.microsoft.com/office/infopath/2007/PartnerControls"/>
    <ds:schemaRef ds:uri="1e357279-4555-4d60-a56a-fb09d8c418e2"/>
  </ds:schemaRefs>
</ds:datastoreItem>
</file>

<file path=customXml/itemProps4.xml><?xml version="1.0" encoding="utf-8"?>
<ds:datastoreItem xmlns:ds="http://schemas.openxmlformats.org/officeDocument/2006/customXml" ds:itemID="{12A9F1A4-F7E1-47ED-9246-7B23D3ED5420}">
  <ds:schemaRefs>
    <ds:schemaRef ds:uri="http://schemas.microsoft.com/sharepoint/v3/contenttype/forms"/>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0</ap:TotalTime>
  <ap:Pages>19</ap:Pages>
  <ap:Words>3248</ap:Words>
  <ap:Characters>21708</ap:Characters>
  <ap:Application>Microsoft Office Word</ap:Application>
  <ap:DocSecurity>0</ap:DocSecurity>
  <ap:Lines>180</ap:Lines>
  <ap:Paragraphs>49</ap:Paragraphs>
  <ap:ScaleCrop>false</ap:ScaleCrop>
  <ap:HeadingPairs>
    <vt:vector baseType="variant" size="2">
      <vt:variant>
        <vt:lpstr>Title</vt:lpstr>
      </vt:variant>
      <vt:variant>
        <vt:i4>1</vt:i4>
      </vt:variant>
    </vt:vector>
  </ap:HeadingPairs>
  <ap:TitlesOfParts>
    <vt:vector baseType="lpstr" size="1">
      <vt:lpstr>[DOCUMENT TITLE]</vt:lpstr>
    </vt:vector>
  </ap:TitlesOfParts>
  <ap:Company/>
  <ap:LinksUpToDate>false</ap:LinksUpToDate>
  <ap:CharactersWithSpaces>24907</ap:CharactersWithSpaces>
  <ap:SharedDoc>false</ap:SharedDoc>
  <ap:HLinks>
    <vt:vector baseType="variant" size="222">
      <vt:variant>
        <vt:i4>1769529</vt:i4>
      </vt:variant>
      <vt:variant>
        <vt:i4>188</vt:i4>
      </vt:variant>
      <vt:variant>
        <vt:i4>0</vt:i4>
      </vt:variant>
      <vt:variant>
        <vt:i4>5</vt:i4>
      </vt:variant>
      <vt:variant>
        <vt:lpwstr/>
      </vt:variant>
      <vt:variant>
        <vt:lpwstr>_Toc171615886</vt:lpwstr>
      </vt:variant>
      <vt:variant>
        <vt:i4>1769529</vt:i4>
      </vt:variant>
      <vt:variant>
        <vt:i4>182</vt:i4>
      </vt:variant>
      <vt:variant>
        <vt:i4>0</vt:i4>
      </vt:variant>
      <vt:variant>
        <vt:i4>5</vt:i4>
      </vt:variant>
      <vt:variant>
        <vt:lpwstr/>
      </vt:variant>
      <vt:variant>
        <vt:lpwstr>_Toc171615885</vt:lpwstr>
      </vt:variant>
      <vt:variant>
        <vt:i4>1769529</vt:i4>
      </vt:variant>
      <vt:variant>
        <vt:i4>173</vt:i4>
      </vt:variant>
      <vt:variant>
        <vt:i4>0</vt:i4>
      </vt:variant>
      <vt:variant>
        <vt:i4>5</vt:i4>
      </vt:variant>
      <vt:variant>
        <vt:lpwstr/>
      </vt:variant>
      <vt:variant>
        <vt:lpwstr>_Toc171615884</vt:lpwstr>
      </vt:variant>
      <vt:variant>
        <vt:i4>1769529</vt:i4>
      </vt:variant>
      <vt:variant>
        <vt:i4>167</vt:i4>
      </vt:variant>
      <vt:variant>
        <vt:i4>0</vt:i4>
      </vt:variant>
      <vt:variant>
        <vt:i4>5</vt:i4>
      </vt:variant>
      <vt:variant>
        <vt:lpwstr/>
      </vt:variant>
      <vt:variant>
        <vt:lpwstr>_Toc171615883</vt:lpwstr>
      </vt:variant>
      <vt:variant>
        <vt:i4>1769529</vt:i4>
      </vt:variant>
      <vt:variant>
        <vt:i4>161</vt:i4>
      </vt:variant>
      <vt:variant>
        <vt:i4>0</vt:i4>
      </vt:variant>
      <vt:variant>
        <vt:i4>5</vt:i4>
      </vt:variant>
      <vt:variant>
        <vt:lpwstr/>
      </vt:variant>
      <vt:variant>
        <vt:lpwstr>_Toc171615882</vt:lpwstr>
      </vt:variant>
      <vt:variant>
        <vt:i4>1769529</vt:i4>
      </vt:variant>
      <vt:variant>
        <vt:i4>155</vt:i4>
      </vt:variant>
      <vt:variant>
        <vt:i4>0</vt:i4>
      </vt:variant>
      <vt:variant>
        <vt:i4>5</vt:i4>
      </vt:variant>
      <vt:variant>
        <vt:lpwstr/>
      </vt:variant>
      <vt:variant>
        <vt:lpwstr>_Toc171615881</vt:lpwstr>
      </vt:variant>
      <vt:variant>
        <vt:i4>1769529</vt:i4>
      </vt:variant>
      <vt:variant>
        <vt:i4>149</vt:i4>
      </vt:variant>
      <vt:variant>
        <vt:i4>0</vt:i4>
      </vt:variant>
      <vt:variant>
        <vt:i4>5</vt:i4>
      </vt:variant>
      <vt:variant>
        <vt:lpwstr/>
      </vt:variant>
      <vt:variant>
        <vt:lpwstr>_Toc171615880</vt:lpwstr>
      </vt:variant>
      <vt:variant>
        <vt:i4>1310777</vt:i4>
      </vt:variant>
      <vt:variant>
        <vt:i4>143</vt:i4>
      </vt:variant>
      <vt:variant>
        <vt:i4>0</vt:i4>
      </vt:variant>
      <vt:variant>
        <vt:i4>5</vt:i4>
      </vt:variant>
      <vt:variant>
        <vt:lpwstr/>
      </vt:variant>
      <vt:variant>
        <vt:lpwstr>_Toc171615879</vt:lpwstr>
      </vt:variant>
      <vt:variant>
        <vt:i4>1310777</vt:i4>
      </vt:variant>
      <vt:variant>
        <vt:i4>137</vt:i4>
      </vt:variant>
      <vt:variant>
        <vt:i4>0</vt:i4>
      </vt:variant>
      <vt:variant>
        <vt:i4>5</vt:i4>
      </vt:variant>
      <vt:variant>
        <vt:lpwstr/>
      </vt:variant>
      <vt:variant>
        <vt:lpwstr>_Toc171615878</vt:lpwstr>
      </vt:variant>
      <vt:variant>
        <vt:i4>1310777</vt:i4>
      </vt:variant>
      <vt:variant>
        <vt:i4>131</vt:i4>
      </vt:variant>
      <vt:variant>
        <vt:i4>0</vt:i4>
      </vt:variant>
      <vt:variant>
        <vt:i4>5</vt:i4>
      </vt:variant>
      <vt:variant>
        <vt:lpwstr/>
      </vt:variant>
      <vt:variant>
        <vt:lpwstr>_Toc171615877</vt:lpwstr>
      </vt:variant>
      <vt:variant>
        <vt:i4>1310777</vt:i4>
      </vt:variant>
      <vt:variant>
        <vt:i4>125</vt:i4>
      </vt:variant>
      <vt:variant>
        <vt:i4>0</vt:i4>
      </vt:variant>
      <vt:variant>
        <vt:i4>5</vt:i4>
      </vt:variant>
      <vt:variant>
        <vt:lpwstr/>
      </vt:variant>
      <vt:variant>
        <vt:lpwstr>_Toc171615876</vt:lpwstr>
      </vt:variant>
      <vt:variant>
        <vt:i4>1310777</vt:i4>
      </vt:variant>
      <vt:variant>
        <vt:i4>119</vt:i4>
      </vt:variant>
      <vt:variant>
        <vt:i4>0</vt:i4>
      </vt:variant>
      <vt:variant>
        <vt:i4>5</vt:i4>
      </vt:variant>
      <vt:variant>
        <vt:lpwstr/>
      </vt:variant>
      <vt:variant>
        <vt:lpwstr>_Toc171615875</vt:lpwstr>
      </vt:variant>
      <vt:variant>
        <vt:i4>1310777</vt:i4>
      </vt:variant>
      <vt:variant>
        <vt:i4>113</vt:i4>
      </vt:variant>
      <vt:variant>
        <vt:i4>0</vt:i4>
      </vt:variant>
      <vt:variant>
        <vt:i4>5</vt:i4>
      </vt:variant>
      <vt:variant>
        <vt:lpwstr/>
      </vt:variant>
      <vt:variant>
        <vt:lpwstr>_Toc171615874</vt:lpwstr>
      </vt:variant>
      <vt:variant>
        <vt:i4>1507386</vt:i4>
      </vt:variant>
      <vt:variant>
        <vt:i4>104</vt:i4>
      </vt:variant>
      <vt:variant>
        <vt:i4>0</vt:i4>
      </vt:variant>
      <vt:variant>
        <vt:i4>5</vt:i4>
      </vt:variant>
      <vt:variant>
        <vt:lpwstr/>
      </vt:variant>
      <vt:variant>
        <vt:lpwstr>_Toc171620810</vt:lpwstr>
      </vt:variant>
      <vt:variant>
        <vt:i4>1441850</vt:i4>
      </vt:variant>
      <vt:variant>
        <vt:i4>98</vt:i4>
      </vt:variant>
      <vt:variant>
        <vt:i4>0</vt:i4>
      </vt:variant>
      <vt:variant>
        <vt:i4>5</vt:i4>
      </vt:variant>
      <vt:variant>
        <vt:lpwstr/>
      </vt:variant>
      <vt:variant>
        <vt:lpwstr>_Toc171620809</vt:lpwstr>
      </vt:variant>
      <vt:variant>
        <vt:i4>1441850</vt:i4>
      </vt:variant>
      <vt:variant>
        <vt:i4>92</vt:i4>
      </vt:variant>
      <vt:variant>
        <vt:i4>0</vt:i4>
      </vt:variant>
      <vt:variant>
        <vt:i4>5</vt:i4>
      </vt:variant>
      <vt:variant>
        <vt:lpwstr/>
      </vt:variant>
      <vt:variant>
        <vt:lpwstr>_Toc171620808</vt:lpwstr>
      </vt:variant>
      <vt:variant>
        <vt:i4>1441850</vt:i4>
      </vt:variant>
      <vt:variant>
        <vt:i4>86</vt:i4>
      </vt:variant>
      <vt:variant>
        <vt:i4>0</vt:i4>
      </vt:variant>
      <vt:variant>
        <vt:i4>5</vt:i4>
      </vt:variant>
      <vt:variant>
        <vt:lpwstr/>
      </vt:variant>
      <vt:variant>
        <vt:lpwstr>_Toc171620807</vt:lpwstr>
      </vt:variant>
      <vt:variant>
        <vt:i4>1441850</vt:i4>
      </vt:variant>
      <vt:variant>
        <vt:i4>80</vt:i4>
      </vt:variant>
      <vt:variant>
        <vt:i4>0</vt:i4>
      </vt:variant>
      <vt:variant>
        <vt:i4>5</vt:i4>
      </vt:variant>
      <vt:variant>
        <vt:lpwstr/>
      </vt:variant>
      <vt:variant>
        <vt:lpwstr>_Toc171620806</vt:lpwstr>
      </vt:variant>
      <vt:variant>
        <vt:i4>1441850</vt:i4>
      </vt:variant>
      <vt:variant>
        <vt:i4>74</vt:i4>
      </vt:variant>
      <vt:variant>
        <vt:i4>0</vt:i4>
      </vt:variant>
      <vt:variant>
        <vt:i4>5</vt:i4>
      </vt:variant>
      <vt:variant>
        <vt:lpwstr/>
      </vt:variant>
      <vt:variant>
        <vt:lpwstr>_Toc171620805</vt:lpwstr>
      </vt:variant>
      <vt:variant>
        <vt:i4>1441850</vt:i4>
      </vt:variant>
      <vt:variant>
        <vt:i4>68</vt:i4>
      </vt:variant>
      <vt:variant>
        <vt:i4>0</vt:i4>
      </vt:variant>
      <vt:variant>
        <vt:i4>5</vt:i4>
      </vt:variant>
      <vt:variant>
        <vt:lpwstr/>
      </vt:variant>
      <vt:variant>
        <vt:lpwstr>_Toc171620804</vt:lpwstr>
      </vt:variant>
      <vt:variant>
        <vt:i4>1441850</vt:i4>
      </vt:variant>
      <vt:variant>
        <vt:i4>62</vt:i4>
      </vt:variant>
      <vt:variant>
        <vt:i4>0</vt:i4>
      </vt:variant>
      <vt:variant>
        <vt:i4>5</vt:i4>
      </vt:variant>
      <vt:variant>
        <vt:lpwstr/>
      </vt:variant>
      <vt:variant>
        <vt:lpwstr>_Toc171620803</vt:lpwstr>
      </vt:variant>
      <vt:variant>
        <vt:i4>1441850</vt:i4>
      </vt:variant>
      <vt:variant>
        <vt:i4>56</vt:i4>
      </vt:variant>
      <vt:variant>
        <vt:i4>0</vt:i4>
      </vt:variant>
      <vt:variant>
        <vt:i4>5</vt:i4>
      </vt:variant>
      <vt:variant>
        <vt:lpwstr/>
      </vt:variant>
      <vt:variant>
        <vt:lpwstr>_Toc171620802</vt:lpwstr>
      </vt:variant>
      <vt:variant>
        <vt:i4>1441850</vt:i4>
      </vt:variant>
      <vt:variant>
        <vt:i4>50</vt:i4>
      </vt:variant>
      <vt:variant>
        <vt:i4>0</vt:i4>
      </vt:variant>
      <vt:variant>
        <vt:i4>5</vt:i4>
      </vt:variant>
      <vt:variant>
        <vt:lpwstr/>
      </vt:variant>
      <vt:variant>
        <vt:lpwstr>_Toc171620801</vt:lpwstr>
      </vt:variant>
      <vt:variant>
        <vt:i4>1441850</vt:i4>
      </vt:variant>
      <vt:variant>
        <vt:i4>44</vt:i4>
      </vt:variant>
      <vt:variant>
        <vt:i4>0</vt:i4>
      </vt:variant>
      <vt:variant>
        <vt:i4>5</vt:i4>
      </vt:variant>
      <vt:variant>
        <vt:lpwstr/>
      </vt:variant>
      <vt:variant>
        <vt:lpwstr>_Toc171620800</vt:lpwstr>
      </vt:variant>
      <vt:variant>
        <vt:i4>2031669</vt:i4>
      </vt:variant>
      <vt:variant>
        <vt:i4>38</vt:i4>
      </vt:variant>
      <vt:variant>
        <vt:i4>0</vt:i4>
      </vt:variant>
      <vt:variant>
        <vt:i4>5</vt:i4>
      </vt:variant>
      <vt:variant>
        <vt:lpwstr/>
      </vt:variant>
      <vt:variant>
        <vt:lpwstr>_Toc171620799</vt:lpwstr>
      </vt:variant>
      <vt:variant>
        <vt:i4>2031669</vt:i4>
      </vt:variant>
      <vt:variant>
        <vt:i4>32</vt:i4>
      </vt:variant>
      <vt:variant>
        <vt:i4>0</vt:i4>
      </vt:variant>
      <vt:variant>
        <vt:i4>5</vt:i4>
      </vt:variant>
      <vt:variant>
        <vt:lpwstr/>
      </vt:variant>
      <vt:variant>
        <vt:lpwstr>_Toc171620798</vt:lpwstr>
      </vt:variant>
      <vt:variant>
        <vt:i4>2031669</vt:i4>
      </vt:variant>
      <vt:variant>
        <vt:i4>26</vt:i4>
      </vt:variant>
      <vt:variant>
        <vt:i4>0</vt:i4>
      </vt:variant>
      <vt:variant>
        <vt:i4>5</vt:i4>
      </vt:variant>
      <vt:variant>
        <vt:lpwstr/>
      </vt:variant>
      <vt:variant>
        <vt:lpwstr>_Toc171620797</vt:lpwstr>
      </vt:variant>
      <vt:variant>
        <vt:i4>2031669</vt:i4>
      </vt:variant>
      <vt:variant>
        <vt:i4>20</vt:i4>
      </vt:variant>
      <vt:variant>
        <vt:i4>0</vt:i4>
      </vt:variant>
      <vt:variant>
        <vt:i4>5</vt:i4>
      </vt:variant>
      <vt:variant>
        <vt:lpwstr/>
      </vt:variant>
      <vt:variant>
        <vt:lpwstr>_Toc171620796</vt:lpwstr>
      </vt:variant>
      <vt:variant>
        <vt:i4>2031669</vt:i4>
      </vt:variant>
      <vt:variant>
        <vt:i4>14</vt:i4>
      </vt:variant>
      <vt:variant>
        <vt:i4>0</vt:i4>
      </vt:variant>
      <vt:variant>
        <vt:i4>5</vt:i4>
      </vt:variant>
      <vt:variant>
        <vt:lpwstr/>
      </vt:variant>
      <vt:variant>
        <vt:lpwstr>_Toc171620795</vt:lpwstr>
      </vt:variant>
      <vt:variant>
        <vt:i4>2031669</vt:i4>
      </vt:variant>
      <vt:variant>
        <vt:i4>8</vt:i4>
      </vt:variant>
      <vt:variant>
        <vt:i4>0</vt:i4>
      </vt:variant>
      <vt:variant>
        <vt:i4>5</vt:i4>
      </vt:variant>
      <vt:variant>
        <vt:lpwstr/>
      </vt:variant>
      <vt:variant>
        <vt:lpwstr>_Toc171620794</vt:lpwstr>
      </vt:variant>
      <vt:variant>
        <vt:i4>2031669</vt:i4>
      </vt:variant>
      <vt:variant>
        <vt:i4>2</vt:i4>
      </vt:variant>
      <vt:variant>
        <vt:i4>0</vt:i4>
      </vt:variant>
      <vt:variant>
        <vt:i4>5</vt:i4>
      </vt:variant>
      <vt:variant>
        <vt:lpwstr/>
      </vt:variant>
      <vt:variant>
        <vt:lpwstr>_Toc171620793</vt:lpwstr>
      </vt:variant>
      <vt:variant>
        <vt:i4>1704008</vt:i4>
      </vt:variant>
      <vt:variant>
        <vt:i4>6</vt:i4>
      </vt:variant>
      <vt:variant>
        <vt:i4>0</vt:i4>
      </vt:variant>
      <vt:variant>
        <vt:i4>5</vt:i4>
      </vt:variant>
      <vt:variant>
        <vt:lpwstr>https://docs.cpuc.ca.gov/PublishedDocs/Published/G000/M524/K427/524427971.PDF</vt:lpwstr>
      </vt:variant>
      <vt:variant>
        <vt:lpwstr/>
      </vt:variant>
      <vt:variant>
        <vt:i4>3735601</vt:i4>
      </vt:variant>
      <vt:variant>
        <vt:i4>3</vt:i4>
      </vt:variant>
      <vt:variant>
        <vt:i4>0</vt:i4>
      </vt:variant>
      <vt:variant>
        <vt:i4>5</vt:i4>
      </vt:variant>
      <vt:variant>
        <vt:lpwstr>https://www.sdge.com/rates-and-regulations/proceedings/Order-Instituting-Rulemaking-to-Establish-Energization-Timelines</vt:lpwstr>
      </vt:variant>
      <vt:variant>
        <vt:lpwstr/>
      </vt:variant>
      <vt:variant>
        <vt:i4>327744</vt:i4>
      </vt:variant>
      <vt:variant>
        <vt:i4>0</vt:i4>
      </vt:variant>
      <vt:variant>
        <vt:i4>0</vt:i4>
      </vt:variant>
      <vt:variant>
        <vt:i4>5</vt:i4>
      </vt:variant>
      <vt:variant>
        <vt:lpwstr>https://docs.cpuc.ca.gov/PublishedDocs/Efile/G000/M527/K533/527533715.PDF</vt:lpwstr>
      </vt:variant>
      <vt:variant>
        <vt:lpwstr/>
      </vt:variant>
      <vt:variant>
        <vt:i4>2752514</vt:i4>
      </vt:variant>
      <vt:variant>
        <vt:i4>6</vt:i4>
      </vt:variant>
      <vt:variant>
        <vt:i4>0</vt:i4>
      </vt:variant>
      <vt:variant>
        <vt:i4>5</vt:i4>
      </vt:variant>
      <vt:variant>
        <vt:lpwstr>mailto:jluna@guidehouse.com</vt:lpwstr>
      </vt:variant>
      <vt:variant>
        <vt:lpwstr/>
      </vt:variant>
      <vt:variant>
        <vt:i4>2752514</vt:i4>
      </vt:variant>
      <vt:variant>
        <vt:i4>3</vt:i4>
      </vt:variant>
      <vt:variant>
        <vt:i4>0</vt:i4>
      </vt:variant>
      <vt:variant>
        <vt:i4>5</vt:i4>
      </vt:variant>
      <vt:variant>
        <vt:lpwstr>mailto:jluna@guidehouse.com</vt:lpwstr>
      </vt:variant>
      <vt:variant>
        <vt:lpwstr/>
      </vt:variant>
      <vt:variant>
        <vt:i4>3145805</vt:i4>
      </vt:variant>
      <vt:variant>
        <vt:i4>0</vt:i4>
      </vt:variant>
      <vt:variant>
        <vt:i4>0</vt:i4>
      </vt:variant>
      <vt:variant>
        <vt:i4>5</vt:i4>
      </vt:variant>
      <vt:variant>
        <vt:lpwstr>mailto:karen.maoz@guidehouse.com</vt:lpwstr>
      </vt:variant>
      <vt:variant>
        <vt:lpwstr/>
      </vt:variant>
    </vt:vector>
  </ap:HLinks>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lastPrinted>2024-09-10T17:13:00Z</cp:lastPrinted>
  <dcterms:created xsi:type="dcterms:W3CDTF">2024-09-17T12:56:00Z</dcterms:created>
  <dcterms:modified xsi:type="dcterms:W3CDTF">2024-09-17T12:56:00Z</dcterms:modified>
</cp:coreProperties>
</file>