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42E6" w:rsidP="006742E6" w:rsidRDefault="006742E6" w14:paraId="1D8C74E1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6742E6" w:rsidP="006742E6" w:rsidRDefault="006742E6" w14:paraId="306CA4B8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6742E6" w:rsidP="006742E6" w:rsidRDefault="006742E6" w14:paraId="52F7FD89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6742E6" w:rsidP="006742E6" w:rsidRDefault="006742E6" w14:paraId="0EC650AE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6742E6" w:rsidP="006742E6" w:rsidRDefault="006742E6" w14:paraId="6911E9DE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6742E6" w:rsidP="006742E6" w:rsidRDefault="006742E6" w14:paraId="6F45CE80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6742E6" w:rsidP="006742E6" w:rsidRDefault="006742E6" w14:paraId="640FF112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6742E6" w:rsidP="006742E6" w:rsidRDefault="006742E6" w14:paraId="52A02105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Pr="006742E6" w:rsidR="006742E6" w:rsidP="006742E6" w:rsidRDefault="006742E6" w14:paraId="641FA2B8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  <w:r w:rsidRPr="006742E6">
        <w:rPr>
          <w:rFonts w:ascii="Book Antiqua" w:hAnsi="Book Antiqua"/>
          <w:sz w:val="48"/>
          <w:szCs w:val="48"/>
        </w:rPr>
        <w:t>APPENDIX C</w:t>
      </w:r>
    </w:p>
    <w:p w:rsidRPr="0072738E" w:rsidR="00C72FEF" w:rsidP="00967F74" w:rsidRDefault="006742E6" w14:paraId="66BBD902" w14:textId="48CE256A">
      <w:pPr>
        <w:jc w:val="center"/>
        <w:rPr>
          <w:rFonts w:ascii="Book Antiqua" w:hAnsi="Book Antiqua"/>
          <w:sz w:val="36"/>
          <w:szCs w:val="36"/>
        </w:rPr>
      </w:pPr>
      <w:r w:rsidRPr="0072738E">
        <w:rPr>
          <w:rFonts w:ascii="Book Antiqua" w:hAnsi="Book Antiqua"/>
          <w:sz w:val="36"/>
          <w:szCs w:val="36"/>
        </w:rPr>
        <w:t xml:space="preserve">Customer </w:t>
      </w:r>
      <w:r w:rsidRPr="0072738E" w:rsidR="00967F74">
        <w:rPr>
          <w:rFonts w:ascii="Book Antiqua" w:hAnsi="Book Antiqua"/>
          <w:sz w:val="36"/>
          <w:szCs w:val="36"/>
        </w:rPr>
        <w:t xml:space="preserve">Energization Delay </w:t>
      </w:r>
      <w:r w:rsidRPr="0072738E" w:rsidR="00A96DB3">
        <w:rPr>
          <w:rFonts w:ascii="Book Antiqua" w:hAnsi="Book Antiqua"/>
          <w:sz w:val="36"/>
          <w:szCs w:val="36"/>
        </w:rPr>
        <w:t>Reporting</w:t>
      </w:r>
      <w:r w:rsidRPr="0072738E" w:rsidR="00967F74">
        <w:rPr>
          <w:rFonts w:ascii="Book Antiqua" w:hAnsi="Book Antiqua"/>
          <w:sz w:val="36"/>
          <w:szCs w:val="36"/>
        </w:rPr>
        <w:t xml:space="preserve"> Form</w:t>
      </w:r>
    </w:p>
    <w:p w:rsidR="006742E6" w:rsidP="006742E6" w:rsidRDefault="006742E6" w14:paraId="17F4DD88" w14:textId="77777777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:rsidRPr="006742E6" w:rsidR="006742E6" w:rsidP="006742E6" w:rsidRDefault="006742E6" w14:paraId="27E35844" w14:textId="77777777">
      <w:pPr>
        <w:jc w:val="center"/>
        <w:rPr>
          <w:rFonts w:ascii="Book Antiqua" w:hAnsi="Book Antiqua"/>
          <w:b/>
          <w:bCs/>
          <w:sz w:val="36"/>
          <w:szCs w:val="36"/>
        </w:rPr>
        <w:sectPr w:rsidRPr="006742E6" w:rsidR="006742E6" w:rsidSect="006742E6">
          <w:headerReference w:type="default" r:id="rId8"/>
          <w:footerReference w:type="default" r:id="rId9"/>
          <w:pgSz w:w="12240" w:h="15840"/>
          <w:pgMar w:top="1728" w:right="1440" w:bottom="1440" w:left="1440" w:header="720" w:footer="720" w:gutter="0"/>
          <w:cols w:space="720"/>
          <w:docGrid w:linePitch="360"/>
        </w:sectPr>
      </w:pPr>
    </w:p>
    <w:p w:rsidR="00C72FEF" w:rsidP="00967F74" w:rsidRDefault="00967F74" w14:paraId="57BDE279" w14:textId="7ED5E1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Energization Delay </w:t>
      </w:r>
      <w:r w:rsidR="0072738E">
        <w:rPr>
          <w:b/>
          <w:bCs/>
          <w:sz w:val="32"/>
          <w:szCs w:val="32"/>
        </w:rPr>
        <w:t>Reporting</w:t>
      </w:r>
      <w:r>
        <w:rPr>
          <w:b/>
          <w:bCs/>
          <w:sz w:val="32"/>
          <w:szCs w:val="32"/>
        </w:rPr>
        <w:t xml:space="preserve"> Form</w:t>
      </w:r>
    </w:p>
    <w:p w:rsidR="00967F74" w:rsidP="00967F74" w:rsidRDefault="00967F74" w14:paraId="77C645CD" w14:textId="77777777">
      <w:pPr>
        <w:jc w:val="center"/>
        <w:rPr>
          <w:b/>
          <w:bCs/>
          <w:sz w:val="32"/>
          <w:szCs w:val="32"/>
        </w:rPr>
      </w:pPr>
    </w:p>
    <w:p w:rsidR="00C54065" w:rsidP="702DCF19" w:rsidRDefault="00967F74" w14:paraId="32DA4B16" w14:textId="1890B0EC">
      <w:pPr>
        <w:rPr>
          <w:sz w:val="24"/>
          <w:szCs w:val="24"/>
        </w:rPr>
      </w:pPr>
      <w:r>
        <w:rPr>
          <w:sz w:val="24"/>
          <w:szCs w:val="24"/>
        </w:rPr>
        <w:t xml:space="preserve">This form </w:t>
      </w:r>
      <w:r w:rsidRPr="681E564C" w:rsidR="7C490004">
        <w:rPr>
          <w:sz w:val="24"/>
          <w:szCs w:val="24"/>
        </w:rPr>
        <w:t xml:space="preserve">enables customers to </w:t>
      </w:r>
      <w:r w:rsidRPr="71A2902C" w:rsidR="7C490004">
        <w:rPr>
          <w:sz w:val="24"/>
          <w:szCs w:val="24"/>
        </w:rPr>
        <w:t>report</w:t>
      </w:r>
      <w:r>
        <w:rPr>
          <w:sz w:val="24"/>
          <w:szCs w:val="24"/>
        </w:rPr>
        <w:t xml:space="preserve"> delays </w:t>
      </w:r>
      <w:r w:rsidR="00D55C9E">
        <w:rPr>
          <w:sz w:val="24"/>
          <w:szCs w:val="24"/>
        </w:rPr>
        <w:t xml:space="preserve">that occur in steps necessary for the </w:t>
      </w:r>
      <w:r w:rsidR="00FD6987">
        <w:rPr>
          <w:sz w:val="24"/>
          <w:szCs w:val="24"/>
        </w:rPr>
        <w:t xml:space="preserve">large electric investor-owned utilities (IOU) </w:t>
      </w:r>
      <w:r>
        <w:rPr>
          <w:sz w:val="24"/>
          <w:szCs w:val="24"/>
        </w:rPr>
        <w:t>to complet</w:t>
      </w:r>
      <w:r w:rsidR="00D55C9E">
        <w:rPr>
          <w:sz w:val="24"/>
          <w:szCs w:val="24"/>
        </w:rPr>
        <w:t>e</w:t>
      </w:r>
      <w:r>
        <w:rPr>
          <w:sz w:val="24"/>
          <w:szCs w:val="24"/>
        </w:rPr>
        <w:t xml:space="preserve"> the customer’s electrical energization process</w:t>
      </w:r>
      <w:r w:rsidRPr="1499A0D0" w:rsidR="7C721C2A">
        <w:rPr>
          <w:sz w:val="24"/>
          <w:szCs w:val="24"/>
        </w:rPr>
        <w:t xml:space="preserve"> </w:t>
      </w:r>
      <w:r w:rsidRPr="63009A89" w:rsidR="7C721C2A">
        <w:rPr>
          <w:sz w:val="24"/>
          <w:szCs w:val="24"/>
        </w:rPr>
        <w:t xml:space="preserve">to the California </w:t>
      </w:r>
      <w:r w:rsidRPr="6AC73854" w:rsidR="7C721C2A">
        <w:rPr>
          <w:sz w:val="24"/>
          <w:szCs w:val="24"/>
        </w:rPr>
        <w:t xml:space="preserve">Public Utilities </w:t>
      </w:r>
      <w:r w:rsidRPr="6150C889" w:rsidR="7C721C2A">
        <w:rPr>
          <w:sz w:val="24"/>
          <w:szCs w:val="24"/>
        </w:rPr>
        <w:t xml:space="preserve">Commission </w:t>
      </w:r>
      <w:r w:rsidRPr="42E36810" w:rsidR="7C721C2A">
        <w:rPr>
          <w:sz w:val="24"/>
          <w:szCs w:val="24"/>
        </w:rPr>
        <w:t>(Commission</w:t>
      </w:r>
      <w:r w:rsidRPr="39BB5635" w:rsidR="7C721C2A">
        <w:rPr>
          <w:sz w:val="24"/>
          <w:szCs w:val="24"/>
        </w:rPr>
        <w:t>)</w:t>
      </w:r>
      <w:r w:rsidRPr="39BB56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54065" w:rsidP="00967F74" w:rsidRDefault="00967F74" w14:paraId="67F33500" w14:textId="09F730F8">
      <w:pPr>
        <w:rPr>
          <w:sz w:val="24"/>
          <w:szCs w:val="24"/>
        </w:rPr>
      </w:pPr>
      <w:r>
        <w:rPr>
          <w:sz w:val="24"/>
          <w:szCs w:val="24"/>
        </w:rPr>
        <w:t>Please complete and sign this form (E-signature and scanned signed copies of this form are the acceptable methods of submission</w:t>
      </w:r>
      <w:r w:rsidRPr="4E5194DC">
        <w:rPr>
          <w:sz w:val="24"/>
          <w:szCs w:val="24"/>
        </w:rPr>
        <w:t>)</w:t>
      </w:r>
      <w:r w:rsidRPr="4E5194DC" w:rsidR="33BD1215">
        <w:rPr>
          <w:sz w:val="24"/>
          <w:szCs w:val="24"/>
        </w:rPr>
        <w:t>.</w:t>
      </w:r>
      <w:r w:rsidRPr="4E5194DC">
        <w:rPr>
          <w:sz w:val="24"/>
          <w:szCs w:val="24"/>
        </w:rPr>
        <w:t xml:space="preserve"> </w:t>
      </w:r>
      <w:r w:rsidRPr="4E5194DC" w:rsidR="03798803">
        <w:rPr>
          <w:sz w:val="24"/>
          <w:szCs w:val="24"/>
        </w:rPr>
        <w:t>If you prefer, you may</w:t>
      </w:r>
      <w:r>
        <w:rPr>
          <w:sz w:val="24"/>
          <w:szCs w:val="24"/>
        </w:rPr>
        <w:t xml:space="preserve"> attach </w:t>
      </w:r>
      <w:r w:rsidRPr="4E5194DC" w:rsidR="18202EC6">
        <w:rPr>
          <w:sz w:val="24"/>
          <w:szCs w:val="24"/>
        </w:rPr>
        <w:t>a PDF of</w:t>
      </w:r>
      <w:r w:rsidRPr="4E5194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form in </w:t>
      </w:r>
      <w:r w:rsidRPr="4E5194DC" w:rsidR="795F27A2">
        <w:rPr>
          <w:sz w:val="24"/>
          <w:szCs w:val="24"/>
        </w:rPr>
        <w:t>an</w:t>
      </w:r>
      <w:r>
        <w:rPr>
          <w:sz w:val="24"/>
          <w:szCs w:val="24"/>
        </w:rPr>
        <w:t xml:space="preserve"> email to </w:t>
      </w:r>
      <w:hyperlink r:id="rId10">
        <w:r w:rsidRPr="46E3595F">
          <w:rPr>
            <w:rStyle w:val="Hyperlink"/>
            <w:sz w:val="24"/>
            <w:szCs w:val="24"/>
          </w:rPr>
          <w:t>energizationcustomer@cpuc.ca.gov</w:t>
        </w:r>
      </w:hyperlink>
      <w:r w:rsidRPr="46E359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4E5194DC" w:rsidR="021F88ED">
        <w:rPr>
          <w:sz w:val="24"/>
          <w:szCs w:val="24"/>
        </w:rPr>
        <w:t>Alternatively,</w:t>
      </w:r>
      <w:r>
        <w:rPr>
          <w:sz w:val="24"/>
          <w:szCs w:val="24"/>
        </w:rPr>
        <w:t xml:space="preserve"> a physical copy of this completed</w:t>
      </w:r>
      <w:r w:rsidRPr="4E5194DC" w:rsidR="5339CE85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signed form</w:t>
      </w:r>
      <w:r w:rsidRPr="4E5194DC" w:rsidR="21C69680">
        <w:rPr>
          <w:sz w:val="24"/>
          <w:szCs w:val="24"/>
        </w:rPr>
        <w:t xml:space="preserve"> may be mailed</w:t>
      </w:r>
      <w:r>
        <w:rPr>
          <w:sz w:val="24"/>
          <w:szCs w:val="24"/>
        </w:rPr>
        <w:t xml:space="preserve"> to California Public Utilities Commission; Energy Division, </w:t>
      </w:r>
      <w:r w:rsidR="00E34181">
        <w:rPr>
          <w:sz w:val="24"/>
          <w:szCs w:val="24"/>
        </w:rPr>
        <w:t>Distribution Planning Branch, 505 Van Ness Ave.; San Francisco, CA 94102.</w:t>
      </w:r>
    </w:p>
    <w:p w:rsidRPr="00F7578E" w:rsidR="00EA7193" w:rsidP="00967F74" w:rsidRDefault="00EA7193" w14:paraId="4F38C44C" w14:textId="07B1C7C3">
      <w:pPr>
        <w:rPr>
          <w:sz w:val="24"/>
        </w:rPr>
      </w:pPr>
      <w:r w:rsidRPr="00F7578E">
        <w:rPr>
          <w:sz w:val="24"/>
        </w:rPr>
        <w:t xml:space="preserve">As stated in D.24-09-XXX, customer should only submit their </w:t>
      </w:r>
      <w:r w:rsidRPr="34F28131" w:rsidR="074D7C63">
        <w:rPr>
          <w:sz w:val="24"/>
          <w:szCs w:val="24"/>
        </w:rPr>
        <w:t>delay report</w:t>
      </w:r>
      <w:r w:rsidRPr="00F7578E">
        <w:rPr>
          <w:sz w:val="24"/>
        </w:rPr>
        <w:t xml:space="preserve"> </w:t>
      </w:r>
      <w:r w:rsidRPr="00F7578E" w:rsidR="006057AE">
        <w:rPr>
          <w:sz w:val="24"/>
        </w:rPr>
        <w:t>after they seek to resolve their experienced energization delay(s) with their electric utility and/or</w:t>
      </w:r>
      <w:r w:rsidRPr="00F7578E">
        <w:rPr>
          <w:sz w:val="24"/>
        </w:rPr>
        <w:t xml:space="preserve"> their energization request exceeds the maximum targets adopted in the decision</w:t>
      </w:r>
      <w:r w:rsidRPr="00F7578E" w:rsidR="00B53939">
        <w:rPr>
          <w:sz w:val="24"/>
        </w:rPr>
        <w:t xml:space="preserve"> (see Table 1)</w:t>
      </w:r>
      <w:r w:rsidRPr="00F7578E">
        <w:rPr>
          <w:sz w:val="24"/>
        </w:rPr>
        <w:t xml:space="preserve">. </w:t>
      </w:r>
      <w:r w:rsidRPr="00F7578E" w:rsidR="004B5E71">
        <w:rPr>
          <w:sz w:val="24"/>
        </w:rPr>
        <w:t xml:space="preserve">The targets </w:t>
      </w:r>
      <w:r w:rsidRPr="00F7578E" w:rsidR="00150E4C">
        <w:rPr>
          <w:sz w:val="24"/>
        </w:rPr>
        <w:t xml:space="preserve">identified in Table 1 are applicable only to the steps that are within the utilities’ direct control. </w:t>
      </w:r>
      <w:r w:rsidRPr="00F7578E">
        <w:rPr>
          <w:sz w:val="24"/>
        </w:rPr>
        <w:t xml:space="preserve">Complaints submitted to the Commission will inform the Commission </w:t>
      </w:r>
      <w:r w:rsidRPr="00F7578E" w:rsidR="006057AE">
        <w:rPr>
          <w:sz w:val="24"/>
        </w:rPr>
        <w:t>evaluation of</w:t>
      </w:r>
      <w:r w:rsidRPr="00F7578E">
        <w:rPr>
          <w:sz w:val="24"/>
        </w:rPr>
        <w:t xml:space="preserve"> the electric </w:t>
      </w:r>
      <w:r w:rsidR="008519C2">
        <w:rPr>
          <w:sz w:val="24"/>
          <w:szCs w:val="24"/>
        </w:rPr>
        <w:t>utilities</w:t>
      </w:r>
      <w:r w:rsidRPr="00F7578E" w:rsidR="006057AE">
        <w:rPr>
          <w:sz w:val="24"/>
        </w:rPr>
        <w:t xml:space="preserve"> efforts to meet the adopted targets and accelerate their energization processes. </w:t>
      </w:r>
      <w:r w:rsidRPr="4E5194DC" w:rsidR="006057AE">
        <w:rPr>
          <w:sz w:val="24"/>
          <w:szCs w:val="24"/>
        </w:rPr>
        <w:t xml:space="preserve">If the customer is seeking redress to an ongoing delay, they can also file a formal or informal complaint with the Commission’s Consumer Affairs Branch utilizing the instructions available at  </w:t>
      </w:r>
      <w:hyperlink r:id="rId11">
        <w:r w:rsidRPr="4E5194DC" w:rsidR="006057AE">
          <w:rPr>
            <w:rStyle w:val="Hyperlink"/>
            <w:sz w:val="24"/>
            <w:szCs w:val="24"/>
          </w:rPr>
          <w:t>https://www.cpuc.ca.gov/consumer-support/file-a-complaint/utility-complaint/how-the-consumer-affairs-branch-can-help</w:t>
        </w:r>
      </w:hyperlink>
      <w:r w:rsidRPr="4E5194DC" w:rsidR="006057AE">
        <w:rPr>
          <w:sz w:val="24"/>
          <w:szCs w:val="24"/>
        </w:rPr>
        <w:t>.</w:t>
      </w:r>
    </w:p>
    <w:p w:rsidR="005270FD" w:rsidP="005270FD" w:rsidRDefault="005270FD" w14:paraId="798C4A5A" w14:textId="1E75E266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Maximum</w:t>
      </w:r>
      <w:r>
        <w:rPr>
          <w:noProof/>
        </w:rPr>
        <w:t xml:space="preserve"> Energization Targets</w:t>
      </w:r>
    </w:p>
    <w:tbl>
      <w:tblPr>
        <w:tblStyle w:val="TableGrid"/>
        <w:tblW w:w="0" w:type="auto"/>
        <w:jc w:val="center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252"/>
        <w:gridCol w:w="5098"/>
      </w:tblGrid>
      <w:tr w:rsidRPr="001372D3" w:rsidR="00CF2060" w:rsidTr="0072738E" w14:paraId="24EF38A7" w14:textId="4A19610C">
        <w:trPr>
          <w:trHeight w:val="242"/>
          <w:tblHeader/>
          <w:jc w:val="center"/>
        </w:trPr>
        <w:tc>
          <w:tcPr>
            <w:tcW w:w="4252" w:type="dxa"/>
            <w:vAlign w:val="bottom"/>
          </w:tcPr>
          <w:p w:rsidRPr="001372D3" w:rsidR="00CF2060" w:rsidP="0072738E" w:rsidRDefault="00BE0D30" w14:paraId="58E5FE78" w14:textId="52346D96">
            <w:pPr>
              <w:pStyle w:val="Standard"/>
              <w:spacing w:line="240" w:lineRule="auto"/>
              <w:ind w:firstLine="0"/>
              <w:rPr>
                <w:b/>
                <w:bCs/>
                <w:sz w:val="22"/>
                <w:szCs w:val="18"/>
              </w:rPr>
            </w:pPr>
            <w:r w:rsidRPr="001372D3">
              <w:rPr>
                <w:b/>
                <w:bCs/>
                <w:sz w:val="22"/>
                <w:szCs w:val="18"/>
              </w:rPr>
              <w:t>Energization Type</w:t>
            </w:r>
          </w:p>
        </w:tc>
        <w:tc>
          <w:tcPr>
            <w:tcW w:w="5098" w:type="dxa"/>
            <w:vAlign w:val="bottom"/>
          </w:tcPr>
          <w:p w:rsidRPr="001372D3" w:rsidR="00CF2060" w:rsidP="0072738E" w:rsidRDefault="00CF2060" w14:paraId="0A60216E" w14:textId="79AD76FA">
            <w:pPr>
              <w:pStyle w:val="Standard"/>
              <w:spacing w:line="240" w:lineRule="auto"/>
              <w:ind w:firstLine="0"/>
              <w:rPr>
                <w:b/>
                <w:sz w:val="22"/>
              </w:rPr>
            </w:pPr>
            <w:r w:rsidRPr="4E5194DC">
              <w:rPr>
                <w:b/>
                <w:sz w:val="22"/>
              </w:rPr>
              <w:t>Maximum Energization Target (business days)</w:t>
            </w:r>
          </w:p>
        </w:tc>
      </w:tr>
      <w:tr w:rsidRPr="001372D3" w:rsidR="00CF2060" w:rsidTr="0072738E" w14:paraId="6377AAD6" w14:textId="3ABC2E91">
        <w:trPr>
          <w:trHeight w:val="224"/>
          <w:jc w:val="center"/>
        </w:trPr>
        <w:tc>
          <w:tcPr>
            <w:tcW w:w="4252" w:type="dxa"/>
            <w:vAlign w:val="bottom"/>
          </w:tcPr>
          <w:p w:rsidRPr="001372D3" w:rsidR="00CF2060" w:rsidP="0072738E" w:rsidRDefault="00CF2060" w14:paraId="085D2148" w14:textId="77777777">
            <w:pPr>
              <w:pStyle w:val="Standard"/>
              <w:spacing w:line="240" w:lineRule="auto"/>
              <w:ind w:firstLine="0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Rule 15</w:t>
            </w:r>
          </w:p>
        </w:tc>
        <w:tc>
          <w:tcPr>
            <w:tcW w:w="5098" w:type="dxa"/>
            <w:vAlign w:val="bottom"/>
          </w:tcPr>
          <w:p w:rsidRPr="001372D3" w:rsidR="00CF2060" w:rsidP="0072738E" w:rsidRDefault="00675285" w14:paraId="77D28CFD" w14:textId="4A493C1C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3</w:t>
            </w:r>
            <w:r w:rsidRPr="001372D3" w:rsidDel="00E967B3" w:rsidR="00CF2060">
              <w:rPr>
                <w:sz w:val="22"/>
                <w:szCs w:val="18"/>
              </w:rPr>
              <w:t>25</w:t>
            </w:r>
          </w:p>
        </w:tc>
      </w:tr>
      <w:tr w:rsidRPr="001372D3" w:rsidR="00CF2060" w:rsidTr="0072738E" w14:paraId="3DF62240" w14:textId="17E06484">
        <w:trPr>
          <w:trHeight w:val="125"/>
          <w:jc w:val="center"/>
        </w:trPr>
        <w:tc>
          <w:tcPr>
            <w:tcW w:w="4252" w:type="dxa"/>
            <w:vAlign w:val="bottom"/>
          </w:tcPr>
          <w:p w:rsidRPr="001372D3" w:rsidR="00CF2060" w:rsidP="0072738E" w:rsidRDefault="00CF2060" w14:paraId="00E1C75C" w14:textId="77777777">
            <w:pPr>
              <w:pStyle w:val="Standard"/>
              <w:spacing w:line="240" w:lineRule="auto"/>
              <w:ind w:firstLine="0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Rule 16</w:t>
            </w:r>
          </w:p>
        </w:tc>
        <w:tc>
          <w:tcPr>
            <w:tcW w:w="5098" w:type="dxa"/>
            <w:vAlign w:val="bottom"/>
          </w:tcPr>
          <w:p w:rsidRPr="001372D3" w:rsidR="00CF2060" w:rsidP="0072738E" w:rsidRDefault="00675285" w14:paraId="70A9D24F" w14:textId="33A9A53C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290</w:t>
            </w:r>
          </w:p>
        </w:tc>
      </w:tr>
      <w:tr w:rsidRPr="001372D3" w:rsidR="00CF2060" w:rsidTr="0072738E" w14:paraId="481518D0" w14:textId="3E77F93C">
        <w:trPr>
          <w:trHeight w:val="296"/>
          <w:jc w:val="center"/>
        </w:trPr>
        <w:tc>
          <w:tcPr>
            <w:tcW w:w="4252" w:type="dxa"/>
            <w:vAlign w:val="bottom"/>
          </w:tcPr>
          <w:p w:rsidRPr="001372D3" w:rsidR="00CF2060" w:rsidP="0072738E" w:rsidRDefault="00CF2060" w14:paraId="268CD8E1" w14:textId="7E934A51">
            <w:pPr>
              <w:pStyle w:val="Standard"/>
              <w:spacing w:line="240" w:lineRule="auto"/>
              <w:ind w:firstLine="0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Rule 15/16</w:t>
            </w:r>
            <w:r w:rsidR="008A5783">
              <w:rPr>
                <w:sz w:val="22"/>
                <w:szCs w:val="18"/>
              </w:rPr>
              <w:t xml:space="preserve"> or Rule 15/29/45</w:t>
            </w:r>
            <w:r w:rsidRPr="001372D3">
              <w:rPr>
                <w:sz w:val="22"/>
                <w:szCs w:val="18"/>
              </w:rPr>
              <w:t xml:space="preserve"> Combined</w:t>
            </w:r>
          </w:p>
        </w:tc>
        <w:tc>
          <w:tcPr>
            <w:tcW w:w="5098" w:type="dxa"/>
            <w:vAlign w:val="bottom"/>
          </w:tcPr>
          <w:p w:rsidRPr="001372D3" w:rsidR="00CF2060" w:rsidP="0072738E" w:rsidRDefault="00675285" w14:paraId="0468EB3C" w14:textId="19A8CAE6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310</w:t>
            </w:r>
          </w:p>
        </w:tc>
      </w:tr>
      <w:tr w:rsidRPr="001372D3" w:rsidR="00CF2060" w:rsidTr="0072738E" w14:paraId="5CFAF428" w14:textId="73B6E644">
        <w:trPr>
          <w:trHeight w:val="242"/>
          <w:jc w:val="center"/>
        </w:trPr>
        <w:tc>
          <w:tcPr>
            <w:tcW w:w="4252" w:type="dxa"/>
            <w:vAlign w:val="bottom"/>
          </w:tcPr>
          <w:p w:rsidRPr="001372D3" w:rsidR="00CF2060" w:rsidP="0072738E" w:rsidRDefault="00CF2060" w14:paraId="6C65D05B" w14:textId="77777777">
            <w:pPr>
              <w:pStyle w:val="Standard"/>
              <w:spacing w:line="240" w:lineRule="auto"/>
              <w:ind w:firstLine="0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Rule 29/45</w:t>
            </w:r>
          </w:p>
        </w:tc>
        <w:tc>
          <w:tcPr>
            <w:tcW w:w="5098" w:type="dxa"/>
            <w:vAlign w:val="bottom"/>
          </w:tcPr>
          <w:p w:rsidRPr="001372D3" w:rsidR="00CF2060" w:rsidP="0072738E" w:rsidRDefault="00FD37A2" w14:paraId="18F72960" w14:textId="7B7C993E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310</w:t>
            </w:r>
          </w:p>
        </w:tc>
      </w:tr>
      <w:tr w:rsidRPr="001372D3" w:rsidR="00785F17" w:rsidTr="0072738E" w14:paraId="7206D1AD" w14:textId="77777777">
        <w:trPr>
          <w:trHeight w:val="143"/>
          <w:jc w:val="center"/>
        </w:trPr>
        <w:tc>
          <w:tcPr>
            <w:tcW w:w="4252" w:type="dxa"/>
            <w:vAlign w:val="bottom"/>
          </w:tcPr>
          <w:p w:rsidRPr="001372D3" w:rsidR="00785F17" w:rsidP="0072738E" w:rsidRDefault="00C7199A" w14:paraId="60D5EFD6" w14:textId="19741524">
            <w:pPr>
              <w:pStyle w:val="Standard"/>
              <w:spacing w:line="240" w:lineRule="auto"/>
              <w:ind w:firstLine="0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Decision</w:t>
            </w:r>
            <w:r w:rsidR="00D55C9E">
              <w:rPr>
                <w:sz w:val="22"/>
                <w:szCs w:val="18"/>
              </w:rPr>
              <w:t xml:space="preserve"> on Application Completeness</w:t>
            </w:r>
          </w:p>
        </w:tc>
        <w:tc>
          <w:tcPr>
            <w:tcW w:w="5098" w:type="dxa"/>
            <w:vAlign w:val="bottom"/>
          </w:tcPr>
          <w:p w:rsidRPr="001372D3" w:rsidR="00785F17" w:rsidP="0072738E" w:rsidRDefault="00C7199A" w14:paraId="0A5ECDB8" w14:textId="155BB942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45</w:t>
            </w:r>
          </w:p>
        </w:tc>
      </w:tr>
      <w:tr w:rsidRPr="001372D3" w:rsidR="00CF2060" w:rsidTr="0072738E" w14:paraId="084D4741" w14:textId="7D95CD19">
        <w:trPr>
          <w:trHeight w:val="224"/>
          <w:jc w:val="center"/>
        </w:trPr>
        <w:tc>
          <w:tcPr>
            <w:tcW w:w="4252" w:type="dxa"/>
            <w:vAlign w:val="bottom"/>
          </w:tcPr>
          <w:p w:rsidRPr="00F7578E" w:rsidR="00CF2060" w:rsidP="0072738E" w:rsidRDefault="00CF2060" w14:paraId="49CA2E08" w14:textId="261E7006">
            <w:pPr>
              <w:pStyle w:val="Standard"/>
              <w:spacing w:line="240" w:lineRule="auto"/>
              <w:ind w:firstLine="0"/>
              <w:rPr>
                <w:sz w:val="22"/>
              </w:rPr>
            </w:pPr>
            <w:r w:rsidRPr="001372D3">
              <w:rPr>
                <w:sz w:val="22"/>
                <w:szCs w:val="18"/>
              </w:rPr>
              <w:t xml:space="preserve">Main-Panel Upgrade </w:t>
            </w:r>
          </w:p>
        </w:tc>
        <w:tc>
          <w:tcPr>
            <w:tcW w:w="5098" w:type="dxa"/>
            <w:vAlign w:val="bottom"/>
          </w:tcPr>
          <w:p w:rsidRPr="00F7578E" w:rsidR="00CF2060" w:rsidP="0072738E" w:rsidRDefault="008A5783" w14:paraId="6C54B269" w14:textId="78BC63BA">
            <w:pPr>
              <w:pStyle w:val="Standard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18"/>
              </w:rPr>
              <w:t>45</w:t>
            </w:r>
          </w:p>
        </w:tc>
      </w:tr>
      <w:tr w:rsidRPr="001372D3" w:rsidR="00B07B61" w:rsidTr="0072738E" w14:paraId="03033F98" w14:textId="77777777">
        <w:trPr>
          <w:trHeight w:val="215"/>
          <w:jc w:val="center"/>
        </w:trPr>
        <w:tc>
          <w:tcPr>
            <w:tcW w:w="4252" w:type="dxa"/>
            <w:vAlign w:val="bottom"/>
          </w:tcPr>
          <w:p w:rsidRPr="001372D3" w:rsidR="00B07B61" w:rsidP="0072738E" w:rsidRDefault="00FB76EC" w14:paraId="6CF7F643" w14:textId="48F9904D">
            <w:pPr>
              <w:pStyle w:val="Standard"/>
              <w:spacing w:line="240" w:lineRule="auto"/>
              <w:ind w:firstLine="0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New or Upgraded Circuit</w:t>
            </w:r>
          </w:p>
        </w:tc>
        <w:tc>
          <w:tcPr>
            <w:tcW w:w="5098" w:type="dxa"/>
            <w:vAlign w:val="bottom"/>
          </w:tcPr>
          <w:p w:rsidRPr="001372D3" w:rsidR="00B07B61" w:rsidP="0072738E" w:rsidRDefault="00FB76EC" w14:paraId="7FAF4BFE" w14:textId="481B5BE1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1,900 (calendar days)</w:t>
            </w:r>
          </w:p>
        </w:tc>
      </w:tr>
      <w:tr w:rsidRPr="001372D3" w:rsidR="00B07B61" w:rsidTr="0072738E" w14:paraId="67F72EE3" w14:textId="77777777">
        <w:trPr>
          <w:trHeight w:val="85"/>
          <w:jc w:val="center"/>
        </w:trPr>
        <w:tc>
          <w:tcPr>
            <w:tcW w:w="4252" w:type="dxa"/>
            <w:vAlign w:val="bottom"/>
          </w:tcPr>
          <w:p w:rsidRPr="001372D3" w:rsidR="00B07B61" w:rsidP="0072738E" w:rsidRDefault="00FB76EC" w14:paraId="2EAB687C" w14:textId="31181C91">
            <w:pPr>
              <w:pStyle w:val="Standard"/>
              <w:spacing w:line="240" w:lineRule="auto"/>
              <w:ind w:firstLine="0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Substation Upgrade</w:t>
            </w:r>
          </w:p>
        </w:tc>
        <w:tc>
          <w:tcPr>
            <w:tcW w:w="5098" w:type="dxa"/>
            <w:vAlign w:val="bottom"/>
          </w:tcPr>
          <w:p w:rsidRPr="001372D3" w:rsidR="00B07B61" w:rsidP="0072738E" w:rsidRDefault="007F6CF6" w14:paraId="00D434B8" w14:textId="1BE380EB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2,700 (calendar days)</w:t>
            </w:r>
          </w:p>
        </w:tc>
      </w:tr>
      <w:tr w:rsidRPr="001372D3" w:rsidR="00B07B61" w:rsidTr="0072738E" w14:paraId="7B8E07C8" w14:textId="77777777">
        <w:trPr>
          <w:trHeight w:val="107"/>
          <w:jc w:val="center"/>
        </w:trPr>
        <w:tc>
          <w:tcPr>
            <w:tcW w:w="4252" w:type="dxa"/>
            <w:vAlign w:val="bottom"/>
          </w:tcPr>
          <w:p w:rsidRPr="001372D3" w:rsidR="00B07B61" w:rsidP="0072738E" w:rsidRDefault="007F6CF6" w14:paraId="10CEB594" w14:textId="01D58347">
            <w:pPr>
              <w:pStyle w:val="Standard"/>
              <w:spacing w:line="240" w:lineRule="auto"/>
              <w:ind w:firstLine="0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New Substation</w:t>
            </w:r>
          </w:p>
        </w:tc>
        <w:tc>
          <w:tcPr>
            <w:tcW w:w="5098" w:type="dxa"/>
            <w:vAlign w:val="bottom"/>
          </w:tcPr>
          <w:p w:rsidRPr="001372D3" w:rsidR="00B07B61" w:rsidP="0072738E" w:rsidRDefault="007F6CF6" w14:paraId="6518980D" w14:textId="7719EE57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18"/>
              </w:rPr>
            </w:pPr>
            <w:r w:rsidRPr="001372D3">
              <w:rPr>
                <w:sz w:val="22"/>
                <w:szCs w:val="18"/>
              </w:rPr>
              <w:t>3,285 (calendar days)</w:t>
            </w:r>
          </w:p>
        </w:tc>
      </w:tr>
    </w:tbl>
    <w:p w:rsidR="008A5783" w:rsidP="00967F74" w:rsidRDefault="008A5783" w14:paraId="321D5F38" w14:textId="77777777">
      <w:pPr>
        <w:rPr>
          <w:b/>
          <w:bCs/>
          <w:sz w:val="24"/>
          <w:szCs w:val="24"/>
        </w:rPr>
      </w:pPr>
    </w:p>
    <w:p w:rsidR="0039348E" w:rsidP="0072738E" w:rsidRDefault="00E34181" w14:paraId="6DE88914" w14:textId="0ADB12F2">
      <w:pPr>
        <w:spacing w:before="36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Important Note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Documents you submit</w:t>
      </w:r>
      <w:r w:rsidR="00D55C9E">
        <w:rPr>
          <w:sz w:val="24"/>
          <w:szCs w:val="24"/>
          <w:u w:val="single"/>
        </w:rPr>
        <w:t xml:space="preserve"> through this form</w:t>
      </w:r>
      <w:r>
        <w:rPr>
          <w:sz w:val="24"/>
          <w:szCs w:val="24"/>
          <w:u w:val="single"/>
        </w:rPr>
        <w:t xml:space="preserve"> will be </w:t>
      </w:r>
      <w:r w:rsidRPr="4E5194DC" w:rsidR="450FB559">
        <w:rPr>
          <w:sz w:val="24"/>
          <w:szCs w:val="24"/>
          <w:u w:val="single"/>
        </w:rPr>
        <w:t xml:space="preserve">incorporated in data </w:t>
      </w:r>
      <w:r w:rsidRPr="4E5194DC" w:rsidR="30BA2BD9">
        <w:rPr>
          <w:sz w:val="24"/>
          <w:szCs w:val="24"/>
          <w:u w:val="single"/>
        </w:rPr>
        <w:t xml:space="preserve">that </w:t>
      </w:r>
      <w:r w:rsidRPr="4E5194DC" w:rsidR="00F7578E">
        <w:rPr>
          <w:sz w:val="24"/>
          <w:szCs w:val="24"/>
          <w:u w:val="single"/>
        </w:rPr>
        <w:t>may be</w:t>
      </w:r>
      <w:r w:rsidRPr="4E5194DC" w:rsidR="450FB55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posted on the California Public Utilities Commission’s public web page.</w:t>
      </w:r>
      <w:r>
        <w:rPr>
          <w:sz w:val="24"/>
          <w:szCs w:val="24"/>
        </w:rPr>
        <w:t xml:space="preserve"> </w:t>
      </w:r>
      <w:r w:rsidRPr="4E5194DC" w:rsidR="2732823D">
        <w:rPr>
          <w:sz w:val="24"/>
          <w:szCs w:val="24"/>
        </w:rPr>
        <w:t>Individual project reports will not be posted directly on the Commission’s public website. Customers</w:t>
      </w:r>
      <w:r>
        <w:rPr>
          <w:sz w:val="24"/>
          <w:szCs w:val="24"/>
        </w:rPr>
        <w:t xml:space="preserve"> have the option of submitting public and confidential versions of this form and accompanying materials. If submitting </w:t>
      </w:r>
      <w:r w:rsidR="00EA7193">
        <w:rPr>
          <w:sz w:val="24"/>
          <w:szCs w:val="24"/>
        </w:rPr>
        <w:t>public and confidential versions, please clearly label each version and redact any personally identifiable information from your forms and attachments. Decision 06-06-066 and related Decisions, General Orders and statues contain additional information regarding confidentiality. Please submit any questions regarding confidentiality to</w:t>
      </w:r>
      <w:r w:rsidR="00967F74">
        <w:rPr>
          <w:sz w:val="24"/>
          <w:szCs w:val="24"/>
        </w:rPr>
        <w:t xml:space="preserve"> </w:t>
      </w:r>
      <w:hyperlink r:id="rId12">
        <w:r w:rsidRPr="4E5194DC" w:rsidR="006057AE">
          <w:rPr>
            <w:rStyle w:val="Hyperlink"/>
            <w:sz w:val="24"/>
            <w:szCs w:val="24"/>
          </w:rPr>
          <w:t>energizationcustomer@cpuc.ca.gov</w:t>
        </w:r>
      </w:hyperlink>
      <w:r w:rsidRPr="4E5194DC" w:rsidR="00EA7193">
        <w:rPr>
          <w:sz w:val="24"/>
          <w:szCs w:val="24"/>
        </w:rPr>
        <w:t xml:space="preserve"> before you submit this form.</w:t>
      </w:r>
    </w:p>
    <w:p w:rsidR="0039348E" w:rsidP="00967F74" w:rsidRDefault="00D612AF" w14:paraId="7AB5987C" w14:textId="3A8496A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Customer</w:t>
      </w:r>
      <w:r w:rsidRPr="00D612AF" w:rsidR="0039348E">
        <w:rPr>
          <w:b/>
          <w:bCs/>
          <w:sz w:val="24"/>
          <w:szCs w:val="24"/>
        </w:rPr>
        <w:t xml:space="preserve"> Name</w:t>
      </w:r>
      <w:r w:rsidR="0039348E">
        <w:rPr>
          <w:sz w:val="24"/>
          <w:szCs w:val="24"/>
        </w:rPr>
        <w:t>:</w:t>
      </w:r>
    </w:p>
    <w:p w:rsidR="0039348E" w:rsidP="00967F74" w:rsidRDefault="00D612AF" w14:paraId="3A7864F2" w14:textId="3416A5D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Customer</w:t>
      </w:r>
      <w:r w:rsidRPr="00D612AF" w:rsidR="0039348E">
        <w:rPr>
          <w:b/>
          <w:bCs/>
          <w:sz w:val="24"/>
          <w:szCs w:val="24"/>
        </w:rPr>
        <w:t xml:space="preserve"> Email</w:t>
      </w:r>
      <w:r w:rsidR="0039348E">
        <w:rPr>
          <w:sz w:val="24"/>
          <w:szCs w:val="24"/>
        </w:rPr>
        <w:t>:</w:t>
      </w:r>
    </w:p>
    <w:p w:rsidR="0039348E" w:rsidP="00967F74" w:rsidRDefault="00D612AF" w14:paraId="72F21BE6" w14:textId="79FA1F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Customer</w:t>
      </w:r>
      <w:r w:rsidRPr="00D612AF" w:rsidR="0039348E">
        <w:rPr>
          <w:b/>
          <w:bCs/>
          <w:sz w:val="24"/>
          <w:szCs w:val="24"/>
        </w:rPr>
        <w:t xml:space="preserve"> Phone</w:t>
      </w:r>
      <w:r w:rsidR="0039348E">
        <w:rPr>
          <w:sz w:val="24"/>
          <w:szCs w:val="24"/>
        </w:rPr>
        <w:t>:</w:t>
      </w:r>
    </w:p>
    <w:p w:rsidR="0039348E" w:rsidP="00967F74" w:rsidRDefault="0039348E" w14:paraId="5E8FEA38" w14:textId="7EB02A50">
      <w:pPr>
        <w:rPr>
          <w:sz w:val="24"/>
          <w:szCs w:val="24"/>
        </w:rPr>
      </w:pPr>
      <w:r w:rsidRPr="00D612AF">
        <w:rPr>
          <w:b/>
          <w:bCs/>
          <w:sz w:val="24"/>
          <w:szCs w:val="24"/>
        </w:rPr>
        <w:t xml:space="preserve">Name of </w:t>
      </w:r>
      <w:r w:rsidR="00D612AF">
        <w:rPr>
          <w:b/>
          <w:bCs/>
          <w:sz w:val="24"/>
          <w:szCs w:val="24"/>
        </w:rPr>
        <w:t>Customer</w:t>
      </w:r>
      <w:r w:rsidRPr="00D612AF">
        <w:rPr>
          <w:b/>
          <w:bCs/>
          <w:sz w:val="24"/>
          <w:szCs w:val="24"/>
        </w:rPr>
        <w:t>/Third Party Organization</w:t>
      </w:r>
      <w:r w:rsidR="00D55C9E">
        <w:rPr>
          <w:b/>
          <w:bCs/>
          <w:sz w:val="24"/>
          <w:szCs w:val="24"/>
        </w:rPr>
        <w:t xml:space="preserve"> Contact</w:t>
      </w:r>
      <w:r>
        <w:rPr>
          <w:sz w:val="24"/>
          <w:szCs w:val="24"/>
        </w:rPr>
        <w:t xml:space="preserve">: </w:t>
      </w:r>
    </w:p>
    <w:p w:rsidR="00D004E5" w:rsidP="00967F74" w:rsidRDefault="00D55C9E" w14:paraId="5694E963" w14:textId="193E89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Electric </w:t>
      </w:r>
      <w:r w:rsidRPr="00D004E5" w:rsidR="00D004E5">
        <w:rPr>
          <w:b/>
          <w:bCs/>
          <w:sz w:val="24"/>
          <w:szCs w:val="24"/>
        </w:rPr>
        <w:t>Utility Company</w:t>
      </w:r>
      <w:r w:rsidR="00D004E5">
        <w:rPr>
          <w:sz w:val="24"/>
          <w:szCs w:val="24"/>
        </w:rPr>
        <w:t xml:space="preserve"> (select one): Pacific Gas &amp; Electric (PG&amp;E), Southern California Edison (SCE), San Diego Gas &amp; Electric (SDG&amp;E)</w:t>
      </w:r>
    </w:p>
    <w:p w:rsidR="00A34D3E" w:rsidP="00967F74" w:rsidRDefault="00A34D3E" w14:paraId="6B687D99" w14:textId="1DBC450F">
      <w:pPr>
        <w:rPr>
          <w:sz w:val="24"/>
          <w:szCs w:val="24"/>
        </w:rPr>
      </w:pPr>
      <w:r w:rsidRPr="00C333A9">
        <w:rPr>
          <w:b/>
          <w:bCs/>
          <w:sz w:val="24"/>
          <w:szCs w:val="24"/>
        </w:rPr>
        <w:t xml:space="preserve">Project Account Number (as provided by the </w:t>
      </w:r>
      <w:r w:rsidRPr="00C333A9" w:rsidR="00C333A9">
        <w:rPr>
          <w:b/>
          <w:bCs/>
          <w:sz w:val="24"/>
          <w:szCs w:val="24"/>
        </w:rPr>
        <w:t>utility)</w:t>
      </w:r>
      <w:r w:rsidR="00C333A9">
        <w:rPr>
          <w:sz w:val="24"/>
          <w:szCs w:val="24"/>
        </w:rPr>
        <w:t>:</w:t>
      </w:r>
    </w:p>
    <w:p w:rsidR="009E00A6" w:rsidP="00967F74" w:rsidRDefault="009E00A6" w14:paraId="343DD8B2" w14:textId="34015E77">
      <w:pPr>
        <w:rPr>
          <w:sz w:val="24"/>
          <w:szCs w:val="24"/>
        </w:rPr>
      </w:pPr>
      <w:r w:rsidRPr="00D612AF">
        <w:rPr>
          <w:b/>
          <w:bCs/>
          <w:sz w:val="24"/>
          <w:szCs w:val="24"/>
        </w:rPr>
        <w:t xml:space="preserve">Type of Energization </w:t>
      </w:r>
      <w:r w:rsidRPr="4E5194DC" w:rsidR="40551592">
        <w:rPr>
          <w:b/>
          <w:bCs/>
          <w:sz w:val="24"/>
          <w:szCs w:val="24"/>
        </w:rPr>
        <w:t>Request</w:t>
      </w:r>
      <w:r>
        <w:rPr>
          <w:sz w:val="24"/>
          <w:szCs w:val="24"/>
        </w:rPr>
        <w:t xml:space="preserve"> (select one): </w:t>
      </w:r>
      <w:r w:rsidRPr="4E5194DC">
        <w:rPr>
          <w:sz w:val="24"/>
          <w:szCs w:val="24"/>
        </w:rPr>
        <w:t xml:space="preserve"> </w:t>
      </w:r>
      <w:r w:rsidRPr="4E5194DC" w:rsidR="279610A1">
        <w:rPr>
          <w:sz w:val="24"/>
          <w:szCs w:val="24"/>
        </w:rPr>
        <w:t xml:space="preserve">new </w:t>
      </w:r>
      <w:r w:rsidRPr="4E5194DC" w:rsidR="00685D34">
        <w:rPr>
          <w:sz w:val="24"/>
          <w:szCs w:val="24"/>
        </w:rPr>
        <w:t>single-family residential service</w:t>
      </w:r>
      <w:r w:rsidRPr="4E5194DC" w:rsidR="736ECB9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685D34" w:rsidR="00685D34">
        <w:rPr>
          <w:sz w:val="24"/>
          <w:szCs w:val="24"/>
        </w:rPr>
        <w:t>single-family residential service upgrade</w:t>
      </w:r>
      <w:r w:rsidR="00685D34">
        <w:rPr>
          <w:sz w:val="24"/>
          <w:szCs w:val="24"/>
        </w:rPr>
        <w:t xml:space="preserve">, </w:t>
      </w:r>
      <w:r w:rsidRPr="4E5194DC" w:rsidR="332EF85D">
        <w:rPr>
          <w:sz w:val="24"/>
          <w:szCs w:val="24"/>
        </w:rPr>
        <w:t xml:space="preserve">new </w:t>
      </w:r>
      <w:r w:rsidRPr="4E5194DC" w:rsidR="00685D34">
        <w:rPr>
          <w:sz w:val="24"/>
          <w:szCs w:val="24"/>
        </w:rPr>
        <w:t>multi-unit residential service</w:t>
      </w:r>
      <w:r w:rsidRPr="4E5194DC" w:rsidR="3525665C">
        <w:rPr>
          <w:sz w:val="24"/>
          <w:szCs w:val="24"/>
        </w:rPr>
        <w:t xml:space="preserve">; </w:t>
      </w:r>
      <w:r w:rsidRPr="00685D34" w:rsidR="00685D34">
        <w:rPr>
          <w:sz w:val="24"/>
          <w:szCs w:val="24"/>
        </w:rPr>
        <w:t>multi-unit residential service upgrade</w:t>
      </w:r>
      <w:r w:rsidR="00685D34">
        <w:rPr>
          <w:sz w:val="24"/>
          <w:szCs w:val="24"/>
        </w:rPr>
        <w:t xml:space="preserve">, </w:t>
      </w:r>
      <w:r w:rsidRPr="4E5194DC" w:rsidR="1A037DCC">
        <w:rPr>
          <w:sz w:val="24"/>
          <w:szCs w:val="24"/>
        </w:rPr>
        <w:t xml:space="preserve">new </w:t>
      </w:r>
      <w:r w:rsidRPr="4E5194DC" w:rsidR="00685D34">
        <w:rPr>
          <w:sz w:val="24"/>
          <w:szCs w:val="24"/>
        </w:rPr>
        <w:t>commercial site service</w:t>
      </w:r>
      <w:r w:rsidRPr="4E5194DC" w:rsidR="4D9422E0">
        <w:rPr>
          <w:sz w:val="24"/>
          <w:szCs w:val="24"/>
        </w:rPr>
        <w:t xml:space="preserve">; </w:t>
      </w:r>
      <w:r w:rsidRPr="00685D34" w:rsidR="00685D34">
        <w:rPr>
          <w:sz w:val="24"/>
          <w:szCs w:val="24"/>
        </w:rPr>
        <w:t>commercial site service upgrade</w:t>
      </w:r>
      <w:r w:rsidRPr="4E5194DC" w:rsidR="42ECD4BC">
        <w:rPr>
          <w:sz w:val="24"/>
          <w:szCs w:val="24"/>
        </w:rPr>
        <w:t>; new</w:t>
      </w:r>
      <w:r w:rsidRPr="4E5194DC" w:rsidR="00685D34">
        <w:rPr>
          <w:sz w:val="24"/>
          <w:szCs w:val="24"/>
        </w:rPr>
        <w:t xml:space="preserve"> transportation electrification service</w:t>
      </w:r>
      <w:r w:rsidRPr="4E5194DC" w:rsidR="721144F7">
        <w:rPr>
          <w:sz w:val="24"/>
          <w:szCs w:val="24"/>
        </w:rPr>
        <w:t>;</w:t>
      </w:r>
      <w:r w:rsidR="00685D34">
        <w:rPr>
          <w:sz w:val="24"/>
          <w:szCs w:val="24"/>
        </w:rPr>
        <w:t xml:space="preserve"> transportation electrification service upgrade</w:t>
      </w:r>
      <w:r w:rsidRPr="4E5194DC" w:rsidR="07C0F408">
        <w:rPr>
          <w:sz w:val="24"/>
          <w:szCs w:val="24"/>
        </w:rPr>
        <w:t>; new</w:t>
      </w:r>
      <w:r w:rsidRPr="00685D34" w:rsidR="00685D34">
        <w:rPr>
          <w:sz w:val="24"/>
          <w:szCs w:val="24"/>
        </w:rPr>
        <w:t xml:space="preserve"> telecommunication service</w:t>
      </w:r>
      <w:r w:rsidRPr="4E5194DC" w:rsidR="05D55AE3">
        <w:rPr>
          <w:sz w:val="24"/>
          <w:szCs w:val="24"/>
        </w:rPr>
        <w:t>; telecommunication service</w:t>
      </w:r>
      <w:r w:rsidRPr="00685D34" w:rsidR="00685D34">
        <w:rPr>
          <w:sz w:val="24"/>
          <w:szCs w:val="24"/>
        </w:rPr>
        <w:t xml:space="preserve"> upgrade</w:t>
      </w:r>
      <w:r w:rsidRPr="4E5194DC" w:rsidR="6952A52E">
        <w:rPr>
          <w:sz w:val="24"/>
          <w:szCs w:val="24"/>
        </w:rPr>
        <w:t>; new</w:t>
      </w:r>
      <w:r w:rsidR="00DC57A4">
        <w:rPr>
          <w:sz w:val="24"/>
          <w:szCs w:val="24"/>
        </w:rPr>
        <w:t xml:space="preserve"> </w:t>
      </w:r>
      <w:r w:rsidRPr="00685D34" w:rsidR="00685D34">
        <w:rPr>
          <w:sz w:val="24"/>
          <w:szCs w:val="24"/>
        </w:rPr>
        <w:t xml:space="preserve">agriculture-related </w:t>
      </w:r>
      <w:r w:rsidRPr="4E5194DC" w:rsidR="75D6513C">
        <w:rPr>
          <w:sz w:val="24"/>
          <w:szCs w:val="24"/>
        </w:rPr>
        <w:t xml:space="preserve">service; agricultural-related service </w:t>
      </w:r>
      <w:r w:rsidRPr="00685D34" w:rsidR="00685D34">
        <w:rPr>
          <w:sz w:val="24"/>
          <w:szCs w:val="24"/>
        </w:rPr>
        <w:t>upgrade</w:t>
      </w:r>
      <w:r w:rsidRPr="4E5194DC" w:rsidR="5D6C25CF">
        <w:rPr>
          <w:sz w:val="24"/>
          <w:szCs w:val="24"/>
        </w:rPr>
        <w:t>;</w:t>
      </w:r>
      <w:r w:rsidRPr="4E5194DC" w:rsidR="00DC57A4">
        <w:rPr>
          <w:sz w:val="24"/>
          <w:szCs w:val="24"/>
        </w:rPr>
        <w:t xml:space="preserve"> </w:t>
      </w:r>
      <w:r w:rsidRPr="4E5194DC" w:rsidR="450828F9">
        <w:rPr>
          <w:sz w:val="24"/>
          <w:szCs w:val="24"/>
        </w:rPr>
        <w:t>new</w:t>
      </w:r>
      <w:r w:rsidR="00DC57A4">
        <w:rPr>
          <w:sz w:val="24"/>
          <w:szCs w:val="24"/>
        </w:rPr>
        <w:t xml:space="preserve"> </w:t>
      </w:r>
      <w:r w:rsidRPr="00685D34" w:rsidR="00685D34">
        <w:rPr>
          <w:sz w:val="24"/>
          <w:szCs w:val="24"/>
        </w:rPr>
        <w:t>data center</w:t>
      </w:r>
      <w:r w:rsidR="00DC57A4">
        <w:rPr>
          <w:sz w:val="24"/>
          <w:szCs w:val="24"/>
        </w:rPr>
        <w:t xml:space="preserve">-related </w:t>
      </w:r>
      <w:r w:rsidRPr="4E5194DC" w:rsidR="1BA789A4">
        <w:rPr>
          <w:sz w:val="24"/>
          <w:szCs w:val="24"/>
        </w:rPr>
        <w:t xml:space="preserve">service; data-center related service </w:t>
      </w:r>
      <w:r w:rsidR="00DC57A4">
        <w:rPr>
          <w:sz w:val="24"/>
          <w:szCs w:val="24"/>
        </w:rPr>
        <w:t>upgrade</w:t>
      </w:r>
      <w:r w:rsidRPr="4E5194DC" w:rsidR="5A0D0CAD">
        <w:rPr>
          <w:sz w:val="24"/>
          <w:szCs w:val="24"/>
        </w:rPr>
        <w:t xml:space="preserve">; </w:t>
      </w:r>
      <w:r w:rsidR="006F5CC2">
        <w:rPr>
          <w:sz w:val="24"/>
          <w:szCs w:val="24"/>
        </w:rPr>
        <w:t xml:space="preserve">other (please describe) </w:t>
      </w:r>
    </w:p>
    <w:p w:rsidR="0039348E" w:rsidP="00497B57" w:rsidRDefault="00C151FE" w14:paraId="0E69FBE1" w14:textId="1ECFE5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Note, as this will be an online form, there will be check-boxes for customers to select </w:t>
      </w:r>
      <w:r w:rsidR="00A44FFA">
        <w:rPr>
          <w:sz w:val="24"/>
          <w:szCs w:val="24"/>
        </w:rPr>
        <w:t>the specific type of energization request</w:t>
      </w:r>
      <w:r w:rsidRPr="5FBF54A8" w:rsidR="3EA453D1">
        <w:rPr>
          <w:sz w:val="24"/>
          <w:szCs w:val="24"/>
        </w:rPr>
        <w:t>, and a text box to provide additional information</w:t>
      </w:r>
      <w:r w:rsidRPr="5FBF54A8" w:rsidR="0DD46174">
        <w:rPr>
          <w:sz w:val="24"/>
          <w:szCs w:val="24"/>
        </w:rPr>
        <w:t>.</w:t>
      </w:r>
    </w:p>
    <w:p w:rsidR="00A44FFA" w:rsidP="00A44FFA" w:rsidRDefault="00A44FFA" w14:paraId="1D656A67" w14:textId="307C1513">
      <w:pPr>
        <w:rPr>
          <w:sz w:val="24"/>
          <w:szCs w:val="24"/>
        </w:rPr>
      </w:pPr>
      <w:r>
        <w:rPr>
          <w:sz w:val="24"/>
          <w:szCs w:val="24"/>
        </w:rPr>
        <w:t>Associated Tariff (optional):</w:t>
      </w:r>
    </w:p>
    <w:p w:rsidR="00A44FFA" w:rsidP="00A44FFA" w:rsidRDefault="00A44FFA" w14:paraId="35C6CD1D" w14:textId="1DCE06E4">
      <w:pPr>
        <w:rPr>
          <w:sz w:val="24"/>
          <w:szCs w:val="24"/>
        </w:rPr>
      </w:pPr>
      <w:r>
        <w:rPr>
          <w:sz w:val="24"/>
          <w:szCs w:val="24"/>
        </w:rPr>
        <w:t xml:space="preserve">Electric Rule 15, Electric Rule 16, Combined Electric Rule 15/16, Electric Rule 29 (PG&amp;E and SCE), Electric Rule 45 (SDG&amp;E), Electric Rule 15 combined with Rule 29 or 45 </w:t>
      </w:r>
    </w:p>
    <w:p w:rsidRPr="0072738E" w:rsidR="00A44FFA" w:rsidP="0072738E" w:rsidRDefault="00A44FFA" w14:paraId="0D90663C" w14:textId="6CF8EF44">
      <w:pPr>
        <w:rPr>
          <w:sz w:val="24"/>
          <w:szCs w:val="24"/>
        </w:rPr>
      </w:pPr>
      <w:r w:rsidRPr="5FBF54A8">
        <w:rPr>
          <w:sz w:val="24"/>
          <w:szCs w:val="24"/>
        </w:rPr>
        <w:t xml:space="preserve">Note, as this will be an online form, there will be </w:t>
      </w:r>
      <w:r>
        <w:rPr>
          <w:sz w:val="24"/>
          <w:szCs w:val="24"/>
        </w:rPr>
        <w:t xml:space="preserve">optional </w:t>
      </w:r>
      <w:r w:rsidRPr="5FBF54A8">
        <w:rPr>
          <w:sz w:val="24"/>
          <w:szCs w:val="24"/>
        </w:rPr>
        <w:t>check-boxes for customers to select</w:t>
      </w:r>
      <w:r>
        <w:rPr>
          <w:sz w:val="24"/>
          <w:szCs w:val="24"/>
        </w:rPr>
        <w:t xml:space="preserve"> specific tariff(s)</w:t>
      </w:r>
      <w:r w:rsidRPr="5FBF54A8">
        <w:rPr>
          <w:sz w:val="24"/>
          <w:szCs w:val="24"/>
        </w:rPr>
        <w:t>, and a text box to provide additional information.</w:t>
      </w:r>
    </w:p>
    <w:p w:rsidR="0039348E" w:rsidP="00967F74" w:rsidRDefault="0039348E" w14:paraId="34F6EF08" w14:textId="1DD26CC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 describe in detail the relevant known facts pertaining to the energization delay. Please site to </w:t>
      </w:r>
      <w:r w:rsidR="009E00A6">
        <w:rPr>
          <w:sz w:val="24"/>
          <w:szCs w:val="24"/>
        </w:rPr>
        <w:t xml:space="preserve">1) </w:t>
      </w:r>
      <w:r>
        <w:rPr>
          <w:sz w:val="24"/>
          <w:szCs w:val="24"/>
        </w:rPr>
        <w:t>the specific step</w:t>
      </w:r>
      <w:r w:rsidR="00D55C9E">
        <w:rPr>
          <w:sz w:val="24"/>
          <w:szCs w:val="24"/>
        </w:rPr>
        <w:t xml:space="preserve"> in which</w:t>
      </w:r>
      <w:r w:rsidR="723CA803">
        <w:rPr>
          <w:sz w:val="24"/>
          <w:szCs w:val="24"/>
        </w:rPr>
        <w:t xml:space="preserve"> the delay started</w:t>
      </w:r>
      <w:r>
        <w:rPr>
          <w:sz w:val="24"/>
          <w:szCs w:val="24"/>
        </w:rPr>
        <w:t xml:space="preserve"> in the energization process</w:t>
      </w:r>
      <w:r w:rsidR="00D612AF">
        <w:rPr>
          <w:sz w:val="24"/>
          <w:szCs w:val="24"/>
        </w:rPr>
        <w:t>,</w:t>
      </w:r>
      <w:r w:rsidR="00D612AF">
        <w:rPr>
          <w:rStyle w:val="FootnoteReference"/>
          <w:sz w:val="24"/>
          <w:szCs w:val="24"/>
        </w:rPr>
        <w:footnoteReference w:id="2"/>
      </w:r>
      <w:r>
        <w:rPr>
          <w:sz w:val="24"/>
          <w:szCs w:val="24"/>
        </w:rPr>
        <w:t xml:space="preserve"> </w:t>
      </w:r>
      <w:r w:rsidR="009E00A6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how long the delay has occurred, </w:t>
      </w:r>
      <w:r w:rsidR="009E00A6">
        <w:rPr>
          <w:sz w:val="24"/>
          <w:szCs w:val="24"/>
        </w:rPr>
        <w:t xml:space="preserve">3) </w:t>
      </w:r>
      <w:r w:rsidR="00EC7CC4">
        <w:rPr>
          <w:sz w:val="24"/>
          <w:szCs w:val="24"/>
        </w:rPr>
        <w:t xml:space="preserve">when and how the electric utility notified </w:t>
      </w:r>
      <w:r w:rsidR="4412C30E">
        <w:rPr>
          <w:sz w:val="24"/>
          <w:szCs w:val="24"/>
        </w:rPr>
        <w:t>you</w:t>
      </w:r>
      <w:r w:rsidR="00EC7CC4">
        <w:rPr>
          <w:sz w:val="24"/>
          <w:szCs w:val="24"/>
        </w:rPr>
        <w:t xml:space="preserve"> about the delay, </w:t>
      </w:r>
      <w:r>
        <w:rPr>
          <w:sz w:val="24"/>
          <w:szCs w:val="24"/>
        </w:rPr>
        <w:t>and</w:t>
      </w:r>
      <w:r w:rsidR="009E00A6">
        <w:rPr>
          <w:sz w:val="24"/>
          <w:szCs w:val="24"/>
        </w:rPr>
        <w:t xml:space="preserve"> 4)</w:t>
      </w:r>
      <w:r>
        <w:rPr>
          <w:sz w:val="24"/>
          <w:szCs w:val="24"/>
        </w:rPr>
        <w:t xml:space="preserve"> how the delay is impacting you from moving forward with your energization scope of work.</w:t>
      </w:r>
    </w:p>
    <w:p w:rsidR="009E00A6" w:rsidP="00967F74" w:rsidRDefault="71768F37" w14:paraId="44FDA75D" w14:textId="30334E0F">
      <w:pPr>
        <w:rPr>
          <w:sz w:val="24"/>
          <w:szCs w:val="24"/>
        </w:rPr>
      </w:pPr>
      <w:r w:rsidRPr="7A22C5A1">
        <w:rPr>
          <w:sz w:val="24"/>
          <w:szCs w:val="24"/>
        </w:rPr>
        <w:t>{</w:t>
      </w:r>
      <w:r w:rsidRPr="7A22C5A1" w:rsidR="76A13430">
        <w:rPr>
          <w:sz w:val="24"/>
          <w:szCs w:val="24"/>
        </w:rPr>
        <w:t>A text box will be provided for these details to be provided via the online form.</w:t>
      </w:r>
      <w:r w:rsidRPr="7A22C5A1" w:rsidR="3717ADA6">
        <w:rPr>
          <w:sz w:val="24"/>
          <w:szCs w:val="24"/>
        </w:rPr>
        <w:t>}</w:t>
      </w:r>
    </w:p>
    <w:p w:rsidR="0039348E" w:rsidP="00967F74" w:rsidRDefault="0039348E" w14:paraId="7AA80B2D" w14:textId="3322CF9C">
      <w:pPr>
        <w:rPr>
          <w:sz w:val="24"/>
          <w:szCs w:val="24"/>
        </w:rPr>
      </w:pPr>
      <w:r>
        <w:rPr>
          <w:sz w:val="24"/>
          <w:szCs w:val="24"/>
        </w:rPr>
        <w:t>Please describe in as much detail as possible, the efforts you and/or a third party organization have made to resolve the</w:t>
      </w:r>
      <w:r w:rsidR="00EC7CC4">
        <w:rPr>
          <w:sz w:val="24"/>
          <w:szCs w:val="24"/>
        </w:rPr>
        <w:t xml:space="preserve"> energization</w:t>
      </w:r>
      <w:r>
        <w:rPr>
          <w:sz w:val="24"/>
          <w:szCs w:val="24"/>
        </w:rPr>
        <w:t xml:space="preserve"> delay directly with the </w:t>
      </w:r>
      <w:r w:rsidR="00FD6987">
        <w:rPr>
          <w:sz w:val="24"/>
          <w:szCs w:val="24"/>
        </w:rPr>
        <w:t xml:space="preserve">large </w:t>
      </w:r>
      <w:r>
        <w:rPr>
          <w:sz w:val="24"/>
          <w:szCs w:val="24"/>
        </w:rPr>
        <w:t xml:space="preserve">electric </w:t>
      </w:r>
      <w:r w:rsidR="00FD6987">
        <w:rPr>
          <w:sz w:val="24"/>
          <w:szCs w:val="24"/>
        </w:rPr>
        <w:t>IOU</w:t>
      </w:r>
      <w:r>
        <w:rPr>
          <w:sz w:val="24"/>
          <w:szCs w:val="24"/>
        </w:rPr>
        <w:t xml:space="preserve">, including at a minimum, 1) </w:t>
      </w:r>
      <w:r w:rsidR="00EC7CC4">
        <w:rPr>
          <w:sz w:val="24"/>
          <w:szCs w:val="24"/>
        </w:rPr>
        <w:t>a</w:t>
      </w:r>
      <w:r w:rsidR="00DB7B48">
        <w:rPr>
          <w:sz w:val="24"/>
          <w:szCs w:val="24"/>
        </w:rPr>
        <w:t>ll in-person and/or virtual</w:t>
      </w:r>
      <w:r w:rsidR="00EC7CC4">
        <w:rPr>
          <w:sz w:val="24"/>
          <w:szCs w:val="24"/>
        </w:rPr>
        <w:t xml:space="preserve"> meeting dates </w:t>
      </w:r>
      <w:r w:rsidR="00DB7B48">
        <w:rPr>
          <w:sz w:val="24"/>
          <w:szCs w:val="24"/>
        </w:rPr>
        <w:t xml:space="preserve">between the customer/third party and the electric utility </w:t>
      </w:r>
      <w:r w:rsidR="00EC7CC4">
        <w:rPr>
          <w:sz w:val="24"/>
          <w:szCs w:val="24"/>
        </w:rPr>
        <w:t xml:space="preserve">to discuss the </w:t>
      </w:r>
      <w:r w:rsidR="00DB7B48">
        <w:rPr>
          <w:sz w:val="24"/>
          <w:szCs w:val="24"/>
        </w:rPr>
        <w:t xml:space="preserve">delay, 2) </w:t>
      </w:r>
      <w:r w:rsidR="00EE2905">
        <w:rPr>
          <w:sz w:val="24"/>
          <w:szCs w:val="24"/>
        </w:rPr>
        <w:t xml:space="preserve">all proposed options, if any, to resolve the cause(s) of the delay(s), 3) all proposed options to resolve the delay(s) that were implemented, and if they </w:t>
      </w:r>
      <w:r w:rsidR="009E00A6">
        <w:rPr>
          <w:sz w:val="24"/>
          <w:szCs w:val="24"/>
        </w:rPr>
        <w:t>helped reduce the delay, and 4) if no proposed options to resolve the delay were pursued, why not.</w:t>
      </w:r>
    </w:p>
    <w:p w:rsidR="009E00A6" w:rsidP="00967F74" w:rsidRDefault="234BD2F6" w14:paraId="2FF4A825" w14:textId="62D1910C">
      <w:pPr>
        <w:rPr>
          <w:sz w:val="24"/>
          <w:szCs w:val="24"/>
        </w:rPr>
      </w:pPr>
      <w:r w:rsidRPr="460180AD">
        <w:rPr>
          <w:sz w:val="24"/>
          <w:szCs w:val="24"/>
        </w:rPr>
        <w:t>{Text box for description}</w:t>
      </w:r>
    </w:p>
    <w:p w:rsidR="009E00A6" w:rsidP="00967F74" w:rsidRDefault="009E00A6" w14:paraId="70E3C334" w14:textId="2556B065">
      <w:pPr>
        <w:rPr>
          <w:sz w:val="24"/>
          <w:szCs w:val="24"/>
        </w:rPr>
      </w:pPr>
      <w:r>
        <w:rPr>
          <w:sz w:val="24"/>
          <w:szCs w:val="24"/>
        </w:rPr>
        <w:t xml:space="preserve">Please list the names of all electric utility personnel </w:t>
      </w:r>
      <w:r w:rsidR="00D612AF">
        <w:rPr>
          <w:sz w:val="24"/>
          <w:szCs w:val="24"/>
        </w:rPr>
        <w:t>you’ve communicated with to discuss the energization delay.</w:t>
      </w:r>
    </w:p>
    <w:p w:rsidR="00D612AF" w:rsidP="00967F74" w:rsidRDefault="3859146F" w14:paraId="3952B602" w14:textId="0BC674CE">
      <w:pPr>
        <w:rPr>
          <w:sz w:val="24"/>
          <w:szCs w:val="24"/>
        </w:rPr>
      </w:pPr>
      <w:r w:rsidRPr="460180AD">
        <w:rPr>
          <w:sz w:val="24"/>
          <w:szCs w:val="24"/>
        </w:rPr>
        <w:t>{Text box for description}</w:t>
      </w:r>
    </w:p>
    <w:p w:rsidR="00D612AF" w:rsidP="00967F74" w:rsidRDefault="00D612AF" w14:paraId="14632413" w14:textId="34D9FC8B">
      <w:pPr>
        <w:rPr>
          <w:sz w:val="24"/>
          <w:szCs w:val="24"/>
        </w:rPr>
      </w:pPr>
      <w:r>
        <w:rPr>
          <w:sz w:val="24"/>
          <w:szCs w:val="24"/>
        </w:rPr>
        <w:t>Other Information: Please describe below</w:t>
      </w:r>
    </w:p>
    <w:p w:rsidR="00D612AF" w:rsidP="00967F74" w:rsidRDefault="0D42C0C1" w14:paraId="64D06FC7" w14:textId="06B37B5B">
      <w:pPr>
        <w:rPr>
          <w:sz w:val="24"/>
          <w:szCs w:val="24"/>
        </w:rPr>
      </w:pPr>
      <w:r w:rsidRPr="3A00A86A">
        <w:rPr>
          <w:sz w:val="24"/>
          <w:szCs w:val="24"/>
        </w:rPr>
        <w:t>{Text box for information}</w:t>
      </w:r>
    </w:p>
    <w:p w:rsidR="00D612AF" w:rsidP="00967F74" w:rsidRDefault="00D612AF" w14:paraId="5FD4882F" w14:textId="124CDF9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Customer Initials</w:t>
      </w:r>
    </w:p>
    <w:p w:rsidR="71A5FD2E" w:rsidP="416E4848" w:rsidRDefault="71A5FD2E" w14:paraId="10981B56" w14:textId="6CC3BBCF">
      <w:pPr>
        <w:rPr>
          <w:i/>
          <w:iCs/>
          <w:sz w:val="24"/>
          <w:szCs w:val="24"/>
        </w:rPr>
      </w:pPr>
      <w:r w:rsidRPr="416E4848">
        <w:rPr>
          <w:i/>
          <w:iCs/>
          <w:sz w:val="24"/>
          <w:szCs w:val="24"/>
        </w:rPr>
        <w:t>{Two separate checkboxes)</w:t>
      </w:r>
    </w:p>
    <w:p w:rsidR="002F2C29" w:rsidP="47654BF9" w:rsidRDefault="002F2C29" w14:paraId="756617C9" w14:textId="570EF25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 agree to be contacted </w:t>
      </w:r>
      <w:r w:rsidR="00851EF2">
        <w:rPr>
          <w:i/>
          <w:iCs/>
          <w:sz w:val="24"/>
          <w:szCs w:val="24"/>
        </w:rPr>
        <w:t xml:space="preserve">by CPUC staff or their consultants </w:t>
      </w:r>
      <w:r>
        <w:rPr>
          <w:i/>
          <w:iCs/>
          <w:sz w:val="24"/>
          <w:szCs w:val="24"/>
        </w:rPr>
        <w:t xml:space="preserve">for the purposes of evaluation </w:t>
      </w:r>
      <w:r w:rsidR="00851EF2">
        <w:rPr>
          <w:i/>
          <w:iCs/>
          <w:sz w:val="24"/>
          <w:szCs w:val="24"/>
        </w:rPr>
        <w:t>of utility energization timelines.</w:t>
      </w:r>
      <w:r w:rsidRPr="47654BF9" w:rsidR="2C18FC55">
        <w:rPr>
          <w:i/>
          <w:iCs/>
          <w:sz w:val="24"/>
          <w:szCs w:val="24"/>
        </w:rPr>
        <w:t xml:space="preserve"> </w:t>
      </w:r>
    </w:p>
    <w:p w:rsidR="002F2C29" w:rsidP="00967F74" w:rsidRDefault="2C18FC55" w14:paraId="620AB55E" w14:textId="3E552DD0">
      <w:pPr>
        <w:rPr>
          <w:i/>
          <w:iCs/>
          <w:sz w:val="24"/>
          <w:szCs w:val="24"/>
        </w:rPr>
      </w:pPr>
      <w:r w:rsidRPr="764B0B9F">
        <w:rPr>
          <w:i/>
          <w:iCs/>
          <w:sz w:val="24"/>
          <w:szCs w:val="24"/>
        </w:rPr>
        <w:t xml:space="preserve">I do not agree to be contacted by Commission staff, </w:t>
      </w:r>
      <w:r w:rsidRPr="764B0B9F" w:rsidR="6C0D5C3A">
        <w:rPr>
          <w:i/>
          <w:iCs/>
          <w:sz w:val="24"/>
          <w:szCs w:val="24"/>
        </w:rPr>
        <w:t xml:space="preserve">and </w:t>
      </w:r>
      <w:r w:rsidRPr="764B0B9F">
        <w:rPr>
          <w:i/>
          <w:iCs/>
          <w:sz w:val="24"/>
          <w:szCs w:val="24"/>
        </w:rPr>
        <w:t xml:space="preserve">I consent that my data will not </w:t>
      </w:r>
      <w:r w:rsidRPr="764B0B9F" w:rsidR="5BEA9BB6">
        <w:rPr>
          <w:i/>
          <w:iCs/>
          <w:sz w:val="24"/>
          <w:szCs w:val="24"/>
        </w:rPr>
        <w:t xml:space="preserve">be used to </w:t>
      </w:r>
      <w:r w:rsidRPr="764B0B9F">
        <w:rPr>
          <w:i/>
          <w:iCs/>
          <w:sz w:val="24"/>
          <w:szCs w:val="24"/>
        </w:rPr>
        <w:t>sup</w:t>
      </w:r>
      <w:r w:rsidRPr="764B0B9F" w:rsidR="04AE56C6">
        <w:rPr>
          <w:i/>
          <w:iCs/>
          <w:sz w:val="24"/>
          <w:szCs w:val="24"/>
        </w:rPr>
        <w:t>p</w:t>
      </w:r>
      <w:r w:rsidRPr="764B0B9F">
        <w:rPr>
          <w:i/>
          <w:iCs/>
          <w:sz w:val="24"/>
          <w:szCs w:val="24"/>
        </w:rPr>
        <w:t>ort further e</w:t>
      </w:r>
      <w:r w:rsidRPr="764B0B9F" w:rsidR="207A4DC5">
        <w:rPr>
          <w:i/>
          <w:iCs/>
          <w:sz w:val="24"/>
          <w:szCs w:val="24"/>
        </w:rPr>
        <w:t>valuate and improve energization timelines.</w:t>
      </w:r>
    </w:p>
    <w:p w:rsidR="00D612AF" w:rsidP="00967F74" w:rsidRDefault="00D612AF" w14:paraId="62A5605E" w14:textId="62E7649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Customer Signature</w:t>
      </w:r>
    </w:p>
    <w:p w:rsidR="00D612AF" w:rsidP="0072738E" w:rsidRDefault="00D612AF" w14:paraId="03E63923" w14:textId="1DD354D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Date Signed</w:t>
      </w:r>
    </w:p>
    <w:p w:rsidR="0072738E" w:rsidP="0072738E" w:rsidRDefault="0072738E" w14:paraId="0C114A07" w14:textId="77777777">
      <w:pPr>
        <w:rPr>
          <w:i/>
          <w:iCs/>
          <w:sz w:val="24"/>
          <w:szCs w:val="24"/>
        </w:rPr>
      </w:pPr>
    </w:p>
    <w:p w:rsidR="0072738E" w:rsidP="0072738E" w:rsidRDefault="0072738E" w14:paraId="6CF2494A" w14:textId="77777777">
      <w:pPr>
        <w:rPr>
          <w:i/>
          <w:iCs/>
          <w:sz w:val="24"/>
          <w:szCs w:val="24"/>
        </w:rPr>
      </w:pPr>
    </w:p>
    <w:p w:rsidRPr="0072738E" w:rsidR="0072738E" w:rsidP="0072738E" w:rsidRDefault="0072738E" w14:paraId="6289A14B" w14:textId="77777777">
      <w:pPr>
        <w:rPr>
          <w:rFonts w:ascii="Book Antiqua" w:hAnsi="Book Antiqua"/>
          <w:sz w:val="26"/>
          <w:szCs w:val="26"/>
        </w:rPr>
      </w:pPr>
    </w:p>
    <w:p w:rsidRPr="0072738E" w:rsidR="0072738E" w:rsidP="0072738E" w:rsidRDefault="0072738E" w14:paraId="106E2D40" w14:textId="6FB494B1">
      <w:pPr>
        <w:jc w:val="center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(END OF APPENDIX C)</w:t>
      </w:r>
    </w:p>
    <w:sectPr w:rsidRPr="0072738E" w:rsidR="0072738E" w:rsidSect="0072738E">
      <w:headerReference w:type="default" r:id="rId13"/>
      <w:footerReference w:type="default" r:id="rId14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37127" w14:textId="77777777" w:rsidR="003B3D20" w:rsidRDefault="003B3D20" w:rsidP="00D612AF">
      <w:pPr>
        <w:spacing w:after="0" w:line="240" w:lineRule="auto"/>
      </w:pPr>
      <w:r>
        <w:separator/>
      </w:r>
    </w:p>
  </w:endnote>
  <w:endnote w:type="continuationSeparator" w:id="0">
    <w:p w14:paraId="2BB202F4" w14:textId="77777777" w:rsidR="003B3D20" w:rsidRDefault="003B3D20" w:rsidP="00D612AF">
      <w:pPr>
        <w:spacing w:after="0" w:line="240" w:lineRule="auto"/>
      </w:pPr>
      <w:r>
        <w:continuationSeparator/>
      </w:r>
    </w:p>
  </w:endnote>
  <w:endnote w:type="continuationNotice" w:id="1">
    <w:p w14:paraId="05E4C436" w14:textId="77777777" w:rsidR="003B3D20" w:rsidRDefault="003B3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C989" w14:textId="77777777" w:rsidR="00D612AF" w:rsidRDefault="00D612AF">
    <w:pPr>
      <w:pStyle w:val="Footer"/>
      <w:jc w:val="right"/>
    </w:pPr>
  </w:p>
  <w:p w14:paraId="3F723D40" w14:textId="77777777" w:rsidR="00D612AF" w:rsidRDefault="00D61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48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91A11" w14:textId="341883D4" w:rsidR="00D612AF" w:rsidRDefault="00D612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52B993" w14:textId="77777777" w:rsidR="00D612AF" w:rsidRDefault="00D61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E1109" w14:textId="77777777" w:rsidR="003B3D20" w:rsidRDefault="003B3D20" w:rsidP="00D612AF">
      <w:pPr>
        <w:spacing w:after="0" w:line="240" w:lineRule="auto"/>
      </w:pPr>
      <w:r>
        <w:separator/>
      </w:r>
    </w:p>
  </w:footnote>
  <w:footnote w:type="continuationSeparator" w:id="0">
    <w:p w14:paraId="260F697B" w14:textId="77777777" w:rsidR="003B3D20" w:rsidRDefault="003B3D20" w:rsidP="00D612AF">
      <w:pPr>
        <w:spacing w:after="0" w:line="240" w:lineRule="auto"/>
      </w:pPr>
      <w:r>
        <w:continuationSeparator/>
      </w:r>
    </w:p>
  </w:footnote>
  <w:footnote w:type="continuationNotice" w:id="1">
    <w:p w14:paraId="2F79D125" w14:textId="77777777" w:rsidR="003B3D20" w:rsidRDefault="003B3D20">
      <w:pPr>
        <w:spacing w:after="0" w:line="240" w:lineRule="auto"/>
      </w:pPr>
    </w:p>
  </w:footnote>
  <w:footnote w:id="2">
    <w:p w14:paraId="4675D4F3" w14:textId="55B97C11" w:rsidR="00D612AF" w:rsidRDefault="00D612AF">
      <w:pPr>
        <w:pStyle w:val="FootnoteText"/>
      </w:pPr>
      <w:r>
        <w:rPr>
          <w:rStyle w:val="FootnoteReference"/>
        </w:rPr>
        <w:footnoteRef/>
      </w:r>
      <w:r>
        <w:t xml:space="preserve"> D.24-09-XXX adopts the following </w:t>
      </w:r>
      <w:r w:rsidR="00A550A5">
        <w:t>eight</w:t>
      </w:r>
      <w:r>
        <w:t xml:space="preserve"> steps of the energization process: </w:t>
      </w:r>
      <w:r w:rsidRPr="00D612AF">
        <w:t xml:space="preserve">Customer Intake (non-utility), Engineering and Design (utility), Customer Dependencies (non-utility), Utility Dependencies (utility), </w:t>
      </w:r>
      <w:r w:rsidR="00A550A5">
        <w:t xml:space="preserve">Customer </w:t>
      </w:r>
      <w:r w:rsidRPr="00D612AF">
        <w:t>Site-Readiness (non-utility),</w:t>
      </w:r>
      <w:r w:rsidR="00A550A5">
        <w:t xml:space="preserve"> Utility Site-Readiness,</w:t>
      </w:r>
      <w:r w:rsidRPr="00D612AF">
        <w:t xml:space="preserve"> Construction (utility), Service Energization Provided to Customer (utility).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1785" w14:textId="77777777" w:rsidR="00D612AF" w:rsidRPr="006742E6" w:rsidRDefault="006742E6" w:rsidP="006742E6">
    <w:pPr>
      <w:pStyle w:val="Header"/>
      <w:rPr>
        <w:rFonts w:ascii="Book Antiqua" w:hAnsi="Book Antiqua"/>
        <w:sz w:val="26"/>
        <w:szCs w:val="26"/>
      </w:rPr>
    </w:pPr>
    <w:r>
      <w:rPr>
        <w:rFonts w:ascii="Book Antiqua" w:hAnsi="Book Antiqua"/>
        <w:sz w:val="26"/>
        <w:szCs w:val="26"/>
      </w:rPr>
      <w:t>R.24-01-018  COM/ARD/jnf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07BB" w14:textId="4D10ACEB" w:rsidR="00D612AF" w:rsidRPr="0072738E" w:rsidRDefault="006742E6" w:rsidP="00497B57">
    <w:pPr>
      <w:pStyle w:val="Header"/>
      <w:rPr>
        <w:b/>
      </w:rPr>
    </w:pPr>
    <w:r>
      <w:rPr>
        <w:rFonts w:ascii="Book Antiqua" w:hAnsi="Book Antiqua"/>
        <w:sz w:val="26"/>
        <w:szCs w:val="26"/>
      </w:rPr>
      <w:t>R.24-01-018  COM/ARD/jnf</w:t>
    </w:r>
    <w:r w:rsidR="0072738E">
      <w:rPr>
        <w:rFonts w:ascii="Book Antiqua" w:hAnsi="Book Antiqua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98227"/>
    <w:multiLevelType w:val="hybridMultilevel"/>
    <w:tmpl w:val="FFFFFFFF"/>
    <w:lvl w:ilvl="0" w:tplc="0ABAF4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4E1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46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CA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80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4F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0F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A1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A1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6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74"/>
    <w:rsid w:val="000162A0"/>
    <w:rsid w:val="00034FA9"/>
    <w:rsid w:val="000633B1"/>
    <w:rsid w:val="000753A7"/>
    <w:rsid w:val="0009549E"/>
    <w:rsid w:val="000A3353"/>
    <w:rsid w:val="000A3CA9"/>
    <w:rsid w:val="000C41C9"/>
    <w:rsid w:val="000F0AB5"/>
    <w:rsid w:val="000F3935"/>
    <w:rsid w:val="000F6BFC"/>
    <w:rsid w:val="00105CAF"/>
    <w:rsid w:val="001372D3"/>
    <w:rsid w:val="00150E4C"/>
    <w:rsid w:val="0015716D"/>
    <w:rsid w:val="001651C0"/>
    <w:rsid w:val="0016737F"/>
    <w:rsid w:val="001810EC"/>
    <w:rsid w:val="00182870"/>
    <w:rsid w:val="00185B71"/>
    <w:rsid w:val="00185D01"/>
    <w:rsid w:val="001936B2"/>
    <w:rsid w:val="00196D86"/>
    <w:rsid w:val="001A08C1"/>
    <w:rsid w:val="001A1DF1"/>
    <w:rsid w:val="001B0F46"/>
    <w:rsid w:val="001C2A03"/>
    <w:rsid w:val="001C59E1"/>
    <w:rsid w:val="001C7E5D"/>
    <w:rsid w:val="002228B4"/>
    <w:rsid w:val="002263C6"/>
    <w:rsid w:val="00247952"/>
    <w:rsid w:val="00254AB6"/>
    <w:rsid w:val="0026601D"/>
    <w:rsid w:val="00272C6B"/>
    <w:rsid w:val="00287B0E"/>
    <w:rsid w:val="00293C68"/>
    <w:rsid w:val="00295F0E"/>
    <w:rsid w:val="002C17A2"/>
    <w:rsid w:val="002C5DE5"/>
    <w:rsid w:val="002D2E0F"/>
    <w:rsid w:val="002D7B63"/>
    <w:rsid w:val="002E6FC8"/>
    <w:rsid w:val="002F2C29"/>
    <w:rsid w:val="0031391C"/>
    <w:rsid w:val="00320477"/>
    <w:rsid w:val="003320C6"/>
    <w:rsid w:val="00333751"/>
    <w:rsid w:val="00343573"/>
    <w:rsid w:val="00350DB9"/>
    <w:rsid w:val="00361161"/>
    <w:rsid w:val="00370FF8"/>
    <w:rsid w:val="00376B55"/>
    <w:rsid w:val="0039348E"/>
    <w:rsid w:val="00394CD3"/>
    <w:rsid w:val="003B0FB1"/>
    <w:rsid w:val="003B2AB6"/>
    <w:rsid w:val="003B3D20"/>
    <w:rsid w:val="003C7172"/>
    <w:rsid w:val="003F3429"/>
    <w:rsid w:val="003F45CF"/>
    <w:rsid w:val="004141EA"/>
    <w:rsid w:val="00422107"/>
    <w:rsid w:val="004321AA"/>
    <w:rsid w:val="004339D5"/>
    <w:rsid w:val="00441565"/>
    <w:rsid w:val="00445E04"/>
    <w:rsid w:val="004554EE"/>
    <w:rsid w:val="00457481"/>
    <w:rsid w:val="00461B92"/>
    <w:rsid w:val="00497B57"/>
    <w:rsid w:val="004A5B09"/>
    <w:rsid w:val="004B3B92"/>
    <w:rsid w:val="004B5E71"/>
    <w:rsid w:val="004D0469"/>
    <w:rsid w:val="004D6D17"/>
    <w:rsid w:val="004E367B"/>
    <w:rsid w:val="004F398D"/>
    <w:rsid w:val="005136B0"/>
    <w:rsid w:val="005270FD"/>
    <w:rsid w:val="00532A6B"/>
    <w:rsid w:val="0053686B"/>
    <w:rsid w:val="005679AD"/>
    <w:rsid w:val="00577047"/>
    <w:rsid w:val="005804B0"/>
    <w:rsid w:val="00582416"/>
    <w:rsid w:val="005859AF"/>
    <w:rsid w:val="00595034"/>
    <w:rsid w:val="005A1ABB"/>
    <w:rsid w:val="005B3B97"/>
    <w:rsid w:val="005B6698"/>
    <w:rsid w:val="005C72D0"/>
    <w:rsid w:val="005D1DA0"/>
    <w:rsid w:val="005F2406"/>
    <w:rsid w:val="005F3816"/>
    <w:rsid w:val="005F4441"/>
    <w:rsid w:val="006057AE"/>
    <w:rsid w:val="006127FE"/>
    <w:rsid w:val="0063353F"/>
    <w:rsid w:val="006742E6"/>
    <w:rsid w:val="00674684"/>
    <w:rsid w:val="006747CF"/>
    <w:rsid w:val="00675285"/>
    <w:rsid w:val="00685D34"/>
    <w:rsid w:val="006B6C1D"/>
    <w:rsid w:val="006C03DD"/>
    <w:rsid w:val="006D1D23"/>
    <w:rsid w:val="006F31C9"/>
    <w:rsid w:val="006F4555"/>
    <w:rsid w:val="006F5CC2"/>
    <w:rsid w:val="007058F8"/>
    <w:rsid w:val="00717A0B"/>
    <w:rsid w:val="007249E9"/>
    <w:rsid w:val="0072738E"/>
    <w:rsid w:val="007567CB"/>
    <w:rsid w:val="00760E96"/>
    <w:rsid w:val="00764ACE"/>
    <w:rsid w:val="00785F17"/>
    <w:rsid w:val="007874F7"/>
    <w:rsid w:val="00790EA2"/>
    <w:rsid w:val="00796313"/>
    <w:rsid w:val="007B0A3A"/>
    <w:rsid w:val="007D658A"/>
    <w:rsid w:val="007E5816"/>
    <w:rsid w:val="007F525D"/>
    <w:rsid w:val="007F6CF6"/>
    <w:rsid w:val="007F6DCB"/>
    <w:rsid w:val="008049FC"/>
    <w:rsid w:val="008104C1"/>
    <w:rsid w:val="00815B71"/>
    <w:rsid w:val="00822586"/>
    <w:rsid w:val="008258AE"/>
    <w:rsid w:val="008519C2"/>
    <w:rsid w:val="00851EF2"/>
    <w:rsid w:val="00853B6B"/>
    <w:rsid w:val="00855187"/>
    <w:rsid w:val="00857A3B"/>
    <w:rsid w:val="00870308"/>
    <w:rsid w:val="008744EC"/>
    <w:rsid w:val="00880A5F"/>
    <w:rsid w:val="00883C4B"/>
    <w:rsid w:val="008A5783"/>
    <w:rsid w:val="008E7410"/>
    <w:rsid w:val="00901703"/>
    <w:rsid w:val="009037E0"/>
    <w:rsid w:val="00916167"/>
    <w:rsid w:val="00932908"/>
    <w:rsid w:val="00933076"/>
    <w:rsid w:val="00963E27"/>
    <w:rsid w:val="00967F74"/>
    <w:rsid w:val="0099065C"/>
    <w:rsid w:val="00991D60"/>
    <w:rsid w:val="0099365B"/>
    <w:rsid w:val="00994AE6"/>
    <w:rsid w:val="00997840"/>
    <w:rsid w:val="00997897"/>
    <w:rsid w:val="009A071F"/>
    <w:rsid w:val="009B50E9"/>
    <w:rsid w:val="009B6E36"/>
    <w:rsid w:val="009E00A6"/>
    <w:rsid w:val="009E0254"/>
    <w:rsid w:val="00A01FF1"/>
    <w:rsid w:val="00A23D05"/>
    <w:rsid w:val="00A33D14"/>
    <w:rsid w:val="00A34D3E"/>
    <w:rsid w:val="00A41A58"/>
    <w:rsid w:val="00A44FFA"/>
    <w:rsid w:val="00A550A5"/>
    <w:rsid w:val="00A92A58"/>
    <w:rsid w:val="00A96DB3"/>
    <w:rsid w:val="00A97DC3"/>
    <w:rsid w:val="00AA58A4"/>
    <w:rsid w:val="00AA61EE"/>
    <w:rsid w:val="00AA7A55"/>
    <w:rsid w:val="00AD3989"/>
    <w:rsid w:val="00AD7EC3"/>
    <w:rsid w:val="00AE1062"/>
    <w:rsid w:val="00AF2004"/>
    <w:rsid w:val="00AF29A7"/>
    <w:rsid w:val="00B02240"/>
    <w:rsid w:val="00B07B61"/>
    <w:rsid w:val="00B23B5C"/>
    <w:rsid w:val="00B23EE5"/>
    <w:rsid w:val="00B53939"/>
    <w:rsid w:val="00B71822"/>
    <w:rsid w:val="00B80087"/>
    <w:rsid w:val="00B82564"/>
    <w:rsid w:val="00B93AEC"/>
    <w:rsid w:val="00B93D67"/>
    <w:rsid w:val="00BA17D2"/>
    <w:rsid w:val="00BA54E8"/>
    <w:rsid w:val="00BA60B8"/>
    <w:rsid w:val="00BC3028"/>
    <w:rsid w:val="00BE0D30"/>
    <w:rsid w:val="00BF4112"/>
    <w:rsid w:val="00C151FE"/>
    <w:rsid w:val="00C178E1"/>
    <w:rsid w:val="00C2276A"/>
    <w:rsid w:val="00C2301B"/>
    <w:rsid w:val="00C333A9"/>
    <w:rsid w:val="00C34D14"/>
    <w:rsid w:val="00C36F03"/>
    <w:rsid w:val="00C379F5"/>
    <w:rsid w:val="00C510C8"/>
    <w:rsid w:val="00C51AE4"/>
    <w:rsid w:val="00C54065"/>
    <w:rsid w:val="00C5583B"/>
    <w:rsid w:val="00C7199A"/>
    <w:rsid w:val="00C72FEF"/>
    <w:rsid w:val="00C76903"/>
    <w:rsid w:val="00CC6FB6"/>
    <w:rsid w:val="00CD783B"/>
    <w:rsid w:val="00CF051B"/>
    <w:rsid w:val="00CF2060"/>
    <w:rsid w:val="00D004E5"/>
    <w:rsid w:val="00D01D7A"/>
    <w:rsid w:val="00D12910"/>
    <w:rsid w:val="00D557FA"/>
    <w:rsid w:val="00D55C9E"/>
    <w:rsid w:val="00D612AF"/>
    <w:rsid w:val="00D62746"/>
    <w:rsid w:val="00D62747"/>
    <w:rsid w:val="00D92C0B"/>
    <w:rsid w:val="00DB11EF"/>
    <w:rsid w:val="00DB5441"/>
    <w:rsid w:val="00DB6B04"/>
    <w:rsid w:val="00DB7B48"/>
    <w:rsid w:val="00DC57A4"/>
    <w:rsid w:val="00DD1ABB"/>
    <w:rsid w:val="00DD39E8"/>
    <w:rsid w:val="00DE358B"/>
    <w:rsid w:val="00DE63BD"/>
    <w:rsid w:val="00E0029A"/>
    <w:rsid w:val="00E0574F"/>
    <w:rsid w:val="00E202C1"/>
    <w:rsid w:val="00E265F9"/>
    <w:rsid w:val="00E27C90"/>
    <w:rsid w:val="00E34181"/>
    <w:rsid w:val="00E54594"/>
    <w:rsid w:val="00E6251D"/>
    <w:rsid w:val="00E76D17"/>
    <w:rsid w:val="00EA49C4"/>
    <w:rsid w:val="00EA7193"/>
    <w:rsid w:val="00EC7CC4"/>
    <w:rsid w:val="00EE2905"/>
    <w:rsid w:val="00EE3602"/>
    <w:rsid w:val="00EF049B"/>
    <w:rsid w:val="00EF2710"/>
    <w:rsid w:val="00EF47B0"/>
    <w:rsid w:val="00F12EE2"/>
    <w:rsid w:val="00F15E72"/>
    <w:rsid w:val="00F26A9F"/>
    <w:rsid w:val="00F55461"/>
    <w:rsid w:val="00F55C3F"/>
    <w:rsid w:val="00F61C19"/>
    <w:rsid w:val="00F61EFC"/>
    <w:rsid w:val="00F7578E"/>
    <w:rsid w:val="00FA5EB4"/>
    <w:rsid w:val="00FB76EC"/>
    <w:rsid w:val="00FC0E98"/>
    <w:rsid w:val="00FC649D"/>
    <w:rsid w:val="00FD1EB0"/>
    <w:rsid w:val="00FD37A2"/>
    <w:rsid w:val="00FD6987"/>
    <w:rsid w:val="00FF28BD"/>
    <w:rsid w:val="00FF513E"/>
    <w:rsid w:val="01A58A1F"/>
    <w:rsid w:val="01D29745"/>
    <w:rsid w:val="020E5DDB"/>
    <w:rsid w:val="021F88ED"/>
    <w:rsid w:val="03798803"/>
    <w:rsid w:val="04AE56C6"/>
    <w:rsid w:val="05D55AE3"/>
    <w:rsid w:val="074D7C63"/>
    <w:rsid w:val="07C0F408"/>
    <w:rsid w:val="0D200698"/>
    <w:rsid w:val="0D42C0C1"/>
    <w:rsid w:val="0DD46174"/>
    <w:rsid w:val="0F2BB46B"/>
    <w:rsid w:val="12A3064D"/>
    <w:rsid w:val="13CFBE83"/>
    <w:rsid w:val="1499A0D0"/>
    <w:rsid w:val="18202EC6"/>
    <w:rsid w:val="1A037DCC"/>
    <w:rsid w:val="1A5EBDBC"/>
    <w:rsid w:val="1BA789A4"/>
    <w:rsid w:val="1DC5F3AA"/>
    <w:rsid w:val="1FB7CC24"/>
    <w:rsid w:val="207A4DC5"/>
    <w:rsid w:val="21C69680"/>
    <w:rsid w:val="2228084E"/>
    <w:rsid w:val="22D4ABD0"/>
    <w:rsid w:val="234BD2F6"/>
    <w:rsid w:val="2732823D"/>
    <w:rsid w:val="279610A1"/>
    <w:rsid w:val="29E0F9F1"/>
    <w:rsid w:val="2C18FC55"/>
    <w:rsid w:val="30BA2BD9"/>
    <w:rsid w:val="332EF85D"/>
    <w:rsid w:val="33BD1215"/>
    <w:rsid w:val="34F28131"/>
    <w:rsid w:val="3525665C"/>
    <w:rsid w:val="35402761"/>
    <w:rsid w:val="36FC959C"/>
    <w:rsid w:val="3717ADA6"/>
    <w:rsid w:val="37D3E102"/>
    <w:rsid w:val="3859146F"/>
    <w:rsid w:val="3973BADE"/>
    <w:rsid w:val="39BB5635"/>
    <w:rsid w:val="3A00A86A"/>
    <w:rsid w:val="3DB40FCF"/>
    <w:rsid w:val="3EA453D1"/>
    <w:rsid w:val="3EE5DEFA"/>
    <w:rsid w:val="3F313418"/>
    <w:rsid w:val="40551592"/>
    <w:rsid w:val="416E4848"/>
    <w:rsid w:val="42E36810"/>
    <w:rsid w:val="42ECD4BC"/>
    <w:rsid w:val="4412C30E"/>
    <w:rsid w:val="450828F9"/>
    <w:rsid w:val="450FB559"/>
    <w:rsid w:val="45BB987F"/>
    <w:rsid w:val="460180AD"/>
    <w:rsid w:val="46E3595F"/>
    <w:rsid w:val="47654BF9"/>
    <w:rsid w:val="47CEF94B"/>
    <w:rsid w:val="4D9422E0"/>
    <w:rsid w:val="4E5194DC"/>
    <w:rsid w:val="5033FC8F"/>
    <w:rsid w:val="52D66936"/>
    <w:rsid w:val="5339CE85"/>
    <w:rsid w:val="538951CA"/>
    <w:rsid w:val="552DA610"/>
    <w:rsid w:val="57F1FAE9"/>
    <w:rsid w:val="5A0D0CAD"/>
    <w:rsid w:val="5ABF3B9B"/>
    <w:rsid w:val="5BEA9BB6"/>
    <w:rsid w:val="5C30CB8B"/>
    <w:rsid w:val="5D6C25CF"/>
    <w:rsid w:val="5FBF54A8"/>
    <w:rsid w:val="6150C889"/>
    <w:rsid w:val="61B683B9"/>
    <w:rsid w:val="63009A89"/>
    <w:rsid w:val="681E564C"/>
    <w:rsid w:val="6952A52E"/>
    <w:rsid w:val="6AC73854"/>
    <w:rsid w:val="6C0D5C3A"/>
    <w:rsid w:val="6F66C8AD"/>
    <w:rsid w:val="702DCF19"/>
    <w:rsid w:val="71768F37"/>
    <w:rsid w:val="71A2902C"/>
    <w:rsid w:val="71A5FD2E"/>
    <w:rsid w:val="721144F7"/>
    <w:rsid w:val="723CA803"/>
    <w:rsid w:val="736ECB98"/>
    <w:rsid w:val="7556A72F"/>
    <w:rsid w:val="75D6513C"/>
    <w:rsid w:val="764B0B9F"/>
    <w:rsid w:val="76A13430"/>
    <w:rsid w:val="795F27A2"/>
    <w:rsid w:val="7A22C5A1"/>
    <w:rsid w:val="7C490004"/>
    <w:rsid w:val="7C721C2A"/>
    <w:rsid w:val="7E00E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CC16"/>
  <w15:chartTrackingRefBased/>
  <w15:docId w15:val="{D75770EA-6254-4F67-9749-E62807F4E8FD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F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F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F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F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F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F7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967F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7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F74"/>
    <w:pPr>
      <w:spacing w:after="0" w:line="240" w:lineRule="auto"/>
      <w:ind w:firstLine="720"/>
    </w:pPr>
    <w:rPr>
      <w:rFonts w:ascii="Book Antiqua" w:hAnsi="Book Antiqu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F74"/>
    <w:rPr>
      <w:rFonts w:ascii="Book Antiqua" w:hAnsi="Book Antiqua"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967F7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67F7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12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2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2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AF"/>
  </w:style>
  <w:style w:type="paragraph" w:styleId="Footer">
    <w:name w:val="footer"/>
    <w:basedOn w:val="Normal"/>
    <w:link w:val="FooterChar"/>
    <w:uiPriority w:val="99"/>
    <w:unhideWhenUsed/>
    <w:rsid w:val="00D6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E6"/>
    <w:pPr>
      <w:spacing w:after="160"/>
      <w:ind w:firstLine="0"/>
    </w:pPr>
    <w:rPr>
      <w:rFonts w:asciiTheme="minorHAnsi" w:hAnsiTheme="minorHAns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E6"/>
    <w:rPr>
      <w:rFonts w:ascii="Book Antiqua" w:hAnsi="Book Antiqua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94AE6"/>
    <w:pPr>
      <w:spacing w:after="0" w:line="240" w:lineRule="auto"/>
    </w:pPr>
  </w:style>
  <w:style w:type="table" w:styleId="TableGrid">
    <w:name w:val="Table Grid"/>
    <w:basedOn w:val="TableNormal"/>
    <w:uiPriority w:val="39"/>
    <w:rsid w:val="00C540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qFormat/>
    <w:rsid w:val="00C54065"/>
    <w:pPr>
      <w:spacing w:after="0" w:line="360" w:lineRule="auto"/>
      <w:ind w:firstLine="720"/>
    </w:pPr>
    <w:rPr>
      <w:rFonts w:ascii="Book Antiqua" w:hAnsi="Book Antiqua"/>
      <w:kern w:val="0"/>
      <w:sz w:val="26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270F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ergizationcustomer@cpuc.c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c.ca.gov/consumer-support/file-a-complaint/utility-complaint/how-the-consumer-affairs-branch-can-he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ergizationcustomer@cpuc.c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7BD3B-908F-49B7-B0FE-308380BD7435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5</ap:Pages>
  <ap:Words>925</ap:Words>
  <ap:Characters>5277</ap:Characters>
  <ap:Application>Microsoft Office Word</ap:Application>
  <ap:DocSecurity>0</ap:DocSecurity>
  <ap:Lines>43</ap:Lines>
  <ap:Paragraphs>12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6190</ap:CharactersWithSpaces>
  <ap:SharedDoc>false</ap:SharedDoc>
  <ap:HLinks>
    <vt:vector baseType="variant" size="18"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mailto:energizationcustomer@cpuc.ca.gov</vt:lpwstr>
      </vt:variant>
      <vt:variant>
        <vt:lpwstr/>
      </vt:variant>
      <vt:variant>
        <vt:i4>720922</vt:i4>
      </vt:variant>
      <vt:variant>
        <vt:i4>3</vt:i4>
      </vt:variant>
      <vt:variant>
        <vt:i4>0</vt:i4>
      </vt:variant>
      <vt:variant>
        <vt:i4>5</vt:i4>
      </vt:variant>
      <vt:variant>
        <vt:lpwstr>https://www.cpuc.ca.gov/consumer-support/file-a-complaint/utility-complaint/how-the-consumer-affairs-branch-can-help</vt:lpwstr>
      </vt:variant>
      <vt:variant>
        <vt:lpwstr/>
      </vt:variant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mailto:energizationcustomer@cpuc.ca.gov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2024-09-17T12:56:12Z</dcterms:created>
  <dcterms:modified xsi:type="dcterms:W3CDTF">2024-09-17T12:56:12Z</dcterms:modified>
</cp:coreProperties>
</file>